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3841C3" w14:textId="673B7F08" w:rsidR="00E40B2F" w:rsidRPr="00E11E17" w:rsidRDefault="00E40B2F" w:rsidP="00780807">
      <w:pPr>
        <w:pStyle w:val="Heading1"/>
        <w:jc w:val="both"/>
        <w:rPr>
          <w:rFonts w:ascii="Baskerville Old Face" w:hAnsi="Baskerville Old Face" w:cs="Times New Roman"/>
          <w:b/>
          <w:color w:val="0070C0"/>
          <w:sz w:val="24"/>
          <w:szCs w:val="24"/>
        </w:rPr>
      </w:pPr>
      <w:bookmarkStart w:id="0" w:name="_Toc46824063"/>
      <w:r w:rsidRPr="00E11E17">
        <w:rPr>
          <w:rFonts w:ascii="Baskerville Old Face" w:hAnsi="Baskerville Old Face" w:cs="Times New Roman"/>
          <w:b/>
          <w:color w:val="0070C0"/>
          <w:sz w:val="24"/>
          <w:szCs w:val="24"/>
        </w:rPr>
        <w:t xml:space="preserve">INFORMACION </w:t>
      </w:r>
      <w:r w:rsidR="00150F4C" w:rsidRPr="00E11E17">
        <w:rPr>
          <w:rFonts w:ascii="Baskerville Old Face" w:hAnsi="Baskerville Old Face" w:cs="Times New Roman"/>
          <w:b/>
          <w:color w:val="0070C0"/>
          <w:sz w:val="24"/>
          <w:szCs w:val="24"/>
        </w:rPr>
        <w:t xml:space="preserve">EN CONTRIBUCION AL MANDATO DE LA EXPERTA INDEPENDIENTE, CLAUDIA MAHLER, SOBRE EL DISFRUTE DE TODOS LOS DERECHOS HUMANOS DE LAS PERSONAS DE EDAD </w:t>
      </w:r>
      <w:r w:rsidRPr="00E11E17">
        <w:rPr>
          <w:rFonts w:ascii="Baskerville Old Face" w:hAnsi="Baskerville Old Face" w:cs="Times New Roman"/>
          <w:b/>
          <w:color w:val="0070C0"/>
          <w:sz w:val="24"/>
          <w:szCs w:val="24"/>
        </w:rPr>
        <w:t>PARA LA ELABORACION DE DOS INFORMES TEMATICOS</w:t>
      </w:r>
      <w:r w:rsidR="00150F4C" w:rsidRPr="00E11E17">
        <w:rPr>
          <w:rFonts w:ascii="Baskerville Old Face" w:hAnsi="Baskerville Old Face" w:cs="Times New Roman"/>
          <w:b/>
          <w:color w:val="0070C0"/>
          <w:sz w:val="24"/>
          <w:szCs w:val="24"/>
        </w:rPr>
        <w:t xml:space="preserve">, </w:t>
      </w:r>
      <w:r w:rsidRPr="00E11E17">
        <w:rPr>
          <w:rFonts w:ascii="Baskerville Old Face" w:hAnsi="Baskerville Old Face" w:cs="Times New Roman"/>
          <w:b/>
          <w:color w:val="0070C0"/>
          <w:sz w:val="24"/>
          <w:szCs w:val="24"/>
        </w:rPr>
        <w:t>QUE SE PRESENTARAN A FINALES DE EST</w:t>
      </w:r>
      <w:r w:rsidR="00150F4C" w:rsidRPr="00E11E17">
        <w:rPr>
          <w:rFonts w:ascii="Baskerville Old Face" w:hAnsi="Baskerville Old Face" w:cs="Times New Roman"/>
          <w:b/>
          <w:color w:val="0070C0"/>
          <w:sz w:val="24"/>
          <w:szCs w:val="24"/>
        </w:rPr>
        <w:t>E</w:t>
      </w:r>
      <w:r w:rsidRPr="00E11E17">
        <w:rPr>
          <w:rFonts w:ascii="Baskerville Old Face" w:hAnsi="Baskerville Old Face" w:cs="Times New Roman"/>
          <w:b/>
          <w:color w:val="0070C0"/>
          <w:sz w:val="24"/>
          <w:szCs w:val="24"/>
        </w:rPr>
        <w:t xml:space="preserve"> AÑO ANTE EL CONSEJO DE DERECHOS HUMANOS Y LA ASAMBLEA GENERAL DE LAS NACIONES UNIDAS</w:t>
      </w:r>
      <w:r w:rsidR="00150F4C" w:rsidRPr="00E11E17">
        <w:rPr>
          <w:rFonts w:ascii="Baskerville Old Face" w:hAnsi="Baskerville Old Face" w:cs="Times New Roman"/>
          <w:b/>
          <w:color w:val="0070C0"/>
          <w:sz w:val="24"/>
          <w:szCs w:val="24"/>
        </w:rPr>
        <w:t>.</w:t>
      </w:r>
    </w:p>
    <w:p w14:paraId="3C90BD5F" w14:textId="47683C5A" w:rsidR="00E40B2F" w:rsidRPr="00E11E17" w:rsidRDefault="00E40B2F" w:rsidP="00780807">
      <w:pPr>
        <w:pStyle w:val="Heading1"/>
        <w:jc w:val="both"/>
        <w:rPr>
          <w:rFonts w:ascii="Baskerville Old Face" w:hAnsi="Baskerville Old Face" w:cs="Times New Roman"/>
          <w:b/>
          <w:color w:val="0070C0"/>
          <w:sz w:val="24"/>
          <w:szCs w:val="24"/>
        </w:rPr>
      </w:pPr>
    </w:p>
    <w:p w14:paraId="25DE2A3F" w14:textId="44286EBB" w:rsidR="00955789" w:rsidRPr="00E11E17" w:rsidRDefault="00955789" w:rsidP="00955789">
      <w:pPr>
        <w:jc w:val="both"/>
        <w:rPr>
          <w:rFonts w:ascii="Baskerville Old Face" w:hAnsi="Baskerville Old Face" w:cs="Times New Roman"/>
        </w:rPr>
      </w:pPr>
      <w:r w:rsidRPr="00E11E17">
        <w:rPr>
          <w:rFonts w:ascii="Baskerville Old Face" w:hAnsi="Baskerville Old Face" w:cs="Times New Roman"/>
        </w:rPr>
        <w:t>El 20 de enero de 2021, la señora Beatriz Balbin, jefa de la Subdivisión de los procedimiento</w:t>
      </w:r>
      <w:r w:rsidR="00A24197" w:rsidRPr="00E11E17">
        <w:rPr>
          <w:rFonts w:ascii="Baskerville Old Face" w:hAnsi="Baskerville Old Face" w:cs="Times New Roman"/>
        </w:rPr>
        <w:t>s</w:t>
      </w:r>
      <w:r w:rsidRPr="00E11E17">
        <w:rPr>
          <w:rFonts w:ascii="Baskerville Old Face" w:hAnsi="Baskerville Old Face" w:cs="Times New Roman"/>
        </w:rPr>
        <w:t xml:space="preserve"> especiales, traslada a todas las Misiones Permanentes ante la Oficina de las Naciones Unidas y otras organizaciones internacionales en Ginebra, la Carta de la Experta independiente sobre el disfrute de todos los derechos humanos por las personas de edad, la señora Claudia Mahler.</w:t>
      </w:r>
    </w:p>
    <w:p w14:paraId="52114DE8" w14:textId="77777777" w:rsidR="00955789" w:rsidRPr="00E11E17" w:rsidRDefault="00955789" w:rsidP="00150F4C">
      <w:pPr>
        <w:rPr>
          <w:rFonts w:ascii="Baskerville Old Face" w:hAnsi="Baskerville Old Face" w:cs="Times New Roman"/>
        </w:rPr>
      </w:pPr>
    </w:p>
    <w:p w14:paraId="64A8BCA2" w14:textId="3424CA3D" w:rsidR="00150F4C" w:rsidRPr="00E11E17" w:rsidRDefault="00150F4C" w:rsidP="00A24197">
      <w:pPr>
        <w:jc w:val="both"/>
        <w:rPr>
          <w:rFonts w:ascii="Baskerville Old Face" w:hAnsi="Baskerville Old Face" w:cs="Times New Roman"/>
        </w:rPr>
      </w:pPr>
      <w:r w:rsidRPr="00E11E17">
        <w:rPr>
          <w:rFonts w:ascii="Baskerville Old Face" w:hAnsi="Baskerville Old Face" w:cs="Times New Roman"/>
        </w:rPr>
        <w:t xml:space="preserve">En ese contexto, la Secretaría Presidencial de la Mujer </w:t>
      </w:r>
      <w:r w:rsidR="00A24197" w:rsidRPr="00E11E17">
        <w:rPr>
          <w:rFonts w:ascii="Baskerville Old Face" w:hAnsi="Baskerville Old Face" w:cs="Times New Roman"/>
        </w:rPr>
        <w:t>-</w:t>
      </w:r>
      <w:r w:rsidRPr="00E11E17">
        <w:rPr>
          <w:rFonts w:ascii="Baskerville Old Face" w:hAnsi="Baskerville Old Face" w:cs="Times New Roman"/>
        </w:rPr>
        <w:t>Seprem</w:t>
      </w:r>
      <w:r w:rsidR="00A24197" w:rsidRPr="00E11E17">
        <w:rPr>
          <w:rFonts w:ascii="Baskerville Old Face" w:hAnsi="Baskerville Old Face" w:cs="Times New Roman"/>
        </w:rPr>
        <w:t>-</w:t>
      </w:r>
      <w:r w:rsidRPr="00E11E17">
        <w:rPr>
          <w:rFonts w:ascii="Baskerville Old Face" w:hAnsi="Baskerville Old Face" w:cs="Times New Roman"/>
        </w:rPr>
        <w:t xml:space="preserve"> recopiló información de distintas instituciones que por mandato institucional tienen competencia en el tema. Se obtuvieron insumos</w:t>
      </w:r>
      <w:r w:rsidR="00A24197" w:rsidRPr="00E11E17">
        <w:rPr>
          <w:rFonts w:ascii="Baskerville Old Face" w:hAnsi="Baskerville Old Face" w:cs="Times New Roman"/>
        </w:rPr>
        <w:t xml:space="preserve"> de:</w:t>
      </w:r>
    </w:p>
    <w:p w14:paraId="026F6480" w14:textId="77777777" w:rsidR="008C40C6" w:rsidRPr="00E11E17" w:rsidRDefault="008C40C6" w:rsidP="00A24197">
      <w:pPr>
        <w:jc w:val="both"/>
        <w:rPr>
          <w:rFonts w:ascii="Baskerville Old Face" w:hAnsi="Baskerville Old Face" w:cs="Times New Roman"/>
        </w:rPr>
      </w:pPr>
    </w:p>
    <w:bookmarkEnd w:id="0"/>
    <w:p w14:paraId="16E33DDF" w14:textId="60E63D36" w:rsidR="00780807" w:rsidRPr="00E11E17" w:rsidRDefault="00F52088" w:rsidP="00E11E17">
      <w:pPr>
        <w:pStyle w:val="ListParagraph"/>
        <w:numPr>
          <w:ilvl w:val="0"/>
          <w:numId w:val="37"/>
        </w:numPr>
        <w:jc w:val="both"/>
        <w:rPr>
          <w:rFonts w:ascii="Baskerville Old Face" w:hAnsi="Baskerville Old Face" w:cs="Times New Roman"/>
        </w:rPr>
      </w:pPr>
      <w:r w:rsidRPr="00E11E17">
        <w:rPr>
          <w:rFonts w:ascii="Baskerville Old Face" w:hAnsi="Baskerville Old Face" w:cs="Times New Roman"/>
        </w:rPr>
        <w:t>Corte de Constitucionalidad</w:t>
      </w:r>
      <w:r w:rsidR="00A73A9E" w:rsidRPr="00E11E17">
        <w:rPr>
          <w:rFonts w:ascii="Baskerville Old Face" w:hAnsi="Baskerville Old Face" w:cs="Times New Roman"/>
        </w:rPr>
        <w:t xml:space="preserve"> -CC-</w:t>
      </w:r>
    </w:p>
    <w:p w14:paraId="7BC724F1" w14:textId="612FC3E9" w:rsidR="00180183" w:rsidRPr="00E11E17" w:rsidRDefault="00180183" w:rsidP="00E11E17">
      <w:pPr>
        <w:pStyle w:val="ListParagraph"/>
        <w:numPr>
          <w:ilvl w:val="0"/>
          <w:numId w:val="37"/>
        </w:numPr>
        <w:jc w:val="both"/>
        <w:rPr>
          <w:rFonts w:ascii="Baskerville Old Face" w:hAnsi="Baskerville Old Face" w:cs="Times New Roman"/>
        </w:rPr>
      </w:pPr>
      <w:r w:rsidRPr="00E11E17">
        <w:rPr>
          <w:rFonts w:ascii="Baskerville Old Face" w:hAnsi="Baskerville Old Face" w:cs="Times New Roman"/>
        </w:rPr>
        <w:t>Comisión Presidencial contra la Discriminación y el Racismo contra los Pueblos indígenas en Guatemala -CODISRA-</w:t>
      </w:r>
    </w:p>
    <w:p w14:paraId="21D94EBF" w14:textId="5F7CA3AD" w:rsidR="00F52088" w:rsidRPr="00E11E17" w:rsidRDefault="00F52088" w:rsidP="00E11E17">
      <w:pPr>
        <w:pStyle w:val="ListParagraph"/>
        <w:numPr>
          <w:ilvl w:val="0"/>
          <w:numId w:val="37"/>
        </w:numPr>
        <w:jc w:val="both"/>
        <w:rPr>
          <w:rFonts w:ascii="Baskerville Old Face" w:hAnsi="Baskerville Old Face" w:cs="Times New Roman"/>
        </w:rPr>
      </w:pPr>
      <w:r w:rsidRPr="00E11E17">
        <w:rPr>
          <w:rFonts w:ascii="Baskerville Old Face" w:hAnsi="Baskerville Old Face" w:cs="Times New Roman"/>
        </w:rPr>
        <w:t>C</w:t>
      </w:r>
      <w:r w:rsidR="001B5B25" w:rsidRPr="00E11E17">
        <w:rPr>
          <w:rFonts w:ascii="Baskerville Old Face" w:hAnsi="Baskerville Old Face" w:cs="Times New Roman"/>
        </w:rPr>
        <w:t>onsejo Nacional Para la Atención de las Personas con Discapacidad –C</w:t>
      </w:r>
      <w:r w:rsidRPr="00E11E17">
        <w:rPr>
          <w:rFonts w:ascii="Baskerville Old Face" w:hAnsi="Baskerville Old Face" w:cs="Times New Roman"/>
        </w:rPr>
        <w:t>ONADI</w:t>
      </w:r>
      <w:r w:rsidR="001B5B25" w:rsidRPr="00E11E17">
        <w:rPr>
          <w:rFonts w:ascii="Baskerville Old Face" w:hAnsi="Baskerville Old Face" w:cs="Times New Roman"/>
        </w:rPr>
        <w:t>-</w:t>
      </w:r>
    </w:p>
    <w:p w14:paraId="4F90F7F5" w14:textId="5B40F607" w:rsidR="00F52088" w:rsidRPr="00E11E17" w:rsidRDefault="001B5B25" w:rsidP="00E11E17">
      <w:pPr>
        <w:pStyle w:val="ListParagraph"/>
        <w:numPr>
          <w:ilvl w:val="0"/>
          <w:numId w:val="37"/>
        </w:numPr>
        <w:jc w:val="both"/>
        <w:rPr>
          <w:rFonts w:ascii="Baskerville Old Face" w:hAnsi="Baskerville Old Face" w:cs="Times New Roman"/>
        </w:rPr>
      </w:pPr>
      <w:r w:rsidRPr="00E11E17">
        <w:rPr>
          <w:rFonts w:ascii="Baskerville Old Face" w:hAnsi="Baskerville Old Face" w:cs="Times New Roman"/>
        </w:rPr>
        <w:lastRenderedPageBreak/>
        <w:t>Consejo Nacional de la Juventud –</w:t>
      </w:r>
      <w:r w:rsidR="00F52088" w:rsidRPr="00E11E17">
        <w:rPr>
          <w:rFonts w:ascii="Baskerville Old Face" w:hAnsi="Baskerville Old Face" w:cs="Times New Roman"/>
        </w:rPr>
        <w:t>CONJUVE</w:t>
      </w:r>
      <w:r w:rsidRPr="00E11E17">
        <w:rPr>
          <w:rFonts w:ascii="Baskerville Old Face" w:hAnsi="Baskerville Old Face" w:cs="Times New Roman"/>
        </w:rPr>
        <w:t>-</w:t>
      </w:r>
    </w:p>
    <w:p w14:paraId="1FAA2FEB" w14:textId="0198F0F9" w:rsidR="00F52088" w:rsidRPr="00E11E17" w:rsidRDefault="001B5B25" w:rsidP="00E11E17">
      <w:pPr>
        <w:pStyle w:val="ListParagraph"/>
        <w:numPr>
          <w:ilvl w:val="0"/>
          <w:numId w:val="37"/>
        </w:numPr>
        <w:jc w:val="both"/>
        <w:rPr>
          <w:rFonts w:ascii="Baskerville Old Face" w:hAnsi="Baskerville Old Face" w:cs="Times New Roman"/>
        </w:rPr>
      </w:pPr>
      <w:r w:rsidRPr="00E11E17">
        <w:rPr>
          <w:rFonts w:ascii="Baskerville Old Face" w:hAnsi="Baskerville Old Face" w:cs="Times New Roman"/>
        </w:rPr>
        <w:t>Fondo de Desarrollo Indígena Guatemalteco –</w:t>
      </w:r>
      <w:r w:rsidR="00F52088" w:rsidRPr="00E11E17">
        <w:rPr>
          <w:rFonts w:ascii="Baskerville Old Face" w:hAnsi="Baskerville Old Face" w:cs="Times New Roman"/>
        </w:rPr>
        <w:t>FODIGUA</w:t>
      </w:r>
      <w:r w:rsidRPr="00E11E17">
        <w:rPr>
          <w:rFonts w:ascii="Baskerville Old Face" w:hAnsi="Baskerville Old Face" w:cs="Times New Roman"/>
        </w:rPr>
        <w:t>-</w:t>
      </w:r>
    </w:p>
    <w:p w14:paraId="2E46959B" w14:textId="51260AF1" w:rsidR="00F52088" w:rsidRPr="00E11E17" w:rsidRDefault="001B5B25" w:rsidP="00E11E17">
      <w:pPr>
        <w:pStyle w:val="ListParagraph"/>
        <w:numPr>
          <w:ilvl w:val="0"/>
          <w:numId w:val="37"/>
        </w:numPr>
        <w:jc w:val="both"/>
        <w:rPr>
          <w:rFonts w:ascii="Baskerville Old Face" w:hAnsi="Baskerville Old Face" w:cs="Times New Roman"/>
        </w:rPr>
      </w:pPr>
      <w:r w:rsidRPr="00E11E17">
        <w:rPr>
          <w:rFonts w:ascii="Baskerville Old Face" w:hAnsi="Baskerville Old Face" w:cs="Times New Roman"/>
        </w:rPr>
        <w:t>Instituto de Defensa Pública Penal –</w:t>
      </w:r>
      <w:r w:rsidR="00F52088" w:rsidRPr="00E11E17">
        <w:rPr>
          <w:rFonts w:ascii="Baskerville Old Face" w:hAnsi="Baskerville Old Face" w:cs="Times New Roman"/>
        </w:rPr>
        <w:t>IDPP</w:t>
      </w:r>
      <w:r w:rsidRPr="00E11E17">
        <w:rPr>
          <w:rFonts w:ascii="Baskerville Old Face" w:hAnsi="Baskerville Old Face" w:cs="Times New Roman"/>
        </w:rPr>
        <w:t>-</w:t>
      </w:r>
    </w:p>
    <w:p w14:paraId="69E03A88" w14:textId="68BD3ABD" w:rsidR="00F52088" w:rsidRPr="00E11E17" w:rsidRDefault="00F52088" w:rsidP="00E11E17">
      <w:pPr>
        <w:pStyle w:val="ListParagraph"/>
        <w:numPr>
          <w:ilvl w:val="0"/>
          <w:numId w:val="37"/>
        </w:numPr>
        <w:jc w:val="both"/>
        <w:rPr>
          <w:rFonts w:ascii="Baskerville Old Face" w:hAnsi="Baskerville Old Face" w:cs="Times New Roman"/>
        </w:rPr>
      </w:pPr>
      <w:r w:rsidRPr="00E11E17">
        <w:rPr>
          <w:rFonts w:ascii="Baskerville Old Face" w:hAnsi="Baskerville Old Face" w:cs="Times New Roman"/>
        </w:rPr>
        <w:t>Instituto Guatemalteco de Seguridad Social</w:t>
      </w:r>
      <w:r w:rsidR="001B5B25" w:rsidRPr="00E11E17">
        <w:rPr>
          <w:rFonts w:ascii="Baskerville Old Face" w:hAnsi="Baskerville Old Face" w:cs="Times New Roman"/>
        </w:rPr>
        <w:t xml:space="preserve"> –IGSS-</w:t>
      </w:r>
    </w:p>
    <w:p w14:paraId="5BE90096" w14:textId="06C0F8E7" w:rsidR="00F52088" w:rsidRPr="00E11E17" w:rsidRDefault="001B5B25" w:rsidP="00E11E17">
      <w:pPr>
        <w:pStyle w:val="ListParagraph"/>
        <w:numPr>
          <w:ilvl w:val="0"/>
          <w:numId w:val="37"/>
        </w:numPr>
        <w:jc w:val="both"/>
        <w:rPr>
          <w:rFonts w:ascii="Baskerville Old Face" w:hAnsi="Baskerville Old Face" w:cs="Times New Roman"/>
        </w:rPr>
      </w:pPr>
      <w:bookmarkStart w:id="1" w:name="_Hlk66180220"/>
      <w:r w:rsidRPr="00E11E17">
        <w:rPr>
          <w:rFonts w:ascii="Baskerville Old Face" w:hAnsi="Baskerville Old Face" w:cs="Times New Roman"/>
        </w:rPr>
        <w:t>Instituto Nacional de Ciencias Forenses de Guatemala –</w:t>
      </w:r>
      <w:r w:rsidR="00F52088" w:rsidRPr="00E11E17">
        <w:rPr>
          <w:rFonts w:ascii="Baskerville Old Face" w:hAnsi="Baskerville Old Face" w:cs="Times New Roman"/>
        </w:rPr>
        <w:t>INACIF</w:t>
      </w:r>
      <w:r w:rsidRPr="00E11E17">
        <w:rPr>
          <w:rFonts w:ascii="Baskerville Old Face" w:hAnsi="Baskerville Old Face" w:cs="Times New Roman"/>
        </w:rPr>
        <w:t>-</w:t>
      </w:r>
    </w:p>
    <w:bookmarkEnd w:id="1"/>
    <w:p w14:paraId="645DD24A" w14:textId="37286A00" w:rsidR="00F52088" w:rsidRPr="00E11E17" w:rsidRDefault="001B5B25" w:rsidP="00E11E17">
      <w:pPr>
        <w:pStyle w:val="ListParagraph"/>
        <w:numPr>
          <w:ilvl w:val="0"/>
          <w:numId w:val="37"/>
        </w:numPr>
        <w:jc w:val="both"/>
        <w:rPr>
          <w:rFonts w:ascii="Baskerville Old Face" w:hAnsi="Baskerville Old Face" w:cs="Times New Roman"/>
        </w:rPr>
      </w:pPr>
      <w:r w:rsidRPr="00E11E17">
        <w:rPr>
          <w:rFonts w:ascii="Baskerville Old Face" w:hAnsi="Baskerville Old Face" w:cs="Times New Roman"/>
        </w:rPr>
        <w:t>Instituto Nacional de Estadística –</w:t>
      </w:r>
      <w:r w:rsidR="00F52088" w:rsidRPr="00E11E17">
        <w:rPr>
          <w:rFonts w:ascii="Baskerville Old Face" w:hAnsi="Baskerville Old Face" w:cs="Times New Roman"/>
        </w:rPr>
        <w:t>INE</w:t>
      </w:r>
      <w:r w:rsidRPr="00E11E17">
        <w:rPr>
          <w:rFonts w:ascii="Baskerville Old Face" w:hAnsi="Baskerville Old Face" w:cs="Times New Roman"/>
        </w:rPr>
        <w:t>-</w:t>
      </w:r>
    </w:p>
    <w:p w14:paraId="44A0E9AA" w14:textId="56C7A8C9" w:rsidR="00F52088" w:rsidRPr="00E11E17" w:rsidRDefault="00F52088" w:rsidP="00E11E17">
      <w:pPr>
        <w:pStyle w:val="ListParagraph"/>
        <w:numPr>
          <w:ilvl w:val="0"/>
          <w:numId w:val="37"/>
        </w:numPr>
        <w:jc w:val="both"/>
        <w:rPr>
          <w:rFonts w:ascii="Baskerville Old Face" w:hAnsi="Baskerville Old Face" w:cs="Times New Roman"/>
        </w:rPr>
      </w:pPr>
      <w:r w:rsidRPr="00E11E17">
        <w:rPr>
          <w:rFonts w:ascii="Baskerville Old Face" w:hAnsi="Baskerville Old Face" w:cs="Times New Roman"/>
        </w:rPr>
        <w:t>Instituto de la Victima</w:t>
      </w:r>
    </w:p>
    <w:p w14:paraId="3058B940" w14:textId="0620FF15" w:rsidR="00F52088" w:rsidRPr="00E11E17" w:rsidRDefault="001B5B25" w:rsidP="00E11E17">
      <w:pPr>
        <w:pStyle w:val="ListParagraph"/>
        <w:numPr>
          <w:ilvl w:val="0"/>
          <w:numId w:val="37"/>
        </w:numPr>
        <w:jc w:val="both"/>
        <w:rPr>
          <w:rFonts w:ascii="Baskerville Old Face" w:hAnsi="Baskerville Old Face" w:cs="Times New Roman"/>
        </w:rPr>
      </w:pPr>
      <w:bookmarkStart w:id="2" w:name="_Hlk66173829"/>
      <w:r w:rsidRPr="00E11E17">
        <w:rPr>
          <w:rFonts w:ascii="Baskerville Old Face" w:hAnsi="Baskerville Old Face" w:cs="Times New Roman"/>
        </w:rPr>
        <w:t>Instituto Técnico de Capacitación y Productividad –</w:t>
      </w:r>
      <w:r w:rsidR="00F52088" w:rsidRPr="00E11E17">
        <w:rPr>
          <w:rFonts w:ascii="Baskerville Old Face" w:hAnsi="Baskerville Old Face" w:cs="Times New Roman"/>
        </w:rPr>
        <w:t>INTECAP</w:t>
      </w:r>
      <w:r w:rsidRPr="00E11E17">
        <w:rPr>
          <w:rFonts w:ascii="Baskerville Old Face" w:hAnsi="Baskerville Old Face" w:cs="Times New Roman"/>
        </w:rPr>
        <w:t>-</w:t>
      </w:r>
    </w:p>
    <w:p w14:paraId="44A30D5F" w14:textId="39C871D0" w:rsidR="00F52088" w:rsidRPr="00E11E17" w:rsidRDefault="001B5B25" w:rsidP="00E11E17">
      <w:pPr>
        <w:pStyle w:val="ListParagraph"/>
        <w:numPr>
          <w:ilvl w:val="0"/>
          <w:numId w:val="37"/>
        </w:numPr>
        <w:jc w:val="both"/>
        <w:rPr>
          <w:rFonts w:ascii="Baskerville Old Face" w:hAnsi="Baskerville Old Face" w:cs="Times New Roman"/>
        </w:rPr>
      </w:pPr>
      <w:r w:rsidRPr="00E11E17">
        <w:rPr>
          <w:rFonts w:ascii="Baskerville Old Face" w:hAnsi="Baskerville Old Face" w:cs="Times New Roman"/>
        </w:rPr>
        <w:t>Instituto Universitario de la Mujer, Universidad de San Carlos de Guatemala –</w:t>
      </w:r>
      <w:r w:rsidR="00F52088" w:rsidRPr="00E11E17">
        <w:rPr>
          <w:rFonts w:ascii="Baskerville Old Face" w:hAnsi="Baskerville Old Face" w:cs="Times New Roman"/>
        </w:rPr>
        <w:t>IUMUSAC</w:t>
      </w:r>
      <w:r w:rsidRPr="00E11E17">
        <w:rPr>
          <w:rFonts w:ascii="Baskerville Old Face" w:hAnsi="Baskerville Old Face" w:cs="Times New Roman"/>
        </w:rPr>
        <w:t xml:space="preserve">- </w:t>
      </w:r>
    </w:p>
    <w:bookmarkEnd w:id="2"/>
    <w:p w14:paraId="7185B959" w14:textId="356A5B52" w:rsidR="00F52088" w:rsidRPr="00E11E17" w:rsidRDefault="001B5B25" w:rsidP="00E11E17">
      <w:pPr>
        <w:pStyle w:val="ListParagraph"/>
        <w:numPr>
          <w:ilvl w:val="0"/>
          <w:numId w:val="37"/>
        </w:numPr>
        <w:jc w:val="both"/>
        <w:rPr>
          <w:rFonts w:ascii="Baskerville Old Face" w:hAnsi="Baskerville Old Face" w:cs="Times New Roman"/>
        </w:rPr>
      </w:pPr>
      <w:r w:rsidRPr="00E11E17">
        <w:rPr>
          <w:rFonts w:ascii="Baskerville Old Face" w:hAnsi="Baskerville Old Face" w:cs="Times New Roman"/>
        </w:rPr>
        <w:t>Ministerio de Agricultura, Ganadería y Alimentación –</w:t>
      </w:r>
      <w:r w:rsidR="00F52088" w:rsidRPr="00E11E17">
        <w:rPr>
          <w:rFonts w:ascii="Baskerville Old Face" w:hAnsi="Baskerville Old Face" w:cs="Times New Roman"/>
        </w:rPr>
        <w:t>MAGA</w:t>
      </w:r>
      <w:r w:rsidRPr="00E11E17">
        <w:rPr>
          <w:rFonts w:ascii="Baskerville Old Face" w:hAnsi="Baskerville Old Face" w:cs="Times New Roman"/>
        </w:rPr>
        <w:t>-</w:t>
      </w:r>
    </w:p>
    <w:p w14:paraId="3B2D0501" w14:textId="6CCD2F60" w:rsidR="00F52088" w:rsidRPr="00E11E17" w:rsidRDefault="00F52088" w:rsidP="00E11E17">
      <w:pPr>
        <w:pStyle w:val="ListParagraph"/>
        <w:numPr>
          <w:ilvl w:val="0"/>
          <w:numId w:val="37"/>
        </w:numPr>
        <w:jc w:val="both"/>
        <w:rPr>
          <w:rFonts w:ascii="Baskerville Old Face" w:hAnsi="Baskerville Old Face" w:cs="Times New Roman"/>
        </w:rPr>
      </w:pPr>
      <w:r w:rsidRPr="00E11E17">
        <w:rPr>
          <w:rFonts w:ascii="Baskerville Old Face" w:hAnsi="Baskerville Old Face" w:cs="Times New Roman"/>
        </w:rPr>
        <w:t>Ministerio de Cultura y Deportes</w:t>
      </w:r>
      <w:r w:rsidR="00A73A9E" w:rsidRPr="00E11E17">
        <w:rPr>
          <w:rFonts w:ascii="Baskerville Old Face" w:hAnsi="Baskerville Old Face" w:cs="Times New Roman"/>
        </w:rPr>
        <w:t xml:space="preserve"> -MCD-</w:t>
      </w:r>
    </w:p>
    <w:p w14:paraId="169F582F" w14:textId="2ECE505D" w:rsidR="00CA1A1D" w:rsidRPr="00E11E17" w:rsidRDefault="00CA1A1D" w:rsidP="00E11E17">
      <w:pPr>
        <w:pStyle w:val="ListParagraph"/>
        <w:numPr>
          <w:ilvl w:val="0"/>
          <w:numId w:val="37"/>
        </w:numPr>
        <w:jc w:val="both"/>
        <w:rPr>
          <w:rFonts w:ascii="Baskerville Old Face" w:hAnsi="Baskerville Old Face" w:cs="Times New Roman"/>
        </w:rPr>
      </w:pPr>
      <w:r w:rsidRPr="00E11E17">
        <w:rPr>
          <w:rFonts w:ascii="Baskerville Old Face" w:hAnsi="Baskerville Old Face" w:cs="Times New Roman"/>
        </w:rPr>
        <w:t>Ministerio de Comunicaciones, Infraestructura y Vivienda -CIV-</w:t>
      </w:r>
    </w:p>
    <w:p w14:paraId="4B8CA16A" w14:textId="26046AF4" w:rsidR="00F52088" w:rsidRPr="00E11E17" w:rsidRDefault="00F52088" w:rsidP="00E11E17">
      <w:pPr>
        <w:pStyle w:val="ListParagraph"/>
        <w:numPr>
          <w:ilvl w:val="0"/>
          <w:numId w:val="37"/>
        </w:numPr>
        <w:jc w:val="both"/>
        <w:rPr>
          <w:rFonts w:ascii="Baskerville Old Face" w:hAnsi="Baskerville Old Face" w:cs="Times New Roman"/>
        </w:rPr>
      </w:pPr>
      <w:r w:rsidRPr="00E11E17">
        <w:rPr>
          <w:rFonts w:ascii="Baskerville Old Face" w:hAnsi="Baskerville Old Face" w:cs="Times New Roman"/>
        </w:rPr>
        <w:t>Ministerio de Educación</w:t>
      </w:r>
      <w:r w:rsidR="00A73A9E" w:rsidRPr="00E11E17">
        <w:rPr>
          <w:rFonts w:ascii="Baskerville Old Face" w:hAnsi="Baskerville Old Face" w:cs="Times New Roman"/>
        </w:rPr>
        <w:t xml:space="preserve"> -MINEDUC-</w:t>
      </w:r>
    </w:p>
    <w:p w14:paraId="51750679" w14:textId="2A54AD5D" w:rsidR="00F52088" w:rsidRPr="00E11E17" w:rsidRDefault="00F52088" w:rsidP="00E11E17">
      <w:pPr>
        <w:pStyle w:val="ListParagraph"/>
        <w:numPr>
          <w:ilvl w:val="0"/>
          <w:numId w:val="37"/>
        </w:numPr>
        <w:jc w:val="both"/>
        <w:rPr>
          <w:rFonts w:ascii="Baskerville Old Face" w:hAnsi="Baskerville Old Face" w:cs="Times New Roman"/>
        </w:rPr>
      </w:pPr>
      <w:r w:rsidRPr="00E11E17">
        <w:rPr>
          <w:rFonts w:ascii="Baskerville Old Face" w:hAnsi="Baskerville Old Face" w:cs="Times New Roman"/>
        </w:rPr>
        <w:t>Ministerio de Economía</w:t>
      </w:r>
      <w:r w:rsidR="00A73A9E" w:rsidRPr="00E11E17">
        <w:rPr>
          <w:rFonts w:ascii="Baskerville Old Face" w:hAnsi="Baskerville Old Face" w:cs="Times New Roman"/>
        </w:rPr>
        <w:t xml:space="preserve"> -MINECO-</w:t>
      </w:r>
    </w:p>
    <w:p w14:paraId="5E07AAEB" w14:textId="73B330E7" w:rsidR="00F52088" w:rsidRPr="00E11E17" w:rsidRDefault="00F52088" w:rsidP="00E11E17">
      <w:pPr>
        <w:pStyle w:val="ListParagraph"/>
        <w:numPr>
          <w:ilvl w:val="0"/>
          <w:numId w:val="37"/>
        </w:numPr>
        <w:jc w:val="both"/>
        <w:rPr>
          <w:rFonts w:ascii="Baskerville Old Face" w:hAnsi="Baskerville Old Face" w:cs="Times New Roman"/>
        </w:rPr>
      </w:pPr>
      <w:r w:rsidRPr="00E11E17">
        <w:rPr>
          <w:rFonts w:ascii="Baskerville Old Face" w:hAnsi="Baskerville Old Face" w:cs="Times New Roman"/>
        </w:rPr>
        <w:t>Ministerio de Gobernación</w:t>
      </w:r>
      <w:r w:rsidR="00A73A9E" w:rsidRPr="00E11E17">
        <w:rPr>
          <w:rFonts w:ascii="Baskerville Old Face" w:hAnsi="Baskerville Old Face" w:cs="Times New Roman"/>
        </w:rPr>
        <w:t xml:space="preserve"> -MINGOB-</w:t>
      </w:r>
    </w:p>
    <w:p w14:paraId="0EB85F9E" w14:textId="57E4CEF5" w:rsidR="00F52088" w:rsidRPr="00E11E17" w:rsidRDefault="00F52088" w:rsidP="00E11E17">
      <w:pPr>
        <w:pStyle w:val="ListParagraph"/>
        <w:numPr>
          <w:ilvl w:val="0"/>
          <w:numId w:val="37"/>
        </w:numPr>
        <w:jc w:val="both"/>
        <w:rPr>
          <w:rFonts w:ascii="Baskerville Old Face" w:hAnsi="Baskerville Old Face" w:cs="Times New Roman"/>
        </w:rPr>
      </w:pPr>
      <w:r w:rsidRPr="00E11E17">
        <w:rPr>
          <w:rFonts w:ascii="Baskerville Old Face" w:hAnsi="Baskerville Old Face" w:cs="Times New Roman"/>
        </w:rPr>
        <w:t>Ministerio Público</w:t>
      </w:r>
      <w:r w:rsidR="00A73A9E" w:rsidRPr="00E11E17">
        <w:rPr>
          <w:rFonts w:ascii="Baskerville Old Face" w:hAnsi="Baskerville Old Face" w:cs="Times New Roman"/>
        </w:rPr>
        <w:t xml:space="preserve"> -PM-</w:t>
      </w:r>
    </w:p>
    <w:p w14:paraId="7FE46A70" w14:textId="3D57058C" w:rsidR="00CC37B8" w:rsidRPr="00E11E17" w:rsidRDefault="00CC37B8" w:rsidP="00E11E17">
      <w:pPr>
        <w:pStyle w:val="ListParagraph"/>
        <w:numPr>
          <w:ilvl w:val="0"/>
          <w:numId w:val="37"/>
        </w:numPr>
        <w:jc w:val="both"/>
        <w:rPr>
          <w:rFonts w:ascii="Baskerville Old Face" w:hAnsi="Baskerville Old Face" w:cs="Times New Roman"/>
        </w:rPr>
      </w:pPr>
      <w:r w:rsidRPr="00E11E17">
        <w:rPr>
          <w:rFonts w:ascii="Baskerville Old Face" w:hAnsi="Baskerville Old Face" w:cs="Times New Roman"/>
        </w:rPr>
        <w:t xml:space="preserve">Ministerio de Trabajo y Previsión </w:t>
      </w:r>
      <w:r w:rsidR="00CB4399" w:rsidRPr="00E11E17">
        <w:rPr>
          <w:rFonts w:ascii="Baskerville Old Face" w:hAnsi="Baskerville Old Face" w:cs="Times New Roman"/>
        </w:rPr>
        <w:t>S</w:t>
      </w:r>
      <w:r w:rsidRPr="00E11E17">
        <w:rPr>
          <w:rFonts w:ascii="Baskerville Old Face" w:hAnsi="Baskerville Old Face" w:cs="Times New Roman"/>
        </w:rPr>
        <w:t>ocial</w:t>
      </w:r>
      <w:r w:rsidR="00CB4399" w:rsidRPr="00E11E17">
        <w:rPr>
          <w:rFonts w:ascii="Baskerville Old Face" w:hAnsi="Baskerville Old Face" w:cs="Times New Roman"/>
        </w:rPr>
        <w:t xml:space="preserve"> -MINTRAB-</w:t>
      </w:r>
    </w:p>
    <w:p w14:paraId="7D60A5C0" w14:textId="707952E4" w:rsidR="00CA1A1D" w:rsidRPr="00E11E17" w:rsidRDefault="00CA1A1D" w:rsidP="00E11E17">
      <w:pPr>
        <w:pStyle w:val="ListParagraph"/>
        <w:numPr>
          <w:ilvl w:val="0"/>
          <w:numId w:val="37"/>
        </w:numPr>
        <w:jc w:val="both"/>
        <w:rPr>
          <w:rFonts w:ascii="Baskerville Old Face" w:hAnsi="Baskerville Old Face" w:cs="Times New Roman"/>
        </w:rPr>
      </w:pPr>
      <w:r w:rsidRPr="00E11E17">
        <w:rPr>
          <w:rFonts w:ascii="Baskerville Old Face" w:hAnsi="Baskerville Old Face" w:cs="Times New Roman"/>
        </w:rPr>
        <w:t>Organismo Judicial -OJ-</w:t>
      </w:r>
    </w:p>
    <w:p w14:paraId="7C40D31E" w14:textId="1F18EFBC" w:rsidR="00F52088" w:rsidRPr="00E11E17" w:rsidRDefault="00F52088" w:rsidP="00E11E17">
      <w:pPr>
        <w:pStyle w:val="ListParagraph"/>
        <w:numPr>
          <w:ilvl w:val="0"/>
          <w:numId w:val="37"/>
        </w:numPr>
        <w:jc w:val="both"/>
        <w:rPr>
          <w:rFonts w:ascii="Baskerville Old Face" w:hAnsi="Baskerville Old Face" w:cs="Times New Roman"/>
        </w:rPr>
      </w:pPr>
      <w:r w:rsidRPr="00E11E17">
        <w:rPr>
          <w:rFonts w:ascii="Baskerville Old Face" w:hAnsi="Baskerville Old Face" w:cs="Times New Roman"/>
        </w:rPr>
        <w:t>Policía Nacional Civil</w:t>
      </w:r>
      <w:r w:rsidR="00A73A9E" w:rsidRPr="00E11E17">
        <w:rPr>
          <w:rFonts w:ascii="Baskerville Old Face" w:hAnsi="Baskerville Old Face" w:cs="Times New Roman"/>
        </w:rPr>
        <w:t xml:space="preserve"> -PNC-</w:t>
      </w:r>
    </w:p>
    <w:p w14:paraId="1C143D1D" w14:textId="1C243EC5" w:rsidR="00F52088" w:rsidRPr="00E11E17" w:rsidRDefault="00F52088" w:rsidP="00E11E17">
      <w:pPr>
        <w:pStyle w:val="ListParagraph"/>
        <w:numPr>
          <w:ilvl w:val="0"/>
          <w:numId w:val="37"/>
        </w:numPr>
        <w:jc w:val="both"/>
        <w:rPr>
          <w:rFonts w:ascii="Baskerville Old Face" w:hAnsi="Baskerville Old Face" w:cs="Times New Roman"/>
        </w:rPr>
      </w:pPr>
      <w:r w:rsidRPr="00E11E17">
        <w:rPr>
          <w:rFonts w:ascii="Baskerville Old Face" w:hAnsi="Baskerville Old Face" w:cs="Times New Roman"/>
        </w:rPr>
        <w:lastRenderedPageBreak/>
        <w:t>Secretaria de Bienestar Social</w:t>
      </w:r>
      <w:r w:rsidR="00A73A9E" w:rsidRPr="00E11E17">
        <w:rPr>
          <w:rFonts w:ascii="Baskerville Old Face" w:hAnsi="Baskerville Old Face" w:cs="Times New Roman"/>
        </w:rPr>
        <w:t xml:space="preserve"> -SBS-</w:t>
      </w:r>
    </w:p>
    <w:p w14:paraId="647066C8" w14:textId="5EAAFD69" w:rsidR="00F52088" w:rsidRPr="00E11E17" w:rsidRDefault="00F52088" w:rsidP="00E11E17">
      <w:pPr>
        <w:pStyle w:val="ListParagraph"/>
        <w:numPr>
          <w:ilvl w:val="0"/>
          <w:numId w:val="37"/>
        </w:numPr>
        <w:jc w:val="both"/>
        <w:rPr>
          <w:rFonts w:ascii="Baskerville Old Face" w:hAnsi="Baskerville Old Face" w:cs="Times New Roman"/>
        </w:rPr>
      </w:pPr>
      <w:r w:rsidRPr="00E11E17">
        <w:rPr>
          <w:rFonts w:ascii="Baskerville Old Face" w:hAnsi="Baskerville Old Face" w:cs="Times New Roman"/>
        </w:rPr>
        <w:t>Secretaria Contra la Violencia Sexual, Explotación y Trata de Personas</w:t>
      </w:r>
      <w:r w:rsidR="00A73A9E" w:rsidRPr="00E11E17">
        <w:rPr>
          <w:rFonts w:ascii="Baskerville Old Face" w:hAnsi="Baskerville Old Face" w:cs="Times New Roman"/>
        </w:rPr>
        <w:t xml:space="preserve"> -SVET-</w:t>
      </w:r>
    </w:p>
    <w:p w14:paraId="788EBEC6" w14:textId="4A5638D1" w:rsidR="00F52088" w:rsidRPr="00E11E17" w:rsidRDefault="00F52088" w:rsidP="00E11E17">
      <w:pPr>
        <w:pStyle w:val="ListParagraph"/>
        <w:numPr>
          <w:ilvl w:val="0"/>
          <w:numId w:val="37"/>
        </w:numPr>
        <w:jc w:val="both"/>
        <w:rPr>
          <w:rFonts w:ascii="Baskerville Old Face" w:hAnsi="Baskerville Old Face" w:cs="Times New Roman"/>
        </w:rPr>
      </w:pPr>
      <w:r w:rsidRPr="00E11E17">
        <w:rPr>
          <w:rFonts w:ascii="Baskerville Old Face" w:hAnsi="Baskerville Old Face" w:cs="Times New Roman"/>
        </w:rPr>
        <w:t>Secretaria de Seguridad Alimentaria y Nutricional</w:t>
      </w:r>
      <w:r w:rsidR="00A73A9E" w:rsidRPr="00E11E17">
        <w:rPr>
          <w:rFonts w:ascii="Baskerville Old Face" w:hAnsi="Baskerville Old Face" w:cs="Times New Roman"/>
        </w:rPr>
        <w:t xml:space="preserve"> -SESAN-</w:t>
      </w:r>
    </w:p>
    <w:p w14:paraId="1C8787AF" w14:textId="08081256" w:rsidR="00F52088" w:rsidRPr="00E11E17" w:rsidRDefault="00F52088" w:rsidP="00E11E17">
      <w:pPr>
        <w:pStyle w:val="ListParagraph"/>
        <w:numPr>
          <w:ilvl w:val="0"/>
          <w:numId w:val="37"/>
        </w:numPr>
        <w:jc w:val="both"/>
        <w:rPr>
          <w:rFonts w:ascii="Baskerville Old Face" w:hAnsi="Baskerville Old Face" w:cs="Times New Roman"/>
        </w:rPr>
      </w:pPr>
      <w:r w:rsidRPr="00E11E17">
        <w:rPr>
          <w:rFonts w:ascii="Baskerville Old Face" w:hAnsi="Baskerville Old Face" w:cs="Times New Roman"/>
        </w:rPr>
        <w:t>Secretaria de Obras Sociales de la Esposa del Presidente</w:t>
      </w:r>
      <w:r w:rsidR="00A73A9E" w:rsidRPr="00E11E17">
        <w:rPr>
          <w:rFonts w:ascii="Baskerville Old Face" w:hAnsi="Baskerville Old Face" w:cs="Times New Roman"/>
        </w:rPr>
        <w:t xml:space="preserve"> -SOSEP-</w:t>
      </w:r>
    </w:p>
    <w:p w14:paraId="31585553" w14:textId="6DFBFDF8" w:rsidR="00F52088" w:rsidRPr="00E11E17" w:rsidRDefault="00F52088" w:rsidP="00E11E17">
      <w:pPr>
        <w:pStyle w:val="ListParagraph"/>
        <w:numPr>
          <w:ilvl w:val="0"/>
          <w:numId w:val="37"/>
        </w:numPr>
        <w:jc w:val="both"/>
        <w:rPr>
          <w:rFonts w:ascii="Baskerville Old Face" w:hAnsi="Baskerville Old Face" w:cs="Times New Roman"/>
        </w:rPr>
      </w:pPr>
      <w:r w:rsidRPr="00E11E17">
        <w:rPr>
          <w:rFonts w:ascii="Baskerville Old Face" w:hAnsi="Baskerville Old Face" w:cs="Times New Roman"/>
        </w:rPr>
        <w:t>Secretaria Presidencial de la Mujer</w:t>
      </w:r>
      <w:r w:rsidR="00A73A9E" w:rsidRPr="00E11E17">
        <w:rPr>
          <w:rFonts w:ascii="Baskerville Old Face" w:hAnsi="Baskerville Old Face" w:cs="Times New Roman"/>
        </w:rPr>
        <w:t xml:space="preserve"> </w:t>
      </w:r>
      <w:r w:rsidR="00E40B2F" w:rsidRPr="00E11E17">
        <w:rPr>
          <w:rFonts w:ascii="Baskerville Old Face" w:hAnsi="Baskerville Old Face" w:cs="Times New Roman"/>
        </w:rPr>
        <w:t>-SEPREM-</w:t>
      </w:r>
    </w:p>
    <w:p w14:paraId="1EACC4DF" w14:textId="4E7C942A" w:rsidR="00F52088" w:rsidRPr="00E11E17" w:rsidRDefault="00F52088" w:rsidP="00E11E17">
      <w:pPr>
        <w:pStyle w:val="ListParagraph"/>
        <w:numPr>
          <w:ilvl w:val="0"/>
          <w:numId w:val="37"/>
        </w:numPr>
        <w:jc w:val="both"/>
        <w:rPr>
          <w:rFonts w:ascii="Baskerville Old Face" w:hAnsi="Baskerville Old Face" w:cs="Times New Roman"/>
        </w:rPr>
      </w:pPr>
      <w:r w:rsidRPr="00E11E17">
        <w:rPr>
          <w:rFonts w:ascii="Baskerville Old Face" w:hAnsi="Baskerville Old Face" w:cs="Times New Roman"/>
        </w:rPr>
        <w:t>Universidad de San Carlos de Guatemala</w:t>
      </w:r>
      <w:r w:rsidR="00E40B2F" w:rsidRPr="00E11E17">
        <w:rPr>
          <w:rFonts w:ascii="Baskerville Old Face" w:hAnsi="Baskerville Old Face" w:cs="Times New Roman"/>
        </w:rPr>
        <w:t xml:space="preserve"> -USAC-</w:t>
      </w:r>
    </w:p>
    <w:p w14:paraId="1C4CF3F7" w14:textId="77777777" w:rsidR="00CB4399" w:rsidRPr="00E11E17" w:rsidRDefault="00CB4399" w:rsidP="00CB4399">
      <w:pPr>
        <w:pStyle w:val="ListParagraph"/>
        <w:rPr>
          <w:rFonts w:ascii="Baskerville Old Face" w:hAnsi="Baskerville Old Face" w:cs="Times New Roman"/>
        </w:rPr>
      </w:pPr>
    </w:p>
    <w:p w14:paraId="1F3BAC9F" w14:textId="2004C334" w:rsidR="00A24197" w:rsidRPr="00E11E17" w:rsidRDefault="00A24197" w:rsidP="00A24197">
      <w:pPr>
        <w:jc w:val="both"/>
        <w:rPr>
          <w:rFonts w:ascii="Baskerville Old Face" w:hAnsi="Baskerville Old Face" w:cs="Times New Roman"/>
        </w:rPr>
      </w:pPr>
      <w:r w:rsidRPr="00E11E17">
        <w:rPr>
          <w:rFonts w:ascii="Baskerville Old Face" w:hAnsi="Baskerville Old Face" w:cs="Times New Roman"/>
        </w:rPr>
        <w:t xml:space="preserve">A </w:t>
      </w:r>
      <w:r w:rsidR="00512FFF" w:rsidRPr="00E11E17">
        <w:rPr>
          <w:rFonts w:ascii="Baskerville Old Face" w:hAnsi="Baskerville Old Face" w:cs="Times New Roman"/>
        </w:rPr>
        <w:t>continuación,</w:t>
      </w:r>
      <w:r w:rsidRPr="00E11E17">
        <w:rPr>
          <w:rFonts w:ascii="Baskerville Old Face" w:hAnsi="Baskerville Old Face" w:cs="Times New Roman"/>
        </w:rPr>
        <w:t xml:space="preserve"> se presentan los aportes de las instituciones antes mencionadas del Estado de Guatemala, sobre la base de las cuestiones esbozadas en los documentos que se adjuntaron a la carta de la Experta independiente.</w:t>
      </w:r>
    </w:p>
    <w:p w14:paraId="1557BA99" w14:textId="06A7D700" w:rsidR="00780807" w:rsidRPr="000E33D8" w:rsidRDefault="00780807" w:rsidP="00A24197">
      <w:pPr>
        <w:pStyle w:val="Heading1"/>
        <w:jc w:val="center"/>
        <w:rPr>
          <w:rFonts w:ascii="Times New Roman" w:hAnsi="Times New Roman" w:cs="Times New Roman"/>
          <w:b/>
          <w:color w:val="0070C0"/>
          <w:sz w:val="24"/>
          <w:szCs w:val="24"/>
        </w:rPr>
      </w:pPr>
      <w:r w:rsidRPr="000E33D8">
        <w:rPr>
          <w:rFonts w:ascii="Times New Roman" w:hAnsi="Times New Roman" w:cs="Times New Roman"/>
          <w:b/>
          <w:color w:val="0070C0"/>
          <w:sz w:val="24"/>
          <w:szCs w:val="24"/>
        </w:rPr>
        <w:t>ANEXO I</w:t>
      </w:r>
    </w:p>
    <w:p w14:paraId="417A29F1" w14:textId="5A51C5A4" w:rsidR="00780807" w:rsidRPr="000E33D8" w:rsidRDefault="00780807" w:rsidP="00A24197">
      <w:pPr>
        <w:jc w:val="center"/>
        <w:rPr>
          <w:rFonts w:ascii="Times New Roman" w:hAnsi="Times New Roman" w:cs="Times New Roman"/>
          <w:b/>
          <w:bCs/>
        </w:rPr>
      </w:pPr>
      <w:r w:rsidRPr="000E33D8">
        <w:rPr>
          <w:rFonts w:ascii="Times New Roman" w:hAnsi="Times New Roman" w:cs="Times New Roman"/>
          <w:b/>
          <w:bCs/>
        </w:rPr>
        <w:t>Solicitud de presentaciones: Edadismo y discriminación por edad</w:t>
      </w:r>
    </w:p>
    <w:p w14:paraId="619E4616" w14:textId="77777777" w:rsidR="00780807" w:rsidRPr="000E33D8" w:rsidRDefault="00780807" w:rsidP="00780807">
      <w:pPr>
        <w:rPr>
          <w:rFonts w:ascii="Times New Roman" w:hAnsi="Times New Roman" w:cs="Times New Roman"/>
        </w:rPr>
      </w:pPr>
    </w:p>
    <w:p w14:paraId="057F8F6F" w14:textId="0F37471D" w:rsidR="00780807" w:rsidRPr="000E33D8" w:rsidRDefault="00780807" w:rsidP="00780807">
      <w:pPr>
        <w:rPr>
          <w:rFonts w:ascii="Times New Roman" w:hAnsi="Times New Roman" w:cs="Times New Roman"/>
          <w:b/>
        </w:rPr>
      </w:pPr>
      <w:r w:rsidRPr="000E33D8">
        <w:rPr>
          <w:rFonts w:ascii="Times New Roman" w:hAnsi="Times New Roman" w:cs="Times New Roman"/>
          <w:b/>
        </w:rPr>
        <w:t>Formas y manifestaciones de edadismo y discriminación por edad</w:t>
      </w:r>
    </w:p>
    <w:p w14:paraId="56AFE3AC" w14:textId="3615D750" w:rsidR="00780807" w:rsidRPr="00E11E17" w:rsidRDefault="00780807" w:rsidP="00E11E17">
      <w:pPr>
        <w:pStyle w:val="Heading2"/>
        <w:ind w:left="284" w:hanging="284"/>
        <w:jc w:val="both"/>
        <w:rPr>
          <w:rFonts w:ascii="Baskerville Old Face" w:hAnsi="Baskerville Old Face"/>
          <w:sz w:val="24"/>
          <w:szCs w:val="24"/>
        </w:rPr>
      </w:pPr>
      <w:r w:rsidRPr="00E11E17">
        <w:rPr>
          <w:rFonts w:ascii="Baskerville Old Face" w:hAnsi="Baskerville Old Face"/>
          <w:sz w:val="24"/>
          <w:szCs w:val="24"/>
        </w:rPr>
        <w:t xml:space="preserve">¿Qué formas adopta la discriminación por motivos de edad que afecta a las personas de edad y cuáles son las más frecuentes? Cuando se disponga de ellos, sírvase proporcionar ejemplos concretos y datos recabados, incluido </w:t>
      </w:r>
      <w:r w:rsidR="00E11E17" w:rsidRPr="00E11E17">
        <w:rPr>
          <w:rFonts w:ascii="Baskerville Old Face" w:hAnsi="Baskerville Old Face"/>
          <w:sz w:val="24"/>
          <w:szCs w:val="24"/>
        </w:rPr>
        <w:t xml:space="preserve">lo </w:t>
      </w:r>
      <w:r w:rsidRPr="00E11E17">
        <w:rPr>
          <w:rFonts w:ascii="Baskerville Old Face" w:hAnsi="Baskerville Old Face"/>
          <w:sz w:val="24"/>
          <w:szCs w:val="24"/>
        </w:rPr>
        <w:t>relacionado con el empleo, educación, protección social y servicios sanitarios, financieros y sociales.</w:t>
      </w:r>
    </w:p>
    <w:p w14:paraId="647B4FA8" w14:textId="334BCBF9" w:rsidR="0049333D" w:rsidRPr="000E33D8" w:rsidRDefault="0049333D" w:rsidP="00DB2619">
      <w:pPr>
        <w:rPr>
          <w:rFonts w:ascii="Times New Roman" w:hAnsi="Times New Roman" w:cs="Times New Roman"/>
          <w:b/>
          <w:i/>
        </w:rPr>
      </w:pPr>
    </w:p>
    <w:p w14:paraId="7333426F" w14:textId="25C5784A" w:rsidR="00F24284" w:rsidRDefault="00F24284" w:rsidP="00F24284">
      <w:pPr>
        <w:jc w:val="both"/>
        <w:rPr>
          <w:rFonts w:ascii="Baskerville Old Face" w:hAnsi="Baskerville Old Face" w:cs="Times New Roman"/>
          <w:iCs/>
        </w:rPr>
      </w:pPr>
      <w:r w:rsidRPr="00F24284">
        <w:rPr>
          <w:rFonts w:ascii="Baskerville Old Face" w:hAnsi="Baskerville Old Face" w:cs="Times New Roman"/>
          <w:iCs/>
        </w:rPr>
        <w:lastRenderedPageBreak/>
        <w:t>La discriminación por edad es la exclusión de las personas</w:t>
      </w:r>
      <w:r>
        <w:rPr>
          <w:rFonts w:ascii="Baskerville Old Face" w:hAnsi="Baskerville Old Face" w:cs="Times New Roman"/>
          <w:iCs/>
        </w:rPr>
        <w:t>,</w:t>
      </w:r>
      <w:r w:rsidRPr="00F24284">
        <w:rPr>
          <w:rFonts w:ascii="Baskerville Old Face" w:hAnsi="Baskerville Old Face" w:cs="Times New Roman"/>
          <w:iCs/>
        </w:rPr>
        <w:t xml:space="preserve"> siendo el único motivo exclusivo la edad. Por tanto, se refiere al hecho de marginar a una persona e incapacitarla por el mero hecho de tener una edad avanzada.</w:t>
      </w:r>
      <w:r>
        <w:rPr>
          <w:rFonts w:ascii="Baskerville Old Face" w:hAnsi="Baskerville Old Face" w:cs="Times New Roman"/>
          <w:iCs/>
        </w:rPr>
        <w:t xml:space="preserve"> </w:t>
      </w:r>
      <w:r w:rsidRPr="00F24284">
        <w:rPr>
          <w:rFonts w:ascii="Baskerville Old Face" w:hAnsi="Baskerville Old Face" w:cs="Times New Roman"/>
          <w:iCs/>
        </w:rPr>
        <w:t>También se perciben como acciones directas o indirectas por las cuales alguien es excluido, considerado diferente, ignorado o tratado como si no existiera, por su edad. Discriminar por edad implica prejuicios sin conocer a la persona, sin entender sus habilidades relativamente preservadas y sin c</w:t>
      </w:r>
      <w:r>
        <w:rPr>
          <w:rFonts w:ascii="Baskerville Old Face" w:hAnsi="Baskerville Old Face" w:cs="Times New Roman"/>
          <w:iCs/>
        </w:rPr>
        <w:t>onsiderar su historia de vida, p</w:t>
      </w:r>
      <w:r w:rsidRPr="00F24284">
        <w:rPr>
          <w:rFonts w:ascii="Baskerville Old Face" w:hAnsi="Baskerville Old Face" w:cs="Times New Roman"/>
          <w:iCs/>
        </w:rPr>
        <w:t>or lo que una principal característica son los estereotipos</w:t>
      </w:r>
      <w:r>
        <w:rPr>
          <w:rFonts w:ascii="Baskerville Old Face" w:hAnsi="Baskerville Old Face" w:cs="Times New Roman"/>
          <w:iCs/>
        </w:rPr>
        <w:t>.</w:t>
      </w:r>
      <w:r w:rsidRPr="00F24284">
        <w:rPr>
          <w:rFonts w:ascii="Baskerville Old Face" w:hAnsi="Baskerville Old Face" w:cs="Times New Roman"/>
          <w:iCs/>
        </w:rPr>
        <w:t xml:space="preserve"> Se trata de creer en un único modelo de persona mayor, de generalizar. </w:t>
      </w:r>
    </w:p>
    <w:p w14:paraId="4698E2A8" w14:textId="77777777" w:rsidR="00F24284" w:rsidRPr="00F24284" w:rsidRDefault="00F24284" w:rsidP="00F24284">
      <w:pPr>
        <w:jc w:val="both"/>
        <w:rPr>
          <w:rFonts w:ascii="Baskerville Old Face" w:hAnsi="Baskerville Old Face" w:cs="Times New Roman"/>
          <w:iCs/>
        </w:rPr>
      </w:pPr>
    </w:p>
    <w:p w14:paraId="24574328" w14:textId="4B7AE15C" w:rsidR="00CC37B8" w:rsidRPr="00D0284E" w:rsidRDefault="00CC37B8" w:rsidP="003B028A">
      <w:pPr>
        <w:jc w:val="both"/>
        <w:rPr>
          <w:rFonts w:ascii="Baskerville Old Face" w:eastAsia="Times New Roman" w:hAnsi="Baskerville Old Face" w:cs="Times New Roman"/>
          <w:lang w:eastAsia="es-GT"/>
        </w:rPr>
      </w:pPr>
      <w:r w:rsidRPr="00D0284E">
        <w:rPr>
          <w:rFonts w:ascii="Baskerville Old Face" w:eastAsia="Times New Roman" w:hAnsi="Baskerville Old Face" w:cs="Times New Roman"/>
          <w:lang w:eastAsia="es-GT"/>
        </w:rPr>
        <w:t>El Ministerio de Trabajo y Previsión Social, hace referencia a</w:t>
      </w:r>
      <w:r w:rsidR="00E11E17" w:rsidRPr="00D0284E">
        <w:rPr>
          <w:rFonts w:ascii="Baskerville Old Face" w:eastAsia="Times New Roman" w:hAnsi="Baskerville Old Face" w:cs="Times New Roman"/>
          <w:lang w:eastAsia="es-GT"/>
        </w:rPr>
        <w:t xml:space="preserve"> que </w:t>
      </w:r>
      <w:r w:rsidR="00F24284">
        <w:rPr>
          <w:rFonts w:ascii="Baskerville Old Face" w:eastAsia="Times New Roman" w:hAnsi="Baskerville Old Face" w:cs="Times New Roman"/>
          <w:lang w:eastAsia="es-GT"/>
        </w:rPr>
        <w:t xml:space="preserve">puede haber discriminación por </w:t>
      </w:r>
      <w:r w:rsidRPr="00D0284E">
        <w:rPr>
          <w:rFonts w:ascii="Baskerville Old Face" w:eastAsia="Times New Roman" w:hAnsi="Baskerville Old Face" w:cs="Times New Roman"/>
          <w:lang w:eastAsia="es-GT"/>
        </w:rPr>
        <w:t xml:space="preserve">la no contratación de personas de </w:t>
      </w:r>
      <w:r w:rsidR="00E11E17" w:rsidRPr="00D0284E">
        <w:rPr>
          <w:rFonts w:ascii="Baskerville Old Face" w:eastAsia="Times New Roman" w:hAnsi="Baskerville Old Face" w:cs="Times New Roman"/>
          <w:lang w:eastAsia="es-GT"/>
        </w:rPr>
        <w:t>edad</w:t>
      </w:r>
      <w:r w:rsidR="00F24284">
        <w:rPr>
          <w:rFonts w:ascii="Baskerville Old Face" w:eastAsia="Times New Roman" w:hAnsi="Baskerville Old Face" w:cs="Times New Roman"/>
          <w:lang w:eastAsia="es-GT"/>
        </w:rPr>
        <w:t>, lo cual</w:t>
      </w:r>
      <w:r w:rsidR="00E11E17" w:rsidRPr="00D0284E">
        <w:rPr>
          <w:rFonts w:ascii="Baskerville Old Face" w:eastAsia="Times New Roman" w:hAnsi="Baskerville Old Face" w:cs="Times New Roman"/>
          <w:lang w:eastAsia="es-GT"/>
        </w:rPr>
        <w:t xml:space="preserve"> </w:t>
      </w:r>
      <w:r w:rsidRPr="00D0284E">
        <w:rPr>
          <w:rFonts w:ascii="Baskerville Old Face" w:eastAsia="Times New Roman" w:hAnsi="Baskerville Old Face" w:cs="Times New Roman"/>
          <w:lang w:eastAsia="es-GT"/>
        </w:rPr>
        <w:t>se debe principalmente a la desinformación existente,</w:t>
      </w:r>
      <w:r w:rsidR="00E11E17" w:rsidRPr="00D0284E">
        <w:rPr>
          <w:rFonts w:ascii="Baskerville Old Face" w:eastAsia="Times New Roman" w:hAnsi="Baskerville Old Face" w:cs="Times New Roman"/>
          <w:lang w:eastAsia="es-GT"/>
        </w:rPr>
        <w:t xml:space="preserve"> pues</w:t>
      </w:r>
      <w:r w:rsidRPr="00D0284E">
        <w:rPr>
          <w:rFonts w:ascii="Baskerville Old Face" w:eastAsia="Times New Roman" w:hAnsi="Baskerville Old Face" w:cs="Times New Roman"/>
          <w:lang w:eastAsia="es-GT"/>
        </w:rPr>
        <w:t xml:space="preserve"> se cree equivocadamente que </w:t>
      </w:r>
      <w:r w:rsidR="00E11E17" w:rsidRPr="00D0284E">
        <w:rPr>
          <w:rFonts w:ascii="Baskerville Old Face" w:eastAsia="Times New Roman" w:hAnsi="Baskerville Old Face" w:cs="Times New Roman"/>
          <w:lang w:eastAsia="es-GT"/>
        </w:rPr>
        <w:t>el</w:t>
      </w:r>
      <w:r w:rsidRPr="00D0284E">
        <w:rPr>
          <w:rFonts w:ascii="Baskerville Old Face" w:eastAsia="Times New Roman" w:hAnsi="Baskerville Old Face" w:cs="Times New Roman"/>
          <w:lang w:eastAsia="es-GT"/>
        </w:rPr>
        <w:t xml:space="preserve"> rendimiento </w:t>
      </w:r>
      <w:r w:rsidR="00E11E17" w:rsidRPr="00D0284E">
        <w:rPr>
          <w:rFonts w:ascii="Baskerville Old Face" w:eastAsia="Times New Roman" w:hAnsi="Baskerville Old Face" w:cs="Times New Roman"/>
          <w:lang w:eastAsia="es-GT"/>
        </w:rPr>
        <w:t xml:space="preserve">de éstas </w:t>
      </w:r>
      <w:r w:rsidRPr="00D0284E">
        <w:rPr>
          <w:rFonts w:ascii="Baskerville Old Face" w:eastAsia="Times New Roman" w:hAnsi="Baskerville Old Face" w:cs="Times New Roman"/>
          <w:lang w:eastAsia="es-GT"/>
        </w:rPr>
        <w:t xml:space="preserve">es inferior al de las personas jóvenes, olvidando la importancia del conocimiento y </w:t>
      </w:r>
      <w:r w:rsidR="00E11E17" w:rsidRPr="00D0284E">
        <w:rPr>
          <w:rFonts w:ascii="Baskerville Old Face" w:eastAsia="Times New Roman" w:hAnsi="Baskerville Old Face" w:cs="Times New Roman"/>
          <w:lang w:eastAsia="es-GT"/>
        </w:rPr>
        <w:t xml:space="preserve">de la experiencia acumulados. </w:t>
      </w:r>
      <w:r w:rsidRPr="00D0284E">
        <w:rPr>
          <w:rFonts w:ascii="Baskerville Old Face" w:eastAsia="Times New Roman" w:hAnsi="Baskerville Old Face" w:cs="Times New Roman"/>
          <w:lang w:eastAsia="es-GT"/>
        </w:rPr>
        <w:t>Por ello</w:t>
      </w:r>
      <w:r w:rsidR="00E11E17" w:rsidRPr="00D0284E">
        <w:rPr>
          <w:rFonts w:ascii="Baskerville Old Face" w:eastAsia="Times New Roman" w:hAnsi="Baskerville Old Face" w:cs="Times New Roman"/>
          <w:lang w:eastAsia="es-GT"/>
        </w:rPr>
        <w:t xml:space="preserve">, </w:t>
      </w:r>
      <w:r w:rsidRPr="00D0284E">
        <w:rPr>
          <w:rFonts w:ascii="Baskerville Old Face" w:eastAsia="Times New Roman" w:hAnsi="Baskerville Old Face" w:cs="Times New Roman"/>
          <w:lang w:eastAsia="es-GT"/>
        </w:rPr>
        <w:t>la sensibilización de los empresarios ante el envejecimiento, es de mucha importancia para luchar contra la discriminación por motivos de edad, poniendo de relieve las ventajas que tiene</w:t>
      </w:r>
      <w:r w:rsidR="00E11E17" w:rsidRPr="00D0284E">
        <w:rPr>
          <w:rFonts w:ascii="Baskerville Old Face" w:eastAsia="Times New Roman" w:hAnsi="Baskerville Old Face" w:cs="Times New Roman"/>
          <w:lang w:eastAsia="es-GT"/>
        </w:rPr>
        <w:t>n</w:t>
      </w:r>
      <w:r w:rsidRPr="00D0284E">
        <w:rPr>
          <w:rFonts w:ascii="Baskerville Old Face" w:eastAsia="Times New Roman" w:hAnsi="Baskerville Old Face" w:cs="Times New Roman"/>
          <w:lang w:eastAsia="es-GT"/>
        </w:rPr>
        <w:t xml:space="preserve">, tanto para los trabajadores como las empresas, </w:t>
      </w:r>
      <w:r w:rsidR="00E11E17" w:rsidRPr="00D0284E">
        <w:rPr>
          <w:rFonts w:ascii="Baskerville Old Face" w:eastAsia="Times New Roman" w:hAnsi="Baskerville Old Face" w:cs="Times New Roman"/>
          <w:lang w:eastAsia="es-GT"/>
        </w:rPr>
        <w:t xml:space="preserve">con </w:t>
      </w:r>
      <w:r w:rsidRPr="00D0284E">
        <w:rPr>
          <w:rFonts w:ascii="Baskerville Old Face" w:eastAsia="Times New Roman" w:hAnsi="Baskerville Old Face" w:cs="Times New Roman"/>
          <w:lang w:eastAsia="es-GT"/>
        </w:rPr>
        <w:t xml:space="preserve">una mano de </w:t>
      </w:r>
      <w:r w:rsidR="00E11E17" w:rsidRPr="00D0284E">
        <w:rPr>
          <w:rFonts w:ascii="Baskerville Old Face" w:eastAsia="Times New Roman" w:hAnsi="Baskerville Old Face" w:cs="Times New Roman"/>
          <w:lang w:eastAsia="es-GT"/>
        </w:rPr>
        <w:t>obra diversificada. Se observarían</w:t>
      </w:r>
      <w:r w:rsidRPr="00D0284E">
        <w:rPr>
          <w:rFonts w:ascii="Baskerville Old Face" w:eastAsia="Times New Roman" w:hAnsi="Baskerville Old Face" w:cs="Times New Roman"/>
          <w:lang w:eastAsia="es-GT"/>
        </w:rPr>
        <w:t xml:space="preserve"> también resultados positivos si en los convenios colectivos de trabajo se incluyen inc</w:t>
      </w:r>
      <w:r w:rsidR="00E11E17" w:rsidRPr="00D0284E">
        <w:rPr>
          <w:rFonts w:ascii="Baskerville Old Face" w:eastAsia="Times New Roman" w:hAnsi="Baskerville Old Face" w:cs="Times New Roman"/>
          <w:lang w:eastAsia="es-GT"/>
        </w:rPr>
        <w:t xml:space="preserve">entivos a la contratación de </w:t>
      </w:r>
      <w:r w:rsidRPr="00D0284E">
        <w:rPr>
          <w:rFonts w:ascii="Baskerville Old Face" w:eastAsia="Times New Roman" w:hAnsi="Baskerville Old Face" w:cs="Times New Roman"/>
          <w:lang w:eastAsia="es-GT"/>
        </w:rPr>
        <w:t>empleados de edad.</w:t>
      </w:r>
    </w:p>
    <w:p w14:paraId="2CB97B4F" w14:textId="77777777" w:rsidR="00CC37B8" w:rsidRPr="00D0284E" w:rsidRDefault="00CC37B8" w:rsidP="003B028A">
      <w:pPr>
        <w:jc w:val="both"/>
        <w:rPr>
          <w:rFonts w:ascii="Baskerville Old Face" w:eastAsia="Times New Roman" w:hAnsi="Baskerville Old Face" w:cs="Times New Roman"/>
          <w:lang w:eastAsia="es-GT"/>
        </w:rPr>
      </w:pPr>
    </w:p>
    <w:p w14:paraId="2205B93C" w14:textId="77777777" w:rsidR="00171659" w:rsidRPr="00D0284E" w:rsidRDefault="00A2772C" w:rsidP="00A2772C">
      <w:pPr>
        <w:jc w:val="both"/>
        <w:rPr>
          <w:rFonts w:ascii="Baskerville Old Face" w:hAnsi="Baskerville Old Face" w:cs="Times New Roman"/>
          <w:iCs/>
          <w:color w:val="000000"/>
        </w:rPr>
      </w:pPr>
      <w:r w:rsidRPr="00D0284E">
        <w:rPr>
          <w:rFonts w:ascii="Baskerville Old Face" w:hAnsi="Baskerville Old Face" w:cs="Times New Roman"/>
          <w:iCs/>
          <w:color w:val="000000"/>
        </w:rPr>
        <w:t xml:space="preserve">Para el Ministerio de Agricultura, Ganadería y Alimentación -MAGA-, las formas que adopta la discriminación son múltiples y complejas; algunas de sus consecuencias frecuentes son la marginación y exclusión. La imagen negativa de la vejez asocia esta etapa con la enfermedad y genera que las personas </w:t>
      </w:r>
      <w:r w:rsidRPr="00D0284E">
        <w:rPr>
          <w:rFonts w:ascii="Baskerville Old Face" w:hAnsi="Baskerville Old Face" w:cs="Times New Roman"/>
          <w:iCs/>
          <w:color w:val="000000"/>
        </w:rPr>
        <w:lastRenderedPageBreak/>
        <w:t xml:space="preserve">mayores sean consideradas enfermas, carentes de autonomía, con dificultades para aprender, improductivas, aisladas socialmente e inflexibles.  Sin embargo, en lo que respecta a las actividades agropecuarias se tienen datos relevantes de la participación que tienen las personas que oscilan en el grupo etario entre </w:t>
      </w:r>
      <w:r w:rsidR="00171659" w:rsidRPr="00D0284E">
        <w:rPr>
          <w:rFonts w:ascii="Baskerville Old Face" w:hAnsi="Baskerville Old Face" w:cs="Times New Roman"/>
          <w:iCs/>
          <w:color w:val="000000"/>
        </w:rPr>
        <w:t xml:space="preserve">los </w:t>
      </w:r>
      <w:r w:rsidRPr="00D0284E">
        <w:rPr>
          <w:rFonts w:ascii="Baskerville Old Face" w:hAnsi="Baskerville Old Face" w:cs="Times New Roman"/>
          <w:iCs/>
          <w:color w:val="000000"/>
        </w:rPr>
        <w:t>45 a</w:t>
      </w:r>
      <w:r w:rsidR="00171659" w:rsidRPr="00D0284E">
        <w:rPr>
          <w:rFonts w:ascii="Baskerville Old Face" w:hAnsi="Baskerville Old Face" w:cs="Times New Roman"/>
          <w:iCs/>
          <w:color w:val="000000"/>
        </w:rPr>
        <w:t xml:space="preserve"> los</w:t>
      </w:r>
      <w:r w:rsidRPr="00D0284E">
        <w:rPr>
          <w:rFonts w:ascii="Baskerville Old Face" w:hAnsi="Baskerville Old Face" w:cs="Times New Roman"/>
          <w:iCs/>
          <w:color w:val="000000"/>
        </w:rPr>
        <w:t> 65 o más años</w:t>
      </w:r>
      <w:r w:rsidR="00171659" w:rsidRPr="00D0284E">
        <w:rPr>
          <w:rFonts w:ascii="Baskerville Old Face" w:hAnsi="Baskerville Old Face" w:cs="Times New Roman"/>
          <w:iCs/>
          <w:color w:val="000000"/>
        </w:rPr>
        <w:t xml:space="preserve"> de edad. </w:t>
      </w:r>
    </w:p>
    <w:p w14:paraId="2DDC76E8" w14:textId="77777777" w:rsidR="00171659" w:rsidRPr="00D0284E" w:rsidRDefault="00171659" w:rsidP="00A2772C">
      <w:pPr>
        <w:jc w:val="both"/>
        <w:rPr>
          <w:rFonts w:ascii="Baskerville Old Face" w:hAnsi="Baskerville Old Face" w:cs="Times New Roman"/>
          <w:iCs/>
          <w:color w:val="000000"/>
        </w:rPr>
      </w:pPr>
    </w:p>
    <w:p w14:paraId="1E25DF84" w14:textId="5A813DAE" w:rsidR="00A2772C" w:rsidRPr="005465C3" w:rsidRDefault="00171659" w:rsidP="00A2772C">
      <w:pPr>
        <w:jc w:val="both"/>
        <w:rPr>
          <w:rFonts w:ascii="Baskerville Old Face" w:hAnsi="Baskerville Old Face" w:cs="Times New Roman"/>
          <w:color w:val="000000"/>
        </w:rPr>
      </w:pPr>
      <w:r w:rsidRPr="00D0284E">
        <w:rPr>
          <w:rFonts w:ascii="Baskerville Old Face" w:hAnsi="Baskerville Old Face" w:cs="Times New Roman"/>
          <w:iCs/>
          <w:color w:val="000000"/>
        </w:rPr>
        <w:t>E</w:t>
      </w:r>
      <w:r w:rsidR="00A2772C" w:rsidRPr="00D0284E">
        <w:rPr>
          <w:rFonts w:ascii="Baskerville Old Face" w:hAnsi="Baskerville Old Face" w:cs="Times New Roman"/>
          <w:iCs/>
          <w:color w:val="000000"/>
        </w:rPr>
        <w:t xml:space="preserve">l </w:t>
      </w:r>
      <w:r w:rsidRPr="00D0284E">
        <w:rPr>
          <w:rFonts w:ascii="Baskerville Old Face" w:hAnsi="Baskerville Old Face" w:cs="Times New Roman"/>
          <w:iCs/>
          <w:color w:val="000000"/>
        </w:rPr>
        <w:t>IV Censo Nacional Agropecuario (</w:t>
      </w:r>
      <w:r w:rsidR="00A2772C" w:rsidRPr="00D0284E">
        <w:rPr>
          <w:rFonts w:ascii="Baskerville Old Face" w:hAnsi="Baskerville Old Face" w:cs="Times New Roman"/>
          <w:iCs/>
          <w:color w:val="000000"/>
        </w:rPr>
        <w:t>Activida</w:t>
      </w:r>
      <w:r w:rsidRPr="00D0284E">
        <w:rPr>
          <w:rFonts w:ascii="Baskerville Old Face" w:hAnsi="Baskerville Old Face" w:cs="Times New Roman"/>
          <w:iCs/>
          <w:color w:val="000000"/>
        </w:rPr>
        <w:t xml:space="preserve">des Agropecuarias de Traspatio, </w:t>
      </w:r>
      <w:r w:rsidR="00A2772C" w:rsidRPr="00D0284E">
        <w:rPr>
          <w:rFonts w:ascii="Baskerville Old Face" w:hAnsi="Baskerville Old Face" w:cs="Times New Roman"/>
          <w:iCs/>
          <w:color w:val="000000"/>
        </w:rPr>
        <w:t>Tomo V, del Instituto Nacional de Estadística</w:t>
      </w:r>
      <w:r w:rsidRPr="00D0284E">
        <w:rPr>
          <w:rFonts w:ascii="Baskerville Old Face" w:hAnsi="Baskerville Old Face" w:cs="Times New Roman"/>
          <w:iCs/>
          <w:color w:val="000000"/>
        </w:rPr>
        <w:t>)</w:t>
      </w:r>
      <w:r w:rsidR="00A2772C" w:rsidRPr="00D0284E">
        <w:rPr>
          <w:rFonts w:ascii="Baskerville Old Face" w:hAnsi="Baskerville Old Face" w:cs="Times New Roman"/>
          <w:iCs/>
          <w:color w:val="000000"/>
        </w:rPr>
        <w:t xml:space="preserve">, da cuenta de </w:t>
      </w:r>
      <w:r w:rsidR="00D0284E" w:rsidRPr="00D0284E">
        <w:rPr>
          <w:rFonts w:ascii="Baskerville Old Face" w:hAnsi="Baskerville Old Face" w:cs="Times New Roman"/>
          <w:iCs/>
          <w:color w:val="000000"/>
        </w:rPr>
        <w:t>la</w:t>
      </w:r>
      <w:r w:rsidR="00A2772C" w:rsidRPr="00D0284E">
        <w:rPr>
          <w:rFonts w:ascii="Baskerville Old Face" w:hAnsi="Baskerville Old Face" w:cs="Times New Roman"/>
          <w:iCs/>
          <w:color w:val="000000"/>
        </w:rPr>
        <w:t xml:space="preserve"> situación</w:t>
      </w:r>
      <w:r w:rsidR="00D0284E" w:rsidRPr="00D0284E">
        <w:rPr>
          <w:rFonts w:ascii="Baskerville Old Face" w:hAnsi="Baskerville Old Face" w:cs="Times New Roman"/>
          <w:iCs/>
          <w:color w:val="000000"/>
        </w:rPr>
        <w:t xml:space="preserve"> anteriormente descrita</w:t>
      </w:r>
      <w:r w:rsidRPr="00D0284E">
        <w:rPr>
          <w:rFonts w:ascii="Baskerville Old Face" w:hAnsi="Baskerville Old Face" w:cs="Times New Roman"/>
          <w:iCs/>
          <w:color w:val="000000"/>
        </w:rPr>
        <w:t>,</w:t>
      </w:r>
      <w:r w:rsidR="00A2772C" w:rsidRPr="00D0284E">
        <w:rPr>
          <w:rFonts w:ascii="Baskerville Old Face" w:hAnsi="Baskerville Old Face" w:cs="Times New Roman"/>
          <w:iCs/>
          <w:color w:val="000000"/>
        </w:rPr>
        <w:t xml:space="preserve"> destacando que</w:t>
      </w:r>
      <w:r w:rsidR="00A2772C" w:rsidRPr="00D0284E">
        <w:rPr>
          <w:rFonts w:ascii="Baskerville Old Face" w:hAnsi="Baskerville Old Face" w:cs="Times New Roman"/>
          <w:i/>
          <w:iCs/>
          <w:color w:val="000000"/>
        </w:rPr>
        <w:t xml:space="preserve"> </w:t>
      </w:r>
      <w:r w:rsidR="00A2772C" w:rsidRPr="005465C3">
        <w:rPr>
          <w:rFonts w:ascii="Baskerville Old Face" w:hAnsi="Baskerville Old Face" w:cs="Times New Roman"/>
          <w:color w:val="000000"/>
        </w:rPr>
        <w:t>“El desempeño que se observa por parte de las productoras y los productores agropecuarios de traspatio, considerando los grupos de edad definidos, muestra algunas situaciones que son objeto de análisis. En ese sentido, las mujeres tienen mayor participación que los hombres en las actividades de traspatio, principalmente en las edades comprendidas entre los 18 y 54 años, después su contribución va disminuyendo conforme aumentan la edad; por el contrario, los hombres manifiestan una tendencia de ir incorporándose a estas actividades en la medida en que también van aumentando su edad, en tanto, crece proporcionalmente su aporte en cada grupo con respecto al de las mujeres; esa comparación porcentual alcanza su mayor expresión en el grupo de los 65 años o más de edad”.</w:t>
      </w:r>
    </w:p>
    <w:p w14:paraId="4D9DA204" w14:textId="77777777" w:rsidR="00A2772C" w:rsidRPr="000E33D8" w:rsidRDefault="00A2772C" w:rsidP="003B028A">
      <w:pPr>
        <w:jc w:val="both"/>
        <w:rPr>
          <w:rFonts w:ascii="Times New Roman" w:eastAsia="Times New Roman" w:hAnsi="Times New Roman" w:cs="Times New Roman"/>
          <w:i/>
          <w:lang w:eastAsia="es-GT"/>
        </w:rPr>
      </w:pPr>
    </w:p>
    <w:p w14:paraId="743577D5" w14:textId="77777777" w:rsidR="00F24284" w:rsidRPr="00F24284" w:rsidRDefault="00F24284" w:rsidP="00F24284">
      <w:pPr>
        <w:jc w:val="both"/>
        <w:rPr>
          <w:rFonts w:ascii="Baskerville Old Face" w:hAnsi="Baskerville Old Face" w:cs="Times New Roman"/>
          <w:iCs/>
          <w:color w:val="000000"/>
        </w:rPr>
      </w:pPr>
      <w:r w:rsidRPr="00F24284">
        <w:rPr>
          <w:rFonts w:ascii="Baskerville Old Face" w:hAnsi="Baskerville Old Face" w:cs="Times New Roman"/>
          <w:iCs/>
          <w:color w:val="000000"/>
        </w:rPr>
        <w:t xml:space="preserve">La Secretaría de Obras Sociales de la Esposa del Presidente (SOSEP), agrega que las formas de discriminación que se observan, por cuestión de edad son: el acoso, maltrato psicológico, exclusión de oportunidades laborales, falta de atención digna en el sistema de salud. </w:t>
      </w:r>
    </w:p>
    <w:p w14:paraId="66E62E36" w14:textId="77777777" w:rsidR="00F24284" w:rsidRDefault="00F24284" w:rsidP="00D0284E">
      <w:pPr>
        <w:jc w:val="both"/>
        <w:rPr>
          <w:rFonts w:ascii="Baskerville Old Face" w:eastAsia="Times New Roman" w:hAnsi="Baskerville Old Face" w:cs="Times New Roman"/>
          <w:color w:val="000000"/>
          <w:lang w:eastAsia="es-GT"/>
        </w:rPr>
      </w:pPr>
    </w:p>
    <w:p w14:paraId="1C016AD9" w14:textId="13E5832E" w:rsidR="00D0284E" w:rsidRPr="00D0284E" w:rsidRDefault="000C27A2" w:rsidP="00D0284E">
      <w:pPr>
        <w:jc w:val="both"/>
        <w:rPr>
          <w:rFonts w:ascii="Baskerville Old Face" w:eastAsia="Times New Roman" w:hAnsi="Baskerville Old Face" w:cs="Times New Roman"/>
          <w:color w:val="000000"/>
          <w:lang w:eastAsia="es-GT"/>
        </w:rPr>
      </w:pPr>
      <w:r w:rsidRPr="00D0284E">
        <w:rPr>
          <w:rFonts w:ascii="Baskerville Old Face" w:eastAsia="Times New Roman" w:hAnsi="Baskerville Old Face" w:cs="Times New Roman"/>
          <w:color w:val="000000"/>
          <w:lang w:eastAsia="es-GT"/>
        </w:rPr>
        <w:lastRenderedPageBreak/>
        <w:t>Por otro lado,</w:t>
      </w:r>
      <w:r w:rsidR="009C38E5" w:rsidRPr="00D0284E">
        <w:rPr>
          <w:rFonts w:ascii="Baskerville Old Face" w:eastAsia="Times New Roman" w:hAnsi="Baskerville Old Face" w:cs="Times New Roman"/>
          <w:color w:val="000000"/>
          <w:lang w:eastAsia="es-GT"/>
        </w:rPr>
        <w:t xml:space="preserve"> el Instituto Guatemalteco de Seguridad Social, con fundamento en lo establecido en el Artículo 100 de la Constitución Política de la República de Guatemala, estipula que</w:t>
      </w:r>
      <w:r w:rsidR="00D0284E" w:rsidRPr="00D0284E">
        <w:rPr>
          <w:rFonts w:ascii="Baskerville Old Face" w:eastAsia="Times New Roman" w:hAnsi="Baskerville Old Face" w:cs="Times New Roman"/>
          <w:color w:val="000000"/>
          <w:lang w:eastAsia="es-GT"/>
        </w:rPr>
        <w:t xml:space="preserve"> toda persona que tiene derecho a los programas por pensión por Invalidez, Vejez y Sobrevivencia por parte de ese ente. </w:t>
      </w:r>
    </w:p>
    <w:p w14:paraId="60849A24" w14:textId="39979482" w:rsidR="009C38E5" w:rsidRPr="00D0284E" w:rsidRDefault="009C38E5" w:rsidP="009C38E5">
      <w:pPr>
        <w:jc w:val="both"/>
        <w:rPr>
          <w:rFonts w:ascii="Baskerville Old Face" w:eastAsia="Times New Roman" w:hAnsi="Baskerville Old Face" w:cs="Times New Roman"/>
          <w:color w:val="000000"/>
          <w:lang w:eastAsia="es-GT"/>
        </w:rPr>
      </w:pPr>
      <w:r w:rsidRPr="00D0284E">
        <w:rPr>
          <w:rFonts w:ascii="Baskerville Old Face" w:eastAsia="Times New Roman" w:hAnsi="Baskerville Old Face" w:cs="Times New Roman"/>
          <w:color w:val="000000"/>
          <w:lang w:eastAsia="es-GT"/>
        </w:rPr>
        <w:t xml:space="preserve"> </w:t>
      </w:r>
      <w:r w:rsidRPr="00D0284E">
        <w:rPr>
          <w:rFonts w:ascii="Baskerville Old Face" w:eastAsia="Times New Roman" w:hAnsi="Baskerville Old Face" w:cs="Times New Roman"/>
          <w:lang w:eastAsia="es-GT"/>
        </w:rPr>
        <w:br/>
      </w:r>
      <w:r w:rsidRPr="00D0284E">
        <w:rPr>
          <w:rFonts w:ascii="Baskerville Old Face" w:eastAsia="Times New Roman" w:hAnsi="Baskerville Old Face" w:cs="Times New Roman"/>
          <w:color w:val="000000"/>
          <w:lang w:eastAsia="es-GT"/>
        </w:rPr>
        <w:t>Asimismo, con base en el Artículo 27 de su Ley Orgánica</w:t>
      </w:r>
      <w:r w:rsidR="00D0284E" w:rsidRPr="00D0284E">
        <w:rPr>
          <w:rFonts w:ascii="Baskerville Old Face" w:eastAsia="Times New Roman" w:hAnsi="Baskerville Old Face" w:cs="Times New Roman"/>
          <w:color w:val="000000"/>
          <w:lang w:eastAsia="es-GT"/>
        </w:rPr>
        <w:t>,</w:t>
      </w:r>
      <w:r w:rsidRPr="00D0284E">
        <w:rPr>
          <w:rFonts w:ascii="Baskerville Old Face" w:eastAsia="Times New Roman" w:hAnsi="Baskerville Old Face" w:cs="Times New Roman"/>
          <w:color w:val="000000"/>
          <w:lang w:eastAsia="es-GT"/>
        </w:rPr>
        <w:t xml:space="preserve"> Decreto 295 del Congreso de la República, </w:t>
      </w:r>
      <w:r w:rsidR="00D0284E" w:rsidRPr="00D0284E">
        <w:rPr>
          <w:rFonts w:ascii="Baskerville Old Face" w:eastAsia="Times New Roman" w:hAnsi="Baskerville Old Face" w:cs="Times New Roman"/>
          <w:color w:val="000000"/>
          <w:lang w:eastAsia="es-GT"/>
        </w:rPr>
        <w:t xml:space="preserve">se </w:t>
      </w:r>
      <w:r w:rsidRPr="00D0284E">
        <w:rPr>
          <w:rFonts w:ascii="Baskerville Old Face" w:eastAsia="Times New Roman" w:hAnsi="Baskerville Old Face" w:cs="Times New Roman"/>
          <w:color w:val="000000"/>
          <w:lang w:eastAsia="es-GT"/>
        </w:rPr>
        <w:t>establece que el campo de aplicación del Seguro Social es para todos los habitantes de Guatemala que sean parte ac</w:t>
      </w:r>
      <w:r w:rsidR="00D0284E" w:rsidRPr="00D0284E">
        <w:rPr>
          <w:rFonts w:ascii="Baskerville Old Face" w:eastAsia="Times New Roman" w:hAnsi="Baskerville Old Face" w:cs="Times New Roman"/>
          <w:color w:val="000000"/>
          <w:lang w:eastAsia="es-GT"/>
        </w:rPr>
        <w:t>tiva del proceso de producción y que esté</w:t>
      </w:r>
      <w:r w:rsidRPr="00D0284E">
        <w:rPr>
          <w:rFonts w:ascii="Baskerville Old Face" w:eastAsia="Times New Roman" w:hAnsi="Baskerville Old Face" w:cs="Times New Roman"/>
          <w:color w:val="000000"/>
          <w:lang w:eastAsia="es-GT"/>
        </w:rPr>
        <w:t>n obligados a contribuir al sostenimiento del régimen de Seguridad Social</w:t>
      </w:r>
      <w:r w:rsidR="00D0284E">
        <w:rPr>
          <w:rFonts w:ascii="Baskerville Old Face" w:eastAsia="Times New Roman" w:hAnsi="Baskerville Old Face" w:cs="Times New Roman"/>
          <w:color w:val="000000"/>
          <w:lang w:eastAsia="es-GT"/>
        </w:rPr>
        <w:t>,</w:t>
      </w:r>
      <w:r w:rsidRPr="00D0284E">
        <w:rPr>
          <w:rFonts w:ascii="Baskerville Old Face" w:eastAsia="Times New Roman" w:hAnsi="Baskerville Old Face" w:cs="Times New Roman"/>
          <w:color w:val="000000"/>
          <w:lang w:eastAsia="es-GT"/>
        </w:rPr>
        <w:t xml:space="preserve"> y tienen derecho a recibir los beneficios para sí mismo</w:t>
      </w:r>
      <w:r w:rsidR="00D0284E">
        <w:rPr>
          <w:rFonts w:ascii="Baskerville Old Face" w:eastAsia="Times New Roman" w:hAnsi="Baskerville Old Face" w:cs="Times New Roman"/>
          <w:color w:val="000000"/>
          <w:lang w:eastAsia="es-GT"/>
        </w:rPr>
        <w:t>s</w:t>
      </w:r>
      <w:r w:rsidRPr="00D0284E">
        <w:rPr>
          <w:rFonts w:ascii="Baskerville Old Face" w:eastAsia="Times New Roman" w:hAnsi="Baskerville Old Face" w:cs="Times New Roman"/>
          <w:color w:val="000000"/>
          <w:lang w:eastAsia="es-GT"/>
        </w:rPr>
        <w:t xml:space="preserve"> o para sus familiares que dep</w:t>
      </w:r>
      <w:r w:rsidR="00C727B2">
        <w:rPr>
          <w:rFonts w:ascii="Baskerville Old Face" w:eastAsia="Times New Roman" w:hAnsi="Baskerville Old Face" w:cs="Times New Roman"/>
          <w:color w:val="000000"/>
          <w:lang w:eastAsia="es-GT"/>
        </w:rPr>
        <w:t>endan económicamente de ellos. P</w:t>
      </w:r>
      <w:r w:rsidRPr="00D0284E">
        <w:rPr>
          <w:rFonts w:ascii="Baskerville Old Face" w:eastAsia="Times New Roman" w:hAnsi="Baskerville Old Face" w:cs="Times New Roman"/>
          <w:color w:val="000000"/>
          <w:lang w:eastAsia="es-GT"/>
        </w:rPr>
        <w:t>or consiguiente, a las personas que en su oportunidad aportaron al régimen de Seguridad Social, y que llegaron a la edad avanzada cumplidos los requisitos de la normativa del Instituto, siguen recibiendo atención médica.</w:t>
      </w:r>
    </w:p>
    <w:p w14:paraId="09537141" w14:textId="77777777" w:rsidR="002D3E15" w:rsidRPr="000E33D8" w:rsidRDefault="002D3E15" w:rsidP="009C38E5">
      <w:pPr>
        <w:jc w:val="both"/>
        <w:rPr>
          <w:rFonts w:ascii="Times New Roman" w:eastAsia="Times New Roman" w:hAnsi="Times New Roman" w:cs="Times New Roman"/>
          <w:color w:val="000000"/>
          <w:lang w:eastAsia="es-GT"/>
        </w:rPr>
      </w:pPr>
    </w:p>
    <w:p w14:paraId="1358DA08" w14:textId="2F8EFA46" w:rsidR="0049333D" w:rsidRPr="00C727B2" w:rsidRDefault="00A2772C" w:rsidP="0049333D">
      <w:pPr>
        <w:jc w:val="both"/>
        <w:rPr>
          <w:rFonts w:ascii="Baskerville Old Face" w:hAnsi="Baskerville Old Face" w:cs="Times New Roman"/>
        </w:rPr>
      </w:pPr>
      <w:r w:rsidRPr="00C727B2">
        <w:rPr>
          <w:rFonts w:ascii="Baskerville Old Face" w:hAnsi="Baskerville Old Face" w:cs="Times New Roman"/>
        </w:rPr>
        <w:t>El Instituto Guatemalteco de Turismo</w:t>
      </w:r>
      <w:r w:rsidR="00C727B2" w:rsidRPr="00C727B2">
        <w:rPr>
          <w:rFonts w:ascii="Baskerville Old Face" w:hAnsi="Baskerville Old Face" w:cs="Times New Roman"/>
        </w:rPr>
        <w:t xml:space="preserve"> (INGUAT)</w:t>
      </w:r>
      <w:r w:rsidRPr="00C727B2">
        <w:rPr>
          <w:rFonts w:ascii="Baskerville Old Face" w:hAnsi="Baskerville Old Face" w:cs="Times New Roman"/>
        </w:rPr>
        <w:t xml:space="preserve">, también </w:t>
      </w:r>
      <w:r w:rsidR="00C727B2" w:rsidRPr="00C727B2">
        <w:rPr>
          <w:rFonts w:ascii="Baskerville Old Face" w:hAnsi="Baskerville Old Face" w:cs="Times New Roman"/>
        </w:rPr>
        <w:t>señala</w:t>
      </w:r>
      <w:r w:rsidRPr="00C727B2">
        <w:rPr>
          <w:rFonts w:ascii="Baskerville Old Face" w:hAnsi="Baskerville Old Face" w:cs="Times New Roman"/>
        </w:rPr>
        <w:t xml:space="preserve"> que l</w:t>
      </w:r>
      <w:r w:rsidR="0049333D" w:rsidRPr="00C727B2">
        <w:rPr>
          <w:rFonts w:ascii="Baskerville Old Face" w:hAnsi="Baskerville Old Face" w:cs="Times New Roman"/>
        </w:rPr>
        <w:t>a discriminación por motivos de edad generalmente se asocia a la fragilidad, dependencia o deterioro físico y mental, sin embargo, dentro de la institución la ed</w:t>
      </w:r>
      <w:r w:rsidR="00C727B2" w:rsidRPr="00C727B2">
        <w:rPr>
          <w:rFonts w:ascii="Baskerville Old Face" w:hAnsi="Baskerville Old Face" w:cs="Times New Roman"/>
        </w:rPr>
        <w:t>ad no es un factor en relación a</w:t>
      </w:r>
      <w:r w:rsidR="0049333D" w:rsidRPr="00C727B2">
        <w:rPr>
          <w:rFonts w:ascii="Baskerville Old Face" w:hAnsi="Baskerville Old Face" w:cs="Times New Roman"/>
        </w:rPr>
        <w:t xml:space="preserve"> las contrataciones ni la toma de decisiones. En </w:t>
      </w:r>
      <w:r w:rsidRPr="00C727B2">
        <w:rPr>
          <w:rFonts w:ascii="Baskerville Old Face" w:hAnsi="Baskerville Old Face" w:cs="Times New Roman"/>
        </w:rPr>
        <w:t>el INGUAT</w:t>
      </w:r>
      <w:r w:rsidR="00C727B2" w:rsidRPr="00C727B2">
        <w:rPr>
          <w:rFonts w:ascii="Baskerville Old Face" w:hAnsi="Baskerville Old Face" w:cs="Times New Roman"/>
        </w:rPr>
        <w:t>,</w:t>
      </w:r>
      <w:r w:rsidR="0049333D" w:rsidRPr="00C727B2">
        <w:rPr>
          <w:rFonts w:ascii="Baskerville Old Face" w:hAnsi="Baskerville Old Face" w:cs="Times New Roman"/>
        </w:rPr>
        <w:t xml:space="preserve"> 59 trabajadores de diferentes renglones son mayores de 60 años y </w:t>
      </w:r>
      <w:r w:rsidR="00C727B2" w:rsidRPr="00C727B2">
        <w:rPr>
          <w:rFonts w:ascii="Baskerville Old Face" w:hAnsi="Baskerville Old Face" w:cs="Times New Roman"/>
        </w:rPr>
        <w:t>a partir del inicio de</w:t>
      </w:r>
      <w:r w:rsidR="0049333D" w:rsidRPr="00C727B2">
        <w:rPr>
          <w:rFonts w:ascii="Baskerville Old Face" w:hAnsi="Baskerville Old Face" w:cs="Times New Roman"/>
        </w:rPr>
        <w:t xml:space="preserve"> la pandemia se tomó la modalidad de trabajo en casa, con el p</w:t>
      </w:r>
      <w:r w:rsidR="00C727B2" w:rsidRPr="00C727B2">
        <w:rPr>
          <w:rFonts w:ascii="Baskerville Old Face" w:hAnsi="Baskerville Old Face" w:cs="Times New Roman"/>
        </w:rPr>
        <w:t>ropósito de cuidar de su salud, y e</w:t>
      </w:r>
      <w:r w:rsidR="0049333D" w:rsidRPr="00C727B2">
        <w:rPr>
          <w:rFonts w:ascii="Baskerville Old Face" w:hAnsi="Baskerville Old Face" w:cs="Times New Roman"/>
        </w:rPr>
        <w:t>n el</w:t>
      </w:r>
      <w:r w:rsidR="00C727B2" w:rsidRPr="00C727B2">
        <w:rPr>
          <w:rFonts w:ascii="Baskerville Old Face" w:hAnsi="Baskerville Old Face" w:cs="Times New Roman"/>
        </w:rPr>
        <w:t xml:space="preserve"> transcurso del</w:t>
      </w:r>
      <w:r w:rsidR="0049333D" w:rsidRPr="00C727B2">
        <w:rPr>
          <w:rFonts w:ascii="Baskerville Old Face" w:hAnsi="Baskerville Old Face" w:cs="Times New Roman"/>
        </w:rPr>
        <w:t xml:space="preserve"> </w:t>
      </w:r>
      <w:r w:rsidR="00C727B2" w:rsidRPr="00C727B2">
        <w:rPr>
          <w:rFonts w:ascii="Baskerville Old Face" w:hAnsi="Baskerville Old Face" w:cs="Times New Roman"/>
        </w:rPr>
        <w:t>año 2021,</w:t>
      </w:r>
      <w:r w:rsidR="0049333D" w:rsidRPr="00C727B2">
        <w:rPr>
          <w:rFonts w:ascii="Baskerville Old Face" w:hAnsi="Baskerville Old Face" w:cs="Times New Roman"/>
        </w:rPr>
        <w:t xml:space="preserve"> muchas de estas personas </w:t>
      </w:r>
      <w:r w:rsidR="00C727B2" w:rsidRPr="00C727B2">
        <w:rPr>
          <w:rFonts w:ascii="Baskerville Old Face" w:hAnsi="Baskerville Old Face" w:cs="Times New Roman"/>
        </w:rPr>
        <w:t xml:space="preserve">han </w:t>
      </w:r>
      <w:r w:rsidR="0049333D" w:rsidRPr="00C727B2">
        <w:rPr>
          <w:rFonts w:ascii="Baskerville Old Face" w:hAnsi="Baskerville Old Face" w:cs="Times New Roman"/>
        </w:rPr>
        <w:t>retorna</w:t>
      </w:r>
      <w:r w:rsidR="00C727B2" w:rsidRPr="00C727B2">
        <w:rPr>
          <w:rFonts w:ascii="Baskerville Old Face" w:hAnsi="Baskerville Old Face" w:cs="Times New Roman"/>
        </w:rPr>
        <w:t>do</w:t>
      </w:r>
      <w:r w:rsidR="0049333D" w:rsidRPr="00C727B2">
        <w:rPr>
          <w:rFonts w:ascii="Baskerville Old Face" w:hAnsi="Baskerville Old Face" w:cs="Times New Roman"/>
        </w:rPr>
        <w:t xml:space="preserve"> a sus labores, bajo estrictas medidas y protocolos sanitarios.  </w:t>
      </w:r>
    </w:p>
    <w:p w14:paraId="52B119CE" w14:textId="77777777" w:rsidR="0049333D" w:rsidRPr="00C727B2" w:rsidRDefault="0049333D" w:rsidP="0049333D">
      <w:pPr>
        <w:jc w:val="both"/>
        <w:rPr>
          <w:rFonts w:ascii="Baskerville Old Face" w:hAnsi="Baskerville Old Face" w:cs="Times New Roman"/>
        </w:rPr>
      </w:pPr>
    </w:p>
    <w:p w14:paraId="6F37D6D0" w14:textId="77777777" w:rsidR="0049333D" w:rsidRPr="00C727B2" w:rsidRDefault="0049333D" w:rsidP="0049333D">
      <w:pPr>
        <w:jc w:val="both"/>
        <w:rPr>
          <w:rFonts w:ascii="Baskerville Old Face" w:hAnsi="Baskerville Old Face" w:cs="Times New Roman"/>
        </w:rPr>
      </w:pPr>
      <w:r w:rsidRPr="00C727B2">
        <w:rPr>
          <w:rFonts w:ascii="Baskerville Old Face" w:hAnsi="Baskerville Old Face" w:cs="Times New Roman"/>
        </w:rPr>
        <w:lastRenderedPageBreak/>
        <w:t>El Departamento de Recursos Humanos tiene dentro de sus procedimientos de contratación la inclusión de personas mayores o discapacitados, que brinden sus servicios de acuerdo a las competencias académicas y experiencia que pueda requerir la contratación.</w:t>
      </w:r>
    </w:p>
    <w:p w14:paraId="7EF4AFED" w14:textId="77777777" w:rsidR="0049333D" w:rsidRPr="000E33D8" w:rsidRDefault="0049333D" w:rsidP="009C38E5">
      <w:pPr>
        <w:jc w:val="both"/>
        <w:rPr>
          <w:rFonts w:ascii="Times New Roman" w:eastAsia="Times New Roman" w:hAnsi="Times New Roman" w:cs="Times New Roman"/>
          <w:color w:val="000000"/>
          <w:lang w:eastAsia="es-GT"/>
        </w:rPr>
      </w:pPr>
    </w:p>
    <w:p w14:paraId="684D4B8B" w14:textId="298E9E77" w:rsidR="00A2772C" w:rsidRPr="00157ECD" w:rsidRDefault="00A2772C" w:rsidP="00A2772C">
      <w:pPr>
        <w:jc w:val="both"/>
        <w:rPr>
          <w:rFonts w:ascii="Baskerville Old Face" w:eastAsia="Times New Roman" w:hAnsi="Baskerville Old Face" w:cs="Times New Roman"/>
          <w:lang w:eastAsia="es-GT"/>
        </w:rPr>
      </w:pPr>
      <w:r w:rsidRPr="00157ECD">
        <w:rPr>
          <w:rFonts w:ascii="Baskerville Old Face" w:eastAsia="Times New Roman" w:hAnsi="Baskerville Old Face" w:cs="Times New Roman"/>
          <w:lang w:eastAsia="es-GT"/>
        </w:rPr>
        <w:t xml:space="preserve">La Universidad de San Carlos de Guatemala </w:t>
      </w:r>
      <w:r w:rsidR="00C727B2" w:rsidRPr="00157ECD">
        <w:rPr>
          <w:rFonts w:ascii="Baskerville Old Face" w:eastAsia="Times New Roman" w:hAnsi="Baskerville Old Face" w:cs="Times New Roman"/>
          <w:lang w:eastAsia="es-GT"/>
        </w:rPr>
        <w:t>(</w:t>
      </w:r>
      <w:r w:rsidRPr="00157ECD">
        <w:rPr>
          <w:rFonts w:ascii="Baskerville Old Face" w:eastAsia="Times New Roman" w:hAnsi="Baskerville Old Face" w:cs="Times New Roman"/>
          <w:lang w:eastAsia="es-GT"/>
        </w:rPr>
        <w:t>USAC</w:t>
      </w:r>
      <w:r w:rsidR="00C727B2" w:rsidRPr="00157ECD">
        <w:rPr>
          <w:rFonts w:ascii="Baskerville Old Face" w:eastAsia="Times New Roman" w:hAnsi="Baskerville Old Face" w:cs="Times New Roman"/>
          <w:lang w:eastAsia="es-GT"/>
        </w:rPr>
        <w:t>)</w:t>
      </w:r>
      <w:r w:rsidRPr="00157ECD">
        <w:rPr>
          <w:rFonts w:ascii="Baskerville Old Face" w:eastAsia="Times New Roman" w:hAnsi="Baskerville Old Face" w:cs="Times New Roman"/>
          <w:lang w:eastAsia="es-GT"/>
        </w:rPr>
        <w:t xml:space="preserve">, </w:t>
      </w:r>
      <w:r w:rsidR="00157ECD" w:rsidRPr="00157ECD">
        <w:rPr>
          <w:rFonts w:ascii="Baskerville Old Face" w:eastAsia="Times New Roman" w:hAnsi="Baskerville Old Face" w:cs="Times New Roman"/>
          <w:lang w:eastAsia="es-GT"/>
        </w:rPr>
        <w:t>indica</w:t>
      </w:r>
      <w:r w:rsidRPr="00157ECD">
        <w:rPr>
          <w:rFonts w:ascii="Baskerville Old Face" w:eastAsia="Times New Roman" w:hAnsi="Baskerville Old Face" w:cs="Times New Roman"/>
          <w:lang w:eastAsia="es-GT"/>
        </w:rPr>
        <w:t xml:space="preserve"> que en la cosmovisión maya se valora y se resalta el liderazgo y cuidado de los ancianos y ancianas, quienes son vistos como una fuente de sabiduría y experiencia. Son un grupo que tiene un lugar especial en las comunidades, recurriendo a ellos niños y adultos para pedir consejo y asesoría en la toma de decisiones, dinámica que fortalece los lazas familiares y a las comunidades.  </w:t>
      </w:r>
    </w:p>
    <w:p w14:paraId="0BB4F97C" w14:textId="77777777" w:rsidR="00A2772C" w:rsidRPr="000E33D8" w:rsidRDefault="00A2772C" w:rsidP="009C38E5">
      <w:pPr>
        <w:jc w:val="both"/>
        <w:rPr>
          <w:rFonts w:ascii="Times New Roman" w:hAnsi="Times New Roman" w:cs="Times New Roman"/>
          <w:b/>
          <w:i/>
          <w:iCs/>
          <w:color w:val="000000"/>
        </w:rPr>
      </w:pPr>
    </w:p>
    <w:p w14:paraId="364575F9" w14:textId="069F08D4" w:rsidR="001A668E" w:rsidRPr="00157ECD" w:rsidRDefault="00A2772C" w:rsidP="001A668E">
      <w:pPr>
        <w:jc w:val="both"/>
        <w:rPr>
          <w:rFonts w:ascii="Baskerville Old Face" w:eastAsia="Times New Roman" w:hAnsi="Baskerville Old Face" w:cs="Times New Roman"/>
          <w:iCs/>
          <w:lang w:eastAsia="es-GT"/>
        </w:rPr>
      </w:pPr>
      <w:r w:rsidRPr="00157ECD">
        <w:rPr>
          <w:rFonts w:ascii="Baskerville Old Face" w:eastAsia="Times New Roman" w:hAnsi="Baskerville Old Face" w:cs="Times New Roman"/>
          <w:iCs/>
          <w:color w:val="000000"/>
          <w:lang w:eastAsia="es-GT"/>
        </w:rPr>
        <w:t>De igual manera, el Mi</w:t>
      </w:r>
      <w:r w:rsidR="00157ECD" w:rsidRPr="00157ECD">
        <w:rPr>
          <w:rFonts w:ascii="Baskerville Old Face" w:eastAsia="Times New Roman" w:hAnsi="Baskerville Old Face" w:cs="Times New Roman"/>
          <w:iCs/>
          <w:color w:val="000000"/>
          <w:lang w:eastAsia="es-GT"/>
        </w:rPr>
        <w:t>nisterio de Cultura y Deportes (</w:t>
      </w:r>
      <w:r w:rsidRPr="00157ECD">
        <w:rPr>
          <w:rFonts w:ascii="Baskerville Old Face" w:eastAsia="Times New Roman" w:hAnsi="Baskerville Old Face" w:cs="Times New Roman"/>
          <w:iCs/>
          <w:color w:val="000000"/>
          <w:lang w:eastAsia="es-GT"/>
        </w:rPr>
        <w:t>MCD</w:t>
      </w:r>
      <w:r w:rsidR="00157ECD" w:rsidRPr="00157ECD">
        <w:rPr>
          <w:rFonts w:ascii="Baskerville Old Face" w:eastAsia="Times New Roman" w:hAnsi="Baskerville Old Face" w:cs="Times New Roman"/>
          <w:iCs/>
          <w:color w:val="000000"/>
          <w:lang w:eastAsia="es-GT"/>
        </w:rPr>
        <w:t xml:space="preserve">) </w:t>
      </w:r>
      <w:r w:rsidRPr="00157ECD">
        <w:rPr>
          <w:rFonts w:ascii="Baskerville Old Face" w:eastAsia="Times New Roman" w:hAnsi="Baskerville Old Face" w:cs="Times New Roman"/>
          <w:iCs/>
          <w:color w:val="000000"/>
          <w:lang w:eastAsia="es-GT"/>
        </w:rPr>
        <w:t xml:space="preserve">hace referencia a que </w:t>
      </w:r>
      <w:r w:rsidR="001A668E" w:rsidRPr="00157ECD">
        <w:rPr>
          <w:rFonts w:ascii="Baskerville Old Face" w:eastAsia="Times New Roman" w:hAnsi="Baskerville Old Face" w:cs="Times New Roman"/>
          <w:iCs/>
          <w:color w:val="000000"/>
          <w:lang w:eastAsia="es-GT"/>
        </w:rPr>
        <w:t xml:space="preserve">Guatemala es un país </w:t>
      </w:r>
      <w:r w:rsidR="00157ECD" w:rsidRPr="00157ECD">
        <w:rPr>
          <w:rFonts w:ascii="Baskerville Old Face" w:eastAsia="Times New Roman" w:hAnsi="Baskerville Old Face" w:cs="Times New Roman"/>
          <w:iCs/>
          <w:color w:val="000000"/>
          <w:lang w:eastAsia="es-GT"/>
        </w:rPr>
        <w:t>i</w:t>
      </w:r>
      <w:r w:rsidR="001A668E" w:rsidRPr="00157ECD">
        <w:rPr>
          <w:rFonts w:ascii="Baskerville Old Face" w:eastAsia="Times New Roman" w:hAnsi="Baskerville Old Face" w:cs="Times New Roman"/>
          <w:iCs/>
          <w:color w:val="000000"/>
          <w:lang w:eastAsia="es-GT"/>
        </w:rPr>
        <w:t>ntercultural</w:t>
      </w:r>
      <w:r w:rsidR="00157ECD" w:rsidRPr="00157ECD">
        <w:rPr>
          <w:rFonts w:ascii="Baskerville Old Face" w:eastAsia="Times New Roman" w:hAnsi="Baskerville Old Face" w:cs="Times New Roman"/>
          <w:iCs/>
          <w:color w:val="000000"/>
          <w:lang w:eastAsia="es-GT"/>
        </w:rPr>
        <w:t>,</w:t>
      </w:r>
      <w:r w:rsidR="001A668E" w:rsidRPr="00157ECD">
        <w:rPr>
          <w:rFonts w:ascii="Baskerville Old Face" w:eastAsia="Times New Roman" w:hAnsi="Baskerville Old Face" w:cs="Times New Roman"/>
          <w:iCs/>
          <w:color w:val="000000"/>
          <w:lang w:eastAsia="es-GT"/>
        </w:rPr>
        <w:t xml:space="preserve"> en el cual se manifiesta una marcada diferencia de trato a los adultos mayores según la cosmovisión de cada población. Las comunidades de los pueblos Mayas Garífunas y Xincas tienen un respeto a la autoridad del adulto mayor, como portadores de sabiduría, </w:t>
      </w:r>
      <w:r w:rsidR="00157ECD" w:rsidRPr="00157ECD">
        <w:rPr>
          <w:rFonts w:ascii="Baskerville Old Face" w:eastAsia="Times New Roman" w:hAnsi="Baskerville Old Face" w:cs="Times New Roman"/>
          <w:iCs/>
          <w:color w:val="000000"/>
          <w:lang w:eastAsia="es-GT"/>
        </w:rPr>
        <w:t xml:space="preserve">que </w:t>
      </w:r>
      <w:r w:rsidR="001A668E" w:rsidRPr="00157ECD">
        <w:rPr>
          <w:rFonts w:ascii="Baskerville Old Face" w:eastAsia="Times New Roman" w:hAnsi="Baskerville Old Face" w:cs="Times New Roman"/>
          <w:iCs/>
          <w:color w:val="000000"/>
          <w:lang w:eastAsia="es-GT"/>
        </w:rPr>
        <w:t>generalmente son una autoridad reconocida a nivel familiar y local. Generalmente</w:t>
      </w:r>
      <w:r w:rsidR="00157ECD" w:rsidRPr="00157ECD">
        <w:rPr>
          <w:rFonts w:ascii="Baskerville Old Face" w:eastAsia="Times New Roman" w:hAnsi="Baskerville Old Face" w:cs="Times New Roman"/>
          <w:iCs/>
          <w:color w:val="000000"/>
          <w:lang w:eastAsia="es-GT"/>
        </w:rPr>
        <w:t>,</w:t>
      </w:r>
      <w:r w:rsidR="001A668E" w:rsidRPr="00157ECD">
        <w:rPr>
          <w:rFonts w:ascii="Baskerville Old Face" w:eastAsia="Times New Roman" w:hAnsi="Baskerville Old Face" w:cs="Times New Roman"/>
          <w:iCs/>
          <w:color w:val="000000"/>
          <w:lang w:eastAsia="es-GT"/>
        </w:rPr>
        <w:t xml:space="preserve"> las comunidades organizadas velan por sus ancianos, reconocidos Tatas y Nanas de las nuevas generaciones. Por </w:t>
      </w:r>
      <w:r w:rsidRPr="00157ECD">
        <w:rPr>
          <w:rFonts w:ascii="Baskerville Old Face" w:eastAsia="Times New Roman" w:hAnsi="Baskerville Old Face" w:cs="Times New Roman"/>
          <w:iCs/>
          <w:color w:val="000000"/>
          <w:lang w:eastAsia="es-GT"/>
        </w:rPr>
        <w:t>ejemplo,</w:t>
      </w:r>
      <w:r w:rsidR="001A668E" w:rsidRPr="00157ECD">
        <w:rPr>
          <w:rFonts w:ascii="Baskerville Old Face" w:eastAsia="Times New Roman" w:hAnsi="Baskerville Old Face" w:cs="Times New Roman"/>
          <w:iCs/>
          <w:color w:val="000000"/>
          <w:lang w:eastAsia="es-GT"/>
        </w:rPr>
        <w:t xml:space="preserve"> en los mercados si una persona mayor vende algún producto</w:t>
      </w:r>
      <w:r w:rsidR="00157ECD" w:rsidRPr="00157ECD">
        <w:rPr>
          <w:rFonts w:ascii="Baskerville Old Face" w:eastAsia="Times New Roman" w:hAnsi="Baskerville Old Face" w:cs="Times New Roman"/>
          <w:iCs/>
          <w:color w:val="000000"/>
          <w:lang w:eastAsia="es-GT"/>
        </w:rPr>
        <w:t>,</w:t>
      </w:r>
      <w:r w:rsidR="001A668E" w:rsidRPr="00157ECD">
        <w:rPr>
          <w:rFonts w:ascii="Baskerville Old Face" w:eastAsia="Times New Roman" w:hAnsi="Baskerville Old Face" w:cs="Times New Roman"/>
          <w:iCs/>
          <w:color w:val="000000"/>
          <w:lang w:eastAsia="es-GT"/>
        </w:rPr>
        <w:t xml:space="preserve"> todos los inquilinos del mercado refieren a las personas con ellos, y les ayudan a vender sus productos. </w:t>
      </w:r>
    </w:p>
    <w:p w14:paraId="21CBA24F" w14:textId="77777777" w:rsidR="001A668E" w:rsidRPr="000E33D8" w:rsidRDefault="001A668E" w:rsidP="001A668E">
      <w:pPr>
        <w:rPr>
          <w:rFonts w:ascii="Times New Roman" w:eastAsia="Times New Roman" w:hAnsi="Times New Roman" w:cs="Times New Roman"/>
          <w:i/>
          <w:iCs/>
          <w:lang w:eastAsia="es-GT"/>
        </w:rPr>
      </w:pPr>
    </w:p>
    <w:p w14:paraId="1C1E63CE" w14:textId="0EEBAF6C" w:rsidR="001A668E" w:rsidRPr="00403B53" w:rsidRDefault="001A668E" w:rsidP="001A668E">
      <w:pPr>
        <w:jc w:val="both"/>
        <w:rPr>
          <w:rFonts w:ascii="Baskerville Old Face" w:eastAsia="Times New Roman" w:hAnsi="Baskerville Old Face" w:cs="Times New Roman"/>
          <w:iCs/>
          <w:color w:val="000000"/>
          <w:lang w:eastAsia="es-GT"/>
        </w:rPr>
      </w:pPr>
      <w:r w:rsidRPr="00403B53">
        <w:rPr>
          <w:rFonts w:ascii="Baskerville Old Face" w:eastAsia="Times New Roman" w:hAnsi="Baskerville Old Face" w:cs="Times New Roman"/>
          <w:iCs/>
          <w:color w:val="000000"/>
          <w:lang w:eastAsia="es-GT"/>
        </w:rPr>
        <w:lastRenderedPageBreak/>
        <w:t xml:space="preserve">Aun </w:t>
      </w:r>
      <w:r w:rsidR="00A2772C" w:rsidRPr="00403B53">
        <w:rPr>
          <w:rFonts w:ascii="Baskerville Old Face" w:eastAsia="Times New Roman" w:hAnsi="Baskerville Old Face" w:cs="Times New Roman"/>
          <w:iCs/>
          <w:color w:val="000000"/>
          <w:lang w:eastAsia="es-GT"/>
        </w:rPr>
        <w:t>así,</w:t>
      </w:r>
      <w:r w:rsidRPr="00403B53">
        <w:rPr>
          <w:rFonts w:ascii="Baskerville Old Face" w:eastAsia="Times New Roman" w:hAnsi="Baskerville Old Face" w:cs="Times New Roman"/>
          <w:iCs/>
          <w:color w:val="000000"/>
          <w:lang w:eastAsia="es-GT"/>
        </w:rPr>
        <w:t xml:space="preserve"> la dinámica macroeconómica coloca en desventaja a las personas de tercera edad por desactualización tecnológica, disminución de energía</w:t>
      </w:r>
      <w:r w:rsidR="00403B53" w:rsidRPr="00403B53">
        <w:rPr>
          <w:rFonts w:ascii="Baskerville Old Face" w:eastAsia="Times New Roman" w:hAnsi="Baskerville Old Face" w:cs="Times New Roman"/>
          <w:iCs/>
          <w:color w:val="000000"/>
          <w:lang w:eastAsia="es-GT"/>
        </w:rPr>
        <w:t>, etc</w:t>
      </w:r>
      <w:r w:rsidRPr="00403B53">
        <w:rPr>
          <w:rFonts w:ascii="Baskerville Old Face" w:eastAsia="Times New Roman" w:hAnsi="Baskerville Old Face" w:cs="Times New Roman"/>
          <w:iCs/>
          <w:color w:val="000000"/>
          <w:lang w:eastAsia="es-GT"/>
        </w:rPr>
        <w:t>. </w:t>
      </w:r>
      <w:r w:rsidR="00403B53" w:rsidRPr="00403B53">
        <w:rPr>
          <w:rFonts w:ascii="Baskerville Old Face" w:eastAsia="Times New Roman" w:hAnsi="Baskerville Old Face" w:cs="Times New Roman"/>
          <w:iCs/>
          <w:color w:val="000000"/>
          <w:lang w:eastAsia="es-GT"/>
        </w:rPr>
        <w:t>Es por ello que se considera necesario</w:t>
      </w:r>
      <w:r w:rsidRPr="00403B53">
        <w:rPr>
          <w:rFonts w:ascii="Baskerville Old Face" w:eastAsia="Times New Roman" w:hAnsi="Baskerville Old Face" w:cs="Times New Roman"/>
          <w:iCs/>
          <w:color w:val="000000"/>
          <w:lang w:eastAsia="es-GT"/>
        </w:rPr>
        <w:t xml:space="preserve"> comprender la importancia de combinar en equilibrio las habilidades etarias. </w:t>
      </w:r>
    </w:p>
    <w:p w14:paraId="50D95BC0" w14:textId="77777777" w:rsidR="001A668E" w:rsidRPr="000E33D8" w:rsidRDefault="001A668E" w:rsidP="001A668E">
      <w:pPr>
        <w:rPr>
          <w:rFonts w:ascii="Times New Roman" w:eastAsia="Times New Roman" w:hAnsi="Times New Roman" w:cs="Times New Roman"/>
          <w:i/>
          <w:iCs/>
          <w:lang w:eastAsia="es-GT"/>
        </w:rPr>
      </w:pPr>
    </w:p>
    <w:p w14:paraId="026DFD98" w14:textId="16126291" w:rsidR="001A668E" w:rsidRPr="00C26ACC" w:rsidRDefault="001A668E" w:rsidP="001A668E">
      <w:pPr>
        <w:jc w:val="both"/>
        <w:rPr>
          <w:rFonts w:ascii="Baskerville Old Face" w:eastAsia="Times New Roman" w:hAnsi="Baskerville Old Face" w:cs="Times New Roman"/>
          <w:iCs/>
          <w:lang w:eastAsia="es-GT"/>
        </w:rPr>
      </w:pPr>
      <w:r w:rsidRPr="00C26ACC">
        <w:rPr>
          <w:rFonts w:ascii="Baskerville Old Face" w:eastAsia="Times New Roman" w:hAnsi="Baskerville Old Face" w:cs="Times New Roman"/>
          <w:iCs/>
          <w:color w:val="000000"/>
          <w:lang w:eastAsia="es-GT"/>
        </w:rPr>
        <w:t>Desde el Ministerio de Cultura y Deporte</w:t>
      </w:r>
      <w:r w:rsidR="00C26ACC" w:rsidRPr="00C26ACC">
        <w:rPr>
          <w:rFonts w:ascii="Baskerville Old Face" w:eastAsia="Times New Roman" w:hAnsi="Baskerville Old Face" w:cs="Times New Roman"/>
          <w:iCs/>
          <w:color w:val="000000"/>
          <w:lang w:eastAsia="es-GT"/>
        </w:rPr>
        <w:t xml:space="preserve"> (MCD)</w:t>
      </w:r>
      <w:r w:rsidRPr="00C26ACC">
        <w:rPr>
          <w:rFonts w:ascii="Baskerville Old Face" w:eastAsia="Times New Roman" w:hAnsi="Baskerville Old Face" w:cs="Times New Roman"/>
          <w:iCs/>
          <w:color w:val="000000"/>
          <w:lang w:eastAsia="es-GT"/>
        </w:rPr>
        <w:t xml:space="preserve">, se ha abordado la recreación del adulto mayor como prioridad, colaborando con su salud integral </w:t>
      </w:r>
      <w:r w:rsidR="00C26ACC" w:rsidRPr="00C26ACC">
        <w:rPr>
          <w:rFonts w:ascii="Baskerville Old Face" w:eastAsia="Times New Roman" w:hAnsi="Baskerville Old Face" w:cs="Times New Roman"/>
          <w:iCs/>
          <w:color w:val="000000"/>
          <w:lang w:eastAsia="es-GT"/>
        </w:rPr>
        <w:t>y vida social, principalmente a través de la</w:t>
      </w:r>
      <w:r w:rsidRPr="00C26ACC">
        <w:rPr>
          <w:rFonts w:ascii="Baskerville Old Face" w:eastAsia="Times New Roman" w:hAnsi="Baskerville Old Face" w:cs="Times New Roman"/>
          <w:iCs/>
          <w:color w:val="000000"/>
          <w:lang w:eastAsia="es-GT"/>
        </w:rPr>
        <w:t xml:space="preserve"> Unidad de Género se reconoció Nanas Tejedoras y Deportista</w:t>
      </w:r>
      <w:r w:rsidR="00621006" w:rsidRPr="00C26ACC">
        <w:rPr>
          <w:rFonts w:ascii="Baskerville Old Face" w:eastAsia="Times New Roman" w:hAnsi="Baskerville Old Face" w:cs="Times New Roman"/>
          <w:iCs/>
          <w:color w:val="000000"/>
          <w:lang w:eastAsia="es-GT"/>
        </w:rPr>
        <w:t>s.</w:t>
      </w:r>
    </w:p>
    <w:p w14:paraId="50E92E42" w14:textId="77777777" w:rsidR="001A668E" w:rsidRPr="000E33D8" w:rsidRDefault="001A668E" w:rsidP="00A24197">
      <w:pPr>
        <w:jc w:val="center"/>
        <w:rPr>
          <w:rFonts w:ascii="Times New Roman" w:hAnsi="Times New Roman" w:cs="Times New Roman"/>
          <w:i/>
          <w:iCs/>
          <w:color w:val="000000"/>
        </w:rPr>
      </w:pPr>
      <w:r w:rsidRPr="000E33D8">
        <w:rPr>
          <w:rFonts w:ascii="Times New Roman" w:eastAsia="Times New Roman" w:hAnsi="Times New Roman" w:cs="Times New Roman"/>
          <w:lang w:eastAsia="es-GT"/>
        </w:rPr>
        <w:br/>
      </w:r>
      <w:r w:rsidRPr="000E33D8">
        <w:rPr>
          <w:rFonts w:ascii="Times New Roman" w:eastAsia="Times New Roman" w:hAnsi="Times New Roman" w:cs="Times New Roman"/>
          <w:noProof/>
          <w:bdr w:val="none" w:sz="0" w:space="0" w:color="auto" w:frame="1"/>
          <w:lang w:val="en-GB" w:eastAsia="en-GB"/>
        </w:rPr>
        <w:drawing>
          <wp:inline distT="0" distB="0" distL="0" distR="0" wp14:anchorId="49089634" wp14:editId="6B32ACAB">
            <wp:extent cx="3228975" cy="1814919"/>
            <wp:effectExtent l="0" t="0" r="0" b="0"/>
            <wp:docPr id="19" name="Imagen 19" descr="https://lh3.googleusercontent.com/lz3oIhYzF9b6ccz8ZZFqs4gWu8RYeOJNsHeSJXuyfix9XrW5KJGyCSi-bt_kGu5CuidxsMxoZmO7-2NEZV2B1wmW-dGiaw7NqBms_K56l0Y3wpU5LtEj7s8S0-XoHsROcBCgn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3.googleusercontent.com/lz3oIhYzF9b6ccz8ZZFqs4gWu8RYeOJNsHeSJXuyfix9XrW5KJGyCSi-bt_kGu5CuidxsMxoZmO7-2NEZV2B1wmW-dGiaw7NqBms_K56l0Y3wpU5LtEj7s8S0-XoHsROcBCgnUc"/>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75130" cy="1840861"/>
                    </a:xfrm>
                    <a:prstGeom prst="rect">
                      <a:avLst/>
                    </a:prstGeom>
                    <a:noFill/>
                    <a:ln>
                      <a:noFill/>
                    </a:ln>
                  </pic:spPr>
                </pic:pic>
              </a:graphicData>
            </a:graphic>
          </wp:inline>
        </w:drawing>
      </w:r>
    </w:p>
    <w:p w14:paraId="786945E3" w14:textId="77777777" w:rsidR="001A668E" w:rsidRPr="000E33D8" w:rsidRDefault="001A668E" w:rsidP="001A668E">
      <w:pPr>
        <w:jc w:val="both"/>
        <w:rPr>
          <w:rFonts w:ascii="Times New Roman" w:hAnsi="Times New Roman" w:cs="Times New Roman"/>
          <w:i/>
          <w:iCs/>
          <w:color w:val="000000"/>
          <w:sz w:val="22"/>
          <w:szCs w:val="22"/>
        </w:rPr>
      </w:pPr>
      <w:r w:rsidRPr="000E33D8">
        <w:rPr>
          <w:rFonts w:ascii="Times New Roman" w:hAnsi="Times New Roman" w:cs="Times New Roman"/>
          <w:i/>
          <w:iCs/>
          <w:color w:val="000000"/>
          <w:sz w:val="22"/>
          <w:szCs w:val="22"/>
        </w:rPr>
        <w:t>Nana Yoc: Tejedora del departamento de San Marcos, Guatemala. Cambio de la Rosa.</w:t>
      </w:r>
    </w:p>
    <w:p w14:paraId="2B13DBEF" w14:textId="60445DAA" w:rsidR="001A668E" w:rsidRPr="000E33D8" w:rsidRDefault="001A668E" w:rsidP="00A24197">
      <w:pPr>
        <w:jc w:val="center"/>
        <w:rPr>
          <w:rFonts w:ascii="Times New Roman" w:hAnsi="Times New Roman" w:cs="Times New Roman"/>
          <w:i/>
          <w:iCs/>
          <w:color w:val="000000"/>
        </w:rPr>
      </w:pPr>
      <w:r w:rsidRPr="000E33D8">
        <w:rPr>
          <w:rFonts w:ascii="Times New Roman" w:eastAsia="Times New Roman" w:hAnsi="Times New Roman" w:cs="Times New Roman"/>
          <w:lang w:eastAsia="es-GT"/>
        </w:rPr>
        <w:lastRenderedPageBreak/>
        <w:br/>
      </w:r>
      <w:r w:rsidRPr="000E33D8">
        <w:rPr>
          <w:rFonts w:ascii="Times New Roman" w:eastAsia="Times New Roman" w:hAnsi="Times New Roman" w:cs="Times New Roman"/>
          <w:noProof/>
          <w:bdr w:val="none" w:sz="0" w:space="0" w:color="auto" w:frame="1"/>
          <w:lang w:val="en-GB" w:eastAsia="en-GB"/>
        </w:rPr>
        <w:drawing>
          <wp:inline distT="0" distB="0" distL="0" distR="0" wp14:anchorId="1D678FFC" wp14:editId="3F7BE5D3">
            <wp:extent cx="2866390" cy="2239335"/>
            <wp:effectExtent l="0" t="0" r="0" b="8890"/>
            <wp:docPr id="17" name="Imagen 17" descr="https://lh4.googleusercontent.com/hNC5IZfCGURNpzxrOQJncYQ62Zf-5HB5XbeGMeMuCiyGtqn5a7Z4QMLmoApRIeut5L0rWo24GTrd1NzwniXWZSJZ6cOpMUUDIDtSTEGzZBpQbJX-RFPsJZafIUa3ylI6BhVul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h4.googleusercontent.com/hNC5IZfCGURNpzxrOQJncYQ62Zf-5HB5XbeGMeMuCiyGtqn5a7Z4QMLmoApRIeut5L0rWo24GTrd1NzwniXWZSJZ6cOpMUUDIDtSTEGzZBpQbJX-RFPsJZafIUa3ylI6BhVulK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1666" cy="2243457"/>
                    </a:xfrm>
                    <a:prstGeom prst="rect">
                      <a:avLst/>
                    </a:prstGeom>
                    <a:noFill/>
                    <a:ln>
                      <a:noFill/>
                    </a:ln>
                  </pic:spPr>
                </pic:pic>
              </a:graphicData>
            </a:graphic>
          </wp:inline>
        </w:drawing>
      </w:r>
      <w:r w:rsidRPr="000E33D8">
        <w:rPr>
          <w:rFonts w:ascii="Times New Roman" w:eastAsia="Times New Roman" w:hAnsi="Times New Roman" w:cs="Times New Roman"/>
          <w:lang w:eastAsia="es-GT"/>
        </w:rPr>
        <w:br/>
      </w:r>
      <w:r w:rsidRPr="000E33D8">
        <w:rPr>
          <w:rFonts w:ascii="Times New Roman" w:hAnsi="Times New Roman" w:cs="Times New Roman"/>
          <w:i/>
          <w:iCs/>
          <w:color w:val="000000"/>
          <w:sz w:val="22"/>
          <w:szCs w:val="22"/>
        </w:rPr>
        <w:t>Nana Nicolasa Cuxún, corredora en maratones internacionales, con su indumen</w:t>
      </w:r>
      <w:r w:rsidR="00A2772C" w:rsidRPr="000E33D8">
        <w:rPr>
          <w:rFonts w:ascii="Times New Roman" w:hAnsi="Times New Roman" w:cs="Times New Roman"/>
          <w:i/>
          <w:iCs/>
          <w:color w:val="000000"/>
          <w:sz w:val="22"/>
          <w:szCs w:val="22"/>
        </w:rPr>
        <w:t>t</w:t>
      </w:r>
      <w:r w:rsidRPr="000E33D8">
        <w:rPr>
          <w:rFonts w:ascii="Times New Roman" w:hAnsi="Times New Roman" w:cs="Times New Roman"/>
          <w:i/>
          <w:iCs/>
          <w:color w:val="000000"/>
          <w:sz w:val="22"/>
          <w:szCs w:val="22"/>
        </w:rPr>
        <w:t>aria Maya como atuendo. Cambio de la rosa otorgado por el MCD.</w:t>
      </w:r>
    </w:p>
    <w:p w14:paraId="26F57F26" w14:textId="77777777" w:rsidR="001A668E" w:rsidRPr="000E33D8" w:rsidRDefault="001A668E" w:rsidP="001A668E">
      <w:pPr>
        <w:jc w:val="both"/>
        <w:rPr>
          <w:rFonts w:ascii="Times New Roman" w:hAnsi="Times New Roman" w:cs="Times New Roman"/>
          <w:i/>
          <w:iCs/>
          <w:color w:val="000000"/>
        </w:rPr>
      </w:pPr>
    </w:p>
    <w:p w14:paraId="326D6DA3" w14:textId="77777777" w:rsidR="001A668E" w:rsidRPr="000E33D8" w:rsidRDefault="001A668E" w:rsidP="009C38E5">
      <w:pPr>
        <w:jc w:val="both"/>
        <w:rPr>
          <w:rFonts w:ascii="Times New Roman" w:hAnsi="Times New Roman" w:cs="Times New Roman"/>
          <w:b/>
          <w:i/>
          <w:iCs/>
          <w:color w:val="000000"/>
        </w:rPr>
      </w:pPr>
    </w:p>
    <w:p w14:paraId="0C5815DC" w14:textId="108307D0" w:rsidR="00780807" w:rsidRPr="00F24284" w:rsidRDefault="00780807" w:rsidP="00B86093">
      <w:pPr>
        <w:pStyle w:val="Heading2"/>
        <w:ind w:left="284" w:hanging="284"/>
        <w:jc w:val="both"/>
        <w:rPr>
          <w:rFonts w:ascii="Baskerville Old Face" w:hAnsi="Baskerville Old Face"/>
        </w:rPr>
      </w:pPr>
      <w:r w:rsidRPr="00F24284">
        <w:rPr>
          <w:rFonts w:ascii="Baskerville Old Face" w:hAnsi="Baskerville Old Face"/>
        </w:rPr>
        <w:t>Sírvase proporcionar información y datos recabados sobre las causas y manifestaciones del edadismo en la sociedad, tanto para las generaciones jóvenes como para las mayores, y sobre la manera en la que se traduce en prácticas discriminatorias.</w:t>
      </w:r>
    </w:p>
    <w:p w14:paraId="0ED9B72C" w14:textId="77777777" w:rsidR="00EE212B" w:rsidRPr="000E33D8" w:rsidRDefault="00EE212B" w:rsidP="005351F3">
      <w:pPr>
        <w:rPr>
          <w:rFonts w:ascii="Times New Roman" w:hAnsi="Times New Roman" w:cs="Times New Roman"/>
          <w:i/>
        </w:rPr>
      </w:pPr>
    </w:p>
    <w:p w14:paraId="283B64D0" w14:textId="53EA5C74" w:rsidR="005351F3" w:rsidRPr="005464D9" w:rsidRDefault="005351F3" w:rsidP="005464D9">
      <w:pPr>
        <w:jc w:val="both"/>
        <w:rPr>
          <w:rFonts w:ascii="Baskerville Old Face" w:eastAsia="Times New Roman" w:hAnsi="Baskerville Old Face" w:cs="Times New Roman"/>
          <w:lang w:eastAsia="es-GT"/>
        </w:rPr>
      </w:pPr>
      <w:r w:rsidRPr="005464D9">
        <w:rPr>
          <w:rFonts w:ascii="Baskerville Old Face" w:eastAsia="Times New Roman" w:hAnsi="Baskerville Old Face" w:cs="Times New Roman"/>
          <w:color w:val="000000"/>
          <w:lang w:eastAsia="es-GT"/>
        </w:rPr>
        <w:t>El Consejo Nacional de la Juventud actualmente se encuentra en proceso de actualización de la Política Nacional de Juventud, en función de esto</w:t>
      </w:r>
      <w:r w:rsidR="00F24284" w:rsidRPr="005464D9">
        <w:rPr>
          <w:rFonts w:ascii="Baskerville Old Face" w:eastAsia="Times New Roman" w:hAnsi="Baskerville Old Face" w:cs="Times New Roman"/>
          <w:color w:val="000000"/>
          <w:lang w:eastAsia="es-GT"/>
        </w:rPr>
        <w:t>,</w:t>
      </w:r>
      <w:r w:rsidRPr="005464D9">
        <w:rPr>
          <w:rFonts w:ascii="Baskerville Old Face" w:eastAsia="Times New Roman" w:hAnsi="Baskerville Old Face" w:cs="Times New Roman"/>
          <w:color w:val="000000"/>
          <w:lang w:eastAsia="es-GT"/>
        </w:rPr>
        <w:t xml:space="preserve"> convoc</w:t>
      </w:r>
      <w:r w:rsidR="00F24284" w:rsidRPr="005464D9">
        <w:rPr>
          <w:rFonts w:ascii="Baskerville Old Face" w:eastAsia="Times New Roman" w:hAnsi="Baskerville Old Face" w:cs="Times New Roman"/>
          <w:color w:val="000000"/>
          <w:lang w:eastAsia="es-GT"/>
        </w:rPr>
        <w:t>ó</w:t>
      </w:r>
      <w:r w:rsidRPr="005464D9">
        <w:rPr>
          <w:rFonts w:ascii="Baskerville Old Face" w:eastAsia="Times New Roman" w:hAnsi="Baskerville Old Face" w:cs="Times New Roman"/>
          <w:color w:val="000000"/>
          <w:lang w:eastAsia="es-GT"/>
        </w:rPr>
        <w:t xml:space="preserve"> a un panel de expertos</w:t>
      </w:r>
      <w:r w:rsidR="00F24284" w:rsidRPr="005464D9">
        <w:rPr>
          <w:rFonts w:ascii="Baskerville Old Face" w:eastAsia="Times New Roman" w:hAnsi="Baskerville Old Face" w:cs="Times New Roman"/>
          <w:color w:val="000000"/>
          <w:lang w:eastAsia="es-GT"/>
        </w:rPr>
        <w:t>,</w:t>
      </w:r>
      <w:r w:rsidRPr="005464D9">
        <w:rPr>
          <w:rFonts w:ascii="Baskerville Old Face" w:eastAsia="Times New Roman" w:hAnsi="Baskerville Old Face" w:cs="Times New Roman"/>
          <w:color w:val="000000"/>
          <w:lang w:eastAsia="es-GT"/>
        </w:rPr>
        <w:t xml:space="preserve"> </w:t>
      </w:r>
      <w:r w:rsidR="00EE212B" w:rsidRPr="005464D9">
        <w:rPr>
          <w:rFonts w:ascii="Baskerville Old Face" w:eastAsia="Times New Roman" w:hAnsi="Baskerville Old Face" w:cs="Times New Roman"/>
          <w:color w:val="000000"/>
          <w:lang w:eastAsia="es-GT"/>
        </w:rPr>
        <w:t>quienes,</w:t>
      </w:r>
      <w:r w:rsidRPr="005464D9">
        <w:rPr>
          <w:rFonts w:ascii="Baskerville Old Face" w:eastAsia="Times New Roman" w:hAnsi="Baskerville Old Face" w:cs="Times New Roman"/>
          <w:color w:val="000000"/>
          <w:lang w:eastAsia="es-GT"/>
        </w:rPr>
        <w:t xml:space="preserve"> a través de la </w:t>
      </w:r>
      <w:r w:rsidRPr="005464D9">
        <w:rPr>
          <w:rFonts w:ascii="Baskerville Old Face" w:eastAsia="Times New Roman" w:hAnsi="Baskerville Old Face" w:cs="Times New Roman"/>
          <w:color w:val="000000"/>
          <w:lang w:eastAsia="es-GT"/>
        </w:rPr>
        <w:lastRenderedPageBreak/>
        <w:t>metodología del árbol de problemas, identificaron causas directas e indirectas de la problemática juvenil entre las cuales destaca:</w:t>
      </w:r>
    </w:p>
    <w:p w14:paraId="0997573B" w14:textId="4A937B20" w:rsidR="005351F3" w:rsidRPr="005464D9" w:rsidRDefault="005351F3" w:rsidP="005464D9">
      <w:pPr>
        <w:jc w:val="both"/>
        <w:rPr>
          <w:rFonts w:ascii="Baskerville Old Face" w:eastAsia="Times New Roman" w:hAnsi="Baskerville Old Face" w:cs="Times New Roman"/>
          <w:lang w:eastAsia="es-GT"/>
        </w:rPr>
      </w:pPr>
    </w:p>
    <w:p w14:paraId="0DFA39D8" w14:textId="6A3F3CCE" w:rsidR="005351F3" w:rsidRPr="005464D9" w:rsidRDefault="005351F3" w:rsidP="005464D9">
      <w:pPr>
        <w:numPr>
          <w:ilvl w:val="0"/>
          <w:numId w:val="8"/>
        </w:numPr>
        <w:jc w:val="both"/>
        <w:textAlignment w:val="baseline"/>
        <w:rPr>
          <w:rFonts w:ascii="Baskerville Old Face" w:eastAsia="Times New Roman" w:hAnsi="Baskerville Old Face" w:cs="Times New Roman"/>
          <w:color w:val="000000"/>
          <w:lang w:eastAsia="es-GT"/>
        </w:rPr>
      </w:pPr>
      <w:r w:rsidRPr="005464D9">
        <w:rPr>
          <w:rFonts w:ascii="Baskerville Old Face" w:eastAsia="Times New Roman" w:hAnsi="Baskerville Old Face" w:cs="Times New Roman"/>
          <w:color w:val="000000"/>
          <w:lang w:eastAsia="es-GT"/>
        </w:rPr>
        <w:t xml:space="preserve">Sistema político </w:t>
      </w:r>
      <w:r w:rsidR="00CB106A" w:rsidRPr="005464D9">
        <w:rPr>
          <w:rFonts w:ascii="Baskerville Old Face" w:eastAsia="Times New Roman" w:hAnsi="Baskerville Old Face" w:cs="Times New Roman"/>
          <w:color w:val="000000"/>
          <w:lang w:eastAsia="es-GT"/>
        </w:rPr>
        <w:t>adulto céntrico</w:t>
      </w:r>
      <w:r w:rsidRPr="005464D9">
        <w:rPr>
          <w:rFonts w:ascii="Baskerville Old Face" w:eastAsia="Times New Roman" w:hAnsi="Baskerville Old Face" w:cs="Times New Roman"/>
          <w:color w:val="000000"/>
          <w:lang w:eastAsia="es-GT"/>
        </w:rPr>
        <w:t xml:space="preserve"> y paternalista.</w:t>
      </w:r>
    </w:p>
    <w:p w14:paraId="5389CAEA" w14:textId="77777777" w:rsidR="005351F3" w:rsidRPr="005464D9" w:rsidRDefault="005351F3" w:rsidP="005464D9">
      <w:pPr>
        <w:numPr>
          <w:ilvl w:val="0"/>
          <w:numId w:val="8"/>
        </w:numPr>
        <w:jc w:val="both"/>
        <w:textAlignment w:val="baseline"/>
        <w:rPr>
          <w:rFonts w:ascii="Baskerville Old Face" w:eastAsia="Times New Roman" w:hAnsi="Baskerville Old Face" w:cs="Times New Roman"/>
          <w:color w:val="000000"/>
          <w:lang w:eastAsia="es-GT"/>
        </w:rPr>
      </w:pPr>
      <w:r w:rsidRPr="005464D9">
        <w:rPr>
          <w:rFonts w:ascii="Baskerville Old Face" w:eastAsia="Times New Roman" w:hAnsi="Baskerville Old Face" w:cs="Times New Roman"/>
          <w:color w:val="000000"/>
          <w:lang w:eastAsia="es-GT"/>
        </w:rPr>
        <w:t>Prejuicios de género, etnia, orientación sexual y discapacidad</w:t>
      </w:r>
    </w:p>
    <w:p w14:paraId="683A5CBB" w14:textId="77777777" w:rsidR="005351F3" w:rsidRPr="005464D9" w:rsidRDefault="005351F3" w:rsidP="005464D9">
      <w:pPr>
        <w:jc w:val="both"/>
        <w:rPr>
          <w:rFonts w:ascii="Baskerville Old Face" w:eastAsia="Times New Roman" w:hAnsi="Baskerville Old Face" w:cs="Times New Roman"/>
          <w:lang w:eastAsia="es-GT"/>
        </w:rPr>
      </w:pPr>
    </w:p>
    <w:p w14:paraId="3A654882" w14:textId="5ED8146B" w:rsidR="005464D9" w:rsidRDefault="005464D9" w:rsidP="005464D9">
      <w:pPr>
        <w:jc w:val="both"/>
        <w:rPr>
          <w:rFonts w:ascii="Baskerville Old Face" w:eastAsia="Times New Roman" w:hAnsi="Baskerville Old Face" w:cs="Times New Roman"/>
          <w:color w:val="000000"/>
          <w:lang w:eastAsia="es-GT"/>
        </w:rPr>
      </w:pPr>
      <w:r>
        <w:rPr>
          <w:rFonts w:ascii="Baskerville Old Face" w:eastAsia="Times New Roman" w:hAnsi="Baskerville Old Face" w:cs="Times New Roman"/>
          <w:color w:val="000000"/>
          <w:lang w:eastAsia="es-GT"/>
        </w:rPr>
        <w:t>Y esto, a su vez, conlleva al siguiente efecto</w:t>
      </w:r>
      <w:r w:rsidR="005351F3" w:rsidRPr="005464D9">
        <w:rPr>
          <w:rFonts w:ascii="Baskerville Old Face" w:eastAsia="Times New Roman" w:hAnsi="Baskerville Old Face" w:cs="Times New Roman"/>
          <w:color w:val="000000"/>
          <w:lang w:eastAsia="es-GT"/>
        </w:rPr>
        <w:t>:</w:t>
      </w:r>
    </w:p>
    <w:p w14:paraId="1B8DC913" w14:textId="77738D29" w:rsidR="005351F3" w:rsidRPr="005464D9" w:rsidRDefault="005351F3" w:rsidP="005464D9">
      <w:pPr>
        <w:jc w:val="both"/>
        <w:rPr>
          <w:rFonts w:ascii="Baskerville Old Face" w:eastAsia="Times New Roman" w:hAnsi="Baskerville Old Face" w:cs="Times New Roman"/>
          <w:lang w:eastAsia="es-GT"/>
        </w:rPr>
      </w:pPr>
    </w:p>
    <w:p w14:paraId="2967AED4" w14:textId="38D7610F" w:rsidR="005351F3" w:rsidRPr="005464D9" w:rsidRDefault="005351F3" w:rsidP="005464D9">
      <w:pPr>
        <w:numPr>
          <w:ilvl w:val="0"/>
          <w:numId w:val="9"/>
        </w:numPr>
        <w:jc w:val="both"/>
        <w:textAlignment w:val="baseline"/>
        <w:rPr>
          <w:rFonts w:ascii="Baskerville Old Face" w:eastAsia="Times New Roman" w:hAnsi="Baskerville Old Face" w:cs="Times New Roman"/>
          <w:color w:val="000000"/>
          <w:lang w:eastAsia="es-GT"/>
        </w:rPr>
      </w:pPr>
      <w:r w:rsidRPr="005464D9">
        <w:rPr>
          <w:rFonts w:ascii="Baskerville Old Face" w:eastAsia="Times New Roman" w:hAnsi="Baskerville Old Face" w:cs="Times New Roman"/>
          <w:color w:val="000000"/>
          <w:lang w:eastAsia="es-GT"/>
        </w:rPr>
        <w:t>Falta de mecanismos para promover la participación de la juventud en espacios formales y en voluntariado</w:t>
      </w:r>
    </w:p>
    <w:p w14:paraId="691EE86A" w14:textId="77777777" w:rsidR="00EE212B" w:rsidRPr="005464D9" w:rsidRDefault="00EE212B" w:rsidP="005464D9">
      <w:pPr>
        <w:ind w:left="720"/>
        <w:jc w:val="both"/>
        <w:textAlignment w:val="baseline"/>
        <w:rPr>
          <w:rFonts w:ascii="Baskerville Old Face" w:eastAsia="Times New Roman" w:hAnsi="Baskerville Old Face" w:cs="Times New Roman"/>
          <w:color w:val="000000"/>
          <w:lang w:eastAsia="es-GT"/>
        </w:rPr>
      </w:pPr>
    </w:p>
    <w:p w14:paraId="74F1DE10" w14:textId="3C640C34" w:rsidR="005351F3" w:rsidRPr="005464D9" w:rsidRDefault="005351F3" w:rsidP="005464D9">
      <w:pPr>
        <w:spacing w:after="240"/>
        <w:jc w:val="both"/>
        <w:rPr>
          <w:rFonts w:ascii="Baskerville Old Face" w:eastAsia="Times New Roman" w:hAnsi="Baskerville Old Face" w:cs="Times New Roman"/>
          <w:lang w:eastAsia="es-GT"/>
        </w:rPr>
      </w:pPr>
      <w:r w:rsidRPr="005464D9">
        <w:rPr>
          <w:rFonts w:ascii="Baskerville Old Face" w:eastAsia="Times New Roman" w:hAnsi="Baskerville Old Face" w:cs="Times New Roman"/>
          <w:color w:val="000000"/>
          <w:lang w:eastAsia="es-GT"/>
        </w:rPr>
        <w:t>Dicha metodología fue validada en 22 diálogos departamentales y 8 regionales, para consolidar la posición de organizaciones juveniles sobre las manifestaciones del edadismo en la sociedad y la necesidad de generar condiciones de intergeneracionalidad que permitan la armonía e inclusión de los diferentes sectores poblacionales.</w:t>
      </w:r>
    </w:p>
    <w:p w14:paraId="2758A646" w14:textId="7C97E798" w:rsidR="001767F0" w:rsidRPr="00720979" w:rsidRDefault="001767F0" w:rsidP="001767F0">
      <w:pPr>
        <w:jc w:val="both"/>
        <w:rPr>
          <w:rFonts w:ascii="Baskerville Old Face" w:eastAsia="Times New Roman" w:hAnsi="Baskerville Old Face" w:cs="Times New Roman"/>
          <w:lang w:eastAsia="es-GT"/>
        </w:rPr>
      </w:pPr>
      <w:r w:rsidRPr="00720979">
        <w:rPr>
          <w:rFonts w:ascii="Baskerville Old Face" w:eastAsia="Times New Roman" w:hAnsi="Baskerville Old Face" w:cs="Times New Roman"/>
          <w:lang w:eastAsia="es-GT"/>
        </w:rPr>
        <w:t>De acuerdo con el informe del Comité Nac</w:t>
      </w:r>
      <w:r w:rsidR="005464D9" w:rsidRPr="00720979">
        <w:rPr>
          <w:rFonts w:ascii="Baskerville Old Face" w:eastAsia="Times New Roman" w:hAnsi="Baskerville Old Face" w:cs="Times New Roman"/>
          <w:lang w:eastAsia="es-GT"/>
        </w:rPr>
        <w:t>ional de Protección a la Vejez -</w:t>
      </w:r>
      <w:r w:rsidRPr="00720979">
        <w:rPr>
          <w:rFonts w:ascii="Baskerville Old Face" w:eastAsia="Times New Roman" w:hAnsi="Baskerville Old Face" w:cs="Times New Roman"/>
          <w:lang w:eastAsia="es-GT"/>
        </w:rPr>
        <w:t>CONAPROV- Política Nacional de Atención Integral a las personas adultas mayores en Guatemala, periodo 2018-2032:</w:t>
      </w:r>
      <w:r w:rsidR="005464D9" w:rsidRPr="00720979">
        <w:rPr>
          <w:rFonts w:ascii="Baskerville Old Face" w:eastAsia="Times New Roman" w:hAnsi="Baskerville Old Face" w:cs="Times New Roman"/>
          <w:lang w:eastAsia="es-GT"/>
        </w:rPr>
        <w:t xml:space="preserve"> </w:t>
      </w:r>
      <w:r w:rsidRPr="00720979">
        <w:rPr>
          <w:rFonts w:ascii="Baskerville Old Face" w:eastAsia="Times New Roman" w:hAnsi="Baskerville Old Face" w:cs="Times New Roman"/>
          <w:lang w:eastAsia="es-GT"/>
        </w:rPr>
        <w:t>“</w:t>
      </w:r>
      <w:r w:rsidRPr="005465C3">
        <w:rPr>
          <w:rFonts w:ascii="Baskerville Old Face" w:eastAsia="Times New Roman" w:hAnsi="Baskerville Old Face" w:cs="Times New Roman"/>
          <w:iCs/>
          <w:lang w:eastAsia="es-GT"/>
        </w:rPr>
        <w:t xml:space="preserve">Las condiciones socioeconómicas de la población adulta mayor guatemalteca se evidencian, entre otros, en </w:t>
      </w:r>
      <w:r w:rsidRPr="005465C3">
        <w:rPr>
          <w:rFonts w:ascii="Baskerville Old Face" w:eastAsia="Times New Roman" w:hAnsi="Baskerville Old Face" w:cs="Times New Roman"/>
          <w:iCs/>
          <w:lang w:eastAsia="es-GT"/>
        </w:rPr>
        <w:lastRenderedPageBreak/>
        <w:t>términos de pobreza, salud, mecanismos de protección social, empleo, formación, capacitación, recreación y acceso a justicia. Las personas adultas mayores de 65 años de edad que viven en el área urbana</w:t>
      </w:r>
      <w:r w:rsidR="00720979" w:rsidRPr="005465C3">
        <w:rPr>
          <w:rFonts w:ascii="Baskerville Old Face" w:eastAsia="Times New Roman" w:hAnsi="Baskerville Old Face" w:cs="Times New Roman"/>
          <w:iCs/>
          <w:lang w:eastAsia="es-GT"/>
        </w:rPr>
        <w:t>,</w:t>
      </w:r>
      <w:r w:rsidRPr="005465C3">
        <w:rPr>
          <w:rFonts w:ascii="Baskerville Old Face" w:eastAsia="Times New Roman" w:hAnsi="Baskerville Old Face" w:cs="Times New Roman"/>
          <w:iCs/>
          <w:lang w:eastAsia="es-GT"/>
        </w:rPr>
        <w:t xml:space="preserve"> un 54.92 % vive en pobreza mientras que en el área rural es un 45% para el mismo grupo etario.</w:t>
      </w:r>
      <w:r w:rsidR="00720979" w:rsidRPr="005465C3">
        <w:rPr>
          <w:rFonts w:ascii="Baskerville Old Face" w:eastAsia="Times New Roman" w:hAnsi="Baskerville Old Face" w:cs="Times New Roman"/>
          <w:iCs/>
          <w:lang w:eastAsia="es-GT"/>
        </w:rPr>
        <w:t>”</w:t>
      </w:r>
    </w:p>
    <w:p w14:paraId="0EA49427" w14:textId="77777777" w:rsidR="001767F0" w:rsidRPr="000E33D8" w:rsidRDefault="001767F0" w:rsidP="001767F0">
      <w:pPr>
        <w:jc w:val="both"/>
        <w:rPr>
          <w:rFonts w:ascii="Times New Roman" w:eastAsia="Times New Roman" w:hAnsi="Times New Roman" w:cs="Times New Roman"/>
          <w:i/>
          <w:lang w:eastAsia="es-GT"/>
        </w:rPr>
      </w:pPr>
    </w:p>
    <w:p w14:paraId="0EEF9EC1" w14:textId="68668A62" w:rsidR="001767F0" w:rsidRPr="00720979" w:rsidRDefault="001767F0" w:rsidP="001767F0">
      <w:pPr>
        <w:jc w:val="both"/>
        <w:rPr>
          <w:rFonts w:ascii="Baskerville Old Face" w:eastAsia="Times New Roman" w:hAnsi="Baskerville Old Face" w:cs="Times New Roman"/>
          <w:lang w:eastAsia="es-GT"/>
        </w:rPr>
      </w:pPr>
      <w:r w:rsidRPr="00720979">
        <w:rPr>
          <w:rFonts w:ascii="Baskerville Old Face" w:eastAsia="Times New Roman" w:hAnsi="Baskerville Old Face" w:cs="Times New Roman"/>
          <w:lang w:eastAsia="es-GT"/>
        </w:rPr>
        <w:t>El incremento del número de personas adultas mayores es uno de los fenómenos con mayores</w:t>
      </w:r>
      <w:r w:rsidRPr="000E33D8">
        <w:rPr>
          <w:rFonts w:ascii="Times New Roman" w:eastAsia="Times New Roman" w:hAnsi="Times New Roman" w:cs="Times New Roman"/>
          <w:i/>
          <w:lang w:eastAsia="es-GT"/>
        </w:rPr>
        <w:t xml:space="preserve"> </w:t>
      </w:r>
      <w:r w:rsidRPr="00720979">
        <w:rPr>
          <w:rFonts w:ascii="Baskerville Old Face" w:eastAsia="Times New Roman" w:hAnsi="Baskerville Old Face" w:cs="Times New Roman"/>
          <w:lang w:eastAsia="es-GT"/>
        </w:rPr>
        <w:t>consecuencias para las sociedades, debido a que muestra el aumento de la cantidad de personas que necesitarán recursos y servicios especiales de atención a necesidades específicas, que empiezan a presentarse en los años más tardíos del ciclo de vida. Guatemala no es un país ajeno a esta transformación poblacional, debido a que su dinámica poblacional, según estimaciones de fuentes de encuestas nacionales de estadística y proyecciones poblacionales, en el período comprendido del 2015 al 2035, puede visualizarse un aumento sostenido del porcentaje de personas comprendidas entre los 65 años y más</w:t>
      </w:r>
      <w:r w:rsidR="00720979" w:rsidRPr="00720979">
        <w:rPr>
          <w:rFonts w:ascii="Baskerville Old Face" w:eastAsia="Times New Roman" w:hAnsi="Baskerville Old Face" w:cs="Times New Roman"/>
          <w:lang w:eastAsia="es-GT"/>
        </w:rPr>
        <w:t xml:space="preserve">, constituyendo este grupo etario un 6.6% de la población. </w:t>
      </w:r>
    </w:p>
    <w:p w14:paraId="0AA967C1" w14:textId="77777777" w:rsidR="00720979" w:rsidRPr="00720979" w:rsidRDefault="00720979" w:rsidP="001767F0">
      <w:pPr>
        <w:jc w:val="both"/>
        <w:rPr>
          <w:rFonts w:ascii="Baskerville Old Face" w:eastAsia="Times New Roman" w:hAnsi="Baskerville Old Face" w:cs="Times New Roman"/>
          <w:lang w:eastAsia="es-GT"/>
        </w:rPr>
      </w:pPr>
    </w:p>
    <w:p w14:paraId="2A8E4490" w14:textId="00C232C5" w:rsidR="001767F0" w:rsidRPr="00720979" w:rsidRDefault="001767F0" w:rsidP="001767F0">
      <w:pPr>
        <w:jc w:val="both"/>
        <w:rPr>
          <w:rFonts w:ascii="Baskerville Old Face" w:eastAsia="Times New Roman" w:hAnsi="Baskerville Old Face" w:cs="Times New Roman"/>
          <w:lang w:eastAsia="es-GT"/>
        </w:rPr>
      </w:pPr>
      <w:r w:rsidRPr="00720979">
        <w:rPr>
          <w:rFonts w:ascii="Baskerville Old Face" w:eastAsia="Times New Roman" w:hAnsi="Baskerville Old Face" w:cs="Times New Roman"/>
          <w:lang w:eastAsia="es-GT"/>
        </w:rPr>
        <w:t xml:space="preserve">La edad desde el análisis social y cultural en nuestro </w:t>
      </w:r>
      <w:r w:rsidR="00EE212B" w:rsidRPr="00720979">
        <w:rPr>
          <w:rFonts w:ascii="Baskerville Old Face" w:eastAsia="Times New Roman" w:hAnsi="Baskerville Old Face" w:cs="Times New Roman"/>
          <w:lang w:eastAsia="es-GT"/>
        </w:rPr>
        <w:t>país</w:t>
      </w:r>
      <w:r w:rsidRPr="00720979">
        <w:rPr>
          <w:rFonts w:ascii="Baskerville Old Face" w:eastAsia="Times New Roman" w:hAnsi="Baskerville Old Face" w:cs="Times New Roman"/>
          <w:lang w:eastAsia="es-GT"/>
        </w:rPr>
        <w:t xml:space="preserve"> puede conceder poder y autoridad a las personas. Generalmente en las comunidades indígenas es evidente que la edad proporciona status, respeto y ser visto-a como referencia para guiar la toma de decisiones familiares y comunitarias. La edad, desde el análisis interseccional</w:t>
      </w:r>
      <w:r w:rsidR="00720979" w:rsidRPr="00720979">
        <w:rPr>
          <w:rFonts w:ascii="Baskerville Old Face" w:eastAsia="Times New Roman" w:hAnsi="Baskerville Old Face" w:cs="Times New Roman"/>
          <w:lang w:eastAsia="es-GT"/>
        </w:rPr>
        <w:t>,</w:t>
      </w:r>
      <w:r w:rsidRPr="00720979">
        <w:rPr>
          <w:rFonts w:ascii="Baskerville Old Face" w:eastAsia="Times New Roman" w:hAnsi="Baskerville Old Face" w:cs="Times New Roman"/>
          <w:lang w:eastAsia="es-GT"/>
        </w:rPr>
        <w:t xml:space="preserve"> está conectada con otras formas de exclusión, discriminación y vulneración por condición migratoria, condición de discapacidad e identidad étnica, entre otros. Tiene manifestaciones de violencia específica desde los espacios urbanos y rurales. Por ejemplo, en el ámbito laboral</w:t>
      </w:r>
      <w:r w:rsidR="00720979" w:rsidRPr="00720979">
        <w:rPr>
          <w:rFonts w:ascii="Baskerville Old Face" w:eastAsia="Times New Roman" w:hAnsi="Baskerville Old Face" w:cs="Times New Roman"/>
          <w:lang w:eastAsia="es-GT"/>
        </w:rPr>
        <w:t>,</w:t>
      </w:r>
      <w:r w:rsidRPr="00720979">
        <w:rPr>
          <w:rFonts w:ascii="Baskerville Old Face" w:eastAsia="Times New Roman" w:hAnsi="Baskerville Old Face" w:cs="Times New Roman"/>
          <w:lang w:eastAsia="es-GT"/>
        </w:rPr>
        <w:t xml:space="preserve"> las personas que superan los 50 años son con</w:t>
      </w:r>
      <w:r w:rsidR="00720979" w:rsidRPr="00720979">
        <w:rPr>
          <w:rFonts w:ascii="Baskerville Old Face" w:eastAsia="Times New Roman" w:hAnsi="Baskerville Old Face" w:cs="Times New Roman"/>
          <w:lang w:eastAsia="es-GT"/>
        </w:rPr>
        <w:t>sideradas como poco productivas.</w:t>
      </w:r>
    </w:p>
    <w:p w14:paraId="5C4DEE8B" w14:textId="77777777" w:rsidR="001767F0" w:rsidRPr="000E33D8" w:rsidRDefault="001767F0" w:rsidP="001767F0">
      <w:pPr>
        <w:jc w:val="both"/>
        <w:rPr>
          <w:rFonts w:ascii="Times New Roman" w:eastAsia="Times New Roman" w:hAnsi="Times New Roman" w:cs="Times New Roman"/>
          <w:i/>
          <w:lang w:eastAsia="es-GT"/>
        </w:rPr>
      </w:pPr>
    </w:p>
    <w:p w14:paraId="0DCF5E47" w14:textId="7E82EDF5" w:rsidR="00780807" w:rsidRPr="00720979" w:rsidRDefault="00780807" w:rsidP="00B86093">
      <w:pPr>
        <w:pStyle w:val="Heading2"/>
        <w:ind w:left="284" w:hanging="284"/>
        <w:jc w:val="both"/>
        <w:rPr>
          <w:rFonts w:ascii="Baskerville Old Face" w:hAnsi="Baskerville Old Face"/>
        </w:rPr>
      </w:pPr>
      <w:r w:rsidRPr="00720979">
        <w:rPr>
          <w:rFonts w:ascii="Baskerville Old Face" w:hAnsi="Baskerville Old Face"/>
        </w:rPr>
        <w:lastRenderedPageBreak/>
        <w:t>Desde una perspectiva intersectorial, ¿existen factores específicos que agraven el edadismo y la discriminación por edad y como se manifiesta? Sírvase proporcionar ejemplos concretos y datos recabados cuando estén disponibles.</w:t>
      </w:r>
    </w:p>
    <w:p w14:paraId="62FBBFEE" w14:textId="77777777" w:rsidR="00DB2619" w:rsidRPr="000E33D8" w:rsidRDefault="00DB2619" w:rsidP="00DB2619">
      <w:pPr>
        <w:rPr>
          <w:rFonts w:ascii="Times New Roman" w:hAnsi="Times New Roman" w:cs="Times New Roman"/>
          <w:i/>
        </w:rPr>
      </w:pPr>
    </w:p>
    <w:p w14:paraId="22D86732" w14:textId="623F8083" w:rsidR="00DB2619" w:rsidRPr="00B86093" w:rsidRDefault="002037DC" w:rsidP="00DB2619">
      <w:pPr>
        <w:pStyle w:val="NormalWeb"/>
        <w:spacing w:before="0" w:beforeAutospacing="0" w:after="0" w:afterAutospacing="0"/>
        <w:jc w:val="both"/>
        <w:rPr>
          <w:rFonts w:ascii="Baskerville Old Face" w:hAnsi="Baskerville Old Face"/>
        </w:rPr>
      </w:pPr>
      <w:r w:rsidRPr="00B86093">
        <w:rPr>
          <w:rFonts w:ascii="Baskerville Old Face" w:hAnsi="Baskerville Old Face"/>
          <w:color w:val="000000"/>
        </w:rPr>
        <w:t>El Consejo Nacional para la Atención a las Personas con Discapacidad</w:t>
      </w:r>
      <w:r w:rsidR="00DB2619" w:rsidRPr="00B86093">
        <w:rPr>
          <w:rFonts w:ascii="Baskerville Old Face" w:hAnsi="Baskerville Old Face"/>
          <w:color w:val="000000"/>
        </w:rPr>
        <w:t xml:space="preserve"> </w:t>
      </w:r>
      <w:r w:rsidRPr="00B86093">
        <w:rPr>
          <w:rFonts w:ascii="Baskerville Old Face" w:hAnsi="Baskerville Old Face"/>
          <w:color w:val="000000"/>
        </w:rPr>
        <w:t>(</w:t>
      </w:r>
      <w:r w:rsidR="00DB2619" w:rsidRPr="00B86093">
        <w:rPr>
          <w:rFonts w:ascii="Baskerville Old Face" w:hAnsi="Baskerville Old Face"/>
          <w:color w:val="000000"/>
        </w:rPr>
        <w:t>CONADI</w:t>
      </w:r>
      <w:r w:rsidRPr="00B86093">
        <w:rPr>
          <w:rFonts w:ascii="Baskerville Old Face" w:hAnsi="Baskerville Old Face"/>
          <w:color w:val="000000"/>
        </w:rPr>
        <w:t xml:space="preserve">), con base en el trabajo de campo y el acompañamiento que </w:t>
      </w:r>
      <w:r w:rsidR="00DB2619" w:rsidRPr="00B86093">
        <w:rPr>
          <w:rFonts w:ascii="Baskerville Old Face" w:hAnsi="Baskerville Old Face"/>
          <w:color w:val="000000"/>
        </w:rPr>
        <w:t xml:space="preserve">ha dado a la institucionalidad pública, ha identificado </w:t>
      </w:r>
      <w:r w:rsidR="00EE212B" w:rsidRPr="00B86093">
        <w:rPr>
          <w:rFonts w:ascii="Baskerville Old Face" w:hAnsi="Baskerville Old Face"/>
          <w:color w:val="000000"/>
        </w:rPr>
        <w:t>que,</w:t>
      </w:r>
      <w:r w:rsidR="00DB2619" w:rsidRPr="00B86093">
        <w:rPr>
          <w:rFonts w:ascii="Baskerville Old Face" w:hAnsi="Baskerville Old Face"/>
          <w:color w:val="000000"/>
        </w:rPr>
        <w:t xml:space="preserve"> en situaciones de riesgo y emergencia y ayuda humanitaria, las personas mayores son </w:t>
      </w:r>
      <w:r w:rsidR="008C7AC1" w:rsidRPr="00B86093">
        <w:rPr>
          <w:rFonts w:ascii="Baskerville Old Face" w:hAnsi="Baskerville Old Face"/>
          <w:color w:val="000000"/>
        </w:rPr>
        <w:t>abandonadas</w:t>
      </w:r>
      <w:r w:rsidR="00DB2619" w:rsidRPr="00B86093">
        <w:rPr>
          <w:rFonts w:ascii="Baskerville Old Face" w:hAnsi="Baskerville Old Face"/>
          <w:color w:val="000000"/>
        </w:rPr>
        <w:t xml:space="preserve"> y no se cuentan con los insumos y mecanismos para su atención. </w:t>
      </w:r>
    </w:p>
    <w:p w14:paraId="7CA3B0FB" w14:textId="77777777" w:rsidR="00DB2619" w:rsidRPr="00B86093" w:rsidRDefault="00DB2619" w:rsidP="00DB2619">
      <w:pPr>
        <w:rPr>
          <w:rFonts w:ascii="Baskerville Old Face" w:hAnsi="Baskerville Old Face" w:cs="Times New Roman"/>
        </w:rPr>
      </w:pPr>
    </w:p>
    <w:p w14:paraId="7C7D6219" w14:textId="18F4D916" w:rsidR="00C62FF0" w:rsidRPr="00B86093" w:rsidRDefault="002037DC" w:rsidP="00C62FF0">
      <w:pPr>
        <w:rPr>
          <w:rFonts w:ascii="Baskerville Old Face" w:hAnsi="Baskerville Old Face" w:cs="Times New Roman"/>
          <w:iCs/>
        </w:rPr>
      </w:pPr>
      <w:r w:rsidRPr="00B86093">
        <w:rPr>
          <w:rFonts w:ascii="Baskerville Old Face" w:hAnsi="Baskerville Old Face" w:cs="Times New Roman"/>
          <w:iCs/>
        </w:rPr>
        <w:t xml:space="preserve">Asimismo, </w:t>
      </w:r>
      <w:r w:rsidR="00C62FF0" w:rsidRPr="00B86093">
        <w:rPr>
          <w:rFonts w:ascii="Baskerville Old Face" w:hAnsi="Baskerville Old Face" w:cs="Times New Roman"/>
          <w:iCs/>
        </w:rPr>
        <w:t>el MINEDUC</w:t>
      </w:r>
      <w:r w:rsidRPr="00B86093">
        <w:rPr>
          <w:rFonts w:ascii="Baskerville Old Face" w:hAnsi="Baskerville Old Face" w:cs="Times New Roman"/>
          <w:iCs/>
        </w:rPr>
        <w:t xml:space="preserve"> indica que</w:t>
      </w:r>
      <w:r w:rsidR="00C62FF0" w:rsidRPr="00B86093">
        <w:rPr>
          <w:rFonts w:ascii="Baskerville Old Face" w:hAnsi="Baskerville Old Face" w:cs="Times New Roman"/>
          <w:iCs/>
        </w:rPr>
        <w:t xml:space="preserve"> se pued</w:t>
      </w:r>
      <w:r w:rsidRPr="00B86093">
        <w:rPr>
          <w:rFonts w:ascii="Baskerville Old Face" w:hAnsi="Baskerville Old Face" w:cs="Times New Roman"/>
          <w:iCs/>
        </w:rPr>
        <w:t xml:space="preserve">en identificar algunos factores como los siguientes: </w:t>
      </w:r>
    </w:p>
    <w:p w14:paraId="6A8AFC83" w14:textId="77777777" w:rsidR="00C62FF0" w:rsidRPr="00B86093" w:rsidRDefault="00C62FF0" w:rsidP="00C62FF0">
      <w:pPr>
        <w:rPr>
          <w:rFonts w:ascii="Baskerville Old Face" w:hAnsi="Baskerville Old Face" w:cs="Times New Roman"/>
          <w:iCs/>
        </w:rPr>
      </w:pPr>
    </w:p>
    <w:p w14:paraId="71295C21" w14:textId="5E203FEC" w:rsidR="00C62FF0" w:rsidRPr="00B86093" w:rsidRDefault="00C62FF0" w:rsidP="00C62FF0">
      <w:pPr>
        <w:pStyle w:val="ListParagraph"/>
        <w:numPr>
          <w:ilvl w:val="0"/>
          <w:numId w:val="18"/>
        </w:numPr>
        <w:jc w:val="both"/>
        <w:rPr>
          <w:rFonts w:ascii="Baskerville Old Face" w:hAnsi="Baskerville Old Face" w:cs="Times New Roman"/>
          <w:iCs/>
        </w:rPr>
      </w:pPr>
      <w:r w:rsidRPr="00B86093">
        <w:rPr>
          <w:rFonts w:ascii="Baskerville Old Face" w:hAnsi="Baskerville Old Face" w:cs="Times New Roman"/>
          <w:iCs/>
        </w:rPr>
        <w:t>La edad: debido a que la sociedad determina y regula ciertos roles y conductas que se consideran propios de cada edad. Por esa razón</w:t>
      </w:r>
      <w:r w:rsidR="002037DC" w:rsidRPr="00B86093">
        <w:rPr>
          <w:rFonts w:ascii="Baskerville Old Face" w:hAnsi="Baskerville Old Face" w:cs="Times New Roman"/>
          <w:iCs/>
        </w:rPr>
        <w:t>,</w:t>
      </w:r>
      <w:r w:rsidRPr="00B86093">
        <w:rPr>
          <w:rFonts w:ascii="Baskerville Old Face" w:hAnsi="Baskerville Old Face" w:cs="Times New Roman"/>
          <w:iCs/>
        </w:rPr>
        <w:t xml:space="preserve"> en el ámbito laboral, las personas de edad avanzada ya no son contratadas por empresas, instituciones u organizaciones.</w:t>
      </w:r>
    </w:p>
    <w:p w14:paraId="14BE7A6E" w14:textId="77777777" w:rsidR="00C62FF0" w:rsidRPr="00B86093" w:rsidRDefault="00C62FF0" w:rsidP="00C62FF0">
      <w:pPr>
        <w:pStyle w:val="ListParagraph"/>
        <w:jc w:val="both"/>
        <w:rPr>
          <w:rFonts w:ascii="Baskerville Old Face" w:hAnsi="Baskerville Old Face" w:cs="Times New Roman"/>
          <w:iCs/>
        </w:rPr>
      </w:pPr>
    </w:p>
    <w:p w14:paraId="5AC0525A" w14:textId="0D8BC166" w:rsidR="00C62FF0" w:rsidRPr="00B86093" w:rsidRDefault="00C62FF0" w:rsidP="00C62FF0">
      <w:pPr>
        <w:pStyle w:val="ListParagraph"/>
        <w:numPr>
          <w:ilvl w:val="0"/>
          <w:numId w:val="18"/>
        </w:numPr>
        <w:jc w:val="both"/>
        <w:rPr>
          <w:rFonts w:ascii="Baskerville Old Face" w:hAnsi="Baskerville Old Face" w:cs="Times New Roman"/>
          <w:iCs/>
        </w:rPr>
      </w:pPr>
      <w:r w:rsidRPr="00B86093">
        <w:rPr>
          <w:rFonts w:ascii="Baskerville Old Face" w:hAnsi="Baskerville Old Face" w:cs="Times New Roman"/>
          <w:iCs/>
        </w:rPr>
        <w:t>El género</w:t>
      </w:r>
      <w:r w:rsidR="002037DC" w:rsidRPr="00B86093">
        <w:rPr>
          <w:rFonts w:ascii="Baskerville Old Face" w:hAnsi="Baskerville Old Face" w:cs="Times New Roman"/>
          <w:iCs/>
        </w:rPr>
        <w:t>:</w:t>
      </w:r>
      <w:r w:rsidRPr="00B86093">
        <w:rPr>
          <w:rFonts w:ascii="Baskerville Old Face" w:hAnsi="Baskerville Old Face" w:cs="Times New Roman"/>
          <w:iCs/>
        </w:rPr>
        <w:t xml:space="preserve"> la sociedad impone roles según el género, cuando en la vejez, los cambios que sufren las personas ya no le permite desempeñarlos.</w:t>
      </w:r>
    </w:p>
    <w:p w14:paraId="3B28E227" w14:textId="77777777" w:rsidR="00C62FF0" w:rsidRPr="00B86093" w:rsidRDefault="00C62FF0" w:rsidP="00C62FF0">
      <w:pPr>
        <w:jc w:val="both"/>
        <w:rPr>
          <w:rFonts w:ascii="Baskerville Old Face" w:hAnsi="Baskerville Old Face" w:cs="Times New Roman"/>
          <w:iCs/>
        </w:rPr>
      </w:pPr>
    </w:p>
    <w:p w14:paraId="1F2423FC" w14:textId="7C647346" w:rsidR="00C62FF0" w:rsidRPr="00B86093" w:rsidRDefault="00C62FF0" w:rsidP="00C62FF0">
      <w:pPr>
        <w:pStyle w:val="ListParagraph"/>
        <w:numPr>
          <w:ilvl w:val="0"/>
          <w:numId w:val="18"/>
        </w:numPr>
        <w:jc w:val="both"/>
        <w:rPr>
          <w:rFonts w:ascii="Baskerville Old Face" w:hAnsi="Baskerville Old Face" w:cs="Times New Roman"/>
          <w:iCs/>
        </w:rPr>
      </w:pPr>
      <w:r w:rsidRPr="00B86093">
        <w:rPr>
          <w:rFonts w:ascii="Baskerville Old Face" w:hAnsi="Baskerville Old Face" w:cs="Times New Roman"/>
          <w:iCs/>
        </w:rPr>
        <w:t xml:space="preserve">Nivel educativo: distintas investigaciones demuestran que las personas con nivel educativo más bajo tienen a una valoración negativa del envejecimiento. Por el contrario, a medida que el nivel </w:t>
      </w:r>
      <w:r w:rsidRPr="00B86093">
        <w:rPr>
          <w:rFonts w:ascii="Baskerville Old Face" w:hAnsi="Baskerville Old Face" w:cs="Times New Roman"/>
          <w:iCs/>
        </w:rPr>
        <w:lastRenderedPageBreak/>
        <w:t>de instrucción es más alto, se valora de forma menos negativa el envejecimiento y existen menores prejuicios hacia las personas adultas mayores.</w:t>
      </w:r>
    </w:p>
    <w:p w14:paraId="34A742D6" w14:textId="77777777" w:rsidR="00C62FF0" w:rsidRPr="00B86093" w:rsidRDefault="00C62FF0" w:rsidP="00C62FF0">
      <w:pPr>
        <w:jc w:val="both"/>
        <w:rPr>
          <w:rFonts w:ascii="Baskerville Old Face" w:hAnsi="Baskerville Old Face" w:cs="Times New Roman"/>
          <w:iCs/>
        </w:rPr>
      </w:pPr>
    </w:p>
    <w:p w14:paraId="4885337E" w14:textId="23992677" w:rsidR="00C62FF0" w:rsidRPr="00B86093" w:rsidRDefault="00C62FF0" w:rsidP="00C62FF0">
      <w:pPr>
        <w:pStyle w:val="ListParagraph"/>
        <w:numPr>
          <w:ilvl w:val="0"/>
          <w:numId w:val="18"/>
        </w:numPr>
        <w:jc w:val="both"/>
        <w:rPr>
          <w:rFonts w:ascii="Baskerville Old Face" w:hAnsi="Baskerville Old Face" w:cs="Times New Roman"/>
          <w:iCs/>
        </w:rPr>
      </w:pPr>
      <w:r w:rsidRPr="00B86093">
        <w:rPr>
          <w:rFonts w:ascii="Baskerville Old Face" w:hAnsi="Baskerville Old Face" w:cs="Times New Roman"/>
          <w:iCs/>
        </w:rPr>
        <w:t>Nivel socioeconómico: el nivel socioeconómico es uno de los factores más importantes para determinar y definir cuál va a ser la salud en general, el bienestar, la calidad y expectativas de vida durante la vejez. Establece distintas formas de llegar a la vejez y de transitarla; indica de qué forma se enfrentará la discriminación por parte de diversos sectores sociales, así como los tipos de roles a desempeñar en la sociedad.</w:t>
      </w:r>
    </w:p>
    <w:p w14:paraId="45655FFF" w14:textId="77777777" w:rsidR="00C62FF0" w:rsidRPr="00B86093" w:rsidRDefault="00C62FF0" w:rsidP="00C62FF0">
      <w:pPr>
        <w:jc w:val="both"/>
        <w:rPr>
          <w:rFonts w:ascii="Baskerville Old Face" w:hAnsi="Baskerville Old Face" w:cs="Times New Roman"/>
          <w:iCs/>
        </w:rPr>
      </w:pPr>
    </w:p>
    <w:p w14:paraId="39154469" w14:textId="69EB96B8" w:rsidR="00C62FF0" w:rsidRPr="00B86093" w:rsidRDefault="00C62FF0" w:rsidP="00C62FF0">
      <w:pPr>
        <w:pStyle w:val="ListParagraph"/>
        <w:numPr>
          <w:ilvl w:val="0"/>
          <w:numId w:val="18"/>
        </w:numPr>
        <w:jc w:val="both"/>
        <w:rPr>
          <w:rFonts w:ascii="Baskerville Old Face" w:hAnsi="Baskerville Old Face" w:cs="Times New Roman"/>
          <w:iCs/>
        </w:rPr>
      </w:pPr>
      <w:r w:rsidRPr="00B86093">
        <w:rPr>
          <w:rFonts w:ascii="Baskerville Old Face" w:hAnsi="Baskerville Old Face" w:cs="Times New Roman"/>
          <w:iCs/>
        </w:rPr>
        <w:t>Acceso a servicios de salud.</w:t>
      </w:r>
    </w:p>
    <w:p w14:paraId="0E01F181" w14:textId="77777777" w:rsidR="00C62FF0" w:rsidRPr="00B86093" w:rsidRDefault="00C62FF0" w:rsidP="00C62FF0">
      <w:pPr>
        <w:jc w:val="both"/>
        <w:rPr>
          <w:rFonts w:ascii="Baskerville Old Face" w:hAnsi="Baskerville Old Face" w:cs="Times New Roman"/>
          <w:iCs/>
        </w:rPr>
      </w:pPr>
    </w:p>
    <w:p w14:paraId="7FEE4F99" w14:textId="183179DE" w:rsidR="00C62FF0" w:rsidRPr="00B86093" w:rsidRDefault="00C62FF0" w:rsidP="00C62FF0">
      <w:pPr>
        <w:pStyle w:val="ListParagraph"/>
        <w:numPr>
          <w:ilvl w:val="0"/>
          <w:numId w:val="18"/>
        </w:numPr>
        <w:jc w:val="both"/>
        <w:rPr>
          <w:rFonts w:ascii="Baskerville Old Face" w:hAnsi="Baskerville Old Face" w:cs="Times New Roman"/>
          <w:iCs/>
        </w:rPr>
      </w:pPr>
      <w:r w:rsidRPr="00B86093">
        <w:rPr>
          <w:rFonts w:ascii="Baskerville Old Face" w:hAnsi="Baskerville Old Face" w:cs="Times New Roman"/>
          <w:iCs/>
        </w:rPr>
        <w:t>La situación de pareja: hay una percepción diferente de la veje</w:t>
      </w:r>
      <w:r w:rsidR="002037DC" w:rsidRPr="00B86093">
        <w:rPr>
          <w:rFonts w:ascii="Baskerville Old Face" w:hAnsi="Baskerville Old Face" w:cs="Times New Roman"/>
          <w:iCs/>
        </w:rPr>
        <w:t>z</w:t>
      </w:r>
      <w:r w:rsidRPr="00B86093">
        <w:rPr>
          <w:rFonts w:ascii="Baskerville Old Face" w:hAnsi="Baskerville Old Face" w:cs="Times New Roman"/>
          <w:iCs/>
        </w:rPr>
        <w:t xml:space="preserve"> según se esté o no en pareja en esta etapa. En general, las personas casadas o en pareja -en comparación con las personas solteras o viudas- tienen mayor expectativa y calidad de vida, y ex</w:t>
      </w:r>
      <w:r w:rsidR="002037DC" w:rsidRPr="00B86093">
        <w:rPr>
          <w:rFonts w:ascii="Baskerville Old Face" w:hAnsi="Baskerville Old Face" w:cs="Times New Roman"/>
          <w:iCs/>
        </w:rPr>
        <w:t>perimentan un mayor bienestar, p</w:t>
      </w:r>
      <w:r w:rsidRPr="00B86093">
        <w:rPr>
          <w:rFonts w:ascii="Baskerville Old Face" w:hAnsi="Baskerville Old Face" w:cs="Times New Roman"/>
          <w:iCs/>
        </w:rPr>
        <w:t>oseen una valoración menos negativa con relación a esta etapa de la vida y, al mismo tiempo, son valoradas de forma más positiva por la sociedad.</w:t>
      </w:r>
    </w:p>
    <w:p w14:paraId="0CF252C3" w14:textId="77777777" w:rsidR="002037DC" w:rsidRPr="00B86093" w:rsidRDefault="002037DC" w:rsidP="002037DC">
      <w:pPr>
        <w:pStyle w:val="ListParagraph"/>
        <w:rPr>
          <w:rFonts w:ascii="Baskerville Old Face" w:hAnsi="Baskerville Old Face" w:cs="Times New Roman"/>
          <w:iCs/>
        </w:rPr>
      </w:pPr>
    </w:p>
    <w:p w14:paraId="3D1CF9DD" w14:textId="5CFD46A5" w:rsidR="002037DC" w:rsidRPr="00B86093" w:rsidRDefault="002037DC" w:rsidP="00C62FF0">
      <w:pPr>
        <w:pStyle w:val="ListParagraph"/>
        <w:numPr>
          <w:ilvl w:val="0"/>
          <w:numId w:val="18"/>
        </w:numPr>
        <w:jc w:val="both"/>
        <w:rPr>
          <w:rFonts w:ascii="Baskerville Old Face" w:hAnsi="Baskerville Old Face" w:cs="Times New Roman"/>
          <w:iCs/>
        </w:rPr>
      </w:pPr>
      <w:r w:rsidRPr="00B86093">
        <w:rPr>
          <w:rFonts w:ascii="Baskerville Old Face" w:hAnsi="Baskerville Old Face" w:cs="Times New Roman"/>
          <w:iCs/>
        </w:rPr>
        <w:t xml:space="preserve">Acceso a tecnología. </w:t>
      </w:r>
    </w:p>
    <w:p w14:paraId="1E8802C8" w14:textId="77777777" w:rsidR="00B86093" w:rsidRDefault="00B86093" w:rsidP="00DB1B72">
      <w:pPr>
        <w:jc w:val="both"/>
        <w:rPr>
          <w:rFonts w:ascii="Times New Roman" w:eastAsia="Times New Roman" w:hAnsi="Times New Roman" w:cs="Times New Roman"/>
          <w:i/>
          <w:color w:val="000000"/>
          <w:sz w:val="22"/>
          <w:szCs w:val="22"/>
          <w:lang w:eastAsia="es-GT"/>
        </w:rPr>
      </w:pPr>
    </w:p>
    <w:p w14:paraId="17D065FC" w14:textId="2A10128B" w:rsidR="00780807" w:rsidRPr="00B86093" w:rsidRDefault="00780807" w:rsidP="00B86093">
      <w:pPr>
        <w:jc w:val="both"/>
        <w:rPr>
          <w:rFonts w:ascii="Baskerville Old Face" w:hAnsi="Baskerville Old Face" w:cs="Times New Roman"/>
          <w:b/>
        </w:rPr>
      </w:pPr>
      <w:r w:rsidRPr="00B86093">
        <w:rPr>
          <w:rFonts w:ascii="Baskerville Old Face" w:hAnsi="Baskerville Old Face" w:cs="Times New Roman"/>
          <w:b/>
        </w:rPr>
        <w:t>Marcos jurídicos, normativos e institucionales relacionados con el edadismo y la discriminación por edad</w:t>
      </w:r>
    </w:p>
    <w:p w14:paraId="45A431D1" w14:textId="77777777" w:rsidR="00621006" w:rsidRPr="000E33D8" w:rsidRDefault="00621006" w:rsidP="00780807">
      <w:pPr>
        <w:rPr>
          <w:rFonts w:ascii="Times New Roman" w:hAnsi="Times New Roman" w:cs="Times New Roman"/>
          <w:b/>
        </w:rPr>
      </w:pPr>
    </w:p>
    <w:p w14:paraId="39A987EB" w14:textId="3E4FD5F8" w:rsidR="00780807" w:rsidRPr="00B86093" w:rsidRDefault="00780807" w:rsidP="00B86093">
      <w:pPr>
        <w:pStyle w:val="Heading2"/>
        <w:ind w:left="284" w:hanging="284"/>
        <w:rPr>
          <w:rFonts w:ascii="Baskerville Old Face" w:hAnsi="Baskerville Old Face"/>
        </w:rPr>
      </w:pPr>
      <w:r w:rsidRPr="00B86093">
        <w:rPr>
          <w:rFonts w:ascii="Baskerville Old Face" w:hAnsi="Baskerville Old Face"/>
        </w:rPr>
        <w:t>¿Qué instrumentos jurídicos internacionales, regionales y nacionales existen para luchar contra la discriminación por edad?</w:t>
      </w:r>
    </w:p>
    <w:p w14:paraId="5DD75CCD" w14:textId="77777777" w:rsidR="00621006" w:rsidRPr="000E33D8" w:rsidRDefault="00621006" w:rsidP="00D93AE7">
      <w:pPr>
        <w:jc w:val="both"/>
        <w:rPr>
          <w:rFonts w:ascii="Times New Roman" w:eastAsia="Times New Roman" w:hAnsi="Times New Roman" w:cs="Times New Roman"/>
          <w:b/>
          <w:i/>
          <w:lang w:eastAsia="es-GT"/>
        </w:rPr>
      </w:pPr>
    </w:p>
    <w:p w14:paraId="786A717E" w14:textId="77777777" w:rsidR="00D93AE7" w:rsidRPr="00B86093" w:rsidRDefault="00D93AE7" w:rsidP="00D93AE7">
      <w:pPr>
        <w:spacing w:after="120"/>
        <w:ind w:right="739"/>
        <w:jc w:val="both"/>
        <w:rPr>
          <w:rFonts w:ascii="Baskerville Old Face" w:eastAsia="Times New Roman" w:hAnsi="Baskerville Old Face" w:cs="Times New Roman"/>
          <w:iCs/>
          <w:lang w:eastAsia="es-GT"/>
        </w:rPr>
      </w:pPr>
      <w:r w:rsidRPr="00B86093">
        <w:rPr>
          <w:rFonts w:ascii="Baskerville Old Face" w:eastAsia="Times New Roman" w:hAnsi="Baskerville Old Face" w:cs="Times New Roman"/>
          <w:iCs/>
          <w:color w:val="000000"/>
          <w:lang w:eastAsia="es-GT"/>
        </w:rPr>
        <w:t>a) Internacionales:</w:t>
      </w:r>
    </w:p>
    <w:p w14:paraId="06AE3FDD" w14:textId="19E1A92E" w:rsidR="00B86093" w:rsidRDefault="00B86093" w:rsidP="00C8733D">
      <w:pPr>
        <w:numPr>
          <w:ilvl w:val="0"/>
          <w:numId w:val="10"/>
        </w:numPr>
        <w:spacing w:before="240"/>
        <w:ind w:right="49"/>
        <w:jc w:val="both"/>
        <w:textAlignment w:val="baseline"/>
        <w:rPr>
          <w:rFonts w:ascii="Baskerville Old Face" w:eastAsia="Times New Roman" w:hAnsi="Baskerville Old Face" w:cs="Times New Roman"/>
          <w:iCs/>
          <w:color w:val="000000"/>
          <w:lang w:eastAsia="es-GT"/>
        </w:rPr>
      </w:pPr>
      <w:r>
        <w:rPr>
          <w:rFonts w:ascii="Baskerville Old Face" w:eastAsia="Times New Roman" w:hAnsi="Baskerville Old Face" w:cs="Times New Roman"/>
          <w:iCs/>
          <w:color w:val="000000"/>
          <w:lang w:eastAsia="es-GT"/>
        </w:rPr>
        <w:t>Declaración Universal de los Derechos Humanos</w:t>
      </w:r>
    </w:p>
    <w:p w14:paraId="012403EF" w14:textId="393754E5" w:rsidR="00B86093" w:rsidRDefault="00B86093" w:rsidP="00C8733D">
      <w:pPr>
        <w:numPr>
          <w:ilvl w:val="0"/>
          <w:numId w:val="10"/>
        </w:numPr>
        <w:spacing w:before="240"/>
        <w:ind w:right="49"/>
        <w:jc w:val="both"/>
        <w:textAlignment w:val="baseline"/>
        <w:rPr>
          <w:rFonts w:ascii="Baskerville Old Face" w:eastAsia="Times New Roman" w:hAnsi="Baskerville Old Face" w:cs="Times New Roman"/>
          <w:iCs/>
          <w:color w:val="000000"/>
          <w:lang w:eastAsia="es-GT"/>
        </w:rPr>
      </w:pPr>
      <w:r>
        <w:rPr>
          <w:rFonts w:ascii="Baskerville Old Face" w:eastAsia="Times New Roman" w:hAnsi="Baskerville Old Face" w:cs="Times New Roman"/>
          <w:iCs/>
          <w:color w:val="000000"/>
          <w:lang w:eastAsia="es-GT"/>
        </w:rPr>
        <w:t>Pacto Internacional de Derechos Civiles y Políticos</w:t>
      </w:r>
    </w:p>
    <w:p w14:paraId="50660286" w14:textId="4D2BEC0D" w:rsidR="00B86093" w:rsidRDefault="00B86093" w:rsidP="00C8733D">
      <w:pPr>
        <w:numPr>
          <w:ilvl w:val="0"/>
          <w:numId w:val="10"/>
        </w:numPr>
        <w:spacing w:before="240"/>
        <w:ind w:right="49"/>
        <w:jc w:val="both"/>
        <w:textAlignment w:val="baseline"/>
        <w:rPr>
          <w:rFonts w:ascii="Baskerville Old Face" w:eastAsia="Times New Roman" w:hAnsi="Baskerville Old Face" w:cs="Times New Roman"/>
          <w:iCs/>
          <w:color w:val="000000"/>
          <w:lang w:eastAsia="es-GT"/>
        </w:rPr>
      </w:pPr>
      <w:r>
        <w:rPr>
          <w:rFonts w:ascii="Baskerville Old Face" w:eastAsia="Times New Roman" w:hAnsi="Baskerville Old Face" w:cs="Times New Roman"/>
          <w:iCs/>
          <w:color w:val="000000"/>
          <w:lang w:eastAsia="es-GT"/>
        </w:rPr>
        <w:t>Pacto Internacional de Derechos Económicos, Sociales y Culturales</w:t>
      </w:r>
    </w:p>
    <w:p w14:paraId="290BA051" w14:textId="799E9950" w:rsidR="00B86093" w:rsidRDefault="00B86093" w:rsidP="00C8733D">
      <w:pPr>
        <w:numPr>
          <w:ilvl w:val="0"/>
          <w:numId w:val="10"/>
        </w:numPr>
        <w:spacing w:before="240"/>
        <w:ind w:right="49"/>
        <w:jc w:val="both"/>
        <w:textAlignment w:val="baseline"/>
        <w:rPr>
          <w:rFonts w:ascii="Baskerville Old Face" w:eastAsia="Times New Roman" w:hAnsi="Baskerville Old Face" w:cs="Times New Roman"/>
          <w:iCs/>
          <w:color w:val="000000"/>
          <w:lang w:eastAsia="es-GT"/>
        </w:rPr>
      </w:pPr>
      <w:r>
        <w:rPr>
          <w:rFonts w:ascii="Baskerville Old Face" w:eastAsia="Times New Roman" w:hAnsi="Baskerville Old Face" w:cs="Times New Roman"/>
          <w:iCs/>
          <w:color w:val="000000"/>
          <w:lang w:eastAsia="es-GT"/>
        </w:rPr>
        <w:t>Convenio Relativo a la Discriminación en Materia de Empleo y Ocupación de la Organización Internacional del Trabajo, Convenio 111</w:t>
      </w:r>
    </w:p>
    <w:p w14:paraId="546C81A1" w14:textId="207D5AAA" w:rsidR="00B86093" w:rsidRPr="00B86093" w:rsidRDefault="00B86093" w:rsidP="00C8733D">
      <w:pPr>
        <w:numPr>
          <w:ilvl w:val="0"/>
          <w:numId w:val="10"/>
        </w:numPr>
        <w:spacing w:before="240"/>
        <w:ind w:right="49"/>
        <w:jc w:val="both"/>
        <w:textAlignment w:val="baseline"/>
        <w:rPr>
          <w:rFonts w:ascii="Baskerville Old Face" w:eastAsia="Times New Roman" w:hAnsi="Baskerville Old Face" w:cs="Times New Roman"/>
          <w:iCs/>
          <w:color w:val="000000"/>
          <w:lang w:eastAsia="es-GT"/>
        </w:rPr>
      </w:pPr>
      <w:r>
        <w:rPr>
          <w:rFonts w:ascii="Baskerville Old Face" w:eastAsia="Times New Roman" w:hAnsi="Baskerville Old Face" w:cs="Times New Roman"/>
          <w:iCs/>
          <w:color w:val="000000"/>
          <w:lang w:eastAsia="es-GT"/>
        </w:rPr>
        <w:t>Convención Internacional sobre la Protección de los Derechos de todos los Trabajadores Migratorios y sus Familiares</w:t>
      </w:r>
    </w:p>
    <w:p w14:paraId="2690F44C" w14:textId="4806B30C" w:rsidR="00D93AE7" w:rsidRDefault="00D93AE7" w:rsidP="00C8733D">
      <w:pPr>
        <w:numPr>
          <w:ilvl w:val="0"/>
          <w:numId w:val="10"/>
        </w:numPr>
        <w:spacing w:before="240"/>
        <w:ind w:right="49"/>
        <w:jc w:val="both"/>
        <w:textAlignment w:val="baseline"/>
        <w:rPr>
          <w:rFonts w:ascii="Baskerville Old Face" w:eastAsia="Times New Roman" w:hAnsi="Baskerville Old Face" w:cs="Times New Roman"/>
          <w:iCs/>
          <w:color w:val="000000"/>
          <w:lang w:eastAsia="es-GT"/>
        </w:rPr>
      </w:pPr>
      <w:r w:rsidRPr="00B86093">
        <w:rPr>
          <w:rFonts w:ascii="Baskerville Old Face" w:eastAsia="Times New Roman" w:hAnsi="Baskerville Old Face" w:cs="Times New Roman"/>
          <w:iCs/>
          <w:color w:val="000000"/>
          <w:lang w:eastAsia="es-GT"/>
        </w:rPr>
        <w:t>La Convención de Ginebra de la Naciones Unidas, realizada en 1982, aprobó los Derechos Básicos de los Adultos Mayores</w:t>
      </w:r>
    </w:p>
    <w:p w14:paraId="440FB54A" w14:textId="42865ECC" w:rsidR="00B86093" w:rsidRDefault="00B86093" w:rsidP="00C8733D">
      <w:pPr>
        <w:numPr>
          <w:ilvl w:val="0"/>
          <w:numId w:val="10"/>
        </w:numPr>
        <w:spacing w:before="240"/>
        <w:ind w:right="49"/>
        <w:jc w:val="both"/>
        <w:textAlignment w:val="baseline"/>
        <w:rPr>
          <w:rFonts w:ascii="Baskerville Old Face" w:eastAsia="Times New Roman" w:hAnsi="Baskerville Old Face" w:cs="Times New Roman"/>
          <w:iCs/>
          <w:color w:val="000000"/>
          <w:lang w:eastAsia="es-GT"/>
        </w:rPr>
      </w:pPr>
      <w:r>
        <w:rPr>
          <w:rFonts w:ascii="Baskerville Old Face" w:eastAsia="Times New Roman" w:hAnsi="Baskerville Old Face" w:cs="Times New Roman"/>
          <w:iCs/>
          <w:color w:val="000000"/>
          <w:lang w:eastAsia="es-GT"/>
        </w:rPr>
        <w:t>Convención relativa a la Lucha contra la Discriminación en Esfera de la Enseñanza</w:t>
      </w:r>
    </w:p>
    <w:p w14:paraId="37EF8237" w14:textId="4442F367" w:rsidR="00B86093" w:rsidRPr="00B86093" w:rsidRDefault="00B86093" w:rsidP="00C8733D">
      <w:pPr>
        <w:numPr>
          <w:ilvl w:val="0"/>
          <w:numId w:val="10"/>
        </w:numPr>
        <w:spacing w:before="240"/>
        <w:ind w:right="49"/>
        <w:jc w:val="both"/>
        <w:textAlignment w:val="baseline"/>
        <w:rPr>
          <w:rFonts w:ascii="Baskerville Old Face" w:eastAsia="Times New Roman" w:hAnsi="Baskerville Old Face" w:cs="Times New Roman"/>
          <w:iCs/>
          <w:color w:val="000000"/>
          <w:lang w:eastAsia="es-GT"/>
        </w:rPr>
      </w:pPr>
      <w:r>
        <w:rPr>
          <w:rFonts w:ascii="Baskerville Old Face" w:eastAsia="Times New Roman" w:hAnsi="Baskerville Old Face" w:cs="Times New Roman"/>
          <w:iCs/>
          <w:color w:val="000000"/>
          <w:lang w:eastAsia="es-GT"/>
        </w:rPr>
        <w:t>Plan de Acción Internacional sobre el Envejecimiento y Actividades Conexas</w:t>
      </w:r>
    </w:p>
    <w:p w14:paraId="21F8D576" w14:textId="1D3ED403" w:rsidR="00D93AE7" w:rsidRPr="00B86093" w:rsidRDefault="00D93AE7" w:rsidP="00C8733D">
      <w:pPr>
        <w:numPr>
          <w:ilvl w:val="0"/>
          <w:numId w:val="10"/>
        </w:numPr>
        <w:spacing w:before="240"/>
        <w:ind w:right="49"/>
        <w:jc w:val="both"/>
        <w:textAlignment w:val="baseline"/>
        <w:rPr>
          <w:rFonts w:ascii="Baskerville Old Face" w:eastAsia="Times New Roman" w:hAnsi="Baskerville Old Face" w:cs="Times New Roman"/>
          <w:iCs/>
          <w:color w:val="000000"/>
          <w:lang w:eastAsia="es-GT"/>
        </w:rPr>
      </w:pPr>
      <w:r w:rsidRPr="00B86093">
        <w:rPr>
          <w:rFonts w:ascii="Baskerville Old Face" w:eastAsia="Times New Roman" w:hAnsi="Baskerville Old Face" w:cs="Times New Roman"/>
          <w:iCs/>
          <w:color w:val="000000"/>
          <w:lang w:eastAsia="es-GT"/>
        </w:rPr>
        <w:lastRenderedPageBreak/>
        <w:t>Convención para la eliminación de todas las formas de discriminación contra la mujer </w:t>
      </w:r>
    </w:p>
    <w:p w14:paraId="6221DF24" w14:textId="77777777" w:rsidR="00D93AE7" w:rsidRPr="00B86093" w:rsidRDefault="00D93AE7" w:rsidP="00C8733D">
      <w:pPr>
        <w:numPr>
          <w:ilvl w:val="0"/>
          <w:numId w:val="10"/>
        </w:numPr>
        <w:spacing w:before="240"/>
        <w:ind w:right="49"/>
        <w:jc w:val="both"/>
        <w:textAlignment w:val="baseline"/>
        <w:rPr>
          <w:rFonts w:ascii="Baskerville Old Face" w:eastAsia="Times New Roman" w:hAnsi="Baskerville Old Face" w:cs="Times New Roman"/>
          <w:iCs/>
          <w:color w:val="000000"/>
          <w:lang w:eastAsia="es-GT"/>
        </w:rPr>
      </w:pPr>
      <w:r w:rsidRPr="00B86093">
        <w:rPr>
          <w:rFonts w:ascii="Baskerville Old Face" w:eastAsia="Times New Roman" w:hAnsi="Baskerville Old Face" w:cs="Times New Roman"/>
          <w:iCs/>
          <w:color w:val="000000"/>
          <w:lang w:eastAsia="es-GT"/>
        </w:rPr>
        <w:t>Convención de Belén do para</w:t>
      </w:r>
    </w:p>
    <w:p w14:paraId="487A48A9" w14:textId="77777777" w:rsidR="00D93AE7" w:rsidRPr="00B86093" w:rsidRDefault="00D93AE7" w:rsidP="00C8733D">
      <w:pPr>
        <w:numPr>
          <w:ilvl w:val="0"/>
          <w:numId w:val="10"/>
        </w:numPr>
        <w:spacing w:before="240"/>
        <w:ind w:right="739"/>
        <w:jc w:val="both"/>
        <w:textAlignment w:val="baseline"/>
        <w:rPr>
          <w:rFonts w:ascii="Baskerville Old Face" w:eastAsia="Times New Roman" w:hAnsi="Baskerville Old Face" w:cs="Times New Roman"/>
          <w:iCs/>
          <w:color w:val="000000"/>
          <w:lang w:eastAsia="es-GT"/>
        </w:rPr>
      </w:pPr>
      <w:r w:rsidRPr="00B86093">
        <w:rPr>
          <w:rFonts w:ascii="Baskerville Old Face" w:eastAsia="Times New Roman" w:hAnsi="Baskerville Old Face" w:cs="Times New Roman"/>
          <w:iCs/>
          <w:color w:val="000000"/>
          <w:lang w:eastAsia="es-GT"/>
        </w:rPr>
        <w:t>100 reglas de Brasilia, </w:t>
      </w:r>
    </w:p>
    <w:p w14:paraId="16425A68" w14:textId="7FAC492D" w:rsidR="00D93AE7" w:rsidRDefault="00D93AE7" w:rsidP="00C8733D">
      <w:pPr>
        <w:numPr>
          <w:ilvl w:val="0"/>
          <w:numId w:val="10"/>
        </w:numPr>
        <w:spacing w:before="240"/>
        <w:ind w:right="739"/>
        <w:jc w:val="both"/>
        <w:textAlignment w:val="baseline"/>
        <w:rPr>
          <w:rFonts w:ascii="Times New Roman" w:eastAsia="Times New Roman" w:hAnsi="Times New Roman" w:cs="Times New Roman"/>
          <w:i/>
          <w:iCs/>
          <w:color w:val="000000"/>
          <w:lang w:eastAsia="es-GT"/>
        </w:rPr>
      </w:pPr>
      <w:r w:rsidRPr="00B86093">
        <w:rPr>
          <w:rFonts w:ascii="Baskerville Old Face" w:eastAsia="Times New Roman" w:hAnsi="Baskerville Old Face" w:cs="Times New Roman"/>
          <w:iCs/>
          <w:color w:val="000000"/>
          <w:lang w:eastAsia="es-GT"/>
        </w:rPr>
        <w:t>Reglas de Bangkok</w:t>
      </w:r>
      <w:r w:rsidRPr="000E33D8">
        <w:rPr>
          <w:rFonts w:ascii="Times New Roman" w:eastAsia="Times New Roman" w:hAnsi="Times New Roman" w:cs="Times New Roman"/>
          <w:i/>
          <w:iCs/>
          <w:color w:val="000000"/>
          <w:lang w:eastAsia="es-GT"/>
        </w:rPr>
        <w:t> </w:t>
      </w:r>
    </w:p>
    <w:p w14:paraId="0F8033D1" w14:textId="77777777" w:rsidR="00B86093" w:rsidRPr="000E33D8" w:rsidRDefault="00B86093" w:rsidP="00B86093">
      <w:pPr>
        <w:ind w:left="720" w:right="739"/>
        <w:jc w:val="both"/>
        <w:textAlignment w:val="baseline"/>
        <w:rPr>
          <w:rFonts w:ascii="Times New Roman" w:eastAsia="Times New Roman" w:hAnsi="Times New Roman" w:cs="Times New Roman"/>
          <w:i/>
          <w:iCs/>
          <w:color w:val="000000"/>
          <w:lang w:eastAsia="es-GT"/>
        </w:rPr>
      </w:pPr>
    </w:p>
    <w:p w14:paraId="36638CE2" w14:textId="7179AB09" w:rsidR="00C8733D" w:rsidRDefault="00D93AE7" w:rsidP="00D93AE7">
      <w:pPr>
        <w:spacing w:after="120"/>
        <w:ind w:right="739"/>
        <w:jc w:val="both"/>
        <w:rPr>
          <w:rFonts w:ascii="Baskerville Old Face" w:eastAsia="Times New Roman" w:hAnsi="Baskerville Old Face" w:cs="Times New Roman"/>
          <w:iCs/>
          <w:color w:val="000000"/>
          <w:lang w:eastAsia="es-GT"/>
        </w:rPr>
      </w:pPr>
      <w:r w:rsidRPr="00C8733D">
        <w:rPr>
          <w:rFonts w:ascii="Baskerville Old Face" w:eastAsia="Times New Roman" w:hAnsi="Baskerville Old Face" w:cs="Times New Roman"/>
          <w:iCs/>
          <w:color w:val="000000"/>
          <w:lang w:eastAsia="es-GT"/>
        </w:rPr>
        <w:t xml:space="preserve">b) </w:t>
      </w:r>
      <w:r w:rsidR="00C8733D">
        <w:rPr>
          <w:rFonts w:ascii="Baskerville Old Face" w:eastAsia="Times New Roman" w:hAnsi="Baskerville Old Face" w:cs="Times New Roman"/>
          <w:iCs/>
          <w:color w:val="000000"/>
          <w:lang w:eastAsia="es-GT"/>
        </w:rPr>
        <w:t>Regionales:</w:t>
      </w:r>
    </w:p>
    <w:p w14:paraId="63A361FE" w14:textId="2B60BC0B" w:rsidR="00C8733D" w:rsidRDefault="00C8733D" w:rsidP="00C8733D">
      <w:pPr>
        <w:numPr>
          <w:ilvl w:val="0"/>
          <w:numId w:val="10"/>
        </w:numPr>
        <w:spacing w:before="240"/>
        <w:ind w:right="49"/>
        <w:jc w:val="both"/>
        <w:textAlignment w:val="baseline"/>
        <w:rPr>
          <w:rFonts w:ascii="Baskerville Old Face" w:eastAsia="Times New Roman" w:hAnsi="Baskerville Old Face" w:cs="Times New Roman"/>
          <w:iCs/>
          <w:color w:val="000000"/>
          <w:lang w:eastAsia="es-GT"/>
        </w:rPr>
      </w:pPr>
      <w:r>
        <w:rPr>
          <w:rFonts w:ascii="Baskerville Old Face" w:eastAsia="Times New Roman" w:hAnsi="Baskerville Old Face" w:cs="Times New Roman"/>
          <w:iCs/>
          <w:color w:val="000000"/>
          <w:lang w:eastAsia="es-GT"/>
        </w:rPr>
        <w:t>Carta de la Organización de Estados Americanos</w:t>
      </w:r>
    </w:p>
    <w:p w14:paraId="391AAC4B" w14:textId="741350F4" w:rsidR="00C8733D" w:rsidRDefault="00C8733D" w:rsidP="00C8733D">
      <w:pPr>
        <w:numPr>
          <w:ilvl w:val="0"/>
          <w:numId w:val="10"/>
        </w:numPr>
        <w:spacing w:before="240"/>
        <w:ind w:right="49"/>
        <w:jc w:val="both"/>
        <w:textAlignment w:val="baseline"/>
        <w:rPr>
          <w:rFonts w:ascii="Baskerville Old Face" w:eastAsia="Times New Roman" w:hAnsi="Baskerville Old Face" w:cs="Times New Roman"/>
          <w:iCs/>
          <w:color w:val="000000"/>
          <w:lang w:eastAsia="es-GT"/>
        </w:rPr>
      </w:pPr>
      <w:r>
        <w:rPr>
          <w:rFonts w:ascii="Baskerville Old Face" w:eastAsia="Times New Roman" w:hAnsi="Baskerville Old Face" w:cs="Times New Roman"/>
          <w:iCs/>
          <w:color w:val="000000"/>
          <w:lang w:eastAsia="es-GT"/>
        </w:rPr>
        <w:t>Declaración Americana de los Derechos y Deberes del Hombre</w:t>
      </w:r>
    </w:p>
    <w:p w14:paraId="2415936F" w14:textId="041CBD99" w:rsidR="00C8733D" w:rsidRDefault="00C8733D" w:rsidP="00C8733D">
      <w:pPr>
        <w:numPr>
          <w:ilvl w:val="0"/>
          <w:numId w:val="10"/>
        </w:numPr>
        <w:spacing w:before="240"/>
        <w:ind w:right="49"/>
        <w:jc w:val="both"/>
        <w:textAlignment w:val="baseline"/>
        <w:rPr>
          <w:rFonts w:ascii="Baskerville Old Face" w:eastAsia="Times New Roman" w:hAnsi="Baskerville Old Face" w:cs="Times New Roman"/>
          <w:iCs/>
          <w:color w:val="000000"/>
          <w:lang w:eastAsia="es-GT"/>
        </w:rPr>
      </w:pPr>
      <w:r>
        <w:rPr>
          <w:rFonts w:ascii="Baskerville Old Face" w:eastAsia="Times New Roman" w:hAnsi="Baskerville Old Face" w:cs="Times New Roman"/>
          <w:iCs/>
          <w:color w:val="000000"/>
          <w:lang w:eastAsia="es-GT"/>
        </w:rPr>
        <w:t>Convención Americana sobre Derechos Humanos</w:t>
      </w:r>
    </w:p>
    <w:p w14:paraId="5DA25AD7" w14:textId="3E868738" w:rsidR="00C8733D" w:rsidRDefault="00C8733D" w:rsidP="00C8733D">
      <w:pPr>
        <w:numPr>
          <w:ilvl w:val="0"/>
          <w:numId w:val="10"/>
        </w:numPr>
        <w:spacing w:before="240"/>
        <w:ind w:right="49"/>
        <w:jc w:val="both"/>
        <w:textAlignment w:val="baseline"/>
        <w:rPr>
          <w:rFonts w:ascii="Baskerville Old Face" w:eastAsia="Times New Roman" w:hAnsi="Baskerville Old Face" w:cs="Times New Roman"/>
          <w:iCs/>
          <w:color w:val="000000"/>
          <w:lang w:eastAsia="es-GT"/>
        </w:rPr>
      </w:pPr>
      <w:r>
        <w:rPr>
          <w:rFonts w:ascii="Baskerville Old Face" w:eastAsia="Times New Roman" w:hAnsi="Baskerville Old Face" w:cs="Times New Roman"/>
          <w:iCs/>
          <w:color w:val="000000"/>
          <w:lang w:eastAsia="es-GT"/>
        </w:rPr>
        <w:t>Protocolo Adicional a la Convención Americana en Materia de Derechos Económicos, Sociales y Culturales</w:t>
      </w:r>
    </w:p>
    <w:p w14:paraId="49FE38B3" w14:textId="6F0CB063" w:rsidR="00C8733D" w:rsidRDefault="00C8733D" w:rsidP="00C8733D">
      <w:pPr>
        <w:numPr>
          <w:ilvl w:val="0"/>
          <w:numId w:val="10"/>
        </w:numPr>
        <w:spacing w:before="240"/>
        <w:ind w:right="49"/>
        <w:jc w:val="both"/>
        <w:textAlignment w:val="baseline"/>
        <w:rPr>
          <w:rFonts w:ascii="Baskerville Old Face" w:eastAsia="Times New Roman" w:hAnsi="Baskerville Old Face" w:cs="Times New Roman"/>
          <w:iCs/>
          <w:color w:val="000000"/>
          <w:lang w:eastAsia="es-GT"/>
        </w:rPr>
      </w:pPr>
      <w:r>
        <w:rPr>
          <w:rFonts w:ascii="Baskerville Old Face" w:eastAsia="Times New Roman" w:hAnsi="Baskerville Old Face" w:cs="Times New Roman"/>
          <w:iCs/>
          <w:color w:val="000000"/>
          <w:lang w:eastAsia="es-GT"/>
        </w:rPr>
        <w:t>Carta Democrática Interamericana</w:t>
      </w:r>
    </w:p>
    <w:p w14:paraId="54D7B755" w14:textId="77777777" w:rsidR="00C8733D" w:rsidRPr="00C8733D" w:rsidRDefault="00C8733D" w:rsidP="00C8733D">
      <w:pPr>
        <w:spacing w:before="240"/>
        <w:ind w:left="720" w:right="49"/>
        <w:jc w:val="both"/>
        <w:textAlignment w:val="baseline"/>
        <w:rPr>
          <w:rFonts w:ascii="Baskerville Old Face" w:eastAsia="Times New Roman" w:hAnsi="Baskerville Old Face" w:cs="Times New Roman"/>
          <w:iCs/>
          <w:color w:val="000000"/>
          <w:lang w:eastAsia="es-GT"/>
        </w:rPr>
      </w:pPr>
    </w:p>
    <w:p w14:paraId="0A93078C" w14:textId="4FFFCCC9" w:rsidR="00D93AE7" w:rsidRPr="00C8733D" w:rsidRDefault="00C8733D" w:rsidP="00D93AE7">
      <w:pPr>
        <w:spacing w:after="120"/>
        <w:ind w:right="739"/>
        <w:jc w:val="both"/>
        <w:rPr>
          <w:rFonts w:ascii="Baskerville Old Face" w:eastAsia="Times New Roman" w:hAnsi="Baskerville Old Face" w:cs="Times New Roman"/>
          <w:iCs/>
          <w:lang w:eastAsia="es-GT"/>
        </w:rPr>
      </w:pPr>
      <w:r>
        <w:rPr>
          <w:rFonts w:ascii="Baskerville Old Face" w:eastAsia="Times New Roman" w:hAnsi="Baskerville Old Face" w:cs="Times New Roman"/>
          <w:iCs/>
          <w:color w:val="000000"/>
          <w:lang w:eastAsia="es-GT"/>
        </w:rPr>
        <w:t xml:space="preserve">c) </w:t>
      </w:r>
      <w:r w:rsidR="00D93AE7" w:rsidRPr="00C8733D">
        <w:rPr>
          <w:rFonts w:ascii="Baskerville Old Face" w:eastAsia="Times New Roman" w:hAnsi="Baskerville Old Face" w:cs="Times New Roman"/>
          <w:iCs/>
          <w:color w:val="000000"/>
          <w:lang w:eastAsia="es-GT"/>
        </w:rPr>
        <w:t>Nacionales: </w:t>
      </w:r>
    </w:p>
    <w:p w14:paraId="02E21DFA" w14:textId="69CC078B" w:rsidR="00B86093" w:rsidRPr="00C8733D" w:rsidRDefault="00B86093" w:rsidP="00621006">
      <w:pPr>
        <w:pStyle w:val="ListParagraph"/>
        <w:numPr>
          <w:ilvl w:val="0"/>
          <w:numId w:val="11"/>
        </w:numPr>
        <w:jc w:val="both"/>
        <w:rPr>
          <w:rFonts w:ascii="Baskerville Old Face" w:hAnsi="Baskerville Old Face" w:cs="Times New Roman"/>
        </w:rPr>
      </w:pPr>
      <w:r w:rsidRPr="00C8733D">
        <w:rPr>
          <w:rFonts w:ascii="Baskerville Old Face" w:hAnsi="Baskerville Old Face" w:cs="Times New Roman"/>
        </w:rPr>
        <w:t>Constitución Política de la República de Guatemala</w:t>
      </w:r>
    </w:p>
    <w:p w14:paraId="534A4F4A" w14:textId="4E3B67D8" w:rsidR="00B86093" w:rsidRPr="00C8733D" w:rsidRDefault="00B86093" w:rsidP="00B86093">
      <w:pPr>
        <w:pStyle w:val="ListParagraph"/>
        <w:jc w:val="both"/>
        <w:rPr>
          <w:rFonts w:ascii="Baskerville Old Face" w:hAnsi="Baskerville Old Face" w:cs="Times New Roman"/>
        </w:rPr>
      </w:pPr>
    </w:p>
    <w:p w14:paraId="1C834C83" w14:textId="45B31965" w:rsidR="00621006" w:rsidRPr="00C8733D" w:rsidRDefault="00621006" w:rsidP="00621006">
      <w:pPr>
        <w:pStyle w:val="ListParagraph"/>
        <w:numPr>
          <w:ilvl w:val="0"/>
          <w:numId w:val="11"/>
        </w:numPr>
        <w:jc w:val="both"/>
        <w:rPr>
          <w:rFonts w:ascii="Baskerville Old Face" w:hAnsi="Baskerville Old Face" w:cs="Times New Roman"/>
        </w:rPr>
      </w:pPr>
      <w:r w:rsidRPr="00C8733D">
        <w:rPr>
          <w:rFonts w:ascii="Baskerville Old Face" w:hAnsi="Baskerville Old Face" w:cs="Times New Roman"/>
        </w:rPr>
        <w:t>Ley de Protección para las Personas de la Tercera Edad Decreto número 80-96. Mediante la cual se garantiza la alimentación, salud, educación y recreación para las personas de la tercera edad en estado de vulnerabilidad, por medio de distintas instituciones como Ministerio de Salud entre otras.</w:t>
      </w:r>
    </w:p>
    <w:p w14:paraId="55FBD414" w14:textId="77777777" w:rsidR="00621006" w:rsidRPr="00C8733D" w:rsidRDefault="00621006" w:rsidP="00621006">
      <w:pPr>
        <w:pStyle w:val="ListParagraph"/>
        <w:jc w:val="both"/>
        <w:rPr>
          <w:rFonts w:ascii="Baskerville Old Face" w:hAnsi="Baskerville Old Face" w:cs="Times New Roman"/>
        </w:rPr>
      </w:pPr>
    </w:p>
    <w:p w14:paraId="741AFFF9" w14:textId="32E9D437" w:rsidR="00621006" w:rsidRPr="00C8733D" w:rsidRDefault="00621006" w:rsidP="00621006">
      <w:pPr>
        <w:pStyle w:val="ListParagraph"/>
        <w:numPr>
          <w:ilvl w:val="0"/>
          <w:numId w:val="11"/>
        </w:numPr>
        <w:jc w:val="both"/>
        <w:rPr>
          <w:rFonts w:ascii="Baskerville Old Face" w:hAnsi="Baskerville Old Face" w:cs="Times New Roman"/>
        </w:rPr>
      </w:pPr>
      <w:r w:rsidRPr="00C8733D">
        <w:rPr>
          <w:rFonts w:ascii="Baskerville Old Face" w:hAnsi="Baskerville Old Face" w:cs="Times New Roman"/>
        </w:rPr>
        <w:t xml:space="preserve">Ley del Programa de Aporte Económico del Adulto Mayor Decreto Número 85-2005, </w:t>
      </w:r>
      <w:r w:rsidRPr="00C8733D">
        <w:rPr>
          <w:rFonts w:ascii="Baskerville Old Face" w:eastAsia="Times New Roman" w:hAnsi="Baskerville Old Face" w:cs="Times New Roman"/>
          <w:iCs/>
          <w:color w:val="000000"/>
          <w:lang w:eastAsia="es-GT"/>
        </w:rPr>
        <w:t>reformado en 2009.</w:t>
      </w:r>
      <w:r w:rsidRPr="00C8733D">
        <w:rPr>
          <w:rFonts w:ascii="Baskerville Old Face" w:hAnsi="Baskerville Old Face" w:cs="Times New Roman"/>
        </w:rPr>
        <w:t xml:space="preserve"> En el cual se establece un aporte económico a las personas de sesenta y cinco </w:t>
      </w:r>
      <w:r w:rsidR="00180183" w:rsidRPr="00C8733D">
        <w:rPr>
          <w:rFonts w:ascii="Baskerville Old Face" w:hAnsi="Baskerville Old Face" w:cs="Times New Roman"/>
        </w:rPr>
        <w:t>años</w:t>
      </w:r>
      <w:r w:rsidRPr="00C8733D">
        <w:rPr>
          <w:rFonts w:ascii="Baskerville Old Face" w:hAnsi="Baskerville Old Face" w:cs="Times New Roman"/>
        </w:rPr>
        <w:t xml:space="preserve"> para atender sus necesidades básicas, programa a cargo de las delegaciones departamentales del Ministerio de Trabajo y Previsión Social.</w:t>
      </w:r>
    </w:p>
    <w:p w14:paraId="65EF9357" w14:textId="77777777" w:rsidR="00621006" w:rsidRPr="00C8733D" w:rsidRDefault="00621006" w:rsidP="00621006">
      <w:pPr>
        <w:jc w:val="both"/>
        <w:rPr>
          <w:rFonts w:ascii="Baskerville Old Face" w:hAnsi="Baskerville Old Face" w:cs="Times New Roman"/>
        </w:rPr>
      </w:pPr>
    </w:p>
    <w:p w14:paraId="4ADAF11D" w14:textId="62D8E300" w:rsidR="00621006" w:rsidRPr="00C8733D" w:rsidRDefault="00621006" w:rsidP="00621006">
      <w:pPr>
        <w:pStyle w:val="ListParagraph"/>
        <w:numPr>
          <w:ilvl w:val="0"/>
          <w:numId w:val="11"/>
        </w:numPr>
        <w:jc w:val="both"/>
        <w:rPr>
          <w:rFonts w:ascii="Baskerville Old Face" w:hAnsi="Baskerville Old Face" w:cs="Times New Roman"/>
        </w:rPr>
      </w:pPr>
      <w:r w:rsidRPr="00C8733D">
        <w:rPr>
          <w:rFonts w:ascii="Baskerville Old Face" w:hAnsi="Baskerville Old Face" w:cs="Times New Roman"/>
        </w:rPr>
        <w:t>Programa Mis Años Dorados, de la Secretaría de Obras Sociales de la Esposa del Presidente –SOSEP-, mediante el cual se enfoca a asistir a los adultos mayores a través de alimentación y recreación.</w:t>
      </w:r>
    </w:p>
    <w:p w14:paraId="35895DF4" w14:textId="77777777" w:rsidR="00621006" w:rsidRPr="00C8733D" w:rsidRDefault="00621006" w:rsidP="00621006">
      <w:pPr>
        <w:rPr>
          <w:rFonts w:ascii="Baskerville Old Face" w:hAnsi="Baskerville Old Face" w:cs="Times New Roman"/>
        </w:rPr>
      </w:pPr>
    </w:p>
    <w:p w14:paraId="7CA3EE8A" w14:textId="7E207B08" w:rsidR="00CF5D1F" w:rsidRPr="00C8733D" w:rsidRDefault="00D93AE7" w:rsidP="00621006">
      <w:pPr>
        <w:numPr>
          <w:ilvl w:val="0"/>
          <w:numId w:val="11"/>
        </w:numPr>
        <w:spacing w:after="120"/>
        <w:ind w:right="49"/>
        <w:jc w:val="both"/>
        <w:textAlignment w:val="baseline"/>
        <w:rPr>
          <w:rFonts w:ascii="Baskerville Old Face" w:eastAsia="Times New Roman" w:hAnsi="Baskerville Old Face" w:cs="Times New Roman"/>
          <w:iCs/>
          <w:color w:val="000000"/>
          <w:lang w:eastAsia="es-GT"/>
        </w:rPr>
      </w:pPr>
      <w:r w:rsidRPr="00C8733D">
        <w:rPr>
          <w:rFonts w:ascii="Baskerville Old Face" w:eastAsia="Times New Roman" w:hAnsi="Baskerville Old Face" w:cs="Times New Roman"/>
          <w:iCs/>
          <w:color w:val="000000"/>
          <w:lang w:eastAsia="es-GT"/>
        </w:rPr>
        <w:t>El Decreto 80-96</w:t>
      </w:r>
      <w:r w:rsidR="00CF5D1F" w:rsidRPr="00C8733D">
        <w:rPr>
          <w:rFonts w:ascii="Baskerville Old Face" w:eastAsia="Times New Roman" w:hAnsi="Baskerville Old Face" w:cs="Times New Roman"/>
          <w:iCs/>
          <w:color w:val="000000"/>
          <w:lang w:eastAsia="es-GT"/>
        </w:rPr>
        <w:t xml:space="preserve"> del Congreso de la Republica de Guatemala</w:t>
      </w:r>
      <w:r w:rsidR="00906E74" w:rsidRPr="00C8733D">
        <w:rPr>
          <w:rFonts w:ascii="Baskerville Old Face" w:eastAsia="Times New Roman" w:hAnsi="Baskerville Old Face" w:cs="Times New Roman"/>
          <w:iCs/>
          <w:color w:val="000000"/>
          <w:lang w:eastAsia="es-GT"/>
        </w:rPr>
        <w:t>,</w:t>
      </w:r>
      <w:r w:rsidR="00CF5D1F" w:rsidRPr="00C8733D">
        <w:rPr>
          <w:rFonts w:ascii="Baskerville Old Face" w:eastAsia="Times New Roman" w:hAnsi="Baskerville Old Face" w:cs="Times New Roman"/>
          <w:iCs/>
          <w:color w:val="000000"/>
          <w:lang w:eastAsia="es-GT"/>
        </w:rPr>
        <w:t xml:space="preserve"> Ley de</w:t>
      </w:r>
      <w:r w:rsidR="00621006" w:rsidRPr="00C8733D">
        <w:rPr>
          <w:rFonts w:ascii="Baskerville Old Face" w:eastAsia="Times New Roman" w:hAnsi="Baskerville Old Face" w:cs="Times New Roman"/>
          <w:iCs/>
          <w:color w:val="000000"/>
          <w:lang w:eastAsia="es-GT"/>
        </w:rPr>
        <w:t xml:space="preserve"> </w:t>
      </w:r>
      <w:r w:rsidR="00CF5D1F" w:rsidRPr="00C8733D">
        <w:rPr>
          <w:rFonts w:ascii="Baskerville Old Face" w:eastAsia="Times New Roman" w:hAnsi="Baskerville Old Face" w:cs="Times New Roman"/>
          <w:iCs/>
          <w:color w:val="000000"/>
          <w:lang w:eastAsia="es-GT"/>
        </w:rPr>
        <w:t>protección de las personas de la tercera edad y sus reformas, en el artículo 32 crea el Comité Nacional de Protección a la Vejez CONAPROV, el cual está integrado de la siguiente manera:</w:t>
      </w:r>
    </w:p>
    <w:p w14:paraId="43A3E90A" w14:textId="09ED161C" w:rsidR="00CF5D1F" w:rsidRPr="00C8733D" w:rsidRDefault="00CF5D1F" w:rsidP="00CF5D1F">
      <w:pPr>
        <w:numPr>
          <w:ilvl w:val="1"/>
          <w:numId w:val="11"/>
        </w:numPr>
        <w:spacing w:after="120"/>
        <w:ind w:right="739"/>
        <w:jc w:val="both"/>
        <w:textAlignment w:val="baseline"/>
        <w:rPr>
          <w:rFonts w:ascii="Baskerville Old Face" w:eastAsia="Times New Roman" w:hAnsi="Baskerville Old Face" w:cs="Times New Roman"/>
          <w:iCs/>
          <w:color w:val="000000"/>
          <w:lang w:eastAsia="es-GT"/>
        </w:rPr>
      </w:pPr>
      <w:r w:rsidRPr="00C8733D">
        <w:rPr>
          <w:rFonts w:ascii="Baskerville Old Face" w:eastAsia="Times New Roman" w:hAnsi="Baskerville Old Face" w:cs="Times New Roman"/>
          <w:iCs/>
          <w:color w:val="000000"/>
          <w:lang w:eastAsia="es-GT"/>
        </w:rPr>
        <w:t xml:space="preserve">Secretaria de obras sociales de la </w:t>
      </w:r>
      <w:r w:rsidR="00621006" w:rsidRPr="00C8733D">
        <w:rPr>
          <w:rFonts w:ascii="Baskerville Old Face" w:eastAsia="Times New Roman" w:hAnsi="Baskerville Old Face" w:cs="Times New Roman"/>
          <w:iCs/>
          <w:color w:val="000000"/>
          <w:lang w:eastAsia="es-GT"/>
        </w:rPr>
        <w:t>E</w:t>
      </w:r>
      <w:r w:rsidRPr="00C8733D">
        <w:rPr>
          <w:rFonts w:ascii="Baskerville Old Face" w:eastAsia="Times New Roman" w:hAnsi="Baskerville Old Face" w:cs="Times New Roman"/>
          <w:iCs/>
          <w:color w:val="000000"/>
          <w:lang w:eastAsia="es-GT"/>
        </w:rPr>
        <w:t xml:space="preserve">sposa del </w:t>
      </w:r>
      <w:r w:rsidR="00621006" w:rsidRPr="00C8733D">
        <w:rPr>
          <w:rFonts w:ascii="Baskerville Old Face" w:eastAsia="Times New Roman" w:hAnsi="Baskerville Old Face" w:cs="Times New Roman"/>
          <w:iCs/>
          <w:color w:val="000000"/>
          <w:lang w:eastAsia="es-GT"/>
        </w:rPr>
        <w:t>Presidente</w:t>
      </w:r>
      <w:r w:rsidRPr="00C8733D">
        <w:rPr>
          <w:rFonts w:ascii="Baskerville Old Face" w:eastAsia="Times New Roman" w:hAnsi="Baskerville Old Face" w:cs="Times New Roman"/>
          <w:iCs/>
          <w:color w:val="000000"/>
          <w:lang w:eastAsia="es-GT"/>
        </w:rPr>
        <w:t xml:space="preserve"> -SOSEP-</w:t>
      </w:r>
    </w:p>
    <w:p w14:paraId="5976159B" w14:textId="77777777" w:rsidR="00CF5D1F" w:rsidRPr="00C8733D" w:rsidRDefault="00CF5D1F" w:rsidP="00CF5D1F">
      <w:pPr>
        <w:numPr>
          <w:ilvl w:val="1"/>
          <w:numId w:val="11"/>
        </w:numPr>
        <w:spacing w:after="120"/>
        <w:ind w:right="739"/>
        <w:jc w:val="both"/>
        <w:textAlignment w:val="baseline"/>
        <w:rPr>
          <w:rFonts w:ascii="Baskerville Old Face" w:eastAsia="Times New Roman" w:hAnsi="Baskerville Old Face" w:cs="Times New Roman"/>
          <w:iCs/>
          <w:color w:val="000000"/>
          <w:lang w:eastAsia="es-GT"/>
        </w:rPr>
      </w:pPr>
      <w:r w:rsidRPr="00C8733D">
        <w:rPr>
          <w:rFonts w:ascii="Baskerville Old Face" w:eastAsia="Times New Roman" w:hAnsi="Baskerville Old Face" w:cs="Times New Roman"/>
          <w:iCs/>
          <w:color w:val="000000"/>
          <w:lang w:eastAsia="es-GT"/>
        </w:rPr>
        <w:t>Instituto guatemalteco de Seguridad Social -IGSS-</w:t>
      </w:r>
    </w:p>
    <w:p w14:paraId="44B143D5" w14:textId="77777777" w:rsidR="00CF5D1F" w:rsidRPr="00C8733D" w:rsidRDefault="00CF5D1F" w:rsidP="00CF5D1F">
      <w:pPr>
        <w:numPr>
          <w:ilvl w:val="1"/>
          <w:numId w:val="11"/>
        </w:numPr>
        <w:spacing w:after="120"/>
        <w:ind w:right="739"/>
        <w:jc w:val="both"/>
        <w:textAlignment w:val="baseline"/>
        <w:rPr>
          <w:rFonts w:ascii="Baskerville Old Face" w:eastAsia="Times New Roman" w:hAnsi="Baskerville Old Face" w:cs="Times New Roman"/>
          <w:iCs/>
          <w:color w:val="000000"/>
          <w:lang w:eastAsia="es-GT"/>
        </w:rPr>
      </w:pPr>
      <w:r w:rsidRPr="00C8733D">
        <w:rPr>
          <w:rFonts w:ascii="Baskerville Old Face" w:eastAsia="Times New Roman" w:hAnsi="Baskerville Old Face" w:cs="Times New Roman"/>
          <w:iCs/>
          <w:color w:val="000000"/>
          <w:lang w:eastAsia="es-GT"/>
        </w:rPr>
        <w:lastRenderedPageBreak/>
        <w:t>Ministerio de Trabajo y Previsión Social -MINTRAB-</w:t>
      </w:r>
    </w:p>
    <w:p w14:paraId="6397E705" w14:textId="75EF33D2" w:rsidR="00906E74" w:rsidRPr="00C8733D" w:rsidRDefault="00906E74" w:rsidP="00CF5D1F">
      <w:pPr>
        <w:numPr>
          <w:ilvl w:val="1"/>
          <w:numId w:val="11"/>
        </w:numPr>
        <w:spacing w:after="120"/>
        <w:ind w:right="739"/>
        <w:jc w:val="both"/>
        <w:textAlignment w:val="baseline"/>
        <w:rPr>
          <w:rFonts w:ascii="Baskerville Old Face" w:eastAsia="Times New Roman" w:hAnsi="Baskerville Old Face" w:cs="Times New Roman"/>
          <w:iCs/>
          <w:color w:val="000000"/>
          <w:lang w:eastAsia="es-GT"/>
        </w:rPr>
      </w:pPr>
      <w:r w:rsidRPr="00C8733D">
        <w:rPr>
          <w:rFonts w:ascii="Baskerville Old Face" w:eastAsia="Times New Roman" w:hAnsi="Baskerville Old Face" w:cs="Times New Roman"/>
          <w:iCs/>
          <w:color w:val="000000"/>
          <w:lang w:eastAsia="es-GT"/>
        </w:rPr>
        <w:t xml:space="preserve">Ministerio de Salud </w:t>
      </w:r>
      <w:r w:rsidR="00D63571" w:rsidRPr="00C8733D">
        <w:rPr>
          <w:rFonts w:ascii="Baskerville Old Face" w:eastAsia="Times New Roman" w:hAnsi="Baskerville Old Face" w:cs="Times New Roman"/>
          <w:iCs/>
          <w:color w:val="000000"/>
          <w:lang w:eastAsia="es-GT"/>
        </w:rPr>
        <w:t>Pública</w:t>
      </w:r>
      <w:r w:rsidRPr="00C8733D">
        <w:rPr>
          <w:rFonts w:ascii="Baskerville Old Face" w:eastAsia="Times New Roman" w:hAnsi="Baskerville Old Face" w:cs="Times New Roman"/>
          <w:iCs/>
          <w:color w:val="000000"/>
          <w:lang w:eastAsia="es-GT"/>
        </w:rPr>
        <w:t xml:space="preserve"> y Asistencia Social -MSPAS-</w:t>
      </w:r>
    </w:p>
    <w:p w14:paraId="346C2D65" w14:textId="6AC40087" w:rsidR="00CF5D1F" w:rsidRPr="00C8733D" w:rsidRDefault="00906E74" w:rsidP="00CF5D1F">
      <w:pPr>
        <w:numPr>
          <w:ilvl w:val="1"/>
          <w:numId w:val="11"/>
        </w:numPr>
        <w:spacing w:after="120"/>
        <w:ind w:right="739"/>
        <w:jc w:val="both"/>
        <w:textAlignment w:val="baseline"/>
        <w:rPr>
          <w:rFonts w:ascii="Baskerville Old Face" w:eastAsia="Times New Roman" w:hAnsi="Baskerville Old Face" w:cs="Times New Roman"/>
          <w:iCs/>
          <w:color w:val="000000"/>
          <w:lang w:eastAsia="es-GT"/>
        </w:rPr>
      </w:pPr>
      <w:r w:rsidRPr="00C8733D">
        <w:rPr>
          <w:rFonts w:ascii="Baskerville Old Face" w:eastAsia="Times New Roman" w:hAnsi="Baskerville Old Face" w:cs="Times New Roman"/>
          <w:iCs/>
          <w:color w:val="000000"/>
          <w:lang w:eastAsia="es-GT"/>
        </w:rPr>
        <w:t>Procuraduría General de la Nación -PGN-</w:t>
      </w:r>
      <w:r w:rsidR="00CF5D1F" w:rsidRPr="00C8733D">
        <w:rPr>
          <w:rFonts w:ascii="Baskerville Old Face" w:eastAsia="Times New Roman" w:hAnsi="Baskerville Old Face" w:cs="Times New Roman"/>
          <w:iCs/>
          <w:color w:val="000000"/>
          <w:lang w:eastAsia="es-GT"/>
        </w:rPr>
        <w:t xml:space="preserve"> </w:t>
      </w:r>
    </w:p>
    <w:p w14:paraId="11AC20ED" w14:textId="77777777" w:rsidR="00B86093" w:rsidRDefault="00B86093" w:rsidP="009E46D6">
      <w:pPr>
        <w:pStyle w:val="NormalWeb"/>
        <w:spacing w:before="0" w:beforeAutospacing="0" w:after="0" w:afterAutospacing="0"/>
        <w:jc w:val="both"/>
        <w:rPr>
          <w:i/>
          <w:iCs/>
          <w:color w:val="000000"/>
        </w:rPr>
      </w:pPr>
    </w:p>
    <w:p w14:paraId="6EFEF456" w14:textId="272AEDB0" w:rsidR="00DB2619" w:rsidRPr="00C8733D" w:rsidRDefault="000E78B0" w:rsidP="00C8733D">
      <w:pPr>
        <w:pStyle w:val="Heading2"/>
        <w:ind w:left="284" w:hanging="284"/>
        <w:jc w:val="both"/>
        <w:rPr>
          <w:rFonts w:ascii="Baskerville Old Face" w:hAnsi="Baskerville Old Face"/>
        </w:rPr>
      </w:pPr>
      <w:r w:rsidRPr="00C8733D">
        <w:rPr>
          <w:rFonts w:ascii="Baskerville Old Face" w:hAnsi="Baskerville Old Face"/>
        </w:rPr>
        <w:t>Sírvase aportar información también de los planes de acción o las políticas de sensibilización y lucha contra el edadismo (incluido en programas escolares) y el avance hacia una sociedad más inclusiva y favorable a la edad.</w:t>
      </w:r>
    </w:p>
    <w:p w14:paraId="471710C8" w14:textId="77777777" w:rsidR="000A5078" w:rsidRPr="000E33D8" w:rsidRDefault="000A5078" w:rsidP="00DB2619">
      <w:pPr>
        <w:rPr>
          <w:rFonts w:ascii="Times New Roman" w:hAnsi="Times New Roman" w:cs="Times New Roman"/>
          <w:b/>
          <w:i/>
        </w:rPr>
      </w:pPr>
    </w:p>
    <w:p w14:paraId="3A43372D" w14:textId="10543E92" w:rsidR="00F21C32" w:rsidRPr="002F2A54" w:rsidRDefault="002F2A54" w:rsidP="00621006">
      <w:pPr>
        <w:jc w:val="both"/>
        <w:rPr>
          <w:rFonts w:ascii="Baskerville Old Face" w:hAnsi="Baskerville Old Face" w:cs="Times New Roman"/>
        </w:rPr>
      </w:pPr>
      <w:r w:rsidRPr="002F2A54">
        <w:rPr>
          <w:rFonts w:ascii="Baskerville Old Face" w:hAnsi="Baskerville Old Face" w:cs="Times New Roman"/>
        </w:rPr>
        <w:t>L</w:t>
      </w:r>
      <w:r w:rsidR="00F21C32" w:rsidRPr="002F2A54">
        <w:rPr>
          <w:rFonts w:ascii="Baskerville Old Face" w:hAnsi="Baskerville Old Face" w:cs="Times New Roman"/>
        </w:rPr>
        <w:t>a Universidad de San Car</w:t>
      </w:r>
      <w:r w:rsidRPr="002F2A54">
        <w:rPr>
          <w:rFonts w:ascii="Baskerville Old Face" w:hAnsi="Baskerville Old Face" w:cs="Times New Roman"/>
        </w:rPr>
        <w:t>los de Guatemala se encuentra en el proceso de elaboración de una p</w:t>
      </w:r>
      <w:r w:rsidR="00F21C32" w:rsidRPr="002F2A54">
        <w:rPr>
          <w:rFonts w:ascii="Baskerville Old Face" w:hAnsi="Baskerville Old Face" w:cs="Times New Roman"/>
        </w:rPr>
        <w:t xml:space="preserve">ropuesta para la Política de Inclusión, la cual puede ser una ventana de oportunidad para </w:t>
      </w:r>
      <w:r w:rsidRPr="002F2A54">
        <w:rPr>
          <w:rFonts w:ascii="Baskerville Old Face" w:hAnsi="Baskerville Old Face" w:cs="Times New Roman"/>
        </w:rPr>
        <w:t>tomar en cuenta</w:t>
      </w:r>
      <w:r w:rsidR="00F21C32" w:rsidRPr="002F2A54">
        <w:rPr>
          <w:rFonts w:ascii="Baskerville Old Face" w:hAnsi="Baskerville Old Face" w:cs="Times New Roman"/>
        </w:rPr>
        <w:t xml:space="preserve"> </w:t>
      </w:r>
      <w:r w:rsidRPr="002F2A54">
        <w:rPr>
          <w:rFonts w:ascii="Baskerville Old Face" w:hAnsi="Baskerville Old Face" w:cs="Times New Roman"/>
        </w:rPr>
        <w:t>la</w:t>
      </w:r>
      <w:r w:rsidR="00F21C32" w:rsidRPr="002F2A54">
        <w:rPr>
          <w:rFonts w:ascii="Baskerville Old Face" w:hAnsi="Baskerville Old Face" w:cs="Times New Roman"/>
        </w:rPr>
        <w:t xml:space="preserve"> problemática del Edadismo y discriminación por edad en esta casa de estudios, e iniciar acciones para la sensibilización, formación y capacitación, investigación, entre otras.   </w:t>
      </w:r>
    </w:p>
    <w:p w14:paraId="3FA87A03" w14:textId="77777777" w:rsidR="00F21C32" w:rsidRPr="002F2A54" w:rsidRDefault="00F21C32" w:rsidP="00F21C32">
      <w:pPr>
        <w:rPr>
          <w:rFonts w:ascii="Baskerville Old Face" w:hAnsi="Baskerville Old Face" w:cs="Times New Roman"/>
        </w:rPr>
      </w:pPr>
    </w:p>
    <w:p w14:paraId="3D5D9590" w14:textId="4122EEB0" w:rsidR="00F21C32" w:rsidRPr="002F2A54" w:rsidRDefault="00F21C32" w:rsidP="00621006">
      <w:pPr>
        <w:jc w:val="both"/>
        <w:rPr>
          <w:rFonts w:ascii="Baskerville Old Face" w:hAnsi="Baskerville Old Face" w:cs="Times New Roman"/>
        </w:rPr>
      </w:pPr>
      <w:r w:rsidRPr="002F2A54">
        <w:rPr>
          <w:rFonts w:ascii="Baskerville Old Face" w:hAnsi="Baskerville Old Face" w:cs="Times New Roman"/>
        </w:rPr>
        <w:t>Como parte de las funciones del Área de Extensión de IUMUSAC, en sus tres programas: Comunicación, Desarrollo Cultural y Proyección Social, se fomenta el respeto a los derechos humanos de las mujeres de edad y además se anima y se cuenta con participación como invitadas a mujeres de edad, para que transmitan sus conocimientos y experiencias a la comunidad universitaria y sociedad guatemalteca como espacios de formación, discusión y reflexión en los distintos saberes.</w:t>
      </w:r>
    </w:p>
    <w:p w14:paraId="4A3F924C" w14:textId="77777777" w:rsidR="00F21C32" w:rsidRPr="000E33D8" w:rsidRDefault="00F21C32" w:rsidP="00F21C32">
      <w:pPr>
        <w:rPr>
          <w:rFonts w:ascii="Times New Roman" w:hAnsi="Times New Roman" w:cs="Times New Roman"/>
          <w:i/>
        </w:rPr>
      </w:pPr>
    </w:p>
    <w:p w14:paraId="335E4CA5" w14:textId="43E1594A" w:rsidR="00F21C32" w:rsidRPr="000152CC" w:rsidRDefault="00F21C32" w:rsidP="000A5078">
      <w:pPr>
        <w:jc w:val="both"/>
        <w:rPr>
          <w:rFonts w:ascii="Baskerville Old Face" w:hAnsi="Baskerville Old Face" w:cs="Times New Roman"/>
        </w:rPr>
      </w:pPr>
      <w:r w:rsidRPr="000152CC">
        <w:rPr>
          <w:rFonts w:ascii="Baskerville Old Face" w:hAnsi="Baskerville Old Face" w:cs="Times New Roman"/>
        </w:rPr>
        <w:lastRenderedPageBreak/>
        <w:t>En las diferentes actividades como lo son: el programa radial del Instituto se abordan temas relacionados a la discriminación de las mujeres y cómo prevenirla. En las redes sociales del Instituto se hacen publicaciones relacionadas al respeto de los derechos humanos de las mujeres.  Además, en los méritos y reconocimientos que el IUMUSAC y Rectoría otorgan se realizan homenajes a mujeres universitarias de todas las edades por su ardua labor en esta casa de estudios. De igual manera las distintas capacitaciones extracurriculares se fomentan y permiten la participación de mujeres de edad en los destinos procesos formativos, sin importar su nivel de escolarización.</w:t>
      </w:r>
    </w:p>
    <w:p w14:paraId="31665360" w14:textId="77777777" w:rsidR="00F21C32" w:rsidRPr="000152CC" w:rsidRDefault="00F21C32" w:rsidP="00F21C32">
      <w:pPr>
        <w:rPr>
          <w:rFonts w:ascii="Baskerville Old Face" w:hAnsi="Baskerville Old Face" w:cs="Times New Roman"/>
        </w:rPr>
      </w:pPr>
    </w:p>
    <w:p w14:paraId="379F0E33" w14:textId="34363B7A" w:rsidR="000A5078" w:rsidRPr="000152CC" w:rsidRDefault="000152CC" w:rsidP="000A5078">
      <w:pPr>
        <w:jc w:val="both"/>
        <w:rPr>
          <w:rFonts w:ascii="Baskerville Old Face" w:eastAsia="Times New Roman" w:hAnsi="Baskerville Old Face" w:cs="Times New Roman"/>
          <w:color w:val="000000"/>
          <w:lang w:eastAsia="es-GT"/>
        </w:rPr>
      </w:pPr>
      <w:r>
        <w:rPr>
          <w:rFonts w:ascii="Baskerville Old Face" w:eastAsia="Times New Roman" w:hAnsi="Baskerville Old Face" w:cs="Times New Roman"/>
          <w:color w:val="000000"/>
          <w:lang w:eastAsia="es-GT"/>
        </w:rPr>
        <w:t>C</w:t>
      </w:r>
      <w:r w:rsidR="000A5078" w:rsidRPr="000152CC">
        <w:rPr>
          <w:rFonts w:ascii="Baskerville Old Face" w:eastAsia="Times New Roman" w:hAnsi="Baskerville Old Face" w:cs="Times New Roman"/>
          <w:color w:val="000000"/>
          <w:lang w:eastAsia="es-GT"/>
        </w:rPr>
        <w:t>omo parte de  programas que  se desarrollan</w:t>
      </w:r>
      <w:r>
        <w:rPr>
          <w:rFonts w:ascii="Baskerville Old Face" w:eastAsia="Times New Roman" w:hAnsi="Baskerville Old Face" w:cs="Times New Roman"/>
          <w:color w:val="000000"/>
          <w:lang w:eastAsia="es-GT"/>
        </w:rPr>
        <w:t xml:space="preserve"> en esa casa de estudios</w:t>
      </w:r>
      <w:r w:rsidR="000A5078" w:rsidRPr="000152CC">
        <w:rPr>
          <w:rFonts w:ascii="Baskerville Old Face" w:eastAsia="Times New Roman" w:hAnsi="Baskerville Old Face" w:cs="Times New Roman"/>
          <w:color w:val="000000"/>
          <w:lang w:eastAsia="es-GT"/>
        </w:rPr>
        <w:t>, por ejemplo en el Instituto Universitario de la Mujer, en sus tres programas: Comunicación, Desarrollo Cultural y Proyección Social, se fomenta el respeto a los derechos humanos de las mujeres de edad y además se anima y se cuenta con participación como invitadas a mujeres de edad, para que transmitan sus conocimientos y experiencias a la comunidad universitaria y sociedad guatemalteca como espacios de formación, discusión y reflexión en los distintos saberes.</w:t>
      </w:r>
    </w:p>
    <w:p w14:paraId="3FB370DB" w14:textId="77777777" w:rsidR="000A5078" w:rsidRPr="000E33D8" w:rsidRDefault="000A5078" w:rsidP="000A5078">
      <w:pPr>
        <w:jc w:val="both"/>
        <w:rPr>
          <w:rFonts w:ascii="Times New Roman" w:eastAsia="Times New Roman" w:hAnsi="Times New Roman" w:cs="Times New Roman"/>
          <w:i/>
          <w:lang w:eastAsia="es-GT"/>
        </w:rPr>
      </w:pPr>
    </w:p>
    <w:p w14:paraId="084D6241" w14:textId="7BB09C83" w:rsidR="000A5078" w:rsidRPr="000152CC" w:rsidRDefault="000152CC" w:rsidP="000A5078">
      <w:pPr>
        <w:jc w:val="both"/>
        <w:rPr>
          <w:rFonts w:ascii="Baskerville Old Face" w:eastAsia="Times New Roman" w:hAnsi="Baskerville Old Face" w:cs="Times New Roman"/>
          <w:lang w:eastAsia="es-GT"/>
        </w:rPr>
      </w:pPr>
      <w:r>
        <w:rPr>
          <w:rFonts w:ascii="Baskerville Old Face" w:eastAsia="Times New Roman" w:hAnsi="Baskerville Old Face" w:cs="Times New Roman"/>
          <w:color w:val="000000"/>
          <w:lang w:eastAsia="es-GT"/>
        </w:rPr>
        <w:t>Asimismo, c</w:t>
      </w:r>
      <w:r w:rsidR="000A5078" w:rsidRPr="000152CC">
        <w:rPr>
          <w:rFonts w:ascii="Baskerville Old Face" w:eastAsia="Times New Roman" w:hAnsi="Baskerville Old Face" w:cs="Times New Roman"/>
          <w:color w:val="000000"/>
          <w:lang w:eastAsia="es-GT"/>
        </w:rPr>
        <w:t>on fecha 5 de noviembre de 2015, la Corte de Constitucionalidad dicta con lugar  la acción de inconstitucionalidad de carácter general parcial de los artículos: a) 77 numeral 5), y 77 Bis del Reglamento de Relaciones Laborales entre la Universidad de San Carlos de Guatemala y su Personal; y b) 12 del Reglamento del Plan de Prestaciones del Personal de la Universidad de San Carlos de Gua</w:t>
      </w:r>
      <w:r w:rsidR="000A5078" w:rsidRPr="000152CC">
        <w:rPr>
          <w:rFonts w:ascii="Baskerville Old Face" w:eastAsia="Times New Roman" w:hAnsi="Baskerville Old Face" w:cs="Times New Roman"/>
          <w:color w:val="000000"/>
          <w:lang w:eastAsia="es-GT"/>
        </w:rPr>
        <w:lastRenderedPageBreak/>
        <w:t>temala, promovida por el Sindicato de Profesores Titulares de la Facultad de Ciencias Jurídicas y Sociales de la Universidad de San Carlos de Guatemala,  por lo que en esta casa de estudios superiores,  la edad ya no es causal de despido, retiro voluntario o contratación.</w:t>
      </w:r>
    </w:p>
    <w:p w14:paraId="1BBF0C97" w14:textId="77777777" w:rsidR="000A5078" w:rsidRPr="000E33D8" w:rsidRDefault="000A5078" w:rsidP="000A5078">
      <w:pPr>
        <w:rPr>
          <w:rFonts w:ascii="Times New Roman" w:eastAsia="Times New Roman" w:hAnsi="Times New Roman" w:cs="Times New Roman"/>
          <w:i/>
          <w:lang w:eastAsia="es-GT"/>
        </w:rPr>
      </w:pPr>
    </w:p>
    <w:p w14:paraId="0B52C072" w14:textId="0DC13014" w:rsidR="000A5078" w:rsidRPr="000152CC" w:rsidRDefault="000A5078" w:rsidP="000A5078">
      <w:pPr>
        <w:jc w:val="both"/>
        <w:rPr>
          <w:rFonts w:ascii="Baskerville Old Face" w:eastAsia="Times New Roman" w:hAnsi="Baskerville Old Face" w:cs="Times New Roman"/>
          <w:lang w:eastAsia="es-GT"/>
        </w:rPr>
      </w:pPr>
      <w:r w:rsidRPr="000152CC">
        <w:rPr>
          <w:rFonts w:ascii="Baskerville Old Face" w:eastAsia="Times New Roman" w:hAnsi="Baskerville Old Face" w:cs="Times New Roman"/>
          <w:color w:val="000000"/>
          <w:lang w:eastAsia="es-GT"/>
        </w:rPr>
        <w:t xml:space="preserve">Según la División de Administración de Recursos Humanos, al 11 de febrero de 2021, la Universidad cuenta con 87 trabajadoras </w:t>
      </w:r>
      <w:r w:rsidR="000152CC" w:rsidRPr="000152CC">
        <w:rPr>
          <w:rFonts w:ascii="Baskerville Old Face" w:eastAsia="Times New Roman" w:hAnsi="Baskerville Old Face" w:cs="Times New Roman"/>
          <w:color w:val="000000"/>
          <w:lang w:eastAsia="es-GT"/>
        </w:rPr>
        <w:t xml:space="preserve">y 207 trabajadores </w:t>
      </w:r>
      <w:r w:rsidRPr="000152CC">
        <w:rPr>
          <w:rFonts w:ascii="Baskerville Old Face" w:eastAsia="Times New Roman" w:hAnsi="Baskerville Old Face" w:cs="Times New Roman"/>
          <w:color w:val="000000"/>
          <w:lang w:eastAsia="es-GT"/>
        </w:rPr>
        <w:t>de 60 años y más, para un total de 294.</w:t>
      </w:r>
    </w:p>
    <w:p w14:paraId="00AD82C0" w14:textId="77777777" w:rsidR="000A5078" w:rsidRPr="000E33D8" w:rsidRDefault="000A5078" w:rsidP="000A5078">
      <w:pPr>
        <w:rPr>
          <w:rFonts w:ascii="Times New Roman" w:eastAsia="Times New Roman" w:hAnsi="Times New Roman" w:cs="Times New Roman"/>
          <w:i/>
          <w:lang w:eastAsia="es-GT"/>
        </w:rPr>
      </w:pPr>
    </w:p>
    <w:p w14:paraId="1B7DAF1B" w14:textId="77777777" w:rsidR="000A5078" w:rsidRPr="000152CC" w:rsidRDefault="000A5078" w:rsidP="000A5078">
      <w:pPr>
        <w:jc w:val="both"/>
        <w:rPr>
          <w:rFonts w:ascii="Baskerville Old Face" w:eastAsia="Times New Roman" w:hAnsi="Baskerville Old Face" w:cs="Times New Roman"/>
          <w:lang w:eastAsia="es-GT"/>
        </w:rPr>
      </w:pPr>
      <w:r w:rsidRPr="000152CC">
        <w:rPr>
          <w:rFonts w:ascii="Baskerville Old Face" w:eastAsia="Times New Roman" w:hAnsi="Baskerville Old Face" w:cs="Times New Roman"/>
          <w:color w:val="000000"/>
          <w:lang w:eastAsia="es-GT"/>
        </w:rPr>
        <w:t>Así también, el Sindicato de Trabajadores de la Universidad cuenta con una Comisión de la Tercera Edad, a la que pertenecen los trabajadores jubilados, comisión que lleva a cabo actividades diversas que contribuyan al bienestar de sus afiliados.</w:t>
      </w:r>
    </w:p>
    <w:p w14:paraId="1E0A8532" w14:textId="77777777" w:rsidR="000A5078" w:rsidRPr="000E33D8" w:rsidRDefault="000A5078" w:rsidP="00F21C32">
      <w:pPr>
        <w:rPr>
          <w:rFonts w:ascii="Times New Roman" w:hAnsi="Times New Roman" w:cs="Times New Roman"/>
          <w:i/>
        </w:rPr>
      </w:pPr>
    </w:p>
    <w:p w14:paraId="26C6C27A" w14:textId="3FFE0B25" w:rsidR="00601B50" w:rsidRPr="000152CC" w:rsidRDefault="00C62FF0" w:rsidP="00415D2F">
      <w:pPr>
        <w:jc w:val="both"/>
        <w:rPr>
          <w:rFonts w:ascii="Baskerville Old Face" w:hAnsi="Baskerville Old Face" w:cs="Times New Roman"/>
        </w:rPr>
      </w:pPr>
      <w:r w:rsidRPr="000152CC">
        <w:rPr>
          <w:rFonts w:ascii="Baskerville Old Face" w:hAnsi="Baskerville Old Face" w:cs="Times New Roman"/>
        </w:rPr>
        <w:t xml:space="preserve">La Secretaria de Obras Sociales de la Esposa del Presidente, tiene a su cargo la implementación de la </w:t>
      </w:r>
      <w:r w:rsidR="00601B50" w:rsidRPr="000152CC">
        <w:rPr>
          <w:rFonts w:ascii="Baskerville Old Face" w:hAnsi="Baskerville Old Face" w:cs="Times New Roman"/>
        </w:rPr>
        <w:t>Política Nacional de Atención Integral a las personas Adultas Mayores en Guatemala periodo 2018-2032.</w:t>
      </w:r>
    </w:p>
    <w:p w14:paraId="40A01897" w14:textId="58DC2522" w:rsidR="00816C5C" w:rsidRPr="000E33D8" w:rsidRDefault="00816C5C" w:rsidP="00415D2F">
      <w:pPr>
        <w:jc w:val="both"/>
        <w:rPr>
          <w:rFonts w:ascii="Times New Roman" w:hAnsi="Times New Roman" w:cs="Times New Roman"/>
          <w:i/>
        </w:rPr>
      </w:pPr>
    </w:p>
    <w:p w14:paraId="0344C5B3" w14:textId="382D51D8" w:rsidR="00816C5C" w:rsidRDefault="00816C5C" w:rsidP="00415D2F">
      <w:pPr>
        <w:jc w:val="both"/>
        <w:rPr>
          <w:rFonts w:ascii="Baskerville Old Face" w:hAnsi="Baskerville Old Face" w:cs="Times New Roman"/>
        </w:rPr>
      </w:pPr>
      <w:r w:rsidRPr="000152CC">
        <w:rPr>
          <w:rFonts w:ascii="Baskerville Old Face" w:hAnsi="Baskerville Old Face" w:cs="Times New Roman"/>
        </w:rPr>
        <w:t>El Estado de Guatemala ha desarrollado políticas públicas, programas sobre las personas adultas mayores, utilizando categorías como vejez y el envejecimiento, elementos como la edad cronológica, fisiológica, social y cultural. Entre las que se pueden identificar:</w:t>
      </w:r>
    </w:p>
    <w:p w14:paraId="3DA9AB27" w14:textId="77777777" w:rsidR="000152CC" w:rsidRPr="000152CC" w:rsidRDefault="000152CC" w:rsidP="00415D2F">
      <w:pPr>
        <w:jc w:val="both"/>
        <w:rPr>
          <w:rFonts w:ascii="Baskerville Old Face" w:hAnsi="Baskerville Old Face" w:cs="Times New Roman"/>
        </w:rPr>
      </w:pPr>
    </w:p>
    <w:p w14:paraId="73433C3E" w14:textId="0B3D191E" w:rsidR="00816C5C" w:rsidRPr="000152CC" w:rsidRDefault="00816C5C" w:rsidP="00415D2F">
      <w:pPr>
        <w:pStyle w:val="ListParagraph"/>
        <w:numPr>
          <w:ilvl w:val="0"/>
          <w:numId w:val="28"/>
        </w:numPr>
        <w:jc w:val="both"/>
        <w:rPr>
          <w:rFonts w:ascii="Baskerville Old Face" w:hAnsi="Baskerville Old Face" w:cs="Times New Roman"/>
        </w:rPr>
      </w:pPr>
      <w:r w:rsidRPr="000152CC">
        <w:rPr>
          <w:rFonts w:ascii="Baskerville Old Face" w:hAnsi="Baskerville Old Face" w:cs="Times New Roman"/>
        </w:rPr>
        <w:t>Política Nacional de Atención Integral a las personas adultas mayores en Guatemala 2018-2032</w:t>
      </w:r>
    </w:p>
    <w:p w14:paraId="41F95888" w14:textId="7D6AB9AB" w:rsidR="00816C5C" w:rsidRPr="000152CC" w:rsidRDefault="00816C5C" w:rsidP="00415D2F">
      <w:pPr>
        <w:pStyle w:val="ListParagraph"/>
        <w:numPr>
          <w:ilvl w:val="0"/>
          <w:numId w:val="28"/>
        </w:numPr>
        <w:jc w:val="both"/>
        <w:rPr>
          <w:rFonts w:ascii="Baskerville Old Face" w:hAnsi="Baskerville Old Face" w:cs="Times New Roman"/>
        </w:rPr>
      </w:pPr>
      <w:r w:rsidRPr="000152CC">
        <w:rPr>
          <w:rFonts w:ascii="Baskerville Old Face" w:hAnsi="Baskerville Old Face" w:cs="Times New Roman"/>
        </w:rPr>
        <w:t>Plan de Acción Internacional sobre el envejecimiento</w:t>
      </w:r>
    </w:p>
    <w:p w14:paraId="0261DE8B" w14:textId="46AA0CE9" w:rsidR="00816C5C" w:rsidRPr="000152CC" w:rsidRDefault="00816C5C" w:rsidP="00415D2F">
      <w:pPr>
        <w:pStyle w:val="ListParagraph"/>
        <w:numPr>
          <w:ilvl w:val="0"/>
          <w:numId w:val="28"/>
        </w:numPr>
        <w:jc w:val="both"/>
        <w:rPr>
          <w:rFonts w:ascii="Baskerville Old Face" w:hAnsi="Baskerville Old Face" w:cs="Times New Roman"/>
        </w:rPr>
      </w:pPr>
      <w:r w:rsidRPr="000152CC">
        <w:rPr>
          <w:rFonts w:ascii="Baskerville Old Face" w:hAnsi="Baskerville Old Face" w:cs="Times New Roman"/>
        </w:rPr>
        <w:lastRenderedPageBreak/>
        <w:t>Estrategia regional de envejecimi</w:t>
      </w:r>
      <w:r w:rsidR="00983521" w:rsidRPr="000152CC">
        <w:rPr>
          <w:rFonts w:ascii="Baskerville Old Face" w:hAnsi="Baskerville Old Face" w:cs="Times New Roman"/>
        </w:rPr>
        <w:t>e</w:t>
      </w:r>
      <w:r w:rsidRPr="000152CC">
        <w:rPr>
          <w:rFonts w:ascii="Baskerville Old Face" w:hAnsi="Baskerville Old Face" w:cs="Times New Roman"/>
        </w:rPr>
        <w:t>nto CEPAL.</w:t>
      </w:r>
    </w:p>
    <w:p w14:paraId="6B7B6EF8" w14:textId="3EE69DB5" w:rsidR="00816C5C" w:rsidRPr="000152CC" w:rsidRDefault="00816C5C" w:rsidP="00415D2F">
      <w:pPr>
        <w:pStyle w:val="ListParagraph"/>
        <w:numPr>
          <w:ilvl w:val="0"/>
          <w:numId w:val="28"/>
        </w:numPr>
        <w:jc w:val="both"/>
        <w:rPr>
          <w:rFonts w:ascii="Baskerville Old Face" w:hAnsi="Baskerville Old Face" w:cs="Times New Roman"/>
        </w:rPr>
      </w:pPr>
      <w:r w:rsidRPr="000152CC">
        <w:rPr>
          <w:rFonts w:ascii="Baskerville Old Face" w:hAnsi="Baskerville Old Face" w:cs="Times New Roman"/>
        </w:rPr>
        <w:t>Estrategia y Plan de Acción, envejecimiento y la salud 2016-2020</w:t>
      </w:r>
    </w:p>
    <w:p w14:paraId="303D0DAF" w14:textId="5FC51F7B" w:rsidR="00816C5C" w:rsidRPr="000152CC" w:rsidRDefault="00816C5C" w:rsidP="00415D2F">
      <w:pPr>
        <w:pStyle w:val="ListParagraph"/>
        <w:numPr>
          <w:ilvl w:val="0"/>
          <w:numId w:val="28"/>
        </w:numPr>
        <w:jc w:val="both"/>
        <w:rPr>
          <w:rFonts w:ascii="Baskerville Old Face" w:hAnsi="Baskerville Old Face" w:cs="Times New Roman"/>
        </w:rPr>
      </w:pPr>
      <w:r w:rsidRPr="000152CC">
        <w:rPr>
          <w:rFonts w:ascii="Baskerville Old Face" w:hAnsi="Baskerville Old Face" w:cs="Times New Roman"/>
        </w:rPr>
        <w:t>Programa del Aporte Económico del Adulto Mayor.</w:t>
      </w:r>
    </w:p>
    <w:p w14:paraId="2855963D" w14:textId="3B5E1A71" w:rsidR="00816C5C" w:rsidRPr="000152CC" w:rsidRDefault="00983521" w:rsidP="00415D2F">
      <w:pPr>
        <w:pStyle w:val="ListParagraph"/>
        <w:numPr>
          <w:ilvl w:val="0"/>
          <w:numId w:val="28"/>
        </w:numPr>
        <w:jc w:val="both"/>
        <w:rPr>
          <w:rFonts w:ascii="Baskerville Old Face" w:hAnsi="Baskerville Old Face" w:cs="Times New Roman"/>
        </w:rPr>
      </w:pPr>
      <w:r w:rsidRPr="000152CC">
        <w:rPr>
          <w:rFonts w:ascii="Baskerville Old Face" w:hAnsi="Baskerville Old Face" w:cs="Times New Roman"/>
        </w:rPr>
        <w:t>Programa Nacional del Adulto Mayor “Mis Años Dorados”</w:t>
      </w:r>
    </w:p>
    <w:p w14:paraId="24292CCE" w14:textId="5ACEFC45" w:rsidR="00983521" w:rsidRPr="000152CC" w:rsidRDefault="00983521" w:rsidP="00415D2F">
      <w:pPr>
        <w:pStyle w:val="ListParagraph"/>
        <w:numPr>
          <w:ilvl w:val="0"/>
          <w:numId w:val="28"/>
        </w:numPr>
        <w:jc w:val="both"/>
        <w:rPr>
          <w:rFonts w:ascii="Baskerville Old Face" w:hAnsi="Baskerville Old Face" w:cs="Times New Roman"/>
        </w:rPr>
      </w:pPr>
      <w:r w:rsidRPr="000152CC">
        <w:rPr>
          <w:rFonts w:ascii="Baskerville Old Face" w:hAnsi="Baskerville Old Face" w:cs="Times New Roman"/>
        </w:rPr>
        <w:t>El programa de atención integral a los adultos mayores, Guatemaltecas Repatriadas a Guatemala”</w:t>
      </w:r>
    </w:p>
    <w:p w14:paraId="51B0D435" w14:textId="2B6B8613" w:rsidR="00983521" w:rsidRPr="000152CC" w:rsidRDefault="00983521" w:rsidP="00816C5C">
      <w:pPr>
        <w:pStyle w:val="ListParagraph"/>
        <w:numPr>
          <w:ilvl w:val="0"/>
          <w:numId w:val="28"/>
        </w:numPr>
        <w:rPr>
          <w:rFonts w:ascii="Baskerville Old Face" w:hAnsi="Baskerville Old Face" w:cs="Times New Roman"/>
        </w:rPr>
      </w:pPr>
      <w:r w:rsidRPr="000152CC">
        <w:rPr>
          <w:rFonts w:ascii="Baskerville Old Face" w:hAnsi="Baskerville Old Face" w:cs="Times New Roman"/>
        </w:rPr>
        <w:t xml:space="preserve">Programas Sustantivo Adulto Mayor promueve la </w:t>
      </w:r>
      <w:r w:rsidR="00C62FF0" w:rsidRPr="000152CC">
        <w:rPr>
          <w:rFonts w:ascii="Baskerville Old Face" w:hAnsi="Baskerville Old Face" w:cs="Times New Roman"/>
        </w:rPr>
        <w:t>práctica</w:t>
      </w:r>
      <w:r w:rsidRPr="000152CC">
        <w:rPr>
          <w:rFonts w:ascii="Baskerville Old Face" w:hAnsi="Baskerville Old Face" w:cs="Times New Roman"/>
        </w:rPr>
        <w:t xml:space="preserve"> deportiva.</w:t>
      </w:r>
    </w:p>
    <w:p w14:paraId="29627242" w14:textId="1109B922" w:rsidR="00983521" w:rsidRPr="000152CC" w:rsidRDefault="00983521" w:rsidP="00816C5C">
      <w:pPr>
        <w:pStyle w:val="ListParagraph"/>
        <w:numPr>
          <w:ilvl w:val="0"/>
          <w:numId w:val="28"/>
        </w:numPr>
        <w:rPr>
          <w:rFonts w:ascii="Baskerville Old Face" w:hAnsi="Baskerville Old Face" w:cs="Times New Roman"/>
        </w:rPr>
      </w:pPr>
      <w:r w:rsidRPr="000152CC">
        <w:rPr>
          <w:rFonts w:ascii="Baskerville Old Face" w:hAnsi="Baskerville Old Face" w:cs="Times New Roman"/>
        </w:rPr>
        <w:t>Programa de actividades físicas y recreativas</w:t>
      </w:r>
    </w:p>
    <w:p w14:paraId="3D0FF870" w14:textId="44337229" w:rsidR="00983521" w:rsidRPr="000E33D8" w:rsidRDefault="00983521" w:rsidP="00983521">
      <w:pPr>
        <w:pStyle w:val="ListParagraph"/>
        <w:rPr>
          <w:rFonts w:ascii="Times New Roman" w:hAnsi="Times New Roman" w:cs="Times New Roman"/>
          <w:i/>
        </w:rPr>
      </w:pPr>
    </w:p>
    <w:p w14:paraId="136B2194" w14:textId="742F963D" w:rsidR="000E78B0" w:rsidRPr="000152CC" w:rsidRDefault="000E78B0" w:rsidP="000152CC">
      <w:pPr>
        <w:pStyle w:val="Heading2"/>
        <w:ind w:left="284" w:hanging="284"/>
        <w:jc w:val="both"/>
        <w:rPr>
          <w:rFonts w:ascii="Baskerville Old Face" w:hAnsi="Baskerville Old Face"/>
        </w:rPr>
      </w:pPr>
      <w:r w:rsidRPr="000152CC">
        <w:rPr>
          <w:rFonts w:ascii="Baskerville Old Face" w:hAnsi="Baskerville Old Face"/>
        </w:rPr>
        <w:t>En el plano nacional, sírvase exponer las protecciones jurídicas disponibles contra la discriminación por edad e indicar si la edad se reconoce explícitamente como motivo de discriminación. En caso afirmativo, ¿hay ámbitos específicos en los que se garantiza explícitamente la igualdad? ¿Existen ámbitos en los que se justifique explícitamente el trato diferencial basado en la edad avanzada?</w:t>
      </w:r>
    </w:p>
    <w:p w14:paraId="20FC041B" w14:textId="77777777" w:rsidR="00C62FF0" w:rsidRDefault="00C62FF0" w:rsidP="00DB2619">
      <w:pPr>
        <w:jc w:val="both"/>
        <w:rPr>
          <w:rFonts w:ascii="Times New Roman" w:hAnsi="Times New Roman" w:cs="Times New Roman"/>
          <w:i/>
        </w:rPr>
      </w:pPr>
    </w:p>
    <w:p w14:paraId="326F329F" w14:textId="672F7CF7" w:rsidR="00DB2619" w:rsidRPr="000152CC" w:rsidRDefault="000152CC" w:rsidP="00DB2619">
      <w:pPr>
        <w:jc w:val="both"/>
        <w:rPr>
          <w:rFonts w:ascii="Baskerville Old Face" w:hAnsi="Baskerville Old Face" w:cs="Times New Roman"/>
          <w:lang w:val="es-MX"/>
        </w:rPr>
      </w:pPr>
      <w:r w:rsidRPr="000152CC">
        <w:rPr>
          <w:rFonts w:ascii="Baskerville Old Face" w:hAnsi="Baskerville Old Face" w:cs="Times New Roman"/>
          <w:lang w:val="es-MX"/>
        </w:rPr>
        <w:t>La Cor</w:t>
      </w:r>
      <w:r w:rsidR="00C62FF0" w:rsidRPr="000152CC">
        <w:rPr>
          <w:rFonts w:ascii="Baskerville Old Face" w:hAnsi="Baskerville Old Face" w:cs="Times New Roman"/>
          <w:lang w:val="es-MX"/>
        </w:rPr>
        <w:t>te de Constitucionalidad, aporta que a</w:t>
      </w:r>
      <w:r w:rsidR="00DB2619" w:rsidRPr="000152CC">
        <w:rPr>
          <w:rFonts w:ascii="Baskerville Old Face" w:hAnsi="Baskerville Old Face" w:cs="Times New Roman"/>
          <w:lang w:val="es-MX"/>
        </w:rPr>
        <w:t xml:space="preserve">l respecto debe diferenciarse lo siguiente: </w:t>
      </w:r>
    </w:p>
    <w:p w14:paraId="6EF5C803" w14:textId="77777777" w:rsidR="00DB2619" w:rsidRPr="000152CC" w:rsidRDefault="00DB2619" w:rsidP="00DB2619">
      <w:pPr>
        <w:jc w:val="both"/>
        <w:rPr>
          <w:rFonts w:ascii="Baskerville Old Face" w:hAnsi="Baskerville Old Face" w:cs="Times New Roman"/>
          <w:lang w:val="es-MX"/>
        </w:rPr>
      </w:pPr>
    </w:p>
    <w:p w14:paraId="66071B84" w14:textId="77777777" w:rsidR="00DB2619" w:rsidRPr="000152CC" w:rsidRDefault="00DB2619" w:rsidP="00DB2619">
      <w:pPr>
        <w:pStyle w:val="ListParagraph"/>
        <w:numPr>
          <w:ilvl w:val="0"/>
          <w:numId w:val="6"/>
        </w:numPr>
        <w:jc w:val="both"/>
        <w:rPr>
          <w:rFonts w:ascii="Baskerville Old Face" w:hAnsi="Baskerville Old Face" w:cs="Times New Roman"/>
          <w:lang w:val="es-MX"/>
        </w:rPr>
      </w:pPr>
      <w:r w:rsidRPr="000152CC">
        <w:rPr>
          <w:rFonts w:ascii="Baskerville Old Face" w:hAnsi="Baskerville Old Face" w:cs="Times New Roman"/>
          <w:lang w:val="es-MX"/>
        </w:rPr>
        <w:t xml:space="preserve">Referencia normativa aplicable en Guatemala que brinda protección contra la discriminación por edad. </w:t>
      </w:r>
    </w:p>
    <w:p w14:paraId="39B77DAE" w14:textId="77777777" w:rsidR="00DB2619" w:rsidRPr="000152CC" w:rsidRDefault="00DB2619" w:rsidP="00DB2619">
      <w:pPr>
        <w:pStyle w:val="ListParagraph"/>
        <w:numPr>
          <w:ilvl w:val="0"/>
          <w:numId w:val="6"/>
        </w:numPr>
        <w:jc w:val="both"/>
        <w:rPr>
          <w:rFonts w:ascii="Baskerville Old Face" w:hAnsi="Baskerville Old Face" w:cs="Times New Roman"/>
          <w:lang w:val="es-MX"/>
        </w:rPr>
      </w:pPr>
      <w:r w:rsidRPr="000152CC">
        <w:rPr>
          <w:rFonts w:ascii="Baskerville Old Face" w:hAnsi="Baskerville Old Face" w:cs="Times New Roman"/>
          <w:lang w:val="es-MX"/>
        </w:rPr>
        <w:t xml:space="preserve">La edad como motivo de discriminación. </w:t>
      </w:r>
    </w:p>
    <w:p w14:paraId="4F5D572C" w14:textId="77777777" w:rsidR="00DB2619" w:rsidRPr="000152CC" w:rsidRDefault="00DB2619" w:rsidP="00DB2619">
      <w:pPr>
        <w:jc w:val="both"/>
        <w:rPr>
          <w:rFonts w:ascii="Baskerville Old Face" w:hAnsi="Baskerville Old Face" w:cs="Times New Roman"/>
          <w:lang w:val="es-MX"/>
        </w:rPr>
      </w:pPr>
    </w:p>
    <w:p w14:paraId="4AE62074" w14:textId="77777777" w:rsidR="00DB2619" w:rsidRPr="000152CC" w:rsidRDefault="00DB2619" w:rsidP="00DB2619">
      <w:pPr>
        <w:jc w:val="both"/>
        <w:rPr>
          <w:rFonts w:ascii="Baskerville Old Face" w:hAnsi="Baskerville Old Face" w:cs="Times New Roman"/>
          <w:lang w:val="es-MX"/>
        </w:rPr>
      </w:pPr>
      <w:r w:rsidRPr="000152CC">
        <w:rPr>
          <w:rFonts w:ascii="Baskerville Old Face" w:hAnsi="Baskerville Old Face" w:cs="Times New Roman"/>
          <w:lang w:val="es-MX"/>
        </w:rPr>
        <w:lastRenderedPageBreak/>
        <w:t>El marco jurídico que brinda protección contra la discriminación por razón de edad, contiene normas generales relacionadas a la igualdad y no discriminación, así como las normas particulares con relación a la discriminación por razón de edad, elementos que se complementan con criterios jurisprudenciales que respaldan la tutela de derechos.</w:t>
      </w:r>
    </w:p>
    <w:p w14:paraId="7977EA70" w14:textId="77777777" w:rsidR="00DB2619" w:rsidRPr="000152CC" w:rsidRDefault="00DB2619" w:rsidP="00DB2619">
      <w:pPr>
        <w:jc w:val="both"/>
        <w:rPr>
          <w:rFonts w:ascii="Baskerville Old Face" w:hAnsi="Baskerville Old Face" w:cs="Times New Roman"/>
          <w:lang w:val="es-MX"/>
        </w:rPr>
      </w:pPr>
    </w:p>
    <w:p w14:paraId="0869C4E6" w14:textId="51ECDB24" w:rsidR="00DB2619" w:rsidRPr="000152CC" w:rsidRDefault="00DB2619" w:rsidP="00DB2619">
      <w:pPr>
        <w:jc w:val="both"/>
        <w:rPr>
          <w:rFonts w:ascii="Baskerville Old Face" w:hAnsi="Baskerville Old Face" w:cs="Times New Roman"/>
          <w:color w:val="000000"/>
        </w:rPr>
      </w:pPr>
      <w:r w:rsidRPr="000152CC">
        <w:rPr>
          <w:rFonts w:ascii="Baskerville Old Face" w:hAnsi="Baskerville Old Face" w:cs="Times New Roman"/>
          <w:lang w:val="es-MX"/>
        </w:rPr>
        <w:t xml:space="preserve">El Artículo 4 de la Constitución Política de la República de Guatemala, establece: </w:t>
      </w:r>
      <w:r w:rsidRPr="000152CC">
        <w:rPr>
          <w:rFonts w:ascii="Baskerville Old Face" w:hAnsi="Baskerville Old Face" w:cs="Times New Roman"/>
          <w:iCs/>
          <w:lang w:val="es-MX"/>
        </w:rPr>
        <w:t>“</w:t>
      </w:r>
      <w:r w:rsidRPr="000152CC">
        <w:rPr>
          <w:rFonts w:ascii="Baskerville Old Face" w:hAnsi="Baskerville Old Face" w:cs="Times New Roman"/>
          <w:iCs/>
          <w:color w:val="000000"/>
        </w:rPr>
        <w:t xml:space="preserve">En Guatemala todos los seres humanos son libres e iguales en dignidad y derechos…”. </w:t>
      </w:r>
      <w:r w:rsidRPr="000152CC">
        <w:rPr>
          <w:rFonts w:ascii="Baskerville Old Face" w:hAnsi="Baskerville Old Face" w:cs="Times New Roman"/>
          <w:lang w:val="es-MX"/>
        </w:rPr>
        <w:t>Juntamente con esta disposición constitucional, el Estado de Guatemala reconoce la aplicación de estándares internacionales en materia de derechos humanos, los cuales constituyen el bloque de constitucionalidad, derivado, entre otras cuestiones, de la aplicación del artículo 46 de la Carta Magna [</w:t>
      </w:r>
      <w:r w:rsidRPr="000152CC">
        <w:rPr>
          <w:rFonts w:ascii="Baskerville Old Face" w:hAnsi="Baskerville Old Face" w:cs="Times New Roman"/>
          <w:iCs/>
          <w:color w:val="000000"/>
        </w:rPr>
        <w:t>Se establece el principio general que en materia de derechos humanos, los tratados y convenciones aceptados y ratificados por Guatemala, tienen preeminencia sobre el derecho interno</w:t>
      </w:r>
      <w:r w:rsidRPr="000152CC">
        <w:rPr>
          <w:rFonts w:ascii="Baskerville Old Face" w:hAnsi="Baskerville Old Face" w:cs="Times New Roman"/>
          <w:color w:val="000000"/>
        </w:rPr>
        <w:t xml:space="preserve">]. </w:t>
      </w:r>
    </w:p>
    <w:p w14:paraId="5CB368EB" w14:textId="77777777" w:rsidR="00DB2619" w:rsidRPr="000152CC" w:rsidRDefault="00DB2619" w:rsidP="00DB2619">
      <w:pPr>
        <w:jc w:val="both"/>
        <w:rPr>
          <w:rFonts w:ascii="Baskerville Old Face" w:hAnsi="Baskerville Old Face" w:cs="Times New Roman"/>
          <w:color w:val="000000"/>
        </w:rPr>
      </w:pPr>
    </w:p>
    <w:p w14:paraId="69CCF681" w14:textId="77777777" w:rsidR="00DB2619" w:rsidRPr="000152CC" w:rsidRDefault="00DB2619" w:rsidP="00DB2619">
      <w:pPr>
        <w:pStyle w:val="NormalWeb"/>
        <w:shd w:val="clear" w:color="auto" w:fill="FFFFFF"/>
        <w:spacing w:before="0" w:beforeAutospacing="0" w:after="0" w:afterAutospacing="0"/>
        <w:jc w:val="both"/>
        <w:rPr>
          <w:rFonts w:ascii="Baskerville Old Face" w:hAnsi="Baskerville Old Face"/>
          <w:color w:val="000000"/>
        </w:rPr>
      </w:pPr>
      <w:r w:rsidRPr="000152CC">
        <w:rPr>
          <w:rFonts w:ascii="Baskerville Old Face" w:hAnsi="Baskerville Old Face"/>
          <w:color w:val="000000"/>
        </w:rPr>
        <w:t>Esos estándares conllevan garantías relacionadas con la igualdad y no discriminación por motivo de edad, entre ellas:</w:t>
      </w:r>
    </w:p>
    <w:p w14:paraId="7719ABB8" w14:textId="77777777" w:rsidR="00DB2619" w:rsidRPr="000E33D8" w:rsidRDefault="00DB2619" w:rsidP="00DB2619">
      <w:pPr>
        <w:pStyle w:val="NormalWeb"/>
        <w:shd w:val="clear" w:color="auto" w:fill="FFFFFF"/>
        <w:spacing w:before="0" w:beforeAutospacing="0" w:after="0" w:afterAutospacing="0"/>
        <w:jc w:val="both"/>
        <w:rPr>
          <w:i/>
          <w:color w:val="000000"/>
        </w:rPr>
      </w:pPr>
    </w:p>
    <w:p w14:paraId="2EDDB186" w14:textId="77777777" w:rsidR="00DB2619" w:rsidRPr="00E71297" w:rsidRDefault="00DB2619" w:rsidP="00DB2619">
      <w:pPr>
        <w:pStyle w:val="NormalWeb"/>
        <w:shd w:val="clear" w:color="auto" w:fill="FFFFFF"/>
        <w:spacing w:before="0" w:beforeAutospacing="0" w:after="0" w:afterAutospacing="0"/>
        <w:jc w:val="both"/>
        <w:rPr>
          <w:rFonts w:ascii="Baskerville Old Face" w:hAnsi="Baskerville Old Face"/>
          <w:iCs/>
        </w:rPr>
      </w:pPr>
      <w:r w:rsidRPr="00E71297">
        <w:rPr>
          <w:rFonts w:ascii="Baskerville Old Face" w:hAnsi="Baskerville Old Face"/>
          <w:bCs/>
          <w:color w:val="000000"/>
        </w:rPr>
        <w:t>La Declaración Universal de Derechos Humanos</w:t>
      </w:r>
      <w:r w:rsidRPr="00E71297">
        <w:rPr>
          <w:rFonts w:ascii="Baskerville Old Face" w:hAnsi="Baskerville Old Face"/>
          <w:color w:val="000000"/>
        </w:rPr>
        <w:t xml:space="preserve">, en el artículo 2 regula: </w:t>
      </w:r>
      <w:r w:rsidRPr="00E71297">
        <w:rPr>
          <w:rFonts w:ascii="Baskerville Old Face" w:hAnsi="Baskerville Old Face"/>
          <w:iCs/>
        </w:rPr>
        <w:t xml:space="preserve">“Toda persona tiene los derechos y libertades proclamados en esta Declaración, sin distinción alguna de raza, color, sexo, idioma, religión, opinión política o de cualquier otra índole, origen nacional o social, posición económica, nacimiento o cualquier otra condición…”. </w:t>
      </w:r>
      <w:r w:rsidRPr="00E71297">
        <w:rPr>
          <w:rFonts w:ascii="Baskerville Old Face" w:hAnsi="Baskerville Old Face"/>
          <w:color w:val="000000"/>
        </w:rPr>
        <w:t xml:space="preserve">Asimismo, el artículo 7 de la misma normativa regula: </w:t>
      </w:r>
      <w:r w:rsidRPr="00E71297">
        <w:rPr>
          <w:rFonts w:ascii="Baskerville Old Face" w:hAnsi="Baskerville Old Face"/>
          <w:iCs/>
        </w:rPr>
        <w:t>“</w:t>
      </w:r>
      <w:r w:rsidRPr="00E71297">
        <w:rPr>
          <w:rFonts w:ascii="Baskerville Old Face" w:hAnsi="Baskerville Old Face"/>
          <w:bCs/>
          <w:iCs/>
        </w:rPr>
        <w:t>Todos son iguales ante la ley</w:t>
      </w:r>
      <w:r w:rsidRPr="00E71297">
        <w:rPr>
          <w:rFonts w:ascii="Baskerville Old Face" w:hAnsi="Baskerville Old Face"/>
          <w:iCs/>
        </w:rPr>
        <w:t xml:space="preserve"> y tienen, sin distinción, derecho a igual protección de la ley. Todos tienen </w:t>
      </w:r>
      <w:r w:rsidRPr="00E71297">
        <w:rPr>
          <w:rFonts w:ascii="Baskerville Old Face" w:hAnsi="Baskerville Old Face"/>
          <w:iCs/>
        </w:rPr>
        <w:lastRenderedPageBreak/>
        <w:t>derecho a igual protección contra toda discriminación que infrinja esta Declaración y contra toda provocación a tal discriminación...”</w:t>
      </w:r>
    </w:p>
    <w:p w14:paraId="09F028F1" w14:textId="77777777" w:rsidR="00DB2619" w:rsidRPr="000E33D8" w:rsidRDefault="00DB2619" w:rsidP="00DB2619">
      <w:pPr>
        <w:pStyle w:val="NormalWeb"/>
        <w:shd w:val="clear" w:color="auto" w:fill="FFFFFF"/>
        <w:spacing w:before="0" w:beforeAutospacing="0" w:after="0" w:afterAutospacing="0"/>
        <w:jc w:val="both"/>
        <w:rPr>
          <w:i/>
          <w:iCs/>
        </w:rPr>
      </w:pPr>
    </w:p>
    <w:p w14:paraId="5D5F4F0F" w14:textId="57412C85" w:rsidR="00DB2619" w:rsidRPr="00E71297" w:rsidRDefault="00DB2619" w:rsidP="00DB2619">
      <w:pPr>
        <w:pStyle w:val="NormalWeb"/>
        <w:shd w:val="clear" w:color="auto" w:fill="FFFFFF"/>
        <w:spacing w:before="0" w:beforeAutospacing="0" w:after="0" w:afterAutospacing="0"/>
        <w:jc w:val="both"/>
        <w:rPr>
          <w:rFonts w:ascii="Baskerville Old Face" w:hAnsi="Baskerville Old Face"/>
          <w:iCs/>
          <w:color w:val="000000"/>
        </w:rPr>
      </w:pPr>
      <w:r w:rsidRPr="00E71297">
        <w:rPr>
          <w:rFonts w:ascii="Baskerville Old Face" w:hAnsi="Baskerville Old Face"/>
        </w:rPr>
        <w:t>Por su parte</w:t>
      </w:r>
      <w:r w:rsidR="00E71297">
        <w:rPr>
          <w:rFonts w:ascii="Baskerville Old Face" w:hAnsi="Baskerville Old Face"/>
        </w:rPr>
        <w:t>,</w:t>
      </w:r>
      <w:r w:rsidRPr="00E71297">
        <w:rPr>
          <w:rFonts w:ascii="Baskerville Old Face" w:hAnsi="Baskerville Old Face"/>
        </w:rPr>
        <w:t xml:space="preserve"> el </w:t>
      </w:r>
      <w:r w:rsidRPr="00E71297">
        <w:rPr>
          <w:rFonts w:ascii="Baskerville Old Face" w:hAnsi="Baskerville Old Face"/>
          <w:bCs/>
        </w:rPr>
        <w:t>Pacto Internacional de Derechos Civiles y Económicos</w:t>
      </w:r>
      <w:r w:rsidRPr="00E71297">
        <w:rPr>
          <w:rFonts w:ascii="Baskerville Old Face" w:hAnsi="Baskerville Old Face"/>
        </w:rPr>
        <w:t xml:space="preserve"> refiere al respecto en las siguientes normas: Artículo 2: </w:t>
      </w:r>
      <w:r w:rsidRPr="00E71297">
        <w:rPr>
          <w:rFonts w:ascii="Baskerville Old Face" w:hAnsi="Baskerville Old Face"/>
          <w:iCs/>
        </w:rPr>
        <w:t>“…</w:t>
      </w:r>
      <w:r w:rsidRPr="00E71297">
        <w:rPr>
          <w:rFonts w:ascii="Baskerville Old Face" w:hAnsi="Baskerville Old Face"/>
          <w:iCs/>
          <w:color w:val="000000"/>
        </w:rPr>
        <w:t>1. Cada uno de los Estados Partes en el presente Pacto se compromete a respetar y a garantizar a todos los individuos que se encuentren en su territorio y estén sujetos a su jurisdicción los derechos reconocidos en el presente Pacto, sin distinción alguna de raza</w:t>
      </w:r>
      <w:r w:rsidRPr="00E71297">
        <w:rPr>
          <w:rFonts w:ascii="Baskerville Old Face" w:hAnsi="Baskerville Old Face"/>
          <w:iCs/>
        </w:rPr>
        <w:t xml:space="preserve">, color, sexo, idioma, religión, opinión política o de otra índole, origen nacional o social, posición económica, nacimiento o cualquier otra condición social…”; </w:t>
      </w:r>
      <w:r w:rsidRPr="00E71297">
        <w:rPr>
          <w:rFonts w:ascii="Baskerville Old Face" w:hAnsi="Baskerville Old Face"/>
        </w:rPr>
        <w:t xml:space="preserve">Artículo 3 </w:t>
      </w:r>
      <w:r w:rsidRPr="00E71297">
        <w:rPr>
          <w:rFonts w:ascii="Baskerville Old Face" w:hAnsi="Baskerville Old Face"/>
          <w:iCs/>
        </w:rPr>
        <w:t xml:space="preserve">“… Los Estados Partes en el presente Pacto se comprometen a garantizar a </w:t>
      </w:r>
      <w:r w:rsidRPr="00E71297">
        <w:rPr>
          <w:rFonts w:ascii="Baskerville Old Face" w:hAnsi="Baskerville Old Face"/>
          <w:bCs/>
          <w:iCs/>
        </w:rPr>
        <w:t>hombres y mujeres la igualdad en el goce de todos los derechos</w:t>
      </w:r>
      <w:r w:rsidRPr="00E71297">
        <w:rPr>
          <w:rFonts w:ascii="Baskerville Old Face" w:hAnsi="Baskerville Old Face"/>
          <w:iCs/>
        </w:rPr>
        <w:t xml:space="preserve"> civiles y políticos enunciados en el presente Pacto…”; </w:t>
      </w:r>
      <w:r w:rsidRPr="00E71297">
        <w:rPr>
          <w:rFonts w:ascii="Baskerville Old Face" w:hAnsi="Baskerville Old Face"/>
        </w:rPr>
        <w:t>Artículo 26:</w:t>
      </w:r>
      <w:r w:rsidRPr="00E71297">
        <w:rPr>
          <w:rFonts w:ascii="Baskerville Old Face" w:hAnsi="Baskerville Old Face"/>
          <w:iCs/>
        </w:rPr>
        <w:t xml:space="preserve"> “…</w:t>
      </w:r>
      <w:r w:rsidRPr="00E71297">
        <w:rPr>
          <w:rFonts w:ascii="Baskerville Old Face" w:hAnsi="Baskerville Old Face"/>
          <w:bCs/>
          <w:iCs/>
        </w:rPr>
        <w:t>Tod</w:t>
      </w:r>
      <w:r w:rsidRPr="00E71297">
        <w:rPr>
          <w:rFonts w:ascii="Baskerville Old Face" w:hAnsi="Baskerville Old Face"/>
          <w:bCs/>
          <w:iCs/>
          <w:color w:val="000000"/>
        </w:rPr>
        <w:t>as las personas son iguales ante la ley</w:t>
      </w:r>
      <w:r w:rsidRPr="00E71297">
        <w:rPr>
          <w:rFonts w:ascii="Baskerville Old Face" w:hAnsi="Baskerville Old Face"/>
          <w:iCs/>
          <w:color w:val="000000"/>
        </w:rPr>
        <w:t xml:space="preserve"> y tienen derecho </w:t>
      </w:r>
      <w:r w:rsidRPr="00E71297">
        <w:rPr>
          <w:rFonts w:ascii="Baskerville Old Face" w:hAnsi="Baskerville Old Face"/>
          <w:bCs/>
          <w:iCs/>
          <w:color w:val="000000"/>
        </w:rPr>
        <w:t>sin</w:t>
      </w:r>
      <w:r w:rsidRPr="00E71297">
        <w:rPr>
          <w:rFonts w:ascii="Baskerville Old Face" w:hAnsi="Baskerville Old Face"/>
          <w:iCs/>
          <w:color w:val="000000"/>
        </w:rPr>
        <w:t xml:space="preserve"> </w:t>
      </w:r>
      <w:r w:rsidRPr="00E71297">
        <w:rPr>
          <w:rFonts w:ascii="Baskerville Old Face" w:hAnsi="Baskerville Old Face"/>
          <w:bCs/>
          <w:iCs/>
          <w:color w:val="000000"/>
        </w:rPr>
        <w:t>discriminación</w:t>
      </w:r>
      <w:r w:rsidRPr="00E71297">
        <w:rPr>
          <w:rFonts w:ascii="Baskerville Old Face" w:hAnsi="Baskerville Old Face"/>
          <w:iCs/>
          <w:color w:val="000000"/>
        </w:rPr>
        <w:t xml:space="preserve"> a igual protección de la ley. A este respecto, la ley prohibirá toda discriminación y garantizará a todas las personas protección igual y efectiva contra cualquier discriminación por motivos de raza, color, sexo, idioma, religión, opiniones políticas o de cualquier índole, origen nacional o social, posición económica, nacimiento o cualquier otra condición social…”.</w:t>
      </w:r>
    </w:p>
    <w:p w14:paraId="2C68E46B" w14:textId="77777777" w:rsidR="00DB2619" w:rsidRPr="000E33D8" w:rsidRDefault="00DB2619" w:rsidP="00DB2619">
      <w:pPr>
        <w:pStyle w:val="NormalWeb"/>
        <w:shd w:val="clear" w:color="auto" w:fill="FFFFFF"/>
        <w:spacing w:before="0" w:beforeAutospacing="0" w:after="0" w:afterAutospacing="0"/>
        <w:jc w:val="both"/>
        <w:rPr>
          <w:i/>
          <w:iCs/>
          <w:color w:val="000000"/>
        </w:rPr>
      </w:pPr>
    </w:p>
    <w:p w14:paraId="4F0F9AE9" w14:textId="39A8F845" w:rsidR="00DB2619" w:rsidRPr="00E71297" w:rsidRDefault="00DB2619" w:rsidP="008A69B1">
      <w:pPr>
        <w:jc w:val="both"/>
        <w:rPr>
          <w:rFonts w:ascii="Baskerville Old Face" w:hAnsi="Baskerville Old Face" w:cs="Times New Roman"/>
          <w:lang w:eastAsia="es-GT"/>
        </w:rPr>
      </w:pPr>
      <w:r w:rsidRPr="00E71297">
        <w:rPr>
          <w:rFonts w:ascii="Baskerville Old Face" w:hAnsi="Baskerville Old Face" w:cs="Times New Roman"/>
          <w:lang w:eastAsia="es-GT"/>
        </w:rPr>
        <w:t xml:space="preserve">Asimismo, la </w:t>
      </w:r>
      <w:r w:rsidRPr="00E71297">
        <w:rPr>
          <w:rFonts w:ascii="Baskerville Old Face" w:hAnsi="Baskerville Old Face" w:cs="Times New Roman"/>
          <w:bCs/>
          <w:lang w:eastAsia="es-GT"/>
        </w:rPr>
        <w:t>Convención Americana sobre Derechos Humanos</w:t>
      </w:r>
      <w:r w:rsidRPr="00E71297">
        <w:rPr>
          <w:rFonts w:ascii="Baskerville Old Face" w:hAnsi="Baskerville Old Face" w:cs="Times New Roman"/>
          <w:lang w:eastAsia="es-GT"/>
        </w:rPr>
        <w:t xml:space="preserve">, regula: </w:t>
      </w:r>
      <w:r w:rsidRPr="00E71297">
        <w:rPr>
          <w:rFonts w:ascii="Baskerville Old Face" w:hAnsi="Baskerville Old Face" w:cs="Times New Roman"/>
          <w:bCs/>
          <w:lang w:eastAsia="es-GT"/>
        </w:rPr>
        <w:t xml:space="preserve">Artículo 1.  </w:t>
      </w:r>
      <w:r w:rsidRPr="00E71297">
        <w:rPr>
          <w:rFonts w:ascii="Baskerville Old Face" w:hAnsi="Baskerville Old Face" w:cs="Times New Roman"/>
          <w:lang w:eastAsia="es-GT"/>
        </w:rPr>
        <w:t xml:space="preserve">“… 1. Los </w:t>
      </w:r>
      <w:r w:rsidR="00415D2F" w:rsidRPr="00E71297">
        <w:rPr>
          <w:rFonts w:ascii="Baskerville Old Face" w:hAnsi="Baskerville Old Face" w:cs="Times New Roman"/>
          <w:lang w:eastAsia="es-GT"/>
        </w:rPr>
        <w:t>Estados Parte</w:t>
      </w:r>
      <w:r w:rsidRPr="00E71297">
        <w:rPr>
          <w:rFonts w:ascii="Baskerville Old Face" w:hAnsi="Baskerville Old Face" w:cs="Times New Roman"/>
          <w:lang w:eastAsia="es-GT"/>
        </w:rPr>
        <w:t xml:space="preserve"> en esta Convención se comprometen a respetar los derechos y libertades reconocidos en ella y a garantizar su libre y pleno ejercicio a toda persona que esté sujeta a su jurisdicción, sin discriminación alguna por motivos de raza, color, sexo, idioma, religión, opiniones políticas o de cualquier otra índole, origen nacional o social, posición económica, nacimiento o cualquier otra condición social…”; </w:t>
      </w:r>
      <w:r w:rsidRPr="00E71297">
        <w:rPr>
          <w:rFonts w:ascii="Baskerville Old Face" w:hAnsi="Baskerville Old Face" w:cs="Times New Roman"/>
          <w:bCs/>
          <w:lang w:eastAsia="es-GT"/>
        </w:rPr>
        <w:t xml:space="preserve">Artículo </w:t>
      </w:r>
      <w:r w:rsidRPr="00E71297">
        <w:rPr>
          <w:rFonts w:ascii="Baskerville Old Face" w:hAnsi="Baskerville Old Face" w:cs="Times New Roman"/>
          <w:bCs/>
          <w:lang w:eastAsia="es-GT"/>
        </w:rPr>
        <w:lastRenderedPageBreak/>
        <w:t xml:space="preserve">24.  </w:t>
      </w:r>
      <w:r w:rsidRPr="00E71297">
        <w:rPr>
          <w:rFonts w:ascii="Baskerville Old Face" w:hAnsi="Baskerville Old Face" w:cs="Times New Roman"/>
          <w:lang w:eastAsia="es-GT"/>
        </w:rPr>
        <w:t>“… Todas las personas son iguales ante la ley.  En consecuencia, tienen derecho, sin discriminación, a igual protección de la ley…”</w:t>
      </w:r>
    </w:p>
    <w:p w14:paraId="24B6C5C5" w14:textId="77777777" w:rsidR="00DB2619" w:rsidRPr="00E71297" w:rsidRDefault="00DB2619" w:rsidP="008A69B1">
      <w:pPr>
        <w:jc w:val="both"/>
        <w:rPr>
          <w:rFonts w:ascii="Baskerville Old Face" w:hAnsi="Baskerville Old Face" w:cs="Times New Roman"/>
          <w:lang w:eastAsia="es-GT"/>
        </w:rPr>
      </w:pPr>
    </w:p>
    <w:p w14:paraId="12CDEA57" w14:textId="77777777" w:rsidR="00DB2619" w:rsidRPr="00E71297" w:rsidRDefault="00DB2619" w:rsidP="008A69B1">
      <w:pPr>
        <w:jc w:val="both"/>
        <w:rPr>
          <w:rFonts w:ascii="Baskerville Old Face" w:hAnsi="Baskerville Old Face" w:cs="Times New Roman"/>
          <w:lang w:eastAsia="es-GT"/>
        </w:rPr>
      </w:pPr>
      <w:r w:rsidRPr="00E71297">
        <w:rPr>
          <w:rFonts w:ascii="Baskerville Old Face" w:hAnsi="Baskerville Old Face" w:cs="Times New Roman"/>
          <w:lang w:eastAsia="es-GT"/>
        </w:rPr>
        <w:t xml:space="preserve">Cabe mencionar, que estas normas no son las únicas que regulan lo relativo a la protección de ese tipo de derechos, pues existen otras convenciones regionales o globales que contemplan la tutela de los derechos mencionados. </w:t>
      </w:r>
    </w:p>
    <w:p w14:paraId="00A3C1EF" w14:textId="77777777" w:rsidR="00DB2619" w:rsidRPr="000E33D8" w:rsidRDefault="00DB2619" w:rsidP="008A69B1">
      <w:pPr>
        <w:jc w:val="both"/>
        <w:rPr>
          <w:rFonts w:ascii="Times New Roman" w:hAnsi="Times New Roman" w:cs="Times New Roman"/>
          <w:i/>
          <w:lang w:eastAsia="es-GT"/>
        </w:rPr>
      </w:pPr>
    </w:p>
    <w:p w14:paraId="25539563" w14:textId="77777777" w:rsidR="00DB2619" w:rsidRPr="00E71297" w:rsidRDefault="00DB2619" w:rsidP="008A69B1">
      <w:pPr>
        <w:jc w:val="both"/>
        <w:rPr>
          <w:rFonts w:ascii="Baskerville Old Face" w:eastAsia="Calibri" w:hAnsi="Baskerville Old Face" w:cs="Times New Roman"/>
        </w:rPr>
      </w:pPr>
      <w:r w:rsidRPr="00E71297">
        <w:rPr>
          <w:rFonts w:ascii="Baskerville Old Face" w:hAnsi="Baskerville Old Face" w:cs="Times New Roman"/>
          <w:lang w:eastAsia="es-GT"/>
        </w:rPr>
        <w:t xml:space="preserve">En cuanto a los derechos de personas mayores o de la tercera edad, la Constitución Política de la República de Guatemala refiere: </w:t>
      </w:r>
      <w:r w:rsidRPr="00E71297">
        <w:rPr>
          <w:rFonts w:ascii="Baskerville Old Face" w:hAnsi="Baskerville Old Face" w:cs="Times New Roman"/>
          <w:bCs/>
        </w:rPr>
        <w:t>Artículo 51</w:t>
      </w:r>
      <w:r w:rsidRPr="00E71297">
        <w:rPr>
          <w:rFonts w:ascii="Baskerville Old Face" w:hAnsi="Baskerville Old Face" w:cs="Times New Roman"/>
        </w:rPr>
        <w:t xml:space="preserve">: “… El Estado protegerá la salud física, mental y moral de los menores de edad y de los ancianos. Les garantizará su derecho a la alimentación, salud, educación y seguridad y previsión social.” </w:t>
      </w:r>
    </w:p>
    <w:p w14:paraId="1296CD36" w14:textId="77777777" w:rsidR="00DB2619" w:rsidRPr="00E71297" w:rsidRDefault="00DB2619" w:rsidP="00DB2619">
      <w:pPr>
        <w:ind w:left="75" w:right="75"/>
        <w:jc w:val="both"/>
        <w:rPr>
          <w:rFonts w:ascii="Baskerville Old Face" w:hAnsi="Baskerville Old Face" w:cs="Times New Roman"/>
          <w:iCs/>
        </w:rPr>
      </w:pPr>
    </w:p>
    <w:p w14:paraId="3E4B5238" w14:textId="77777777" w:rsidR="00DB2619" w:rsidRPr="000E33D8" w:rsidRDefault="00DB2619" w:rsidP="005465C3">
      <w:pPr>
        <w:ind w:right="75"/>
        <w:jc w:val="both"/>
        <w:rPr>
          <w:rFonts w:ascii="Times New Roman" w:hAnsi="Times New Roman" w:cs="Times New Roman"/>
          <w:i/>
          <w:iCs/>
          <w:color w:val="000000"/>
        </w:rPr>
      </w:pPr>
      <w:r w:rsidRPr="00E71297">
        <w:rPr>
          <w:rFonts w:ascii="Baskerville Old Face" w:eastAsia="Times New Roman" w:hAnsi="Baskerville Old Face" w:cs="Times New Roman"/>
          <w:color w:val="000000"/>
          <w:lang w:eastAsia="es-GT"/>
        </w:rPr>
        <w:t>Asimismo, en la legislación ordinaria nacional, el Decreto 80-96 del Congreso de la República, Ley de Protección para las Personas de la Tercera Edad, también regula:</w:t>
      </w:r>
      <w:r w:rsidRPr="00E71297">
        <w:rPr>
          <w:rFonts w:ascii="Baskerville Old Face" w:hAnsi="Baskerville Old Face" w:cs="Times New Roman"/>
        </w:rPr>
        <w:t xml:space="preserve"> </w:t>
      </w:r>
      <w:r w:rsidRPr="00E71297">
        <w:rPr>
          <w:rFonts w:ascii="Baskerville Old Face" w:hAnsi="Baskerville Old Face" w:cs="Times New Roman"/>
          <w:bCs/>
        </w:rPr>
        <w:t>Artículo 22:</w:t>
      </w:r>
      <w:r w:rsidRPr="00E71297">
        <w:rPr>
          <w:rFonts w:ascii="Baskerville Old Face" w:hAnsi="Baskerville Old Face" w:cs="Times New Roman"/>
          <w:iCs/>
        </w:rPr>
        <w:t xml:space="preserve"> “… </w:t>
      </w:r>
      <w:r w:rsidRPr="00E71297">
        <w:rPr>
          <w:rFonts w:ascii="Baskerville Old Face" w:hAnsi="Baskerville Old Face" w:cs="Times New Roman"/>
          <w:iCs/>
          <w:color w:val="000000"/>
        </w:rPr>
        <w:t>Toda persona en la tercera edad tiene el derecho a tener un ingreso económico seguro, mediante el acceso sin discriminación al trabajo, siempre y cuando la persona se encuentre en buen estado de salud, así como pensiones decorosas a su retiro, que le permitan un nivel de vida adecuado y a la satisfacción de sus necesidades mínimas…”</w:t>
      </w:r>
    </w:p>
    <w:p w14:paraId="6A9DF603" w14:textId="77777777" w:rsidR="00DB2619" w:rsidRPr="000E33D8" w:rsidRDefault="00DB2619" w:rsidP="00DB2619">
      <w:pPr>
        <w:ind w:left="75" w:right="75"/>
        <w:jc w:val="both"/>
        <w:rPr>
          <w:rFonts w:ascii="Times New Roman" w:hAnsi="Times New Roman" w:cs="Times New Roman"/>
          <w:i/>
          <w:color w:val="000000"/>
        </w:rPr>
      </w:pPr>
    </w:p>
    <w:p w14:paraId="48F3B425" w14:textId="174CF972" w:rsidR="00DB2619" w:rsidRPr="00E71297" w:rsidRDefault="00DB2619" w:rsidP="00DB2619">
      <w:pPr>
        <w:pStyle w:val="NormalWeb"/>
        <w:shd w:val="clear" w:color="auto" w:fill="FFFFFF"/>
        <w:spacing w:before="0" w:beforeAutospacing="0" w:after="0" w:afterAutospacing="0"/>
        <w:jc w:val="both"/>
        <w:rPr>
          <w:rFonts w:ascii="Baskerville Old Face" w:hAnsi="Baskerville Old Face"/>
          <w:iCs/>
        </w:rPr>
      </w:pPr>
      <w:r w:rsidRPr="00E71297">
        <w:rPr>
          <w:rFonts w:ascii="Baskerville Old Face" w:hAnsi="Baskerville Old Face"/>
          <w:color w:val="000000"/>
        </w:rPr>
        <w:t xml:space="preserve">Desde el ángulo punitivo, el Código Penal ha elevado a categoría de delito los actos relacionados con la discriminación, dentro de los cuales se encuentra específicamente la discriminación por razón de la </w:t>
      </w:r>
      <w:r w:rsidRPr="00E71297">
        <w:rPr>
          <w:rFonts w:ascii="Baskerville Old Face" w:hAnsi="Baskerville Old Face"/>
          <w:color w:val="000000"/>
        </w:rPr>
        <w:lastRenderedPageBreak/>
        <w:t xml:space="preserve">edad. Así, el </w:t>
      </w:r>
      <w:r w:rsidRPr="00E71297">
        <w:rPr>
          <w:rFonts w:ascii="Baskerville Old Face" w:hAnsi="Baskerville Old Face"/>
          <w:bCs/>
          <w:color w:val="000000"/>
        </w:rPr>
        <w:t xml:space="preserve">Artículo 202 Bis </w:t>
      </w:r>
      <w:r w:rsidRPr="00E71297">
        <w:rPr>
          <w:rFonts w:ascii="Baskerville Old Face" w:hAnsi="Baskerville Old Face"/>
          <w:color w:val="000000"/>
        </w:rPr>
        <w:t xml:space="preserve">establece: </w:t>
      </w:r>
      <w:r w:rsidRPr="00E71297">
        <w:rPr>
          <w:rFonts w:ascii="Baskerville Old Face" w:hAnsi="Baskerville Old Face"/>
          <w:iCs/>
          <w:color w:val="000000"/>
        </w:rPr>
        <w:t xml:space="preserve">“… Se entenderá como discriminación toda distinción, exclusión, restricción o preferencia </w:t>
      </w:r>
      <w:r w:rsidRPr="00E71297">
        <w:rPr>
          <w:rFonts w:ascii="Baskerville Old Face" w:hAnsi="Baskerville Old Face"/>
          <w:bCs/>
          <w:iCs/>
          <w:color w:val="000000"/>
        </w:rPr>
        <w:t>basada en motivos de</w:t>
      </w:r>
      <w:r w:rsidRPr="00E71297">
        <w:rPr>
          <w:rFonts w:ascii="Baskerville Old Face" w:hAnsi="Baskerville Old Face"/>
          <w:iCs/>
          <w:color w:val="000000"/>
        </w:rPr>
        <w:t xml:space="preserve"> género, raza, etnia, idioma, </w:t>
      </w:r>
      <w:r w:rsidRPr="00E71297">
        <w:rPr>
          <w:rFonts w:ascii="Baskerville Old Face" w:hAnsi="Baskerville Old Face"/>
          <w:bCs/>
          <w:iCs/>
          <w:color w:val="000000"/>
        </w:rPr>
        <w:t>edad</w:t>
      </w:r>
      <w:r w:rsidRPr="00E71297">
        <w:rPr>
          <w:rFonts w:ascii="Baskerville Old Face" w:hAnsi="Baskerville Old Face"/>
          <w:iCs/>
          <w:color w:val="000000"/>
        </w:rPr>
        <w:t>, religión, situación económica, enfermedad, discapacidad, estado civil, o en cualesquiera otro motivo, razón o circunstancia, que impidiere o dificultare a una persona, grupo de personas o asociaciones, el ejercicio de un derecho legalmente establecido incluyendo el derecho consuetudinario o costumbre, de conformidad con la Constitución Política de la República y los Tratados Internacionales en materia de derechos humanos. Quien por acción u omisión incurriere en la conducta descrita en el párrafo anterior, será sancionado con pri</w:t>
      </w:r>
      <w:r w:rsidR="00E71297" w:rsidRPr="00E71297">
        <w:rPr>
          <w:rFonts w:ascii="Baskerville Old Face" w:hAnsi="Baskerville Old Face"/>
          <w:iCs/>
          <w:color w:val="000000"/>
        </w:rPr>
        <w:t>sión de uno a tres años y multa</w:t>
      </w:r>
      <w:r w:rsidRPr="00E71297">
        <w:rPr>
          <w:rFonts w:ascii="Baskerville Old Face" w:hAnsi="Baskerville Old Face"/>
          <w:iCs/>
          <w:color w:val="000000"/>
        </w:rPr>
        <w:t xml:space="preserve">…”. </w:t>
      </w:r>
      <w:r w:rsidRPr="00E71297">
        <w:rPr>
          <w:rFonts w:ascii="Baskerville Old Face" w:hAnsi="Baskerville Old Face"/>
          <w:color w:val="000000"/>
        </w:rPr>
        <w:t xml:space="preserve">Y en ese mismo sentido, como una agravante relativa a aquella protección, el Código Penal regula en el artículo 27: </w:t>
      </w:r>
      <w:r w:rsidRPr="00E71297">
        <w:rPr>
          <w:rFonts w:ascii="Baskerville Old Face" w:hAnsi="Baskerville Old Face"/>
          <w:iCs/>
        </w:rPr>
        <w:t>“…18. Ejecutar el hecho con desprecio de la edad avanzada o de la niñez del sexo, de la enfermedad o de la condición de incapacidad física o penuria económica del ofendido, según la naturaleza y accidentes del hecho…”.</w:t>
      </w:r>
    </w:p>
    <w:p w14:paraId="4852CE3A" w14:textId="77777777" w:rsidR="00DB2619" w:rsidRPr="000E33D8" w:rsidRDefault="00DB2619" w:rsidP="00DB2619">
      <w:pPr>
        <w:pStyle w:val="NormalWeb"/>
        <w:shd w:val="clear" w:color="auto" w:fill="FFFFFF"/>
        <w:spacing w:before="0" w:beforeAutospacing="0" w:after="0" w:afterAutospacing="0"/>
        <w:jc w:val="both"/>
        <w:rPr>
          <w:i/>
          <w:iCs/>
        </w:rPr>
      </w:pPr>
    </w:p>
    <w:p w14:paraId="1837C837" w14:textId="7CB7E027" w:rsidR="00DB2619" w:rsidRPr="00E71297" w:rsidRDefault="00E71297" w:rsidP="00E71297">
      <w:pPr>
        <w:jc w:val="both"/>
        <w:rPr>
          <w:rFonts w:ascii="Baskerville Old Face" w:eastAsiaTheme="minorEastAsia" w:hAnsi="Baskerville Old Face" w:cs="Times New Roman"/>
          <w:color w:val="000000"/>
          <w:lang w:eastAsia="es-GT"/>
        </w:rPr>
      </w:pPr>
      <w:r w:rsidRPr="00E71297">
        <w:rPr>
          <w:rFonts w:ascii="Baskerville Old Face" w:eastAsiaTheme="minorEastAsia" w:hAnsi="Baskerville Old Face" w:cs="Times New Roman"/>
          <w:color w:val="000000"/>
          <w:lang w:eastAsia="es-GT"/>
        </w:rPr>
        <w:t>E</w:t>
      </w:r>
      <w:r w:rsidR="00DB2619" w:rsidRPr="00E71297">
        <w:rPr>
          <w:rFonts w:ascii="Baskerville Old Face" w:eastAsiaTheme="minorEastAsia" w:hAnsi="Baskerville Old Face" w:cs="Times New Roman"/>
          <w:color w:val="000000"/>
          <w:lang w:eastAsia="es-GT"/>
        </w:rPr>
        <w:t>l Tribunal Constitucional ha emitido diferentes fallos, en los cuales se aborda el tema específicamente de la discr</w:t>
      </w:r>
      <w:r w:rsidRPr="00E71297">
        <w:rPr>
          <w:rFonts w:ascii="Baskerville Old Face" w:eastAsiaTheme="minorEastAsia" w:hAnsi="Baskerville Old Face" w:cs="Times New Roman"/>
          <w:color w:val="000000"/>
          <w:lang w:eastAsia="es-GT"/>
        </w:rPr>
        <w:t xml:space="preserve">iminación por razón de la edad. </w:t>
      </w:r>
    </w:p>
    <w:p w14:paraId="7C36A9A6" w14:textId="3561201B" w:rsidR="001767F0" w:rsidRPr="00E71297" w:rsidRDefault="001767F0" w:rsidP="001767F0">
      <w:pPr>
        <w:jc w:val="both"/>
        <w:rPr>
          <w:rFonts w:ascii="Baskerville Old Face" w:eastAsiaTheme="minorEastAsia" w:hAnsi="Baskerville Old Face" w:cs="Times New Roman"/>
          <w:b/>
          <w:color w:val="000000"/>
          <w:lang w:eastAsia="es-GT"/>
        </w:rPr>
      </w:pPr>
    </w:p>
    <w:p w14:paraId="29733F00" w14:textId="295E94AB" w:rsidR="001767F0" w:rsidRPr="00E71297" w:rsidRDefault="007A0E5C" w:rsidP="001767F0">
      <w:pPr>
        <w:jc w:val="both"/>
        <w:rPr>
          <w:rFonts w:ascii="Baskerville Old Face" w:eastAsiaTheme="minorEastAsia" w:hAnsi="Baskerville Old Face" w:cs="Times New Roman"/>
          <w:color w:val="000000"/>
          <w:lang w:eastAsia="es-GT"/>
        </w:rPr>
      </w:pPr>
      <w:r w:rsidRPr="00E71297">
        <w:rPr>
          <w:rFonts w:ascii="Baskerville Old Face" w:eastAsiaTheme="minorEastAsia" w:hAnsi="Baskerville Old Face" w:cs="Times New Roman"/>
          <w:color w:val="000000"/>
          <w:lang w:eastAsia="es-GT"/>
        </w:rPr>
        <w:t>Según el Ministerio Público, e</w:t>
      </w:r>
      <w:r w:rsidR="001767F0" w:rsidRPr="00E71297">
        <w:rPr>
          <w:rFonts w:ascii="Baskerville Old Face" w:eastAsiaTheme="minorEastAsia" w:hAnsi="Baskerville Old Face" w:cs="Times New Roman"/>
          <w:color w:val="000000"/>
          <w:lang w:eastAsia="es-GT"/>
        </w:rPr>
        <w:t>n cuanto al tema de protección se tienen avances significativos, tales como:</w:t>
      </w:r>
    </w:p>
    <w:p w14:paraId="2C7A25FC" w14:textId="77777777" w:rsidR="007A0E5C" w:rsidRPr="00E71297" w:rsidRDefault="007A0E5C" w:rsidP="001767F0">
      <w:pPr>
        <w:jc w:val="both"/>
        <w:rPr>
          <w:rFonts w:ascii="Baskerville Old Face" w:eastAsiaTheme="minorEastAsia" w:hAnsi="Baskerville Old Face" w:cs="Times New Roman"/>
          <w:color w:val="000000"/>
          <w:lang w:eastAsia="es-GT"/>
        </w:rPr>
      </w:pPr>
    </w:p>
    <w:p w14:paraId="4544AB3B" w14:textId="1FC1A875" w:rsidR="001767F0" w:rsidRPr="00E71297" w:rsidRDefault="001767F0" w:rsidP="001767F0">
      <w:pPr>
        <w:jc w:val="both"/>
        <w:rPr>
          <w:rFonts w:ascii="Baskerville Old Face" w:eastAsiaTheme="minorEastAsia" w:hAnsi="Baskerville Old Face" w:cs="Times New Roman"/>
          <w:color w:val="000000"/>
          <w:lang w:eastAsia="es-GT"/>
        </w:rPr>
      </w:pPr>
      <w:r w:rsidRPr="00E71297">
        <w:rPr>
          <w:rFonts w:ascii="Baskerville Old Face" w:eastAsiaTheme="minorEastAsia" w:hAnsi="Baskerville Old Face" w:cs="Times New Roman"/>
          <w:color w:val="000000"/>
          <w:lang w:eastAsia="es-GT"/>
        </w:rPr>
        <w:t xml:space="preserve">En la Constitución Política de la República de Guatemala en su artículo 51 </w:t>
      </w:r>
      <w:r w:rsidR="007A0E5C" w:rsidRPr="00E71297">
        <w:rPr>
          <w:rFonts w:ascii="Baskerville Old Face" w:eastAsiaTheme="minorEastAsia" w:hAnsi="Baskerville Old Face" w:cs="Times New Roman"/>
          <w:color w:val="000000"/>
          <w:lang w:eastAsia="es-GT"/>
        </w:rPr>
        <w:t xml:space="preserve">que </w:t>
      </w:r>
      <w:r w:rsidRPr="00E71297">
        <w:rPr>
          <w:rFonts w:ascii="Baskerville Old Face" w:eastAsiaTheme="minorEastAsia" w:hAnsi="Baskerville Old Face" w:cs="Times New Roman"/>
          <w:color w:val="000000"/>
          <w:lang w:eastAsia="es-GT"/>
        </w:rPr>
        <w:t>establece la protección a menores y ancianos. El Estado protegerá la salud física, mental y moral de los menores de edad y de los ancianos. Les garantizará su derecho a la alimentación, salud, educación, y seguridad y previsión social.</w:t>
      </w:r>
    </w:p>
    <w:p w14:paraId="65F9D8AE" w14:textId="77777777" w:rsidR="001767F0" w:rsidRPr="00E71297" w:rsidRDefault="001767F0" w:rsidP="001767F0">
      <w:pPr>
        <w:jc w:val="both"/>
        <w:rPr>
          <w:rFonts w:ascii="Baskerville Old Face" w:eastAsiaTheme="minorEastAsia" w:hAnsi="Baskerville Old Face" w:cs="Times New Roman"/>
          <w:color w:val="000000"/>
          <w:lang w:eastAsia="es-GT"/>
        </w:rPr>
      </w:pPr>
    </w:p>
    <w:p w14:paraId="7669D42A" w14:textId="636857AF" w:rsidR="001767F0" w:rsidRPr="00E71297" w:rsidRDefault="001767F0" w:rsidP="001767F0">
      <w:pPr>
        <w:jc w:val="both"/>
        <w:rPr>
          <w:rFonts w:ascii="Baskerville Old Face" w:eastAsiaTheme="minorEastAsia" w:hAnsi="Baskerville Old Face" w:cs="Times New Roman"/>
          <w:color w:val="000000"/>
          <w:lang w:eastAsia="es-GT"/>
        </w:rPr>
      </w:pPr>
      <w:r w:rsidRPr="00E71297">
        <w:rPr>
          <w:rFonts w:ascii="Baskerville Old Face" w:eastAsiaTheme="minorEastAsia" w:hAnsi="Baskerville Old Face" w:cs="Times New Roman"/>
          <w:color w:val="000000"/>
          <w:lang w:eastAsia="es-GT"/>
        </w:rPr>
        <w:t>Se cuenta también con la Ley de aporte económico del adulto mayor, Decreto 85-2002 del Congreso de la República, la misma tiene por objeto crear un programa de aporte económico a las personas de sesenta y cinco años de edad y más, con la finalidad de que el Estado garantice a este sector de la población, la atención de sus necesidades básicas mínimas.</w:t>
      </w:r>
    </w:p>
    <w:p w14:paraId="34F8C3D8" w14:textId="77777777" w:rsidR="007A0E5C" w:rsidRPr="00E71297" w:rsidRDefault="007A0E5C" w:rsidP="001767F0">
      <w:pPr>
        <w:jc w:val="both"/>
        <w:rPr>
          <w:rFonts w:ascii="Baskerville Old Face" w:eastAsiaTheme="minorEastAsia" w:hAnsi="Baskerville Old Face" w:cs="Times New Roman"/>
          <w:color w:val="000000"/>
          <w:lang w:eastAsia="es-GT"/>
        </w:rPr>
      </w:pPr>
    </w:p>
    <w:p w14:paraId="54FD5860" w14:textId="55871ECC" w:rsidR="001767F0" w:rsidRPr="00E71297" w:rsidRDefault="001767F0" w:rsidP="001767F0">
      <w:pPr>
        <w:jc w:val="both"/>
        <w:rPr>
          <w:rFonts w:ascii="Baskerville Old Face" w:eastAsiaTheme="minorEastAsia" w:hAnsi="Baskerville Old Face" w:cs="Times New Roman"/>
          <w:color w:val="000000"/>
          <w:lang w:eastAsia="es-GT"/>
        </w:rPr>
      </w:pPr>
      <w:r w:rsidRPr="00E71297">
        <w:rPr>
          <w:rFonts w:ascii="Baskerville Old Face" w:eastAsiaTheme="minorEastAsia" w:hAnsi="Baskerville Old Face" w:cs="Times New Roman"/>
          <w:color w:val="000000"/>
          <w:lang w:eastAsia="es-GT"/>
        </w:rPr>
        <w:t xml:space="preserve">Esto debido a que </w:t>
      </w:r>
      <w:r w:rsidR="00E71297" w:rsidRPr="00E71297">
        <w:rPr>
          <w:rFonts w:ascii="Baskerville Old Face" w:eastAsiaTheme="minorEastAsia" w:hAnsi="Baskerville Old Face" w:cs="Times New Roman"/>
          <w:color w:val="000000"/>
          <w:lang w:eastAsia="es-GT"/>
        </w:rPr>
        <w:t xml:space="preserve">muchas veces los adultos mayores </w:t>
      </w:r>
      <w:r w:rsidRPr="00E71297">
        <w:rPr>
          <w:rFonts w:ascii="Baskerville Old Face" w:eastAsiaTheme="minorEastAsia" w:hAnsi="Baskerville Old Face" w:cs="Times New Roman"/>
          <w:color w:val="000000"/>
          <w:lang w:eastAsia="es-GT"/>
        </w:rPr>
        <w:t>sufren de ab</w:t>
      </w:r>
      <w:r w:rsidR="007A0E5C" w:rsidRPr="00E71297">
        <w:rPr>
          <w:rFonts w:ascii="Baskerville Old Face" w:eastAsiaTheme="minorEastAsia" w:hAnsi="Baskerville Old Face" w:cs="Times New Roman"/>
          <w:color w:val="000000"/>
          <w:lang w:eastAsia="es-GT"/>
        </w:rPr>
        <w:t>and</w:t>
      </w:r>
      <w:r w:rsidRPr="00E71297">
        <w:rPr>
          <w:rFonts w:ascii="Baskerville Old Face" w:eastAsiaTheme="minorEastAsia" w:hAnsi="Baskerville Old Face" w:cs="Times New Roman"/>
          <w:color w:val="000000"/>
          <w:lang w:eastAsia="es-GT"/>
        </w:rPr>
        <w:t>on</w:t>
      </w:r>
      <w:r w:rsidR="007A0E5C" w:rsidRPr="00E71297">
        <w:rPr>
          <w:rFonts w:ascii="Baskerville Old Face" w:eastAsiaTheme="minorEastAsia" w:hAnsi="Baskerville Old Face" w:cs="Times New Roman"/>
          <w:color w:val="000000"/>
          <w:lang w:eastAsia="es-GT"/>
        </w:rPr>
        <w:t>o</w:t>
      </w:r>
      <w:r w:rsidRPr="00E71297">
        <w:rPr>
          <w:rFonts w:ascii="Baskerville Old Face" w:eastAsiaTheme="minorEastAsia" w:hAnsi="Baskerville Old Face" w:cs="Times New Roman"/>
          <w:color w:val="000000"/>
          <w:lang w:eastAsia="es-GT"/>
        </w:rPr>
        <w:t xml:space="preserve"> por parte de </w:t>
      </w:r>
      <w:r w:rsidR="00E71297" w:rsidRPr="00E71297">
        <w:rPr>
          <w:rFonts w:ascii="Baskerville Old Face" w:eastAsiaTheme="minorEastAsia" w:hAnsi="Baskerville Old Face" w:cs="Times New Roman"/>
          <w:color w:val="000000"/>
          <w:lang w:eastAsia="es-GT"/>
        </w:rPr>
        <w:t>sus</w:t>
      </w:r>
      <w:r w:rsidRPr="00E71297">
        <w:rPr>
          <w:rFonts w:ascii="Baskerville Old Face" w:eastAsiaTheme="minorEastAsia" w:hAnsi="Baskerville Old Face" w:cs="Times New Roman"/>
          <w:color w:val="000000"/>
          <w:lang w:eastAsia="es-GT"/>
        </w:rPr>
        <w:t xml:space="preserve"> familiares y viven en condiciones que apenas les permiten atender sus necesidades básicas como la alimentación, la salud física y el vestuario, quedándoles vedado</w:t>
      </w:r>
      <w:r w:rsidR="00E71297" w:rsidRPr="00E71297">
        <w:rPr>
          <w:rFonts w:ascii="Baskerville Old Face" w:eastAsiaTheme="minorEastAsia" w:hAnsi="Baskerville Old Face" w:cs="Times New Roman"/>
          <w:color w:val="000000"/>
          <w:lang w:eastAsia="es-GT"/>
        </w:rPr>
        <w:t xml:space="preserve"> el poder</w:t>
      </w:r>
      <w:r w:rsidRPr="00E71297">
        <w:rPr>
          <w:rFonts w:ascii="Baskerville Old Face" w:eastAsiaTheme="minorEastAsia" w:hAnsi="Baskerville Old Face" w:cs="Times New Roman"/>
          <w:color w:val="000000"/>
          <w:lang w:eastAsia="es-GT"/>
        </w:rPr>
        <w:t xml:space="preserve"> continuar aportando su sabiduría y experiencia como contribución para el desarrollo social y económico del país.</w:t>
      </w:r>
    </w:p>
    <w:p w14:paraId="3CFA77A2" w14:textId="77777777" w:rsidR="001767F0" w:rsidRPr="000E33D8" w:rsidRDefault="001767F0" w:rsidP="001767F0">
      <w:pPr>
        <w:jc w:val="both"/>
        <w:rPr>
          <w:rFonts w:ascii="Times New Roman" w:eastAsiaTheme="minorEastAsia" w:hAnsi="Times New Roman" w:cs="Times New Roman"/>
          <w:i/>
          <w:color w:val="000000"/>
          <w:lang w:eastAsia="es-GT"/>
        </w:rPr>
      </w:pPr>
    </w:p>
    <w:p w14:paraId="1634444D" w14:textId="4F7E4E01" w:rsidR="001767F0" w:rsidRPr="00982D4F" w:rsidRDefault="007A0E5C" w:rsidP="001767F0">
      <w:pPr>
        <w:jc w:val="both"/>
        <w:rPr>
          <w:rFonts w:ascii="Baskerville Old Face" w:eastAsiaTheme="minorEastAsia" w:hAnsi="Baskerville Old Face" w:cs="Times New Roman"/>
          <w:color w:val="000000"/>
          <w:lang w:eastAsia="es-GT"/>
        </w:rPr>
      </w:pPr>
      <w:r w:rsidRPr="00982D4F">
        <w:rPr>
          <w:rFonts w:ascii="Baskerville Old Face" w:eastAsiaTheme="minorEastAsia" w:hAnsi="Baskerville Old Face" w:cs="Times New Roman"/>
          <w:color w:val="000000"/>
          <w:lang w:eastAsia="es-GT"/>
        </w:rPr>
        <w:t xml:space="preserve">La </w:t>
      </w:r>
      <w:r w:rsidR="001767F0" w:rsidRPr="00982D4F">
        <w:rPr>
          <w:rFonts w:ascii="Baskerville Old Face" w:eastAsiaTheme="minorEastAsia" w:hAnsi="Baskerville Old Face" w:cs="Times New Roman"/>
          <w:color w:val="000000"/>
          <w:lang w:eastAsia="es-GT"/>
        </w:rPr>
        <w:t>Ley de Protección para las Personas de la Tercera Edad, Decreto número 80-96 del Congreso de la República de Guatemala, declaran que “el Estado protegerá la salud física, mental y moral de los menores de edad y de los ancianos, establece, entre otros puntos, que se es adulto mayor a partir de los 60 años y les garantiza su derecho a la alimentación, salud, educación, seguridad y previsión social”.</w:t>
      </w:r>
    </w:p>
    <w:p w14:paraId="6FCC5552" w14:textId="77777777" w:rsidR="001767F0" w:rsidRPr="00982D4F" w:rsidRDefault="001767F0" w:rsidP="001767F0">
      <w:pPr>
        <w:jc w:val="both"/>
        <w:rPr>
          <w:rFonts w:ascii="Baskerville Old Face" w:eastAsiaTheme="minorEastAsia" w:hAnsi="Baskerville Old Face" w:cs="Times New Roman"/>
          <w:color w:val="000000"/>
          <w:lang w:eastAsia="es-GT"/>
        </w:rPr>
      </w:pPr>
    </w:p>
    <w:p w14:paraId="6E2D0740" w14:textId="2A35F5FA" w:rsidR="001767F0" w:rsidRPr="00982D4F" w:rsidRDefault="00982D4F" w:rsidP="001767F0">
      <w:pPr>
        <w:jc w:val="both"/>
        <w:rPr>
          <w:rFonts w:ascii="Baskerville Old Face" w:eastAsiaTheme="minorEastAsia" w:hAnsi="Baskerville Old Face" w:cs="Times New Roman"/>
          <w:color w:val="000000"/>
          <w:lang w:eastAsia="es-GT"/>
        </w:rPr>
      </w:pPr>
      <w:r w:rsidRPr="00982D4F">
        <w:rPr>
          <w:rFonts w:ascii="Baskerville Old Face" w:eastAsiaTheme="minorEastAsia" w:hAnsi="Baskerville Old Face" w:cs="Times New Roman"/>
          <w:color w:val="000000"/>
          <w:lang w:eastAsia="es-GT"/>
        </w:rPr>
        <w:t>Esto impulsa</w:t>
      </w:r>
      <w:r w:rsidR="001767F0" w:rsidRPr="00982D4F">
        <w:rPr>
          <w:rFonts w:ascii="Baskerville Old Face" w:eastAsiaTheme="minorEastAsia" w:hAnsi="Baskerville Old Face" w:cs="Times New Roman"/>
          <w:color w:val="000000"/>
          <w:lang w:eastAsia="es-GT"/>
        </w:rPr>
        <w:t xml:space="preserve"> al Estado, a trazar políticas que garanticen a este grupo los servicios elementales que permitan desarrollar en los diferentes niveles de atención del sistema, una atención integral y diferenciada</w:t>
      </w:r>
      <w:r w:rsidRPr="00982D4F">
        <w:rPr>
          <w:rFonts w:ascii="Baskerville Old Face" w:eastAsiaTheme="minorEastAsia" w:hAnsi="Baskerville Old Face" w:cs="Times New Roman"/>
          <w:color w:val="000000"/>
          <w:lang w:eastAsia="es-GT"/>
        </w:rPr>
        <w:t>, lo que les permitirá, además</w:t>
      </w:r>
      <w:r w:rsidR="001767F0" w:rsidRPr="00982D4F">
        <w:rPr>
          <w:rFonts w:ascii="Baskerville Old Face" w:eastAsiaTheme="minorEastAsia" w:hAnsi="Baskerville Old Face" w:cs="Times New Roman"/>
          <w:color w:val="000000"/>
          <w:lang w:eastAsia="es-GT"/>
        </w:rPr>
        <w:t xml:space="preserve"> </w:t>
      </w:r>
      <w:r w:rsidRPr="00982D4F">
        <w:rPr>
          <w:rFonts w:ascii="Baskerville Old Face" w:eastAsiaTheme="minorEastAsia" w:hAnsi="Baskerville Old Face" w:cs="Times New Roman"/>
          <w:color w:val="000000"/>
          <w:lang w:eastAsia="es-GT"/>
        </w:rPr>
        <w:t xml:space="preserve">de </w:t>
      </w:r>
      <w:r w:rsidR="001767F0" w:rsidRPr="00982D4F">
        <w:rPr>
          <w:rFonts w:ascii="Baskerville Old Face" w:eastAsiaTheme="minorEastAsia" w:hAnsi="Baskerville Old Face" w:cs="Times New Roman"/>
          <w:color w:val="000000"/>
          <w:lang w:eastAsia="es-GT"/>
        </w:rPr>
        <w:t>prolongar sus años de vida, que se mantengan lo más activos posibles y saludables, lo que es igual a decir lograr una “Longevidad satisfactoria”</w:t>
      </w:r>
      <w:r w:rsidRPr="00982D4F">
        <w:rPr>
          <w:rFonts w:ascii="Baskerville Old Face" w:eastAsiaTheme="minorEastAsia" w:hAnsi="Baskerville Old Face" w:cs="Times New Roman"/>
          <w:color w:val="000000"/>
          <w:lang w:eastAsia="es-GT"/>
        </w:rPr>
        <w:t>.</w:t>
      </w:r>
    </w:p>
    <w:p w14:paraId="0CF211F8" w14:textId="77777777" w:rsidR="001767F0" w:rsidRPr="000E33D8" w:rsidRDefault="001767F0" w:rsidP="001767F0">
      <w:pPr>
        <w:jc w:val="both"/>
        <w:rPr>
          <w:rFonts w:ascii="Times New Roman" w:eastAsiaTheme="minorEastAsia" w:hAnsi="Times New Roman" w:cs="Times New Roman"/>
          <w:i/>
          <w:color w:val="000000"/>
          <w:lang w:eastAsia="es-GT"/>
        </w:rPr>
      </w:pPr>
    </w:p>
    <w:p w14:paraId="507C14D1" w14:textId="1942B65E" w:rsidR="001767F0" w:rsidRPr="00982D4F" w:rsidRDefault="001767F0" w:rsidP="001767F0">
      <w:pPr>
        <w:jc w:val="both"/>
        <w:rPr>
          <w:rFonts w:ascii="Baskerville Old Face" w:eastAsiaTheme="minorEastAsia" w:hAnsi="Baskerville Old Face" w:cs="Times New Roman"/>
          <w:color w:val="000000"/>
          <w:lang w:eastAsia="es-GT"/>
        </w:rPr>
      </w:pPr>
      <w:r w:rsidRPr="00982D4F">
        <w:rPr>
          <w:rFonts w:ascii="Baskerville Old Face" w:eastAsiaTheme="minorEastAsia" w:hAnsi="Baskerville Old Face" w:cs="Times New Roman"/>
          <w:color w:val="000000"/>
          <w:lang w:eastAsia="es-GT"/>
        </w:rPr>
        <w:lastRenderedPageBreak/>
        <w:t>En el artículo 42 del Código de Salud, Decreto Número 90-97 del Congreso de la República de Guatemala, referidos a las personas adultas mayores, indica que el Ministerio de Salud en coordinación con el Instituto Guatemalteco de Seguridad Social y otras Instituciones con programas afines, deberán desarrollar en el ámbito de su competencia, programas para la atención integral de las personas adultas mayores en todas las áreas de atención</w:t>
      </w:r>
      <w:r w:rsidR="00982D4F" w:rsidRPr="00982D4F">
        <w:rPr>
          <w:rFonts w:ascii="Baskerville Old Face" w:eastAsiaTheme="minorEastAsia" w:hAnsi="Baskerville Old Face" w:cs="Times New Roman"/>
          <w:color w:val="000000"/>
          <w:lang w:eastAsia="es-GT"/>
        </w:rPr>
        <w:t>.</w:t>
      </w:r>
    </w:p>
    <w:p w14:paraId="4337656D" w14:textId="77777777" w:rsidR="001767F0" w:rsidRPr="00982D4F" w:rsidRDefault="001767F0" w:rsidP="001767F0">
      <w:pPr>
        <w:jc w:val="both"/>
        <w:rPr>
          <w:rFonts w:ascii="Baskerville Old Face" w:eastAsiaTheme="minorEastAsia" w:hAnsi="Baskerville Old Face" w:cs="Times New Roman"/>
          <w:color w:val="000000"/>
          <w:lang w:eastAsia="es-GT"/>
        </w:rPr>
      </w:pPr>
      <w:r w:rsidRPr="00982D4F">
        <w:rPr>
          <w:rFonts w:ascii="Baskerville Old Face" w:eastAsiaTheme="minorEastAsia" w:hAnsi="Baskerville Old Face" w:cs="Times New Roman"/>
          <w:color w:val="000000"/>
          <w:lang w:eastAsia="es-GT"/>
        </w:rPr>
        <w:t>La Ley de Desarrollo Social, Decreto Número 42-2001 del Congreso de la República de Guatemala, tiene como objeto el desarrollo de la persona humana en los aspectos social, familiar, humano y su entorno, con énfasis en los grupos de especial atención.</w:t>
      </w:r>
    </w:p>
    <w:p w14:paraId="3DA80F37" w14:textId="77777777" w:rsidR="001767F0" w:rsidRPr="00982D4F" w:rsidRDefault="001767F0" w:rsidP="001767F0">
      <w:pPr>
        <w:jc w:val="both"/>
        <w:rPr>
          <w:rFonts w:ascii="Baskerville Old Face" w:eastAsiaTheme="minorEastAsia" w:hAnsi="Baskerville Old Face" w:cs="Times New Roman"/>
          <w:color w:val="000000"/>
          <w:lang w:eastAsia="es-GT"/>
        </w:rPr>
      </w:pPr>
    </w:p>
    <w:p w14:paraId="3F3AD5B9" w14:textId="77777777" w:rsidR="001767F0" w:rsidRPr="00982D4F" w:rsidRDefault="001767F0" w:rsidP="001767F0">
      <w:pPr>
        <w:jc w:val="both"/>
        <w:rPr>
          <w:rFonts w:ascii="Baskerville Old Face" w:eastAsiaTheme="minorEastAsia" w:hAnsi="Baskerville Old Face" w:cs="Times New Roman"/>
          <w:color w:val="000000"/>
          <w:lang w:eastAsia="es-GT"/>
        </w:rPr>
      </w:pPr>
      <w:r w:rsidRPr="00982D4F">
        <w:rPr>
          <w:rFonts w:ascii="Baskerville Old Face" w:eastAsiaTheme="minorEastAsia" w:hAnsi="Baskerville Old Face" w:cs="Times New Roman"/>
          <w:color w:val="000000"/>
          <w:lang w:eastAsia="es-GT"/>
        </w:rPr>
        <w:t>En la Ley del Sistema Nacional de Seguridad Alimentaria y Nutricional, Decreto número 32-2005 del Congreso de la República de Guatemala, se incluye a la población adulta mayor, al afirmar que es un derecho de toda la población guatemalteca acceder a una alimentación que satisfaga sus necesidades nutricionales y sociales.</w:t>
      </w:r>
    </w:p>
    <w:p w14:paraId="735C8CB1" w14:textId="77777777" w:rsidR="001767F0" w:rsidRPr="00982D4F" w:rsidRDefault="001767F0" w:rsidP="001767F0">
      <w:pPr>
        <w:jc w:val="both"/>
        <w:rPr>
          <w:rFonts w:ascii="Baskerville Old Face" w:eastAsiaTheme="minorEastAsia" w:hAnsi="Baskerville Old Face" w:cs="Times New Roman"/>
          <w:color w:val="000000"/>
          <w:lang w:eastAsia="es-GT"/>
        </w:rPr>
      </w:pPr>
    </w:p>
    <w:p w14:paraId="4F25ECDA" w14:textId="77777777" w:rsidR="001767F0" w:rsidRPr="00982D4F" w:rsidRDefault="001767F0" w:rsidP="001767F0">
      <w:pPr>
        <w:jc w:val="both"/>
        <w:rPr>
          <w:rFonts w:ascii="Baskerville Old Face" w:eastAsiaTheme="minorEastAsia" w:hAnsi="Baskerville Old Face" w:cs="Times New Roman"/>
          <w:color w:val="000000"/>
          <w:lang w:eastAsia="es-GT"/>
        </w:rPr>
      </w:pPr>
      <w:r w:rsidRPr="00982D4F">
        <w:rPr>
          <w:rFonts w:ascii="Baskerville Old Face" w:eastAsiaTheme="minorEastAsia" w:hAnsi="Baskerville Old Face" w:cs="Times New Roman"/>
          <w:color w:val="000000"/>
          <w:lang w:eastAsia="es-GT"/>
        </w:rPr>
        <w:t>El Código de Trabajo de Guatemala, Decreto Número 1441 del Congreso de la República de Guatemala, regula lo relativo a los aspectos relacionados a la vejez, indemnización e invalidez, así como también a las obligaciones de pensión que deben cubrirse por parte del Instituto Guatemalteco de Seguridad Social (IGSS).</w:t>
      </w:r>
    </w:p>
    <w:p w14:paraId="408E48BA" w14:textId="77777777" w:rsidR="001767F0" w:rsidRPr="000E33D8" w:rsidRDefault="001767F0" w:rsidP="001767F0">
      <w:pPr>
        <w:jc w:val="both"/>
        <w:rPr>
          <w:rFonts w:ascii="Times New Roman" w:eastAsiaTheme="minorEastAsia" w:hAnsi="Times New Roman" w:cs="Times New Roman"/>
          <w:i/>
          <w:color w:val="000000"/>
          <w:lang w:eastAsia="es-GT"/>
        </w:rPr>
      </w:pPr>
    </w:p>
    <w:p w14:paraId="7CFC4E71" w14:textId="77777777" w:rsidR="001767F0" w:rsidRPr="00982D4F" w:rsidRDefault="001767F0" w:rsidP="001767F0">
      <w:pPr>
        <w:jc w:val="both"/>
        <w:rPr>
          <w:rFonts w:ascii="Baskerville Old Face" w:eastAsiaTheme="minorEastAsia" w:hAnsi="Baskerville Old Face" w:cs="Times New Roman"/>
          <w:color w:val="000000"/>
          <w:lang w:eastAsia="es-GT"/>
        </w:rPr>
      </w:pPr>
      <w:r w:rsidRPr="00982D4F">
        <w:rPr>
          <w:rFonts w:ascii="Baskerville Old Face" w:eastAsiaTheme="minorEastAsia" w:hAnsi="Baskerville Old Face" w:cs="Times New Roman"/>
          <w:color w:val="000000"/>
          <w:lang w:eastAsia="es-GT"/>
        </w:rPr>
        <w:t xml:space="preserve">El Acuerdo Ministerial, del Ministerio de Salud Pública y Asistencia Social, Número 581-11, Reformado Artículo 1, crea el Programa de atención a las personas mayores del Ministerio de Salud Pública y </w:t>
      </w:r>
      <w:r w:rsidRPr="00982D4F">
        <w:rPr>
          <w:rFonts w:ascii="Baskerville Old Face" w:eastAsiaTheme="minorEastAsia" w:hAnsi="Baskerville Old Face" w:cs="Times New Roman"/>
          <w:color w:val="000000"/>
          <w:lang w:eastAsia="es-GT"/>
        </w:rPr>
        <w:lastRenderedPageBreak/>
        <w:t>Asistencia Social, dicho Programa tiene como objetivo general, proporcionar lineamientos y normativas a los servicios de salud para mejorar la calidad de vida de las personas adultas mayores, previniendo la morbimortalidad por causas evitables, y así promover un envejecimiento activo y saludable.</w:t>
      </w:r>
    </w:p>
    <w:p w14:paraId="2D88ED19" w14:textId="77777777" w:rsidR="001767F0" w:rsidRPr="000E33D8" w:rsidRDefault="001767F0" w:rsidP="001767F0">
      <w:pPr>
        <w:jc w:val="both"/>
        <w:rPr>
          <w:rFonts w:ascii="Times New Roman" w:eastAsiaTheme="minorEastAsia" w:hAnsi="Times New Roman" w:cs="Times New Roman"/>
          <w:i/>
          <w:color w:val="000000"/>
          <w:lang w:eastAsia="es-GT"/>
        </w:rPr>
      </w:pPr>
    </w:p>
    <w:p w14:paraId="765A50CA" w14:textId="77777777" w:rsidR="001767F0" w:rsidRPr="00982D4F" w:rsidRDefault="001767F0" w:rsidP="001767F0">
      <w:pPr>
        <w:jc w:val="both"/>
        <w:rPr>
          <w:rFonts w:ascii="Baskerville Old Face" w:eastAsiaTheme="minorEastAsia" w:hAnsi="Baskerville Old Face" w:cs="Times New Roman"/>
          <w:color w:val="000000"/>
          <w:lang w:eastAsia="es-GT"/>
        </w:rPr>
      </w:pPr>
      <w:r w:rsidRPr="00982D4F">
        <w:rPr>
          <w:rFonts w:ascii="Baskerville Old Face" w:eastAsiaTheme="minorEastAsia" w:hAnsi="Baskerville Old Face" w:cs="Times New Roman"/>
          <w:color w:val="000000"/>
          <w:lang w:eastAsia="es-GT"/>
        </w:rPr>
        <w:t>Con el propósito de mejorar la gestión institucional en beneficio de las personas adultas mayores, se elaboró la Política Nacional de Atención Integral a las Personas Adultas Mayores, período 2018-2032 en el marco de la “Política y Plan Nacional de Desarrollo: “K’atun Nuestra Guatemala 2032”, en vinculación con el Eje de Bienestar para la Gente, que prioriza estrategias y acciones para garantizar a las personas el acceso a la protección social universal, incluye servicios integrales de calidad en salud, educación, recreación y servicios básicos. La base fundamental de la presente política son los Derechos Humanos reconocidos en la Constitución Política de la República de Guatemala y por los instrumentos nacionales e internacionales ratificados por el Estado de Guatemala.</w:t>
      </w:r>
    </w:p>
    <w:p w14:paraId="78FCB6A3" w14:textId="77777777" w:rsidR="001767F0" w:rsidRPr="00982D4F" w:rsidRDefault="001767F0" w:rsidP="001767F0">
      <w:pPr>
        <w:jc w:val="both"/>
        <w:rPr>
          <w:rFonts w:ascii="Baskerville Old Face" w:eastAsiaTheme="minorEastAsia" w:hAnsi="Baskerville Old Face" w:cs="Times New Roman"/>
          <w:color w:val="000000"/>
          <w:lang w:eastAsia="es-GT"/>
        </w:rPr>
      </w:pPr>
    </w:p>
    <w:p w14:paraId="01DA4C73" w14:textId="77777777" w:rsidR="001767F0" w:rsidRPr="00982D4F" w:rsidRDefault="001767F0" w:rsidP="001767F0">
      <w:pPr>
        <w:jc w:val="both"/>
        <w:rPr>
          <w:rFonts w:ascii="Baskerville Old Face" w:eastAsiaTheme="minorEastAsia" w:hAnsi="Baskerville Old Face" w:cs="Times New Roman"/>
          <w:color w:val="000000"/>
          <w:lang w:eastAsia="es-GT"/>
        </w:rPr>
      </w:pPr>
      <w:r w:rsidRPr="00982D4F">
        <w:rPr>
          <w:rFonts w:ascii="Baskerville Old Face" w:eastAsiaTheme="minorEastAsia" w:hAnsi="Baskerville Old Face" w:cs="Times New Roman"/>
          <w:color w:val="000000"/>
          <w:lang w:eastAsia="es-GT"/>
        </w:rPr>
        <w:t xml:space="preserve">En este sentido, la política se integra en cinco ejes estratégicos: </w:t>
      </w:r>
    </w:p>
    <w:p w14:paraId="2EB37D05" w14:textId="77777777" w:rsidR="001767F0" w:rsidRPr="00982D4F" w:rsidRDefault="001767F0" w:rsidP="001767F0">
      <w:pPr>
        <w:jc w:val="both"/>
        <w:rPr>
          <w:rFonts w:ascii="Baskerville Old Face" w:eastAsiaTheme="minorEastAsia" w:hAnsi="Baskerville Old Face" w:cs="Times New Roman"/>
          <w:color w:val="000000"/>
          <w:lang w:eastAsia="es-GT"/>
        </w:rPr>
      </w:pPr>
      <w:r w:rsidRPr="00982D4F">
        <w:rPr>
          <w:rFonts w:ascii="Baskerville Old Face" w:eastAsiaTheme="minorEastAsia" w:hAnsi="Baskerville Old Face" w:cs="Times New Roman"/>
          <w:color w:val="000000"/>
          <w:lang w:eastAsia="es-GT"/>
        </w:rPr>
        <w:t xml:space="preserve">1. Salud integral </w:t>
      </w:r>
    </w:p>
    <w:p w14:paraId="36CFE6DC" w14:textId="77777777" w:rsidR="001767F0" w:rsidRPr="00982D4F" w:rsidRDefault="001767F0" w:rsidP="001767F0">
      <w:pPr>
        <w:jc w:val="both"/>
        <w:rPr>
          <w:rFonts w:ascii="Baskerville Old Face" w:eastAsiaTheme="minorEastAsia" w:hAnsi="Baskerville Old Face" w:cs="Times New Roman"/>
          <w:color w:val="000000"/>
          <w:lang w:eastAsia="es-GT"/>
        </w:rPr>
      </w:pPr>
      <w:r w:rsidRPr="00982D4F">
        <w:rPr>
          <w:rFonts w:ascii="Baskerville Old Face" w:eastAsiaTheme="minorEastAsia" w:hAnsi="Baskerville Old Face" w:cs="Times New Roman"/>
          <w:color w:val="000000"/>
          <w:lang w:eastAsia="es-GT"/>
        </w:rPr>
        <w:t xml:space="preserve">2. Empleo, formación y capacitación </w:t>
      </w:r>
    </w:p>
    <w:p w14:paraId="60D85FAF" w14:textId="77777777" w:rsidR="001767F0" w:rsidRPr="00982D4F" w:rsidRDefault="001767F0" w:rsidP="001767F0">
      <w:pPr>
        <w:jc w:val="both"/>
        <w:rPr>
          <w:rFonts w:ascii="Baskerville Old Face" w:eastAsiaTheme="minorEastAsia" w:hAnsi="Baskerville Old Face" w:cs="Times New Roman"/>
          <w:color w:val="000000"/>
          <w:lang w:eastAsia="es-GT"/>
        </w:rPr>
      </w:pPr>
      <w:r w:rsidRPr="00982D4F">
        <w:rPr>
          <w:rFonts w:ascii="Baskerville Old Face" w:eastAsiaTheme="minorEastAsia" w:hAnsi="Baskerville Old Face" w:cs="Times New Roman"/>
          <w:color w:val="000000"/>
          <w:lang w:eastAsia="es-GT"/>
        </w:rPr>
        <w:t>3. Protección Social</w:t>
      </w:r>
    </w:p>
    <w:p w14:paraId="67DBADA4" w14:textId="77777777" w:rsidR="001767F0" w:rsidRPr="00982D4F" w:rsidRDefault="001767F0" w:rsidP="001767F0">
      <w:pPr>
        <w:jc w:val="both"/>
        <w:rPr>
          <w:rFonts w:ascii="Baskerville Old Face" w:eastAsiaTheme="minorEastAsia" w:hAnsi="Baskerville Old Face" w:cs="Times New Roman"/>
          <w:color w:val="000000"/>
          <w:lang w:eastAsia="es-GT"/>
        </w:rPr>
      </w:pPr>
      <w:r w:rsidRPr="00982D4F">
        <w:rPr>
          <w:rFonts w:ascii="Baskerville Old Face" w:eastAsiaTheme="minorEastAsia" w:hAnsi="Baskerville Old Face" w:cs="Times New Roman"/>
          <w:color w:val="000000"/>
          <w:lang w:eastAsia="es-GT"/>
        </w:rPr>
        <w:t xml:space="preserve">4. Promoción de la Justicia </w:t>
      </w:r>
    </w:p>
    <w:p w14:paraId="71A14A16" w14:textId="77777777" w:rsidR="001767F0" w:rsidRPr="00982D4F" w:rsidRDefault="001767F0" w:rsidP="001767F0">
      <w:pPr>
        <w:jc w:val="both"/>
        <w:rPr>
          <w:rFonts w:ascii="Baskerville Old Face" w:eastAsiaTheme="minorEastAsia" w:hAnsi="Baskerville Old Face" w:cs="Times New Roman"/>
          <w:color w:val="000000"/>
          <w:lang w:eastAsia="es-GT"/>
        </w:rPr>
      </w:pPr>
      <w:r w:rsidRPr="00982D4F">
        <w:rPr>
          <w:rFonts w:ascii="Baskerville Old Face" w:eastAsiaTheme="minorEastAsia" w:hAnsi="Baskerville Old Face" w:cs="Times New Roman"/>
          <w:color w:val="000000"/>
          <w:lang w:eastAsia="es-GT"/>
        </w:rPr>
        <w:t>5. Recreación y Socialización</w:t>
      </w:r>
    </w:p>
    <w:p w14:paraId="53A42235" w14:textId="77777777" w:rsidR="001767F0" w:rsidRPr="00982D4F" w:rsidRDefault="001767F0" w:rsidP="001767F0">
      <w:pPr>
        <w:jc w:val="both"/>
        <w:rPr>
          <w:rFonts w:ascii="Baskerville Old Face" w:eastAsiaTheme="minorEastAsia" w:hAnsi="Baskerville Old Face" w:cs="Times New Roman"/>
          <w:color w:val="000000"/>
          <w:lang w:eastAsia="es-GT"/>
        </w:rPr>
      </w:pPr>
    </w:p>
    <w:p w14:paraId="5AC11A9A" w14:textId="77777777" w:rsidR="001767F0" w:rsidRPr="00982D4F" w:rsidRDefault="001767F0" w:rsidP="001767F0">
      <w:pPr>
        <w:jc w:val="both"/>
        <w:rPr>
          <w:rFonts w:ascii="Baskerville Old Face" w:eastAsiaTheme="minorEastAsia" w:hAnsi="Baskerville Old Face" w:cs="Times New Roman"/>
          <w:color w:val="000000"/>
          <w:lang w:eastAsia="es-GT"/>
        </w:rPr>
      </w:pPr>
      <w:r w:rsidRPr="00982D4F">
        <w:rPr>
          <w:rFonts w:ascii="Baskerville Old Face" w:eastAsiaTheme="minorEastAsia" w:hAnsi="Baskerville Old Face" w:cs="Times New Roman"/>
          <w:color w:val="000000"/>
          <w:lang w:eastAsia="es-GT"/>
        </w:rPr>
        <w:lastRenderedPageBreak/>
        <w:t>Dicha política incluye mecanismos de evaluación, que permitan medir los resultados en el tiempo e introducir los correctivos o reformulaciones que sean necesarios para cumplir con los objetivos propuestos.</w:t>
      </w:r>
    </w:p>
    <w:p w14:paraId="3D266D7F" w14:textId="77777777" w:rsidR="001767F0" w:rsidRPr="000E33D8" w:rsidRDefault="001767F0" w:rsidP="001767F0">
      <w:pPr>
        <w:jc w:val="both"/>
        <w:rPr>
          <w:rFonts w:ascii="Times New Roman" w:eastAsiaTheme="minorEastAsia" w:hAnsi="Times New Roman" w:cs="Times New Roman"/>
          <w:i/>
          <w:color w:val="000000"/>
          <w:lang w:eastAsia="es-GT"/>
        </w:rPr>
      </w:pPr>
    </w:p>
    <w:p w14:paraId="60A38870" w14:textId="1AC37DDE" w:rsidR="000E78B0" w:rsidRPr="00982D4F" w:rsidRDefault="000E78B0" w:rsidP="00982D4F">
      <w:pPr>
        <w:pStyle w:val="Heading2"/>
        <w:ind w:left="284" w:hanging="284"/>
        <w:jc w:val="both"/>
        <w:rPr>
          <w:rFonts w:ascii="Baskerville Old Face" w:hAnsi="Baskerville Old Face"/>
        </w:rPr>
      </w:pPr>
      <w:r w:rsidRPr="00982D4F">
        <w:rPr>
          <w:rFonts w:ascii="Baskerville Old Face" w:hAnsi="Baskerville Old Face"/>
        </w:rPr>
        <w:t>¿Permiten las protecciones jurídicas existentes contra la discriminación por edad reclamaciones basadas en la discriminación intersectorial, es decir, la discriminación basada en la intersección de la edad y otras características como la raza, la etnia, el género, la orientación sexual, la discapacidad u otra condición?</w:t>
      </w:r>
    </w:p>
    <w:p w14:paraId="16BE6EE3" w14:textId="77777777" w:rsidR="00347909" w:rsidRPr="000E33D8" w:rsidRDefault="00347909" w:rsidP="00347909">
      <w:pPr>
        <w:rPr>
          <w:rFonts w:ascii="Times New Roman" w:hAnsi="Times New Roman" w:cs="Times New Roman"/>
        </w:rPr>
      </w:pPr>
    </w:p>
    <w:p w14:paraId="16A157A2" w14:textId="71FEEED0" w:rsidR="007A0E5C" w:rsidRPr="00183F45" w:rsidRDefault="00183F45" w:rsidP="007A0E5C">
      <w:pPr>
        <w:pStyle w:val="NormalWeb"/>
        <w:spacing w:before="0" w:beforeAutospacing="0" w:after="0" w:afterAutospacing="0"/>
        <w:jc w:val="both"/>
        <w:rPr>
          <w:rFonts w:ascii="Baskerville Old Face" w:hAnsi="Baskerville Old Face"/>
        </w:rPr>
      </w:pPr>
      <w:r>
        <w:rPr>
          <w:rFonts w:ascii="Baskerville Old Face" w:hAnsi="Baskerville Old Face"/>
          <w:iCs/>
          <w:color w:val="000000"/>
        </w:rPr>
        <w:t xml:space="preserve">Sí, las protecciones jurídicas guatemaltecas permiten reclamaciones penales, económicas y morales con motivo de discriminación intersectorial por edad y otras características, tal como lo regula la reparación digna regulada en el Código Procesal Penal en caso de sentencias condenatorias por discriminación por edad u otro motivo. En audiencia específica ante el Órgano Jurisdiccional se plantea la reparación y se resuelve sobre esas reclamaciones. </w:t>
      </w:r>
    </w:p>
    <w:p w14:paraId="3922280E" w14:textId="46AB9E8B" w:rsidR="007A0E5C" w:rsidRDefault="007A0E5C" w:rsidP="00347909">
      <w:pPr>
        <w:pStyle w:val="NormalWeb"/>
        <w:spacing w:before="0" w:beforeAutospacing="0" w:after="0" w:afterAutospacing="0"/>
        <w:jc w:val="both"/>
        <w:rPr>
          <w:i/>
          <w:iCs/>
          <w:color w:val="000000"/>
        </w:rPr>
      </w:pPr>
    </w:p>
    <w:p w14:paraId="22B0BDFA" w14:textId="77777777" w:rsidR="00347909" w:rsidRPr="000E33D8" w:rsidRDefault="00347909" w:rsidP="00347909">
      <w:pPr>
        <w:rPr>
          <w:rFonts w:ascii="Times New Roman" w:hAnsi="Times New Roman" w:cs="Times New Roman"/>
        </w:rPr>
      </w:pPr>
    </w:p>
    <w:p w14:paraId="58C0714F" w14:textId="7F39CB75" w:rsidR="000E78B0" w:rsidRPr="00BE7E14" w:rsidRDefault="000E78B0" w:rsidP="00BE7E14">
      <w:pPr>
        <w:pStyle w:val="Heading2"/>
        <w:ind w:left="284" w:hanging="284"/>
        <w:jc w:val="both"/>
        <w:rPr>
          <w:rFonts w:ascii="Baskerville Old Face" w:hAnsi="Baskerville Old Face"/>
        </w:rPr>
      </w:pPr>
      <w:r w:rsidRPr="00BE7E14">
        <w:rPr>
          <w:rFonts w:ascii="Baskerville Old Face" w:hAnsi="Baskerville Old Face"/>
        </w:rPr>
        <w:t>¿Qué medidas jurídicas y de otra índole se han adoptado para abordar y proteger contra el racismo, el sexismo, el capacitismo u otras formas análogas de discriminación que puedan ser modelos útiles para abordar la discriminación por edad?</w:t>
      </w:r>
    </w:p>
    <w:p w14:paraId="3132C5F7" w14:textId="77777777" w:rsidR="008A69B1" w:rsidRPr="000E33D8" w:rsidRDefault="008A69B1" w:rsidP="008A69B1">
      <w:pPr>
        <w:rPr>
          <w:rFonts w:ascii="Times New Roman" w:hAnsi="Times New Roman" w:cs="Times New Roman"/>
        </w:rPr>
      </w:pPr>
    </w:p>
    <w:p w14:paraId="6D3BA8A2" w14:textId="77AFFCE0" w:rsidR="00DB2619" w:rsidRPr="00F51758" w:rsidRDefault="00BE7E14" w:rsidP="00DB2619">
      <w:pPr>
        <w:jc w:val="both"/>
        <w:rPr>
          <w:rFonts w:ascii="Baskerville Old Face" w:eastAsia="Times New Roman" w:hAnsi="Baskerville Old Face" w:cs="Times New Roman"/>
          <w:lang w:eastAsia="es-GT"/>
        </w:rPr>
      </w:pPr>
      <w:r w:rsidRPr="00F51758">
        <w:rPr>
          <w:rFonts w:ascii="Baskerville Old Face" w:eastAsia="Times New Roman" w:hAnsi="Baskerville Old Face" w:cs="Times New Roman"/>
          <w:color w:val="000000"/>
          <w:lang w:eastAsia="es-GT"/>
        </w:rPr>
        <w:lastRenderedPageBreak/>
        <w:t>E</w:t>
      </w:r>
      <w:r w:rsidR="00DB2619" w:rsidRPr="00F51758">
        <w:rPr>
          <w:rFonts w:ascii="Baskerville Old Face" w:eastAsia="Times New Roman" w:hAnsi="Baskerville Old Face" w:cs="Times New Roman"/>
          <w:color w:val="000000"/>
          <w:lang w:eastAsia="es-GT"/>
        </w:rPr>
        <w:t>l CONADI coordinó y apoy</w:t>
      </w:r>
      <w:r w:rsidRPr="00F51758">
        <w:rPr>
          <w:rFonts w:ascii="Baskerville Old Face" w:eastAsia="Times New Roman" w:hAnsi="Baskerville Old Face" w:cs="Times New Roman"/>
          <w:color w:val="000000"/>
          <w:lang w:eastAsia="es-GT"/>
        </w:rPr>
        <w:t>ó al Ministerio de Trabajo y a</w:t>
      </w:r>
      <w:r w:rsidR="00DB2619" w:rsidRPr="00F51758">
        <w:rPr>
          <w:rFonts w:ascii="Baskerville Old Face" w:eastAsia="Times New Roman" w:hAnsi="Baskerville Old Face" w:cs="Times New Roman"/>
          <w:color w:val="000000"/>
          <w:lang w:eastAsia="es-GT"/>
        </w:rPr>
        <w:t>l Consejo Nacional de la Juventud, la primera feria de empleo para personas con discapacidad en donde varias personas mayores de 60 años participaron. </w:t>
      </w:r>
    </w:p>
    <w:p w14:paraId="24C13E92" w14:textId="77777777" w:rsidR="00DB2619" w:rsidRPr="00F51758" w:rsidRDefault="00DB2619" w:rsidP="00DB2619">
      <w:pPr>
        <w:rPr>
          <w:rFonts w:ascii="Baskerville Old Face" w:eastAsia="Times New Roman" w:hAnsi="Baskerville Old Face" w:cs="Times New Roman"/>
          <w:lang w:eastAsia="es-GT"/>
        </w:rPr>
      </w:pPr>
    </w:p>
    <w:p w14:paraId="248A3A49" w14:textId="6EEBD326" w:rsidR="00DB2619" w:rsidRPr="00F51758" w:rsidRDefault="00DB2619" w:rsidP="00DB2619">
      <w:pPr>
        <w:jc w:val="both"/>
        <w:rPr>
          <w:rFonts w:ascii="Baskerville Old Face" w:eastAsia="Times New Roman" w:hAnsi="Baskerville Old Face" w:cs="Times New Roman"/>
          <w:lang w:eastAsia="es-GT"/>
        </w:rPr>
      </w:pPr>
      <w:r w:rsidRPr="00F51758">
        <w:rPr>
          <w:rFonts w:ascii="Baskerville Old Face" w:eastAsia="Times New Roman" w:hAnsi="Baskerville Old Face" w:cs="Times New Roman"/>
          <w:color w:val="000000"/>
          <w:lang w:eastAsia="es-GT"/>
        </w:rPr>
        <w:t>Se han realizado campañas de toma de conciencia y se han asesorado obras de accesibilidad para la libre locomoción de hombres y mujeres de edad y con discapacidad</w:t>
      </w:r>
      <w:r w:rsidR="00BE7E14" w:rsidRPr="00F51758">
        <w:rPr>
          <w:rFonts w:ascii="Baskerville Old Face" w:eastAsia="Times New Roman" w:hAnsi="Baskerville Old Face" w:cs="Times New Roman"/>
          <w:color w:val="000000"/>
          <w:lang w:eastAsia="es-GT"/>
        </w:rPr>
        <w:t>.</w:t>
      </w:r>
    </w:p>
    <w:p w14:paraId="49321E07" w14:textId="77777777" w:rsidR="00DB2619" w:rsidRPr="00F51758" w:rsidRDefault="00DB2619" w:rsidP="00DB2619">
      <w:pPr>
        <w:rPr>
          <w:rFonts w:ascii="Baskerville Old Face" w:hAnsi="Baskerville Old Face" w:cs="Times New Roman"/>
        </w:rPr>
      </w:pPr>
    </w:p>
    <w:p w14:paraId="540F2254" w14:textId="197766DB" w:rsidR="008A69B1" w:rsidRPr="00F51758" w:rsidRDefault="008A69B1" w:rsidP="008C40C6">
      <w:pPr>
        <w:jc w:val="both"/>
        <w:rPr>
          <w:rFonts w:ascii="Baskerville Old Face" w:hAnsi="Baskerville Old Face" w:cs="Times New Roman"/>
        </w:rPr>
      </w:pPr>
      <w:r w:rsidRPr="00F51758">
        <w:rPr>
          <w:rFonts w:ascii="Baskerville Old Face" w:hAnsi="Baskerville Old Face" w:cs="Times New Roman"/>
        </w:rPr>
        <w:t xml:space="preserve">Conforme a los temas anteriores planteados, se informa que las acciones y medidas adoptadas e implementadas por el </w:t>
      </w:r>
      <w:r w:rsidR="00F51758" w:rsidRPr="00F51758">
        <w:rPr>
          <w:rFonts w:ascii="Baskerville Old Face" w:hAnsi="Baskerville Old Face" w:cs="Times New Roman"/>
        </w:rPr>
        <w:t>Instituto Técnico de Capacitación y Productividad (</w:t>
      </w:r>
      <w:r w:rsidRPr="00F51758">
        <w:rPr>
          <w:rFonts w:ascii="Baskerville Old Face" w:hAnsi="Baskerville Old Face" w:cs="Times New Roman"/>
        </w:rPr>
        <w:t>INTECAP</w:t>
      </w:r>
      <w:r w:rsidR="00F51758" w:rsidRPr="00F51758">
        <w:rPr>
          <w:rFonts w:ascii="Baskerville Old Face" w:hAnsi="Baskerville Old Face" w:cs="Times New Roman"/>
        </w:rPr>
        <w:t>)</w:t>
      </w:r>
      <w:r w:rsidRPr="00F51758">
        <w:rPr>
          <w:rFonts w:ascii="Baskerville Old Face" w:hAnsi="Baskerville Old Face" w:cs="Times New Roman"/>
        </w:rPr>
        <w:t>, que permiten a las personas de edad disponer de medios de formación profesional, han sido consideradas desde su creación, tal como lo consigna la Ley Orgánica, Decreto 17-72 del Congreso de la República que en sus artículos hace referencia a la capacitación y formación del recurso humano.  En dicha Ley, se refiere la atención a todos los sectores del mercado laboral y de la población, es decir, sin distinción.</w:t>
      </w:r>
    </w:p>
    <w:p w14:paraId="43F933F7" w14:textId="77777777" w:rsidR="008A69B1" w:rsidRPr="000E33D8" w:rsidRDefault="008A69B1" w:rsidP="008A69B1">
      <w:pPr>
        <w:rPr>
          <w:rFonts w:ascii="Times New Roman" w:hAnsi="Times New Roman" w:cs="Times New Roman"/>
          <w:i/>
        </w:rPr>
      </w:pPr>
    </w:p>
    <w:p w14:paraId="4E8F414D" w14:textId="54DE26F7" w:rsidR="008A69B1" w:rsidRPr="00F51758" w:rsidRDefault="008A69B1" w:rsidP="00415D2F">
      <w:pPr>
        <w:jc w:val="both"/>
        <w:rPr>
          <w:rFonts w:ascii="Baskerville Old Face" w:hAnsi="Baskerville Old Face" w:cs="Times New Roman"/>
        </w:rPr>
      </w:pPr>
      <w:r w:rsidRPr="00F51758">
        <w:rPr>
          <w:rFonts w:ascii="Baskerville Old Face" w:hAnsi="Baskerville Old Face" w:cs="Times New Roman"/>
        </w:rPr>
        <w:t xml:space="preserve">Adicionalmente, </w:t>
      </w:r>
      <w:r w:rsidR="00F51758" w:rsidRPr="00F51758">
        <w:rPr>
          <w:rFonts w:ascii="Baskerville Old Face" w:hAnsi="Baskerville Old Face" w:cs="Times New Roman"/>
        </w:rPr>
        <w:t xml:space="preserve">el </w:t>
      </w:r>
      <w:r w:rsidRPr="00F51758">
        <w:rPr>
          <w:rFonts w:ascii="Baskerville Old Face" w:hAnsi="Baskerville Old Face" w:cs="Times New Roman"/>
        </w:rPr>
        <w:t>INTECAP garantiza la atención a toda persona interesada en participar de sus servicios de capacitación, para lo cual aplica el concepto de Universalidad de Ingreso, que en su Normativo Interno del Participante lo define así:</w:t>
      </w:r>
    </w:p>
    <w:p w14:paraId="4A4B67CB" w14:textId="77777777" w:rsidR="008A69B1" w:rsidRPr="00F51758" w:rsidRDefault="008A69B1" w:rsidP="008A69B1">
      <w:pPr>
        <w:rPr>
          <w:rFonts w:ascii="Baskerville Old Face" w:hAnsi="Baskerville Old Face" w:cs="Times New Roman"/>
        </w:rPr>
      </w:pPr>
    </w:p>
    <w:p w14:paraId="055B98C5" w14:textId="7C8C808C" w:rsidR="008A69B1" w:rsidRPr="00F51758" w:rsidRDefault="008A69B1" w:rsidP="00A154CE">
      <w:pPr>
        <w:jc w:val="both"/>
        <w:rPr>
          <w:rFonts w:ascii="Baskerville Old Face" w:hAnsi="Baskerville Old Face" w:cs="Times New Roman"/>
        </w:rPr>
      </w:pPr>
      <w:r w:rsidRPr="00F51758">
        <w:rPr>
          <w:rFonts w:ascii="Baskerville Old Face" w:hAnsi="Baskerville Old Face" w:cs="Times New Roman"/>
        </w:rPr>
        <w:t>“Universalidad de Ingreso</w:t>
      </w:r>
      <w:r w:rsidR="00A154CE" w:rsidRPr="00F51758">
        <w:rPr>
          <w:rFonts w:ascii="Baskerville Old Face" w:hAnsi="Baskerville Old Face" w:cs="Times New Roman"/>
        </w:rPr>
        <w:t xml:space="preserve">: </w:t>
      </w:r>
      <w:r w:rsidRPr="00F51758">
        <w:rPr>
          <w:rFonts w:ascii="Baskerville Old Face" w:hAnsi="Baskerville Old Face" w:cs="Times New Roman"/>
        </w:rPr>
        <w:t xml:space="preserve">Toda persona, sin distinción de diferencia de cualquier naturaleza, como edad, género, origen étnico, posición económica, posición social, discapacidad, orientación política, </w:t>
      </w:r>
      <w:r w:rsidRPr="00F51758">
        <w:rPr>
          <w:rFonts w:ascii="Baskerville Old Face" w:hAnsi="Baskerville Old Face" w:cs="Times New Roman"/>
        </w:rPr>
        <w:lastRenderedPageBreak/>
        <w:t>orientación sexual o identidad de género, religión, creencia religiosa o ideológica, puede aspirar a ser participante de eventos de capacitación o formación profesional del INTECAP.”</w:t>
      </w:r>
    </w:p>
    <w:p w14:paraId="3853A923" w14:textId="77777777" w:rsidR="00A154CE" w:rsidRPr="00F51758" w:rsidRDefault="00A154CE" w:rsidP="00A154CE">
      <w:pPr>
        <w:jc w:val="both"/>
        <w:rPr>
          <w:rFonts w:ascii="Baskerville Old Face" w:hAnsi="Baskerville Old Face" w:cs="Times New Roman"/>
        </w:rPr>
      </w:pPr>
    </w:p>
    <w:p w14:paraId="2600655B" w14:textId="2A9FF240" w:rsidR="008A69B1" w:rsidRPr="00F51758" w:rsidRDefault="008A69B1" w:rsidP="00A154CE">
      <w:pPr>
        <w:jc w:val="both"/>
        <w:rPr>
          <w:rFonts w:ascii="Baskerville Old Face" w:hAnsi="Baskerville Old Face" w:cs="Times New Roman"/>
        </w:rPr>
      </w:pPr>
      <w:r w:rsidRPr="00F51758">
        <w:rPr>
          <w:rFonts w:ascii="Baskerville Old Face" w:hAnsi="Baskerville Old Face" w:cs="Times New Roman"/>
        </w:rPr>
        <w:t>Para reforzar esta garantía, la Política Estratégica Institucional No. 1, textualmente dice: “Desarrollar los procesos institucionales con enfoque al cliente, garantizando el ingreso a los trabajadores y personas por incorporarse al mercado laboral, conforme a la demanda, cumpliendo el marco legal vigente, los procedimientos, requisitos técnicos y normativos de los servicios institucionales”. Esta política tiene como propósito ampliar la cobertura institucional a todos los sectores de la economía, conforme a la demanda, asegurando el acceso a la formación ocupacional y capacitación a todos los trabajadores y población en general.</w:t>
      </w:r>
    </w:p>
    <w:p w14:paraId="49D9A126" w14:textId="77777777" w:rsidR="008A69B1" w:rsidRPr="000E33D8" w:rsidRDefault="008A69B1" w:rsidP="008A69B1">
      <w:pPr>
        <w:rPr>
          <w:rFonts w:ascii="Times New Roman" w:hAnsi="Times New Roman" w:cs="Times New Roman"/>
          <w:i/>
        </w:rPr>
      </w:pPr>
    </w:p>
    <w:p w14:paraId="1A102943" w14:textId="77777777" w:rsidR="008A69B1" w:rsidRPr="00F51758" w:rsidRDefault="008A69B1" w:rsidP="00A154CE">
      <w:pPr>
        <w:jc w:val="both"/>
        <w:rPr>
          <w:rFonts w:ascii="Baskerville Old Face" w:hAnsi="Baskerville Old Face" w:cs="Times New Roman"/>
        </w:rPr>
      </w:pPr>
      <w:r w:rsidRPr="00F51758">
        <w:rPr>
          <w:rFonts w:ascii="Baskerville Old Face" w:hAnsi="Baskerville Old Face" w:cs="Times New Roman"/>
        </w:rPr>
        <w:t>Por otra parte, el Instituto Técnico de Capacitación y Productividad, no solamente garantiza las oportunidades de ingreso a las personas interesadas, sino también, que todas las personas reciban un buen servicio; de manera que, en su Manual de Cultura de Servicio en su estándar de “Consistencia” menciona que las personas que prestas sus servicios en el INTECAP, deben tratar a todos los clientes por igual, sin hacer ningún tipo de distinción; por lo que como indicador de este estándar, se incluye el “Trato equitativo”, que textualmente dice “Tratar al cliente con respeto, actuando siempre con integridad y sin preferencia alguna, debiéndose practicar y confirmar en todas las interacciones que se tengan con el cliente”.</w:t>
      </w:r>
    </w:p>
    <w:p w14:paraId="196C854C" w14:textId="77777777" w:rsidR="008A69B1" w:rsidRPr="00F51758" w:rsidRDefault="008A69B1" w:rsidP="008A69B1">
      <w:pPr>
        <w:rPr>
          <w:rFonts w:ascii="Baskerville Old Face" w:hAnsi="Baskerville Old Face" w:cs="Times New Roman"/>
        </w:rPr>
      </w:pPr>
    </w:p>
    <w:p w14:paraId="688A2ABC" w14:textId="790BA7FC" w:rsidR="008A69B1" w:rsidRPr="00F51758" w:rsidRDefault="008A69B1" w:rsidP="00A154CE">
      <w:pPr>
        <w:jc w:val="both"/>
        <w:rPr>
          <w:rFonts w:ascii="Baskerville Old Face" w:hAnsi="Baskerville Old Face" w:cs="Times New Roman"/>
        </w:rPr>
      </w:pPr>
      <w:r w:rsidRPr="00F51758">
        <w:rPr>
          <w:rFonts w:ascii="Baskerville Old Face" w:hAnsi="Baskerville Old Face" w:cs="Times New Roman"/>
        </w:rPr>
        <w:lastRenderedPageBreak/>
        <w:t>Adicionalmente, con el fin de implantar la cultura de la equidad en el INTECAP, se realizó la “Campaña de la Inclusión”, que desarrolló actividades como, charlas de sensibilización y motivacionales a los trabajadores de la Institución; se proporcionaron afiches con mensajes que promueven a dar la bienvenida a las personas pertenecientes a los diferentes colectivos poblacionales, no importando su condición de género o edad.</w:t>
      </w:r>
    </w:p>
    <w:p w14:paraId="67621DE2" w14:textId="77777777" w:rsidR="008A69B1" w:rsidRPr="000E33D8" w:rsidRDefault="008A69B1" w:rsidP="00DB2619">
      <w:pPr>
        <w:rPr>
          <w:rFonts w:ascii="Times New Roman" w:hAnsi="Times New Roman" w:cs="Times New Roman"/>
          <w:i/>
        </w:rPr>
      </w:pPr>
    </w:p>
    <w:p w14:paraId="43071DE8" w14:textId="25C05F50" w:rsidR="001767F0" w:rsidRPr="00F51758" w:rsidRDefault="001767F0" w:rsidP="00415D2F">
      <w:pPr>
        <w:jc w:val="both"/>
        <w:rPr>
          <w:rFonts w:ascii="Baskerville Old Face" w:hAnsi="Baskerville Old Face" w:cs="Times New Roman"/>
        </w:rPr>
      </w:pPr>
      <w:r w:rsidRPr="00F51758">
        <w:rPr>
          <w:rFonts w:ascii="Baskerville Old Face" w:hAnsi="Baskerville Old Face" w:cs="Times New Roman"/>
        </w:rPr>
        <w:t>En el ámbito penal</w:t>
      </w:r>
      <w:r w:rsidR="00A154CE" w:rsidRPr="00F51758">
        <w:rPr>
          <w:rFonts w:ascii="Baskerville Old Face" w:hAnsi="Baskerville Old Face" w:cs="Times New Roman"/>
        </w:rPr>
        <w:t>, el Ministerio Público indica que</w:t>
      </w:r>
      <w:r w:rsidRPr="00F51758">
        <w:rPr>
          <w:rFonts w:ascii="Baskerville Old Face" w:hAnsi="Baskerville Old Face" w:cs="Times New Roman"/>
        </w:rPr>
        <w:t xml:space="preserve"> se creó la figura delictiva de discriminación, el cual se encuentra regulado en el artículo 202 Bis, del Código Penal de Guatemala,</w:t>
      </w:r>
      <w:r w:rsidR="00A154CE" w:rsidRPr="00F51758">
        <w:rPr>
          <w:rFonts w:ascii="Baskerville Old Face" w:hAnsi="Baskerville Old Face" w:cs="Times New Roman"/>
        </w:rPr>
        <w:t xml:space="preserve"> que</w:t>
      </w:r>
      <w:r w:rsidRPr="00F51758">
        <w:rPr>
          <w:rFonts w:ascii="Baskerville Old Face" w:hAnsi="Baskerville Old Face" w:cs="Times New Roman"/>
        </w:rPr>
        <w:t xml:space="preserve"> explica: … se entenderá como discriminación toda distinción, exclusión, restricción o preferencia basada en motivos de género, raza, etnia, idioma, edad, religión, situación económica, enfermedad, discapacidad, estado civil, o en cualesquiera otro motivo, razón o circunstancia, que impidiere o dificultare a una persona, grupo de personas o asociaciones, el ejercicio de un derecho legalmente establecido incluyendo el derecho consuetudinario o costumbre, de conformidad con la Constitución Política de la República y los Tratados Internacionales en materia de derechos humanos.</w:t>
      </w:r>
      <w:r w:rsidR="00F51758">
        <w:rPr>
          <w:rFonts w:ascii="Baskerville Old Face" w:hAnsi="Baskerville Old Face" w:cs="Times New Roman"/>
        </w:rPr>
        <w:t xml:space="preserve"> </w:t>
      </w:r>
      <w:r w:rsidRPr="00F51758">
        <w:rPr>
          <w:rFonts w:ascii="Baskerville Old Face" w:hAnsi="Baskerville Old Face" w:cs="Times New Roman"/>
        </w:rPr>
        <w:t xml:space="preserve">El castigo a quien se encontrara culpable de este delito es de uno a tres años de prisión y una multa. </w:t>
      </w:r>
    </w:p>
    <w:p w14:paraId="03132CD2" w14:textId="77777777" w:rsidR="001767F0" w:rsidRPr="00F51758" w:rsidRDefault="001767F0" w:rsidP="00415D2F">
      <w:pPr>
        <w:jc w:val="both"/>
        <w:rPr>
          <w:rFonts w:ascii="Baskerville Old Face" w:hAnsi="Baskerville Old Face" w:cs="Times New Roman"/>
        </w:rPr>
      </w:pPr>
    </w:p>
    <w:p w14:paraId="11AB181C" w14:textId="7006CEB3" w:rsidR="001767F0" w:rsidRPr="00F51758" w:rsidRDefault="001767F0" w:rsidP="00415D2F">
      <w:pPr>
        <w:jc w:val="both"/>
        <w:rPr>
          <w:rFonts w:ascii="Baskerville Old Face" w:hAnsi="Baskerville Old Face" w:cs="Times New Roman"/>
        </w:rPr>
      </w:pPr>
      <w:r w:rsidRPr="00F51758">
        <w:rPr>
          <w:rFonts w:ascii="Baskerville Old Face" w:hAnsi="Baskerville Old Face" w:cs="Times New Roman"/>
        </w:rPr>
        <w:t>Durante el año 2002 por medio del Acuerdo Gubernativo número 390-2002 se crea la comisión presidencial contra el racismo y la discriminación –CODISRA- mismo que fue reformado con el Acuerdo 519-2006 con el propósito de formular políticas públicas que permitan erradicar la discriminación racial en el país.</w:t>
      </w:r>
    </w:p>
    <w:p w14:paraId="5034AB7A" w14:textId="77777777" w:rsidR="00A154CE" w:rsidRPr="00F51758" w:rsidRDefault="00A154CE" w:rsidP="00415D2F">
      <w:pPr>
        <w:jc w:val="both"/>
        <w:rPr>
          <w:rFonts w:ascii="Baskerville Old Face" w:hAnsi="Baskerville Old Face" w:cs="Times New Roman"/>
        </w:rPr>
      </w:pPr>
    </w:p>
    <w:p w14:paraId="6BC896E7" w14:textId="0FA34A4E" w:rsidR="001767F0" w:rsidRPr="00F51758" w:rsidRDefault="001767F0" w:rsidP="00415D2F">
      <w:pPr>
        <w:jc w:val="both"/>
        <w:rPr>
          <w:rFonts w:ascii="Baskerville Old Face" w:hAnsi="Baskerville Old Face" w:cs="Times New Roman"/>
        </w:rPr>
      </w:pPr>
      <w:r w:rsidRPr="00F51758">
        <w:rPr>
          <w:rFonts w:ascii="Baskerville Old Face" w:hAnsi="Baskerville Old Face" w:cs="Times New Roman"/>
        </w:rPr>
        <w:lastRenderedPageBreak/>
        <w:t>La Ley de Protección para las Personas de la Tercera Edad, Decreto Número 80-96 del Congreso de la República y sus reformas, en el artículo 32 crea el Comité Nacional de Protección a la Vejez, que se podrá abreviar CONAPROV; el cual está integrado de la siguiente manera:</w:t>
      </w:r>
    </w:p>
    <w:p w14:paraId="066643CB" w14:textId="77777777" w:rsidR="00A154CE" w:rsidRPr="000E33D8" w:rsidRDefault="00A154CE" w:rsidP="001767F0">
      <w:pPr>
        <w:rPr>
          <w:rFonts w:ascii="Times New Roman" w:hAnsi="Times New Roman" w:cs="Times New Roman"/>
          <w:i/>
        </w:rPr>
      </w:pPr>
    </w:p>
    <w:p w14:paraId="09521D9F" w14:textId="77777777" w:rsidR="001767F0" w:rsidRPr="00F51758" w:rsidRDefault="001767F0" w:rsidP="001767F0">
      <w:pPr>
        <w:rPr>
          <w:rFonts w:ascii="Baskerville Old Face" w:hAnsi="Baskerville Old Face" w:cs="Times New Roman"/>
        </w:rPr>
      </w:pPr>
      <w:r w:rsidRPr="00F51758">
        <w:rPr>
          <w:rFonts w:ascii="Baskerville Old Face" w:hAnsi="Baskerville Old Face" w:cs="Times New Roman"/>
        </w:rPr>
        <w:t>a) Secretaría de Obras Sociales de la Esposa del Presidente de la República (SOSEP);</w:t>
      </w:r>
    </w:p>
    <w:p w14:paraId="2E47206C" w14:textId="77777777" w:rsidR="001767F0" w:rsidRPr="00F51758" w:rsidRDefault="001767F0" w:rsidP="001767F0">
      <w:pPr>
        <w:rPr>
          <w:rFonts w:ascii="Baskerville Old Face" w:hAnsi="Baskerville Old Face" w:cs="Times New Roman"/>
        </w:rPr>
      </w:pPr>
      <w:r w:rsidRPr="00F51758">
        <w:rPr>
          <w:rFonts w:ascii="Baskerville Old Face" w:hAnsi="Baskerville Old Face" w:cs="Times New Roman"/>
        </w:rPr>
        <w:t xml:space="preserve">b) Instituto Guatemalteco de Seguridad Social (IGSS); </w:t>
      </w:r>
    </w:p>
    <w:p w14:paraId="79B3A9E5" w14:textId="77777777" w:rsidR="001767F0" w:rsidRPr="00F51758" w:rsidRDefault="001767F0" w:rsidP="001767F0">
      <w:pPr>
        <w:rPr>
          <w:rFonts w:ascii="Baskerville Old Face" w:hAnsi="Baskerville Old Face" w:cs="Times New Roman"/>
        </w:rPr>
      </w:pPr>
      <w:r w:rsidRPr="00F51758">
        <w:rPr>
          <w:rFonts w:ascii="Baskerville Old Face" w:hAnsi="Baskerville Old Face" w:cs="Times New Roman"/>
        </w:rPr>
        <w:t xml:space="preserve">c) Ministerio de Trabajo y Previsión Social (MINTRAB); </w:t>
      </w:r>
    </w:p>
    <w:p w14:paraId="7C89AE26" w14:textId="77777777" w:rsidR="001767F0" w:rsidRPr="00F51758" w:rsidRDefault="001767F0" w:rsidP="001767F0">
      <w:pPr>
        <w:rPr>
          <w:rFonts w:ascii="Baskerville Old Face" w:hAnsi="Baskerville Old Face" w:cs="Times New Roman"/>
        </w:rPr>
      </w:pPr>
      <w:r w:rsidRPr="00F51758">
        <w:rPr>
          <w:rFonts w:ascii="Baskerville Old Face" w:hAnsi="Baskerville Old Face" w:cs="Times New Roman"/>
        </w:rPr>
        <w:t xml:space="preserve">d) Ministerio de Salud Pública y Asistencia Social (MSPAS); </w:t>
      </w:r>
    </w:p>
    <w:p w14:paraId="48EAE0AA" w14:textId="77777777" w:rsidR="001767F0" w:rsidRPr="00F51758" w:rsidRDefault="001767F0" w:rsidP="001767F0">
      <w:pPr>
        <w:rPr>
          <w:rFonts w:ascii="Baskerville Old Face" w:hAnsi="Baskerville Old Face" w:cs="Times New Roman"/>
        </w:rPr>
      </w:pPr>
      <w:r w:rsidRPr="00F51758">
        <w:rPr>
          <w:rFonts w:ascii="Baskerville Old Face" w:hAnsi="Baskerville Old Face" w:cs="Times New Roman"/>
        </w:rPr>
        <w:t>e) Procuraduría General de la Nación (PGN)</w:t>
      </w:r>
    </w:p>
    <w:p w14:paraId="75B9B325" w14:textId="77777777" w:rsidR="001767F0" w:rsidRPr="000E33D8" w:rsidRDefault="001767F0" w:rsidP="001767F0">
      <w:pPr>
        <w:rPr>
          <w:rFonts w:ascii="Times New Roman" w:hAnsi="Times New Roman" w:cs="Times New Roman"/>
          <w:i/>
        </w:rPr>
      </w:pPr>
      <w:r w:rsidRPr="000E33D8">
        <w:rPr>
          <w:rFonts w:ascii="Times New Roman" w:hAnsi="Times New Roman" w:cs="Times New Roman"/>
          <w:i/>
        </w:rPr>
        <w:t xml:space="preserve"> </w:t>
      </w:r>
    </w:p>
    <w:p w14:paraId="701A8707" w14:textId="77777777" w:rsidR="001767F0" w:rsidRPr="00F51758" w:rsidRDefault="001767F0" w:rsidP="00415D2F">
      <w:pPr>
        <w:jc w:val="both"/>
        <w:rPr>
          <w:rFonts w:ascii="Baskerville Old Face" w:hAnsi="Baskerville Old Face" w:cs="Times New Roman"/>
        </w:rPr>
      </w:pPr>
      <w:r w:rsidRPr="00F51758">
        <w:rPr>
          <w:rFonts w:ascii="Baskerville Old Face" w:hAnsi="Baskerville Old Face" w:cs="Times New Roman"/>
        </w:rPr>
        <w:t>Esta misma Ley, establece que estará adscrito en todas sus funciones a la SOSEP. El mismo artículo indica que la SOSEP y el CONAPROV estarán encargados de promover, impulsar, coordinar, realizar y orientar programas y acciones relativas al bienestar y seguridad de las personas de edad avanzada por medio del Programa Nacional de la Ancianidad.</w:t>
      </w:r>
    </w:p>
    <w:p w14:paraId="44BB09A9" w14:textId="77777777" w:rsidR="001767F0" w:rsidRPr="000E33D8" w:rsidRDefault="001767F0" w:rsidP="00415D2F">
      <w:pPr>
        <w:jc w:val="both"/>
        <w:rPr>
          <w:rFonts w:ascii="Times New Roman" w:hAnsi="Times New Roman" w:cs="Times New Roman"/>
          <w:i/>
        </w:rPr>
      </w:pPr>
    </w:p>
    <w:p w14:paraId="566E6472" w14:textId="77777777" w:rsidR="001767F0" w:rsidRPr="00F51758" w:rsidRDefault="001767F0" w:rsidP="00415D2F">
      <w:pPr>
        <w:jc w:val="both"/>
        <w:rPr>
          <w:rFonts w:ascii="Baskerville Old Face" w:hAnsi="Baskerville Old Face" w:cs="Times New Roman"/>
        </w:rPr>
      </w:pPr>
      <w:r w:rsidRPr="00F51758">
        <w:rPr>
          <w:rFonts w:ascii="Baskerville Old Face" w:hAnsi="Baskerville Old Face" w:cs="Times New Roman"/>
        </w:rPr>
        <w:t xml:space="preserve">La Secretaría de Obras Sociales de la Esposa del Presidente por Acuerdo Interno 22-2017, creó el Programa Nacional del Adulto Mayor “Mis Años Dorados”, el cual está diseñado para contribuir a mejorar la calidad de vida de las personas mayores de 60 años a nivel nacional, esto a través de sus 86 centros de atención diurna y 2 centros de atención permanente a nivel nacional , el programa aporta  al </w:t>
      </w:r>
      <w:r w:rsidRPr="00F51758">
        <w:rPr>
          <w:rFonts w:ascii="Baskerville Old Face" w:hAnsi="Baskerville Old Face" w:cs="Times New Roman"/>
        </w:rPr>
        <w:lastRenderedPageBreak/>
        <w:t>desarrollo integral, facilitando alimentación que consiste en refacción por la mañana, almuerzo y  refacción por la tarde, adicional a ello se realizan diversas actividades que promueven el cierre de brecha generacional, por medio de convivencias entre niños, jóvenes y voluntarios.</w:t>
      </w:r>
    </w:p>
    <w:p w14:paraId="64105143" w14:textId="77777777" w:rsidR="001767F0" w:rsidRPr="000E33D8" w:rsidRDefault="001767F0" w:rsidP="00415D2F">
      <w:pPr>
        <w:jc w:val="both"/>
        <w:rPr>
          <w:rFonts w:ascii="Times New Roman" w:hAnsi="Times New Roman" w:cs="Times New Roman"/>
          <w:i/>
        </w:rPr>
      </w:pPr>
    </w:p>
    <w:p w14:paraId="482D3187" w14:textId="437CBDE1" w:rsidR="000E78B0" w:rsidRPr="00F51758" w:rsidRDefault="000E78B0" w:rsidP="00F51758">
      <w:pPr>
        <w:pStyle w:val="Heading2"/>
        <w:ind w:left="284" w:hanging="284"/>
        <w:jc w:val="both"/>
        <w:rPr>
          <w:rFonts w:ascii="Baskerville Old Face" w:hAnsi="Baskerville Old Face"/>
        </w:rPr>
      </w:pPr>
      <w:r w:rsidRPr="00F51758">
        <w:rPr>
          <w:rFonts w:ascii="Baskerville Old Face" w:hAnsi="Baskerville Old Face"/>
        </w:rPr>
        <w:t>Sírvase indicar si existen mecanismos institucionales o de denuncia para hacer frente a las desigualdades o las quejas relacionadas con el edadismo y la discriminación por edad. En caso afirmativo, sírvanse proporcionar información sobre los tipos de casos y estadísticas sobre casos recibidos.</w:t>
      </w:r>
    </w:p>
    <w:p w14:paraId="1BB2A4FA" w14:textId="77777777" w:rsidR="007C21E5" w:rsidRPr="000E33D8" w:rsidRDefault="007C21E5" w:rsidP="00DB2619">
      <w:pPr>
        <w:rPr>
          <w:rFonts w:ascii="Times New Roman" w:hAnsi="Times New Roman" w:cs="Times New Roman"/>
          <w:b/>
          <w:i/>
        </w:rPr>
      </w:pPr>
    </w:p>
    <w:p w14:paraId="3585EE18" w14:textId="77777777" w:rsidR="00180183" w:rsidRPr="00F51758" w:rsidRDefault="00180183" w:rsidP="00DB2619">
      <w:pPr>
        <w:rPr>
          <w:rFonts w:ascii="Baskerville Old Face" w:hAnsi="Baskerville Old Face" w:cs="Times New Roman"/>
          <w:b/>
        </w:rPr>
      </w:pPr>
      <w:r w:rsidRPr="00F51758">
        <w:rPr>
          <w:rFonts w:ascii="Baskerville Old Face" w:hAnsi="Baskerville Old Face" w:cs="Times New Roman"/>
          <w:b/>
        </w:rPr>
        <w:t>CODISRA</w:t>
      </w:r>
    </w:p>
    <w:p w14:paraId="0983556F" w14:textId="632B65CD" w:rsidR="00850860" w:rsidRPr="00F51758" w:rsidRDefault="00180183" w:rsidP="00850860">
      <w:pPr>
        <w:jc w:val="both"/>
        <w:rPr>
          <w:rFonts w:ascii="Baskerville Old Face" w:hAnsi="Baskerville Old Face" w:cs="Times New Roman"/>
          <w:iCs/>
        </w:rPr>
      </w:pPr>
      <w:r w:rsidRPr="00F51758">
        <w:rPr>
          <w:rFonts w:ascii="Baskerville Old Face" w:hAnsi="Baskerville Old Face" w:cs="Times New Roman"/>
          <w:bCs/>
        </w:rPr>
        <w:t xml:space="preserve">En la </w:t>
      </w:r>
      <w:r w:rsidRPr="00F51758">
        <w:rPr>
          <w:rFonts w:ascii="Baskerville Old Face" w:hAnsi="Baskerville Old Face" w:cs="Times New Roman"/>
          <w:iCs/>
        </w:rPr>
        <w:t>Comisión Presidencial contra la Discriminación y el Racismo contra los Pueblos indígenas en Guatemala -CODISRA-, se han promovido proceso de formación y capacitación a servidores públicos, empresas privadas y sociedad civil en general para la prevención del racismo, la discriminación racial contra los pueblos indígenas, se</w:t>
      </w:r>
      <w:r w:rsidR="00850860" w:rsidRPr="00F51758">
        <w:rPr>
          <w:rFonts w:ascii="Baskerville Old Face" w:hAnsi="Baskerville Old Face" w:cs="Times New Roman"/>
          <w:iCs/>
        </w:rPr>
        <w:t xml:space="preserve"> abordan los diferentes motivos discriminación, según el </w:t>
      </w:r>
      <w:r w:rsidR="00336652" w:rsidRPr="00F51758">
        <w:rPr>
          <w:rFonts w:ascii="Baskerville Old Face" w:hAnsi="Baskerville Old Face" w:cs="Times New Roman"/>
          <w:iCs/>
        </w:rPr>
        <w:t>artículo</w:t>
      </w:r>
      <w:r w:rsidR="00850860" w:rsidRPr="00F51758">
        <w:rPr>
          <w:rFonts w:ascii="Baskerville Old Face" w:hAnsi="Baskerville Old Face" w:cs="Times New Roman"/>
          <w:iCs/>
        </w:rPr>
        <w:t xml:space="preserve"> 202 Bis del Código Penal.</w:t>
      </w:r>
    </w:p>
    <w:p w14:paraId="286FC6B9" w14:textId="77777777" w:rsidR="00850860" w:rsidRPr="00F51758" w:rsidRDefault="00850860" w:rsidP="00850860">
      <w:pPr>
        <w:jc w:val="both"/>
        <w:rPr>
          <w:rFonts w:ascii="Baskerville Old Face" w:hAnsi="Baskerville Old Face" w:cs="Times New Roman"/>
          <w:iCs/>
        </w:rPr>
      </w:pPr>
    </w:p>
    <w:p w14:paraId="2F654258" w14:textId="62B07B46" w:rsidR="00180183" w:rsidRPr="00F51758" w:rsidRDefault="00850860" w:rsidP="00850860">
      <w:pPr>
        <w:jc w:val="both"/>
        <w:rPr>
          <w:rFonts w:ascii="Baskerville Old Face" w:hAnsi="Baskerville Old Face" w:cs="Times New Roman"/>
          <w:iCs/>
        </w:rPr>
      </w:pPr>
      <w:r w:rsidRPr="00F51758">
        <w:rPr>
          <w:rFonts w:ascii="Baskerville Old Face" w:hAnsi="Baskerville Old Face" w:cs="Times New Roman"/>
          <w:iCs/>
        </w:rPr>
        <w:t xml:space="preserve">Además, campañas de la cultura de la denuncia en los 25 idiomas nacionales. Desarrollo de eventos públicos como foros, seminarios, congresos con la finalidad de analizar, discutir temas sobre los Derechos de los Pueblos Indígenas, Racismo y Discriminación Racial y presentar propuestas para la prevención y eliminación de estos fenómenos sociales. </w:t>
      </w:r>
    </w:p>
    <w:p w14:paraId="16E35C43" w14:textId="77777777" w:rsidR="00850860" w:rsidRPr="00F51758" w:rsidRDefault="00850860" w:rsidP="00850860">
      <w:pPr>
        <w:jc w:val="both"/>
        <w:rPr>
          <w:rFonts w:ascii="Baskerville Old Face" w:hAnsi="Baskerville Old Face" w:cs="Times New Roman"/>
          <w:iCs/>
        </w:rPr>
      </w:pPr>
    </w:p>
    <w:p w14:paraId="27762597" w14:textId="06681242" w:rsidR="00850860" w:rsidRPr="00F51758" w:rsidRDefault="00850860" w:rsidP="00850860">
      <w:pPr>
        <w:jc w:val="both"/>
        <w:rPr>
          <w:rFonts w:ascii="Baskerville Old Face" w:hAnsi="Baskerville Old Face" w:cs="Times New Roman"/>
          <w:iCs/>
        </w:rPr>
      </w:pPr>
      <w:r w:rsidRPr="00F51758">
        <w:rPr>
          <w:rFonts w:ascii="Baskerville Old Face" w:hAnsi="Baskerville Old Face" w:cs="Times New Roman"/>
          <w:iCs/>
        </w:rPr>
        <w:t xml:space="preserve">En la CODISRA se </w:t>
      </w:r>
      <w:r w:rsidR="00F51758" w:rsidRPr="00F51758">
        <w:rPr>
          <w:rFonts w:ascii="Baskerville Old Face" w:hAnsi="Baskerville Old Face" w:cs="Times New Roman"/>
          <w:iCs/>
        </w:rPr>
        <w:t>reciben</w:t>
      </w:r>
      <w:r w:rsidRPr="00F51758">
        <w:rPr>
          <w:rFonts w:ascii="Baskerville Old Face" w:hAnsi="Baskerville Old Face" w:cs="Times New Roman"/>
          <w:iCs/>
        </w:rPr>
        <w:t xml:space="preserve"> denuncias de discriminación contra Pueblos Indígenas por diferentes motivos, entre ellos por edad y se canalizan al ente investigador.</w:t>
      </w:r>
    </w:p>
    <w:p w14:paraId="58BD74F1" w14:textId="5AAEF220" w:rsidR="00180183" w:rsidRPr="00180183" w:rsidRDefault="00180183" w:rsidP="00DB2619">
      <w:pPr>
        <w:rPr>
          <w:rFonts w:ascii="Times New Roman" w:hAnsi="Times New Roman" w:cs="Times New Roman"/>
          <w:bCs/>
          <w:i/>
        </w:rPr>
      </w:pPr>
    </w:p>
    <w:p w14:paraId="0E02AD4D" w14:textId="77777777" w:rsidR="005465C3" w:rsidRDefault="005465C3" w:rsidP="00DB2619">
      <w:pPr>
        <w:rPr>
          <w:rFonts w:ascii="Baskerville Old Face" w:hAnsi="Baskerville Old Face" w:cs="Times New Roman"/>
          <w:b/>
        </w:rPr>
      </w:pPr>
    </w:p>
    <w:p w14:paraId="17AD9862" w14:textId="77777777" w:rsidR="005465C3" w:rsidRDefault="005465C3" w:rsidP="00DB2619">
      <w:pPr>
        <w:rPr>
          <w:rFonts w:ascii="Baskerville Old Face" w:hAnsi="Baskerville Old Face" w:cs="Times New Roman"/>
          <w:b/>
        </w:rPr>
      </w:pPr>
    </w:p>
    <w:p w14:paraId="316C2F92" w14:textId="77777777" w:rsidR="005465C3" w:rsidRDefault="005465C3" w:rsidP="00DB2619">
      <w:pPr>
        <w:rPr>
          <w:rFonts w:ascii="Baskerville Old Face" w:hAnsi="Baskerville Old Face" w:cs="Times New Roman"/>
          <w:b/>
        </w:rPr>
      </w:pPr>
    </w:p>
    <w:p w14:paraId="71FA115B" w14:textId="79BBB719" w:rsidR="00C70BAE" w:rsidRPr="00336652" w:rsidRDefault="00A154CE" w:rsidP="00DB2619">
      <w:pPr>
        <w:rPr>
          <w:rFonts w:ascii="Baskerville Old Face" w:hAnsi="Baskerville Old Face" w:cs="Times New Roman"/>
          <w:b/>
        </w:rPr>
      </w:pPr>
      <w:r w:rsidRPr="00336652">
        <w:rPr>
          <w:rFonts w:ascii="Baskerville Old Face" w:hAnsi="Baskerville Old Face" w:cs="Times New Roman"/>
          <w:b/>
        </w:rPr>
        <w:t>MINISTERIO PUBLICO -</w:t>
      </w:r>
      <w:r w:rsidR="00C70BAE" w:rsidRPr="00336652">
        <w:rPr>
          <w:rFonts w:ascii="Baskerville Old Face" w:hAnsi="Baskerville Old Face" w:cs="Times New Roman"/>
          <w:b/>
        </w:rPr>
        <w:t>MP</w:t>
      </w:r>
      <w:r w:rsidRPr="00336652">
        <w:rPr>
          <w:rFonts w:ascii="Baskerville Old Face" w:hAnsi="Baskerville Old Face" w:cs="Times New Roman"/>
          <w:b/>
        </w:rPr>
        <w:t>-</w:t>
      </w:r>
    </w:p>
    <w:p w14:paraId="43336C14" w14:textId="2D568E0C" w:rsidR="00C70BAE" w:rsidRPr="00336652" w:rsidRDefault="00C70BAE" w:rsidP="00850860">
      <w:pPr>
        <w:jc w:val="both"/>
        <w:rPr>
          <w:rFonts w:ascii="Baskerville Old Face" w:hAnsi="Baskerville Old Face" w:cs="Times New Roman"/>
        </w:rPr>
      </w:pPr>
      <w:r w:rsidRPr="00336652">
        <w:rPr>
          <w:rFonts w:ascii="Baskerville Old Face" w:hAnsi="Baskerville Old Face" w:cs="Times New Roman"/>
        </w:rPr>
        <w:t>En cuanto a los mecanismos institucionales el Ministerio Público dio inicio al proceso de elaboración del Protocolo de atención y lineamientos generales para personas adultas mayores víctimas del delito, en noviembre del año 2020.</w:t>
      </w:r>
    </w:p>
    <w:p w14:paraId="6C94336E" w14:textId="77777777" w:rsidR="00C70BAE" w:rsidRPr="00336652" w:rsidRDefault="00C70BAE" w:rsidP="00C70BAE">
      <w:pPr>
        <w:rPr>
          <w:rFonts w:ascii="Baskerville Old Face" w:hAnsi="Baskerville Old Face" w:cs="Times New Roman"/>
        </w:rPr>
      </w:pPr>
    </w:p>
    <w:p w14:paraId="2178C480" w14:textId="26C61D59" w:rsidR="00C70BAE" w:rsidRPr="00336652" w:rsidRDefault="00C70BAE" w:rsidP="00850860">
      <w:pPr>
        <w:jc w:val="both"/>
        <w:rPr>
          <w:rFonts w:ascii="Baskerville Old Face" w:hAnsi="Baskerville Old Face" w:cs="Times New Roman"/>
        </w:rPr>
      </w:pPr>
      <w:r w:rsidRPr="00336652">
        <w:rPr>
          <w:rFonts w:ascii="Baskerville Old Face" w:hAnsi="Baskerville Old Face" w:cs="Times New Roman"/>
        </w:rPr>
        <w:t>Así como que se encuentra en fase de aprobación de dictámenes para la creación de la Fiscalía de personas adultas mayores y brindar una atención especializada a esta población.</w:t>
      </w:r>
    </w:p>
    <w:p w14:paraId="345F95D9" w14:textId="77777777" w:rsidR="00187494" w:rsidRPr="000E33D8" w:rsidRDefault="00187494" w:rsidP="00C70BAE">
      <w:pPr>
        <w:rPr>
          <w:rFonts w:ascii="Times New Roman" w:hAnsi="Times New Roman" w:cs="Times New Roman"/>
          <w:i/>
        </w:rPr>
      </w:pPr>
    </w:p>
    <w:p w14:paraId="0E781FA1" w14:textId="68FE749D" w:rsidR="00187494" w:rsidRPr="00336652" w:rsidRDefault="00A154CE" w:rsidP="00187494">
      <w:pPr>
        <w:jc w:val="both"/>
        <w:rPr>
          <w:rFonts w:ascii="Baskerville Old Face" w:eastAsia="Times New Roman" w:hAnsi="Baskerville Old Face" w:cs="Times New Roman"/>
          <w:b/>
          <w:color w:val="000000"/>
          <w:lang w:eastAsia="es-GT"/>
        </w:rPr>
      </w:pPr>
      <w:r w:rsidRPr="00336652">
        <w:rPr>
          <w:rFonts w:ascii="Baskerville Old Face" w:eastAsia="Times New Roman" w:hAnsi="Baskerville Old Face" w:cs="Times New Roman"/>
          <w:b/>
          <w:color w:val="000000"/>
          <w:lang w:eastAsia="es-GT"/>
        </w:rPr>
        <w:t>POLICIA NACIONAL CIVIL -</w:t>
      </w:r>
      <w:r w:rsidR="00187494" w:rsidRPr="00336652">
        <w:rPr>
          <w:rFonts w:ascii="Baskerville Old Face" w:eastAsia="Times New Roman" w:hAnsi="Baskerville Old Face" w:cs="Times New Roman"/>
          <w:b/>
          <w:color w:val="000000"/>
          <w:lang w:eastAsia="es-GT"/>
        </w:rPr>
        <w:t>PNC</w:t>
      </w:r>
      <w:r w:rsidRPr="00336652">
        <w:rPr>
          <w:rFonts w:ascii="Baskerville Old Face" w:eastAsia="Times New Roman" w:hAnsi="Baskerville Old Face" w:cs="Times New Roman"/>
          <w:b/>
          <w:color w:val="000000"/>
          <w:lang w:eastAsia="es-GT"/>
        </w:rPr>
        <w:t>-</w:t>
      </w:r>
    </w:p>
    <w:p w14:paraId="316221C1" w14:textId="77777777" w:rsidR="00187494" w:rsidRPr="00336652" w:rsidRDefault="00187494" w:rsidP="00187494">
      <w:pPr>
        <w:jc w:val="both"/>
        <w:rPr>
          <w:rFonts w:ascii="Baskerville Old Face" w:eastAsia="Times New Roman" w:hAnsi="Baskerville Old Face" w:cs="Times New Roman"/>
          <w:lang w:eastAsia="es-GT"/>
        </w:rPr>
      </w:pPr>
      <w:r w:rsidRPr="00336652">
        <w:rPr>
          <w:rFonts w:ascii="Baskerville Old Face" w:eastAsia="Times New Roman" w:hAnsi="Baskerville Old Face" w:cs="Times New Roman"/>
          <w:lang w:eastAsia="es-GT"/>
        </w:rPr>
        <w:t xml:space="preserve">Mecanismos de Denuncias: </w:t>
      </w:r>
    </w:p>
    <w:p w14:paraId="1CB5C0C8" w14:textId="3A62CF13" w:rsidR="00187494" w:rsidRPr="00336652" w:rsidRDefault="00187494" w:rsidP="00336652">
      <w:pPr>
        <w:pStyle w:val="ListParagraph"/>
        <w:numPr>
          <w:ilvl w:val="2"/>
          <w:numId w:val="11"/>
        </w:numPr>
        <w:ind w:left="284" w:hanging="284"/>
        <w:jc w:val="both"/>
        <w:rPr>
          <w:rFonts w:ascii="Baskerville Old Face" w:eastAsia="Times New Roman" w:hAnsi="Baskerville Old Face" w:cs="Times New Roman"/>
          <w:lang w:eastAsia="es-GT"/>
        </w:rPr>
      </w:pPr>
      <w:r w:rsidRPr="00336652">
        <w:rPr>
          <w:rFonts w:ascii="Baskerville Old Face" w:eastAsia="Times New Roman" w:hAnsi="Baskerville Old Face" w:cs="Times New Roman"/>
          <w:lang w:eastAsia="es-GT"/>
        </w:rPr>
        <w:t>Protocolo de Actuación Policial para la Búsqueda Inmediata de Mujeres Desaparecidas</w:t>
      </w:r>
    </w:p>
    <w:p w14:paraId="6313B1E1" w14:textId="77777777" w:rsidR="00D556F9" w:rsidRDefault="00D556F9" w:rsidP="00D556F9">
      <w:pPr>
        <w:pStyle w:val="ListParagraph"/>
        <w:ind w:left="284"/>
        <w:jc w:val="both"/>
        <w:rPr>
          <w:rFonts w:ascii="Baskerville Old Face" w:eastAsia="Times New Roman" w:hAnsi="Baskerville Old Face" w:cs="Times New Roman"/>
          <w:lang w:eastAsia="es-GT"/>
        </w:rPr>
      </w:pPr>
    </w:p>
    <w:p w14:paraId="03B18011" w14:textId="2C701649" w:rsidR="00187494" w:rsidRPr="00336652" w:rsidRDefault="00187494" w:rsidP="00336652">
      <w:pPr>
        <w:pStyle w:val="ListParagraph"/>
        <w:numPr>
          <w:ilvl w:val="2"/>
          <w:numId w:val="11"/>
        </w:numPr>
        <w:ind w:left="284" w:hanging="284"/>
        <w:jc w:val="both"/>
        <w:rPr>
          <w:rFonts w:ascii="Baskerville Old Face" w:eastAsia="Times New Roman" w:hAnsi="Baskerville Old Face" w:cs="Times New Roman"/>
          <w:lang w:eastAsia="es-GT"/>
        </w:rPr>
      </w:pPr>
      <w:r w:rsidRPr="00336652">
        <w:rPr>
          <w:rFonts w:ascii="Baskerville Old Face" w:eastAsia="Times New Roman" w:hAnsi="Baskerville Old Face" w:cs="Times New Roman"/>
          <w:lang w:eastAsia="es-GT"/>
        </w:rPr>
        <w:t>Protocolo de Actuación Policial de Atención a Víctimas de Violencia contra la Mujer en su Manifestación Física o Sexual.</w:t>
      </w:r>
    </w:p>
    <w:p w14:paraId="14B51E4F" w14:textId="77777777" w:rsidR="00D556F9" w:rsidRDefault="00D556F9" w:rsidP="00D556F9">
      <w:pPr>
        <w:pStyle w:val="ListParagraph"/>
        <w:ind w:left="284"/>
        <w:jc w:val="both"/>
        <w:rPr>
          <w:rFonts w:ascii="Baskerville Old Face" w:eastAsia="Times New Roman" w:hAnsi="Baskerville Old Face" w:cs="Times New Roman"/>
          <w:lang w:eastAsia="es-GT"/>
        </w:rPr>
      </w:pPr>
    </w:p>
    <w:p w14:paraId="4B8AC39F" w14:textId="2982A9B4" w:rsidR="00187494" w:rsidRPr="00336652" w:rsidRDefault="00187494" w:rsidP="00336652">
      <w:pPr>
        <w:pStyle w:val="ListParagraph"/>
        <w:numPr>
          <w:ilvl w:val="2"/>
          <w:numId w:val="11"/>
        </w:numPr>
        <w:ind w:left="284" w:hanging="284"/>
        <w:jc w:val="both"/>
        <w:rPr>
          <w:rFonts w:ascii="Baskerville Old Face" w:eastAsia="Times New Roman" w:hAnsi="Baskerville Old Face" w:cs="Times New Roman"/>
          <w:lang w:eastAsia="es-GT"/>
        </w:rPr>
      </w:pPr>
      <w:r w:rsidRPr="00336652">
        <w:rPr>
          <w:rFonts w:ascii="Baskerville Old Face" w:eastAsia="Times New Roman" w:hAnsi="Baskerville Old Face" w:cs="Times New Roman"/>
          <w:lang w:eastAsia="es-GT"/>
        </w:rPr>
        <w:t>Protocolo de Actuación Policial de Atención a Víctimas de Violencia contra la Mujer en su Manifestación Psicológica o Económica.</w:t>
      </w:r>
    </w:p>
    <w:p w14:paraId="26ACFC68" w14:textId="77777777" w:rsidR="00D556F9" w:rsidRPr="00D556F9" w:rsidRDefault="00D556F9" w:rsidP="00D556F9">
      <w:pPr>
        <w:pStyle w:val="ListParagraph"/>
        <w:ind w:left="284"/>
        <w:rPr>
          <w:rFonts w:ascii="Baskerville Old Face" w:hAnsi="Baskerville Old Face" w:cs="Times New Roman"/>
        </w:rPr>
      </w:pPr>
    </w:p>
    <w:p w14:paraId="52046A8A" w14:textId="41745350" w:rsidR="00187494" w:rsidRPr="00336652" w:rsidRDefault="00187494" w:rsidP="00336652">
      <w:pPr>
        <w:pStyle w:val="ListParagraph"/>
        <w:numPr>
          <w:ilvl w:val="2"/>
          <w:numId w:val="11"/>
        </w:numPr>
        <w:ind w:left="284" w:hanging="284"/>
        <w:rPr>
          <w:rFonts w:ascii="Baskerville Old Face" w:hAnsi="Baskerville Old Face" w:cs="Times New Roman"/>
        </w:rPr>
      </w:pPr>
      <w:r w:rsidRPr="00336652">
        <w:rPr>
          <w:rFonts w:ascii="Baskerville Old Face" w:eastAsia="Times New Roman" w:hAnsi="Baskerville Old Face" w:cs="Times New Roman"/>
          <w:lang w:eastAsia="es-GT"/>
        </w:rPr>
        <w:t>Protocolo de Actuación Policial de Atención a Víctimas de Violencia Intrafamiliar</w:t>
      </w:r>
    </w:p>
    <w:p w14:paraId="7FAC12F7" w14:textId="77777777" w:rsidR="000E78B0" w:rsidRPr="000E33D8" w:rsidRDefault="000E78B0" w:rsidP="000E78B0">
      <w:pPr>
        <w:rPr>
          <w:rFonts w:ascii="Times New Roman" w:hAnsi="Times New Roman" w:cs="Times New Roman"/>
          <w:b/>
        </w:rPr>
      </w:pPr>
    </w:p>
    <w:p w14:paraId="18294494" w14:textId="041240DA" w:rsidR="000E78B0" w:rsidRDefault="000E78B0" w:rsidP="00D556F9">
      <w:pPr>
        <w:jc w:val="both"/>
        <w:rPr>
          <w:rFonts w:ascii="Times New Roman" w:hAnsi="Times New Roman" w:cs="Times New Roman"/>
          <w:b/>
        </w:rPr>
      </w:pPr>
      <w:r w:rsidRPr="000E33D8">
        <w:rPr>
          <w:rFonts w:ascii="Times New Roman" w:hAnsi="Times New Roman" w:cs="Times New Roman"/>
          <w:b/>
        </w:rPr>
        <w:t>Informes relacionados con el edadismo y la discriminación por edad y cualquier otra información relevante</w:t>
      </w:r>
    </w:p>
    <w:p w14:paraId="4B4EA8B6" w14:textId="77777777" w:rsidR="00336652" w:rsidRPr="000E33D8" w:rsidRDefault="00336652" w:rsidP="000E78B0">
      <w:pPr>
        <w:rPr>
          <w:rFonts w:ascii="Times New Roman" w:hAnsi="Times New Roman" w:cs="Times New Roman"/>
          <w:b/>
        </w:rPr>
      </w:pPr>
    </w:p>
    <w:p w14:paraId="238D47FE" w14:textId="640B14C9" w:rsidR="000E78B0" w:rsidRPr="00D556F9" w:rsidRDefault="000E78B0" w:rsidP="00D556F9">
      <w:pPr>
        <w:pStyle w:val="Heading2"/>
        <w:ind w:left="426" w:hanging="426"/>
        <w:jc w:val="both"/>
        <w:rPr>
          <w:rFonts w:ascii="Baskerville Old Face" w:hAnsi="Baskerville Old Face"/>
        </w:rPr>
      </w:pPr>
      <w:r w:rsidRPr="00D556F9">
        <w:rPr>
          <w:rFonts w:ascii="Baskerville Old Face" w:hAnsi="Baskerville Old Face"/>
        </w:rPr>
        <w:t>Por favor, describa cualquier otra área que considere importante en el contexto de edadismo y discriminación por edad. Gracias por compartir cualquier informe relevante sobre el edadismo y la discriminación por edad.</w:t>
      </w:r>
    </w:p>
    <w:p w14:paraId="7E3524FC" w14:textId="77777777" w:rsidR="007E2FE7" w:rsidRPr="000E33D8" w:rsidRDefault="007E2FE7" w:rsidP="007E2FE7">
      <w:pPr>
        <w:rPr>
          <w:rFonts w:ascii="Times New Roman" w:hAnsi="Times New Roman" w:cs="Times New Roman"/>
        </w:rPr>
      </w:pPr>
    </w:p>
    <w:p w14:paraId="3FAC48D5" w14:textId="283CA675" w:rsidR="0049333D" w:rsidRPr="00D556F9" w:rsidRDefault="0049333D" w:rsidP="0049333D">
      <w:pPr>
        <w:jc w:val="both"/>
        <w:rPr>
          <w:rFonts w:ascii="Baskerville Old Face" w:eastAsia="Times New Roman" w:hAnsi="Baskerville Old Face" w:cs="Times New Roman"/>
          <w:sz w:val="28"/>
          <w:lang w:eastAsia="es-GT"/>
        </w:rPr>
      </w:pPr>
      <w:r w:rsidRPr="00D556F9">
        <w:rPr>
          <w:rFonts w:ascii="Baskerville Old Face" w:eastAsia="Times New Roman" w:hAnsi="Baskerville Old Face" w:cs="Times New Roman"/>
          <w:color w:val="000000"/>
          <w:szCs w:val="22"/>
          <w:lang w:eastAsia="es-GT"/>
        </w:rPr>
        <w:t xml:space="preserve">El turismo contribuye directa e indirectamente a la creación de empleo, en particular para las mujeres y los jóvenes, al mismo tiempo favorece el crecimiento económico de un país. </w:t>
      </w:r>
      <w:r w:rsidR="00850860" w:rsidRPr="00D556F9">
        <w:rPr>
          <w:rFonts w:ascii="Baskerville Old Face" w:eastAsia="Times New Roman" w:hAnsi="Baskerville Old Face" w:cs="Times New Roman"/>
          <w:color w:val="000000"/>
          <w:szCs w:val="22"/>
          <w:lang w:eastAsia="es-GT"/>
        </w:rPr>
        <w:t>De acuerdo con</w:t>
      </w:r>
      <w:r w:rsidRPr="00D556F9">
        <w:rPr>
          <w:rFonts w:ascii="Baskerville Old Face" w:eastAsia="Times New Roman" w:hAnsi="Baskerville Old Face" w:cs="Times New Roman"/>
          <w:color w:val="000000"/>
          <w:szCs w:val="22"/>
          <w:lang w:eastAsia="es-GT"/>
        </w:rPr>
        <w:t xml:space="preserve"> la Organización Mundial de Turismo -OMT-, el turismo contribuye uno de cada 10 empleos a nivel mundial.</w:t>
      </w:r>
    </w:p>
    <w:p w14:paraId="4F72DF95" w14:textId="77777777" w:rsidR="0049333D" w:rsidRPr="00D556F9" w:rsidRDefault="0049333D" w:rsidP="0049333D">
      <w:pPr>
        <w:rPr>
          <w:rFonts w:ascii="Baskerville Old Face" w:eastAsia="Times New Roman" w:hAnsi="Baskerville Old Face" w:cs="Times New Roman"/>
          <w:sz w:val="28"/>
          <w:lang w:eastAsia="es-GT"/>
        </w:rPr>
      </w:pPr>
    </w:p>
    <w:p w14:paraId="04F8268F" w14:textId="77777777" w:rsidR="0049333D" w:rsidRPr="00D556F9" w:rsidRDefault="0049333D" w:rsidP="0049333D">
      <w:pPr>
        <w:jc w:val="both"/>
        <w:rPr>
          <w:rFonts w:ascii="Baskerville Old Face" w:eastAsia="Times New Roman" w:hAnsi="Baskerville Old Face" w:cs="Times New Roman"/>
          <w:sz w:val="28"/>
          <w:lang w:eastAsia="es-GT"/>
        </w:rPr>
      </w:pPr>
      <w:r w:rsidRPr="00D556F9">
        <w:rPr>
          <w:rFonts w:ascii="Baskerville Old Face" w:eastAsia="Times New Roman" w:hAnsi="Baskerville Old Face" w:cs="Times New Roman"/>
          <w:color w:val="000000"/>
          <w:szCs w:val="22"/>
          <w:lang w:eastAsia="es-GT"/>
        </w:rPr>
        <w:t xml:space="preserve">En el 2019 el INGUAT firmó un convenio de cooperación con </w:t>
      </w:r>
      <w:r w:rsidRPr="00D556F9">
        <w:rPr>
          <w:rFonts w:ascii="Baskerville Old Face" w:eastAsia="Times New Roman" w:hAnsi="Baskerville Old Face" w:cs="Times New Roman"/>
          <w:iCs/>
          <w:color w:val="000000"/>
          <w:szCs w:val="22"/>
          <w:lang w:eastAsia="es-GT"/>
        </w:rPr>
        <w:t>IMPAQ International</w:t>
      </w:r>
      <w:r w:rsidRPr="00D556F9">
        <w:rPr>
          <w:rFonts w:ascii="Baskerville Old Face" w:eastAsia="Times New Roman" w:hAnsi="Baskerville Old Face" w:cs="Times New Roman"/>
          <w:color w:val="000000"/>
          <w:szCs w:val="22"/>
          <w:lang w:eastAsia="es-GT"/>
        </w:rPr>
        <w:t xml:space="preserve">, organización especialista en investigación laboral (cuya sede se encuentra en Estados Unidos de América), para realizar un levantamiento de datos para la medición de la generación de empleo por parte de los oferentes </w:t>
      </w:r>
      <w:r w:rsidRPr="00D556F9">
        <w:rPr>
          <w:rFonts w:ascii="Baskerville Old Face" w:eastAsia="Times New Roman" w:hAnsi="Baskerville Old Face" w:cs="Times New Roman"/>
          <w:color w:val="000000"/>
          <w:szCs w:val="22"/>
          <w:lang w:eastAsia="es-GT"/>
        </w:rPr>
        <w:lastRenderedPageBreak/>
        <w:t>turísticos. El INGUAT lo hizo con restaurantes, agencias de viaje, transporte turístico, escuelas de español y guías de turismo. En el caso de los hoteles, las encuestas estuvieron a cargo de IMPAQ International. </w:t>
      </w:r>
    </w:p>
    <w:p w14:paraId="3EEBDDBE" w14:textId="77777777" w:rsidR="0049333D" w:rsidRPr="00D556F9" w:rsidRDefault="0049333D" w:rsidP="0049333D">
      <w:pPr>
        <w:rPr>
          <w:rFonts w:ascii="Baskerville Old Face" w:eastAsia="Times New Roman" w:hAnsi="Baskerville Old Face" w:cs="Times New Roman"/>
          <w:sz w:val="28"/>
          <w:lang w:eastAsia="es-GT"/>
        </w:rPr>
      </w:pPr>
    </w:p>
    <w:p w14:paraId="79A698CA" w14:textId="77777777" w:rsidR="0049333D" w:rsidRPr="00D556F9" w:rsidRDefault="0049333D" w:rsidP="0049333D">
      <w:pPr>
        <w:jc w:val="both"/>
        <w:rPr>
          <w:rFonts w:ascii="Baskerville Old Face" w:eastAsia="Times New Roman" w:hAnsi="Baskerville Old Face" w:cs="Times New Roman"/>
          <w:sz w:val="28"/>
          <w:lang w:eastAsia="es-GT"/>
        </w:rPr>
      </w:pPr>
      <w:r w:rsidRPr="00D556F9">
        <w:rPr>
          <w:rFonts w:ascii="Baskerville Old Face" w:eastAsia="Times New Roman" w:hAnsi="Baskerville Old Face" w:cs="Times New Roman"/>
          <w:color w:val="000000"/>
          <w:szCs w:val="22"/>
          <w:lang w:eastAsia="es-GT"/>
        </w:rPr>
        <w:t>La información del 2019 y proporcionada por el Departamento de Investigación de Mercados, es indica que el turismo generó como empleo directo: 177,599 personas.</w:t>
      </w:r>
    </w:p>
    <w:p w14:paraId="07406443" w14:textId="77777777" w:rsidR="0049333D" w:rsidRPr="00D556F9" w:rsidRDefault="0049333D" w:rsidP="0049333D">
      <w:pPr>
        <w:rPr>
          <w:rFonts w:ascii="Baskerville Old Face" w:eastAsia="Times New Roman" w:hAnsi="Baskerville Old Face" w:cs="Times New Roman"/>
          <w:sz w:val="28"/>
          <w:lang w:eastAsia="es-GT"/>
        </w:rPr>
      </w:pPr>
    </w:p>
    <w:p w14:paraId="4C5320F3" w14:textId="77777777" w:rsidR="0049333D" w:rsidRPr="00D556F9" w:rsidRDefault="0049333D" w:rsidP="0049333D">
      <w:pPr>
        <w:jc w:val="both"/>
        <w:rPr>
          <w:rFonts w:ascii="Baskerville Old Face" w:eastAsia="Times New Roman" w:hAnsi="Baskerville Old Face" w:cs="Times New Roman"/>
          <w:sz w:val="28"/>
          <w:lang w:eastAsia="es-GT"/>
        </w:rPr>
      </w:pPr>
      <w:r w:rsidRPr="00D556F9">
        <w:rPr>
          <w:rFonts w:ascii="Baskerville Old Face" w:eastAsia="Times New Roman" w:hAnsi="Baskerville Old Face" w:cs="Times New Roman"/>
          <w:color w:val="000000"/>
          <w:szCs w:val="22"/>
          <w:lang w:eastAsia="es-GT"/>
        </w:rPr>
        <w:t>La encuesta se pasó en los Departamentos de Guatemala, Sacatepéquez, Alta Verapaz, Petén, Chiquimula, Quetzaltenango y Sololá, los cuales están categorizados como jerarquía 5 y 4 del Plan Maestro de Turismo Sostenible 2015-2025.</w:t>
      </w:r>
    </w:p>
    <w:p w14:paraId="2C23F67A" w14:textId="77777777" w:rsidR="0049333D" w:rsidRPr="00D556F9" w:rsidRDefault="0049333D" w:rsidP="0049333D">
      <w:pPr>
        <w:rPr>
          <w:rFonts w:ascii="Baskerville Old Face" w:eastAsia="Times New Roman" w:hAnsi="Baskerville Old Face" w:cs="Times New Roman"/>
          <w:sz w:val="28"/>
          <w:lang w:eastAsia="es-GT"/>
        </w:rPr>
      </w:pPr>
    </w:p>
    <w:p w14:paraId="7AB364E2" w14:textId="77777777" w:rsidR="0049333D" w:rsidRPr="00D556F9" w:rsidRDefault="0049333D" w:rsidP="0049333D">
      <w:pPr>
        <w:rPr>
          <w:rFonts w:ascii="Baskerville Old Face" w:eastAsia="Times New Roman" w:hAnsi="Baskerville Old Face" w:cs="Times New Roman"/>
          <w:sz w:val="28"/>
          <w:lang w:eastAsia="es-GT"/>
        </w:rPr>
      </w:pPr>
      <w:r w:rsidRPr="00D556F9">
        <w:rPr>
          <w:rFonts w:ascii="Baskerville Old Face" w:eastAsia="Times New Roman" w:hAnsi="Baskerville Old Face" w:cs="Times New Roman"/>
          <w:color w:val="000000"/>
          <w:szCs w:val="22"/>
          <w:lang w:eastAsia="es-GT"/>
        </w:rPr>
        <w:t>A nivel general se obtuvo lo siguiente:</w:t>
      </w:r>
    </w:p>
    <w:p w14:paraId="4F3225A4" w14:textId="4B46F860" w:rsidR="0049333D" w:rsidRPr="000E33D8" w:rsidRDefault="0049333D" w:rsidP="0049333D">
      <w:pPr>
        <w:rPr>
          <w:rFonts w:ascii="Times New Roman" w:eastAsia="Times New Roman" w:hAnsi="Times New Roman" w:cs="Times New Roman"/>
          <w:lang w:eastAsia="es-GT"/>
        </w:rPr>
      </w:pPr>
      <w:r w:rsidRPr="000E33D8">
        <w:rPr>
          <w:rFonts w:ascii="Times New Roman" w:eastAsia="Times New Roman" w:hAnsi="Times New Roman" w:cs="Times New Roman"/>
          <w:noProof/>
          <w:color w:val="000000"/>
          <w:sz w:val="22"/>
          <w:szCs w:val="22"/>
          <w:bdr w:val="none" w:sz="0" w:space="0" w:color="auto" w:frame="1"/>
          <w:lang w:val="en-GB" w:eastAsia="en-GB"/>
        </w:rPr>
        <w:drawing>
          <wp:inline distT="0" distB="0" distL="0" distR="0" wp14:anchorId="62492A28" wp14:editId="100D15E7">
            <wp:extent cx="3126488" cy="1762125"/>
            <wp:effectExtent l="0" t="0" r="0" b="0"/>
            <wp:docPr id="15" name="Imagen 15" descr="https://lh6.googleusercontent.com/7IIm1lRyXGTPjlGai9zdKaDv27W-T2Ih40cUIxSBJ8Z9irWhvmM6RicC_l0sRwL-4ZTg6tfBsPtC-7qzejhm8t6GRNFAMgrgGL1JqYZoHH32OdJaOgIVUKhM_A2fEU5Zfor84v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6.googleusercontent.com/7IIm1lRyXGTPjlGai9zdKaDv27W-T2Ih40cUIxSBJ8Z9irWhvmM6RicC_l0sRwL-4ZTg6tfBsPtC-7qzejhm8t6GRNFAMgrgGL1JqYZoHH32OdJaOgIVUKhM_A2fEU5Zfor84v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0025" cy="1781027"/>
                    </a:xfrm>
                    <a:prstGeom prst="rect">
                      <a:avLst/>
                    </a:prstGeom>
                    <a:noFill/>
                    <a:ln>
                      <a:noFill/>
                    </a:ln>
                  </pic:spPr>
                </pic:pic>
              </a:graphicData>
            </a:graphic>
          </wp:inline>
        </w:drawing>
      </w:r>
    </w:p>
    <w:p w14:paraId="66EB08A3" w14:textId="0869D6C9" w:rsidR="0049333D" w:rsidRPr="00A9754D" w:rsidRDefault="0049333D" w:rsidP="00850860">
      <w:pPr>
        <w:spacing w:after="240"/>
        <w:rPr>
          <w:rFonts w:ascii="Times New Roman" w:eastAsia="Times New Roman" w:hAnsi="Times New Roman" w:cs="Times New Roman"/>
          <w:i/>
          <w:iCs/>
          <w:lang w:eastAsia="es-GT"/>
        </w:rPr>
      </w:pPr>
      <w:r w:rsidRPr="000E33D8">
        <w:rPr>
          <w:rFonts w:ascii="Times New Roman" w:eastAsia="Times New Roman" w:hAnsi="Times New Roman" w:cs="Times New Roman"/>
          <w:lang w:eastAsia="es-GT"/>
        </w:rPr>
        <w:lastRenderedPageBreak/>
        <w:br/>
      </w:r>
      <w:r w:rsidRPr="000E33D8">
        <w:rPr>
          <w:rFonts w:ascii="Times New Roman" w:eastAsia="Times New Roman" w:hAnsi="Times New Roman" w:cs="Times New Roman"/>
          <w:lang w:eastAsia="es-GT"/>
        </w:rPr>
        <w:br/>
      </w:r>
      <w:r w:rsidRPr="00A9754D">
        <w:rPr>
          <w:rFonts w:ascii="Times New Roman" w:eastAsia="Times New Roman" w:hAnsi="Times New Roman" w:cs="Times New Roman"/>
          <w:i/>
          <w:iCs/>
          <w:noProof/>
          <w:color w:val="000000"/>
          <w:sz w:val="22"/>
          <w:szCs w:val="22"/>
          <w:bdr w:val="none" w:sz="0" w:space="0" w:color="auto" w:frame="1"/>
          <w:lang w:val="en-GB" w:eastAsia="en-GB"/>
        </w:rPr>
        <w:drawing>
          <wp:inline distT="0" distB="0" distL="0" distR="0" wp14:anchorId="2BE3277C" wp14:editId="61E08275">
            <wp:extent cx="5723890" cy="4156075"/>
            <wp:effectExtent l="0" t="0" r="0" b="0"/>
            <wp:docPr id="14" name="Imagen 14" descr="https://lh6.googleusercontent.com/InP_s1SHa6OK8SaT9CzbJ7JoOIY0LPyeDXgkyQaeJIFdtZjyAgB701VwzbGg6pBIigQlzySchCP7otYVRpIYWYMDjkQCs0vlsZb2CSJgd4SlDZ5tr2YQmGICOg7t2qWa1GTB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6.googleusercontent.com/InP_s1SHa6OK8SaT9CzbJ7JoOIY0LPyeDXgkyQaeJIFdtZjyAgB701VwzbGg6pBIigQlzySchCP7otYVRpIYWYMDjkQCs0vlsZb2CSJgd4SlDZ5tr2YQmGICOg7t2qWa1GTBvA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3890" cy="4156075"/>
                    </a:xfrm>
                    <a:prstGeom prst="rect">
                      <a:avLst/>
                    </a:prstGeom>
                    <a:noFill/>
                    <a:ln>
                      <a:noFill/>
                    </a:ln>
                  </pic:spPr>
                </pic:pic>
              </a:graphicData>
            </a:graphic>
          </wp:inline>
        </w:drawing>
      </w:r>
    </w:p>
    <w:p w14:paraId="61B7356C" w14:textId="77777777" w:rsidR="0049333D" w:rsidRPr="00A9754D" w:rsidRDefault="0049333D" w:rsidP="0049333D">
      <w:pPr>
        <w:rPr>
          <w:rFonts w:ascii="Times New Roman" w:eastAsia="Times New Roman" w:hAnsi="Times New Roman" w:cs="Times New Roman"/>
          <w:i/>
          <w:iCs/>
          <w:szCs w:val="22"/>
          <w:lang w:eastAsia="es-GT"/>
        </w:rPr>
      </w:pPr>
      <w:r w:rsidRPr="00A9754D">
        <w:rPr>
          <w:rFonts w:ascii="Times New Roman" w:eastAsia="Times New Roman" w:hAnsi="Times New Roman" w:cs="Times New Roman"/>
          <w:i/>
          <w:iCs/>
          <w:color w:val="000000"/>
          <w:sz w:val="22"/>
          <w:szCs w:val="20"/>
          <w:lang w:eastAsia="es-GT"/>
        </w:rPr>
        <w:t>Fuente: encuesta del empleo 2019, INGUAT</w:t>
      </w:r>
    </w:p>
    <w:p w14:paraId="54270F21" w14:textId="77777777" w:rsidR="00D556F9" w:rsidRDefault="00D556F9" w:rsidP="0049333D">
      <w:pPr>
        <w:jc w:val="both"/>
        <w:rPr>
          <w:rFonts w:ascii="Baskerville Old Face" w:eastAsia="Times New Roman" w:hAnsi="Baskerville Old Face" w:cs="Times New Roman"/>
          <w:color w:val="000000"/>
          <w:szCs w:val="22"/>
          <w:lang w:eastAsia="es-GT"/>
        </w:rPr>
      </w:pPr>
    </w:p>
    <w:p w14:paraId="4B38FD92" w14:textId="535738B3" w:rsidR="0049333D" w:rsidRPr="00D556F9" w:rsidRDefault="0049333D" w:rsidP="0049333D">
      <w:pPr>
        <w:jc w:val="both"/>
        <w:rPr>
          <w:rFonts w:ascii="Baskerville Old Face" w:eastAsia="Times New Roman" w:hAnsi="Baskerville Old Face" w:cs="Times New Roman"/>
          <w:sz w:val="28"/>
          <w:lang w:eastAsia="es-GT"/>
        </w:rPr>
      </w:pPr>
      <w:r w:rsidRPr="00D556F9">
        <w:rPr>
          <w:rFonts w:ascii="Baskerville Old Face" w:eastAsia="Times New Roman" w:hAnsi="Baskerville Old Face" w:cs="Times New Roman"/>
          <w:color w:val="000000"/>
          <w:szCs w:val="22"/>
          <w:lang w:eastAsia="es-GT"/>
        </w:rPr>
        <w:lastRenderedPageBreak/>
        <w:t xml:space="preserve">De acuerdo a la gráfica </w:t>
      </w:r>
      <w:r w:rsidR="00A9754D" w:rsidRPr="00D556F9">
        <w:rPr>
          <w:rFonts w:ascii="Baskerville Old Face" w:eastAsia="Times New Roman" w:hAnsi="Baskerville Old Face" w:cs="Times New Roman"/>
          <w:color w:val="000000"/>
          <w:szCs w:val="22"/>
          <w:lang w:eastAsia="es-GT"/>
        </w:rPr>
        <w:t>anterior</w:t>
      </w:r>
      <w:r w:rsidRPr="00D556F9">
        <w:rPr>
          <w:rFonts w:ascii="Baskerville Old Face" w:eastAsia="Times New Roman" w:hAnsi="Baskerville Old Face" w:cs="Times New Roman"/>
          <w:color w:val="000000"/>
          <w:szCs w:val="22"/>
          <w:lang w:eastAsia="es-GT"/>
        </w:rPr>
        <w:t>, se puede observar que en el 2019 el empleo directo en el sector turístico, para las personas mayores de 50 años representan un 5.3% de los trabajadores en el este sector. De los cuales 2.9% son hombres y el 2.4% son mujeres. </w:t>
      </w:r>
    </w:p>
    <w:p w14:paraId="6464B81B" w14:textId="77777777" w:rsidR="0049333D" w:rsidRPr="00D556F9" w:rsidRDefault="0049333D" w:rsidP="0049333D">
      <w:pPr>
        <w:rPr>
          <w:rFonts w:ascii="Baskerville Old Face" w:eastAsia="Times New Roman" w:hAnsi="Baskerville Old Face" w:cs="Times New Roman"/>
          <w:sz w:val="28"/>
          <w:lang w:eastAsia="es-GT"/>
        </w:rPr>
      </w:pPr>
    </w:p>
    <w:p w14:paraId="06F7DD7F" w14:textId="5A87F1A4" w:rsidR="0049333D" w:rsidRPr="00D556F9" w:rsidRDefault="0049333D" w:rsidP="0049333D">
      <w:pPr>
        <w:jc w:val="both"/>
        <w:rPr>
          <w:rFonts w:ascii="Baskerville Old Face" w:eastAsia="Times New Roman" w:hAnsi="Baskerville Old Face" w:cs="Times New Roman"/>
          <w:color w:val="000000"/>
          <w:szCs w:val="22"/>
          <w:lang w:eastAsia="es-GT"/>
        </w:rPr>
      </w:pPr>
      <w:r w:rsidRPr="00D556F9">
        <w:rPr>
          <w:rFonts w:ascii="Baskerville Old Face" w:eastAsia="Times New Roman" w:hAnsi="Baskerville Old Face" w:cs="Times New Roman"/>
          <w:color w:val="000000"/>
          <w:szCs w:val="22"/>
          <w:lang w:eastAsia="es-GT"/>
        </w:rPr>
        <w:t>Al realizar el análisis por cada uno de los tipos de servicio se obtuvieron los siguientes resultados:</w:t>
      </w:r>
    </w:p>
    <w:p w14:paraId="2C4E07E8" w14:textId="77777777" w:rsidR="00A9754D" w:rsidRPr="00D556F9" w:rsidRDefault="00A9754D" w:rsidP="0049333D">
      <w:pPr>
        <w:jc w:val="both"/>
        <w:rPr>
          <w:rFonts w:ascii="Baskerville Old Face" w:eastAsia="Times New Roman" w:hAnsi="Baskerville Old Face" w:cs="Times New Roman"/>
          <w:sz w:val="28"/>
          <w:lang w:eastAsia="es-GT"/>
        </w:rPr>
      </w:pPr>
    </w:p>
    <w:p w14:paraId="48EE9293" w14:textId="4BAEF7A9" w:rsidR="00A9754D" w:rsidRPr="00D556F9" w:rsidRDefault="00A9754D" w:rsidP="00A9754D">
      <w:pPr>
        <w:jc w:val="both"/>
        <w:rPr>
          <w:rFonts w:ascii="Baskerville Old Face" w:eastAsia="Times New Roman" w:hAnsi="Baskerville Old Face" w:cs="Times New Roman"/>
          <w:sz w:val="28"/>
          <w:lang w:eastAsia="es-GT"/>
        </w:rPr>
      </w:pPr>
      <w:r w:rsidRPr="00D556F9">
        <w:rPr>
          <w:rFonts w:ascii="Baskerville Old Face" w:eastAsia="Times New Roman" w:hAnsi="Baskerville Old Face" w:cs="Times New Roman"/>
          <w:color w:val="000000"/>
          <w:szCs w:val="22"/>
          <w:lang w:eastAsia="es-GT"/>
        </w:rPr>
        <w:t>De ese 5.3% de empleos directos a mayores de 50 años, se puede observar en la siguiente gráfica que los restaurantes son los que más emplean a personas mayores de 50 años, con el 71.4%, siendo éstos 38.7% hombres y 32.6% mujeres; luego le siguen los hoteles con un 14.7%.</w:t>
      </w:r>
    </w:p>
    <w:p w14:paraId="6DF90403" w14:textId="77777777" w:rsidR="0049333D" w:rsidRPr="00D556F9" w:rsidRDefault="0049333D" w:rsidP="0049333D">
      <w:pPr>
        <w:rPr>
          <w:rFonts w:ascii="Baskerville Old Face" w:eastAsia="Times New Roman" w:hAnsi="Baskerville Old Face" w:cs="Times New Roman"/>
          <w:sz w:val="28"/>
          <w:lang w:eastAsia="es-GT"/>
        </w:rPr>
      </w:pPr>
    </w:p>
    <w:p w14:paraId="16B0C62C" w14:textId="42029750" w:rsidR="0049333D" w:rsidRPr="000E33D8" w:rsidRDefault="0049333D" w:rsidP="0049333D">
      <w:pPr>
        <w:jc w:val="center"/>
        <w:rPr>
          <w:rFonts w:ascii="Times New Roman" w:eastAsia="Times New Roman" w:hAnsi="Times New Roman" w:cs="Times New Roman"/>
          <w:lang w:eastAsia="es-GT"/>
        </w:rPr>
      </w:pPr>
      <w:r w:rsidRPr="000E33D8">
        <w:rPr>
          <w:rFonts w:ascii="Times New Roman" w:eastAsia="Times New Roman" w:hAnsi="Times New Roman" w:cs="Times New Roman"/>
          <w:noProof/>
          <w:color w:val="000000"/>
          <w:sz w:val="22"/>
          <w:szCs w:val="22"/>
          <w:bdr w:val="none" w:sz="0" w:space="0" w:color="auto" w:frame="1"/>
          <w:lang w:val="en-GB" w:eastAsia="en-GB"/>
        </w:rPr>
        <w:lastRenderedPageBreak/>
        <w:drawing>
          <wp:inline distT="0" distB="0" distL="0" distR="0" wp14:anchorId="446E898D" wp14:editId="5E60C8C2">
            <wp:extent cx="5949315" cy="4311015"/>
            <wp:effectExtent l="0" t="0" r="0" b="0"/>
            <wp:docPr id="13" name="Imagen 13" descr="https://lh4.googleusercontent.com/aSyslkzYev4lwmBqblOBdBoT5BBrWXAEvdvnGWpc9W1IP06QVo-2CRXTBeAG9qllorS11LLC1aH7GLFyVXLIXS4JNNn62fRQ3zc_C6jyj-C_Zu0oxhkdVrfjXGWww-t8VNgB_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4.googleusercontent.com/aSyslkzYev4lwmBqblOBdBoT5BBrWXAEvdvnGWpc9W1IP06QVo-2CRXTBeAG9qllorS11LLC1aH7GLFyVXLIXS4JNNn62fRQ3zc_C6jyj-C_Zu0oxhkdVrfjXGWww-t8VNgB_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9315" cy="4311015"/>
                    </a:xfrm>
                    <a:prstGeom prst="rect">
                      <a:avLst/>
                    </a:prstGeom>
                    <a:noFill/>
                    <a:ln>
                      <a:noFill/>
                    </a:ln>
                  </pic:spPr>
                </pic:pic>
              </a:graphicData>
            </a:graphic>
          </wp:inline>
        </w:drawing>
      </w:r>
    </w:p>
    <w:p w14:paraId="16AF38CA" w14:textId="77777777" w:rsidR="0049333D" w:rsidRPr="000E33D8" w:rsidRDefault="0049333D" w:rsidP="0049333D">
      <w:pPr>
        <w:rPr>
          <w:rFonts w:ascii="Times New Roman" w:eastAsia="Times New Roman" w:hAnsi="Times New Roman" w:cs="Times New Roman"/>
          <w:i/>
          <w:sz w:val="28"/>
          <w:lang w:eastAsia="es-GT"/>
        </w:rPr>
      </w:pPr>
      <w:r w:rsidRPr="000E33D8">
        <w:rPr>
          <w:rFonts w:ascii="Times New Roman" w:eastAsia="Times New Roman" w:hAnsi="Times New Roman" w:cs="Times New Roman"/>
          <w:i/>
          <w:color w:val="000000"/>
          <w:szCs w:val="22"/>
          <w:lang w:eastAsia="es-GT"/>
        </w:rPr>
        <w:t>Fuente: encuesta del empleo 2019, INGUAT</w:t>
      </w:r>
    </w:p>
    <w:p w14:paraId="5B2256B4" w14:textId="77777777" w:rsidR="0049333D" w:rsidRPr="00607D54" w:rsidRDefault="0049333D" w:rsidP="0049333D">
      <w:pPr>
        <w:rPr>
          <w:rFonts w:ascii="Baskerville Old Face" w:eastAsia="Times New Roman" w:hAnsi="Baskerville Old Face" w:cs="Times New Roman"/>
          <w:sz w:val="28"/>
          <w:lang w:eastAsia="es-GT"/>
        </w:rPr>
      </w:pPr>
    </w:p>
    <w:p w14:paraId="01050F23" w14:textId="06D78A55" w:rsidR="0049333D" w:rsidRPr="00607D54" w:rsidRDefault="0049333D" w:rsidP="007E2FE7">
      <w:pPr>
        <w:rPr>
          <w:rFonts w:ascii="Baskerville Old Face" w:hAnsi="Baskerville Old Face" w:cs="Times New Roman"/>
        </w:rPr>
      </w:pPr>
      <w:r w:rsidRPr="00607D54">
        <w:rPr>
          <w:rFonts w:ascii="Baskerville Old Face" w:hAnsi="Baskerville Old Face" w:cs="Times New Roman"/>
        </w:rPr>
        <w:t>Como se observó en la parte de la medición de empleo por turismo, el turismo es un sector que da oportunidades a personas de edad.</w:t>
      </w:r>
    </w:p>
    <w:p w14:paraId="69EC6B02" w14:textId="5DB1105A" w:rsidR="00C37EBB" w:rsidRPr="000E33D8" w:rsidRDefault="00C37EBB" w:rsidP="00694ACD">
      <w:pPr>
        <w:pStyle w:val="Heading1"/>
        <w:rPr>
          <w:rFonts w:ascii="Times New Roman" w:hAnsi="Times New Roman" w:cs="Times New Roman"/>
          <w:i/>
          <w:iCs/>
        </w:rPr>
      </w:pPr>
      <w:bookmarkStart w:id="3" w:name="_GoBack"/>
      <w:bookmarkEnd w:id="3"/>
    </w:p>
    <w:sectPr w:rsidR="00C37EBB" w:rsidRPr="000E33D8" w:rsidSect="00D76164">
      <w:headerReference w:type="default" r:id="rId13"/>
      <w:foot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0FAE9A" w14:textId="77777777" w:rsidR="00A862F1" w:rsidRDefault="00A862F1" w:rsidP="00C37EBB">
      <w:r>
        <w:separator/>
      </w:r>
    </w:p>
  </w:endnote>
  <w:endnote w:type="continuationSeparator" w:id="0">
    <w:p w14:paraId="56FF84B8" w14:textId="77777777" w:rsidR="00A862F1" w:rsidRDefault="00A862F1" w:rsidP="00C37E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0842273"/>
      <w:docPartObj>
        <w:docPartGallery w:val="Page Numbers (Bottom of Page)"/>
        <w:docPartUnique/>
      </w:docPartObj>
    </w:sdtPr>
    <w:sdtEndPr/>
    <w:sdtContent>
      <w:p w14:paraId="6C7FCCED" w14:textId="3C93BF26" w:rsidR="005465C3" w:rsidRDefault="005465C3">
        <w:pPr>
          <w:pStyle w:val="Footer"/>
          <w:jc w:val="right"/>
        </w:pPr>
        <w:r>
          <w:fldChar w:fldCharType="begin"/>
        </w:r>
        <w:r>
          <w:instrText>PAGE   \* MERGEFORMAT</w:instrText>
        </w:r>
        <w:r>
          <w:fldChar w:fldCharType="separate"/>
        </w:r>
        <w:r w:rsidR="00694ACD" w:rsidRPr="00694ACD">
          <w:rPr>
            <w:noProof/>
            <w:lang w:val="es-ES"/>
          </w:rPr>
          <w:t>19</w:t>
        </w:r>
        <w:r>
          <w:fldChar w:fldCharType="end"/>
        </w:r>
      </w:p>
    </w:sdtContent>
  </w:sdt>
  <w:p w14:paraId="758428FF" w14:textId="3E6CBC47" w:rsidR="005465C3" w:rsidRPr="00E92692" w:rsidRDefault="005465C3" w:rsidP="00E92692">
    <w:pPr>
      <w:pStyle w:val="Footer"/>
      <w:jc w:val="center"/>
      <w:rPr>
        <w:rFonts w:ascii="Helvetica" w:hAnsi="Helvetica"/>
        <w:b/>
        <w:bCs/>
        <w:color w:val="13203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4F01DB" w14:textId="77777777" w:rsidR="00A862F1" w:rsidRDefault="00A862F1" w:rsidP="00C37EBB">
      <w:r>
        <w:separator/>
      </w:r>
    </w:p>
  </w:footnote>
  <w:footnote w:type="continuationSeparator" w:id="0">
    <w:p w14:paraId="5508DA35" w14:textId="77777777" w:rsidR="00A862F1" w:rsidRDefault="00A862F1" w:rsidP="00C37E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A64B30" w14:textId="77777777" w:rsidR="005465C3" w:rsidRDefault="005465C3">
    <w:pPr>
      <w:pStyle w:val="Header"/>
    </w:pPr>
    <w:r w:rsidRPr="00E92692">
      <w:rPr>
        <w:noProof/>
        <w:lang w:val="en-GB" w:eastAsia="en-GB"/>
      </w:rPr>
      <w:drawing>
        <wp:anchor distT="0" distB="0" distL="114300" distR="114300" simplePos="0" relativeHeight="251659264" behindDoc="1" locked="0" layoutInCell="1" allowOverlap="1" wp14:anchorId="30599684" wp14:editId="77F010A7">
          <wp:simplePos x="0" y="0"/>
          <wp:positionH relativeFrom="column">
            <wp:posOffset>1891665</wp:posOffset>
          </wp:positionH>
          <wp:positionV relativeFrom="paragraph">
            <wp:posOffset>-4445</wp:posOffset>
          </wp:positionV>
          <wp:extent cx="1828800" cy="421712"/>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73333" cy="455041"/>
                  </a:xfrm>
                  <a:prstGeom prst="rect">
                    <a:avLst/>
                  </a:prstGeom>
                </pic:spPr>
              </pic:pic>
            </a:graphicData>
          </a:graphic>
          <wp14:sizeRelH relativeFrom="page">
            <wp14:pctWidth>0</wp14:pctWidth>
          </wp14:sizeRelH>
          <wp14:sizeRelV relativeFrom="page">
            <wp14:pctHeight>0</wp14:pctHeight>
          </wp14:sizeRelV>
        </wp:anchor>
      </w:drawing>
    </w:r>
    <w:r w:rsidRPr="00C37EBB">
      <w:rPr>
        <w:noProof/>
        <w:lang w:val="en-GB" w:eastAsia="en-GB"/>
      </w:rPr>
      <w:drawing>
        <wp:anchor distT="0" distB="0" distL="114300" distR="114300" simplePos="0" relativeHeight="251658240" behindDoc="1" locked="0" layoutInCell="1" allowOverlap="1" wp14:anchorId="4FBBDA8B" wp14:editId="74BBD458">
          <wp:simplePos x="0" y="0"/>
          <wp:positionH relativeFrom="column">
            <wp:posOffset>126632</wp:posOffset>
          </wp:positionH>
          <wp:positionV relativeFrom="paragraph">
            <wp:posOffset>4097020</wp:posOffset>
          </wp:positionV>
          <wp:extent cx="6564363" cy="5515610"/>
          <wp:effectExtent l="0" t="0" r="190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6581879" cy="553032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12A07"/>
    <w:multiLevelType w:val="hybridMultilevel"/>
    <w:tmpl w:val="929A985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
    <w:nsid w:val="00C52AC7"/>
    <w:multiLevelType w:val="hybridMultilevel"/>
    <w:tmpl w:val="43F0997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nsid w:val="011B0872"/>
    <w:multiLevelType w:val="multilevel"/>
    <w:tmpl w:val="3CE45ED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52F088E"/>
    <w:multiLevelType w:val="multilevel"/>
    <w:tmpl w:val="E006C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A46DF9"/>
    <w:multiLevelType w:val="multilevel"/>
    <w:tmpl w:val="86EEB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6B16843"/>
    <w:multiLevelType w:val="hybridMultilevel"/>
    <w:tmpl w:val="42D8E2E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nsid w:val="0D5F2891"/>
    <w:multiLevelType w:val="multilevel"/>
    <w:tmpl w:val="089A4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4676C4E"/>
    <w:multiLevelType w:val="hybridMultilevel"/>
    <w:tmpl w:val="5E58C864"/>
    <w:lvl w:ilvl="0" w:tplc="4A562FF0">
      <w:start w:val="1"/>
      <w:numFmt w:val="decimal"/>
      <w:lvlText w:val="%1."/>
      <w:lvlJc w:val="left"/>
      <w:pPr>
        <w:ind w:left="720"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nsid w:val="19384202"/>
    <w:multiLevelType w:val="multilevel"/>
    <w:tmpl w:val="870681D2"/>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A3B7C34"/>
    <w:multiLevelType w:val="multilevel"/>
    <w:tmpl w:val="F75AFB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BE72543"/>
    <w:multiLevelType w:val="hybridMultilevel"/>
    <w:tmpl w:val="C5DAB61C"/>
    <w:lvl w:ilvl="0" w:tplc="1DB0721A">
      <w:start w:val="1"/>
      <w:numFmt w:val="lowerRoman"/>
      <w:lvlText w:val="%1."/>
      <w:lvlJc w:val="left"/>
      <w:pPr>
        <w:ind w:left="1080" w:hanging="720"/>
      </w:pPr>
      <w:rPr>
        <w:rFonts w:hint="default"/>
      </w:r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nsid w:val="1D686900"/>
    <w:multiLevelType w:val="hybridMultilevel"/>
    <w:tmpl w:val="0A3E3E6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nsid w:val="229905B3"/>
    <w:multiLevelType w:val="multilevel"/>
    <w:tmpl w:val="98F0A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5210BC5"/>
    <w:multiLevelType w:val="multilevel"/>
    <w:tmpl w:val="4D24BE7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71F14CB"/>
    <w:multiLevelType w:val="multilevel"/>
    <w:tmpl w:val="E0E44CE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82D6E00"/>
    <w:multiLevelType w:val="hybridMultilevel"/>
    <w:tmpl w:val="308E1E7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6">
    <w:nsid w:val="2EAA6898"/>
    <w:multiLevelType w:val="hybridMultilevel"/>
    <w:tmpl w:val="9C7012DC"/>
    <w:lvl w:ilvl="0" w:tplc="100A0011">
      <w:start w:val="1"/>
      <w:numFmt w:val="decimal"/>
      <w:lvlText w:val="%1)"/>
      <w:lvlJc w:val="left"/>
      <w:pPr>
        <w:ind w:left="720" w:hanging="360"/>
      </w:p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start w:val="1"/>
      <w:numFmt w:val="lowerLetter"/>
      <w:lvlText w:val="%5."/>
      <w:lvlJc w:val="left"/>
      <w:pPr>
        <w:ind w:left="3600" w:hanging="360"/>
      </w:pPr>
    </w:lvl>
    <w:lvl w:ilvl="5" w:tplc="100A001B">
      <w:start w:val="1"/>
      <w:numFmt w:val="lowerRoman"/>
      <w:lvlText w:val="%6."/>
      <w:lvlJc w:val="right"/>
      <w:pPr>
        <w:ind w:left="4320" w:hanging="180"/>
      </w:pPr>
    </w:lvl>
    <w:lvl w:ilvl="6" w:tplc="100A000F">
      <w:start w:val="1"/>
      <w:numFmt w:val="decimal"/>
      <w:lvlText w:val="%7."/>
      <w:lvlJc w:val="left"/>
      <w:pPr>
        <w:ind w:left="5040" w:hanging="360"/>
      </w:pPr>
    </w:lvl>
    <w:lvl w:ilvl="7" w:tplc="100A0019">
      <w:start w:val="1"/>
      <w:numFmt w:val="lowerLetter"/>
      <w:lvlText w:val="%8."/>
      <w:lvlJc w:val="left"/>
      <w:pPr>
        <w:ind w:left="5760" w:hanging="360"/>
      </w:pPr>
    </w:lvl>
    <w:lvl w:ilvl="8" w:tplc="100A001B">
      <w:start w:val="1"/>
      <w:numFmt w:val="lowerRoman"/>
      <w:lvlText w:val="%9."/>
      <w:lvlJc w:val="right"/>
      <w:pPr>
        <w:ind w:left="6480" w:hanging="180"/>
      </w:pPr>
    </w:lvl>
  </w:abstractNum>
  <w:abstractNum w:abstractNumId="17">
    <w:nsid w:val="32BD27BD"/>
    <w:multiLevelType w:val="multilevel"/>
    <w:tmpl w:val="5008D2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5971E91"/>
    <w:multiLevelType w:val="multilevel"/>
    <w:tmpl w:val="870681D2"/>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6FF20C7"/>
    <w:multiLevelType w:val="hybridMultilevel"/>
    <w:tmpl w:val="92C4F312"/>
    <w:lvl w:ilvl="0" w:tplc="6E4CCC8C">
      <w:numFmt w:val="bullet"/>
      <w:lvlText w:val=""/>
      <w:lvlJc w:val="left"/>
      <w:pPr>
        <w:ind w:left="720" w:hanging="360"/>
      </w:pPr>
      <w:rPr>
        <w:rFonts w:ascii="Symbol" w:eastAsiaTheme="minorHAnsi" w:hAnsi="Symbol" w:cs="Times New Roman"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0">
    <w:nsid w:val="371F67CE"/>
    <w:multiLevelType w:val="multilevel"/>
    <w:tmpl w:val="44780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8AE27D2"/>
    <w:multiLevelType w:val="hybridMultilevel"/>
    <w:tmpl w:val="86E44FF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2">
    <w:nsid w:val="3B9C1E60"/>
    <w:multiLevelType w:val="hybridMultilevel"/>
    <w:tmpl w:val="4562569A"/>
    <w:lvl w:ilvl="0" w:tplc="B4A83A56">
      <w:numFmt w:val="bullet"/>
      <w:lvlText w:val="-"/>
      <w:lvlJc w:val="left"/>
      <w:pPr>
        <w:ind w:left="720" w:hanging="360"/>
      </w:pPr>
      <w:rPr>
        <w:rFonts w:ascii="Times New Roman" w:eastAsiaTheme="minorHAnsi" w:hAnsi="Times New Roman" w:cs="Times New Roman"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3">
    <w:nsid w:val="3FB41031"/>
    <w:multiLevelType w:val="multilevel"/>
    <w:tmpl w:val="BEC65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0AE0AAD"/>
    <w:multiLevelType w:val="multilevel"/>
    <w:tmpl w:val="0D84055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5C90363"/>
    <w:multiLevelType w:val="hybridMultilevel"/>
    <w:tmpl w:val="EACE5DE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6">
    <w:nsid w:val="4AC657CA"/>
    <w:multiLevelType w:val="hybridMultilevel"/>
    <w:tmpl w:val="8FC61C0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7">
    <w:nsid w:val="4E9618A0"/>
    <w:multiLevelType w:val="multilevel"/>
    <w:tmpl w:val="B7B88FE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0B6207B"/>
    <w:multiLevelType w:val="multilevel"/>
    <w:tmpl w:val="7EC49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0C31198"/>
    <w:multiLevelType w:val="hybridMultilevel"/>
    <w:tmpl w:val="3864BEF8"/>
    <w:lvl w:ilvl="0" w:tplc="BC00EABE">
      <w:start w:val="1"/>
      <w:numFmt w:val="bullet"/>
      <w:lvlText w:val=""/>
      <w:lvlJc w:val="left"/>
      <w:pPr>
        <w:ind w:left="720" w:hanging="360"/>
      </w:pPr>
      <w:rPr>
        <w:rFonts w:ascii="Symbol" w:hAnsi="Symbol" w:hint="default"/>
        <w:sz w:val="22"/>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0">
    <w:nsid w:val="55D46DAC"/>
    <w:multiLevelType w:val="multilevel"/>
    <w:tmpl w:val="7D34B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9112899"/>
    <w:multiLevelType w:val="hybridMultilevel"/>
    <w:tmpl w:val="04268CB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2">
    <w:nsid w:val="5B4C31E4"/>
    <w:multiLevelType w:val="hybridMultilevel"/>
    <w:tmpl w:val="8CD0A26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3">
    <w:nsid w:val="620239E0"/>
    <w:multiLevelType w:val="multilevel"/>
    <w:tmpl w:val="297827C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388257C"/>
    <w:multiLevelType w:val="multilevel"/>
    <w:tmpl w:val="9C0AA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5DB4BCD"/>
    <w:multiLevelType w:val="hybridMultilevel"/>
    <w:tmpl w:val="BCF0F11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6">
    <w:nsid w:val="6B735D65"/>
    <w:multiLevelType w:val="hybridMultilevel"/>
    <w:tmpl w:val="FDF65696"/>
    <w:lvl w:ilvl="0" w:tplc="8A4AC3E0">
      <w:start w:val="1"/>
      <w:numFmt w:val="bullet"/>
      <w:lvlText w:val="-"/>
      <w:lvlJc w:val="left"/>
      <w:pPr>
        <w:ind w:left="1068" w:hanging="360"/>
      </w:pPr>
      <w:rPr>
        <w:rFonts w:ascii="Arial" w:eastAsiaTheme="minorEastAsia" w:hAnsi="Arial" w:cs="Arial" w:hint="default"/>
      </w:rPr>
    </w:lvl>
    <w:lvl w:ilvl="1" w:tplc="100A0003">
      <w:start w:val="1"/>
      <w:numFmt w:val="bullet"/>
      <w:lvlText w:val="o"/>
      <w:lvlJc w:val="left"/>
      <w:pPr>
        <w:ind w:left="1788" w:hanging="360"/>
      </w:pPr>
      <w:rPr>
        <w:rFonts w:ascii="Courier New" w:hAnsi="Courier New" w:cs="Courier New" w:hint="default"/>
      </w:rPr>
    </w:lvl>
    <w:lvl w:ilvl="2" w:tplc="100A0005">
      <w:start w:val="1"/>
      <w:numFmt w:val="bullet"/>
      <w:lvlText w:val=""/>
      <w:lvlJc w:val="left"/>
      <w:pPr>
        <w:ind w:left="2508" w:hanging="360"/>
      </w:pPr>
      <w:rPr>
        <w:rFonts w:ascii="Wingdings" w:hAnsi="Wingdings" w:hint="default"/>
      </w:rPr>
    </w:lvl>
    <w:lvl w:ilvl="3" w:tplc="100A0001">
      <w:start w:val="1"/>
      <w:numFmt w:val="bullet"/>
      <w:lvlText w:val=""/>
      <w:lvlJc w:val="left"/>
      <w:pPr>
        <w:ind w:left="3228" w:hanging="360"/>
      </w:pPr>
      <w:rPr>
        <w:rFonts w:ascii="Symbol" w:hAnsi="Symbol" w:hint="default"/>
      </w:rPr>
    </w:lvl>
    <w:lvl w:ilvl="4" w:tplc="100A0003">
      <w:start w:val="1"/>
      <w:numFmt w:val="bullet"/>
      <w:lvlText w:val="o"/>
      <w:lvlJc w:val="left"/>
      <w:pPr>
        <w:ind w:left="3948" w:hanging="360"/>
      </w:pPr>
      <w:rPr>
        <w:rFonts w:ascii="Courier New" w:hAnsi="Courier New" w:cs="Courier New" w:hint="default"/>
      </w:rPr>
    </w:lvl>
    <w:lvl w:ilvl="5" w:tplc="100A0005">
      <w:start w:val="1"/>
      <w:numFmt w:val="bullet"/>
      <w:lvlText w:val=""/>
      <w:lvlJc w:val="left"/>
      <w:pPr>
        <w:ind w:left="4668" w:hanging="360"/>
      </w:pPr>
      <w:rPr>
        <w:rFonts w:ascii="Wingdings" w:hAnsi="Wingdings" w:hint="default"/>
      </w:rPr>
    </w:lvl>
    <w:lvl w:ilvl="6" w:tplc="100A0001">
      <w:start w:val="1"/>
      <w:numFmt w:val="bullet"/>
      <w:lvlText w:val=""/>
      <w:lvlJc w:val="left"/>
      <w:pPr>
        <w:ind w:left="5388" w:hanging="360"/>
      </w:pPr>
      <w:rPr>
        <w:rFonts w:ascii="Symbol" w:hAnsi="Symbol" w:hint="default"/>
      </w:rPr>
    </w:lvl>
    <w:lvl w:ilvl="7" w:tplc="100A0003">
      <w:start w:val="1"/>
      <w:numFmt w:val="bullet"/>
      <w:lvlText w:val="o"/>
      <w:lvlJc w:val="left"/>
      <w:pPr>
        <w:ind w:left="6108" w:hanging="360"/>
      </w:pPr>
      <w:rPr>
        <w:rFonts w:ascii="Courier New" w:hAnsi="Courier New" w:cs="Courier New" w:hint="default"/>
      </w:rPr>
    </w:lvl>
    <w:lvl w:ilvl="8" w:tplc="100A0005">
      <w:start w:val="1"/>
      <w:numFmt w:val="bullet"/>
      <w:lvlText w:val=""/>
      <w:lvlJc w:val="left"/>
      <w:pPr>
        <w:ind w:left="6828" w:hanging="360"/>
      </w:pPr>
      <w:rPr>
        <w:rFonts w:ascii="Wingdings" w:hAnsi="Wingdings" w:hint="default"/>
      </w:rPr>
    </w:lvl>
  </w:abstractNum>
  <w:abstractNum w:abstractNumId="37">
    <w:nsid w:val="6D563BE1"/>
    <w:multiLevelType w:val="hybridMultilevel"/>
    <w:tmpl w:val="D7544BE2"/>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8">
    <w:nsid w:val="706F2F72"/>
    <w:multiLevelType w:val="hybridMultilevel"/>
    <w:tmpl w:val="6A4418AE"/>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9">
    <w:nsid w:val="734E421B"/>
    <w:multiLevelType w:val="multilevel"/>
    <w:tmpl w:val="7A8CC25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657453E"/>
    <w:multiLevelType w:val="multilevel"/>
    <w:tmpl w:val="39AE3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91164C2"/>
    <w:multiLevelType w:val="multilevel"/>
    <w:tmpl w:val="8A1CF72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9E81DE7"/>
    <w:multiLevelType w:val="hybridMultilevel"/>
    <w:tmpl w:val="C3E6F122"/>
    <w:lvl w:ilvl="0" w:tplc="4822CAB0">
      <w:start w:val="1"/>
      <w:numFmt w:val="decimal"/>
      <w:pStyle w:val="Heading2"/>
      <w:lvlText w:val="%1."/>
      <w:lvlJc w:val="left"/>
      <w:pPr>
        <w:ind w:left="928"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38"/>
  </w:num>
  <w:num w:numId="2">
    <w:abstractNumId w:val="7"/>
  </w:num>
  <w:num w:numId="3">
    <w:abstractNumId w:val="34"/>
  </w:num>
  <w:num w:numId="4">
    <w:abstractNumId w:val="12"/>
  </w:num>
  <w:num w:numId="5">
    <w:abstractNumId w:val="20"/>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6"/>
  </w:num>
  <w:num w:numId="8">
    <w:abstractNumId w:val="23"/>
  </w:num>
  <w:num w:numId="9">
    <w:abstractNumId w:val="30"/>
  </w:num>
  <w:num w:numId="10">
    <w:abstractNumId w:val="24"/>
  </w:num>
  <w:num w:numId="11">
    <w:abstractNumId w:val="9"/>
  </w:num>
  <w:num w:numId="12">
    <w:abstractNumId w:val="40"/>
  </w:num>
  <w:num w:numId="13">
    <w:abstractNumId w:val="42"/>
  </w:num>
  <w:num w:numId="14">
    <w:abstractNumId w:val="36"/>
  </w:num>
  <w:num w:numId="15">
    <w:abstractNumId w:val="16"/>
  </w:num>
  <w:num w:numId="16">
    <w:abstractNumId w:val="42"/>
    <w:lvlOverride w:ilvl="0">
      <w:startOverride w:val="1"/>
    </w:lvlOverride>
  </w:num>
  <w:num w:numId="17">
    <w:abstractNumId w:val="28"/>
  </w:num>
  <w:num w:numId="18">
    <w:abstractNumId w:val="4"/>
  </w:num>
  <w:num w:numId="19">
    <w:abstractNumId w:val="17"/>
  </w:num>
  <w:num w:numId="20">
    <w:abstractNumId w:val="18"/>
  </w:num>
  <w:num w:numId="21">
    <w:abstractNumId w:val="27"/>
    <w:lvlOverride w:ilvl="0">
      <w:lvl w:ilvl="0">
        <w:numFmt w:val="decimal"/>
        <w:lvlText w:val="%1."/>
        <w:lvlJc w:val="left"/>
      </w:lvl>
    </w:lvlOverride>
  </w:num>
  <w:num w:numId="22">
    <w:abstractNumId w:val="14"/>
    <w:lvlOverride w:ilvl="0">
      <w:lvl w:ilvl="0">
        <w:numFmt w:val="decimal"/>
        <w:lvlText w:val="%1."/>
        <w:lvlJc w:val="left"/>
      </w:lvl>
    </w:lvlOverride>
  </w:num>
  <w:num w:numId="23">
    <w:abstractNumId w:val="41"/>
    <w:lvlOverride w:ilvl="0">
      <w:lvl w:ilvl="0">
        <w:numFmt w:val="decimal"/>
        <w:lvlText w:val="%1."/>
        <w:lvlJc w:val="left"/>
      </w:lvl>
    </w:lvlOverride>
  </w:num>
  <w:num w:numId="24">
    <w:abstractNumId w:val="39"/>
    <w:lvlOverride w:ilvl="0">
      <w:lvl w:ilvl="0">
        <w:numFmt w:val="decimal"/>
        <w:lvlText w:val="%1."/>
        <w:lvlJc w:val="left"/>
      </w:lvl>
    </w:lvlOverride>
  </w:num>
  <w:num w:numId="25">
    <w:abstractNumId w:val="13"/>
    <w:lvlOverride w:ilvl="0">
      <w:lvl w:ilvl="0">
        <w:numFmt w:val="decimal"/>
        <w:lvlText w:val="%1."/>
        <w:lvlJc w:val="left"/>
      </w:lvl>
    </w:lvlOverride>
  </w:num>
  <w:num w:numId="26">
    <w:abstractNumId w:val="2"/>
    <w:lvlOverride w:ilvl="0">
      <w:lvl w:ilvl="0">
        <w:numFmt w:val="decimal"/>
        <w:lvlText w:val="%1."/>
        <w:lvlJc w:val="left"/>
      </w:lvl>
    </w:lvlOverride>
  </w:num>
  <w:num w:numId="27">
    <w:abstractNumId w:val="33"/>
    <w:lvlOverride w:ilvl="0">
      <w:lvl w:ilvl="0">
        <w:numFmt w:val="decimal"/>
        <w:lvlText w:val="%1."/>
        <w:lvlJc w:val="left"/>
      </w:lvl>
    </w:lvlOverride>
  </w:num>
  <w:num w:numId="28">
    <w:abstractNumId w:val="21"/>
  </w:num>
  <w:num w:numId="29">
    <w:abstractNumId w:val="35"/>
  </w:num>
  <w:num w:numId="30">
    <w:abstractNumId w:val="6"/>
  </w:num>
  <w:num w:numId="31">
    <w:abstractNumId w:val="6"/>
  </w:num>
  <w:num w:numId="32">
    <w:abstractNumId w:val="25"/>
  </w:num>
  <w:num w:numId="33">
    <w:abstractNumId w:val="3"/>
  </w:num>
  <w:num w:numId="34">
    <w:abstractNumId w:val="1"/>
  </w:num>
  <w:num w:numId="35">
    <w:abstractNumId w:val="0"/>
  </w:num>
  <w:num w:numId="36">
    <w:abstractNumId w:val="19"/>
  </w:num>
  <w:num w:numId="37">
    <w:abstractNumId w:val="26"/>
  </w:num>
  <w:num w:numId="38">
    <w:abstractNumId w:val="22"/>
  </w:num>
  <w:num w:numId="39">
    <w:abstractNumId w:val="29"/>
  </w:num>
  <w:num w:numId="40">
    <w:abstractNumId w:val="32"/>
  </w:num>
  <w:num w:numId="41">
    <w:abstractNumId w:val="15"/>
  </w:num>
  <w:num w:numId="42">
    <w:abstractNumId w:val="10"/>
  </w:num>
  <w:num w:numId="43">
    <w:abstractNumId w:val="31"/>
  </w:num>
  <w:num w:numId="44">
    <w:abstractNumId w:val="11"/>
  </w:num>
  <w:num w:numId="45">
    <w:abstractNumId w:val="37"/>
  </w:num>
  <w:num w:numId="46">
    <w:abstractNumId w:val="5"/>
  </w:num>
  <w:num w:numId="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7EBB"/>
    <w:rsid w:val="00004B39"/>
    <w:rsid w:val="00012781"/>
    <w:rsid w:val="000152CC"/>
    <w:rsid w:val="000267AF"/>
    <w:rsid w:val="000524A9"/>
    <w:rsid w:val="000546C0"/>
    <w:rsid w:val="000863FF"/>
    <w:rsid w:val="000940C3"/>
    <w:rsid w:val="000A0802"/>
    <w:rsid w:val="000A5078"/>
    <w:rsid w:val="000C27A2"/>
    <w:rsid w:val="000D7B9C"/>
    <w:rsid w:val="000E2896"/>
    <w:rsid w:val="000E33D8"/>
    <w:rsid w:val="000E6E93"/>
    <w:rsid w:val="000E78B0"/>
    <w:rsid w:val="000F008F"/>
    <w:rsid w:val="000F13F6"/>
    <w:rsid w:val="001038C6"/>
    <w:rsid w:val="00113026"/>
    <w:rsid w:val="00133BE4"/>
    <w:rsid w:val="00150F4C"/>
    <w:rsid w:val="00157ECD"/>
    <w:rsid w:val="00171659"/>
    <w:rsid w:val="00173949"/>
    <w:rsid w:val="001767F0"/>
    <w:rsid w:val="00180183"/>
    <w:rsid w:val="00183044"/>
    <w:rsid w:val="00183F45"/>
    <w:rsid w:val="00187494"/>
    <w:rsid w:val="001A668E"/>
    <w:rsid w:val="001B5B25"/>
    <w:rsid w:val="001E0AA9"/>
    <w:rsid w:val="001E28A2"/>
    <w:rsid w:val="002037DC"/>
    <w:rsid w:val="00204D5F"/>
    <w:rsid w:val="00207856"/>
    <w:rsid w:val="00224D10"/>
    <w:rsid w:val="002C712B"/>
    <w:rsid w:val="002D3E15"/>
    <w:rsid w:val="002E0242"/>
    <w:rsid w:val="002F2A54"/>
    <w:rsid w:val="002F2FC9"/>
    <w:rsid w:val="00336652"/>
    <w:rsid w:val="00347909"/>
    <w:rsid w:val="00353D8D"/>
    <w:rsid w:val="00367B09"/>
    <w:rsid w:val="003B028A"/>
    <w:rsid w:val="003B094F"/>
    <w:rsid w:val="003C65C0"/>
    <w:rsid w:val="003D5C65"/>
    <w:rsid w:val="003E15D7"/>
    <w:rsid w:val="003F222E"/>
    <w:rsid w:val="003F5BFA"/>
    <w:rsid w:val="003F723A"/>
    <w:rsid w:val="00403B53"/>
    <w:rsid w:val="00406261"/>
    <w:rsid w:val="00415D2F"/>
    <w:rsid w:val="004166A0"/>
    <w:rsid w:val="004323DF"/>
    <w:rsid w:val="0049333D"/>
    <w:rsid w:val="004D08AB"/>
    <w:rsid w:val="004E2C36"/>
    <w:rsid w:val="004E4FC6"/>
    <w:rsid w:val="004E5322"/>
    <w:rsid w:val="004F0B2A"/>
    <w:rsid w:val="004F4F73"/>
    <w:rsid w:val="00512FFF"/>
    <w:rsid w:val="005351F3"/>
    <w:rsid w:val="005464D9"/>
    <w:rsid w:val="005465C3"/>
    <w:rsid w:val="00554BA5"/>
    <w:rsid w:val="005A0452"/>
    <w:rsid w:val="005C16EA"/>
    <w:rsid w:val="005D51BA"/>
    <w:rsid w:val="00601B50"/>
    <w:rsid w:val="006052BD"/>
    <w:rsid w:val="00607D54"/>
    <w:rsid w:val="00621006"/>
    <w:rsid w:val="006514A5"/>
    <w:rsid w:val="00694ACD"/>
    <w:rsid w:val="00697D00"/>
    <w:rsid w:val="006F4F05"/>
    <w:rsid w:val="00700E95"/>
    <w:rsid w:val="00704B15"/>
    <w:rsid w:val="0071696E"/>
    <w:rsid w:val="00720979"/>
    <w:rsid w:val="00732BDA"/>
    <w:rsid w:val="00761B8E"/>
    <w:rsid w:val="0076550D"/>
    <w:rsid w:val="00767B26"/>
    <w:rsid w:val="00780807"/>
    <w:rsid w:val="007A0E5C"/>
    <w:rsid w:val="007C21E5"/>
    <w:rsid w:val="007D2F48"/>
    <w:rsid w:val="007E2FE7"/>
    <w:rsid w:val="008157E0"/>
    <w:rsid w:val="00816C5C"/>
    <w:rsid w:val="00837908"/>
    <w:rsid w:val="0084225F"/>
    <w:rsid w:val="008470A4"/>
    <w:rsid w:val="00850860"/>
    <w:rsid w:val="008619D1"/>
    <w:rsid w:val="00863DB7"/>
    <w:rsid w:val="008A69B1"/>
    <w:rsid w:val="008C40C6"/>
    <w:rsid w:val="008C514D"/>
    <w:rsid w:val="008C7AC1"/>
    <w:rsid w:val="00906E74"/>
    <w:rsid w:val="00931192"/>
    <w:rsid w:val="00947702"/>
    <w:rsid w:val="00955789"/>
    <w:rsid w:val="00982D4F"/>
    <w:rsid w:val="00983521"/>
    <w:rsid w:val="009841C0"/>
    <w:rsid w:val="009B68CA"/>
    <w:rsid w:val="009C38E5"/>
    <w:rsid w:val="009E141C"/>
    <w:rsid w:val="009E45EC"/>
    <w:rsid w:val="009E46D6"/>
    <w:rsid w:val="00A154CE"/>
    <w:rsid w:val="00A24197"/>
    <w:rsid w:val="00A2772C"/>
    <w:rsid w:val="00A351C6"/>
    <w:rsid w:val="00A5035B"/>
    <w:rsid w:val="00A72977"/>
    <w:rsid w:val="00A73A9E"/>
    <w:rsid w:val="00A77CC7"/>
    <w:rsid w:val="00A862F1"/>
    <w:rsid w:val="00A87E24"/>
    <w:rsid w:val="00A9754D"/>
    <w:rsid w:val="00B045BF"/>
    <w:rsid w:val="00B16DE8"/>
    <w:rsid w:val="00B17EAF"/>
    <w:rsid w:val="00B42E7C"/>
    <w:rsid w:val="00B612E9"/>
    <w:rsid w:val="00B638AB"/>
    <w:rsid w:val="00B86093"/>
    <w:rsid w:val="00B94BCD"/>
    <w:rsid w:val="00B97135"/>
    <w:rsid w:val="00BB1D24"/>
    <w:rsid w:val="00BD1A7B"/>
    <w:rsid w:val="00BE7E14"/>
    <w:rsid w:val="00C26ACC"/>
    <w:rsid w:val="00C37EBB"/>
    <w:rsid w:val="00C62FF0"/>
    <w:rsid w:val="00C65FEB"/>
    <w:rsid w:val="00C672F2"/>
    <w:rsid w:val="00C678A5"/>
    <w:rsid w:val="00C70BAE"/>
    <w:rsid w:val="00C727B2"/>
    <w:rsid w:val="00C8733D"/>
    <w:rsid w:val="00CA1A1D"/>
    <w:rsid w:val="00CB106A"/>
    <w:rsid w:val="00CB2B2E"/>
    <w:rsid w:val="00CB4399"/>
    <w:rsid w:val="00CC37B8"/>
    <w:rsid w:val="00CD6BEC"/>
    <w:rsid w:val="00CF182B"/>
    <w:rsid w:val="00CF5D1F"/>
    <w:rsid w:val="00D0284E"/>
    <w:rsid w:val="00D0746B"/>
    <w:rsid w:val="00D26873"/>
    <w:rsid w:val="00D556F9"/>
    <w:rsid w:val="00D63571"/>
    <w:rsid w:val="00D65A40"/>
    <w:rsid w:val="00D76164"/>
    <w:rsid w:val="00D93AE7"/>
    <w:rsid w:val="00DA226D"/>
    <w:rsid w:val="00DB1B72"/>
    <w:rsid w:val="00DB2619"/>
    <w:rsid w:val="00DB467D"/>
    <w:rsid w:val="00DB6D32"/>
    <w:rsid w:val="00DC2D80"/>
    <w:rsid w:val="00DD1406"/>
    <w:rsid w:val="00DF6814"/>
    <w:rsid w:val="00E11E17"/>
    <w:rsid w:val="00E40B2F"/>
    <w:rsid w:val="00E71297"/>
    <w:rsid w:val="00E92692"/>
    <w:rsid w:val="00EC5E88"/>
    <w:rsid w:val="00EC7E41"/>
    <w:rsid w:val="00EE1898"/>
    <w:rsid w:val="00EE212B"/>
    <w:rsid w:val="00EE5784"/>
    <w:rsid w:val="00EE6A82"/>
    <w:rsid w:val="00EF5CC7"/>
    <w:rsid w:val="00F01F62"/>
    <w:rsid w:val="00F2053C"/>
    <w:rsid w:val="00F21C32"/>
    <w:rsid w:val="00F24284"/>
    <w:rsid w:val="00F43783"/>
    <w:rsid w:val="00F51758"/>
    <w:rsid w:val="00F52088"/>
    <w:rsid w:val="00F70782"/>
    <w:rsid w:val="00FB6234"/>
    <w:rsid w:val="00FC7520"/>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41F000A"/>
  <w15:chartTrackingRefBased/>
  <w15:docId w15:val="{6F4850BC-B2F9-3648-B376-4FF1D748D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G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65C0"/>
  </w:style>
  <w:style w:type="paragraph" w:styleId="Heading1">
    <w:name w:val="heading 1"/>
    <w:basedOn w:val="Normal"/>
    <w:next w:val="Normal"/>
    <w:link w:val="Heading1Char"/>
    <w:uiPriority w:val="9"/>
    <w:qFormat/>
    <w:rsid w:val="00780807"/>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83044"/>
    <w:pPr>
      <w:keepNext/>
      <w:keepLines/>
      <w:numPr>
        <w:numId w:val="13"/>
      </w:numPr>
      <w:spacing w:before="40"/>
      <w:outlineLvl w:val="1"/>
    </w:pPr>
    <w:rPr>
      <w:rFonts w:ascii="Times New Roman" w:eastAsiaTheme="majorEastAsia" w:hAnsi="Times New Roman" w:cs="Times New Roman"/>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7EBB"/>
    <w:pPr>
      <w:tabs>
        <w:tab w:val="center" w:pos="4419"/>
        <w:tab w:val="right" w:pos="8838"/>
      </w:tabs>
    </w:pPr>
  </w:style>
  <w:style w:type="character" w:customStyle="1" w:styleId="HeaderChar">
    <w:name w:val="Header Char"/>
    <w:basedOn w:val="DefaultParagraphFont"/>
    <w:link w:val="Header"/>
    <w:uiPriority w:val="99"/>
    <w:rsid w:val="00C37EBB"/>
  </w:style>
  <w:style w:type="paragraph" w:styleId="Footer">
    <w:name w:val="footer"/>
    <w:basedOn w:val="Normal"/>
    <w:link w:val="FooterChar"/>
    <w:uiPriority w:val="99"/>
    <w:unhideWhenUsed/>
    <w:rsid w:val="00C37EBB"/>
    <w:pPr>
      <w:tabs>
        <w:tab w:val="center" w:pos="4419"/>
        <w:tab w:val="right" w:pos="8838"/>
      </w:tabs>
    </w:pPr>
  </w:style>
  <w:style w:type="character" w:customStyle="1" w:styleId="FooterChar">
    <w:name w:val="Footer Char"/>
    <w:basedOn w:val="DefaultParagraphFont"/>
    <w:link w:val="Footer"/>
    <w:uiPriority w:val="99"/>
    <w:rsid w:val="00C37EBB"/>
  </w:style>
  <w:style w:type="character" w:customStyle="1" w:styleId="Heading1Char">
    <w:name w:val="Heading 1 Char"/>
    <w:basedOn w:val="DefaultParagraphFont"/>
    <w:link w:val="Heading1"/>
    <w:uiPriority w:val="9"/>
    <w:rsid w:val="00780807"/>
    <w:rPr>
      <w:rFonts w:asciiTheme="majorHAnsi" w:eastAsiaTheme="majorEastAsia" w:hAnsiTheme="majorHAnsi" w:cstheme="majorBidi"/>
      <w:color w:val="2F5496" w:themeColor="accent1" w:themeShade="BF"/>
      <w:sz w:val="32"/>
      <w:szCs w:val="32"/>
    </w:rPr>
  </w:style>
  <w:style w:type="paragraph" w:styleId="FootnoteText">
    <w:name w:val="footnote text"/>
    <w:aliases w:val="Texto nota pie Car Car,Car,Texto nota pie Car Car Car Car,Texto nota pie1,ft,single space,fn,FOOTNOTES,Texto nota pie Car Car Car Car Car Car,Texto nota pie Car Car Car Car Car Car Car,Texto nota pie Car Car Car Car Car Car Ca,Char, Car,f"/>
    <w:basedOn w:val="Normal"/>
    <w:link w:val="FootnoteTextChar"/>
    <w:uiPriority w:val="99"/>
    <w:unhideWhenUsed/>
    <w:rsid w:val="00780807"/>
    <w:rPr>
      <w:sz w:val="20"/>
      <w:szCs w:val="20"/>
    </w:rPr>
  </w:style>
  <w:style w:type="character" w:customStyle="1" w:styleId="FootnoteTextChar">
    <w:name w:val="Footnote Text Char"/>
    <w:aliases w:val="Texto nota pie Car Car Char,Car Char,Texto nota pie Car Car Car Car Char,Texto nota pie1 Char,ft Char,single space Char,fn Char,FOOTNOTES Char,Texto nota pie Car Car Car Car Car Car Char,Texto nota pie Car Car Car Car Car Car Car Char"/>
    <w:basedOn w:val="DefaultParagraphFont"/>
    <w:link w:val="FootnoteText"/>
    <w:uiPriority w:val="99"/>
    <w:rsid w:val="00780807"/>
    <w:rPr>
      <w:sz w:val="20"/>
      <w:szCs w:val="20"/>
    </w:rPr>
  </w:style>
  <w:style w:type="character" w:styleId="FootnoteReference">
    <w:name w:val="footnote reference"/>
    <w:aliases w:val="ftref,16 Point,Superscript 6 Point,BVI fnr,Appel note de bas de p,Footnote Reference1,Ref,de nota al pie,referencia nota al pie,Texto de nota al pie,Ref. de nota al pie2,Nota de pie,Footnote symbol,Footnote,Pie de pagina,Nota a pie"/>
    <w:basedOn w:val="DefaultParagraphFont"/>
    <w:link w:val="FootnotesymbolCarZchnZchn"/>
    <w:uiPriority w:val="99"/>
    <w:unhideWhenUsed/>
    <w:qFormat/>
    <w:rsid w:val="00780807"/>
    <w:rPr>
      <w:vertAlign w:val="superscript"/>
    </w:rPr>
  </w:style>
  <w:style w:type="paragraph" w:customStyle="1" w:styleId="FootnotesymbolCarZchnZchn">
    <w:name w:val="Footnote symbol Car Zchn Zchn"/>
    <w:aliases w:val="Footnote Car Zchn Zchn,Times 10 Point Car Zchn Zchn,Exposant 3 Point Car Zchn Zchn,Footnote Reference Superscript Car Zchn Zchn,Char Char Char Char Char Car Zchn Zchn,BVI fnr Car Zchn Zchn,4_G"/>
    <w:basedOn w:val="Normal"/>
    <w:link w:val="FootnoteReference"/>
    <w:uiPriority w:val="99"/>
    <w:rsid w:val="00780807"/>
    <w:pPr>
      <w:suppressAutoHyphens/>
      <w:spacing w:line="240" w:lineRule="exact"/>
      <w:jc w:val="both"/>
    </w:pPr>
    <w:rPr>
      <w:vertAlign w:val="superscript"/>
    </w:rPr>
  </w:style>
  <w:style w:type="paragraph" w:styleId="ListParagraph">
    <w:name w:val="List Paragraph"/>
    <w:basedOn w:val="Normal"/>
    <w:uiPriority w:val="34"/>
    <w:qFormat/>
    <w:rsid w:val="00780807"/>
    <w:pPr>
      <w:ind w:left="720"/>
      <w:contextualSpacing/>
    </w:pPr>
  </w:style>
  <w:style w:type="paragraph" w:styleId="NormalWeb">
    <w:name w:val="Normal (Web)"/>
    <w:basedOn w:val="Normal"/>
    <w:uiPriority w:val="99"/>
    <w:unhideWhenUsed/>
    <w:rsid w:val="007E2FE7"/>
    <w:pPr>
      <w:spacing w:before="100" w:beforeAutospacing="1" w:after="100" w:afterAutospacing="1"/>
    </w:pPr>
    <w:rPr>
      <w:rFonts w:ascii="Times New Roman" w:eastAsia="Times New Roman" w:hAnsi="Times New Roman" w:cs="Times New Roman"/>
      <w:lang w:eastAsia="es-GT"/>
    </w:rPr>
  </w:style>
  <w:style w:type="character" w:customStyle="1" w:styleId="Heading2Char">
    <w:name w:val="Heading 2 Char"/>
    <w:basedOn w:val="DefaultParagraphFont"/>
    <w:link w:val="Heading2"/>
    <w:uiPriority w:val="9"/>
    <w:rsid w:val="00183044"/>
    <w:rPr>
      <w:rFonts w:ascii="Times New Roman" w:eastAsiaTheme="majorEastAsia" w:hAnsi="Times New Roman" w:cs="Times New Roman"/>
      <w:color w:val="2F5496" w:themeColor="accent1" w:themeShade="BF"/>
      <w:sz w:val="26"/>
      <w:szCs w:val="26"/>
    </w:rPr>
  </w:style>
  <w:style w:type="character" w:customStyle="1" w:styleId="apple-tab-span">
    <w:name w:val="apple-tab-span"/>
    <w:basedOn w:val="DefaultParagraphFont"/>
    <w:rsid w:val="000940C3"/>
  </w:style>
  <w:style w:type="character" w:styleId="Hyperlink">
    <w:name w:val="Hyperlink"/>
    <w:basedOn w:val="DefaultParagraphFont"/>
    <w:uiPriority w:val="99"/>
    <w:unhideWhenUsed/>
    <w:rsid w:val="002D3E15"/>
    <w:rPr>
      <w:color w:val="0563C1" w:themeColor="hyperlink"/>
      <w:u w:val="single"/>
    </w:rPr>
  </w:style>
  <w:style w:type="character" w:customStyle="1" w:styleId="Mencinsinresolver1">
    <w:name w:val="Mención sin resolver1"/>
    <w:basedOn w:val="DefaultParagraphFont"/>
    <w:uiPriority w:val="99"/>
    <w:semiHidden/>
    <w:unhideWhenUsed/>
    <w:rsid w:val="0076550D"/>
    <w:rPr>
      <w:color w:val="605E5C"/>
      <w:shd w:val="clear" w:color="auto" w:fill="E1DFDD"/>
    </w:rPr>
  </w:style>
  <w:style w:type="character" w:styleId="FollowedHyperlink">
    <w:name w:val="FollowedHyperlink"/>
    <w:basedOn w:val="DefaultParagraphFont"/>
    <w:uiPriority w:val="99"/>
    <w:semiHidden/>
    <w:unhideWhenUsed/>
    <w:rsid w:val="0076550D"/>
    <w:rPr>
      <w:color w:val="954F72" w:themeColor="followedHyperlink"/>
      <w:u w:val="single"/>
    </w:rPr>
  </w:style>
  <w:style w:type="table" w:styleId="TableGrid">
    <w:name w:val="Table Grid"/>
    <w:basedOn w:val="TableNormal"/>
    <w:uiPriority w:val="39"/>
    <w:rsid w:val="000127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915723">
      <w:bodyDiv w:val="1"/>
      <w:marLeft w:val="0"/>
      <w:marRight w:val="0"/>
      <w:marTop w:val="0"/>
      <w:marBottom w:val="0"/>
      <w:divBdr>
        <w:top w:val="none" w:sz="0" w:space="0" w:color="auto"/>
        <w:left w:val="none" w:sz="0" w:space="0" w:color="auto"/>
        <w:bottom w:val="none" w:sz="0" w:space="0" w:color="auto"/>
        <w:right w:val="none" w:sz="0" w:space="0" w:color="auto"/>
      </w:divBdr>
    </w:div>
    <w:div w:id="57637462">
      <w:bodyDiv w:val="1"/>
      <w:marLeft w:val="0"/>
      <w:marRight w:val="0"/>
      <w:marTop w:val="0"/>
      <w:marBottom w:val="0"/>
      <w:divBdr>
        <w:top w:val="none" w:sz="0" w:space="0" w:color="auto"/>
        <w:left w:val="none" w:sz="0" w:space="0" w:color="auto"/>
        <w:bottom w:val="none" w:sz="0" w:space="0" w:color="auto"/>
        <w:right w:val="none" w:sz="0" w:space="0" w:color="auto"/>
      </w:divBdr>
    </w:div>
    <w:div w:id="67658244">
      <w:bodyDiv w:val="1"/>
      <w:marLeft w:val="0"/>
      <w:marRight w:val="0"/>
      <w:marTop w:val="0"/>
      <w:marBottom w:val="0"/>
      <w:divBdr>
        <w:top w:val="none" w:sz="0" w:space="0" w:color="auto"/>
        <w:left w:val="none" w:sz="0" w:space="0" w:color="auto"/>
        <w:bottom w:val="none" w:sz="0" w:space="0" w:color="auto"/>
        <w:right w:val="none" w:sz="0" w:space="0" w:color="auto"/>
      </w:divBdr>
    </w:div>
    <w:div w:id="113716027">
      <w:bodyDiv w:val="1"/>
      <w:marLeft w:val="0"/>
      <w:marRight w:val="0"/>
      <w:marTop w:val="0"/>
      <w:marBottom w:val="0"/>
      <w:divBdr>
        <w:top w:val="none" w:sz="0" w:space="0" w:color="auto"/>
        <w:left w:val="none" w:sz="0" w:space="0" w:color="auto"/>
        <w:bottom w:val="none" w:sz="0" w:space="0" w:color="auto"/>
        <w:right w:val="none" w:sz="0" w:space="0" w:color="auto"/>
      </w:divBdr>
    </w:div>
    <w:div w:id="182672612">
      <w:bodyDiv w:val="1"/>
      <w:marLeft w:val="0"/>
      <w:marRight w:val="0"/>
      <w:marTop w:val="0"/>
      <w:marBottom w:val="0"/>
      <w:divBdr>
        <w:top w:val="none" w:sz="0" w:space="0" w:color="auto"/>
        <w:left w:val="none" w:sz="0" w:space="0" w:color="auto"/>
        <w:bottom w:val="none" w:sz="0" w:space="0" w:color="auto"/>
        <w:right w:val="none" w:sz="0" w:space="0" w:color="auto"/>
      </w:divBdr>
    </w:div>
    <w:div w:id="190535619">
      <w:bodyDiv w:val="1"/>
      <w:marLeft w:val="0"/>
      <w:marRight w:val="0"/>
      <w:marTop w:val="0"/>
      <w:marBottom w:val="0"/>
      <w:divBdr>
        <w:top w:val="none" w:sz="0" w:space="0" w:color="auto"/>
        <w:left w:val="none" w:sz="0" w:space="0" w:color="auto"/>
        <w:bottom w:val="none" w:sz="0" w:space="0" w:color="auto"/>
        <w:right w:val="none" w:sz="0" w:space="0" w:color="auto"/>
      </w:divBdr>
    </w:div>
    <w:div w:id="268321349">
      <w:bodyDiv w:val="1"/>
      <w:marLeft w:val="0"/>
      <w:marRight w:val="0"/>
      <w:marTop w:val="0"/>
      <w:marBottom w:val="0"/>
      <w:divBdr>
        <w:top w:val="none" w:sz="0" w:space="0" w:color="auto"/>
        <w:left w:val="none" w:sz="0" w:space="0" w:color="auto"/>
        <w:bottom w:val="none" w:sz="0" w:space="0" w:color="auto"/>
        <w:right w:val="none" w:sz="0" w:space="0" w:color="auto"/>
      </w:divBdr>
    </w:div>
    <w:div w:id="340546816">
      <w:bodyDiv w:val="1"/>
      <w:marLeft w:val="0"/>
      <w:marRight w:val="0"/>
      <w:marTop w:val="0"/>
      <w:marBottom w:val="0"/>
      <w:divBdr>
        <w:top w:val="none" w:sz="0" w:space="0" w:color="auto"/>
        <w:left w:val="none" w:sz="0" w:space="0" w:color="auto"/>
        <w:bottom w:val="none" w:sz="0" w:space="0" w:color="auto"/>
        <w:right w:val="none" w:sz="0" w:space="0" w:color="auto"/>
      </w:divBdr>
    </w:div>
    <w:div w:id="465006765">
      <w:bodyDiv w:val="1"/>
      <w:marLeft w:val="0"/>
      <w:marRight w:val="0"/>
      <w:marTop w:val="0"/>
      <w:marBottom w:val="0"/>
      <w:divBdr>
        <w:top w:val="none" w:sz="0" w:space="0" w:color="auto"/>
        <w:left w:val="none" w:sz="0" w:space="0" w:color="auto"/>
        <w:bottom w:val="none" w:sz="0" w:space="0" w:color="auto"/>
        <w:right w:val="none" w:sz="0" w:space="0" w:color="auto"/>
      </w:divBdr>
    </w:div>
    <w:div w:id="502748880">
      <w:bodyDiv w:val="1"/>
      <w:marLeft w:val="0"/>
      <w:marRight w:val="0"/>
      <w:marTop w:val="0"/>
      <w:marBottom w:val="0"/>
      <w:divBdr>
        <w:top w:val="none" w:sz="0" w:space="0" w:color="auto"/>
        <w:left w:val="none" w:sz="0" w:space="0" w:color="auto"/>
        <w:bottom w:val="none" w:sz="0" w:space="0" w:color="auto"/>
        <w:right w:val="none" w:sz="0" w:space="0" w:color="auto"/>
      </w:divBdr>
    </w:div>
    <w:div w:id="505288950">
      <w:bodyDiv w:val="1"/>
      <w:marLeft w:val="0"/>
      <w:marRight w:val="0"/>
      <w:marTop w:val="0"/>
      <w:marBottom w:val="0"/>
      <w:divBdr>
        <w:top w:val="none" w:sz="0" w:space="0" w:color="auto"/>
        <w:left w:val="none" w:sz="0" w:space="0" w:color="auto"/>
        <w:bottom w:val="none" w:sz="0" w:space="0" w:color="auto"/>
        <w:right w:val="none" w:sz="0" w:space="0" w:color="auto"/>
      </w:divBdr>
      <w:divsChild>
        <w:div w:id="1467971223">
          <w:marLeft w:val="-108"/>
          <w:marRight w:val="0"/>
          <w:marTop w:val="0"/>
          <w:marBottom w:val="0"/>
          <w:divBdr>
            <w:top w:val="none" w:sz="0" w:space="0" w:color="auto"/>
            <w:left w:val="none" w:sz="0" w:space="0" w:color="auto"/>
            <w:bottom w:val="none" w:sz="0" w:space="0" w:color="auto"/>
            <w:right w:val="none" w:sz="0" w:space="0" w:color="auto"/>
          </w:divBdr>
        </w:div>
      </w:divsChild>
    </w:div>
    <w:div w:id="519205046">
      <w:bodyDiv w:val="1"/>
      <w:marLeft w:val="0"/>
      <w:marRight w:val="0"/>
      <w:marTop w:val="0"/>
      <w:marBottom w:val="0"/>
      <w:divBdr>
        <w:top w:val="none" w:sz="0" w:space="0" w:color="auto"/>
        <w:left w:val="none" w:sz="0" w:space="0" w:color="auto"/>
        <w:bottom w:val="none" w:sz="0" w:space="0" w:color="auto"/>
        <w:right w:val="none" w:sz="0" w:space="0" w:color="auto"/>
      </w:divBdr>
    </w:div>
    <w:div w:id="697119569">
      <w:bodyDiv w:val="1"/>
      <w:marLeft w:val="0"/>
      <w:marRight w:val="0"/>
      <w:marTop w:val="0"/>
      <w:marBottom w:val="0"/>
      <w:divBdr>
        <w:top w:val="none" w:sz="0" w:space="0" w:color="auto"/>
        <w:left w:val="none" w:sz="0" w:space="0" w:color="auto"/>
        <w:bottom w:val="none" w:sz="0" w:space="0" w:color="auto"/>
        <w:right w:val="none" w:sz="0" w:space="0" w:color="auto"/>
      </w:divBdr>
    </w:div>
    <w:div w:id="721440871">
      <w:bodyDiv w:val="1"/>
      <w:marLeft w:val="0"/>
      <w:marRight w:val="0"/>
      <w:marTop w:val="0"/>
      <w:marBottom w:val="0"/>
      <w:divBdr>
        <w:top w:val="none" w:sz="0" w:space="0" w:color="auto"/>
        <w:left w:val="none" w:sz="0" w:space="0" w:color="auto"/>
        <w:bottom w:val="none" w:sz="0" w:space="0" w:color="auto"/>
        <w:right w:val="none" w:sz="0" w:space="0" w:color="auto"/>
      </w:divBdr>
    </w:div>
    <w:div w:id="822742977">
      <w:bodyDiv w:val="1"/>
      <w:marLeft w:val="0"/>
      <w:marRight w:val="0"/>
      <w:marTop w:val="0"/>
      <w:marBottom w:val="0"/>
      <w:divBdr>
        <w:top w:val="none" w:sz="0" w:space="0" w:color="auto"/>
        <w:left w:val="none" w:sz="0" w:space="0" w:color="auto"/>
        <w:bottom w:val="none" w:sz="0" w:space="0" w:color="auto"/>
        <w:right w:val="none" w:sz="0" w:space="0" w:color="auto"/>
      </w:divBdr>
    </w:div>
    <w:div w:id="837383868">
      <w:bodyDiv w:val="1"/>
      <w:marLeft w:val="0"/>
      <w:marRight w:val="0"/>
      <w:marTop w:val="0"/>
      <w:marBottom w:val="0"/>
      <w:divBdr>
        <w:top w:val="none" w:sz="0" w:space="0" w:color="auto"/>
        <w:left w:val="none" w:sz="0" w:space="0" w:color="auto"/>
        <w:bottom w:val="none" w:sz="0" w:space="0" w:color="auto"/>
        <w:right w:val="none" w:sz="0" w:space="0" w:color="auto"/>
      </w:divBdr>
      <w:divsChild>
        <w:div w:id="415442327">
          <w:marLeft w:val="-108"/>
          <w:marRight w:val="0"/>
          <w:marTop w:val="0"/>
          <w:marBottom w:val="0"/>
          <w:divBdr>
            <w:top w:val="none" w:sz="0" w:space="0" w:color="auto"/>
            <w:left w:val="none" w:sz="0" w:space="0" w:color="auto"/>
            <w:bottom w:val="none" w:sz="0" w:space="0" w:color="auto"/>
            <w:right w:val="none" w:sz="0" w:space="0" w:color="auto"/>
          </w:divBdr>
        </w:div>
      </w:divsChild>
    </w:div>
    <w:div w:id="846166146">
      <w:bodyDiv w:val="1"/>
      <w:marLeft w:val="0"/>
      <w:marRight w:val="0"/>
      <w:marTop w:val="0"/>
      <w:marBottom w:val="0"/>
      <w:divBdr>
        <w:top w:val="none" w:sz="0" w:space="0" w:color="auto"/>
        <w:left w:val="none" w:sz="0" w:space="0" w:color="auto"/>
        <w:bottom w:val="none" w:sz="0" w:space="0" w:color="auto"/>
        <w:right w:val="none" w:sz="0" w:space="0" w:color="auto"/>
      </w:divBdr>
    </w:div>
    <w:div w:id="920599468">
      <w:bodyDiv w:val="1"/>
      <w:marLeft w:val="0"/>
      <w:marRight w:val="0"/>
      <w:marTop w:val="0"/>
      <w:marBottom w:val="0"/>
      <w:divBdr>
        <w:top w:val="none" w:sz="0" w:space="0" w:color="auto"/>
        <w:left w:val="none" w:sz="0" w:space="0" w:color="auto"/>
        <w:bottom w:val="none" w:sz="0" w:space="0" w:color="auto"/>
        <w:right w:val="none" w:sz="0" w:space="0" w:color="auto"/>
      </w:divBdr>
    </w:div>
    <w:div w:id="920985817">
      <w:bodyDiv w:val="1"/>
      <w:marLeft w:val="0"/>
      <w:marRight w:val="0"/>
      <w:marTop w:val="0"/>
      <w:marBottom w:val="0"/>
      <w:divBdr>
        <w:top w:val="none" w:sz="0" w:space="0" w:color="auto"/>
        <w:left w:val="none" w:sz="0" w:space="0" w:color="auto"/>
        <w:bottom w:val="none" w:sz="0" w:space="0" w:color="auto"/>
        <w:right w:val="none" w:sz="0" w:space="0" w:color="auto"/>
      </w:divBdr>
    </w:div>
    <w:div w:id="937493228">
      <w:bodyDiv w:val="1"/>
      <w:marLeft w:val="0"/>
      <w:marRight w:val="0"/>
      <w:marTop w:val="0"/>
      <w:marBottom w:val="0"/>
      <w:divBdr>
        <w:top w:val="none" w:sz="0" w:space="0" w:color="auto"/>
        <w:left w:val="none" w:sz="0" w:space="0" w:color="auto"/>
        <w:bottom w:val="none" w:sz="0" w:space="0" w:color="auto"/>
        <w:right w:val="none" w:sz="0" w:space="0" w:color="auto"/>
      </w:divBdr>
    </w:div>
    <w:div w:id="957491971">
      <w:bodyDiv w:val="1"/>
      <w:marLeft w:val="0"/>
      <w:marRight w:val="0"/>
      <w:marTop w:val="0"/>
      <w:marBottom w:val="0"/>
      <w:divBdr>
        <w:top w:val="none" w:sz="0" w:space="0" w:color="auto"/>
        <w:left w:val="none" w:sz="0" w:space="0" w:color="auto"/>
        <w:bottom w:val="none" w:sz="0" w:space="0" w:color="auto"/>
        <w:right w:val="none" w:sz="0" w:space="0" w:color="auto"/>
      </w:divBdr>
    </w:div>
    <w:div w:id="970135449">
      <w:bodyDiv w:val="1"/>
      <w:marLeft w:val="0"/>
      <w:marRight w:val="0"/>
      <w:marTop w:val="0"/>
      <w:marBottom w:val="0"/>
      <w:divBdr>
        <w:top w:val="none" w:sz="0" w:space="0" w:color="auto"/>
        <w:left w:val="none" w:sz="0" w:space="0" w:color="auto"/>
        <w:bottom w:val="none" w:sz="0" w:space="0" w:color="auto"/>
        <w:right w:val="none" w:sz="0" w:space="0" w:color="auto"/>
      </w:divBdr>
    </w:div>
    <w:div w:id="1015687844">
      <w:bodyDiv w:val="1"/>
      <w:marLeft w:val="0"/>
      <w:marRight w:val="0"/>
      <w:marTop w:val="0"/>
      <w:marBottom w:val="0"/>
      <w:divBdr>
        <w:top w:val="none" w:sz="0" w:space="0" w:color="auto"/>
        <w:left w:val="none" w:sz="0" w:space="0" w:color="auto"/>
        <w:bottom w:val="none" w:sz="0" w:space="0" w:color="auto"/>
        <w:right w:val="none" w:sz="0" w:space="0" w:color="auto"/>
      </w:divBdr>
    </w:div>
    <w:div w:id="1054084480">
      <w:bodyDiv w:val="1"/>
      <w:marLeft w:val="0"/>
      <w:marRight w:val="0"/>
      <w:marTop w:val="0"/>
      <w:marBottom w:val="0"/>
      <w:divBdr>
        <w:top w:val="none" w:sz="0" w:space="0" w:color="auto"/>
        <w:left w:val="none" w:sz="0" w:space="0" w:color="auto"/>
        <w:bottom w:val="none" w:sz="0" w:space="0" w:color="auto"/>
        <w:right w:val="none" w:sz="0" w:space="0" w:color="auto"/>
      </w:divBdr>
    </w:div>
    <w:div w:id="1063796074">
      <w:bodyDiv w:val="1"/>
      <w:marLeft w:val="0"/>
      <w:marRight w:val="0"/>
      <w:marTop w:val="0"/>
      <w:marBottom w:val="0"/>
      <w:divBdr>
        <w:top w:val="none" w:sz="0" w:space="0" w:color="auto"/>
        <w:left w:val="none" w:sz="0" w:space="0" w:color="auto"/>
        <w:bottom w:val="none" w:sz="0" w:space="0" w:color="auto"/>
        <w:right w:val="none" w:sz="0" w:space="0" w:color="auto"/>
      </w:divBdr>
    </w:div>
    <w:div w:id="1069842331">
      <w:bodyDiv w:val="1"/>
      <w:marLeft w:val="0"/>
      <w:marRight w:val="0"/>
      <w:marTop w:val="0"/>
      <w:marBottom w:val="0"/>
      <w:divBdr>
        <w:top w:val="none" w:sz="0" w:space="0" w:color="auto"/>
        <w:left w:val="none" w:sz="0" w:space="0" w:color="auto"/>
        <w:bottom w:val="none" w:sz="0" w:space="0" w:color="auto"/>
        <w:right w:val="none" w:sz="0" w:space="0" w:color="auto"/>
      </w:divBdr>
    </w:div>
    <w:div w:id="1096754566">
      <w:bodyDiv w:val="1"/>
      <w:marLeft w:val="0"/>
      <w:marRight w:val="0"/>
      <w:marTop w:val="0"/>
      <w:marBottom w:val="0"/>
      <w:divBdr>
        <w:top w:val="none" w:sz="0" w:space="0" w:color="auto"/>
        <w:left w:val="none" w:sz="0" w:space="0" w:color="auto"/>
        <w:bottom w:val="none" w:sz="0" w:space="0" w:color="auto"/>
        <w:right w:val="none" w:sz="0" w:space="0" w:color="auto"/>
      </w:divBdr>
    </w:div>
    <w:div w:id="1110130116">
      <w:bodyDiv w:val="1"/>
      <w:marLeft w:val="0"/>
      <w:marRight w:val="0"/>
      <w:marTop w:val="0"/>
      <w:marBottom w:val="0"/>
      <w:divBdr>
        <w:top w:val="none" w:sz="0" w:space="0" w:color="auto"/>
        <w:left w:val="none" w:sz="0" w:space="0" w:color="auto"/>
        <w:bottom w:val="none" w:sz="0" w:space="0" w:color="auto"/>
        <w:right w:val="none" w:sz="0" w:space="0" w:color="auto"/>
      </w:divBdr>
    </w:div>
    <w:div w:id="1124037738">
      <w:bodyDiv w:val="1"/>
      <w:marLeft w:val="0"/>
      <w:marRight w:val="0"/>
      <w:marTop w:val="0"/>
      <w:marBottom w:val="0"/>
      <w:divBdr>
        <w:top w:val="none" w:sz="0" w:space="0" w:color="auto"/>
        <w:left w:val="none" w:sz="0" w:space="0" w:color="auto"/>
        <w:bottom w:val="none" w:sz="0" w:space="0" w:color="auto"/>
        <w:right w:val="none" w:sz="0" w:space="0" w:color="auto"/>
      </w:divBdr>
    </w:div>
    <w:div w:id="1130126067">
      <w:bodyDiv w:val="1"/>
      <w:marLeft w:val="0"/>
      <w:marRight w:val="0"/>
      <w:marTop w:val="0"/>
      <w:marBottom w:val="0"/>
      <w:divBdr>
        <w:top w:val="none" w:sz="0" w:space="0" w:color="auto"/>
        <w:left w:val="none" w:sz="0" w:space="0" w:color="auto"/>
        <w:bottom w:val="none" w:sz="0" w:space="0" w:color="auto"/>
        <w:right w:val="none" w:sz="0" w:space="0" w:color="auto"/>
      </w:divBdr>
    </w:div>
    <w:div w:id="1153641129">
      <w:bodyDiv w:val="1"/>
      <w:marLeft w:val="0"/>
      <w:marRight w:val="0"/>
      <w:marTop w:val="0"/>
      <w:marBottom w:val="0"/>
      <w:divBdr>
        <w:top w:val="none" w:sz="0" w:space="0" w:color="auto"/>
        <w:left w:val="none" w:sz="0" w:space="0" w:color="auto"/>
        <w:bottom w:val="none" w:sz="0" w:space="0" w:color="auto"/>
        <w:right w:val="none" w:sz="0" w:space="0" w:color="auto"/>
      </w:divBdr>
    </w:div>
    <w:div w:id="1174342054">
      <w:bodyDiv w:val="1"/>
      <w:marLeft w:val="0"/>
      <w:marRight w:val="0"/>
      <w:marTop w:val="0"/>
      <w:marBottom w:val="0"/>
      <w:divBdr>
        <w:top w:val="none" w:sz="0" w:space="0" w:color="auto"/>
        <w:left w:val="none" w:sz="0" w:space="0" w:color="auto"/>
        <w:bottom w:val="none" w:sz="0" w:space="0" w:color="auto"/>
        <w:right w:val="none" w:sz="0" w:space="0" w:color="auto"/>
      </w:divBdr>
    </w:div>
    <w:div w:id="1224680869">
      <w:bodyDiv w:val="1"/>
      <w:marLeft w:val="0"/>
      <w:marRight w:val="0"/>
      <w:marTop w:val="0"/>
      <w:marBottom w:val="0"/>
      <w:divBdr>
        <w:top w:val="none" w:sz="0" w:space="0" w:color="auto"/>
        <w:left w:val="none" w:sz="0" w:space="0" w:color="auto"/>
        <w:bottom w:val="none" w:sz="0" w:space="0" w:color="auto"/>
        <w:right w:val="none" w:sz="0" w:space="0" w:color="auto"/>
      </w:divBdr>
    </w:div>
    <w:div w:id="1232807794">
      <w:bodyDiv w:val="1"/>
      <w:marLeft w:val="0"/>
      <w:marRight w:val="0"/>
      <w:marTop w:val="0"/>
      <w:marBottom w:val="0"/>
      <w:divBdr>
        <w:top w:val="none" w:sz="0" w:space="0" w:color="auto"/>
        <w:left w:val="none" w:sz="0" w:space="0" w:color="auto"/>
        <w:bottom w:val="none" w:sz="0" w:space="0" w:color="auto"/>
        <w:right w:val="none" w:sz="0" w:space="0" w:color="auto"/>
      </w:divBdr>
    </w:div>
    <w:div w:id="1244097445">
      <w:bodyDiv w:val="1"/>
      <w:marLeft w:val="0"/>
      <w:marRight w:val="0"/>
      <w:marTop w:val="0"/>
      <w:marBottom w:val="0"/>
      <w:divBdr>
        <w:top w:val="none" w:sz="0" w:space="0" w:color="auto"/>
        <w:left w:val="none" w:sz="0" w:space="0" w:color="auto"/>
        <w:bottom w:val="none" w:sz="0" w:space="0" w:color="auto"/>
        <w:right w:val="none" w:sz="0" w:space="0" w:color="auto"/>
      </w:divBdr>
    </w:div>
    <w:div w:id="1249928873">
      <w:bodyDiv w:val="1"/>
      <w:marLeft w:val="0"/>
      <w:marRight w:val="0"/>
      <w:marTop w:val="0"/>
      <w:marBottom w:val="0"/>
      <w:divBdr>
        <w:top w:val="none" w:sz="0" w:space="0" w:color="auto"/>
        <w:left w:val="none" w:sz="0" w:space="0" w:color="auto"/>
        <w:bottom w:val="none" w:sz="0" w:space="0" w:color="auto"/>
        <w:right w:val="none" w:sz="0" w:space="0" w:color="auto"/>
      </w:divBdr>
    </w:div>
    <w:div w:id="1251356128">
      <w:bodyDiv w:val="1"/>
      <w:marLeft w:val="0"/>
      <w:marRight w:val="0"/>
      <w:marTop w:val="0"/>
      <w:marBottom w:val="0"/>
      <w:divBdr>
        <w:top w:val="none" w:sz="0" w:space="0" w:color="auto"/>
        <w:left w:val="none" w:sz="0" w:space="0" w:color="auto"/>
        <w:bottom w:val="none" w:sz="0" w:space="0" w:color="auto"/>
        <w:right w:val="none" w:sz="0" w:space="0" w:color="auto"/>
      </w:divBdr>
    </w:div>
    <w:div w:id="1251621379">
      <w:bodyDiv w:val="1"/>
      <w:marLeft w:val="0"/>
      <w:marRight w:val="0"/>
      <w:marTop w:val="0"/>
      <w:marBottom w:val="0"/>
      <w:divBdr>
        <w:top w:val="none" w:sz="0" w:space="0" w:color="auto"/>
        <w:left w:val="none" w:sz="0" w:space="0" w:color="auto"/>
        <w:bottom w:val="none" w:sz="0" w:space="0" w:color="auto"/>
        <w:right w:val="none" w:sz="0" w:space="0" w:color="auto"/>
      </w:divBdr>
      <w:divsChild>
        <w:div w:id="893740675">
          <w:marLeft w:val="-108"/>
          <w:marRight w:val="0"/>
          <w:marTop w:val="0"/>
          <w:marBottom w:val="0"/>
          <w:divBdr>
            <w:top w:val="none" w:sz="0" w:space="0" w:color="auto"/>
            <w:left w:val="none" w:sz="0" w:space="0" w:color="auto"/>
            <w:bottom w:val="none" w:sz="0" w:space="0" w:color="auto"/>
            <w:right w:val="none" w:sz="0" w:space="0" w:color="auto"/>
          </w:divBdr>
        </w:div>
      </w:divsChild>
    </w:div>
    <w:div w:id="1264613624">
      <w:bodyDiv w:val="1"/>
      <w:marLeft w:val="0"/>
      <w:marRight w:val="0"/>
      <w:marTop w:val="0"/>
      <w:marBottom w:val="0"/>
      <w:divBdr>
        <w:top w:val="none" w:sz="0" w:space="0" w:color="auto"/>
        <w:left w:val="none" w:sz="0" w:space="0" w:color="auto"/>
        <w:bottom w:val="none" w:sz="0" w:space="0" w:color="auto"/>
        <w:right w:val="none" w:sz="0" w:space="0" w:color="auto"/>
      </w:divBdr>
    </w:div>
    <w:div w:id="1302151743">
      <w:bodyDiv w:val="1"/>
      <w:marLeft w:val="0"/>
      <w:marRight w:val="0"/>
      <w:marTop w:val="0"/>
      <w:marBottom w:val="0"/>
      <w:divBdr>
        <w:top w:val="none" w:sz="0" w:space="0" w:color="auto"/>
        <w:left w:val="none" w:sz="0" w:space="0" w:color="auto"/>
        <w:bottom w:val="none" w:sz="0" w:space="0" w:color="auto"/>
        <w:right w:val="none" w:sz="0" w:space="0" w:color="auto"/>
      </w:divBdr>
    </w:div>
    <w:div w:id="1327199725">
      <w:bodyDiv w:val="1"/>
      <w:marLeft w:val="0"/>
      <w:marRight w:val="0"/>
      <w:marTop w:val="0"/>
      <w:marBottom w:val="0"/>
      <w:divBdr>
        <w:top w:val="none" w:sz="0" w:space="0" w:color="auto"/>
        <w:left w:val="none" w:sz="0" w:space="0" w:color="auto"/>
        <w:bottom w:val="none" w:sz="0" w:space="0" w:color="auto"/>
        <w:right w:val="none" w:sz="0" w:space="0" w:color="auto"/>
      </w:divBdr>
      <w:divsChild>
        <w:div w:id="748885418">
          <w:marLeft w:val="-70"/>
          <w:marRight w:val="0"/>
          <w:marTop w:val="0"/>
          <w:marBottom w:val="0"/>
          <w:divBdr>
            <w:top w:val="none" w:sz="0" w:space="0" w:color="auto"/>
            <w:left w:val="none" w:sz="0" w:space="0" w:color="auto"/>
            <w:bottom w:val="none" w:sz="0" w:space="0" w:color="auto"/>
            <w:right w:val="none" w:sz="0" w:space="0" w:color="auto"/>
          </w:divBdr>
        </w:div>
      </w:divsChild>
    </w:div>
    <w:div w:id="1337999987">
      <w:bodyDiv w:val="1"/>
      <w:marLeft w:val="0"/>
      <w:marRight w:val="0"/>
      <w:marTop w:val="0"/>
      <w:marBottom w:val="0"/>
      <w:divBdr>
        <w:top w:val="none" w:sz="0" w:space="0" w:color="auto"/>
        <w:left w:val="none" w:sz="0" w:space="0" w:color="auto"/>
        <w:bottom w:val="none" w:sz="0" w:space="0" w:color="auto"/>
        <w:right w:val="none" w:sz="0" w:space="0" w:color="auto"/>
      </w:divBdr>
    </w:div>
    <w:div w:id="1338196920">
      <w:bodyDiv w:val="1"/>
      <w:marLeft w:val="0"/>
      <w:marRight w:val="0"/>
      <w:marTop w:val="0"/>
      <w:marBottom w:val="0"/>
      <w:divBdr>
        <w:top w:val="none" w:sz="0" w:space="0" w:color="auto"/>
        <w:left w:val="none" w:sz="0" w:space="0" w:color="auto"/>
        <w:bottom w:val="none" w:sz="0" w:space="0" w:color="auto"/>
        <w:right w:val="none" w:sz="0" w:space="0" w:color="auto"/>
      </w:divBdr>
    </w:div>
    <w:div w:id="1338574836">
      <w:bodyDiv w:val="1"/>
      <w:marLeft w:val="0"/>
      <w:marRight w:val="0"/>
      <w:marTop w:val="0"/>
      <w:marBottom w:val="0"/>
      <w:divBdr>
        <w:top w:val="none" w:sz="0" w:space="0" w:color="auto"/>
        <w:left w:val="none" w:sz="0" w:space="0" w:color="auto"/>
        <w:bottom w:val="none" w:sz="0" w:space="0" w:color="auto"/>
        <w:right w:val="none" w:sz="0" w:space="0" w:color="auto"/>
      </w:divBdr>
    </w:div>
    <w:div w:id="1343357642">
      <w:bodyDiv w:val="1"/>
      <w:marLeft w:val="0"/>
      <w:marRight w:val="0"/>
      <w:marTop w:val="0"/>
      <w:marBottom w:val="0"/>
      <w:divBdr>
        <w:top w:val="none" w:sz="0" w:space="0" w:color="auto"/>
        <w:left w:val="none" w:sz="0" w:space="0" w:color="auto"/>
        <w:bottom w:val="none" w:sz="0" w:space="0" w:color="auto"/>
        <w:right w:val="none" w:sz="0" w:space="0" w:color="auto"/>
      </w:divBdr>
    </w:div>
    <w:div w:id="1358964961">
      <w:bodyDiv w:val="1"/>
      <w:marLeft w:val="0"/>
      <w:marRight w:val="0"/>
      <w:marTop w:val="0"/>
      <w:marBottom w:val="0"/>
      <w:divBdr>
        <w:top w:val="none" w:sz="0" w:space="0" w:color="auto"/>
        <w:left w:val="none" w:sz="0" w:space="0" w:color="auto"/>
        <w:bottom w:val="none" w:sz="0" w:space="0" w:color="auto"/>
        <w:right w:val="none" w:sz="0" w:space="0" w:color="auto"/>
      </w:divBdr>
    </w:div>
    <w:div w:id="1374378422">
      <w:bodyDiv w:val="1"/>
      <w:marLeft w:val="0"/>
      <w:marRight w:val="0"/>
      <w:marTop w:val="0"/>
      <w:marBottom w:val="0"/>
      <w:divBdr>
        <w:top w:val="none" w:sz="0" w:space="0" w:color="auto"/>
        <w:left w:val="none" w:sz="0" w:space="0" w:color="auto"/>
        <w:bottom w:val="none" w:sz="0" w:space="0" w:color="auto"/>
        <w:right w:val="none" w:sz="0" w:space="0" w:color="auto"/>
      </w:divBdr>
    </w:div>
    <w:div w:id="1401169029">
      <w:bodyDiv w:val="1"/>
      <w:marLeft w:val="0"/>
      <w:marRight w:val="0"/>
      <w:marTop w:val="0"/>
      <w:marBottom w:val="0"/>
      <w:divBdr>
        <w:top w:val="none" w:sz="0" w:space="0" w:color="auto"/>
        <w:left w:val="none" w:sz="0" w:space="0" w:color="auto"/>
        <w:bottom w:val="none" w:sz="0" w:space="0" w:color="auto"/>
        <w:right w:val="none" w:sz="0" w:space="0" w:color="auto"/>
      </w:divBdr>
    </w:div>
    <w:div w:id="1411460623">
      <w:bodyDiv w:val="1"/>
      <w:marLeft w:val="0"/>
      <w:marRight w:val="0"/>
      <w:marTop w:val="0"/>
      <w:marBottom w:val="0"/>
      <w:divBdr>
        <w:top w:val="none" w:sz="0" w:space="0" w:color="auto"/>
        <w:left w:val="none" w:sz="0" w:space="0" w:color="auto"/>
        <w:bottom w:val="none" w:sz="0" w:space="0" w:color="auto"/>
        <w:right w:val="none" w:sz="0" w:space="0" w:color="auto"/>
      </w:divBdr>
    </w:div>
    <w:div w:id="1429234823">
      <w:bodyDiv w:val="1"/>
      <w:marLeft w:val="0"/>
      <w:marRight w:val="0"/>
      <w:marTop w:val="0"/>
      <w:marBottom w:val="0"/>
      <w:divBdr>
        <w:top w:val="none" w:sz="0" w:space="0" w:color="auto"/>
        <w:left w:val="none" w:sz="0" w:space="0" w:color="auto"/>
        <w:bottom w:val="none" w:sz="0" w:space="0" w:color="auto"/>
        <w:right w:val="none" w:sz="0" w:space="0" w:color="auto"/>
      </w:divBdr>
    </w:div>
    <w:div w:id="1432553112">
      <w:bodyDiv w:val="1"/>
      <w:marLeft w:val="0"/>
      <w:marRight w:val="0"/>
      <w:marTop w:val="0"/>
      <w:marBottom w:val="0"/>
      <w:divBdr>
        <w:top w:val="none" w:sz="0" w:space="0" w:color="auto"/>
        <w:left w:val="none" w:sz="0" w:space="0" w:color="auto"/>
        <w:bottom w:val="none" w:sz="0" w:space="0" w:color="auto"/>
        <w:right w:val="none" w:sz="0" w:space="0" w:color="auto"/>
      </w:divBdr>
    </w:div>
    <w:div w:id="1457992982">
      <w:bodyDiv w:val="1"/>
      <w:marLeft w:val="0"/>
      <w:marRight w:val="0"/>
      <w:marTop w:val="0"/>
      <w:marBottom w:val="0"/>
      <w:divBdr>
        <w:top w:val="none" w:sz="0" w:space="0" w:color="auto"/>
        <w:left w:val="none" w:sz="0" w:space="0" w:color="auto"/>
        <w:bottom w:val="none" w:sz="0" w:space="0" w:color="auto"/>
        <w:right w:val="none" w:sz="0" w:space="0" w:color="auto"/>
      </w:divBdr>
    </w:div>
    <w:div w:id="1475560368">
      <w:bodyDiv w:val="1"/>
      <w:marLeft w:val="0"/>
      <w:marRight w:val="0"/>
      <w:marTop w:val="0"/>
      <w:marBottom w:val="0"/>
      <w:divBdr>
        <w:top w:val="none" w:sz="0" w:space="0" w:color="auto"/>
        <w:left w:val="none" w:sz="0" w:space="0" w:color="auto"/>
        <w:bottom w:val="none" w:sz="0" w:space="0" w:color="auto"/>
        <w:right w:val="none" w:sz="0" w:space="0" w:color="auto"/>
      </w:divBdr>
    </w:div>
    <w:div w:id="1517188930">
      <w:bodyDiv w:val="1"/>
      <w:marLeft w:val="0"/>
      <w:marRight w:val="0"/>
      <w:marTop w:val="0"/>
      <w:marBottom w:val="0"/>
      <w:divBdr>
        <w:top w:val="none" w:sz="0" w:space="0" w:color="auto"/>
        <w:left w:val="none" w:sz="0" w:space="0" w:color="auto"/>
        <w:bottom w:val="none" w:sz="0" w:space="0" w:color="auto"/>
        <w:right w:val="none" w:sz="0" w:space="0" w:color="auto"/>
      </w:divBdr>
    </w:div>
    <w:div w:id="1548639046">
      <w:bodyDiv w:val="1"/>
      <w:marLeft w:val="0"/>
      <w:marRight w:val="0"/>
      <w:marTop w:val="0"/>
      <w:marBottom w:val="0"/>
      <w:divBdr>
        <w:top w:val="none" w:sz="0" w:space="0" w:color="auto"/>
        <w:left w:val="none" w:sz="0" w:space="0" w:color="auto"/>
        <w:bottom w:val="none" w:sz="0" w:space="0" w:color="auto"/>
        <w:right w:val="none" w:sz="0" w:space="0" w:color="auto"/>
      </w:divBdr>
    </w:div>
    <w:div w:id="1569151066">
      <w:bodyDiv w:val="1"/>
      <w:marLeft w:val="0"/>
      <w:marRight w:val="0"/>
      <w:marTop w:val="0"/>
      <w:marBottom w:val="0"/>
      <w:divBdr>
        <w:top w:val="none" w:sz="0" w:space="0" w:color="auto"/>
        <w:left w:val="none" w:sz="0" w:space="0" w:color="auto"/>
        <w:bottom w:val="none" w:sz="0" w:space="0" w:color="auto"/>
        <w:right w:val="none" w:sz="0" w:space="0" w:color="auto"/>
      </w:divBdr>
      <w:divsChild>
        <w:div w:id="88282072">
          <w:marLeft w:val="-108"/>
          <w:marRight w:val="0"/>
          <w:marTop w:val="0"/>
          <w:marBottom w:val="0"/>
          <w:divBdr>
            <w:top w:val="none" w:sz="0" w:space="0" w:color="auto"/>
            <w:left w:val="none" w:sz="0" w:space="0" w:color="auto"/>
            <w:bottom w:val="none" w:sz="0" w:space="0" w:color="auto"/>
            <w:right w:val="none" w:sz="0" w:space="0" w:color="auto"/>
          </w:divBdr>
        </w:div>
      </w:divsChild>
    </w:div>
    <w:div w:id="1638144315">
      <w:bodyDiv w:val="1"/>
      <w:marLeft w:val="0"/>
      <w:marRight w:val="0"/>
      <w:marTop w:val="0"/>
      <w:marBottom w:val="0"/>
      <w:divBdr>
        <w:top w:val="none" w:sz="0" w:space="0" w:color="auto"/>
        <w:left w:val="none" w:sz="0" w:space="0" w:color="auto"/>
        <w:bottom w:val="none" w:sz="0" w:space="0" w:color="auto"/>
        <w:right w:val="none" w:sz="0" w:space="0" w:color="auto"/>
      </w:divBdr>
    </w:div>
    <w:div w:id="1638225270">
      <w:bodyDiv w:val="1"/>
      <w:marLeft w:val="0"/>
      <w:marRight w:val="0"/>
      <w:marTop w:val="0"/>
      <w:marBottom w:val="0"/>
      <w:divBdr>
        <w:top w:val="none" w:sz="0" w:space="0" w:color="auto"/>
        <w:left w:val="none" w:sz="0" w:space="0" w:color="auto"/>
        <w:bottom w:val="none" w:sz="0" w:space="0" w:color="auto"/>
        <w:right w:val="none" w:sz="0" w:space="0" w:color="auto"/>
      </w:divBdr>
    </w:div>
    <w:div w:id="1676836640">
      <w:bodyDiv w:val="1"/>
      <w:marLeft w:val="0"/>
      <w:marRight w:val="0"/>
      <w:marTop w:val="0"/>
      <w:marBottom w:val="0"/>
      <w:divBdr>
        <w:top w:val="none" w:sz="0" w:space="0" w:color="auto"/>
        <w:left w:val="none" w:sz="0" w:space="0" w:color="auto"/>
        <w:bottom w:val="none" w:sz="0" w:space="0" w:color="auto"/>
        <w:right w:val="none" w:sz="0" w:space="0" w:color="auto"/>
      </w:divBdr>
    </w:div>
    <w:div w:id="1706590085">
      <w:bodyDiv w:val="1"/>
      <w:marLeft w:val="0"/>
      <w:marRight w:val="0"/>
      <w:marTop w:val="0"/>
      <w:marBottom w:val="0"/>
      <w:divBdr>
        <w:top w:val="none" w:sz="0" w:space="0" w:color="auto"/>
        <w:left w:val="none" w:sz="0" w:space="0" w:color="auto"/>
        <w:bottom w:val="none" w:sz="0" w:space="0" w:color="auto"/>
        <w:right w:val="none" w:sz="0" w:space="0" w:color="auto"/>
      </w:divBdr>
    </w:div>
    <w:div w:id="1708794678">
      <w:bodyDiv w:val="1"/>
      <w:marLeft w:val="0"/>
      <w:marRight w:val="0"/>
      <w:marTop w:val="0"/>
      <w:marBottom w:val="0"/>
      <w:divBdr>
        <w:top w:val="none" w:sz="0" w:space="0" w:color="auto"/>
        <w:left w:val="none" w:sz="0" w:space="0" w:color="auto"/>
        <w:bottom w:val="none" w:sz="0" w:space="0" w:color="auto"/>
        <w:right w:val="none" w:sz="0" w:space="0" w:color="auto"/>
      </w:divBdr>
    </w:div>
    <w:div w:id="1720857763">
      <w:bodyDiv w:val="1"/>
      <w:marLeft w:val="0"/>
      <w:marRight w:val="0"/>
      <w:marTop w:val="0"/>
      <w:marBottom w:val="0"/>
      <w:divBdr>
        <w:top w:val="none" w:sz="0" w:space="0" w:color="auto"/>
        <w:left w:val="none" w:sz="0" w:space="0" w:color="auto"/>
        <w:bottom w:val="none" w:sz="0" w:space="0" w:color="auto"/>
        <w:right w:val="none" w:sz="0" w:space="0" w:color="auto"/>
      </w:divBdr>
    </w:div>
    <w:div w:id="1731079951">
      <w:bodyDiv w:val="1"/>
      <w:marLeft w:val="0"/>
      <w:marRight w:val="0"/>
      <w:marTop w:val="0"/>
      <w:marBottom w:val="0"/>
      <w:divBdr>
        <w:top w:val="none" w:sz="0" w:space="0" w:color="auto"/>
        <w:left w:val="none" w:sz="0" w:space="0" w:color="auto"/>
        <w:bottom w:val="none" w:sz="0" w:space="0" w:color="auto"/>
        <w:right w:val="none" w:sz="0" w:space="0" w:color="auto"/>
      </w:divBdr>
    </w:div>
    <w:div w:id="1753120094">
      <w:bodyDiv w:val="1"/>
      <w:marLeft w:val="0"/>
      <w:marRight w:val="0"/>
      <w:marTop w:val="0"/>
      <w:marBottom w:val="0"/>
      <w:divBdr>
        <w:top w:val="none" w:sz="0" w:space="0" w:color="auto"/>
        <w:left w:val="none" w:sz="0" w:space="0" w:color="auto"/>
        <w:bottom w:val="none" w:sz="0" w:space="0" w:color="auto"/>
        <w:right w:val="none" w:sz="0" w:space="0" w:color="auto"/>
      </w:divBdr>
    </w:div>
    <w:div w:id="1790512845">
      <w:bodyDiv w:val="1"/>
      <w:marLeft w:val="0"/>
      <w:marRight w:val="0"/>
      <w:marTop w:val="0"/>
      <w:marBottom w:val="0"/>
      <w:divBdr>
        <w:top w:val="none" w:sz="0" w:space="0" w:color="auto"/>
        <w:left w:val="none" w:sz="0" w:space="0" w:color="auto"/>
        <w:bottom w:val="none" w:sz="0" w:space="0" w:color="auto"/>
        <w:right w:val="none" w:sz="0" w:space="0" w:color="auto"/>
      </w:divBdr>
    </w:div>
    <w:div w:id="1838303269">
      <w:bodyDiv w:val="1"/>
      <w:marLeft w:val="0"/>
      <w:marRight w:val="0"/>
      <w:marTop w:val="0"/>
      <w:marBottom w:val="0"/>
      <w:divBdr>
        <w:top w:val="none" w:sz="0" w:space="0" w:color="auto"/>
        <w:left w:val="none" w:sz="0" w:space="0" w:color="auto"/>
        <w:bottom w:val="none" w:sz="0" w:space="0" w:color="auto"/>
        <w:right w:val="none" w:sz="0" w:space="0" w:color="auto"/>
      </w:divBdr>
    </w:div>
    <w:div w:id="1844782011">
      <w:bodyDiv w:val="1"/>
      <w:marLeft w:val="0"/>
      <w:marRight w:val="0"/>
      <w:marTop w:val="0"/>
      <w:marBottom w:val="0"/>
      <w:divBdr>
        <w:top w:val="none" w:sz="0" w:space="0" w:color="auto"/>
        <w:left w:val="none" w:sz="0" w:space="0" w:color="auto"/>
        <w:bottom w:val="none" w:sz="0" w:space="0" w:color="auto"/>
        <w:right w:val="none" w:sz="0" w:space="0" w:color="auto"/>
      </w:divBdr>
    </w:div>
    <w:div w:id="1866937859">
      <w:bodyDiv w:val="1"/>
      <w:marLeft w:val="0"/>
      <w:marRight w:val="0"/>
      <w:marTop w:val="0"/>
      <w:marBottom w:val="0"/>
      <w:divBdr>
        <w:top w:val="none" w:sz="0" w:space="0" w:color="auto"/>
        <w:left w:val="none" w:sz="0" w:space="0" w:color="auto"/>
        <w:bottom w:val="none" w:sz="0" w:space="0" w:color="auto"/>
        <w:right w:val="none" w:sz="0" w:space="0" w:color="auto"/>
      </w:divBdr>
    </w:div>
    <w:div w:id="1910379656">
      <w:bodyDiv w:val="1"/>
      <w:marLeft w:val="0"/>
      <w:marRight w:val="0"/>
      <w:marTop w:val="0"/>
      <w:marBottom w:val="0"/>
      <w:divBdr>
        <w:top w:val="none" w:sz="0" w:space="0" w:color="auto"/>
        <w:left w:val="none" w:sz="0" w:space="0" w:color="auto"/>
        <w:bottom w:val="none" w:sz="0" w:space="0" w:color="auto"/>
        <w:right w:val="none" w:sz="0" w:space="0" w:color="auto"/>
      </w:divBdr>
    </w:div>
    <w:div w:id="1931814932">
      <w:bodyDiv w:val="1"/>
      <w:marLeft w:val="0"/>
      <w:marRight w:val="0"/>
      <w:marTop w:val="0"/>
      <w:marBottom w:val="0"/>
      <w:divBdr>
        <w:top w:val="none" w:sz="0" w:space="0" w:color="auto"/>
        <w:left w:val="none" w:sz="0" w:space="0" w:color="auto"/>
        <w:bottom w:val="none" w:sz="0" w:space="0" w:color="auto"/>
        <w:right w:val="none" w:sz="0" w:space="0" w:color="auto"/>
      </w:divBdr>
    </w:div>
    <w:div w:id="1955821462">
      <w:bodyDiv w:val="1"/>
      <w:marLeft w:val="0"/>
      <w:marRight w:val="0"/>
      <w:marTop w:val="0"/>
      <w:marBottom w:val="0"/>
      <w:divBdr>
        <w:top w:val="none" w:sz="0" w:space="0" w:color="auto"/>
        <w:left w:val="none" w:sz="0" w:space="0" w:color="auto"/>
        <w:bottom w:val="none" w:sz="0" w:space="0" w:color="auto"/>
        <w:right w:val="none" w:sz="0" w:space="0" w:color="auto"/>
      </w:divBdr>
    </w:div>
    <w:div w:id="1968925846">
      <w:bodyDiv w:val="1"/>
      <w:marLeft w:val="0"/>
      <w:marRight w:val="0"/>
      <w:marTop w:val="0"/>
      <w:marBottom w:val="0"/>
      <w:divBdr>
        <w:top w:val="none" w:sz="0" w:space="0" w:color="auto"/>
        <w:left w:val="none" w:sz="0" w:space="0" w:color="auto"/>
        <w:bottom w:val="none" w:sz="0" w:space="0" w:color="auto"/>
        <w:right w:val="none" w:sz="0" w:space="0" w:color="auto"/>
      </w:divBdr>
    </w:div>
    <w:div w:id="200620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7.emf"/><Relationship Id="rId1" Type="http://schemas.openxmlformats.org/officeDocument/2006/relationships/image" Target="media/image6.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79E0255-6446-4C9E-B279-B99831B12F59}">
  <ds:schemaRefs>
    <ds:schemaRef ds:uri="http://schemas.openxmlformats.org/officeDocument/2006/bibliography"/>
  </ds:schemaRefs>
</ds:datastoreItem>
</file>

<file path=customXml/itemProps2.xml><?xml version="1.0" encoding="utf-8"?>
<ds:datastoreItem xmlns:ds="http://schemas.openxmlformats.org/officeDocument/2006/customXml" ds:itemID="{5F0BCD19-792B-4F00-B86D-97D95E96313D}"/>
</file>

<file path=customXml/itemProps3.xml><?xml version="1.0" encoding="utf-8"?>
<ds:datastoreItem xmlns:ds="http://schemas.openxmlformats.org/officeDocument/2006/customXml" ds:itemID="{25D40A20-F451-4512-B169-821BC3FC4FDC}"/>
</file>

<file path=customXml/itemProps4.xml><?xml version="1.0" encoding="utf-8"?>
<ds:datastoreItem xmlns:ds="http://schemas.openxmlformats.org/officeDocument/2006/customXml" ds:itemID="{866BAB17-61C7-445D-BA29-7C52E0CEF34D}"/>
</file>

<file path=docProps/app.xml><?xml version="1.0" encoding="utf-8"?>
<Properties xmlns="http://schemas.openxmlformats.org/officeDocument/2006/extended-properties" xmlns:vt="http://schemas.openxmlformats.org/officeDocument/2006/docPropsVTypes">
  <Template>Normal.dotm</Template>
  <TotalTime>1</TotalTime>
  <Pages>19</Pages>
  <Words>6936</Words>
  <Characters>39540</Characters>
  <Application>Microsoft Office Word</Application>
  <DocSecurity>4</DocSecurity>
  <Lines>329</Lines>
  <Paragraphs>92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46384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Direccion Sistemas de Informacion y Estadisticas3</dc:creator>
  <cp:keywords/>
  <dc:description/>
  <cp:lastModifiedBy>Barbora Zamrska</cp:lastModifiedBy>
  <cp:revision>2</cp:revision>
  <dcterms:created xsi:type="dcterms:W3CDTF">2021-04-29T13:09:00Z</dcterms:created>
  <dcterms:modified xsi:type="dcterms:W3CDTF">2021-04-29T13:09:00Z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