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1A" w:rsidRDefault="006D3457" w:rsidP="005C00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C398A">
        <w:rPr>
          <w:b/>
          <w:sz w:val="32"/>
          <w:szCs w:val="32"/>
        </w:rPr>
        <w:t>T</w:t>
      </w:r>
      <w:r w:rsidRPr="005C0016">
        <w:rPr>
          <w:sz w:val="32"/>
          <w:szCs w:val="32"/>
        </w:rPr>
        <w:t xml:space="preserve">he </w:t>
      </w:r>
      <w:r w:rsidR="00232F1A">
        <w:rPr>
          <w:sz w:val="32"/>
          <w:szCs w:val="32"/>
        </w:rPr>
        <w:t xml:space="preserve">US </w:t>
      </w:r>
      <w:r w:rsidRPr="00232F1A">
        <w:rPr>
          <w:b/>
          <w:bCs/>
          <w:i/>
          <w:sz w:val="32"/>
          <w:szCs w:val="32"/>
        </w:rPr>
        <w:t>Age Discrimination in Employment Act</w:t>
      </w:r>
      <w:r w:rsidRPr="005C0016">
        <w:rPr>
          <w:sz w:val="32"/>
          <w:szCs w:val="32"/>
        </w:rPr>
        <w:t xml:space="preserve"> </w:t>
      </w:r>
      <w:r w:rsidR="008C398A">
        <w:rPr>
          <w:b/>
          <w:sz w:val="32"/>
          <w:szCs w:val="32"/>
        </w:rPr>
        <w:t>of 1967</w:t>
      </w:r>
      <w:r w:rsidRPr="005C0016">
        <w:rPr>
          <w:b/>
          <w:sz w:val="32"/>
          <w:szCs w:val="32"/>
        </w:rPr>
        <w:t xml:space="preserve"> (ADEA)</w:t>
      </w:r>
      <w:r w:rsidR="005C0016">
        <w:rPr>
          <w:b/>
          <w:sz w:val="32"/>
          <w:szCs w:val="32"/>
        </w:rPr>
        <w:t xml:space="preserve"> </w:t>
      </w:r>
    </w:p>
    <w:p w:rsidR="006D3457" w:rsidRDefault="006D3457" w:rsidP="005C0016">
      <w:pPr>
        <w:jc w:val="center"/>
      </w:pPr>
    </w:p>
    <w:p w:rsidR="005C0016" w:rsidRPr="006D3457" w:rsidRDefault="005C0016" w:rsidP="006D3457">
      <w:pPr>
        <w:rPr>
          <w:b/>
          <w:bCs/>
          <w:i/>
        </w:rPr>
      </w:pPr>
    </w:p>
    <w:p w:rsidR="002A4161" w:rsidRDefault="00044E1A" w:rsidP="006D3457">
      <w:pPr>
        <w:rPr>
          <w:bCs/>
        </w:rPr>
      </w:pPr>
      <w:r>
        <w:rPr>
          <w:bCs/>
        </w:rPr>
        <w:t>ADEA</w:t>
      </w:r>
      <w:r w:rsidR="006D3457">
        <w:rPr>
          <w:bCs/>
        </w:rPr>
        <w:t xml:space="preserve"> prohibits</w:t>
      </w:r>
      <w:r w:rsidR="006D3457" w:rsidRPr="005028DB">
        <w:rPr>
          <w:bCs/>
        </w:rPr>
        <w:t xml:space="preserve"> </w:t>
      </w:r>
      <w:hyperlink r:id="rId6" w:tooltip="Employment" w:history="1">
        <w:r w:rsidR="006D3457" w:rsidRPr="001C2DC3">
          <w:rPr>
            <w:rStyle w:val="Hyperlink"/>
            <w:bCs/>
            <w:color w:val="auto"/>
            <w:u w:val="none"/>
          </w:rPr>
          <w:t>employment</w:t>
        </w:r>
      </w:hyperlink>
      <w:r w:rsidR="006D3457" w:rsidRPr="001C2DC3">
        <w:rPr>
          <w:bCs/>
        </w:rPr>
        <w:t xml:space="preserve"> </w:t>
      </w:r>
      <w:hyperlink r:id="rId7" w:tooltip="Discrimination" w:history="1">
        <w:r w:rsidR="006D3457" w:rsidRPr="001C2DC3">
          <w:rPr>
            <w:rStyle w:val="Hyperlink"/>
            <w:bCs/>
            <w:color w:val="auto"/>
            <w:u w:val="none"/>
          </w:rPr>
          <w:t>discrimination</w:t>
        </w:r>
      </w:hyperlink>
      <w:r w:rsidR="006D3457" w:rsidRPr="005028DB">
        <w:rPr>
          <w:bCs/>
        </w:rPr>
        <w:t xml:space="preserve"> against anyone age 40</w:t>
      </w:r>
      <w:r w:rsidR="006D3457">
        <w:rPr>
          <w:bCs/>
        </w:rPr>
        <w:t xml:space="preserve"> </w:t>
      </w:r>
      <w:r w:rsidR="00A70294">
        <w:rPr>
          <w:bCs/>
        </w:rPr>
        <w:t xml:space="preserve">and over </w:t>
      </w:r>
      <w:r w:rsidR="006D3457">
        <w:rPr>
          <w:bCs/>
        </w:rPr>
        <w:t xml:space="preserve">by employers with at least 20 employees. </w:t>
      </w:r>
      <w:r>
        <w:rPr>
          <w:bCs/>
        </w:rPr>
        <w:t xml:space="preserve">It also </w:t>
      </w:r>
      <w:r>
        <w:t>applies to federal, state</w:t>
      </w:r>
      <w:r w:rsidR="00A70294">
        <w:t>, and local government employee,</w:t>
      </w:r>
      <w:r>
        <w:t xml:space="preserve"> labor organizations and employment agencies.</w:t>
      </w:r>
      <w:r>
        <w:rPr>
          <w:bCs/>
        </w:rPr>
        <w:t xml:space="preserve"> ADEA</w:t>
      </w:r>
      <w:r w:rsidR="006D3457">
        <w:rPr>
          <w:bCs/>
        </w:rPr>
        <w:t xml:space="preserve"> </w:t>
      </w:r>
      <w:r w:rsidR="006D3457" w:rsidRPr="001C2DC3">
        <w:rPr>
          <w:bCs/>
        </w:rPr>
        <w:t>specifically prohibits</w:t>
      </w:r>
      <w:r w:rsidR="002A4161">
        <w:rPr>
          <w:bCs/>
        </w:rPr>
        <w:t>:</w:t>
      </w:r>
      <w:r w:rsidR="006D3457">
        <w:rPr>
          <w:bCs/>
        </w:rPr>
        <w:t xml:space="preserve"> </w:t>
      </w:r>
    </w:p>
    <w:p w:rsidR="002A4161" w:rsidRDefault="006D3457" w:rsidP="002A4161">
      <w:pPr>
        <w:pStyle w:val="ListParagraph"/>
        <w:numPr>
          <w:ilvl w:val="0"/>
          <w:numId w:val="2"/>
        </w:numPr>
        <w:rPr>
          <w:bCs/>
        </w:rPr>
      </w:pPr>
      <w:r w:rsidRPr="002A4161">
        <w:rPr>
          <w:bCs/>
        </w:rPr>
        <w:t xml:space="preserve">discrimination in </w:t>
      </w:r>
      <w:hyperlink r:id="rId8" w:tooltip="Hiring" w:history="1">
        <w:r w:rsidRPr="002A4161">
          <w:rPr>
            <w:rStyle w:val="Hyperlink"/>
            <w:bCs/>
            <w:color w:val="auto"/>
            <w:u w:val="none"/>
          </w:rPr>
          <w:t>hiring</w:t>
        </w:r>
      </w:hyperlink>
      <w:r w:rsidRPr="002A4161">
        <w:rPr>
          <w:bCs/>
        </w:rPr>
        <w:t xml:space="preserve">, promotions, wages, </w:t>
      </w:r>
      <w:hyperlink r:id="rId9" w:tooltip="Termination of employment" w:history="1">
        <w:r w:rsidRPr="002A4161">
          <w:rPr>
            <w:rStyle w:val="Hyperlink"/>
            <w:bCs/>
            <w:color w:val="auto"/>
            <w:u w:val="none"/>
          </w:rPr>
          <w:t>termination of employment</w:t>
        </w:r>
      </w:hyperlink>
      <w:r>
        <w:t>,</w:t>
      </w:r>
      <w:r w:rsidRPr="002A4161">
        <w:rPr>
          <w:bCs/>
        </w:rPr>
        <w:t xml:space="preserve"> and </w:t>
      </w:r>
      <w:hyperlink r:id="rId10" w:tooltip="Layoffs" w:history="1">
        <w:r w:rsidRPr="002A4161">
          <w:rPr>
            <w:rStyle w:val="Hyperlink"/>
            <w:bCs/>
            <w:color w:val="auto"/>
            <w:u w:val="none"/>
          </w:rPr>
          <w:t>layoffs</w:t>
        </w:r>
      </w:hyperlink>
      <w:r w:rsidRPr="002A4161">
        <w:rPr>
          <w:bCs/>
        </w:rPr>
        <w:t>;</w:t>
      </w:r>
    </w:p>
    <w:p w:rsidR="002A4161" w:rsidRDefault="006D3457" w:rsidP="002A4161">
      <w:pPr>
        <w:pStyle w:val="ListParagraph"/>
        <w:numPr>
          <w:ilvl w:val="0"/>
          <w:numId w:val="2"/>
        </w:numPr>
        <w:rPr>
          <w:bCs/>
        </w:rPr>
      </w:pPr>
      <w:r w:rsidRPr="002A4161">
        <w:rPr>
          <w:bCs/>
        </w:rPr>
        <w:t xml:space="preserve">statements of age preference and limitations in job notices or advertisements; </w:t>
      </w:r>
    </w:p>
    <w:p w:rsidR="002A4161" w:rsidRDefault="006D3457" w:rsidP="002A4161">
      <w:pPr>
        <w:pStyle w:val="ListParagraph"/>
        <w:numPr>
          <w:ilvl w:val="0"/>
          <w:numId w:val="2"/>
        </w:numPr>
        <w:rPr>
          <w:bCs/>
        </w:rPr>
      </w:pPr>
      <w:proofErr w:type="gramStart"/>
      <w:r w:rsidRPr="002A4161">
        <w:rPr>
          <w:bCs/>
        </w:rPr>
        <w:t>the</w:t>
      </w:r>
      <w:proofErr w:type="gramEnd"/>
      <w:r w:rsidRPr="002A4161">
        <w:rPr>
          <w:bCs/>
        </w:rPr>
        <w:t xml:space="preserve"> denial of benefits to older employee</w:t>
      </w:r>
      <w:r w:rsidR="00044E1A">
        <w:rPr>
          <w:bCs/>
        </w:rPr>
        <w:t>s that are also provided younger worker</w:t>
      </w:r>
      <w:r w:rsidRPr="002A4161">
        <w:rPr>
          <w:bCs/>
        </w:rPr>
        <w:t xml:space="preserve">s.  </w:t>
      </w:r>
    </w:p>
    <w:p w:rsidR="002A4161" w:rsidRDefault="002A4161" w:rsidP="002A4161">
      <w:pPr>
        <w:pStyle w:val="ListParagraph"/>
        <w:rPr>
          <w:bCs/>
        </w:rPr>
      </w:pPr>
    </w:p>
    <w:p w:rsidR="006D3457" w:rsidRPr="002A4161" w:rsidRDefault="005C0016" w:rsidP="002A4161">
      <w:pPr>
        <w:rPr>
          <w:bCs/>
        </w:rPr>
      </w:pPr>
      <w:r w:rsidRPr="002A4161">
        <w:rPr>
          <w:bCs/>
        </w:rPr>
        <w:t>In 1986</w:t>
      </w:r>
      <w:r w:rsidR="006D3457" w:rsidRPr="002A4161">
        <w:rPr>
          <w:bCs/>
        </w:rPr>
        <w:t xml:space="preserve">, ADEA </w:t>
      </w:r>
      <w:r w:rsidR="00A70294">
        <w:rPr>
          <w:bCs/>
        </w:rPr>
        <w:t>prohibited</w:t>
      </w:r>
      <w:r w:rsidR="006D3457" w:rsidRPr="002A4161">
        <w:rPr>
          <w:bCs/>
        </w:rPr>
        <w:t xml:space="preserve"> mandatory retirement in most </w:t>
      </w:r>
      <w:r w:rsidR="00A70294">
        <w:rPr>
          <w:bCs/>
        </w:rPr>
        <w:t>occupation</w:t>
      </w:r>
      <w:r w:rsidR="006D3457" w:rsidRPr="002A4161">
        <w:rPr>
          <w:bCs/>
        </w:rPr>
        <w:t xml:space="preserve">s. ADEA remedies include reinstatement and back pay for the affected </w:t>
      </w:r>
      <w:proofErr w:type="gramStart"/>
      <w:r w:rsidR="006D3457" w:rsidRPr="002A4161">
        <w:rPr>
          <w:bCs/>
        </w:rPr>
        <w:t>employee,</w:t>
      </w:r>
      <w:proofErr w:type="gramEnd"/>
      <w:r w:rsidR="006D3457" w:rsidRPr="002A4161">
        <w:rPr>
          <w:bCs/>
        </w:rPr>
        <w:t xml:space="preserve"> or damages if reins</w:t>
      </w:r>
      <w:r w:rsidRPr="002A4161">
        <w:rPr>
          <w:bCs/>
        </w:rPr>
        <w:t>tatement is not feasible and/or</w:t>
      </w:r>
      <w:r w:rsidR="006D3457" w:rsidRPr="002A4161">
        <w:rPr>
          <w:bCs/>
        </w:rPr>
        <w:t xml:space="preserve"> the employer's violation is intentional. </w:t>
      </w:r>
    </w:p>
    <w:p w:rsidR="006D3457" w:rsidRDefault="006D3457" w:rsidP="006D3457">
      <w:pPr>
        <w:rPr>
          <w:bCs/>
        </w:rPr>
      </w:pPr>
    </w:p>
    <w:p w:rsidR="006D3457" w:rsidRPr="001C2DC3" w:rsidRDefault="006D3457" w:rsidP="006D3457">
      <w:pPr>
        <w:rPr>
          <w:bCs/>
        </w:rPr>
      </w:pPr>
      <w:r w:rsidRPr="009A1582">
        <w:rPr>
          <w:bCs/>
        </w:rPr>
        <w:t xml:space="preserve">The procedural requirements for an ADEA suit are complicated. </w:t>
      </w:r>
      <w:r>
        <w:rPr>
          <w:bCs/>
        </w:rPr>
        <w:t xml:space="preserve">To exercise their rights, older persons must file a charge with the federal Equal Employment Opportunity Commission (EEOC) </w:t>
      </w:r>
      <w:r w:rsidR="00044E1A">
        <w:rPr>
          <w:bCs/>
        </w:rPr>
        <w:t xml:space="preserve">in </w:t>
      </w:r>
      <w:r w:rsidR="002A1F25">
        <w:rPr>
          <w:bCs/>
        </w:rPr>
        <w:t xml:space="preserve">a </w:t>
      </w:r>
      <w:r w:rsidR="00044E1A">
        <w:rPr>
          <w:bCs/>
        </w:rPr>
        <w:t xml:space="preserve">timely </w:t>
      </w:r>
      <w:r w:rsidR="002A1F25">
        <w:rPr>
          <w:bCs/>
        </w:rPr>
        <w:t>manner</w:t>
      </w:r>
      <w:r w:rsidR="00044E1A">
        <w:rPr>
          <w:bCs/>
        </w:rPr>
        <w:t xml:space="preserve"> </w:t>
      </w:r>
      <w:r>
        <w:rPr>
          <w:bCs/>
        </w:rPr>
        <w:t>before suing an employer in federal court for job discrimination. If the EEOC considers the charge valid, it may try to mediate a solution or seek damages on behalf of the client.</w:t>
      </w:r>
    </w:p>
    <w:p w:rsidR="006D3457" w:rsidRDefault="006D3457" w:rsidP="006D3457"/>
    <w:p w:rsidR="00044E1A" w:rsidRPr="00044E1A" w:rsidRDefault="006D3457" w:rsidP="00044E1A">
      <w:pPr>
        <w:rPr>
          <w:bCs/>
        </w:rPr>
      </w:pPr>
      <w:r>
        <w:rPr>
          <w:bCs/>
        </w:rPr>
        <w:t>Many states have also enacted legislation prohibiting age discrimination in employment, some even before the federal statute came into being.</w:t>
      </w:r>
      <w:r w:rsidR="00044E1A">
        <w:rPr>
          <w:bCs/>
        </w:rPr>
        <w:t xml:space="preserve"> Some of these </w:t>
      </w:r>
      <w:r w:rsidR="00044E1A" w:rsidRPr="00044E1A">
        <w:rPr>
          <w:bCs/>
        </w:rPr>
        <w:t>laws may be broader in coverage, e.g., covering smaller firms and more age groups.</w:t>
      </w:r>
    </w:p>
    <w:p w:rsidR="006D3457" w:rsidRDefault="006D3457" w:rsidP="006D3457">
      <w:pPr>
        <w:rPr>
          <w:bCs/>
        </w:rPr>
      </w:pPr>
    </w:p>
    <w:p w:rsidR="006D3457" w:rsidRDefault="006D3457" w:rsidP="006D3457">
      <w:pPr>
        <w:rPr>
          <w:bCs/>
        </w:rPr>
      </w:pPr>
      <w:r>
        <w:rPr>
          <w:bCs/>
        </w:rPr>
        <w:t>A significant study</w:t>
      </w:r>
      <w:r w:rsidR="002A1F25">
        <w:rPr>
          <w:bCs/>
          <w:vertAlign w:val="superscript"/>
        </w:rPr>
        <w:t>1</w:t>
      </w:r>
      <w:r>
        <w:rPr>
          <w:bCs/>
        </w:rPr>
        <w:t xml:space="preserve"> on the effectiveness of ADEA found the following:</w:t>
      </w:r>
    </w:p>
    <w:p w:rsidR="006D3457" w:rsidRPr="007E4816" w:rsidRDefault="00FB3C4E" w:rsidP="00994DA8">
      <w:pPr>
        <w:numPr>
          <w:ilvl w:val="0"/>
          <w:numId w:val="1"/>
        </w:numPr>
      </w:pPr>
      <w:r>
        <w:t xml:space="preserve">While one </w:t>
      </w:r>
      <w:r w:rsidR="006D3457" w:rsidRPr="007E4816">
        <w:t>no longer sees age limits placed in job advertisements</w:t>
      </w:r>
      <w:r>
        <w:t>, the thousands</w:t>
      </w:r>
      <w:r w:rsidR="006D3457" w:rsidRPr="007E4816">
        <w:t xml:space="preserve"> of age discrimination complaints filed every year with </w:t>
      </w:r>
      <w:proofErr w:type="gramStart"/>
      <w:r w:rsidR="006D3457" w:rsidRPr="007E4816">
        <w:t>EEOC,</w:t>
      </w:r>
      <w:proofErr w:type="gramEnd"/>
      <w:r w:rsidR="006D3457" w:rsidRPr="007E4816">
        <w:t xml:space="preserve"> suggest the persistence of </w:t>
      </w:r>
      <w:r>
        <w:t xml:space="preserve">age discrimination. </w:t>
      </w:r>
    </w:p>
    <w:p w:rsidR="006D3457" w:rsidRPr="007E4816" w:rsidRDefault="00FB3C4E" w:rsidP="006D3457">
      <w:pPr>
        <w:numPr>
          <w:ilvl w:val="0"/>
          <w:numId w:val="1"/>
        </w:numPr>
      </w:pPr>
      <w:r>
        <w:t>P</w:t>
      </w:r>
      <w:r w:rsidRPr="007E4816">
        <w:t>erhaps because of the legal difficulties in terminating older workers</w:t>
      </w:r>
      <w:r>
        <w:t>, b</w:t>
      </w:r>
      <w:r w:rsidR="006D3457" w:rsidRPr="007E4816">
        <w:t xml:space="preserve">oth </w:t>
      </w:r>
      <w:r w:rsidR="005C0016">
        <w:t>state</w:t>
      </w:r>
      <w:r w:rsidR="006D3457" w:rsidRPr="007E4816">
        <w:t xml:space="preserve"> and federal legislation against age discrimination </w:t>
      </w:r>
      <w:r>
        <w:t>may have contributed to the expanded</w:t>
      </w:r>
      <w:r w:rsidR="006D3457" w:rsidRPr="007E4816">
        <w:t xml:space="preserve"> </w:t>
      </w:r>
      <w:r w:rsidR="002A4161">
        <w:t>e</w:t>
      </w:r>
      <w:r w:rsidR="006D3457" w:rsidRPr="007E4816">
        <w:t xml:space="preserve">mployment </w:t>
      </w:r>
      <w:r>
        <w:t>of persons</w:t>
      </w:r>
      <w:r w:rsidR="006D3457" w:rsidRPr="007E4816">
        <w:t xml:space="preserve"> over age 60</w:t>
      </w:r>
      <w:r>
        <w:t xml:space="preserve"> years of age in recent decades.</w:t>
      </w:r>
    </w:p>
    <w:p w:rsidR="00BC3417" w:rsidRDefault="00FB3C4E" w:rsidP="00544427">
      <w:pPr>
        <w:numPr>
          <w:ilvl w:val="0"/>
          <w:numId w:val="1"/>
        </w:numPr>
      </w:pPr>
      <w:r>
        <w:t>There is still an open question whether or not ADEA has resulted in a diminution in</w:t>
      </w:r>
      <w:r w:rsidR="006D3457" w:rsidRPr="007E4816">
        <w:t xml:space="preserve"> older worker hiring</w:t>
      </w:r>
      <w:r w:rsidR="005C0016">
        <w:t xml:space="preserve"> </w:t>
      </w:r>
      <w:r w:rsidR="002A1F25">
        <w:t>because of the</w:t>
      </w:r>
      <w:r>
        <w:t xml:space="preserve"> obstacles presented </w:t>
      </w:r>
      <w:r w:rsidR="00A70294">
        <w:t>to</w:t>
      </w:r>
      <w:r>
        <w:t xml:space="preserve"> their</w:t>
      </w:r>
      <w:r w:rsidR="002A1F25">
        <w:t xml:space="preserve"> possible</w:t>
      </w:r>
      <w:r>
        <w:t xml:space="preserve"> termination. </w:t>
      </w:r>
    </w:p>
    <w:p w:rsidR="00FB3C4E" w:rsidRDefault="00FB3C4E" w:rsidP="00FB3C4E">
      <w:pPr>
        <w:ind w:left="720"/>
      </w:pPr>
    </w:p>
    <w:p w:rsidR="00BD27BD" w:rsidRDefault="00BD27BD">
      <w:r>
        <w:rPr>
          <w:i/>
        </w:rPr>
        <w:t xml:space="preserve">Note: </w:t>
      </w:r>
      <w:r>
        <w:t xml:space="preserve">Since this </w:t>
      </w:r>
      <w:r w:rsidR="00CF4FD4">
        <w:t>study was completed</w:t>
      </w:r>
      <w:r>
        <w:t xml:space="preserve">, the US Supreme Court has </w:t>
      </w:r>
      <w:r w:rsidRPr="00FF419E">
        <w:t>raised the burden of proof on employees who bring age discrim</w:t>
      </w:r>
      <w:r w:rsidR="002A1F25">
        <w:t>ination claims under the ADEA. </w:t>
      </w:r>
      <w:r>
        <w:rPr>
          <w:caps/>
        </w:rPr>
        <w:t>A</w:t>
      </w:r>
      <w:r w:rsidRPr="00FF419E">
        <w:t xml:space="preserve"> worker suing under the ADEA must </w:t>
      </w:r>
      <w:r>
        <w:t xml:space="preserve">now </w:t>
      </w:r>
      <w:r w:rsidRPr="00FF419E">
        <w:t xml:space="preserve">satisfy a higher burden of proof </w:t>
      </w:r>
      <w:r w:rsidR="001561EA">
        <w:t>than persons covered by other discrimination legislation</w:t>
      </w:r>
      <w:r w:rsidR="00CF4FD4">
        <w:t xml:space="preserve"> </w:t>
      </w:r>
      <w:r>
        <w:t xml:space="preserve">by proving </w:t>
      </w:r>
      <w:r w:rsidRPr="00FF419E">
        <w:t xml:space="preserve">that age was a decisive factor in how they were treated, rather than </w:t>
      </w:r>
      <w:r>
        <w:t xml:space="preserve">only </w:t>
      </w:r>
      <w:r w:rsidRPr="00FF419E">
        <w:t>one factor</w:t>
      </w:r>
      <w:r>
        <w:t>. Advocacy organizations for older persons are trying to overturn this decision.</w:t>
      </w:r>
    </w:p>
    <w:p w:rsidR="00BD27BD" w:rsidRDefault="00BD27BD"/>
    <w:p w:rsidR="006D3457" w:rsidRDefault="002A1F25" w:rsidP="006D3457">
      <w:pPr>
        <w:rPr>
          <w:rStyle w:val="Hyperlink"/>
          <w:bCs/>
        </w:rPr>
      </w:pPr>
      <w:r w:rsidRPr="002A1F25">
        <w:rPr>
          <w:vertAlign w:val="superscript"/>
        </w:rPr>
        <w:t>1</w:t>
      </w:r>
      <w:r w:rsidR="006D3457">
        <w:t xml:space="preserve">David </w:t>
      </w:r>
      <w:proofErr w:type="spellStart"/>
      <w:r w:rsidR="006D3457">
        <w:t>Neumark</w:t>
      </w:r>
      <w:proofErr w:type="spellEnd"/>
      <w:r w:rsidR="006D3457">
        <w:t xml:space="preserve">, </w:t>
      </w:r>
      <w:r w:rsidR="006D3457" w:rsidRPr="005C0016">
        <w:rPr>
          <w:bCs/>
          <w:i/>
        </w:rPr>
        <w:t>The Age Discrimination in Employment Act and the Challenge of Population Aging</w:t>
      </w:r>
      <w:r w:rsidR="005C0016">
        <w:rPr>
          <w:bCs/>
        </w:rPr>
        <w:t xml:space="preserve">, </w:t>
      </w:r>
      <w:r w:rsidR="005C0016" w:rsidRPr="005C0016">
        <w:rPr>
          <w:bCs/>
        </w:rPr>
        <w:t>NBER Working Paper No. 14317</w:t>
      </w:r>
      <w:r w:rsidR="005C0016">
        <w:rPr>
          <w:b/>
          <w:bCs/>
        </w:rPr>
        <w:t xml:space="preserve">, </w:t>
      </w:r>
      <w:r w:rsidR="005C0016">
        <w:rPr>
          <w:bCs/>
        </w:rPr>
        <w:t xml:space="preserve">September 2008. Available: </w:t>
      </w:r>
      <w:hyperlink r:id="rId11" w:history="1">
        <w:r w:rsidR="005C0016" w:rsidRPr="00257099">
          <w:rPr>
            <w:rStyle w:val="Hyperlink"/>
            <w:bCs/>
          </w:rPr>
          <w:t>http://www.nber.org/papers/w14317</w:t>
        </w:r>
      </w:hyperlink>
    </w:p>
    <w:p w:rsidR="008765A9" w:rsidRDefault="008765A9" w:rsidP="006D3457">
      <w:pPr>
        <w:rPr>
          <w:rStyle w:val="Hyperlink"/>
          <w:bCs/>
        </w:rPr>
      </w:pPr>
    </w:p>
    <w:p w:rsidR="00CF4FD4" w:rsidRDefault="00CF4FD4" w:rsidP="008765A9">
      <w:pPr>
        <w:pStyle w:val="NormalWeb"/>
        <w:rPr>
          <w:rStyle w:val="ms-rtecustom-heading1"/>
          <w:rFonts w:eastAsiaTheme="majorEastAsia"/>
          <w:i/>
        </w:rPr>
      </w:pPr>
    </w:p>
    <w:p w:rsidR="00CF4FD4" w:rsidRPr="00CF4FD4" w:rsidRDefault="00CF4FD4" w:rsidP="00CF4FD4">
      <w:pPr>
        <w:pStyle w:val="NormalWeb"/>
        <w:spacing w:before="0" w:beforeAutospacing="0" w:after="0" w:afterAutospacing="0"/>
        <w:rPr>
          <w:rStyle w:val="ms-rtecustom-heading1"/>
          <w:rFonts w:eastAsiaTheme="majorEastAsia"/>
        </w:rPr>
      </w:pPr>
      <w:r>
        <w:rPr>
          <w:rStyle w:val="ms-rtecustom-heading1"/>
          <w:rFonts w:eastAsiaTheme="majorEastAsia"/>
        </w:rPr>
        <w:lastRenderedPageBreak/>
        <w:t>See also:</w:t>
      </w:r>
    </w:p>
    <w:p w:rsidR="002A1F25" w:rsidRPr="004F646E" w:rsidRDefault="008765A9" w:rsidP="00CF4FD4">
      <w:pPr>
        <w:pStyle w:val="NormalWeb"/>
        <w:spacing w:before="0" w:beforeAutospacing="0" w:after="0" w:afterAutospacing="0"/>
        <w:rPr>
          <w:rStyle w:val="Hyperlink"/>
          <w:lang w:val="fr-FR"/>
        </w:rPr>
      </w:pPr>
      <w:r w:rsidRPr="008765A9">
        <w:rPr>
          <w:rStyle w:val="ms-rtecustom-heading1"/>
          <w:rFonts w:eastAsiaTheme="majorEastAsia"/>
          <w:i/>
        </w:rPr>
        <w:t>Age Discrimination Internationally</w:t>
      </w:r>
      <w:r>
        <w:rPr>
          <w:rStyle w:val="ms-rtecustom-heading1"/>
          <w:rFonts w:eastAsiaTheme="majorEastAsia"/>
        </w:rPr>
        <w:t xml:space="preserve"> – </w:t>
      </w:r>
      <w:r>
        <w:rPr>
          <w:rStyle w:val="ms-rtecustom-heading4"/>
        </w:rPr>
        <w:t xml:space="preserve">USA. </w:t>
      </w:r>
      <w:proofErr w:type="spellStart"/>
      <w:r w:rsidRPr="004F646E">
        <w:rPr>
          <w:rStyle w:val="ms-rtecustom-heading4"/>
          <w:lang w:val="fr-FR"/>
        </w:rPr>
        <w:t>Available</w:t>
      </w:r>
      <w:proofErr w:type="spellEnd"/>
      <w:r w:rsidRPr="004F646E">
        <w:rPr>
          <w:rStyle w:val="ms-rtecustom-heading4"/>
          <w:lang w:val="fr-FR"/>
        </w:rPr>
        <w:t xml:space="preserve">: </w:t>
      </w:r>
      <w:hyperlink r:id="rId12" w:history="1">
        <w:r w:rsidRPr="004F646E">
          <w:rPr>
            <w:rStyle w:val="Hyperlink"/>
            <w:lang w:val="fr-FR"/>
          </w:rPr>
          <w:t>http://www.agediscrimination.info/international/Pages/USA.aspx</w:t>
        </w:r>
      </w:hyperlink>
    </w:p>
    <w:p w:rsidR="00CF4FD4" w:rsidRPr="004F646E" w:rsidRDefault="00CF4FD4" w:rsidP="00CF4FD4">
      <w:pPr>
        <w:pStyle w:val="NormalWeb"/>
        <w:spacing w:before="0" w:beforeAutospacing="0" w:after="0" w:afterAutospacing="0"/>
        <w:rPr>
          <w:rStyle w:val="Hyperlink"/>
          <w:lang w:val="fr-FR"/>
        </w:rPr>
      </w:pPr>
    </w:p>
    <w:p w:rsidR="002A1F25" w:rsidRDefault="002A1F25" w:rsidP="002A1F25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US Equal Employment Opportunity Commission</w:t>
      </w:r>
    </w:p>
    <w:p w:rsidR="002A1F25" w:rsidRDefault="004F646E" w:rsidP="002A1F25">
      <w:pPr>
        <w:pStyle w:val="NormalWeb"/>
        <w:spacing w:before="0" w:beforeAutospacing="0" w:after="0" w:afterAutospacing="0"/>
        <w:rPr>
          <w:rStyle w:val="ms-rtecustom-heading4"/>
        </w:rPr>
      </w:pPr>
      <w:hyperlink r:id="rId13" w:history="1">
        <w:r w:rsidR="002A1F25" w:rsidRPr="006F0CE1">
          <w:rPr>
            <w:rStyle w:val="Hyperlink"/>
          </w:rPr>
          <w:t>http://www.eeoc.gov/laws/types/age.cfm</w:t>
        </w:r>
      </w:hyperlink>
    </w:p>
    <w:p w:rsidR="008765A9" w:rsidRDefault="008765A9" w:rsidP="008765A9">
      <w:pPr>
        <w:pStyle w:val="NormalWeb"/>
      </w:pPr>
      <w:r>
        <w:rPr>
          <w:rStyle w:val="ms-rtecustom-heading4"/>
        </w:rPr>
        <w:t xml:space="preserve">For information </w:t>
      </w:r>
      <w:r w:rsidRPr="008765A9">
        <w:rPr>
          <w:bCs/>
        </w:rPr>
        <w:t>on age discrimination l</w:t>
      </w:r>
      <w:r>
        <w:rPr>
          <w:bCs/>
        </w:rPr>
        <w:t>egislation</w:t>
      </w:r>
      <w:r w:rsidRPr="008765A9">
        <w:rPr>
          <w:bCs/>
        </w:rPr>
        <w:t xml:space="preserve"> in many other</w:t>
      </w:r>
      <w:r>
        <w:rPr>
          <w:bCs/>
        </w:rPr>
        <w:t xml:space="preserve"> countries: </w:t>
      </w:r>
      <w:hyperlink r:id="rId14" w:history="1">
        <w:r w:rsidRPr="008765A9">
          <w:rPr>
            <w:rStyle w:val="Hyperlink"/>
            <w:bCs/>
          </w:rPr>
          <w:t>www.agediscrimination.info/international/Pages/international.aspx.</w:t>
        </w:r>
      </w:hyperlink>
    </w:p>
    <w:p w:rsidR="008765A9" w:rsidRDefault="008765A9" w:rsidP="006D3457">
      <w:pPr>
        <w:rPr>
          <w:bCs/>
        </w:rPr>
      </w:pPr>
    </w:p>
    <w:p w:rsidR="005C0016" w:rsidRPr="005C0016" w:rsidRDefault="005C0016" w:rsidP="006D3457">
      <w:pPr>
        <w:rPr>
          <w:bCs/>
        </w:rPr>
      </w:pPr>
    </w:p>
    <w:p w:rsidR="006D3457" w:rsidRDefault="006D3457"/>
    <w:sectPr w:rsidR="006D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8B3"/>
    <w:multiLevelType w:val="hybridMultilevel"/>
    <w:tmpl w:val="C60E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E1D16"/>
    <w:multiLevelType w:val="multilevel"/>
    <w:tmpl w:val="2F84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57"/>
    <w:rsid w:val="00044E1A"/>
    <w:rsid w:val="000E7EC1"/>
    <w:rsid w:val="001561EA"/>
    <w:rsid w:val="00232F1A"/>
    <w:rsid w:val="00293DD0"/>
    <w:rsid w:val="002A1F25"/>
    <w:rsid w:val="002A4161"/>
    <w:rsid w:val="004F646E"/>
    <w:rsid w:val="005519CE"/>
    <w:rsid w:val="005C0016"/>
    <w:rsid w:val="006D3457"/>
    <w:rsid w:val="008765A9"/>
    <w:rsid w:val="008C398A"/>
    <w:rsid w:val="00A70294"/>
    <w:rsid w:val="00BD27BD"/>
    <w:rsid w:val="00CF4FD4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4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4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41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65A9"/>
    <w:pPr>
      <w:spacing w:before="100" w:beforeAutospacing="1" w:after="100" w:afterAutospacing="1"/>
    </w:pPr>
  </w:style>
  <w:style w:type="character" w:customStyle="1" w:styleId="ms-rtecustom-heading1">
    <w:name w:val="ms-rtecustom-heading1"/>
    <w:basedOn w:val="DefaultParagraphFont"/>
    <w:rsid w:val="008765A9"/>
  </w:style>
  <w:style w:type="character" w:customStyle="1" w:styleId="ms-rtecustom-heading4">
    <w:name w:val="ms-rtecustom-heading4"/>
    <w:basedOn w:val="DefaultParagraphFont"/>
    <w:rsid w:val="008765A9"/>
  </w:style>
  <w:style w:type="paragraph" w:styleId="CommentText">
    <w:name w:val="annotation text"/>
    <w:basedOn w:val="Normal"/>
    <w:link w:val="CommentTextChar"/>
    <w:uiPriority w:val="99"/>
    <w:semiHidden/>
    <w:unhideWhenUsed/>
    <w:rsid w:val="00044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E1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4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4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41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65A9"/>
    <w:pPr>
      <w:spacing w:before="100" w:beforeAutospacing="1" w:after="100" w:afterAutospacing="1"/>
    </w:pPr>
  </w:style>
  <w:style w:type="character" w:customStyle="1" w:styleId="ms-rtecustom-heading1">
    <w:name w:val="ms-rtecustom-heading1"/>
    <w:basedOn w:val="DefaultParagraphFont"/>
    <w:rsid w:val="008765A9"/>
  </w:style>
  <w:style w:type="character" w:customStyle="1" w:styleId="ms-rtecustom-heading4">
    <w:name w:val="ms-rtecustom-heading4"/>
    <w:basedOn w:val="DefaultParagraphFont"/>
    <w:rsid w:val="008765A9"/>
  </w:style>
  <w:style w:type="paragraph" w:styleId="CommentText">
    <w:name w:val="annotation text"/>
    <w:basedOn w:val="Normal"/>
    <w:link w:val="CommentTextChar"/>
    <w:uiPriority w:val="99"/>
    <w:semiHidden/>
    <w:unhideWhenUsed/>
    <w:rsid w:val="00044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E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iring" TargetMode="External"/><Relationship Id="rId13" Type="http://schemas.openxmlformats.org/officeDocument/2006/relationships/hyperlink" Target="http://www.eeoc.gov/laws/types/age.cfm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Discrimination" TargetMode="External"/><Relationship Id="rId12" Type="http://schemas.openxmlformats.org/officeDocument/2006/relationships/hyperlink" Target="http://www.agediscrimination.info/international/Pages/USA.asp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mployment" TargetMode="External"/><Relationship Id="rId11" Type="http://schemas.openxmlformats.org/officeDocument/2006/relationships/hyperlink" Target="http://www.nber.org/papers/w143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Layoff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ermination_of_employment" TargetMode="External"/><Relationship Id="rId14" Type="http://schemas.openxmlformats.org/officeDocument/2006/relationships/hyperlink" Target="file:///C:/Users/SPB%20Consultant4/AppData/Local/Temp/notes5E0B40/www.agediscrimination.info/international/Pages/internation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A0ECC-E0DC-4373-8299-B06702AC8602}"/>
</file>

<file path=customXml/itemProps2.xml><?xml version="1.0" encoding="utf-8"?>
<ds:datastoreItem xmlns:ds="http://schemas.openxmlformats.org/officeDocument/2006/customXml" ds:itemID="{EF14E974-215E-4C4A-9620-8657A9517534}"/>
</file>

<file path=customXml/itemProps3.xml><?xml version="1.0" encoding="utf-8"?>
<ds:datastoreItem xmlns:ds="http://schemas.openxmlformats.org/officeDocument/2006/customXml" ds:itemID="{A2207554-8520-4DD0-B6D2-4B93FC502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Nusberg</dc:creator>
  <cp:lastModifiedBy>SPB Consultant4</cp:lastModifiedBy>
  <cp:revision>2</cp:revision>
  <cp:lastPrinted>2015-09-28T08:57:00Z</cp:lastPrinted>
  <dcterms:created xsi:type="dcterms:W3CDTF">2015-09-28T08:57:00Z</dcterms:created>
  <dcterms:modified xsi:type="dcterms:W3CDTF">2015-09-28T08:57:00Z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3182000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