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35" w:rsidRPr="00935377" w:rsidRDefault="00181335" w:rsidP="00181335">
      <w:pPr>
        <w:shd w:val="clear" w:color="auto" w:fill="FFFFFF"/>
        <w:spacing w:after="0" w:line="240" w:lineRule="auto"/>
        <w:ind w:left="77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GoBack"/>
      <w:bookmarkEnd w:id="0"/>
      <w:r w:rsidRPr="00935377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DERECHOS HUMANOS DE LAS MUJERES MAYORES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77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77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b/>
          <w:bCs/>
          <w:iCs/>
          <w:color w:val="000000"/>
          <w:sz w:val="24"/>
          <w:szCs w:val="24"/>
          <w:lang w:val="es-ES_tradnl"/>
        </w:rPr>
        <w:t>LOS DERECHOS DE LAS MUJERES DE EDAD EN LA LEGISLACI</w:t>
      </w:r>
      <w:r w:rsidRPr="0093537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s-ES_tradnl"/>
        </w:rPr>
        <w:t>ÓN, LAS POLÍTICAS Y LOS PROGRAMAS INTERNACIONALES, REGIONALES Y NACIONALES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77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¿Qué instrumentos jurídicos, políticas programas existen para hacer frente a los problemas particulares que enfrentan las mujeres de edad, y como se aplican y monitorean?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82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82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</w:pPr>
      <w:r w:rsidRPr="00935377">
        <w:rPr>
          <w:rFonts w:ascii="Arial" w:hAnsi="Arial" w:cs="Arial"/>
          <w:bCs/>
          <w:color w:val="000000"/>
          <w:sz w:val="24"/>
          <w:szCs w:val="24"/>
          <w:u w:val="single"/>
          <w:lang w:val="es-ES_tradnl"/>
        </w:rPr>
        <w:t>Decreto Supremo N</w:t>
      </w:r>
      <w:r w:rsidRPr="0093537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  <w:t>° 29894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72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El Ministerio de Justicia y Transparencia Institucional </w:t>
      </w:r>
      <w:r w:rsidR="00771377"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(MJTI)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a trav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és del Viceministerio de Igualdad de Oportunidades y de la Dirección General de Prevención y Eliminación de toda Forma de Violencia en Razón de Género y Generacional, en su calidad de Ente Rector en materia de Derechos Humanos de las Mujeres, estableció políticas, estrategias y mecanismos de implementación y, evaluación y seguimiento a instancias públicas y privadas.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72" w:righ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67" w:right="-1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En cuanto a las atribuciones del Viceministerio de Igualdad de Oportunidades, establecido en el artículo 83 del Decreto Supremo N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° 29894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7 de febrero de 2009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entre las principales están las siguientes: 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67" w:right="-1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a)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Formular, dirigir y concertar, políticas, normas, planes, programas y proyectos que promuevan la igualdad de oportunidades entre mujeres y hombres, de niños, niñas, adolescentes, juventud, personas adultas mayores y personas con discapacidad.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b/>
          <w:color w:val="000000"/>
          <w:sz w:val="24"/>
          <w:szCs w:val="24"/>
          <w:lang w:val="es-ES_tradnl"/>
        </w:rPr>
        <w:t>b)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 Promover el cumplimiento de la Constituci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Política del Estado y de instrumentos internacionales en los ámbitos de equidad de género, generacional y personas con discapacidad.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s-ES_tradnl"/>
        </w:rPr>
      </w:pPr>
      <w:r w:rsidRPr="00935377">
        <w:rPr>
          <w:rFonts w:ascii="Arial" w:hAnsi="Arial" w:cs="Arial"/>
          <w:b/>
          <w:color w:val="000000"/>
          <w:sz w:val="24"/>
          <w:szCs w:val="24"/>
          <w:lang w:val="es-ES_tradnl"/>
        </w:rPr>
        <w:t>e)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Transversalizar</w:t>
      </w:r>
      <w:proofErr w:type="spellEnd"/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 el enfoque de g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énero y promover la igualdad de oportunidades intergeneracionales en las políticas sectoriales y de la gestión pública, articulando acciones con los órganos del Estado y las organizaciones de la sociedad civil. 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g)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Formular normas para fortalecer los mecanismos de protección prevención, atención, recuperación y sanción de la violencia en razón de género, generacional y maltrato institucional.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62" w:right="34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Expuestos los fundamentos legales, es menester realizar las siguientes consideraciones: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0" w:right="5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10" w:right="5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Respecto a las políticas Públicas aprobadas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por el Estado Plurinacional de Bolivia se tiene la </w:t>
      </w:r>
      <w:r w:rsidRPr="009353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/>
        </w:rPr>
        <w:t>Política Pública Integral para una Vida Digna de las Mujeres.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0" w:right="5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En este sentido, se implementa la </w:t>
      </w:r>
      <w:r w:rsidRPr="0093537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_tradnl"/>
        </w:rPr>
        <w:t>Pol</w:t>
      </w:r>
      <w:r w:rsidRPr="009353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/>
        </w:rPr>
        <w:t xml:space="preserve">ítica Pública Integral para una Vida Digna </w:t>
      </w:r>
      <w:r w:rsidRPr="00935377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_tradnl"/>
        </w:rPr>
        <w:t xml:space="preserve">de las Mujeres,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a partir del Decreto Supremo N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° 3106 de 8 de marzo de 2017, además de establecer una Comisión Interinstitucional conformada por los  Ministerios de: Justicia y Transparencia Institucional, Educación, Salud (y Deportes), Gobierno, Culturas 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(Descolonización y </w:t>
      </w:r>
      <w:proofErr w:type="spellStart"/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Despatriarcalización</w:t>
      </w:r>
      <w:proofErr w:type="spellEnd"/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), Trabajo 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lastRenderedPageBreak/>
        <w:t xml:space="preserve">Empleo y Previsión social,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el ahora Viceministerio de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Comunicación, para elaborar la Política Pública Integral para una Vida Digna de las Mujeres, señalaba que la estrategia fundamental debe ser la construcción de </w:t>
      </w:r>
      <w:proofErr w:type="spellStart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interinstitucionalidad</w:t>
      </w:r>
      <w:proofErr w:type="spellEnd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 </w:t>
      </w:r>
      <w:proofErr w:type="spellStart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intersectorialidad</w:t>
      </w:r>
      <w:proofErr w:type="spellEnd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para dar respuesta integrales e interdisciplinarias que garanticen el logro de resultados con valor público para las mujeres.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La Pol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ítica Pública Integral para una Vida Digna de las Mujeres, ha previsto desarrollar acciones desde tres ámbitos: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D73AB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Arial" w:hAnsi="Arial" w:cs="Arial"/>
          <w:color w:val="000000"/>
          <w:spacing w:val="-7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Desde la prevenci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ón, con procesos de información, comunicació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n,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incidencia y movilización, de cara a la construcción de una cultura de paz y de derechos, que elimine prácticas patriarcales que naturalizan la violencia contra las mujeres.</w:t>
      </w:r>
    </w:p>
    <w:p w:rsidR="00181335" w:rsidRPr="00935377" w:rsidRDefault="00181335" w:rsidP="00D73AB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Arial" w:hAnsi="Arial" w:cs="Arial"/>
          <w:color w:val="000000"/>
          <w:spacing w:val="-11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Creando condiciones para atender y dar protecci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a las mujeres que viven violencias, hasta llegar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 la sanción de los agresores, según el procedimiento que corresponda, eliminando con ello la impunidad.</w:t>
      </w:r>
    </w:p>
    <w:p w:rsidR="00181335" w:rsidRPr="00935377" w:rsidRDefault="00181335" w:rsidP="00D73ABF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9" w:hanging="284"/>
        <w:jc w:val="both"/>
        <w:rPr>
          <w:rFonts w:ascii="Arial" w:eastAsiaTheme="minorEastAsia" w:hAnsi="Arial" w:cs="Arial"/>
          <w:color w:val="000000"/>
          <w:spacing w:val="-9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Monitoreo de acciones, con base a indicadores de resultados, siendo para ello esencial la instalaci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de un Sistema de Información Oficial y confiable.</w:t>
      </w:r>
    </w:p>
    <w:p w:rsidR="00181335" w:rsidRPr="00935377" w:rsidRDefault="00181335" w:rsidP="00181335">
      <w:pPr>
        <w:shd w:val="clear" w:color="auto" w:fill="FFFFFF"/>
        <w:tabs>
          <w:tab w:val="left" w:pos="691"/>
        </w:tabs>
        <w:spacing w:after="0" w:line="240" w:lineRule="auto"/>
        <w:ind w:left="691" w:right="19"/>
        <w:jc w:val="both"/>
        <w:rPr>
          <w:rFonts w:ascii="Arial" w:hAnsi="Arial" w:cs="Arial"/>
          <w:color w:val="000000"/>
          <w:spacing w:val="-9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130" w:right="1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El Sistema de Planificaci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Integral del Estado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SPIE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)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aprobado mediante Ley N°777 de 25 de enero de 2016, ofrece los andamiajes para articular la Política Pública Integral, a los objetivos de Desarrollo del país, mismos que se dan en 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los siguientes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niveles: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30" w:right="19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D73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right="34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El primer nivel se articula con la Agenda Patri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ótica 2025 y el PDES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2016-2020, con base en 13 pilares.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El tema de violencia contra las mujeres es abordado desde el pilar 1 considerando estrat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égico y convergente para el resto de los pi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lares, toda vez que tiene como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prioridad desafío a la erradicación de la extrema pobreza material, social y espiritual en el marco de la construcción de un nuevo ser humano integral, señalando caminos referidos a: i) desarrollo de capacidades instaladas para dar respuestas efectivas a las mujeres que viven violencias, ii) la desestructuración de una cultura de naturalización de la violencia, a partir de la implementación de</w:t>
      </w:r>
      <w:r w:rsidR="00D73ABF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programas masivos en medios de comunicación y el  combate a las prácticas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colonialistas, patriarcales y excluyentes en  las entidades p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úblicas,  privadas, sociales, comunitarias y educativas.</w:t>
      </w: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73ABF" w:rsidRPr="00935377" w:rsidRDefault="00181335" w:rsidP="00D73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En el segundo nivel, la articulaci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se da entre el PDES y los Planes sectoriales en los que los abordajes de las violencias son abordados desde la prestación de servicios y la prevención. En este nivel se produce una articulación con otros pilares.</w:t>
      </w:r>
    </w:p>
    <w:p w:rsidR="00D73ABF" w:rsidRPr="00935377" w:rsidRDefault="00D73ABF" w:rsidP="00D73AB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181335" w:rsidRPr="00935377" w:rsidRDefault="00181335" w:rsidP="00D73A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En el tercer nivel se produce una articulaci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de varios planes sectoriales con planes multisectoriales, que en el caso que nos ocupa se trata del Plan Multisectorial para el impulso de la </w:t>
      </w:r>
      <w:proofErr w:type="spellStart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despatriarcalización</w:t>
      </w:r>
      <w:proofErr w:type="spellEnd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y el derecho de las Mujeres a VIVIR BIEN.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La </w:t>
      </w:r>
      <w:proofErr w:type="spellStart"/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despatriarcalizaci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</w:t>
      </w:r>
      <w:proofErr w:type="spellEnd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como política de cambio, ha permitido identificar los desafíos que el Estado Plurinacional de Bolivia debe enfrentar incidiendo drásticamente en los ejes de la dominación y subordinación de las mujeres que se expresa en la violencia, el débil ejercicio de los derechos sexuales y reproductivos y la división sexual del trabajo.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19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</w:pPr>
      <w:r w:rsidRPr="00935377">
        <w:rPr>
          <w:rFonts w:ascii="Arial" w:hAnsi="Arial" w:cs="Arial"/>
          <w:bCs/>
          <w:color w:val="000000"/>
          <w:sz w:val="24"/>
          <w:szCs w:val="24"/>
          <w:u w:val="single"/>
          <w:lang w:val="es-ES_tradnl"/>
        </w:rPr>
        <w:t xml:space="preserve">El Plan Multisectorial para el impulso de la </w:t>
      </w:r>
      <w:proofErr w:type="spellStart"/>
      <w:r w:rsidRPr="00935377">
        <w:rPr>
          <w:rFonts w:ascii="Arial" w:hAnsi="Arial" w:cs="Arial"/>
          <w:bCs/>
          <w:color w:val="000000"/>
          <w:sz w:val="24"/>
          <w:szCs w:val="24"/>
          <w:u w:val="single"/>
          <w:lang w:val="es-ES_tradnl"/>
        </w:rPr>
        <w:t>despatriarcalizaci</w:t>
      </w:r>
      <w:r w:rsidRPr="0093537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  <w:t>ón</w:t>
      </w:r>
      <w:proofErr w:type="spellEnd"/>
      <w:r w:rsidRPr="0093537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  <w:t xml:space="preserve"> y el Derecho</w:t>
      </w:r>
      <w:r w:rsidR="00D73ABF" w:rsidRPr="0093537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_tradnl"/>
        </w:rPr>
        <w:t xml:space="preserve"> de las Mujeres para Vivir Bien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1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Tiene como objetivo generar las condiciones para una vida libre de violencia en raz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de género y sancionar las prácticas discriminatorias de exclusión y subordinación, a través de mecanismos institucionales e instrumentos normativos"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240" w:righ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B506A0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FORMAS DE DISCRIMINACI</w:t>
      </w:r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ÓN CONTRA LAS MUJERES DE EDAD Y ABUSO ESPECÍFICO DE GÉNERO</w:t>
      </w: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¿Qué formas de discriminación estructural y sistémica enfrentan las mujeres de edad (por ejemplo, mediante leyes, políticas, prácticas tradicionales y consuetudinarias, </w:t>
      </w:r>
      <w:proofErr w:type="spellStart"/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etc</w:t>
      </w:r>
      <w:proofErr w:type="spellEnd"/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) y qué medidas se han adoptado para hacer frente?</w:t>
      </w: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El Sistema de Naciones Unidas, del cual el Estado Plurinacional de Bolivia es un miembro activo, ha generado Tratados, Declaraciones, Resoluciones y Directrices para la protecci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de los derechos de las mujeres.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24" w:right="10"/>
        <w:jc w:val="both"/>
        <w:rPr>
          <w:rFonts w:ascii="Arial" w:hAnsi="Arial" w:cs="Arial"/>
          <w:color w:val="000000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24" w:right="1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Tratados que han sido ratificados por el Estado Boliviano constituyen el Bloque de Constitucionalidad de acuerdo a lo establecido en el </w:t>
      </w:r>
      <w:r w:rsidR="00B506A0"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artículo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410 de la CPE por lo que su implementaci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es obligatoria.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24" w:right="10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24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Con relaci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al tema la Convención sobre la Eliminación de todas las Formas de Discriminació</w:t>
      </w:r>
      <w:r w:rsidR="00B506A0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 Contra la Mujer (CEDAW por sus siglas en inglés)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es el principal tratado de derechos humanos del sistema universal para la protección de los derechos de las mujeres</w:t>
      </w:r>
      <w:r w:rsidR="00B506A0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24" w:righ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14" w:right="1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Las disposiciones de la CEDAW establecen el principio de no discriminaci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contra las mujeres en su </w:t>
      </w:r>
      <w:r w:rsidR="00B506A0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artículo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1, además establecen los compromisos de los Estados Parte para eliminar la discriminación por todos los medios apropiados y sin dilaciones. La ratificación de la CEDAW obliga al Estado Boliviano a presentar informes nacionales periódicos sobre las transformaciones legislativas y de políticas públicas encaminadas a la eliminación de la discriminación contra las mujeres.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4" w:right="19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Por otra parte, la Convenci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Interamericana para Prevenir, Sancionar y Erradicar la Violencia contra la Mujer (Convención de Belem Do Para), </w:t>
      </w:r>
      <w:r w:rsidR="00B506A0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 su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B506A0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artículo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7 expresa lo siguiente: </w:t>
      </w:r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"Los Estados Partes condenan todas las formas de violencia contra la mujer y convienen en adoptar, por todos los medios apropiados y sin dilaciones, políticas orientadas a prevenir, sancionar y erradicar dicha </w:t>
      </w:r>
      <w:proofErr w:type="gramStart"/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violencia ...</w:t>
      </w:r>
      <w:proofErr w:type="gramEnd"/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"</w:t>
      </w:r>
      <w:r w:rsidR="005F103C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5" w:right="29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El Estado </w:t>
      </w:r>
      <w:r w:rsidR="005F103C" w:rsidRPr="00935377">
        <w:rPr>
          <w:rFonts w:ascii="Arial" w:hAnsi="Arial" w:cs="Arial"/>
          <w:color w:val="000000"/>
          <w:sz w:val="24"/>
          <w:szCs w:val="24"/>
          <w:lang w:val="es-ES_tradnl"/>
        </w:rPr>
        <w:t>boliviano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 a partir de la promulgaci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de la 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CPE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no solo reconoce a favor de las y los bolivianos un amplio catálogo de derechos humanos, sino que también ha asumido como política de 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Estado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garantizar el ejercicio pleno de estos derechos humanos, especialmente, el derecho fundamental de la niñez y de las mujeres a vivir libres de violencia.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5" w:right="29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A partir de la C</w:t>
      </w:r>
      <w:r w:rsidR="005F103C" w:rsidRPr="00935377">
        <w:rPr>
          <w:rFonts w:ascii="Arial" w:hAnsi="Arial" w:cs="Arial"/>
          <w:color w:val="000000"/>
          <w:sz w:val="24"/>
          <w:szCs w:val="24"/>
          <w:lang w:val="es-ES_tradnl"/>
        </w:rPr>
        <w:t>PE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se han promulgado leyes que otorgan un marco de protección a este derecho fundamental, entre las más s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ignificativas se encuentran la L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ey N°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243 L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ey contra el Acoso y Violencia Política hacia las Mujeres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;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 ley Integral para Garantizar a las Mujeres una vida libre de Violencia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las cuales plantean un enfoque integral de atención protección a favor de las niñas, niños, adolescentes y mujeres que implica la participación de todas las instituciones que son parte de la cadena de atención, protección, sanción, y reparación de hechos de violencia, asimismo, demandan una institucionalidad que brinde soporte y materializar la vigencia de estos derechos, en el marco de  una atención integral.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3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En el marco de esta Pol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ítica de Estado, mediante Decreto Supremo N°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3774 de 16 de enero de 2019 se ha conformado el Gabinete Especial de Lucha contra la Violencia hacia la Mujer y la Niñez y se creó el Servicio Plurinacional de la Mujer y la </w:t>
      </w:r>
      <w:proofErr w:type="spellStart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despatriarcalización</w:t>
      </w:r>
      <w:proofErr w:type="spellEnd"/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"Ana María Romero" como Secretaría Técnica de este Gabinete y como una instancia de monitoreo, seguimiento y evaluación de políticas públicas en favor de los derechos de las Mujeres.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ind w:left="7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Con el fin de fortalecer estos avances, se ha promulgado la Ley N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°1173 </w:t>
      </w:r>
      <w:r w:rsidR="005F103C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</w:t>
      </w:r>
      <w:r w:rsidR="005F103C"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 3 de mayo de 2019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Ley de Abreviación Procesal Penal y de Fortalecimiento de la Lucha Integral contra la Violencia a Niñas, Niños, Adolescentes y Mujeres, la cual plantea instituciones procesales y medidas específicas que coadyuvan sobre todo al acceso a la justicia a niñas, niños, adolescentes y mujeres, víctimas de violencia.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72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771377" w:rsidP="00771377">
      <w:pPr>
        <w:shd w:val="clear" w:color="auto" w:fill="FFFFFF"/>
        <w:spacing w:after="0" w:line="240" w:lineRule="auto"/>
        <w:ind w:left="53" w:right="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La CPE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en su artículo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15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establece que 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"Toda persona tiene derecho 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la vida y a la integridad física, psicológica y sexual. Nadie será torturado, ni sufrirá tratos crueles, inhumanos, degradantes o humillantes"</w:t>
      </w:r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iCs/>
          <w:color w:val="000000"/>
          <w:sz w:val="24"/>
          <w:szCs w:val="24"/>
          <w:lang w:val="es-ES_tradnl"/>
        </w:rPr>
        <w:t>(parágrafo I)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. 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Asimismo, 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señala</w:t>
      </w:r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que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"El Estado adoptará las medidas necesarias para prevenir, eliminar y sancionar la violencia de género y generacional, así como toda acción u omisión que tenga por objeto degradar la condición humana, causar muerte, dolor y sufrimiento físico, sexual o psicológico, tanto en el ámbito público co</w:t>
      </w:r>
      <w:r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mo privado" </w:t>
      </w:r>
      <w:r w:rsidRPr="00935377">
        <w:rPr>
          <w:rFonts w:ascii="Arial" w:eastAsia="Times New Roman" w:hAnsi="Arial" w:cs="Arial"/>
          <w:iCs/>
          <w:color w:val="000000"/>
          <w:sz w:val="24"/>
          <w:szCs w:val="24"/>
          <w:lang w:val="es-ES_tradnl"/>
        </w:rPr>
        <w:t>(parágrafo III)</w:t>
      </w:r>
      <w:r w:rsidR="00181335" w:rsidRPr="00935377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.</w:t>
      </w:r>
    </w:p>
    <w:p w:rsidR="00181335" w:rsidRPr="00935377" w:rsidRDefault="00181335" w:rsidP="00181335">
      <w:pPr>
        <w:shd w:val="clear" w:color="auto" w:fill="FFFFFF"/>
        <w:spacing w:after="0" w:line="240" w:lineRule="auto"/>
        <w:ind w:left="53" w:right="5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93537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írvase, compartir información sobre los mecanismos de denuncia, rendición de cuentas, reparación y protección disponibles y </w:t>
      </w:r>
      <w:proofErr w:type="gramStart"/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destinados</w:t>
      </w:r>
      <w:proofErr w:type="gramEnd"/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a las mujeres de edad víctimas de la violencia y la discriminación por motivos de género.</w:t>
      </w:r>
    </w:p>
    <w:p w:rsidR="00181335" w:rsidRPr="00935377" w:rsidRDefault="00181335" w:rsidP="001813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377" w:rsidRPr="00935377" w:rsidRDefault="00181335" w:rsidP="009353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Ley </w:t>
      </w:r>
      <w:r w:rsidR="00771377" w:rsidRPr="00935377">
        <w:rPr>
          <w:rFonts w:ascii="Arial" w:hAnsi="Arial" w:cs="Arial"/>
          <w:bCs/>
          <w:color w:val="000000"/>
          <w:sz w:val="24"/>
          <w:szCs w:val="24"/>
          <w:lang w:val="es-ES_tradnl"/>
        </w:rPr>
        <w:t>N</w:t>
      </w:r>
      <w:r w:rsidR="00771377" w:rsidRPr="00935377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° 348 de 09 de marzo de 2013 </w:t>
      </w:r>
      <w:r w:rsidR="00771377" w:rsidRPr="00935377">
        <w:rPr>
          <w:rFonts w:ascii="Arial" w:hAnsi="Arial" w:cs="Arial"/>
          <w:bCs/>
          <w:color w:val="000000"/>
          <w:sz w:val="24"/>
          <w:szCs w:val="24"/>
          <w:lang w:val="es-ES_tradnl"/>
        </w:rPr>
        <w:t>Integral para Garantizar a las Mujeres una Vida Libre de Violencia</w:t>
      </w:r>
      <w:r w:rsidR="00771377" w:rsidRPr="00935377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,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tiene por objeto establecer mecanismos, medidas y políticas integrales de prevención, atención, protección y reparación a las mujeres en situación de violencia, así como la persecución y sanción a los agresores, con el fin de garantizar a las mujeres una vida digna y el ejercicio pleno de sus derechos para Vivir Bien. </w:t>
      </w:r>
    </w:p>
    <w:p w:rsidR="00771377" w:rsidRPr="00935377" w:rsidRDefault="00771377" w:rsidP="0018133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771377" w:rsidRPr="00935377" w:rsidRDefault="00181335" w:rsidP="00935377">
      <w:pPr>
        <w:shd w:val="clear" w:color="auto" w:fill="FFFFFF"/>
        <w:spacing w:after="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El </w:t>
      </w:r>
      <w:r w:rsidR="00771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parágrafo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I del </w:t>
      </w:r>
      <w:r w:rsidR="00771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artículo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 de la Ley N° 348, dispone que el Estado asume como prioridad la erradicación de la violencia hacia las mujeres, por ser una de las</w:t>
      </w:r>
      <w:r w:rsidRPr="00935377">
        <w:rPr>
          <w:rFonts w:ascii="Arial" w:hAnsi="Arial" w:cs="Arial"/>
          <w:sz w:val="24"/>
          <w:szCs w:val="24"/>
        </w:rPr>
        <w:t xml:space="preserve"> </w:t>
      </w: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>formas m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ás extremas de discriminación en razón de género. </w:t>
      </w:r>
    </w:p>
    <w:p w:rsidR="00771377" w:rsidRPr="00935377" w:rsidRDefault="00771377" w:rsidP="00935377">
      <w:pPr>
        <w:shd w:val="clear" w:color="auto" w:fill="FFFFFF"/>
        <w:spacing w:after="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181335" w:rsidRPr="00935377" w:rsidRDefault="00771377" w:rsidP="00935377">
      <w:pPr>
        <w:shd w:val="clear" w:color="auto" w:fill="FFFFFF"/>
        <w:spacing w:after="0" w:line="240" w:lineRule="auto"/>
        <w:ind w:left="360" w:right="1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</w:pP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Por su parte e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 Parágrafo I del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artículo 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11, señala que el Ente Rector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(MJTI)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tendrá a su cargo el Sistema Integral Plurinacional de Prevención, Atención, Sanción y Erradicación de la Violencia en razón de Gé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nero (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SIPPASE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)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:rsidR="00181335" w:rsidRPr="00935377" w:rsidRDefault="00181335" w:rsidP="00935377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:rsidR="00935377" w:rsidRPr="00935377" w:rsidRDefault="00181335" w:rsidP="009353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bCs/>
          <w:color w:val="000000"/>
          <w:sz w:val="24"/>
          <w:szCs w:val="24"/>
          <w:lang w:val="es-ES_tradnl"/>
        </w:rPr>
        <w:t>L</w:t>
      </w:r>
      <w:r w:rsidR="00771377" w:rsidRPr="00935377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a Ley </w:t>
      </w:r>
      <w:r w:rsidRPr="00935377">
        <w:rPr>
          <w:rFonts w:ascii="Arial" w:hAnsi="Arial" w:cs="Arial"/>
          <w:bCs/>
          <w:color w:val="000000"/>
          <w:sz w:val="24"/>
          <w:szCs w:val="24"/>
          <w:lang w:val="es-ES_tradnl"/>
        </w:rPr>
        <w:t>N</w:t>
      </w:r>
      <w:r w:rsidRPr="00935377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>° 464 de 19 de diciembre de 2013</w:t>
      </w:r>
      <w:r w:rsidRPr="0093537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crea el Servicio Plurinacional de Asistencia de la Víctima y regula su estructura, organización y atribuciones. El Servicio Plurinacional de Asistencia a la Víctima es una institución pública descentralizada, bajo tuición del </w:t>
      </w:r>
      <w:r w:rsidR="00771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MJTI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encargado de brindar asistencia jurídica en el área penal, psicológica y social a la víctima de escasos recursos. </w:t>
      </w:r>
      <w:r w:rsidR="00771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finalidad del servicio es 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garantizar el acceso a la justicia a la persona de escasos recursos económicos que sea víctima de un delito, brindándole el patrocinio legal, asistencia social y psicológica durante los actos iniciales y el proceso penal hasta la ejecución de la sentencia, promoviendo la reparación del daño y evitando fundamentalmente la re</w:t>
      </w:r>
      <w:r w:rsidR="00935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vict</w:t>
      </w:r>
      <w:r w:rsidR="00935377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imización. </w:t>
      </w:r>
    </w:p>
    <w:p w:rsidR="00935377" w:rsidRPr="00935377" w:rsidRDefault="00935377" w:rsidP="0093537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81335" w:rsidRPr="00935377" w:rsidRDefault="00935377" w:rsidP="009353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377">
        <w:rPr>
          <w:rFonts w:ascii="Arial" w:hAnsi="Arial" w:cs="Arial"/>
          <w:color w:val="000000"/>
          <w:sz w:val="24"/>
          <w:szCs w:val="24"/>
          <w:lang w:val="es-ES_tradnl"/>
        </w:rPr>
        <w:t xml:space="preserve">La </w:t>
      </w:r>
      <w:r w:rsidR="00181335" w:rsidRPr="00935377">
        <w:rPr>
          <w:rFonts w:ascii="Arial" w:hAnsi="Arial" w:cs="Arial"/>
          <w:color w:val="000000"/>
          <w:sz w:val="24"/>
          <w:szCs w:val="24"/>
          <w:lang w:val="es-ES_tradnl"/>
        </w:rPr>
        <w:t>Resoluci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Ministerial N° 025/2019 de 25 de marzo de 2019, Reglamenta los Servicios Integra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les de Justicia Plurinacional (</w:t>
      </w:r>
      <w:r w:rsidR="00181335"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SIJPLU</w:t>
      </w:r>
      <w:r w:rsidRPr="0093537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), como servicio gratuito a la ciudadanía para otorgar orientación jurídica, patrocinio legal, asistencia psicológica, y conciliación, entre otros.  </w:t>
      </w:r>
    </w:p>
    <w:sectPr w:rsidR="00181335" w:rsidRPr="00935377" w:rsidSect="00CA3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E7" w:rsidRDefault="00F503E7" w:rsidP="00181335">
      <w:pPr>
        <w:spacing w:after="0" w:line="240" w:lineRule="auto"/>
      </w:pPr>
      <w:r>
        <w:separator/>
      </w:r>
    </w:p>
  </w:endnote>
  <w:endnote w:type="continuationSeparator" w:id="0">
    <w:p w:rsidR="00F503E7" w:rsidRDefault="00F503E7" w:rsidP="0018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F4" w:rsidRDefault="00FB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5910"/>
      <w:docPartObj>
        <w:docPartGallery w:val="Page Numbers (Bottom of Page)"/>
        <w:docPartUnique/>
      </w:docPartObj>
    </w:sdtPr>
    <w:sdtEndPr/>
    <w:sdtContent>
      <w:p w:rsidR="00181335" w:rsidRDefault="007C5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A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0736" w:rsidRDefault="00FB6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F4" w:rsidRDefault="00FB6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E7" w:rsidRDefault="00F503E7" w:rsidP="00181335">
      <w:pPr>
        <w:spacing w:after="0" w:line="240" w:lineRule="auto"/>
      </w:pPr>
      <w:r>
        <w:separator/>
      </w:r>
    </w:p>
  </w:footnote>
  <w:footnote w:type="continuationSeparator" w:id="0">
    <w:p w:rsidR="00F503E7" w:rsidRDefault="00F503E7" w:rsidP="0018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F4" w:rsidRDefault="00FB6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F4" w:rsidRDefault="00FB6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F4" w:rsidRDefault="00FB6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853"/>
    <w:multiLevelType w:val="singleLevel"/>
    <w:tmpl w:val="317A80B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2BE11180"/>
    <w:multiLevelType w:val="hybridMultilevel"/>
    <w:tmpl w:val="A4EEDC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3432F"/>
    <w:multiLevelType w:val="hybridMultilevel"/>
    <w:tmpl w:val="4B22CCC0"/>
    <w:lvl w:ilvl="0" w:tplc="5306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0A7"/>
    <w:multiLevelType w:val="hybridMultilevel"/>
    <w:tmpl w:val="DA7A3D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C2437"/>
    <w:multiLevelType w:val="hybridMultilevel"/>
    <w:tmpl w:val="FB34B120"/>
    <w:lvl w:ilvl="0" w:tplc="E4AE9558">
      <w:start w:val="1"/>
      <w:numFmt w:val="upperRoman"/>
      <w:lvlText w:val="%1."/>
      <w:lvlJc w:val="left"/>
      <w:pPr>
        <w:ind w:left="773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133" w:hanging="360"/>
      </w:pPr>
    </w:lvl>
    <w:lvl w:ilvl="2" w:tplc="0C0A001B" w:tentative="1">
      <w:start w:val="1"/>
      <w:numFmt w:val="lowerRoman"/>
      <w:lvlText w:val="%3."/>
      <w:lvlJc w:val="right"/>
      <w:pPr>
        <w:ind w:left="1853" w:hanging="180"/>
      </w:pPr>
    </w:lvl>
    <w:lvl w:ilvl="3" w:tplc="0C0A000F" w:tentative="1">
      <w:start w:val="1"/>
      <w:numFmt w:val="decimal"/>
      <w:lvlText w:val="%4."/>
      <w:lvlJc w:val="left"/>
      <w:pPr>
        <w:ind w:left="2573" w:hanging="360"/>
      </w:pPr>
    </w:lvl>
    <w:lvl w:ilvl="4" w:tplc="0C0A0019" w:tentative="1">
      <w:start w:val="1"/>
      <w:numFmt w:val="lowerLetter"/>
      <w:lvlText w:val="%5."/>
      <w:lvlJc w:val="left"/>
      <w:pPr>
        <w:ind w:left="3293" w:hanging="360"/>
      </w:pPr>
    </w:lvl>
    <w:lvl w:ilvl="5" w:tplc="0C0A001B" w:tentative="1">
      <w:start w:val="1"/>
      <w:numFmt w:val="lowerRoman"/>
      <w:lvlText w:val="%6."/>
      <w:lvlJc w:val="right"/>
      <w:pPr>
        <w:ind w:left="4013" w:hanging="180"/>
      </w:pPr>
    </w:lvl>
    <w:lvl w:ilvl="6" w:tplc="0C0A000F" w:tentative="1">
      <w:start w:val="1"/>
      <w:numFmt w:val="decimal"/>
      <w:lvlText w:val="%7."/>
      <w:lvlJc w:val="left"/>
      <w:pPr>
        <w:ind w:left="4733" w:hanging="360"/>
      </w:pPr>
    </w:lvl>
    <w:lvl w:ilvl="7" w:tplc="0C0A0019" w:tentative="1">
      <w:start w:val="1"/>
      <w:numFmt w:val="lowerLetter"/>
      <w:lvlText w:val="%8."/>
      <w:lvlJc w:val="left"/>
      <w:pPr>
        <w:ind w:left="5453" w:hanging="360"/>
      </w:pPr>
    </w:lvl>
    <w:lvl w:ilvl="8" w:tplc="0C0A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75840BB9"/>
    <w:multiLevelType w:val="hybridMultilevel"/>
    <w:tmpl w:val="5C64BA4E"/>
    <w:lvl w:ilvl="0" w:tplc="EA08B4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5"/>
    <w:rsid w:val="00181335"/>
    <w:rsid w:val="00233B1C"/>
    <w:rsid w:val="005F103C"/>
    <w:rsid w:val="00646EAA"/>
    <w:rsid w:val="007436B0"/>
    <w:rsid w:val="00771377"/>
    <w:rsid w:val="007C52BA"/>
    <w:rsid w:val="00935377"/>
    <w:rsid w:val="00AE5F42"/>
    <w:rsid w:val="00B506A0"/>
    <w:rsid w:val="00C3132D"/>
    <w:rsid w:val="00CA368F"/>
    <w:rsid w:val="00D73ABF"/>
    <w:rsid w:val="00E066F2"/>
    <w:rsid w:val="00EC0346"/>
    <w:rsid w:val="00EE55D0"/>
    <w:rsid w:val="00F503E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35"/>
  </w:style>
  <w:style w:type="paragraph" w:styleId="Header">
    <w:name w:val="header"/>
    <w:basedOn w:val="Normal"/>
    <w:link w:val="HeaderChar"/>
    <w:uiPriority w:val="99"/>
    <w:unhideWhenUsed/>
    <w:rsid w:val="0018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35"/>
  </w:style>
  <w:style w:type="paragraph" w:styleId="ListParagraph">
    <w:name w:val="List Paragraph"/>
    <w:basedOn w:val="Normal"/>
    <w:uiPriority w:val="34"/>
    <w:qFormat/>
    <w:rsid w:val="00D7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ABAE1-50F7-4C6B-BFA5-8B5DB13C615A}"/>
</file>

<file path=customXml/itemProps2.xml><?xml version="1.0" encoding="utf-8"?>
<ds:datastoreItem xmlns:ds="http://schemas.openxmlformats.org/officeDocument/2006/customXml" ds:itemID="{C98D833A-F385-4ADF-A88C-7A8E11CBA6F1}"/>
</file>

<file path=customXml/itemProps3.xml><?xml version="1.0" encoding="utf-8"?>
<ds:datastoreItem xmlns:ds="http://schemas.openxmlformats.org/officeDocument/2006/customXml" ds:itemID="{754E91C1-AABC-4AEA-9A4E-FF1756A31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2021-04-26T13:18:00Z</dcterms:created>
  <dcterms:modified xsi:type="dcterms:W3CDTF">2021-04-26T13:18:00Z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