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0668C" w14:textId="77777777" w:rsidR="00A82200" w:rsidRDefault="00A82200">
      <w:pPr>
        <w:pStyle w:val="Heading4"/>
        <w:keepNext w:val="0"/>
        <w:keepLines w:val="0"/>
        <w:shd w:val="clear" w:color="auto" w:fill="FFFFFF"/>
        <w:spacing w:before="120" w:after="0" w:line="252" w:lineRule="auto"/>
        <w:ind w:left="600" w:right="880"/>
        <w:jc w:val="both"/>
        <w:rPr>
          <w:rFonts w:ascii="Times New Roman" w:eastAsia="Times New Roman" w:hAnsi="Times New Roman" w:cs="Times New Roman"/>
          <w:b/>
          <w:color w:val="000000"/>
          <w:sz w:val="22"/>
          <w:szCs w:val="22"/>
        </w:rPr>
      </w:pPr>
      <w:bookmarkStart w:id="0" w:name="_1wx6axwa035v" w:colFirst="0" w:colLast="0"/>
      <w:bookmarkStart w:id="1" w:name="_GoBack"/>
      <w:bookmarkEnd w:id="0"/>
      <w:bookmarkEnd w:id="1"/>
    </w:p>
    <w:p w14:paraId="4D55C6C8" w14:textId="77777777" w:rsidR="00A82200" w:rsidRDefault="00A82200" w:rsidP="00A82200">
      <w:r>
        <w:rPr>
          <w:rFonts w:ascii="Times New Roman" w:eastAsia="Times New Roman" w:hAnsi="Times New Roman" w:cs="Times New Roman"/>
          <w:b/>
          <w:noProof/>
          <w:color w:val="002060"/>
          <w:sz w:val="24"/>
          <w:szCs w:val="24"/>
          <w:lang w:val="en-GB" w:eastAsia="en-GB"/>
        </w:rPr>
        <mc:AlternateContent>
          <mc:Choice Requires="wps">
            <w:drawing>
              <wp:anchor distT="0" distB="0" distL="114300" distR="114300" simplePos="0" relativeHeight="251660288" behindDoc="0" locked="0" layoutInCell="1" allowOverlap="1" wp14:anchorId="1238733C" wp14:editId="1AA97CFF">
                <wp:simplePos x="0" y="0"/>
                <wp:positionH relativeFrom="page">
                  <wp:posOffset>-188976</wp:posOffset>
                </wp:positionH>
                <wp:positionV relativeFrom="paragraph">
                  <wp:posOffset>-244094</wp:posOffset>
                </wp:positionV>
                <wp:extent cx="7696200" cy="200025"/>
                <wp:effectExtent l="0" t="0" r="19050" b="28575"/>
                <wp:wrapNone/>
                <wp:docPr id="6" name="Redondear rectángulo de esquina diagonal 6"/>
                <wp:cNvGraphicFramePr/>
                <a:graphic xmlns:a="http://schemas.openxmlformats.org/drawingml/2006/main">
                  <a:graphicData uri="http://schemas.microsoft.com/office/word/2010/wordprocessingShape">
                    <wps:wsp>
                      <wps:cNvSpPr/>
                      <wps:spPr>
                        <a:xfrm>
                          <a:off x="0" y="0"/>
                          <a:ext cx="7696200" cy="200025"/>
                        </a:xfrm>
                        <a:prstGeom prst="round2DiagRect">
                          <a:avLst/>
                        </a:prstGeom>
                        <a:solidFill>
                          <a:srgbClr val="E60000"/>
                        </a:solidFill>
                        <a:ln>
                          <a:solidFill>
                            <a:srgbClr val="E6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EEB62" id="Redondear rectángulo de esquina diagonal 6" o:spid="_x0000_s1026" style="position:absolute;margin-left:-14.9pt;margin-top:-19.2pt;width:606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962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" path="m33338,l7696200,r,l7696200,166687v,18412,-14926,33338,-33338,33338l,200025r,l,33338c,14926,14926,,33338,xe" fillcolor="#e60000" strokecolor="#e60000" strokeweight="2pt">
                <v:path arrowok="t" o:connecttype="custom" o:connectlocs="33338,0;7696200,0;7696200,0;7696200,166687;7662862,200025;0,200025;0,200025;0,33338;33338,0" o:connectangles="0,0,0,0,0,0,0,0,0"/>
                <w10:wrap anchorx="page"/>
              </v:shape>
            </w:pict>
          </mc:Fallback>
        </mc:AlternateContent>
      </w:r>
      <w:r>
        <w:rPr>
          <w:rFonts w:ascii="Times New Roman" w:eastAsia="Times New Roman" w:hAnsi="Times New Roman" w:cs="Times New Roman"/>
          <w:b/>
          <w:noProof/>
          <w:color w:val="002060"/>
          <w:sz w:val="24"/>
          <w:szCs w:val="24"/>
          <w:lang w:val="en-GB" w:eastAsia="en-GB"/>
        </w:rPr>
        <mc:AlternateContent>
          <mc:Choice Requires="wps">
            <w:drawing>
              <wp:anchor distT="0" distB="0" distL="114300" distR="114300" simplePos="0" relativeHeight="251659264" behindDoc="0" locked="0" layoutInCell="1" allowOverlap="1" wp14:anchorId="732CFEF4" wp14:editId="203DB8F3">
                <wp:simplePos x="0" y="0"/>
                <wp:positionH relativeFrom="margin">
                  <wp:align>center</wp:align>
                </wp:positionH>
                <wp:positionV relativeFrom="paragraph">
                  <wp:posOffset>-901319</wp:posOffset>
                </wp:positionV>
                <wp:extent cx="8001000" cy="723900"/>
                <wp:effectExtent l="0" t="0" r="19050" b="19050"/>
                <wp:wrapNone/>
                <wp:docPr id="4" name="Redondear rectángulo de esquina diagonal 4"/>
                <wp:cNvGraphicFramePr/>
                <a:graphic xmlns:a="http://schemas.openxmlformats.org/drawingml/2006/main">
                  <a:graphicData uri="http://schemas.microsoft.com/office/word/2010/wordprocessingShape">
                    <wps:wsp>
                      <wps:cNvSpPr/>
                      <wps:spPr>
                        <a:xfrm>
                          <a:off x="0" y="0"/>
                          <a:ext cx="8001000" cy="723900"/>
                        </a:xfrm>
                        <a:prstGeom prst="round2DiagRect">
                          <a:avLst/>
                        </a:prstGeom>
                        <a:solidFill>
                          <a:schemeClr val="accent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ECA88" id="Redondear rectángulo de esquina diagonal 4" o:spid="_x0000_s1026" style="position:absolute;margin-left:0;margin-top:-70.95pt;width:630pt;height: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800100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" path="m120652,l8001000,r,l8001000,603248v,66634,-54018,120652,-120652,120652l,723900r,l,120652c,54018,54018,,120652,xe" fillcolor="#243f60 [1604]" strokecolor="#17365d [2415]" strokeweight="2pt">
                <v:path arrowok="t" o:connecttype="custom" o:connectlocs="120652,0;8001000,0;8001000,0;8001000,603248;7880348,723900;0,723900;0,723900;0,120652;120652,0" o:connectangles="0,0,0,0,0,0,0,0,0"/>
                <w10:wrap anchorx="margin"/>
              </v:shape>
            </w:pict>
          </mc:Fallback>
        </mc:AlternateContent>
      </w:r>
    </w:p>
    <w:p w14:paraId="6EB7CDAE" w14:textId="77777777" w:rsidR="00A82200" w:rsidRDefault="00A82200" w:rsidP="00A82200"/>
    <w:p w14:paraId="1C5A830D" w14:textId="77777777" w:rsidR="00A82200" w:rsidRDefault="00A82200" w:rsidP="00A82200">
      <w:pPr>
        <w:spacing w:line="360" w:lineRule="auto"/>
        <w:jc w:val="both"/>
        <w:rPr>
          <w:rFonts w:ascii="Times New Roman" w:eastAsia="Times New Roman" w:hAnsi="Times New Roman" w:cs="Times New Roman"/>
          <w:b/>
          <w:color w:val="002060"/>
          <w:sz w:val="24"/>
          <w:szCs w:val="24"/>
        </w:rPr>
      </w:pPr>
    </w:p>
    <w:p w14:paraId="5762407E" w14:textId="77777777" w:rsidR="00A82200" w:rsidRDefault="00A82200" w:rsidP="00A82200">
      <w:pPr>
        <w:spacing w:line="360" w:lineRule="auto"/>
        <w:jc w:val="both"/>
        <w:rPr>
          <w:rFonts w:ascii="Times New Roman" w:eastAsia="Times New Roman" w:hAnsi="Times New Roman" w:cs="Times New Roman"/>
          <w:b/>
          <w:color w:val="002060"/>
          <w:sz w:val="24"/>
          <w:szCs w:val="24"/>
        </w:rPr>
      </w:pPr>
      <w:r>
        <w:rPr>
          <w:rFonts w:ascii="Times New Roman" w:eastAsia="Times New Roman" w:hAnsi="Times New Roman" w:cs="Times New Roman"/>
          <w:b/>
          <w:noProof/>
          <w:color w:val="002060"/>
          <w:sz w:val="24"/>
          <w:szCs w:val="24"/>
          <w:lang w:val="en-GB" w:eastAsia="en-GB"/>
        </w:rPr>
        <w:drawing>
          <wp:anchor distT="0" distB="0" distL="114300" distR="114300" simplePos="0" relativeHeight="251661312" behindDoc="0" locked="0" layoutInCell="1" allowOverlap="1" wp14:anchorId="7AED01BD" wp14:editId="7168AA17">
            <wp:simplePos x="0" y="0"/>
            <wp:positionH relativeFrom="column">
              <wp:posOffset>4692015</wp:posOffset>
            </wp:positionH>
            <wp:positionV relativeFrom="paragraph">
              <wp:posOffset>154940</wp:posOffset>
            </wp:positionV>
            <wp:extent cx="1314450" cy="131445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margin">
              <wp14:pctWidth>0</wp14:pctWidth>
            </wp14:sizeRelH>
            <wp14:sizeRelV relativeFrom="margin">
              <wp14:pctHeight>0</wp14:pctHeight>
            </wp14:sizeRelV>
          </wp:anchor>
        </w:drawing>
      </w:r>
    </w:p>
    <w:p w14:paraId="6F511982" w14:textId="77777777" w:rsidR="00A82200" w:rsidRDefault="00A82200" w:rsidP="00A82200">
      <w:pPr>
        <w:spacing w:line="360" w:lineRule="auto"/>
        <w:jc w:val="both"/>
        <w:rPr>
          <w:rFonts w:ascii="Century Gothic" w:eastAsia="Times New Roman" w:hAnsi="Century Gothic" w:cs="Times New Roman"/>
          <w:b/>
          <w:color w:val="002060"/>
          <w:sz w:val="36"/>
          <w:szCs w:val="24"/>
        </w:rPr>
      </w:pPr>
    </w:p>
    <w:p w14:paraId="154C741C" w14:textId="77777777" w:rsidR="00A82200" w:rsidRDefault="00A82200" w:rsidP="00A82200">
      <w:pPr>
        <w:spacing w:line="360" w:lineRule="auto"/>
        <w:jc w:val="both"/>
        <w:rPr>
          <w:rFonts w:ascii="Century Gothic" w:eastAsia="Times New Roman" w:hAnsi="Century Gothic" w:cs="Times New Roman"/>
          <w:b/>
          <w:color w:val="002060"/>
          <w:sz w:val="36"/>
          <w:szCs w:val="24"/>
        </w:rPr>
      </w:pPr>
    </w:p>
    <w:p w14:paraId="310F0E98" w14:textId="77777777" w:rsidR="00A82200" w:rsidRDefault="00A82200" w:rsidP="00A82200">
      <w:pPr>
        <w:spacing w:line="360" w:lineRule="auto"/>
        <w:jc w:val="both"/>
        <w:rPr>
          <w:rFonts w:ascii="Century Gothic" w:eastAsia="Times New Roman" w:hAnsi="Century Gothic" w:cs="Times New Roman"/>
          <w:b/>
          <w:color w:val="002060"/>
          <w:sz w:val="36"/>
          <w:szCs w:val="24"/>
        </w:rPr>
      </w:pPr>
    </w:p>
    <w:p w14:paraId="74248DAB" w14:textId="77777777" w:rsidR="00A82200" w:rsidRPr="00A82200" w:rsidRDefault="00A82200" w:rsidP="00A82200">
      <w:pPr>
        <w:spacing w:line="360" w:lineRule="auto"/>
        <w:jc w:val="both"/>
        <w:rPr>
          <w:rFonts w:ascii="Century Gothic" w:eastAsia="Times New Roman" w:hAnsi="Century Gothic" w:cs="Times New Roman"/>
          <w:b/>
          <w:color w:val="002060"/>
          <w:sz w:val="36"/>
          <w:szCs w:val="24"/>
        </w:rPr>
      </w:pPr>
      <w:r w:rsidRPr="00A82200">
        <w:rPr>
          <w:rFonts w:ascii="Century Gothic" w:eastAsia="Times New Roman" w:hAnsi="Century Gothic" w:cs="Times New Roman"/>
          <w:b/>
          <w:color w:val="002060"/>
          <w:sz w:val="36"/>
          <w:szCs w:val="24"/>
        </w:rPr>
        <w:t>Insumos Informe País</w:t>
      </w:r>
    </w:p>
    <w:p w14:paraId="2080C93A" w14:textId="77777777" w:rsidR="00A82200" w:rsidRPr="00A82200" w:rsidRDefault="00A82200" w:rsidP="00A82200">
      <w:pPr>
        <w:jc w:val="both"/>
        <w:rPr>
          <w:rFonts w:ascii="Times New Roman" w:hAnsi="Times New Roman" w:cs="Times New Roman"/>
          <w:b/>
          <w:sz w:val="24"/>
        </w:rPr>
      </w:pPr>
    </w:p>
    <w:p w14:paraId="40B0F812" w14:textId="1B482821" w:rsidR="00A82200" w:rsidRPr="00A82200" w:rsidRDefault="00A82200" w:rsidP="00A82200">
      <w:pPr>
        <w:jc w:val="both"/>
        <w:rPr>
          <w:rFonts w:ascii="Cambria" w:hAnsi="Cambria" w:cstheme="minorHAnsi"/>
          <w:lang w:val="es-DO"/>
        </w:rPr>
      </w:pPr>
      <w:r w:rsidRPr="00131048">
        <w:rPr>
          <w:rFonts w:ascii="Cambria" w:hAnsi="Cambria" w:cstheme="minorHAnsi"/>
          <w:lang w:val="es-DO"/>
        </w:rPr>
        <w:t xml:space="preserve">El siguiente documento da respuesta a la solicitud </w:t>
      </w:r>
      <w:r>
        <w:rPr>
          <w:rFonts w:ascii="Cambria" w:hAnsi="Cambria" w:cstheme="minorHAnsi"/>
          <w:lang w:val="es-DO"/>
        </w:rPr>
        <w:t xml:space="preserve">vía correo electrónico </w:t>
      </w:r>
      <w:r w:rsidRPr="00131048">
        <w:rPr>
          <w:rFonts w:ascii="Cambria" w:hAnsi="Cambria" w:cstheme="minorHAnsi"/>
          <w:lang w:val="es-DO"/>
        </w:rPr>
        <w:t xml:space="preserve">del Ministerio </w:t>
      </w:r>
      <w:r>
        <w:rPr>
          <w:rFonts w:ascii="Cambria" w:hAnsi="Cambria" w:cstheme="minorHAnsi"/>
          <w:lang w:val="es-DO"/>
        </w:rPr>
        <w:t>de Relaciones Exteriores</w:t>
      </w:r>
      <w:r w:rsidRPr="00131048">
        <w:rPr>
          <w:rFonts w:ascii="Cambria" w:hAnsi="Cambria" w:cstheme="minorHAnsi"/>
          <w:lang w:val="es-DO"/>
        </w:rPr>
        <w:t xml:space="preserve">, </w:t>
      </w:r>
      <w:r>
        <w:rPr>
          <w:rFonts w:ascii="Cambria" w:hAnsi="Cambria" w:cstheme="minorHAnsi"/>
          <w:lang w:val="es-DO"/>
        </w:rPr>
        <w:t>de fecha 17 de marzo del 2021</w:t>
      </w:r>
      <w:r w:rsidRPr="00131048">
        <w:rPr>
          <w:rFonts w:ascii="Cambria" w:hAnsi="Cambria" w:cstheme="minorHAnsi"/>
          <w:lang w:val="es-DO"/>
        </w:rPr>
        <w:t xml:space="preserve">, con fines de obtener insumos que aporten a la elaboración del </w:t>
      </w:r>
      <w:r w:rsidRPr="00131048">
        <w:rPr>
          <w:rFonts w:ascii="Cambria" w:hAnsi="Cambria" w:cstheme="minorHAnsi"/>
          <w:b/>
          <w:bCs/>
          <w:lang w:val="es-DO"/>
        </w:rPr>
        <w:t xml:space="preserve">Informe de país </w:t>
      </w:r>
      <w:r w:rsidRPr="00A82200">
        <w:rPr>
          <w:rFonts w:ascii="Cambria" w:hAnsi="Cambria" w:cstheme="minorHAnsi"/>
          <w:b/>
          <w:bCs/>
          <w:lang w:val="es-DO"/>
        </w:rPr>
        <w:t>requerid</w:t>
      </w:r>
      <w:r w:rsidR="006223E5">
        <w:rPr>
          <w:rFonts w:ascii="Cambria" w:hAnsi="Cambria" w:cstheme="minorHAnsi"/>
          <w:b/>
          <w:bCs/>
          <w:lang w:val="es-DO"/>
        </w:rPr>
        <w:t>o</w:t>
      </w:r>
      <w:r w:rsidRPr="00A82200">
        <w:rPr>
          <w:rFonts w:ascii="Cambria" w:hAnsi="Cambria" w:cstheme="minorHAnsi"/>
          <w:b/>
          <w:bCs/>
          <w:lang w:val="es-DO"/>
        </w:rPr>
        <w:t xml:space="preserve"> en virtud de la resolución 42/12 del Consejo de Derechos Humanos de las Naciones Unidas</w:t>
      </w:r>
      <w:r w:rsidR="001A3957" w:rsidRPr="001A3957">
        <w:rPr>
          <w:rFonts w:ascii="Cambria" w:hAnsi="Cambria" w:cstheme="minorHAnsi"/>
          <w:b/>
          <w:bCs/>
          <w:lang w:val="es-DO"/>
        </w:rPr>
        <w:t xml:space="preserve"> </w:t>
      </w:r>
      <w:r w:rsidR="001A3957">
        <w:rPr>
          <w:rFonts w:ascii="Cambria" w:hAnsi="Cambria" w:cstheme="minorHAnsi"/>
          <w:b/>
          <w:bCs/>
          <w:lang w:val="es-DO"/>
        </w:rPr>
        <w:t>que</w:t>
      </w:r>
      <w:r w:rsidR="001A3957" w:rsidRPr="001A3957">
        <w:rPr>
          <w:rFonts w:ascii="Cambria" w:hAnsi="Cambria" w:cstheme="minorHAnsi"/>
          <w:b/>
          <w:bCs/>
          <w:lang w:val="es-DO"/>
        </w:rPr>
        <w:t xml:space="preserve"> está elaborando</w:t>
      </w:r>
      <w:r w:rsidR="001A3957">
        <w:rPr>
          <w:rFonts w:ascii="Cambria" w:hAnsi="Cambria" w:cstheme="minorHAnsi"/>
          <w:b/>
          <w:bCs/>
          <w:lang w:val="es-DO"/>
        </w:rPr>
        <w:t xml:space="preserve"> </w:t>
      </w:r>
      <w:r w:rsidR="001A3957">
        <w:rPr>
          <w:rFonts w:ascii="Cambria" w:hAnsi="Cambria" w:cstheme="minorHAnsi"/>
          <w:b/>
          <w:bCs/>
          <w:lang w:val="es-DO"/>
        </w:rPr>
        <w:lastRenderedPageBreak/>
        <w:t>el</w:t>
      </w:r>
      <w:r w:rsidR="001A3957" w:rsidRPr="001A3957">
        <w:rPr>
          <w:rFonts w:ascii="Cambria" w:hAnsi="Cambria" w:cstheme="minorHAnsi"/>
          <w:b/>
          <w:bCs/>
          <w:lang w:val="es-DO"/>
        </w:rPr>
        <w:t xml:space="preserve"> Consejo Nacional </w:t>
      </w:r>
      <w:r w:rsidR="006223E5">
        <w:rPr>
          <w:rFonts w:ascii="Cambria" w:hAnsi="Cambria" w:cstheme="minorHAnsi"/>
          <w:b/>
          <w:bCs/>
          <w:lang w:val="es-DO"/>
        </w:rPr>
        <w:t>d</w:t>
      </w:r>
      <w:r w:rsidR="001A3957" w:rsidRPr="001A3957">
        <w:rPr>
          <w:rFonts w:ascii="Cambria" w:hAnsi="Cambria" w:cstheme="minorHAnsi"/>
          <w:b/>
          <w:bCs/>
          <w:lang w:val="es-DO"/>
        </w:rPr>
        <w:t xml:space="preserve">e </w:t>
      </w:r>
      <w:r w:rsidR="006223E5">
        <w:rPr>
          <w:rFonts w:ascii="Cambria" w:hAnsi="Cambria" w:cstheme="minorHAnsi"/>
          <w:b/>
          <w:bCs/>
          <w:lang w:val="es-DO"/>
        </w:rPr>
        <w:t>l</w:t>
      </w:r>
      <w:r w:rsidR="001A3957" w:rsidRPr="001A3957">
        <w:rPr>
          <w:rFonts w:ascii="Cambria" w:hAnsi="Cambria" w:cstheme="minorHAnsi"/>
          <w:b/>
          <w:bCs/>
          <w:lang w:val="es-DO"/>
        </w:rPr>
        <w:t xml:space="preserve">a Persona Envejeciente </w:t>
      </w:r>
      <w:r w:rsidR="001A3957">
        <w:rPr>
          <w:rFonts w:ascii="Cambria" w:hAnsi="Cambria" w:cstheme="minorHAnsi"/>
          <w:b/>
          <w:bCs/>
          <w:lang w:val="es-DO"/>
        </w:rPr>
        <w:t>-CONAPE.</w:t>
      </w:r>
      <w:r>
        <w:rPr>
          <w:rFonts w:ascii="Cambria" w:hAnsi="Cambria" w:cstheme="minorHAnsi"/>
          <w:b/>
          <w:bCs/>
          <w:lang w:val="es-DO"/>
        </w:rPr>
        <w:t xml:space="preserve"> </w:t>
      </w:r>
      <w:r w:rsidR="002752B3">
        <w:rPr>
          <w:rFonts w:ascii="Cambria" w:hAnsi="Cambria" w:cstheme="minorHAnsi"/>
          <w:bCs/>
          <w:lang w:val="es-DO"/>
        </w:rPr>
        <w:t>(MPRD-ONU-GI-048-2021-</w:t>
      </w:r>
      <w:r w:rsidR="002752B3" w:rsidRPr="002752B3">
        <w:rPr>
          <w:rFonts w:ascii="Cambria" w:hAnsi="Cambria" w:cstheme="minorHAnsi"/>
          <w:bCs/>
          <w:lang w:val="es-DO"/>
        </w:rPr>
        <w:t>Carta de la Experta Independiente sobre el disfrute de todos los derechos humanos de las personas de edad</w:t>
      </w:r>
      <w:r w:rsidR="002752B3">
        <w:rPr>
          <w:rFonts w:ascii="Cambria" w:hAnsi="Cambria" w:cstheme="minorHAnsi"/>
          <w:bCs/>
          <w:lang w:val="es-DO"/>
        </w:rPr>
        <w:t>)</w:t>
      </w:r>
    </w:p>
    <w:p w14:paraId="07B47F94" w14:textId="77777777" w:rsidR="00A82200" w:rsidRPr="00A82200" w:rsidRDefault="00A82200" w:rsidP="00A82200">
      <w:pPr>
        <w:spacing w:line="360" w:lineRule="auto"/>
        <w:jc w:val="both"/>
        <w:rPr>
          <w:rFonts w:ascii="Times New Roman" w:hAnsi="Times New Roman" w:cs="Times New Roman"/>
          <w:sz w:val="24"/>
          <w:lang w:val="es-DO"/>
        </w:rPr>
      </w:pPr>
    </w:p>
    <w:p w14:paraId="328F0B83" w14:textId="77777777" w:rsidR="00A82200" w:rsidRPr="00A82200" w:rsidRDefault="00A82200" w:rsidP="00A82200">
      <w:pPr>
        <w:spacing w:line="360" w:lineRule="auto"/>
        <w:jc w:val="both"/>
        <w:rPr>
          <w:rFonts w:ascii="Times New Roman" w:hAnsi="Times New Roman" w:cs="Times New Roman"/>
          <w:sz w:val="24"/>
        </w:rPr>
      </w:pPr>
    </w:p>
    <w:p w14:paraId="34B963A7" w14:textId="77777777" w:rsidR="00A82200" w:rsidRPr="00A82200" w:rsidRDefault="00A82200" w:rsidP="00A82200">
      <w:pPr>
        <w:spacing w:line="360" w:lineRule="auto"/>
        <w:jc w:val="both"/>
        <w:rPr>
          <w:rFonts w:ascii="Times New Roman" w:hAnsi="Times New Roman" w:cs="Times New Roman"/>
          <w:sz w:val="24"/>
        </w:rPr>
      </w:pPr>
    </w:p>
    <w:p w14:paraId="4730C6F3" w14:textId="77777777" w:rsidR="00A82200" w:rsidRPr="00A82200" w:rsidRDefault="00A82200" w:rsidP="00A82200">
      <w:pPr>
        <w:spacing w:line="360" w:lineRule="auto"/>
        <w:jc w:val="both"/>
        <w:rPr>
          <w:rFonts w:ascii="Times New Roman" w:hAnsi="Times New Roman" w:cs="Times New Roman"/>
          <w:sz w:val="24"/>
        </w:rPr>
      </w:pPr>
    </w:p>
    <w:p w14:paraId="354D247B" w14:textId="77777777" w:rsidR="00A82200" w:rsidRPr="00A82200" w:rsidRDefault="00A82200" w:rsidP="00A82200">
      <w:pPr>
        <w:spacing w:line="360" w:lineRule="auto"/>
        <w:jc w:val="both"/>
        <w:rPr>
          <w:rFonts w:ascii="Times New Roman" w:hAnsi="Times New Roman" w:cs="Times New Roman"/>
          <w:sz w:val="24"/>
        </w:rPr>
      </w:pPr>
    </w:p>
    <w:p w14:paraId="6B7D521B" w14:textId="77777777" w:rsidR="00A82200" w:rsidRPr="00A82200" w:rsidRDefault="00A82200" w:rsidP="00A82200">
      <w:pPr>
        <w:spacing w:line="360" w:lineRule="auto"/>
        <w:jc w:val="both"/>
        <w:rPr>
          <w:rFonts w:ascii="Times New Roman" w:hAnsi="Times New Roman" w:cs="Times New Roman"/>
          <w:sz w:val="24"/>
        </w:rPr>
      </w:pPr>
    </w:p>
    <w:p w14:paraId="41C3C454" w14:textId="77777777" w:rsidR="00A82200" w:rsidRPr="00A82200" w:rsidRDefault="00A82200" w:rsidP="00A82200">
      <w:pPr>
        <w:spacing w:line="360" w:lineRule="auto"/>
        <w:jc w:val="both"/>
        <w:rPr>
          <w:rFonts w:ascii="Times New Roman" w:hAnsi="Times New Roman" w:cs="Times New Roman"/>
          <w:sz w:val="24"/>
        </w:rPr>
      </w:pPr>
    </w:p>
    <w:p w14:paraId="0E4FA15C" w14:textId="77777777" w:rsidR="00A82200" w:rsidRPr="00A82200" w:rsidRDefault="00A82200" w:rsidP="00A82200">
      <w:pPr>
        <w:spacing w:line="360" w:lineRule="auto"/>
        <w:jc w:val="both"/>
        <w:rPr>
          <w:rFonts w:ascii="Times New Roman" w:hAnsi="Times New Roman" w:cs="Times New Roman"/>
          <w:sz w:val="24"/>
        </w:rPr>
      </w:pPr>
    </w:p>
    <w:p w14:paraId="1FEE0DE8" w14:textId="77777777" w:rsidR="00A82200" w:rsidRPr="00A82200" w:rsidRDefault="00A82200" w:rsidP="00A82200">
      <w:pPr>
        <w:spacing w:line="360" w:lineRule="auto"/>
        <w:jc w:val="both"/>
        <w:rPr>
          <w:rFonts w:ascii="Times New Roman" w:hAnsi="Times New Roman" w:cs="Times New Roman"/>
          <w:sz w:val="24"/>
        </w:rPr>
      </w:pPr>
    </w:p>
    <w:p w14:paraId="0A983BB3" w14:textId="77777777" w:rsidR="00A82200" w:rsidRPr="00A82200" w:rsidRDefault="00A82200" w:rsidP="00A82200">
      <w:pPr>
        <w:spacing w:line="360" w:lineRule="auto"/>
        <w:jc w:val="both"/>
        <w:rPr>
          <w:rFonts w:ascii="Times New Roman" w:hAnsi="Times New Roman" w:cs="Times New Roman"/>
          <w:sz w:val="24"/>
        </w:rPr>
      </w:pPr>
    </w:p>
    <w:p w14:paraId="0D370145" w14:textId="77777777" w:rsidR="00A82200" w:rsidRPr="00A82200" w:rsidRDefault="00A82200" w:rsidP="00A82200">
      <w:pPr>
        <w:spacing w:line="360" w:lineRule="auto"/>
        <w:jc w:val="both"/>
        <w:rPr>
          <w:rFonts w:ascii="Times New Roman" w:hAnsi="Times New Roman" w:cs="Times New Roman"/>
          <w:sz w:val="24"/>
        </w:rPr>
      </w:pPr>
    </w:p>
    <w:p w14:paraId="70E74CB8" w14:textId="77777777" w:rsidR="00A82200" w:rsidRDefault="00A82200">
      <w:pPr>
        <w:pStyle w:val="Heading4"/>
        <w:keepNext w:val="0"/>
        <w:keepLines w:val="0"/>
        <w:shd w:val="clear" w:color="auto" w:fill="FFFFFF"/>
        <w:spacing w:before="120" w:after="0" w:line="252" w:lineRule="auto"/>
        <w:ind w:left="600" w:right="880"/>
        <w:jc w:val="both"/>
        <w:rPr>
          <w:rFonts w:ascii="Times New Roman" w:eastAsia="Times New Roman" w:hAnsi="Times New Roman" w:cs="Times New Roman"/>
          <w:b/>
          <w:color w:val="000000"/>
          <w:sz w:val="22"/>
          <w:szCs w:val="22"/>
        </w:rPr>
      </w:pPr>
    </w:p>
    <w:p w14:paraId="1BAAED3B" w14:textId="77777777" w:rsidR="00A82200" w:rsidRDefault="00A82200">
      <w:pPr>
        <w:pStyle w:val="Heading4"/>
        <w:keepNext w:val="0"/>
        <w:keepLines w:val="0"/>
        <w:shd w:val="clear" w:color="auto" w:fill="FFFFFF"/>
        <w:spacing w:before="120" w:after="0" w:line="252" w:lineRule="auto"/>
        <w:ind w:left="600" w:right="880"/>
        <w:jc w:val="both"/>
        <w:rPr>
          <w:rFonts w:ascii="Times New Roman" w:eastAsia="Times New Roman" w:hAnsi="Times New Roman" w:cs="Times New Roman"/>
          <w:b/>
          <w:color w:val="000000"/>
          <w:sz w:val="22"/>
          <w:szCs w:val="22"/>
        </w:rPr>
      </w:pPr>
    </w:p>
    <w:p w14:paraId="616136AD" w14:textId="77777777" w:rsidR="00A82200" w:rsidRDefault="00A82200">
      <w:pPr>
        <w:pStyle w:val="Heading4"/>
        <w:keepNext w:val="0"/>
        <w:keepLines w:val="0"/>
        <w:shd w:val="clear" w:color="auto" w:fill="FFFFFF"/>
        <w:spacing w:before="120" w:after="0" w:line="252" w:lineRule="auto"/>
        <w:ind w:left="600" w:right="880"/>
        <w:jc w:val="both"/>
        <w:rPr>
          <w:rFonts w:ascii="Times New Roman" w:eastAsia="Times New Roman" w:hAnsi="Times New Roman" w:cs="Times New Roman"/>
          <w:b/>
          <w:color w:val="000000"/>
          <w:sz w:val="22"/>
          <w:szCs w:val="22"/>
        </w:rPr>
      </w:pPr>
    </w:p>
    <w:p w14:paraId="425051E1" w14:textId="77777777" w:rsidR="00A82200" w:rsidRDefault="00A82200">
      <w:pPr>
        <w:pStyle w:val="Heading4"/>
        <w:keepNext w:val="0"/>
        <w:keepLines w:val="0"/>
        <w:shd w:val="clear" w:color="auto" w:fill="FFFFFF"/>
        <w:spacing w:before="120" w:after="0" w:line="252" w:lineRule="auto"/>
        <w:ind w:left="600" w:right="880"/>
        <w:jc w:val="both"/>
        <w:rPr>
          <w:rFonts w:ascii="Times New Roman" w:eastAsia="Times New Roman" w:hAnsi="Times New Roman" w:cs="Times New Roman"/>
          <w:b/>
          <w:color w:val="000000"/>
          <w:sz w:val="22"/>
          <w:szCs w:val="22"/>
        </w:rPr>
      </w:pPr>
    </w:p>
    <w:p w14:paraId="308D0425" w14:textId="2270FE86" w:rsidR="00A82200" w:rsidRDefault="00F91B48" w:rsidP="00F91B48">
      <w:pPr>
        <w:pStyle w:val="Heading4"/>
        <w:keepNext w:val="0"/>
        <w:keepLines w:val="0"/>
        <w:shd w:val="clear" w:color="auto" w:fill="FFFFFF"/>
        <w:spacing w:before="120" w:after="0" w:line="252" w:lineRule="auto"/>
        <w:ind w:left="600" w:right="88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Fecha de </w:t>
      </w:r>
      <w:r w:rsidR="002752B3">
        <w:rPr>
          <w:rFonts w:ascii="Times New Roman" w:eastAsia="Times New Roman" w:hAnsi="Times New Roman" w:cs="Times New Roman"/>
          <w:b/>
          <w:color w:val="000000"/>
          <w:sz w:val="22"/>
          <w:szCs w:val="22"/>
        </w:rPr>
        <w:t xml:space="preserve">elaboración </w:t>
      </w:r>
      <w:r w:rsidR="00041374">
        <w:rPr>
          <w:rFonts w:ascii="Times New Roman" w:eastAsia="Times New Roman" w:hAnsi="Times New Roman" w:cs="Times New Roman"/>
          <w:b/>
          <w:color w:val="000000"/>
          <w:sz w:val="22"/>
          <w:szCs w:val="22"/>
        </w:rPr>
        <w:t>18 de</w:t>
      </w:r>
      <w:r>
        <w:rPr>
          <w:rFonts w:ascii="Times New Roman" w:eastAsia="Times New Roman" w:hAnsi="Times New Roman" w:cs="Times New Roman"/>
          <w:b/>
          <w:color w:val="000000"/>
          <w:sz w:val="22"/>
          <w:szCs w:val="22"/>
        </w:rPr>
        <w:t xml:space="preserve"> marzo 2021</w:t>
      </w:r>
    </w:p>
    <w:p w14:paraId="4E309E11" w14:textId="77777777" w:rsidR="00A82200" w:rsidRDefault="00A82200" w:rsidP="003E7865">
      <w:pPr>
        <w:pStyle w:val="Heading4"/>
        <w:keepNext w:val="0"/>
        <w:keepLines w:val="0"/>
        <w:shd w:val="clear" w:color="auto" w:fill="FFFFFF"/>
        <w:spacing w:before="120" w:after="0" w:line="252" w:lineRule="auto"/>
        <w:ind w:right="880"/>
        <w:jc w:val="both"/>
        <w:rPr>
          <w:rFonts w:ascii="Times New Roman" w:eastAsia="Times New Roman" w:hAnsi="Times New Roman" w:cs="Times New Roman"/>
          <w:b/>
          <w:color w:val="000000"/>
          <w:sz w:val="22"/>
          <w:szCs w:val="22"/>
        </w:rPr>
      </w:pPr>
    </w:p>
    <w:p w14:paraId="00000001" w14:textId="625ABDCF" w:rsidR="00013295" w:rsidRPr="00B137E1" w:rsidRDefault="00875009">
      <w:pPr>
        <w:pStyle w:val="Heading4"/>
        <w:keepNext w:val="0"/>
        <w:keepLines w:val="0"/>
        <w:shd w:val="clear" w:color="auto" w:fill="FFFFFF"/>
        <w:spacing w:before="120" w:after="0" w:line="252" w:lineRule="auto"/>
        <w:ind w:left="600" w:right="880"/>
        <w:jc w:val="both"/>
        <w:rPr>
          <w:rFonts w:ascii="Times New Roman" w:eastAsia="Times New Roman" w:hAnsi="Times New Roman" w:cs="Times New Roman"/>
          <w:b/>
          <w:color w:val="000000"/>
          <w:sz w:val="22"/>
          <w:szCs w:val="22"/>
        </w:rPr>
      </w:pPr>
      <w:r w:rsidRPr="00B137E1">
        <w:rPr>
          <w:rFonts w:ascii="Times New Roman" w:eastAsia="Times New Roman" w:hAnsi="Times New Roman" w:cs="Times New Roman"/>
          <w:b/>
          <w:color w:val="000000"/>
          <w:sz w:val="22"/>
          <w:szCs w:val="22"/>
        </w:rPr>
        <w:t xml:space="preserve">Los derechos de las mujeres de edad en la legislación, las políticas y los programas internacionales, regionales y nacionales </w:t>
      </w:r>
    </w:p>
    <w:p w14:paraId="00000002" w14:textId="77777777" w:rsidR="00013295" w:rsidRPr="00B137E1" w:rsidRDefault="00013295">
      <w:pPr>
        <w:jc w:val="both"/>
        <w:rPr>
          <w:rFonts w:ascii="Times New Roman" w:eastAsia="Times New Roman" w:hAnsi="Times New Roman" w:cs="Times New Roman"/>
        </w:rPr>
      </w:pPr>
    </w:p>
    <w:p w14:paraId="00000003" w14:textId="280E3F65" w:rsidR="00013295" w:rsidRPr="00467851" w:rsidRDefault="00875009" w:rsidP="00875009">
      <w:pPr>
        <w:pStyle w:val="ListParagraph"/>
        <w:numPr>
          <w:ilvl w:val="0"/>
          <w:numId w:val="1"/>
        </w:numPr>
        <w:shd w:val="clear" w:color="auto" w:fill="FFFFFF"/>
        <w:spacing w:before="120" w:line="256" w:lineRule="auto"/>
        <w:ind w:right="880"/>
        <w:jc w:val="both"/>
        <w:rPr>
          <w:rFonts w:ascii="Times New Roman" w:eastAsia="Times New Roman" w:hAnsi="Times New Roman" w:cs="Times New Roman"/>
          <w:b/>
        </w:rPr>
      </w:pPr>
      <w:r w:rsidRPr="00875009">
        <w:rPr>
          <w:rFonts w:ascii="Times New Roman" w:eastAsia="Times New Roman" w:hAnsi="Times New Roman" w:cs="Times New Roman"/>
          <w:b/>
        </w:rPr>
        <w:t xml:space="preserve">¿Qué instrumentos jurídicos, políticas y programas existen para hacer </w:t>
      </w:r>
      <w:r w:rsidRPr="00467851">
        <w:rPr>
          <w:rFonts w:ascii="Times New Roman" w:eastAsia="Times New Roman" w:hAnsi="Times New Roman" w:cs="Times New Roman"/>
          <w:b/>
        </w:rPr>
        <w:t xml:space="preserve">frente a los problemas particulares que enfrentan las mujeres de edad, y cómo se aplican y monitorean? </w:t>
      </w:r>
    </w:p>
    <w:p w14:paraId="3969B9EB" w14:textId="77777777" w:rsidR="00875009" w:rsidRPr="00875009" w:rsidRDefault="00875009" w:rsidP="00875009">
      <w:pPr>
        <w:pStyle w:val="ListParagraph"/>
        <w:shd w:val="clear" w:color="auto" w:fill="FFFFFF"/>
        <w:spacing w:before="120" w:line="256" w:lineRule="auto"/>
        <w:ind w:left="1375" w:right="880"/>
        <w:jc w:val="both"/>
        <w:rPr>
          <w:rFonts w:ascii="Times New Roman" w:eastAsia="Times New Roman" w:hAnsi="Times New Roman" w:cs="Times New Roman"/>
          <w:b/>
        </w:rPr>
      </w:pPr>
    </w:p>
    <w:p w14:paraId="00000004" w14:textId="772A1EAD" w:rsidR="00013295" w:rsidRPr="00E6331F" w:rsidRDefault="00875009" w:rsidP="00004265">
      <w:pPr>
        <w:pStyle w:val="NoSpacing"/>
        <w:numPr>
          <w:ilvl w:val="0"/>
          <w:numId w:val="2"/>
        </w:numPr>
        <w:jc w:val="both"/>
        <w:rPr>
          <w:rFonts w:ascii="Times New Roman" w:hAnsi="Times New Roman" w:cs="Times New Roman"/>
          <w:lang w:val="es-ES"/>
        </w:rPr>
      </w:pPr>
      <w:r w:rsidRPr="00E6331F">
        <w:rPr>
          <w:rFonts w:ascii="Times New Roman" w:hAnsi="Times New Roman" w:cs="Times New Roman"/>
          <w:lang w:val="es-ES"/>
        </w:rPr>
        <w:t>La Constitución de la República Dominicana, en el artículo 57, establece la protección de las personas de la tercera edad.</w:t>
      </w:r>
    </w:p>
    <w:p w14:paraId="00000005" w14:textId="77777777" w:rsidR="00013295" w:rsidRPr="00E6331F" w:rsidRDefault="00875009" w:rsidP="00004265">
      <w:pPr>
        <w:pStyle w:val="NoSpacing"/>
        <w:numPr>
          <w:ilvl w:val="0"/>
          <w:numId w:val="2"/>
        </w:numPr>
        <w:jc w:val="both"/>
        <w:rPr>
          <w:rFonts w:ascii="Times New Roman" w:hAnsi="Times New Roman" w:cs="Times New Roman"/>
          <w:lang w:val="es-ES"/>
        </w:rPr>
      </w:pPr>
      <w:r w:rsidRPr="00E6331F">
        <w:rPr>
          <w:rFonts w:ascii="Times New Roman" w:hAnsi="Times New Roman" w:cs="Times New Roman"/>
          <w:lang w:val="es-ES"/>
        </w:rPr>
        <w:t>Actualmente existe la Ley No. 352-98, sobre Protección de la Persona Envejeciente, que de manera general garantiza derechos a las personas envejecientes, incluidas las mujeres.</w:t>
      </w:r>
    </w:p>
    <w:p w14:paraId="00000006" w14:textId="77777777" w:rsidR="00013295" w:rsidRPr="00E6331F" w:rsidRDefault="00875009" w:rsidP="00004265">
      <w:pPr>
        <w:pStyle w:val="NoSpacing"/>
        <w:numPr>
          <w:ilvl w:val="0"/>
          <w:numId w:val="2"/>
        </w:numPr>
        <w:jc w:val="both"/>
        <w:rPr>
          <w:rFonts w:ascii="Times New Roman" w:hAnsi="Times New Roman" w:cs="Times New Roman"/>
          <w:lang w:val="es-ES"/>
        </w:rPr>
      </w:pPr>
      <w:r w:rsidRPr="00E6331F">
        <w:rPr>
          <w:rFonts w:ascii="Times New Roman" w:hAnsi="Times New Roman" w:cs="Times New Roman"/>
          <w:lang w:val="es-ES"/>
        </w:rPr>
        <w:t xml:space="preserve">Ley 87-01, instituye que el objetivo de esta ley es establecer el Sistema Dominicano de Seguridad Social (SDSS). En el marco de la Constitución de la República Dominicana, para regular y desarrollar los derechos y deberes recíprocos del Estado y de los ciudadanos en lo concerniente al financiamiento para la protección de la población contra los riesgos de vejez, discapacidad, cesantía por edad avanzada, sobrevivencia, enfermedad, maternidad, infancia y riesgos laborales. </w:t>
      </w:r>
    </w:p>
    <w:p w14:paraId="00000007" w14:textId="77777777" w:rsidR="00013295" w:rsidRPr="00E6331F" w:rsidRDefault="00875009" w:rsidP="00004265">
      <w:pPr>
        <w:pStyle w:val="NoSpacing"/>
        <w:numPr>
          <w:ilvl w:val="0"/>
          <w:numId w:val="2"/>
        </w:numPr>
        <w:jc w:val="both"/>
        <w:rPr>
          <w:rFonts w:ascii="Times New Roman" w:hAnsi="Times New Roman" w:cs="Times New Roman"/>
          <w:lang w:val="es-ES"/>
        </w:rPr>
      </w:pPr>
      <w:r w:rsidRPr="00E6331F">
        <w:rPr>
          <w:rFonts w:ascii="Times New Roman" w:hAnsi="Times New Roman" w:cs="Times New Roman"/>
          <w:lang w:val="es-ES"/>
        </w:rPr>
        <w:t xml:space="preserve">Código Civil: Que establece en sus artículos 205 y siguientes la obligación de los hijos con sus padres. </w:t>
      </w:r>
    </w:p>
    <w:p w14:paraId="00000008" w14:textId="17D6242C" w:rsidR="00013295" w:rsidRPr="00467851" w:rsidRDefault="003C4ACD" w:rsidP="00004265">
      <w:pPr>
        <w:pStyle w:val="NoSpacing"/>
        <w:numPr>
          <w:ilvl w:val="0"/>
          <w:numId w:val="2"/>
        </w:numPr>
        <w:jc w:val="both"/>
        <w:rPr>
          <w:rFonts w:ascii="Times New Roman" w:hAnsi="Times New Roman" w:cs="Times New Roman"/>
          <w:lang w:val="es-ES"/>
        </w:rPr>
      </w:pPr>
      <w:r w:rsidRPr="00467851">
        <w:rPr>
          <w:rFonts w:ascii="Times New Roman" w:hAnsi="Times New Roman" w:cs="Times New Roman"/>
          <w:lang w:val="es-ES"/>
        </w:rPr>
        <w:t>Ley No.</w:t>
      </w:r>
      <w:r w:rsidR="00875009" w:rsidRPr="00467851">
        <w:rPr>
          <w:rFonts w:ascii="Times New Roman" w:hAnsi="Times New Roman" w:cs="Times New Roman"/>
          <w:lang w:val="es-ES"/>
        </w:rPr>
        <w:t xml:space="preserve"> 24-97, </w:t>
      </w:r>
      <w:r w:rsidR="006223E5" w:rsidRPr="00467851">
        <w:rPr>
          <w:rFonts w:ascii="Times New Roman" w:hAnsi="Times New Roman" w:cs="Times New Roman"/>
          <w:lang w:val="es-ES"/>
        </w:rPr>
        <w:t>s</w:t>
      </w:r>
      <w:r w:rsidR="00875009" w:rsidRPr="00467851">
        <w:rPr>
          <w:rFonts w:ascii="Times New Roman" w:hAnsi="Times New Roman" w:cs="Times New Roman"/>
          <w:lang w:val="es-ES"/>
        </w:rPr>
        <w:t xml:space="preserve">obre violencia intrafamiliar. </w:t>
      </w:r>
    </w:p>
    <w:p w14:paraId="1A1F746E" w14:textId="36D7A5B2" w:rsidR="00D10EF5" w:rsidRPr="00467851" w:rsidRDefault="00875009" w:rsidP="00D10EF5">
      <w:pPr>
        <w:pStyle w:val="NoSpacing"/>
        <w:numPr>
          <w:ilvl w:val="0"/>
          <w:numId w:val="2"/>
        </w:numPr>
        <w:jc w:val="both"/>
        <w:rPr>
          <w:rFonts w:ascii="Times New Roman" w:hAnsi="Times New Roman" w:cs="Times New Roman"/>
          <w:lang w:val="es-ES"/>
        </w:rPr>
      </w:pPr>
      <w:r w:rsidRPr="00467851">
        <w:rPr>
          <w:rFonts w:ascii="Times New Roman" w:hAnsi="Times New Roman" w:cs="Times New Roman"/>
          <w:lang w:val="es-ES"/>
        </w:rPr>
        <w:lastRenderedPageBreak/>
        <w:t>Código Procesal Penal: que contempla en su artículo 234, párrafo segundo,</w:t>
      </w:r>
      <w:r w:rsidR="00D10EF5" w:rsidRPr="00467851">
        <w:rPr>
          <w:rFonts w:ascii="Times New Roman" w:hAnsi="Times New Roman" w:cs="Times New Roman"/>
          <w:lang w:val="es-ES"/>
        </w:rPr>
        <w:t xml:space="preserve"> “No puede ordenarse la prisión preventiva de una persona mayor de setenta años, si se estima que, en caso de condena, no le es imponible una pena mayor a cinco años de privación de libertad. Tampoco procede ordenarla en perjuicio de mujeres embarazadas, de madres durante la lactancia o de personas afectadas por una enfermedad grave y terminal.”</w:t>
      </w:r>
    </w:p>
    <w:p w14:paraId="0000000A" w14:textId="6DFCE664" w:rsidR="00013295" w:rsidRPr="00D10EF5" w:rsidRDefault="00875009" w:rsidP="00D10EF5">
      <w:pPr>
        <w:pStyle w:val="NoSpacing"/>
        <w:numPr>
          <w:ilvl w:val="0"/>
          <w:numId w:val="2"/>
        </w:numPr>
        <w:jc w:val="both"/>
        <w:rPr>
          <w:rFonts w:ascii="Times New Roman" w:hAnsi="Times New Roman" w:cs="Times New Roman"/>
          <w:lang w:val="es-ES"/>
        </w:rPr>
      </w:pPr>
      <w:r w:rsidRPr="00D10EF5">
        <w:rPr>
          <w:rFonts w:ascii="Times New Roman" w:hAnsi="Times New Roman" w:cs="Times New Roman"/>
          <w:lang w:val="es-ES"/>
        </w:rPr>
        <w:t xml:space="preserve">Ley No. 1-12, de la Estrategia Nacional de Desarrollo (END-2030), impulsa a la creación de </w:t>
      </w:r>
      <w:r w:rsidR="003C4ACD" w:rsidRPr="00D10EF5">
        <w:rPr>
          <w:rFonts w:ascii="Times New Roman" w:hAnsi="Times New Roman" w:cs="Times New Roman"/>
          <w:lang w:val="es-ES"/>
        </w:rPr>
        <w:t>planes,</w:t>
      </w:r>
      <w:r w:rsidRPr="00D10EF5">
        <w:rPr>
          <w:rFonts w:ascii="Times New Roman" w:hAnsi="Times New Roman" w:cs="Times New Roman"/>
          <w:lang w:val="es-ES"/>
        </w:rPr>
        <w:t xml:space="preserve"> proyectos y programas a personas de mayores de edad, en los objetivos estratégicos sobre empleo y vivienda.</w:t>
      </w:r>
    </w:p>
    <w:p w14:paraId="0000000B" w14:textId="77777777" w:rsidR="00013295" w:rsidRPr="00E6331F" w:rsidRDefault="00875009" w:rsidP="00004265">
      <w:pPr>
        <w:pStyle w:val="NoSpacing"/>
        <w:numPr>
          <w:ilvl w:val="0"/>
          <w:numId w:val="2"/>
        </w:numPr>
        <w:jc w:val="both"/>
        <w:rPr>
          <w:rFonts w:ascii="Times New Roman" w:hAnsi="Times New Roman" w:cs="Times New Roman"/>
          <w:lang w:val="es-ES"/>
        </w:rPr>
      </w:pPr>
      <w:r w:rsidRPr="00E6331F">
        <w:rPr>
          <w:rFonts w:ascii="Times New Roman" w:hAnsi="Times New Roman" w:cs="Times New Roman"/>
          <w:lang w:val="es-ES"/>
        </w:rPr>
        <w:t>Decreto Núm. 1372-04, Reglamento de la Ley No. 352-98, sobre Protección de la Persona Envejeciente.</w:t>
      </w:r>
    </w:p>
    <w:p w14:paraId="15A002FF" w14:textId="77777777" w:rsidR="002752B3" w:rsidRDefault="00875009" w:rsidP="002752B3">
      <w:pPr>
        <w:pStyle w:val="NoSpacing"/>
        <w:numPr>
          <w:ilvl w:val="0"/>
          <w:numId w:val="2"/>
        </w:numPr>
        <w:jc w:val="both"/>
        <w:rPr>
          <w:rFonts w:ascii="Times New Roman" w:hAnsi="Times New Roman" w:cs="Times New Roman"/>
          <w:lang w:val="es-ES"/>
        </w:rPr>
      </w:pPr>
      <w:r w:rsidRPr="00E6331F">
        <w:rPr>
          <w:rFonts w:ascii="Times New Roman" w:hAnsi="Times New Roman" w:cs="Times New Roman"/>
          <w:lang w:val="es-ES"/>
        </w:rPr>
        <w:t>Decreto 1-21, que crea el Gabinete de las Mujeres, Adolescentes y Niñas.</w:t>
      </w:r>
    </w:p>
    <w:p w14:paraId="173B541F" w14:textId="1ED57175" w:rsidR="002752B3" w:rsidRDefault="002752B3" w:rsidP="003332D4">
      <w:pPr>
        <w:pStyle w:val="NoSpacing"/>
        <w:numPr>
          <w:ilvl w:val="0"/>
          <w:numId w:val="3"/>
        </w:numPr>
        <w:jc w:val="both"/>
        <w:rPr>
          <w:rFonts w:ascii="Times New Roman" w:hAnsi="Times New Roman" w:cs="Times New Roman"/>
          <w:lang w:val="es-ES"/>
        </w:rPr>
      </w:pPr>
      <w:r w:rsidRPr="002752B3">
        <w:rPr>
          <w:rFonts w:ascii="Times New Roman" w:hAnsi="Times New Roman" w:cs="Times New Roman"/>
          <w:lang w:val="es-ES"/>
        </w:rPr>
        <w:t xml:space="preserve">Plan Estratégico por una vida libre de </w:t>
      </w:r>
      <w:r w:rsidR="00A468E6">
        <w:rPr>
          <w:rFonts w:ascii="Times New Roman" w:hAnsi="Times New Roman" w:cs="Times New Roman"/>
          <w:lang w:val="es-ES"/>
        </w:rPr>
        <w:t>Violencia.</w:t>
      </w:r>
    </w:p>
    <w:p w14:paraId="0000000F" w14:textId="5A5CC791" w:rsidR="00013295" w:rsidRPr="002752B3" w:rsidRDefault="00875009" w:rsidP="003332D4">
      <w:pPr>
        <w:pStyle w:val="NoSpacing"/>
        <w:numPr>
          <w:ilvl w:val="0"/>
          <w:numId w:val="3"/>
        </w:numPr>
        <w:jc w:val="both"/>
        <w:rPr>
          <w:rFonts w:ascii="Times New Roman" w:hAnsi="Times New Roman" w:cs="Times New Roman"/>
          <w:lang w:val="es-ES"/>
        </w:rPr>
      </w:pPr>
      <w:r w:rsidRPr="002752B3">
        <w:rPr>
          <w:rFonts w:ascii="Times New Roman" w:hAnsi="Times New Roman" w:cs="Times New Roman"/>
          <w:lang w:val="es-ES"/>
        </w:rPr>
        <w:t>Plan Nacional de Igualdad y Equidad de Género, PLANEG</w:t>
      </w:r>
      <w:r w:rsidR="003332D4">
        <w:rPr>
          <w:rFonts w:ascii="Times New Roman" w:hAnsi="Times New Roman" w:cs="Times New Roman"/>
          <w:lang w:val="es-ES"/>
        </w:rPr>
        <w:t xml:space="preserve"> III 2020-2030</w:t>
      </w:r>
      <w:r w:rsidRPr="002752B3">
        <w:rPr>
          <w:rFonts w:ascii="Times New Roman" w:hAnsi="Times New Roman" w:cs="Times New Roman"/>
          <w:lang w:val="es-ES"/>
        </w:rPr>
        <w:t>.</w:t>
      </w:r>
    </w:p>
    <w:p w14:paraId="00000010" w14:textId="59D184B0" w:rsidR="00013295" w:rsidRDefault="00875009" w:rsidP="00004265">
      <w:pPr>
        <w:pStyle w:val="NoSpacing"/>
        <w:numPr>
          <w:ilvl w:val="0"/>
          <w:numId w:val="3"/>
        </w:numPr>
        <w:jc w:val="both"/>
        <w:rPr>
          <w:rFonts w:ascii="Times New Roman" w:hAnsi="Times New Roman" w:cs="Times New Roman"/>
          <w:lang w:val="es-ES"/>
        </w:rPr>
      </w:pPr>
      <w:r w:rsidRPr="00E6331F">
        <w:rPr>
          <w:rFonts w:ascii="Times New Roman" w:hAnsi="Times New Roman" w:cs="Times New Roman"/>
          <w:lang w:val="es-ES"/>
        </w:rPr>
        <w:t>Plan Nacional Plurianual del Sector Público 2021-202</w:t>
      </w:r>
      <w:r w:rsidR="006223E5">
        <w:rPr>
          <w:rFonts w:ascii="Times New Roman" w:hAnsi="Times New Roman" w:cs="Times New Roman"/>
          <w:lang w:val="es-ES"/>
        </w:rPr>
        <w:t>4</w:t>
      </w:r>
      <w:r w:rsidRPr="00E6331F">
        <w:rPr>
          <w:rFonts w:ascii="Times New Roman" w:hAnsi="Times New Roman" w:cs="Times New Roman"/>
          <w:lang w:val="es-ES"/>
        </w:rPr>
        <w:t>, en proceso de elaboración.</w:t>
      </w:r>
    </w:p>
    <w:p w14:paraId="19B0BE87" w14:textId="77777777" w:rsidR="00875009" w:rsidRPr="00E6331F" w:rsidRDefault="00875009" w:rsidP="00E6331F">
      <w:pPr>
        <w:pStyle w:val="NoSpacing"/>
        <w:ind w:left="880"/>
        <w:rPr>
          <w:lang w:val="es-ES"/>
        </w:rPr>
      </w:pPr>
    </w:p>
    <w:p w14:paraId="47B83D8F" w14:textId="60B76E1B" w:rsidR="00B137E1" w:rsidRPr="00B137E1" w:rsidRDefault="003C4ACD" w:rsidP="00F91B48">
      <w:pPr>
        <w:shd w:val="clear" w:color="auto" w:fill="FFFFFF"/>
        <w:spacing w:before="60" w:line="254" w:lineRule="auto"/>
        <w:ind w:left="1160" w:right="880" w:hanging="280"/>
        <w:jc w:val="both"/>
        <w:rPr>
          <w:rFonts w:ascii="Times New Roman" w:eastAsia="Times New Roman" w:hAnsi="Times New Roman" w:cs="Times New Roman"/>
        </w:rPr>
      </w:pPr>
      <w:r w:rsidRPr="00B137E1">
        <w:rPr>
          <w:rFonts w:ascii="Times New Roman" w:eastAsia="Times New Roman" w:hAnsi="Times New Roman" w:cs="Times New Roman"/>
          <w:b/>
        </w:rPr>
        <w:t>2. ¿</w:t>
      </w:r>
      <w:r w:rsidR="00875009" w:rsidRPr="00B137E1">
        <w:rPr>
          <w:rFonts w:ascii="Times New Roman" w:eastAsia="Times New Roman" w:hAnsi="Times New Roman" w:cs="Times New Roman"/>
          <w:b/>
        </w:rPr>
        <w:t xml:space="preserve">Qué tipo de datos estadísticos se reúnen sobre las mujeres de edad, de haberlos, y se desglosan por edad, género y otros factores pertinentes? </w:t>
      </w:r>
      <w:r w:rsidR="00B137E1">
        <w:rPr>
          <w:rFonts w:ascii="Times New Roman" w:eastAsia="Times New Roman" w:hAnsi="Times New Roman" w:cs="Times New Roman"/>
          <w:b/>
        </w:rPr>
        <w:t xml:space="preserve"> </w:t>
      </w:r>
    </w:p>
    <w:p w14:paraId="643BD2E0" w14:textId="59297CBF" w:rsidR="008815C5" w:rsidRDefault="008815C5">
      <w:pPr>
        <w:shd w:val="clear" w:color="auto" w:fill="FFFFFF"/>
        <w:spacing w:before="60" w:line="254" w:lineRule="auto"/>
        <w:ind w:left="1160" w:right="880" w:hanging="280"/>
        <w:jc w:val="both"/>
      </w:pPr>
    </w:p>
    <w:p w14:paraId="78B42A24" w14:textId="3638F615" w:rsidR="00D06F09" w:rsidRPr="003E7865" w:rsidRDefault="00D06F09" w:rsidP="00D06F09">
      <w:pPr>
        <w:jc w:val="both"/>
        <w:rPr>
          <w:rFonts w:ascii="Times New Roman" w:hAnsi="Times New Roman" w:cs="Times New Roman"/>
        </w:rPr>
      </w:pPr>
      <w:r w:rsidRPr="003E7865">
        <w:rPr>
          <w:rFonts w:ascii="Times New Roman" w:hAnsi="Times New Roman" w:cs="Times New Roman"/>
        </w:rPr>
        <w:t xml:space="preserve">La </w:t>
      </w:r>
      <w:r w:rsidR="006223E5">
        <w:rPr>
          <w:rFonts w:ascii="Times New Roman" w:hAnsi="Times New Roman" w:cs="Times New Roman"/>
        </w:rPr>
        <w:t>v</w:t>
      </w:r>
      <w:r w:rsidRPr="003E7865">
        <w:rPr>
          <w:rFonts w:ascii="Times New Roman" w:hAnsi="Times New Roman" w:cs="Times New Roman"/>
        </w:rPr>
        <w:t xml:space="preserve">iolencia de género es un fenómeno social que afecta a mujeres de todas las edades y grupos sociales, para el </w:t>
      </w:r>
      <w:r w:rsidRPr="00467851">
        <w:rPr>
          <w:rFonts w:ascii="Times New Roman" w:hAnsi="Times New Roman" w:cs="Times New Roman"/>
        </w:rPr>
        <w:t xml:space="preserve">2020 el </w:t>
      </w:r>
      <w:r w:rsidR="006223E5" w:rsidRPr="00467851">
        <w:rPr>
          <w:rFonts w:ascii="Times New Roman" w:hAnsi="Times New Roman" w:cs="Times New Roman"/>
        </w:rPr>
        <w:t>M</w:t>
      </w:r>
      <w:r w:rsidRPr="00467851">
        <w:rPr>
          <w:rFonts w:ascii="Times New Roman" w:hAnsi="Times New Roman" w:cs="Times New Roman"/>
        </w:rPr>
        <w:t xml:space="preserve">inisterio de la </w:t>
      </w:r>
      <w:r w:rsidR="006223E5" w:rsidRPr="00467851">
        <w:rPr>
          <w:rFonts w:ascii="Times New Roman" w:hAnsi="Times New Roman" w:cs="Times New Roman"/>
        </w:rPr>
        <w:t>M</w:t>
      </w:r>
      <w:r w:rsidRPr="00467851">
        <w:rPr>
          <w:rFonts w:ascii="Times New Roman" w:hAnsi="Times New Roman" w:cs="Times New Roman"/>
        </w:rPr>
        <w:t>ujer recibió un total de 10,032 mujeres a través de las oficinas provinciales y municipales, línea de emergencia y las casas de acogida de estas</w:t>
      </w:r>
      <w:r w:rsidR="006223E5" w:rsidRPr="00467851">
        <w:rPr>
          <w:rFonts w:ascii="Times New Roman" w:hAnsi="Times New Roman" w:cs="Times New Roman"/>
        </w:rPr>
        <w:t>. De estas</w:t>
      </w:r>
      <w:r w:rsidRPr="00467851">
        <w:rPr>
          <w:rFonts w:ascii="Times New Roman" w:hAnsi="Times New Roman" w:cs="Times New Roman"/>
        </w:rPr>
        <w:t xml:space="preserve"> </w:t>
      </w:r>
      <w:r w:rsidR="001D2D57" w:rsidRPr="00467851">
        <w:rPr>
          <w:rFonts w:ascii="Times New Roman" w:hAnsi="Times New Roman" w:cs="Times New Roman"/>
        </w:rPr>
        <w:t xml:space="preserve">mujeres asistidas, </w:t>
      </w:r>
      <w:r w:rsidRPr="00467851">
        <w:rPr>
          <w:rFonts w:ascii="Times New Roman" w:hAnsi="Times New Roman" w:cs="Times New Roman"/>
        </w:rPr>
        <w:t xml:space="preserve">206 </w:t>
      </w:r>
      <w:r w:rsidR="001D2D57" w:rsidRPr="00467851">
        <w:rPr>
          <w:rFonts w:ascii="Times New Roman" w:hAnsi="Times New Roman" w:cs="Times New Roman"/>
        </w:rPr>
        <w:t xml:space="preserve">fueron mujeres mayores de 60 años representando el </w:t>
      </w:r>
      <w:r w:rsidR="00D10EF5" w:rsidRPr="00467851">
        <w:rPr>
          <w:rFonts w:ascii="Times New Roman" w:hAnsi="Times New Roman" w:cs="Times New Roman"/>
        </w:rPr>
        <w:t>0.20%</w:t>
      </w:r>
      <w:r w:rsidR="001D2D57" w:rsidRPr="00467851">
        <w:rPr>
          <w:rFonts w:ascii="Times New Roman" w:hAnsi="Times New Roman" w:cs="Times New Roman"/>
        </w:rPr>
        <w:t xml:space="preserve"> de la población beneficiaria de servicios del Ministerio de la Mujer. </w:t>
      </w:r>
      <w:r w:rsidRPr="00467851">
        <w:rPr>
          <w:rFonts w:ascii="Times New Roman" w:hAnsi="Times New Roman" w:cs="Times New Roman"/>
        </w:rPr>
        <w:t>En su mayoría las atenciones se brindaron a través de la línea de emergencia con un 65.5% de los casos</w:t>
      </w:r>
      <w:r w:rsidR="00925F76" w:rsidRPr="00467851">
        <w:rPr>
          <w:rFonts w:ascii="Times New Roman" w:hAnsi="Times New Roman" w:cs="Times New Roman"/>
        </w:rPr>
        <w:t>.</w:t>
      </w:r>
      <w:r w:rsidRPr="00467851">
        <w:rPr>
          <w:rFonts w:ascii="Times New Roman" w:hAnsi="Times New Roman" w:cs="Times New Roman"/>
        </w:rPr>
        <w:t xml:space="preserve"> </w:t>
      </w:r>
      <w:r w:rsidR="00925F76" w:rsidRPr="00467851">
        <w:rPr>
          <w:rFonts w:ascii="Times New Roman" w:hAnsi="Times New Roman" w:cs="Times New Roman"/>
        </w:rPr>
        <w:t>L</w:t>
      </w:r>
      <w:r w:rsidRPr="00467851">
        <w:rPr>
          <w:rFonts w:ascii="Times New Roman" w:hAnsi="Times New Roman" w:cs="Times New Roman"/>
        </w:rPr>
        <w:t>as demás se dirigieron a las oficinas provinciales y municipales (35.5%) y a las casas de acogida solo un 1.0%.</w:t>
      </w:r>
    </w:p>
    <w:p w14:paraId="50EB8561" w14:textId="7668CCA7" w:rsidR="00925F76" w:rsidRDefault="00925F76" w:rsidP="00D06F09">
      <w:pPr>
        <w:jc w:val="both"/>
        <w:rPr>
          <w:sz w:val="24"/>
          <w:szCs w:val="24"/>
        </w:rPr>
      </w:pPr>
    </w:p>
    <w:tbl>
      <w:tblPr>
        <w:tblpPr w:leftFromText="141" w:rightFromText="141" w:horzAnchor="margin" w:tblpXSpec="center" w:tblpY="615"/>
        <w:tblW w:w="5200" w:type="dxa"/>
        <w:tblCellMar>
          <w:left w:w="70" w:type="dxa"/>
          <w:right w:w="70" w:type="dxa"/>
        </w:tblCellMar>
        <w:tblLook w:val="04A0" w:firstRow="1" w:lastRow="0" w:firstColumn="1" w:lastColumn="0" w:noHBand="0" w:noVBand="1"/>
      </w:tblPr>
      <w:tblGrid>
        <w:gridCol w:w="1880"/>
        <w:gridCol w:w="2120"/>
        <w:gridCol w:w="1200"/>
      </w:tblGrid>
      <w:tr w:rsidR="00925F76" w:rsidRPr="00C410BA" w14:paraId="0930E23E" w14:textId="77777777" w:rsidTr="000B06D7">
        <w:trPr>
          <w:trHeight w:val="1320"/>
        </w:trPr>
        <w:tc>
          <w:tcPr>
            <w:tcW w:w="5200" w:type="dxa"/>
            <w:gridSpan w:val="3"/>
            <w:tcBorders>
              <w:top w:val="nil"/>
              <w:left w:val="nil"/>
              <w:bottom w:val="nil"/>
              <w:right w:val="nil"/>
            </w:tcBorders>
            <w:shd w:val="clear" w:color="auto" w:fill="auto"/>
            <w:vAlign w:val="center"/>
            <w:hideMark/>
          </w:tcPr>
          <w:p w14:paraId="242060DE" w14:textId="77777777" w:rsidR="00925F76" w:rsidRPr="00C410BA" w:rsidRDefault="00925F76" w:rsidP="000B06D7">
            <w:pPr>
              <w:spacing w:line="240" w:lineRule="auto"/>
              <w:jc w:val="center"/>
              <w:rPr>
                <w:rFonts w:ascii="Calibri" w:eastAsia="Times New Roman" w:hAnsi="Calibri" w:cs="Calibri"/>
                <w:color w:val="000000"/>
                <w:lang w:eastAsia="es-ES"/>
              </w:rPr>
            </w:pPr>
            <w:r w:rsidRPr="00C410BA">
              <w:rPr>
                <w:rFonts w:ascii="Calibri" w:eastAsia="Times New Roman" w:hAnsi="Calibri" w:cs="Calibri"/>
                <w:color w:val="000000"/>
                <w:lang w:eastAsia="es-ES"/>
              </w:rPr>
              <w:lastRenderedPageBreak/>
              <w:t>REPÚBLICA DOMINICANA: Número de mujeres mayores de 60 años atendidas por el Ministerio de la Mujer,</w:t>
            </w:r>
            <w:r>
              <w:rPr>
                <w:rFonts w:ascii="Calibri" w:eastAsia="Times New Roman" w:hAnsi="Calibri" w:cs="Calibri"/>
                <w:color w:val="000000"/>
                <w:lang w:eastAsia="es-ES"/>
              </w:rPr>
              <w:t xml:space="preserve"> por total de atenciones, </w:t>
            </w:r>
            <w:r w:rsidRPr="00C410BA">
              <w:rPr>
                <w:rFonts w:ascii="Calibri" w:eastAsia="Times New Roman" w:hAnsi="Calibri" w:cs="Calibri"/>
                <w:color w:val="000000"/>
                <w:lang w:eastAsia="es-ES"/>
              </w:rPr>
              <w:t>según lugar donde fue atendida, 2020.</w:t>
            </w:r>
          </w:p>
        </w:tc>
      </w:tr>
      <w:tr w:rsidR="00925F76" w:rsidRPr="00C410BA" w14:paraId="0C98BF9A" w14:textId="77777777" w:rsidTr="000B06D7">
        <w:trPr>
          <w:trHeight w:val="300"/>
        </w:trPr>
        <w:tc>
          <w:tcPr>
            <w:tcW w:w="1880" w:type="dxa"/>
            <w:vMerge w:val="restart"/>
            <w:tcBorders>
              <w:top w:val="single" w:sz="8" w:space="0" w:color="auto"/>
              <w:left w:val="nil"/>
              <w:bottom w:val="single" w:sz="8" w:space="0" w:color="000000"/>
              <w:right w:val="nil"/>
            </w:tcBorders>
            <w:shd w:val="clear" w:color="auto" w:fill="auto"/>
            <w:vAlign w:val="center"/>
            <w:hideMark/>
          </w:tcPr>
          <w:p w14:paraId="336423D7" w14:textId="77777777" w:rsidR="00925F76" w:rsidRPr="00C410BA" w:rsidRDefault="00925F76" w:rsidP="000B06D7">
            <w:pPr>
              <w:spacing w:line="240" w:lineRule="auto"/>
              <w:rPr>
                <w:rFonts w:eastAsia="Times New Roman"/>
                <w:b/>
                <w:bCs/>
                <w:color w:val="000000"/>
                <w:lang w:eastAsia="es-ES"/>
              </w:rPr>
            </w:pPr>
            <w:r w:rsidRPr="00C410BA">
              <w:rPr>
                <w:rFonts w:eastAsia="Times New Roman"/>
                <w:b/>
                <w:bCs/>
                <w:color w:val="000000"/>
                <w:lang w:eastAsia="es-ES"/>
              </w:rPr>
              <w:t>Lugar de atención</w:t>
            </w:r>
          </w:p>
        </w:tc>
        <w:tc>
          <w:tcPr>
            <w:tcW w:w="3320" w:type="dxa"/>
            <w:gridSpan w:val="2"/>
            <w:tcBorders>
              <w:top w:val="single" w:sz="8" w:space="0" w:color="auto"/>
              <w:left w:val="nil"/>
              <w:bottom w:val="single" w:sz="4" w:space="0" w:color="auto"/>
              <w:right w:val="nil"/>
            </w:tcBorders>
            <w:shd w:val="clear" w:color="auto" w:fill="auto"/>
            <w:vAlign w:val="center"/>
            <w:hideMark/>
          </w:tcPr>
          <w:p w14:paraId="23BFB53E" w14:textId="77777777" w:rsidR="00925F76" w:rsidRPr="00C410BA" w:rsidRDefault="00925F76" w:rsidP="000B06D7">
            <w:pPr>
              <w:spacing w:line="240" w:lineRule="auto"/>
              <w:jc w:val="center"/>
              <w:rPr>
                <w:rFonts w:eastAsia="Times New Roman"/>
                <w:b/>
                <w:bCs/>
                <w:color w:val="000000"/>
                <w:lang w:eastAsia="es-ES"/>
              </w:rPr>
            </w:pPr>
            <w:r w:rsidRPr="00C410BA">
              <w:rPr>
                <w:rFonts w:eastAsia="Times New Roman"/>
                <w:b/>
                <w:bCs/>
                <w:color w:val="000000"/>
                <w:lang w:eastAsia="es-ES"/>
              </w:rPr>
              <w:t>Total de atenciones a usuarias</w:t>
            </w:r>
          </w:p>
        </w:tc>
      </w:tr>
      <w:tr w:rsidR="00925F76" w:rsidRPr="00C410BA" w14:paraId="72E7F8A6" w14:textId="77777777" w:rsidTr="000B06D7">
        <w:trPr>
          <w:trHeight w:val="315"/>
        </w:trPr>
        <w:tc>
          <w:tcPr>
            <w:tcW w:w="1880" w:type="dxa"/>
            <w:vMerge/>
            <w:tcBorders>
              <w:top w:val="single" w:sz="8" w:space="0" w:color="auto"/>
              <w:left w:val="nil"/>
              <w:bottom w:val="single" w:sz="8" w:space="0" w:color="000000"/>
              <w:right w:val="nil"/>
            </w:tcBorders>
            <w:vAlign w:val="center"/>
            <w:hideMark/>
          </w:tcPr>
          <w:p w14:paraId="5AFB33A3" w14:textId="77777777" w:rsidR="00925F76" w:rsidRPr="00C410BA" w:rsidRDefault="00925F76" w:rsidP="000B06D7">
            <w:pPr>
              <w:spacing w:line="240" w:lineRule="auto"/>
              <w:rPr>
                <w:rFonts w:eastAsia="Times New Roman"/>
                <w:b/>
                <w:bCs/>
                <w:color w:val="000000"/>
                <w:lang w:eastAsia="es-ES"/>
              </w:rPr>
            </w:pPr>
          </w:p>
        </w:tc>
        <w:tc>
          <w:tcPr>
            <w:tcW w:w="2120" w:type="dxa"/>
            <w:tcBorders>
              <w:top w:val="nil"/>
              <w:left w:val="nil"/>
              <w:bottom w:val="single" w:sz="8" w:space="0" w:color="auto"/>
              <w:right w:val="nil"/>
            </w:tcBorders>
            <w:shd w:val="clear" w:color="auto" w:fill="auto"/>
            <w:vAlign w:val="center"/>
            <w:hideMark/>
          </w:tcPr>
          <w:p w14:paraId="71F8D2FF" w14:textId="77777777" w:rsidR="00925F76" w:rsidRPr="00C410BA" w:rsidRDefault="00925F76" w:rsidP="000B06D7">
            <w:pPr>
              <w:spacing w:line="240" w:lineRule="auto"/>
              <w:jc w:val="center"/>
              <w:rPr>
                <w:rFonts w:eastAsia="Times New Roman"/>
                <w:b/>
                <w:bCs/>
                <w:color w:val="000000"/>
                <w:lang w:eastAsia="es-ES"/>
              </w:rPr>
            </w:pPr>
            <w:r w:rsidRPr="00C410BA">
              <w:rPr>
                <w:rFonts w:eastAsia="Times New Roman"/>
                <w:b/>
                <w:bCs/>
                <w:color w:val="000000"/>
                <w:lang w:eastAsia="es-ES"/>
              </w:rPr>
              <w:t>Absoluto</w:t>
            </w:r>
          </w:p>
        </w:tc>
        <w:tc>
          <w:tcPr>
            <w:tcW w:w="1200" w:type="dxa"/>
            <w:tcBorders>
              <w:top w:val="nil"/>
              <w:left w:val="nil"/>
              <w:bottom w:val="single" w:sz="8" w:space="0" w:color="auto"/>
              <w:right w:val="nil"/>
            </w:tcBorders>
            <w:shd w:val="clear" w:color="auto" w:fill="auto"/>
            <w:noWrap/>
            <w:vAlign w:val="center"/>
            <w:hideMark/>
          </w:tcPr>
          <w:p w14:paraId="71C37838" w14:textId="77777777" w:rsidR="00925F76" w:rsidRPr="00C410BA" w:rsidRDefault="00925F76" w:rsidP="000B06D7">
            <w:pPr>
              <w:spacing w:line="240" w:lineRule="auto"/>
              <w:jc w:val="center"/>
              <w:rPr>
                <w:rFonts w:ascii="Calibri" w:eastAsia="Times New Roman" w:hAnsi="Calibri" w:cs="Calibri"/>
                <w:b/>
                <w:bCs/>
                <w:color w:val="000000"/>
                <w:lang w:eastAsia="es-ES"/>
              </w:rPr>
            </w:pPr>
            <w:r w:rsidRPr="00C410BA">
              <w:rPr>
                <w:rFonts w:ascii="Calibri" w:eastAsia="Times New Roman" w:hAnsi="Calibri" w:cs="Calibri"/>
                <w:b/>
                <w:bCs/>
                <w:color w:val="000000"/>
                <w:lang w:eastAsia="es-ES"/>
              </w:rPr>
              <w:t>%</w:t>
            </w:r>
          </w:p>
        </w:tc>
      </w:tr>
      <w:tr w:rsidR="00925F76" w:rsidRPr="00C410BA" w14:paraId="56BCCBE6" w14:textId="77777777" w:rsidTr="000B06D7">
        <w:trPr>
          <w:trHeight w:val="300"/>
        </w:trPr>
        <w:tc>
          <w:tcPr>
            <w:tcW w:w="1880" w:type="dxa"/>
            <w:tcBorders>
              <w:top w:val="nil"/>
              <w:left w:val="nil"/>
              <w:bottom w:val="nil"/>
              <w:right w:val="nil"/>
            </w:tcBorders>
            <w:shd w:val="clear" w:color="auto" w:fill="auto"/>
            <w:noWrap/>
            <w:vAlign w:val="center"/>
            <w:hideMark/>
          </w:tcPr>
          <w:p w14:paraId="483ADF55" w14:textId="77777777" w:rsidR="00925F76" w:rsidRPr="00C410BA" w:rsidRDefault="00925F76" w:rsidP="000B06D7">
            <w:pPr>
              <w:spacing w:line="240" w:lineRule="auto"/>
              <w:rPr>
                <w:rFonts w:eastAsia="Times New Roman"/>
                <w:b/>
                <w:bCs/>
                <w:color w:val="000000"/>
                <w:lang w:eastAsia="es-ES"/>
              </w:rPr>
            </w:pPr>
            <w:r w:rsidRPr="00C410BA">
              <w:rPr>
                <w:rFonts w:eastAsia="Times New Roman"/>
                <w:b/>
                <w:bCs/>
                <w:color w:val="000000"/>
                <w:lang w:eastAsia="es-ES"/>
              </w:rPr>
              <w:t>Total</w:t>
            </w:r>
          </w:p>
        </w:tc>
        <w:tc>
          <w:tcPr>
            <w:tcW w:w="2120" w:type="dxa"/>
            <w:tcBorders>
              <w:top w:val="nil"/>
              <w:left w:val="nil"/>
              <w:bottom w:val="nil"/>
              <w:right w:val="nil"/>
            </w:tcBorders>
            <w:shd w:val="clear" w:color="auto" w:fill="auto"/>
            <w:vAlign w:val="center"/>
            <w:hideMark/>
          </w:tcPr>
          <w:p w14:paraId="1596906E" w14:textId="77777777" w:rsidR="00925F76" w:rsidRPr="00C410BA" w:rsidRDefault="00925F76" w:rsidP="000B06D7">
            <w:pPr>
              <w:spacing w:line="240" w:lineRule="auto"/>
              <w:jc w:val="center"/>
              <w:rPr>
                <w:rFonts w:eastAsia="Times New Roman"/>
                <w:b/>
                <w:bCs/>
                <w:color w:val="000000"/>
                <w:lang w:eastAsia="es-ES"/>
              </w:rPr>
            </w:pPr>
            <w:r w:rsidRPr="00C410BA">
              <w:rPr>
                <w:rFonts w:eastAsia="Times New Roman"/>
                <w:b/>
                <w:bCs/>
                <w:color w:val="000000"/>
                <w:lang w:eastAsia="es-ES"/>
              </w:rPr>
              <w:t>206</w:t>
            </w:r>
          </w:p>
        </w:tc>
        <w:tc>
          <w:tcPr>
            <w:tcW w:w="1200" w:type="dxa"/>
            <w:tcBorders>
              <w:top w:val="nil"/>
              <w:left w:val="nil"/>
              <w:bottom w:val="nil"/>
              <w:right w:val="nil"/>
            </w:tcBorders>
            <w:shd w:val="clear" w:color="auto" w:fill="auto"/>
            <w:noWrap/>
            <w:vAlign w:val="center"/>
            <w:hideMark/>
          </w:tcPr>
          <w:p w14:paraId="4C2F898D" w14:textId="77777777" w:rsidR="00925F76" w:rsidRPr="00C410BA" w:rsidRDefault="00925F76" w:rsidP="000B06D7">
            <w:pPr>
              <w:spacing w:line="240" w:lineRule="auto"/>
              <w:jc w:val="center"/>
              <w:rPr>
                <w:rFonts w:ascii="Calibri" w:eastAsia="Times New Roman" w:hAnsi="Calibri" w:cs="Calibri"/>
                <w:b/>
                <w:bCs/>
                <w:color w:val="000000"/>
                <w:lang w:eastAsia="es-ES"/>
              </w:rPr>
            </w:pPr>
            <w:r w:rsidRPr="00C410BA">
              <w:rPr>
                <w:rFonts w:ascii="Calibri" w:eastAsia="Times New Roman" w:hAnsi="Calibri" w:cs="Calibri"/>
                <w:b/>
                <w:bCs/>
                <w:color w:val="000000"/>
                <w:lang w:eastAsia="es-ES"/>
              </w:rPr>
              <w:t>100.0</w:t>
            </w:r>
          </w:p>
        </w:tc>
      </w:tr>
      <w:tr w:rsidR="00925F76" w:rsidRPr="00C410BA" w14:paraId="02F87837" w14:textId="77777777" w:rsidTr="000B06D7">
        <w:trPr>
          <w:trHeight w:val="300"/>
        </w:trPr>
        <w:tc>
          <w:tcPr>
            <w:tcW w:w="1880" w:type="dxa"/>
            <w:tcBorders>
              <w:top w:val="nil"/>
              <w:left w:val="nil"/>
              <w:bottom w:val="nil"/>
              <w:right w:val="nil"/>
            </w:tcBorders>
            <w:shd w:val="clear" w:color="auto" w:fill="auto"/>
            <w:noWrap/>
            <w:vAlign w:val="center"/>
            <w:hideMark/>
          </w:tcPr>
          <w:p w14:paraId="23E7230E" w14:textId="77777777" w:rsidR="00925F76" w:rsidRPr="00C410BA" w:rsidRDefault="00925F76" w:rsidP="000B06D7">
            <w:pPr>
              <w:spacing w:line="240" w:lineRule="auto"/>
              <w:rPr>
                <w:rFonts w:eastAsia="Times New Roman"/>
                <w:color w:val="000000"/>
                <w:lang w:eastAsia="es-ES"/>
              </w:rPr>
            </w:pPr>
            <w:r w:rsidRPr="00C410BA">
              <w:rPr>
                <w:rFonts w:eastAsia="Times New Roman"/>
                <w:color w:val="000000"/>
                <w:lang w:eastAsia="es-ES"/>
              </w:rPr>
              <w:t>OPM/OMM</w:t>
            </w:r>
          </w:p>
        </w:tc>
        <w:tc>
          <w:tcPr>
            <w:tcW w:w="2120" w:type="dxa"/>
            <w:tcBorders>
              <w:top w:val="nil"/>
              <w:left w:val="nil"/>
              <w:bottom w:val="nil"/>
              <w:right w:val="nil"/>
            </w:tcBorders>
            <w:shd w:val="clear" w:color="auto" w:fill="auto"/>
            <w:noWrap/>
            <w:vAlign w:val="center"/>
            <w:hideMark/>
          </w:tcPr>
          <w:p w14:paraId="75388428" w14:textId="77777777" w:rsidR="00925F76" w:rsidRPr="00C410BA" w:rsidRDefault="00925F76" w:rsidP="000B06D7">
            <w:pPr>
              <w:spacing w:line="240" w:lineRule="auto"/>
              <w:jc w:val="center"/>
              <w:rPr>
                <w:rFonts w:ascii="Calibri" w:eastAsia="Times New Roman" w:hAnsi="Calibri" w:cs="Calibri"/>
                <w:color w:val="000000"/>
                <w:lang w:eastAsia="es-ES"/>
              </w:rPr>
            </w:pPr>
            <w:r w:rsidRPr="00C410BA">
              <w:rPr>
                <w:rFonts w:ascii="Calibri" w:eastAsia="Times New Roman" w:hAnsi="Calibri" w:cs="Calibri"/>
                <w:color w:val="000000"/>
                <w:lang w:eastAsia="es-ES"/>
              </w:rPr>
              <w:t>69</w:t>
            </w:r>
          </w:p>
        </w:tc>
        <w:tc>
          <w:tcPr>
            <w:tcW w:w="1200" w:type="dxa"/>
            <w:tcBorders>
              <w:top w:val="nil"/>
              <w:left w:val="nil"/>
              <w:bottom w:val="nil"/>
              <w:right w:val="nil"/>
            </w:tcBorders>
            <w:shd w:val="clear" w:color="auto" w:fill="auto"/>
            <w:noWrap/>
            <w:vAlign w:val="center"/>
            <w:hideMark/>
          </w:tcPr>
          <w:p w14:paraId="1432FBF4" w14:textId="77777777" w:rsidR="00925F76" w:rsidRPr="00C410BA" w:rsidRDefault="00925F76" w:rsidP="000B06D7">
            <w:pPr>
              <w:spacing w:line="240" w:lineRule="auto"/>
              <w:jc w:val="center"/>
              <w:rPr>
                <w:rFonts w:ascii="Calibri" w:eastAsia="Times New Roman" w:hAnsi="Calibri" w:cs="Calibri"/>
                <w:color w:val="000000"/>
                <w:lang w:eastAsia="es-ES"/>
              </w:rPr>
            </w:pPr>
            <w:r w:rsidRPr="00C410BA">
              <w:rPr>
                <w:rFonts w:ascii="Calibri" w:eastAsia="Times New Roman" w:hAnsi="Calibri" w:cs="Calibri"/>
                <w:color w:val="000000"/>
                <w:lang w:eastAsia="es-ES"/>
              </w:rPr>
              <w:t>33.5</w:t>
            </w:r>
          </w:p>
        </w:tc>
      </w:tr>
      <w:tr w:rsidR="00925F76" w:rsidRPr="00C410BA" w14:paraId="0C670995" w14:textId="77777777" w:rsidTr="000B06D7">
        <w:trPr>
          <w:trHeight w:val="300"/>
        </w:trPr>
        <w:tc>
          <w:tcPr>
            <w:tcW w:w="1880" w:type="dxa"/>
            <w:tcBorders>
              <w:top w:val="nil"/>
              <w:left w:val="nil"/>
              <w:bottom w:val="nil"/>
              <w:right w:val="nil"/>
            </w:tcBorders>
            <w:shd w:val="clear" w:color="auto" w:fill="auto"/>
            <w:noWrap/>
            <w:vAlign w:val="center"/>
            <w:hideMark/>
          </w:tcPr>
          <w:p w14:paraId="11288EC8" w14:textId="77777777" w:rsidR="00925F76" w:rsidRPr="00C410BA" w:rsidRDefault="00925F76" w:rsidP="000B06D7">
            <w:pPr>
              <w:spacing w:line="240" w:lineRule="auto"/>
              <w:rPr>
                <w:rFonts w:eastAsia="Times New Roman"/>
                <w:color w:val="000000"/>
                <w:lang w:eastAsia="es-ES"/>
              </w:rPr>
            </w:pPr>
            <w:r w:rsidRPr="00C410BA">
              <w:rPr>
                <w:rFonts w:eastAsia="Times New Roman"/>
                <w:color w:val="000000"/>
                <w:lang w:eastAsia="es-ES"/>
              </w:rPr>
              <w:t>línea *212</w:t>
            </w:r>
          </w:p>
        </w:tc>
        <w:tc>
          <w:tcPr>
            <w:tcW w:w="2120" w:type="dxa"/>
            <w:tcBorders>
              <w:top w:val="nil"/>
              <w:left w:val="nil"/>
              <w:bottom w:val="nil"/>
              <w:right w:val="nil"/>
            </w:tcBorders>
            <w:shd w:val="clear" w:color="auto" w:fill="auto"/>
            <w:noWrap/>
            <w:vAlign w:val="center"/>
            <w:hideMark/>
          </w:tcPr>
          <w:p w14:paraId="5BFA35FF" w14:textId="77777777" w:rsidR="00925F76" w:rsidRPr="00C410BA" w:rsidRDefault="00925F76" w:rsidP="000B06D7">
            <w:pPr>
              <w:spacing w:line="240" w:lineRule="auto"/>
              <w:jc w:val="center"/>
              <w:rPr>
                <w:rFonts w:ascii="Calibri" w:eastAsia="Times New Roman" w:hAnsi="Calibri" w:cs="Calibri"/>
                <w:color w:val="000000"/>
                <w:lang w:eastAsia="es-ES"/>
              </w:rPr>
            </w:pPr>
            <w:r w:rsidRPr="00C410BA">
              <w:rPr>
                <w:rFonts w:ascii="Calibri" w:eastAsia="Times New Roman" w:hAnsi="Calibri" w:cs="Calibri"/>
                <w:color w:val="000000"/>
                <w:lang w:eastAsia="es-ES"/>
              </w:rPr>
              <w:t>135</w:t>
            </w:r>
          </w:p>
        </w:tc>
        <w:tc>
          <w:tcPr>
            <w:tcW w:w="1200" w:type="dxa"/>
            <w:tcBorders>
              <w:top w:val="nil"/>
              <w:left w:val="nil"/>
              <w:bottom w:val="nil"/>
              <w:right w:val="nil"/>
            </w:tcBorders>
            <w:shd w:val="clear" w:color="auto" w:fill="auto"/>
            <w:noWrap/>
            <w:vAlign w:val="center"/>
            <w:hideMark/>
          </w:tcPr>
          <w:p w14:paraId="28F64FFB" w14:textId="77777777" w:rsidR="00925F76" w:rsidRPr="00C410BA" w:rsidRDefault="00925F76" w:rsidP="000B06D7">
            <w:pPr>
              <w:spacing w:line="240" w:lineRule="auto"/>
              <w:jc w:val="center"/>
              <w:rPr>
                <w:rFonts w:ascii="Calibri" w:eastAsia="Times New Roman" w:hAnsi="Calibri" w:cs="Calibri"/>
                <w:color w:val="000000"/>
                <w:lang w:eastAsia="es-ES"/>
              </w:rPr>
            </w:pPr>
            <w:r w:rsidRPr="00C410BA">
              <w:rPr>
                <w:rFonts w:ascii="Calibri" w:eastAsia="Times New Roman" w:hAnsi="Calibri" w:cs="Calibri"/>
                <w:color w:val="000000"/>
                <w:lang w:eastAsia="es-ES"/>
              </w:rPr>
              <w:t>65.5</w:t>
            </w:r>
          </w:p>
        </w:tc>
      </w:tr>
      <w:tr w:rsidR="00925F76" w:rsidRPr="00C410BA" w14:paraId="6029C0D2" w14:textId="77777777" w:rsidTr="000B06D7">
        <w:trPr>
          <w:trHeight w:val="315"/>
        </w:trPr>
        <w:tc>
          <w:tcPr>
            <w:tcW w:w="1880" w:type="dxa"/>
            <w:tcBorders>
              <w:top w:val="nil"/>
              <w:left w:val="nil"/>
              <w:bottom w:val="single" w:sz="8" w:space="0" w:color="auto"/>
              <w:right w:val="nil"/>
            </w:tcBorders>
            <w:shd w:val="clear" w:color="auto" w:fill="auto"/>
            <w:noWrap/>
            <w:vAlign w:val="center"/>
            <w:hideMark/>
          </w:tcPr>
          <w:p w14:paraId="67E751D9" w14:textId="77777777" w:rsidR="00925F76" w:rsidRPr="00C410BA" w:rsidRDefault="00925F76" w:rsidP="000B06D7">
            <w:pPr>
              <w:spacing w:line="240" w:lineRule="auto"/>
              <w:rPr>
                <w:rFonts w:eastAsia="Times New Roman"/>
                <w:color w:val="000000"/>
                <w:lang w:eastAsia="es-ES"/>
              </w:rPr>
            </w:pPr>
            <w:r w:rsidRPr="00C410BA">
              <w:rPr>
                <w:rFonts w:eastAsia="Times New Roman"/>
                <w:color w:val="000000"/>
                <w:lang w:eastAsia="es-ES"/>
              </w:rPr>
              <w:t>Casa de acogida</w:t>
            </w:r>
          </w:p>
        </w:tc>
        <w:tc>
          <w:tcPr>
            <w:tcW w:w="2120" w:type="dxa"/>
            <w:tcBorders>
              <w:top w:val="nil"/>
              <w:left w:val="nil"/>
              <w:bottom w:val="single" w:sz="8" w:space="0" w:color="auto"/>
              <w:right w:val="nil"/>
            </w:tcBorders>
            <w:shd w:val="clear" w:color="auto" w:fill="auto"/>
            <w:noWrap/>
            <w:vAlign w:val="center"/>
            <w:hideMark/>
          </w:tcPr>
          <w:p w14:paraId="303BDEEE" w14:textId="77777777" w:rsidR="00925F76" w:rsidRPr="00C410BA" w:rsidRDefault="00925F76" w:rsidP="000B06D7">
            <w:pPr>
              <w:spacing w:line="240" w:lineRule="auto"/>
              <w:jc w:val="center"/>
              <w:rPr>
                <w:rFonts w:ascii="Calibri" w:eastAsia="Times New Roman" w:hAnsi="Calibri" w:cs="Calibri"/>
                <w:color w:val="000000"/>
                <w:lang w:eastAsia="es-ES"/>
              </w:rPr>
            </w:pPr>
            <w:r w:rsidRPr="00C410BA">
              <w:rPr>
                <w:rFonts w:ascii="Calibri" w:eastAsia="Times New Roman" w:hAnsi="Calibri" w:cs="Calibri"/>
                <w:color w:val="000000"/>
                <w:lang w:eastAsia="es-ES"/>
              </w:rPr>
              <w:t>2</w:t>
            </w:r>
          </w:p>
        </w:tc>
        <w:tc>
          <w:tcPr>
            <w:tcW w:w="1200" w:type="dxa"/>
            <w:tcBorders>
              <w:top w:val="nil"/>
              <w:left w:val="nil"/>
              <w:bottom w:val="single" w:sz="8" w:space="0" w:color="auto"/>
              <w:right w:val="nil"/>
            </w:tcBorders>
            <w:shd w:val="clear" w:color="auto" w:fill="auto"/>
            <w:noWrap/>
            <w:vAlign w:val="center"/>
            <w:hideMark/>
          </w:tcPr>
          <w:p w14:paraId="03E415EC" w14:textId="77777777" w:rsidR="00925F76" w:rsidRPr="00C410BA" w:rsidRDefault="00925F76" w:rsidP="000B06D7">
            <w:pPr>
              <w:spacing w:line="240" w:lineRule="auto"/>
              <w:jc w:val="center"/>
              <w:rPr>
                <w:rFonts w:ascii="Calibri" w:eastAsia="Times New Roman" w:hAnsi="Calibri" w:cs="Calibri"/>
                <w:color w:val="000000"/>
                <w:lang w:eastAsia="es-ES"/>
              </w:rPr>
            </w:pPr>
            <w:r w:rsidRPr="00C410BA">
              <w:rPr>
                <w:rFonts w:ascii="Calibri" w:eastAsia="Times New Roman" w:hAnsi="Calibri" w:cs="Calibri"/>
                <w:color w:val="000000"/>
                <w:lang w:eastAsia="es-ES"/>
              </w:rPr>
              <w:t>1.0</w:t>
            </w:r>
          </w:p>
        </w:tc>
      </w:tr>
      <w:tr w:rsidR="00925F76" w:rsidRPr="00C410BA" w14:paraId="230FFFF4" w14:textId="77777777" w:rsidTr="000B06D7">
        <w:trPr>
          <w:trHeight w:val="480"/>
        </w:trPr>
        <w:tc>
          <w:tcPr>
            <w:tcW w:w="5200" w:type="dxa"/>
            <w:gridSpan w:val="3"/>
            <w:tcBorders>
              <w:top w:val="nil"/>
              <w:left w:val="nil"/>
              <w:bottom w:val="nil"/>
              <w:right w:val="nil"/>
            </w:tcBorders>
            <w:shd w:val="clear" w:color="auto" w:fill="auto"/>
            <w:vAlign w:val="bottom"/>
            <w:hideMark/>
          </w:tcPr>
          <w:p w14:paraId="3CD71A12" w14:textId="77777777" w:rsidR="00925F76" w:rsidRPr="00C410BA" w:rsidRDefault="00925F76" w:rsidP="000B06D7">
            <w:pPr>
              <w:spacing w:line="240" w:lineRule="auto"/>
              <w:rPr>
                <w:rFonts w:eastAsia="Times New Roman"/>
                <w:color w:val="000000"/>
                <w:sz w:val="16"/>
                <w:szCs w:val="16"/>
                <w:lang w:eastAsia="es-ES"/>
              </w:rPr>
            </w:pPr>
            <w:bookmarkStart w:id="2" w:name="_Hlk67566084"/>
            <w:r w:rsidRPr="00C410BA">
              <w:rPr>
                <w:rFonts w:eastAsia="Times New Roman"/>
                <w:color w:val="000000"/>
                <w:sz w:val="16"/>
                <w:szCs w:val="16"/>
                <w:lang w:eastAsia="es-ES"/>
              </w:rPr>
              <w:t>Fuente: Departamento de Investigación y Estadísticas del Ministerio de la Mujer.</w:t>
            </w:r>
            <w:bookmarkEnd w:id="2"/>
          </w:p>
        </w:tc>
      </w:tr>
    </w:tbl>
    <w:p w14:paraId="2D800A85" w14:textId="77777777" w:rsidR="00925F76" w:rsidRDefault="00925F76" w:rsidP="00D06F09">
      <w:pPr>
        <w:jc w:val="both"/>
        <w:rPr>
          <w:sz w:val="24"/>
          <w:szCs w:val="24"/>
        </w:rPr>
      </w:pPr>
    </w:p>
    <w:p w14:paraId="7E6D5D1A" w14:textId="77777777" w:rsidR="00925F76" w:rsidRDefault="00925F76" w:rsidP="00925F76">
      <w:pPr>
        <w:rPr>
          <w:b/>
          <w:bCs/>
          <w:sz w:val="24"/>
          <w:szCs w:val="24"/>
        </w:rPr>
      </w:pPr>
      <w:r w:rsidRPr="00C410BA">
        <w:rPr>
          <w:b/>
          <w:bCs/>
          <w:sz w:val="24"/>
          <w:szCs w:val="24"/>
        </w:rPr>
        <w:t>Población mayor de 60 años que acudió al Ministerio de la Mujer.</w:t>
      </w:r>
    </w:p>
    <w:p w14:paraId="2B38F50E" w14:textId="77777777" w:rsidR="00D06F09" w:rsidRDefault="00D06F09" w:rsidP="00861FA2">
      <w:pPr>
        <w:jc w:val="center"/>
        <w:rPr>
          <w:color w:val="1F497D" w:themeColor="text2"/>
          <w:sz w:val="24"/>
          <w:szCs w:val="24"/>
        </w:rPr>
      </w:pPr>
    </w:p>
    <w:p w14:paraId="4F8DADA3" w14:textId="77777777" w:rsidR="00925F76" w:rsidRDefault="00925F76" w:rsidP="00861FA2">
      <w:pPr>
        <w:jc w:val="center"/>
        <w:rPr>
          <w:color w:val="1F497D" w:themeColor="text2"/>
          <w:sz w:val="24"/>
          <w:szCs w:val="24"/>
        </w:rPr>
      </w:pPr>
    </w:p>
    <w:p w14:paraId="242A72F7" w14:textId="77777777" w:rsidR="00925F76" w:rsidRDefault="00925F76" w:rsidP="00861FA2">
      <w:pPr>
        <w:jc w:val="center"/>
        <w:rPr>
          <w:color w:val="1F497D" w:themeColor="text2"/>
          <w:sz w:val="24"/>
          <w:szCs w:val="24"/>
        </w:rPr>
      </w:pPr>
    </w:p>
    <w:p w14:paraId="2813712F" w14:textId="77777777" w:rsidR="00925F76" w:rsidRDefault="00925F76" w:rsidP="00861FA2">
      <w:pPr>
        <w:jc w:val="center"/>
        <w:rPr>
          <w:color w:val="1F497D" w:themeColor="text2"/>
          <w:sz w:val="24"/>
          <w:szCs w:val="24"/>
        </w:rPr>
      </w:pPr>
    </w:p>
    <w:p w14:paraId="047700C1" w14:textId="77777777" w:rsidR="00925F76" w:rsidRDefault="00925F76" w:rsidP="00861FA2">
      <w:pPr>
        <w:jc w:val="center"/>
        <w:rPr>
          <w:color w:val="1F497D" w:themeColor="text2"/>
          <w:sz w:val="24"/>
          <w:szCs w:val="24"/>
        </w:rPr>
      </w:pPr>
    </w:p>
    <w:p w14:paraId="04426A69" w14:textId="77777777" w:rsidR="00925F76" w:rsidRDefault="00925F76" w:rsidP="00861FA2">
      <w:pPr>
        <w:jc w:val="center"/>
        <w:rPr>
          <w:color w:val="1F497D" w:themeColor="text2"/>
          <w:sz w:val="24"/>
          <w:szCs w:val="24"/>
        </w:rPr>
      </w:pPr>
    </w:p>
    <w:p w14:paraId="21EA42FD" w14:textId="77777777" w:rsidR="00925F76" w:rsidRDefault="00925F76" w:rsidP="00861FA2">
      <w:pPr>
        <w:jc w:val="center"/>
        <w:rPr>
          <w:color w:val="1F497D" w:themeColor="text2"/>
          <w:sz w:val="24"/>
          <w:szCs w:val="24"/>
        </w:rPr>
      </w:pPr>
    </w:p>
    <w:p w14:paraId="55B328C1" w14:textId="77777777" w:rsidR="00925F76" w:rsidRDefault="00925F76" w:rsidP="00861FA2">
      <w:pPr>
        <w:jc w:val="center"/>
        <w:rPr>
          <w:color w:val="1F497D" w:themeColor="text2"/>
          <w:sz w:val="24"/>
          <w:szCs w:val="24"/>
        </w:rPr>
      </w:pPr>
    </w:p>
    <w:p w14:paraId="13A5F19E" w14:textId="77777777" w:rsidR="00925F76" w:rsidRDefault="00925F76" w:rsidP="00861FA2">
      <w:pPr>
        <w:jc w:val="center"/>
        <w:rPr>
          <w:color w:val="1F497D" w:themeColor="text2"/>
          <w:sz w:val="24"/>
          <w:szCs w:val="24"/>
        </w:rPr>
      </w:pPr>
    </w:p>
    <w:p w14:paraId="1C77E093" w14:textId="77777777" w:rsidR="00925F76" w:rsidRDefault="00925F76" w:rsidP="00861FA2">
      <w:pPr>
        <w:jc w:val="center"/>
        <w:rPr>
          <w:color w:val="1F497D" w:themeColor="text2"/>
          <w:sz w:val="24"/>
          <w:szCs w:val="24"/>
        </w:rPr>
      </w:pPr>
    </w:p>
    <w:p w14:paraId="1D33E9E1" w14:textId="77777777" w:rsidR="00925F76" w:rsidRDefault="00925F76" w:rsidP="00861FA2">
      <w:pPr>
        <w:jc w:val="center"/>
        <w:rPr>
          <w:color w:val="1F497D" w:themeColor="text2"/>
          <w:sz w:val="24"/>
          <w:szCs w:val="24"/>
        </w:rPr>
      </w:pPr>
    </w:p>
    <w:p w14:paraId="7B7787A7" w14:textId="77777777" w:rsidR="00925F76" w:rsidRDefault="00925F76" w:rsidP="00861FA2">
      <w:pPr>
        <w:jc w:val="center"/>
        <w:rPr>
          <w:color w:val="1F497D" w:themeColor="text2"/>
          <w:sz w:val="24"/>
          <w:szCs w:val="24"/>
        </w:rPr>
      </w:pPr>
    </w:p>
    <w:p w14:paraId="02640C6C" w14:textId="77777777" w:rsidR="00925F76" w:rsidRDefault="00925F76" w:rsidP="00861FA2">
      <w:pPr>
        <w:jc w:val="center"/>
        <w:rPr>
          <w:color w:val="1F497D" w:themeColor="text2"/>
          <w:sz w:val="24"/>
          <w:szCs w:val="24"/>
        </w:rPr>
      </w:pPr>
    </w:p>
    <w:p w14:paraId="464A6099" w14:textId="77777777" w:rsidR="00925F76" w:rsidRDefault="00925F76" w:rsidP="00861FA2">
      <w:pPr>
        <w:jc w:val="center"/>
        <w:rPr>
          <w:color w:val="1F497D" w:themeColor="text2"/>
          <w:sz w:val="24"/>
          <w:szCs w:val="24"/>
        </w:rPr>
      </w:pPr>
    </w:p>
    <w:p w14:paraId="32C1A123" w14:textId="58B5BFA6" w:rsidR="00D06F09" w:rsidRPr="00B26113" w:rsidRDefault="00D06F09" w:rsidP="003E7865">
      <w:pPr>
        <w:jc w:val="center"/>
        <w:rPr>
          <w:b/>
          <w:bCs/>
          <w:sz w:val="24"/>
          <w:szCs w:val="24"/>
        </w:rPr>
      </w:pPr>
      <w:r w:rsidRPr="003E7865">
        <w:rPr>
          <w:b/>
          <w:bCs/>
          <w:sz w:val="24"/>
          <w:szCs w:val="24"/>
        </w:rPr>
        <w:t xml:space="preserve">Cuadro no. 1 </w:t>
      </w:r>
      <w:r w:rsidR="006223E5">
        <w:rPr>
          <w:b/>
          <w:bCs/>
          <w:sz w:val="24"/>
          <w:szCs w:val="24"/>
        </w:rPr>
        <w:t>Porcentaje</w:t>
      </w:r>
      <w:r w:rsidRPr="003E7865">
        <w:rPr>
          <w:b/>
          <w:bCs/>
          <w:sz w:val="24"/>
          <w:szCs w:val="24"/>
        </w:rPr>
        <w:t xml:space="preserve"> de mujeres mayores de 60 años atendidas por el Ministerio de la Mujer</w:t>
      </w:r>
      <w:r w:rsidR="00925F76" w:rsidRPr="003E7865">
        <w:rPr>
          <w:b/>
          <w:bCs/>
          <w:sz w:val="24"/>
          <w:szCs w:val="24"/>
        </w:rPr>
        <w:t>, según lugar donde fue asistida, 2020.</w:t>
      </w:r>
    </w:p>
    <w:p w14:paraId="3BE4B34C" w14:textId="77777777" w:rsidR="00D06F09" w:rsidRDefault="00D06F09" w:rsidP="00D06F09">
      <w:pPr>
        <w:rPr>
          <w:rFonts w:eastAsia="Times New Roman"/>
          <w:color w:val="000000"/>
          <w:sz w:val="16"/>
          <w:szCs w:val="16"/>
          <w:lang w:eastAsia="es-ES"/>
        </w:rPr>
      </w:pPr>
      <w:r>
        <w:rPr>
          <w:noProof/>
          <w:lang w:val="en-GB" w:eastAsia="en-GB"/>
        </w:rPr>
        <w:lastRenderedPageBreak/>
        <w:drawing>
          <wp:inline distT="0" distB="0" distL="0" distR="0" wp14:anchorId="700F1569" wp14:editId="0DB54DD7">
            <wp:extent cx="5267325" cy="2971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7325" cy="2971800"/>
                    </a:xfrm>
                    <a:prstGeom prst="rect">
                      <a:avLst/>
                    </a:prstGeom>
                  </pic:spPr>
                </pic:pic>
              </a:graphicData>
            </a:graphic>
          </wp:inline>
        </w:drawing>
      </w:r>
      <w:r w:rsidRPr="00D06F09">
        <w:rPr>
          <w:rFonts w:eastAsia="Times New Roman"/>
          <w:color w:val="000000"/>
          <w:sz w:val="16"/>
          <w:szCs w:val="16"/>
          <w:lang w:eastAsia="es-ES"/>
        </w:rPr>
        <w:t xml:space="preserve"> </w:t>
      </w:r>
    </w:p>
    <w:p w14:paraId="0C8E013F" w14:textId="123CA723" w:rsidR="00D06F09" w:rsidRPr="003E7865" w:rsidRDefault="00D06F09" w:rsidP="00D06F09">
      <w:pPr>
        <w:rPr>
          <w:rFonts w:eastAsia="Times New Roman"/>
          <w:b/>
          <w:bCs/>
          <w:color w:val="000000"/>
          <w:sz w:val="14"/>
          <w:szCs w:val="14"/>
          <w:lang w:eastAsia="es-ES"/>
        </w:rPr>
      </w:pPr>
      <w:r w:rsidRPr="003E7865">
        <w:rPr>
          <w:rFonts w:eastAsia="Times New Roman"/>
          <w:b/>
          <w:bCs/>
          <w:color w:val="000000"/>
          <w:sz w:val="14"/>
          <w:szCs w:val="14"/>
          <w:lang w:eastAsia="es-ES"/>
        </w:rPr>
        <w:t>Fuente: Departamento de Investigación y Estadísticas del Ministerio de la Mujer.</w:t>
      </w:r>
    </w:p>
    <w:p w14:paraId="131470EB" w14:textId="77777777" w:rsidR="00D06F09" w:rsidRPr="003E7865" w:rsidRDefault="00D06F09" w:rsidP="00D06F09">
      <w:pPr>
        <w:rPr>
          <w:b/>
          <w:bCs/>
        </w:rPr>
      </w:pPr>
    </w:p>
    <w:p w14:paraId="3ED27945" w14:textId="77777777" w:rsidR="00D06F09" w:rsidRPr="0003741A" w:rsidRDefault="00D06F09" w:rsidP="00D06F09">
      <w:pPr>
        <w:tabs>
          <w:tab w:val="left" w:pos="1965"/>
        </w:tabs>
        <w:jc w:val="center"/>
        <w:rPr>
          <w:sz w:val="24"/>
          <w:szCs w:val="24"/>
        </w:rPr>
      </w:pPr>
    </w:p>
    <w:p w14:paraId="27A3818E" w14:textId="54888653" w:rsidR="00D06F09" w:rsidRDefault="00925F76" w:rsidP="003E7865">
      <w:pPr>
        <w:shd w:val="clear" w:color="auto" w:fill="FFFFFF"/>
        <w:spacing w:before="60" w:line="254" w:lineRule="auto"/>
        <w:ind w:left="900" w:right="880" w:hanging="20"/>
        <w:jc w:val="both"/>
      </w:pPr>
      <w:r>
        <w:t xml:space="preserve">Es relevante notar, en el marco de este informe, algunos datos nacionales sobre la población adulta mayor y en especifico sobre la mujer dominicana. </w:t>
      </w:r>
    </w:p>
    <w:p w14:paraId="7A3A82B6" w14:textId="77777777" w:rsidR="00101099" w:rsidRPr="00101099" w:rsidRDefault="00101099" w:rsidP="00101099">
      <w:pPr>
        <w:pStyle w:val="ListParagraph"/>
        <w:numPr>
          <w:ilvl w:val="0"/>
          <w:numId w:val="9"/>
        </w:numPr>
        <w:shd w:val="clear" w:color="auto" w:fill="FFFFFF"/>
        <w:spacing w:before="120" w:line="256" w:lineRule="auto"/>
        <w:ind w:right="880"/>
        <w:jc w:val="both"/>
        <w:rPr>
          <w:rFonts w:ascii="Times New Roman" w:eastAsia="Times New Roman" w:hAnsi="Times New Roman" w:cs="Times New Roman"/>
        </w:rPr>
      </w:pPr>
      <w:r w:rsidRPr="00101099">
        <w:rPr>
          <w:rFonts w:ascii="Times New Roman" w:eastAsia="Times New Roman" w:hAnsi="Times New Roman" w:cs="Times New Roman"/>
        </w:rPr>
        <w:t xml:space="preserve">La población de más de 65 años fue 716 mil, de los cuales 357 mil son hombres y 399 son mujeres. </w:t>
      </w:r>
      <w:r>
        <w:rPr>
          <w:rStyle w:val="FootnoteReference"/>
          <w:rFonts w:ascii="Times New Roman" w:eastAsia="Times New Roman" w:hAnsi="Times New Roman" w:cs="Times New Roman"/>
        </w:rPr>
        <w:footnoteReference w:id="1"/>
      </w:r>
    </w:p>
    <w:p w14:paraId="365A5955" w14:textId="775E30BB" w:rsidR="00525E9A" w:rsidRPr="003E7865" w:rsidRDefault="008815C5" w:rsidP="009A18B5">
      <w:pPr>
        <w:pStyle w:val="ListParagraph"/>
        <w:numPr>
          <w:ilvl w:val="0"/>
          <w:numId w:val="9"/>
        </w:numPr>
        <w:shd w:val="clear" w:color="auto" w:fill="FFFFFF"/>
        <w:spacing w:before="60" w:line="254" w:lineRule="auto"/>
        <w:ind w:right="880"/>
        <w:jc w:val="both"/>
        <w:rPr>
          <w:rFonts w:ascii="Times New Roman" w:eastAsia="Times New Roman" w:hAnsi="Times New Roman" w:cs="Times New Roman"/>
          <w:b/>
        </w:rPr>
      </w:pPr>
      <w:r w:rsidRPr="003E7865">
        <w:rPr>
          <w:rFonts w:ascii="Times New Roman" w:hAnsi="Times New Roman" w:cs="Times New Roman"/>
        </w:rPr>
        <w:lastRenderedPageBreak/>
        <w:t>La mayor parte de la población mayor a 60 años en las zonas urbanas son mujeres (53% vs 46%), mientras que en las zonas rurales la mayoría son hombres (54% vs 45%</w:t>
      </w:r>
      <w:r>
        <w:t>).</w:t>
      </w:r>
      <w:r>
        <w:rPr>
          <w:rStyle w:val="FootnoteReference"/>
        </w:rPr>
        <w:footnoteReference w:id="2"/>
      </w:r>
    </w:p>
    <w:p w14:paraId="73806BF1" w14:textId="159783F3" w:rsidR="00F410EC" w:rsidRDefault="00F410EC" w:rsidP="009A18B5">
      <w:pPr>
        <w:pStyle w:val="ListParagraph"/>
        <w:numPr>
          <w:ilvl w:val="0"/>
          <w:numId w:val="9"/>
        </w:numPr>
        <w:shd w:val="clear" w:color="auto" w:fill="FFFFFF"/>
        <w:spacing w:before="60" w:line="254" w:lineRule="auto"/>
        <w:ind w:right="880"/>
        <w:jc w:val="both"/>
        <w:rPr>
          <w:rFonts w:ascii="Times New Roman" w:hAnsi="Times New Roman" w:cs="Times New Roman"/>
        </w:rPr>
      </w:pPr>
      <w:r w:rsidRPr="003E7865">
        <w:rPr>
          <w:rFonts w:ascii="Times New Roman" w:hAnsi="Times New Roman" w:cs="Times New Roman"/>
        </w:rPr>
        <w:t>El 46.7% de las personas mayores sufre de alguna discapacidad</w:t>
      </w:r>
      <w:r>
        <w:rPr>
          <w:rFonts w:ascii="Times New Roman" w:hAnsi="Times New Roman" w:cs="Times New Roman"/>
        </w:rPr>
        <w:t xml:space="preserve">. </w:t>
      </w:r>
      <w:r>
        <w:rPr>
          <w:rStyle w:val="FootnoteReference"/>
          <w:rFonts w:ascii="Times New Roman" w:hAnsi="Times New Roman" w:cs="Times New Roman"/>
        </w:rPr>
        <w:footnoteReference w:id="3"/>
      </w:r>
    </w:p>
    <w:p w14:paraId="03D1537B" w14:textId="77777777" w:rsidR="00F410EC" w:rsidRPr="00F410EC" w:rsidRDefault="00F410EC" w:rsidP="00F410EC">
      <w:pPr>
        <w:pStyle w:val="ListParagraph"/>
        <w:numPr>
          <w:ilvl w:val="0"/>
          <w:numId w:val="9"/>
        </w:numPr>
        <w:shd w:val="clear" w:color="auto" w:fill="FFFFFF"/>
        <w:spacing w:before="60" w:line="254" w:lineRule="auto"/>
        <w:ind w:right="880"/>
        <w:jc w:val="both"/>
        <w:rPr>
          <w:rFonts w:ascii="Times New Roman" w:hAnsi="Times New Roman" w:cs="Times New Roman"/>
        </w:rPr>
      </w:pPr>
      <w:r w:rsidRPr="00F410EC">
        <w:rPr>
          <w:rFonts w:ascii="Times New Roman" w:hAnsi="Times New Roman" w:cs="Times New Roman"/>
        </w:rPr>
        <w:t>El 91% es víctima de violencia emocional. En el 29% de los casos los</w:t>
      </w:r>
    </w:p>
    <w:p w14:paraId="3FBF421E" w14:textId="03F1701D" w:rsidR="00F410EC" w:rsidRDefault="00F410EC" w:rsidP="009A18B5">
      <w:pPr>
        <w:pStyle w:val="ListParagraph"/>
        <w:numPr>
          <w:ilvl w:val="0"/>
          <w:numId w:val="9"/>
        </w:numPr>
        <w:shd w:val="clear" w:color="auto" w:fill="FFFFFF"/>
        <w:spacing w:before="60" w:line="254" w:lineRule="auto"/>
        <w:ind w:right="880"/>
        <w:jc w:val="both"/>
        <w:rPr>
          <w:rFonts w:ascii="Times New Roman" w:hAnsi="Times New Roman" w:cs="Times New Roman"/>
        </w:rPr>
      </w:pPr>
      <w:r w:rsidRPr="00F410EC">
        <w:rPr>
          <w:rFonts w:ascii="Times New Roman" w:hAnsi="Times New Roman" w:cs="Times New Roman"/>
        </w:rPr>
        <w:t>perpetradores son sus hijos</w:t>
      </w:r>
      <w:r>
        <w:rPr>
          <w:rFonts w:ascii="Times New Roman" w:hAnsi="Times New Roman" w:cs="Times New Roman"/>
        </w:rPr>
        <w:t>.</w:t>
      </w:r>
      <w:r>
        <w:rPr>
          <w:rStyle w:val="FootnoteReference"/>
          <w:rFonts w:ascii="Times New Roman" w:hAnsi="Times New Roman" w:cs="Times New Roman"/>
        </w:rPr>
        <w:footnoteReference w:id="4"/>
      </w:r>
    </w:p>
    <w:p w14:paraId="6066C5FA" w14:textId="3858EECE" w:rsidR="00F410EC" w:rsidRDefault="00F410EC" w:rsidP="009A18B5">
      <w:pPr>
        <w:pStyle w:val="ListParagraph"/>
        <w:numPr>
          <w:ilvl w:val="0"/>
          <w:numId w:val="9"/>
        </w:numPr>
        <w:shd w:val="clear" w:color="auto" w:fill="FFFFFF"/>
        <w:spacing w:before="60" w:line="254" w:lineRule="auto"/>
        <w:ind w:right="880"/>
        <w:jc w:val="both"/>
        <w:rPr>
          <w:rFonts w:ascii="Times New Roman" w:hAnsi="Times New Roman" w:cs="Times New Roman"/>
        </w:rPr>
      </w:pPr>
      <w:r w:rsidRPr="00F410EC">
        <w:rPr>
          <w:rFonts w:ascii="Times New Roman" w:hAnsi="Times New Roman" w:cs="Times New Roman"/>
        </w:rPr>
        <w:t>El 14% recibe una pensión (18% de los hombres y 8% de las mujeres)</w:t>
      </w:r>
      <w:r>
        <w:rPr>
          <w:rFonts w:ascii="Times New Roman" w:hAnsi="Times New Roman" w:cs="Times New Roman"/>
        </w:rPr>
        <w:t xml:space="preserve">. </w:t>
      </w:r>
      <w:r>
        <w:rPr>
          <w:rStyle w:val="FootnoteReference"/>
          <w:rFonts w:ascii="Times New Roman" w:hAnsi="Times New Roman" w:cs="Times New Roman"/>
        </w:rPr>
        <w:footnoteReference w:id="5"/>
      </w:r>
    </w:p>
    <w:p w14:paraId="46CE39D7" w14:textId="4DAB46EC" w:rsidR="00F410EC" w:rsidRDefault="00F410EC" w:rsidP="009A18B5">
      <w:pPr>
        <w:pStyle w:val="ListParagraph"/>
        <w:numPr>
          <w:ilvl w:val="0"/>
          <w:numId w:val="9"/>
        </w:numPr>
        <w:shd w:val="clear" w:color="auto" w:fill="FFFFFF"/>
        <w:spacing w:before="60" w:line="254" w:lineRule="auto"/>
        <w:ind w:right="880"/>
        <w:jc w:val="both"/>
        <w:rPr>
          <w:rFonts w:ascii="Times New Roman" w:hAnsi="Times New Roman" w:cs="Times New Roman"/>
        </w:rPr>
      </w:pPr>
      <w:r w:rsidRPr="00F410EC">
        <w:rPr>
          <w:rFonts w:ascii="Times New Roman" w:hAnsi="Times New Roman" w:cs="Times New Roman"/>
        </w:rPr>
        <w:t>El principal aporte económico a sus hogares proviene de ellos mismos (70%</w:t>
      </w:r>
      <w:r>
        <w:rPr>
          <w:rFonts w:ascii="Times New Roman" w:hAnsi="Times New Roman" w:cs="Times New Roman"/>
        </w:rPr>
        <w:t xml:space="preserve"> </w:t>
      </w:r>
      <w:r w:rsidRPr="003E7865">
        <w:rPr>
          <w:rFonts w:ascii="Times New Roman" w:hAnsi="Times New Roman" w:cs="Times New Roman"/>
        </w:rPr>
        <w:t>en el caso de los hombres y 51% en el de las mujeres).</w:t>
      </w:r>
      <w:r>
        <w:rPr>
          <w:rFonts w:ascii="Times New Roman" w:hAnsi="Times New Roman" w:cs="Times New Roman"/>
        </w:rPr>
        <w:t xml:space="preserve"> </w:t>
      </w:r>
      <w:r>
        <w:rPr>
          <w:rStyle w:val="FootnoteReference"/>
          <w:rFonts w:ascii="Times New Roman" w:hAnsi="Times New Roman" w:cs="Times New Roman"/>
        </w:rPr>
        <w:footnoteReference w:id="6"/>
      </w:r>
    </w:p>
    <w:p w14:paraId="3ECC9C35" w14:textId="1E70721B" w:rsidR="00F410EC" w:rsidRDefault="00F410EC" w:rsidP="009A18B5">
      <w:pPr>
        <w:pStyle w:val="ListParagraph"/>
        <w:numPr>
          <w:ilvl w:val="0"/>
          <w:numId w:val="9"/>
        </w:numPr>
        <w:shd w:val="clear" w:color="auto" w:fill="FFFFFF"/>
        <w:spacing w:before="60" w:line="254" w:lineRule="auto"/>
        <w:ind w:right="880"/>
        <w:jc w:val="both"/>
        <w:rPr>
          <w:rFonts w:ascii="Times New Roman" w:hAnsi="Times New Roman" w:cs="Times New Roman"/>
        </w:rPr>
      </w:pPr>
      <w:r w:rsidRPr="00F410EC">
        <w:rPr>
          <w:rFonts w:ascii="Times New Roman" w:hAnsi="Times New Roman" w:cs="Times New Roman"/>
        </w:rPr>
        <w:t>El 19% de las adultas mayores y el 5% de los adultos mayores son viudos.</w:t>
      </w:r>
      <w:r>
        <w:rPr>
          <w:rStyle w:val="FootnoteReference"/>
          <w:rFonts w:ascii="Times New Roman" w:hAnsi="Times New Roman" w:cs="Times New Roman"/>
        </w:rPr>
        <w:footnoteReference w:id="7"/>
      </w:r>
    </w:p>
    <w:p w14:paraId="5AD640CF" w14:textId="3740F357" w:rsidR="00F410EC" w:rsidRDefault="00F410EC" w:rsidP="009A18B5">
      <w:pPr>
        <w:pStyle w:val="ListParagraph"/>
        <w:numPr>
          <w:ilvl w:val="0"/>
          <w:numId w:val="9"/>
        </w:numPr>
        <w:shd w:val="clear" w:color="auto" w:fill="FFFFFF"/>
        <w:spacing w:before="60" w:line="254" w:lineRule="auto"/>
        <w:ind w:right="880"/>
        <w:jc w:val="both"/>
        <w:rPr>
          <w:rFonts w:ascii="Times New Roman" w:hAnsi="Times New Roman" w:cs="Times New Roman"/>
        </w:rPr>
      </w:pPr>
      <w:r w:rsidRPr="003E7865">
        <w:rPr>
          <w:rFonts w:ascii="Times New Roman" w:hAnsi="Times New Roman" w:cs="Times New Roman"/>
        </w:rPr>
        <w:t>El 69% de los adultos mayores se considera los jefes del hogar. El 4.2% de los hombres y el 19.2% de las mujeres considera que su pareja tiene la jefatura</w:t>
      </w:r>
      <w:r>
        <w:rPr>
          <w:rFonts w:ascii="Times New Roman" w:hAnsi="Times New Roman" w:cs="Times New Roman"/>
        </w:rPr>
        <w:t xml:space="preserve"> </w:t>
      </w:r>
      <w:r w:rsidRPr="003E7865">
        <w:rPr>
          <w:rFonts w:ascii="Times New Roman" w:hAnsi="Times New Roman" w:cs="Times New Roman"/>
        </w:rPr>
        <w:t>del hogar</w:t>
      </w:r>
      <w:r>
        <w:rPr>
          <w:rFonts w:ascii="Times New Roman" w:hAnsi="Times New Roman" w:cs="Times New Roman"/>
        </w:rPr>
        <w:t>.</w:t>
      </w:r>
      <w:r>
        <w:rPr>
          <w:rStyle w:val="FootnoteReference"/>
          <w:rFonts w:ascii="Times New Roman" w:hAnsi="Times New Roman" w:cs="Times New Roman"/>
        </w:rPr>
        <w:footnoteReference w:id="8"/>
      </w:r>
    </w:p>
    <w:p w14:paraId="6D0A8FAE" w14:textId="68017154" w:rsidR="00101099" w:rsidRPr="00A41F35" w:rsidRDefault="00101099" w:rsidP="00101099">
      <w:pPr>
        <w:pStyle w:val="ListParagraph"/>
        <w:numPr>
          <w:ilvl w:val="0"/>
          <w:numId w:val="9"/>
        </w:numPr>
        <w:spacing w:after="160" w:line="240" w:lineRule="auto"/>
        <w:jc w:val="both"/>
        <w:rPr>
          <w:rFonts w:ascii="Garamond" w:hAnsi="Garamond"/>
          <w:lang w:val="es-EC"/>
        </w:rPr>
      </w:pPr>
      <w:r w:rsidRPr="00A41F35">
        <w:rPr>
          <w:rFonts w:ascii="Garamond" w:hAnsi="Garamond"/>
          <w:lang w:val="es-EC"/>
        </w:rPr>
        <w:t>288 mil</w:t>
      </w:r>
      <w:r>
        <w:rPr>
          <w:rFonts w:ascii="Garamond" w:hAnsi="Garamond"/>
          <w:lang w:val="es-EC"/>
        </w:rPr>
        <w:t xml:space="preserve"> personas</w:t>
      </w:r>
      <w:r w:rsidRPr="00A41F35">
        <w:rPr>
          <w:rFonts w:ascii="Garamond" w:hAnsi="Garamond"/>
          <w:lang w:val="es-EC"/>
        </w:rPr>
        <w:t xml:space="preserve"> adult</w:t>
      </w:r>
      <w:r>
        <w:rPr>
          <w:rFonts w:ascii="Garamond" w:hAnsi="Garamond"/>
          <w:lang w:val="es-EC"/>
        </w:rPr>
        <w:t>a</w:t>
      </w:r>
      <w:r w:rsidRPr="00A41F35">
        <w:rPr>
          <w:rFonts w:ascii="Garamond" w:hAnsi="Garamond"/>
          <w:lang w:val="es-EC"/>
        </w:rPr>
        <w:t>s mayores aún se registran como población ocupada, de los cuales 188 mil son hombres y 100 mil son mujeres.</w:t>
      </w:r>
      <w:r>
        <w:rPr>
          <w:rFonts w:ascii="Garamond" w:hAnsi="Garamond"/>
          <w:lang w:val="es-EC"/>
        </w:rPr>
        <w:t xml:space="preserve"> </w:t>
      </w:r>
      <w:r>
        <w:rPr>
          <w:rStyle w:val="FootnoteReference"/>
          <w:rFonts w:ascii="Garamond" w:hAnsi="Garamond"/>
          <w:lang w:val="es-EC"/>
        </w:rPr>
        <w:footnoteReference w:id="9"/>
      </w:r>
    </w:p>
    <w:p w14:paraId="51C4269F" w14:textId="77777777" w:rsidR="00101099" w:rsidRPr="003E7865" w:rsidRDefault="00101099" w:rsidP="003E7865">
      <w:pPr>
        <w:pStyle w:val="ListParagraph"/>
        <w:shd w:val="clear" w:color="auto" w:fill="FFFFFF"/>
        <w:spacing w:before="60" w:line="254" w:lineRule="auto"/>
        <w:ind w:left="1600" w:right="880"/>
        <w:jc w:val="both"/>
        <w:rPr>
          <w:rFonts w:ascii="Times New Roman" w:hAnsi="Times New Roman" w:cs="Times New Roman"/>
        </w:rPr>
      </w:pPr>
    </w:p>
    <w:p w14:paraId="00000012" w14:textId="6ECA59AA" w:rsidR="00013295" w:rsidRDefault="00875009" w:rsidP="00AD0601">
      <w:pPr>
        <w:shd w:val="clear" w:color="auto" w:fill="FFFFFF"/>
        <w:spacing w:before="60" w:line="254" w:lineRule="auto"/>
        <w:ind w:right="880"/>
        <w:jc w:val="both"/>
        <w:rPr>
          <w:rFonts w:ascii="Times New Roman" w:eastAsia="Times New Roman" w:hAnsi="Times New Roman" w:cs="Times New Roman"/>
          <w:b/>
        </w:rPr>
      </w:pPr>
      <w:r w:rsidRPr="00B137E1">
        <w:rPr>
          <w:rFonts w:ascii="Times New Roman" w:eastAsia="Times New Roman" w:hAnsi="Times New Roman" w:cs="Times New Roman"/>
          <w:b/>
        </w:rPr>
        <w:lastRenderedPageBreak/>
        <w:t xml:space="preserve">¿Cómo se definen las mujeres de edad a los efectos de la legislación, las políticas y la reunión de datos?  </w:t>
      </w:r>
    </w:p>
    <w:p w14:paraId="7A9923DC" w14:textId="77777777" w:rsidR="00AD0601" w:rsidRPr="00AD0601" w:rsidRDefault="00AD0601" w:rsidP="00AD0601">
      <w:pPr>
        <w:shd w:val="clear" w:color="auto" w:fill="FFFFFF"/>
        <w:spacing w:before="60" w:line="254" w:lineRule="auto"/>
        <w:ind w:left="1160" w:right="880" w:hanging="280"/>
        <w:jc w:val="both"/>
        <w:rPr>
          <w:rFonts w:ascii="Times New Roman" w:eastAsia="Times New Roman" w:hAnsi="Times New Roman" w:cs="Times New Roman"/>
          <w:b/>
        </w:rPr>
      </w:pPr>
    </w:p>
    <w:p w14:paraId="74116205" w14:textId="62ADEAF9" w:rsidR="00A90684" w:rsidRDefault="00A468E6" w:rsidP="00F91B48">
      <w:pPr>
        <w:shd w:val="clear" w:color="auto" w:fill="FFFFFF"/>
        <w:spacing w:before="60" w:line="254" w:lineRule="auto"/>
        <w:ind w:left="1160" w:right="880"/>
        <w:jc w:val="both"/>
        <w:rPr>
          <w:rFonts w:ascii="Times New Roman" w:eastAsia="Times New Roman" w:hAnsi="Times New Roman" w:cs="Times New Roman"/>
        </w:rPr>
      </w:pPr>
      <w:r>
        <w:rPr>
          <w:rFonts w:ascii="Times New Roman" w:eastAsia="Times New Roman" w:hAnsi="Times New Roman" w:cs="Times New Roman"/>
        </w:rPr>
        <w:t xml:space="preserve">En materia legislativa la </w:t>
      </w:r>
      <w:r w:rsidR="00875009" w:rsidRPr="00B137E1">
        <w:rPr>
          <w:rFonts w:ascii="Times New Roman" w:eastAsia="Times New Roman" w:hAnsi="Times New Roman" w:cs="Times New Roman"/>
        </w:rPr>
        <w:t xml:space="preserve">Ley 352-98, Personas envejecientes, </w:t>
      </w:r>
      <w:r>
        <w:rPr>
          <w:rFonts w:ascii="Times New Roman" w:eastAsia="Times New Roman" w:hAnsi="Times New Roman" w:cs="Times New Roman"/>
        </w:rPr>
        <w:t xml:space="preserve">hace </w:t>
      </w:r>
      <w:r w:rsidR="00925F76">
        <w:rPr>
          <w:rFonts w:ascii="Times New Roman" w:eastAsia="Times New Roman" w:hAnsi="Times New Roman" w:cs="Times New Roman"/>
        </w:rPr>
        <w:t xml:space="preserve">referencia en todos sus artículos como </w:t>
      </w:r>
      <w:r>
        <w:rPr>
          <w:rFonts w:ascii="Times New Roman" w:eastAsia="Times New Roman" w:hAnsi="Times New Roman" w:cs="Times New Roman"/>
        </w:rPr>
        <w:t xml:space="preserve">el hombre y la mujer, asignando a ambos los mismos derechos. </w:t>
      </w:r>
      <w:r w:rsidR="00925F76">
        <w:rPr>
          <w:rFonts w:ascii="Times New Roman" w:eastAsia="Times New Roman" w:hAnsi="Times New Roman" w:cs="Times New Roman"/>
        </w:rPr>
        <w:t>Por otro lado, e</w:t>
      </w:r>
      <w:r>
        <w:rPr>
          <w:rFonts w:ascii="Times New Roman" w:eastAsia="Times New Roman" w:hAnsi="Times New Roman" w:cs="Times New Roman"/>
        </w:rPr>
        <w:t xml:space="preserve">n </w:t>
      </w:r>
      <w:r w:rsidR="006223E5">
        <w:rPr>
          <w:rFonts w:ascii="Times New Roman" w:eastAsia="Times New Roman" w:hAnsi="Times New Roman" w:cs="Times New Roman"/>
        </w:rPr>
        <w:t xml:space="preserve">su </w:t>
      </w:r>
      <w:r w:rsidR="006223E5" w:rsidRPr="00B137E1">
        <w:rPr>
          <w:rFonts w:ascii="Times New Roman" w:eastAsia="Times New Roman" w:hAnsi="Times New Roman" w:cs="Times New Roman"/>
        </w:rPr>
        <w:t>artículo</w:t>
      </w:r>
      <w:r w:rsidR="00875009" w:rsidRPr="00B137E1">
        <w:rPr>
          <w:rFonts w:ascii="Times New Roman" w:eastAsia="Times New Roman" w:hAnsi="Times New Roman" w:cs="Times New Roman"/>
        </w:rPr>
        <w:t xml:space="preserve"> No. 1</w:t>
      </w:r>
      <w:r>
        <w:rPr>
          <w:rFonts w:ascii="Times New Roman" w:eastAsia="Times New Roman" w:hAnsi="Times New Roman" w:cs="Times New Roman"/>
        </w:rPr>
        <w:t>, los enmarca todos sin distinción de sexo, cita</w:t>
      </w:r>
      <w:r w:rsidR="00875009" w:rsidRPr="00B137E1">
        <w:rPr>
          <w:rFonts w:ascii="Times New Roman" w:eastAsia="Times New Roman" w:hAnsi="Times New Roman" w:cs="Times New Roman"/>
        </w:rPr>
        <w:t xml:space="preserve">: </w:t>
      </w:r>
    </w:p>
    <w:p w14:paraId="7D06FB59" w14:textId="0FE584B7" w:rsidR="00A468E6" w:rsidRDefault="00A468E6" w:rsidP="00F91B48">
      <w:pPr>
        <w:shd w:val="clear" w:color="auto" w:fill="FFFFFF"/>
        <w:spacing w:before="60" w:line="254" w:lineRule="auto"/>
        <w:ind w:left="1160" w:right="880"/>
        <w:jc w:val="both"/>
        <w:rPr>
          <w:rFonts w:ascii="Times New Roman" w:eastAsia="Times New Roman" w:hAnsi="Times New Roman" w:cs="Times New Roman"/>
        </w:rPr>
      </w:pPr>
    </w:p>
    <w:p w14:paraId="73210BDC" w14:textId="4858199D" w:rsidR="00A468E6" w:rsidRDefault="00A468E6" w:rsidP="00F91B48">
      <w:pPr>
        <w:shd w:val="clear" w:color="auto" w:fill="FFFFFF"/>
        <w:spacing w:before="60" w:line="254" w:lineRule="auto"/>
        <w:ind w:left="1160" w:right="880"/>
        <w:jc w:val="both"/>
        <w:rPr>
          <w:rFonts w:ascii="Times New Roman" w:eastAsia="Times New Roman" w:hAnsi="Times New Roman" w:cs="Times New Roman"/>
        </w:rPr>
      </w:pPr>
      <w:r>
        <w:t xml:space="preserve">Artículo 1.- </w:t>
      </w:r>
      <w:r w:rsidRPr="003E7865">
        <w:rPr>
          <w:rFonts w:ascii="Times New Roman" w:eastAsia="Times New Roman" w:hAnsi="Times New Roman" w:cs="Times New Roman"/>
        </w:rPr>
        <w:t>Para los efectos de esta ley, se considera persona envejeciente a toda persona mayor de sesenta y cinco años de edad, o de menos, que debido al proceso de envejecimiento, experimente cambios progresivos desde el punto de vista psicológico, biológico, social y material. El segmento de las personas envejecientes estará constituido por todos aquellos individuos que se hallen en las condiciones descritas en esta ley, siendo en su carácter personal, los únicos beneficiarios de la misma. Sin perjuicio de que se consideren beneficiarios quienes por una o varias circunstancias se hallen en la condición de:</w:t>
      </w:r>
    </w:p>
    <w:p w14:paraId="7F393B61" w14:textId="4D91EF2A" w:rsidR="003C4ACD" w:rsidRPr="00A90684" w:rsidRDefault="00A468E6" w:rsidP="00A90684">
      <w:pPr>
        <w:pStyle w:val="ListParagraph"/>
        <w:numPr>
          <w:ilvl w:val="0"/>
          <w:numId w:val="8"/>
        </w:numPr>
        <w:shd w:val="clear" w:color="auto" w:fill="FFFFFF"/>
        <w:spacing w:before="240" w:line="254" w:lineRule="auto"/>
        <w:ind w:right="880"/>
        <w:jc w:val="both"/>
        <w:rPr>
          <w:rFonts w:ascii="Times New Roman" w:eastAsia="Times New Roman" w:hAnsi="Times New Roman" w:cs="Times New Roman"/>
        </w:rPr>
      </w:pPr>
      <w:r>
        <w:rPr>
          <w:rFonts w:ascii="Times New Roman" w:eastAsia="Times New Roman" w:hAnsi="Times New Roman" w:cs="Times New Roman"/>
        </w:rPr>
        <w:t>E</w:t>
      </w:r>
      <w:r w:rsidR="00875009" w:rsidRPr="00A90684">
        <w:rPr>
          <w:rFonts w:ascii="Times New Roman" w:eastAsia="Times New Roman" w:hAnsi="Times New Roman" w:cs="Times New Roman"/>
        </w:rPr>
        <w:t xml:space="preserve">nvejeciente con discapacidad: Aquella persona que, a criterio facultativo, haya perdido al menos dos terceras partes de su capacidad para el trabajo, en su actividad habitual u otra compatible con ésta, por alteración de su estado físico o mental. </w:t>
      </w:r>
    </w:p>
    <w:p w14:paraId="32F8CF84" w14:textId="210400CF" w:rsidR="003C4ACD" w:rsidRPr="00A90684" w:rsidRDefault="00875009" w:rsidP="00A90684">
      <w:pPr>
        <w:pStyle w:val="ListParagraph"/>
        <w:numPr>
          <w:ilvl w:val="0"/>
          <w:numId w:val="8"/>
        </w:numPr>
        <w:shd w:val="clear" w:color="auto" w:fill="FFFFFF"/>
        <w:spacing w:before="60" w:line="254" w:lineRule="auto"/>
        <w:ind w:right="880"/>
        <w:jc w:val="both"/>
        <w:rPr>
          <w:rFonts w:ascii="Times New Roman" w:eastAsia="Times New Roman" w:hAnsi="Times New Roman" w:cs="Times New Roman"/>
        </w:rPr>
      </w:pPr>
      <w:r w:rsidRPr="00A90684">
        <w:rPr>
          <w:rFonts w:ascii="Times New Roman" w:eastAsia="Times New Roman" w:hAnsi="Times New Roman" w:cs="Times New Roman"/>
        </w:rPr>
        <w:t>Viudo(a) desamparado(a): Aquella persona que, debido a la defunción de su cónyuge o compañero(a) haya quedado desamparada económica o afectivamente, de modo que no pueda valerse por sí mismo(a).</w:t>
      </w:r>
    </w:p>
    <w:p w14:paraId="1899F4CE" w14:textId="7290FED6" w:rsidR="0049401E" w:rsidRPr="00A90684" w:rsidRDefault="00A468E6" w:rsidP="00A90684">
      <w:pPr>
        <w:pStyle w:val="ListParagraph"/>
        <w:numPr>
          <w:ilvl w:val="0"/>
          <w:numId w:val="8"/>
        </w:numPr>
        <w:shd w:val="clear" w:color="auto" w:fill="FFFFFF"/>
        <w:spacing w:before="60" w:line="254" w:lineRule="auto"/>
        <w:ind w:right="880"/>
        <w:jc w:val="both"/>
        <w:rPr>
          <w:rFonts w:ascii="Times New Roman" w:eastAsia="Times New Roman" w:hAnsi="Times New Roman" w:cs="Times New Roman"/>
        </w:rPr>
      </w:pPr>
      <w:r>
        <w:rPr>
          <w:rFonts w:ascii="Times New Roman" w:eastAsia="Times New Roman" w:hAnsi="Times New Roman" w:cs="Times New Roman"/>
        </w:rPr>
        <w:t>E</w:t>
      </w:r>
      <w:r w:rsidR="00875009" w:rsidRPr="00A90684">
        <w:rPr>
          <w:rFonts w:ascii="Times New Roman" w:eastAsia="Times New Roman" w:hAnsi="Times New Roman" w:cs="Times New Roman"/>
        </w:rPr>
        <w:t xml:space="preserve">nvejeciente incurable: Aquella persona que haya sido médicamente declarada en fase terminal y no posea recursos económicos ni familiares para su supervivencia. </w:t>
      </w:r>
    </w:p>
    <w:p w14:paraId="7C043A09" w14:textId="3F8D5D1D" w:rsidR="0049401E" w:rsidRPr="00A90684" w:rsidRDefault="00A468E6" w:rsidP="00A90684">
      <w:pPr>
        <w:pStyle w:val="ListParagraph"/>
        <w:numPr>
          <w:ilvl w:val="0"/>
          <w:numId w:val="8"/>
        </w:numPr>
        <w:shd w:val="clear" w:color="auto" w:fill="FFFFFF"/>
        <w:spacing w:before="60" w:line="254" w:lineRule="auto"/>
        <w:ind w:right="880"/>
        <w:jc w:val="both"/>
        <w:rPr>
          <w:rFonts w:ascii="Times New Roman" w:eastAsia="Times New Roman" w:hAnsi="Times New Roman" w:cs="Times New Roman"/>
        </w:rPr>
      </w:pPr>
      <w:r>
        <w:rPr>
          <w:rFonts w:ascii="Times New Roman" w:eastAsia="Times New Roman" w:hAnsi="Times New Roman" w:cs="Times New Roman"/>
        </w:rPr>
        <w:t>E</w:t>
      </w:r>
      <w:r w:rsidR="00875009" w:rsidRPr="00A90684">
        <w:rPr>
          <w:rFonts w:ascii="Times New Roman" w:eastAsia="Times New Roman" w:hAnsi="Times New Roman" w:cs="Times New Roman"/>
        </w:rPr>
        <w:t xml:space="preserve">nvejeciente institucionalizado: Aquella persona que asiste a un hogar de ancianos o un centro diurno, entendiendo por hogar de ancianos, un centro de atención para aquellos individuos que carezcan de recursos </w:t>
      </w:r>
      <w:r w:rsidR="00875009" w:rsidRPr="00A90684">
        <w:rPr>
          <w:rFonts w:ascii="Times New Roman" w:eastAsia="Times New Roman" w:hAnsi="Times New Roman" w:cs="Times New Roman"/>
        </w:rPr>
        <w:lastRenderedPageBreak/>
        <w:t xml:space="preserve">económicos y de familia o que, por situaciones especiales, no puedan permanecer con ella, por lo cual en esos lugares se les brinde atención integral las veinticuatro horas del día. Por centro diurno, se entiende aquella institución que brinde atención integral solamente durante el día. </w:t>
      </w:r>
    </w:p>
    <w:p w14:paraId="12326EC3" w14:textId="2D3A07AA" w:rsidR="00A90684" w:rsidRDefault="00A468E6" w:rsidP="00A90684">
      <w:pPr>
        <w:pStyle w:val="ListParagraph"/>
        <w:numPr>
          <w:ilvl w:val="0"/>
          <w:numId w:val="8"/>
        </w:numPr>
        <w:shd w:val="clear" w:color="auto" w:fill="FFFFFF"/>
        <w:spacing w:before="60" w:line="254" w:lineRule="auto"/>
        <w:ind w:right="880"/>
        <w:jc w:val="both"/>
        <w:rPr>
          <w:rFonts w:ascii="Times New Roman" w:eastAsia="Times New Roman" w:hAnsi="Times New Roman" w:cs="Times New Roman"/>
        </w:rPr>
      </w:pPr>
      <w:r>
        <w:rPr>
          <w:rFonts w:ascii="Times New Roman" w:eastAsia="Times New Roman" w:hAnsi="Times New Roman" w:cs="Times New Roman"/>
        </w:rPr>
        <w:t>E</w:t>
      </w:r>
      <w:r w:rsidR="00875009" w:rsidRPr="00A90684">
        <w:rPr>
          <w:rFonts w:ascii="Times New Roman" w:eastAsia="Times New Roman" w:hAnsi="Times New Roman" w:cs="Times New Roman"/>
        </w:rPr>
        <w:t xml:space="preserve">nvejeciente prisionero: Aquella persona que, con motivo de un proceso judicial, se encuentre recluido en un centro del sistema penitenciario nacional. </w:t>
      </w:r>
    </w:p>
    <w:p w14:paraId="53FC9AB9" w14:textId="7752BA00" w:rsidR="0049401E" w:rsidRPr="00A90684" w:rsidRDefault="00875009" w:rsidP="00A90684">
      <w:pPr>
        <w:pStyle w:val="ListParagraph"/>
        <w:numPr>
          <w:ilvl w:val="0"/>
          <w:numId w:val="8"/>
        </w:numPr>
        <w:shd w:val="clear" w:color="auto" w:fill="FFFFFF"/>
        <w:spacing w:before="60" w:line="254" w:lineRule="auto"/>
        <w:ind w:right="880"/>
        <w:jc w:val="both"/>
        <w:rPr>
          <w:rFonts w:ascii="Times New Roman" w:eastAsia="Times New Roman" w:hAnsi="Times New Roman" w:cs="Times New Roman"/>
        </w:rPr>
      </w:pPr>
      <w:r w:rsidRPr="00A90684">
        <w:rPr>
          <w:rFonts w:ascii="Times New Roman" w:eastAsia="Times New Roman" w:hAnsi="Times New Roman" w:cs="Times New Roman"/>
        </w:rPr>
        <w:t xml:space="preserve">Envejeciente con trastornos mentales: Aquella persona que, estando institucionalizada o no, padezca de alguna enfermedad mental clínicamente diagnosticada. </w:t>
      </w:r>
    </w:p>
    <w:p w14:paraId="00000014" w14:textId="6724BA6D" w:rsidR="00013295" w:rsidRPr="00A90684" w:rsidRDefault="00875009" w:rsidP="00A90684">
      <w:pPr>
        <w:pStyle w:val="ListParagraph"/>
        <w:numPr>
          <w:ilvl w:val="0"/>
          <w:numId w:val="8"/>
        </w:numPr>
        <w:shd w:val="clear" w:color="auto" w:fill="FFFFFF"/>
        <w:spacing w:before="60" w:line="254" w:lineRule="auto"/>
        <w:ind w:right="880"/>
        <w:jc w:val="both"/>
        <w:rPr>
          <w:rFonts w:ascii="Times New Roman" w:eastAsia="Times New Roman" w:hAnsi="Times New Roman" w:cs="Times New Roman"/>
        </w:rPr>
      </w:pPr>
      <w:r w:rsidRPr="00A90684">
        <w:rPr>
          <w:rFonts w:ascii="Times New Roman" w:eastAsia="Times New Roman" w:hAnsi="Times New Roman" w:cs="Times New Roman"/>
        </w:rPr>
        <w:t xml:space="preserve"> En general, todo aquel senescente que requiera asistencia en las áreas de salud, educación, trabajo, nutrición, cultura, recreación y otras, y que perciba un ingreso igual o inferior al salario mínimo, mediante pensión, o cualquier otra fuente de ingreso. </w:t>
      </w:r>
    </w:p>
    <w:p w14:paraId="00000015" w14:textId="152A3D80" w:rsidR="00013295" w:rsidRPr="00B137E1" w:rsidRDefault="00875009">
      <w:pPr>
        <w:shd w:val="clear" w:color="auto" w:fill="FFFFFF"/>
        <w:spacing w:before="120"/>
        <w:ind w:left="1160" w:hanging="280"/>
        <w:jc w:val="both"/>
        <w:rPr>
          <w:rFonts w:ascii="Times New Roman" w:eastAsia="Times New Roman" w:hAnsi="Times New Roman" w:cs="Times New Roman"/>
          <w:highlight w:val="yellow"/>
        </w:rPr>
      </w:pPr>
      <w:r w:rsidRPr="00B137E1">
        <w:rPr>
          <w:rFonts w:ascii="Times New Roman" w:eastAsia="Times New Roman" w:hAnsi="Times New Roman" w:cs="Times New Roman"/>
          <w:b/>
        </w:rPr>
        <w:t xml:space="preserve">3.    Sírvase indicar cómo participan las mujeres de edad en los mecanismos de participación. </w:t>
      </w:r>
      <w:r w:rsidR="00B137E1" w:rsidRPr="00B137E1">
        <w:rPr>
          <w:rFonts w:ascii="Times New Roman" w:eastAsia="Times New Roman" w:hAnsi="Times New Roman" w:cs="Times New Roman"/>
        </w:rPr>
        <w:t>N/A</w:t>
      </w:r>
    </w:p>
    <w:p w14:paraId="00000016" w14:textId="77777777" w:rsidR="00013295" w:rsidRPr="00B137E1" w:rsidRDefault="00875009">
      <w:pPr>
        <w:pStyle w:val="Heading4"/>
        <w:keepNext w:val="0"/>
        <w:keepLines w:val="0"/>
        <w:shd w:val="clear" w:color="auto" w:fill="FFFFFF"/>
        <w:spacing w:before="140" w:after="0"/>
        <w:ind w:left="600"/>
        <w:jc w:val="both"/>
        <w:rPr>
          <w:rFonts w:ascii="Times New Roman" w:eastAsia="Times New Roman" w:hAnsi="Times New Roman" w:cs="Times New Roman"/>
          <w:b/>
          <w:color w:val="000000"/>
          <w:sz w:val="22"/>
          <w:szCs w:val="22"/>
          <w:u w:val="single"/>
        </w:rPr>
      </w:pPr>
      <w:bookmarkStart w:id="3" w:name="_aa4mrdlnqqx3" w:colFirst="0" w:colLast="0"/>
      <w:bookmarkEnd w:id="3"/>
      <w:r w:rsidRPr="00B137E1">
        <w:rPr>
          <w:rFonts w:ascii="Times New Roman" w:eastAsia="Times New Roman" w:hAnsi="Times New Roman" w:cs="Times New Roman"/>
          <w:b/>
          <w:color w:val="000000"/>
          <w:sz w:val="22"/>
          <w:szCs w:val="22"/>
          <w:u w:val="single"/>
        </w:rPr>
        <w:t xml:space="preserve">Realidades económicas, sociales y culturales que viven las mujeres de edad </w:t>
      </w:r>
    </w:p>
    <w:p w14:paraId="00000017" w14:textId="4A7B02B4" w:rsidR="00013295" w:rsidRPr="00B137E1" w:rsidRDefault="0066241D" w:rsidP="00B137E1">
      <w:pPr>
        <w:spacing w:before="140" w:line="256" w:lineRule="auto"/>
        <w:ind w:left="1160" w:right="880" w:hanging="280"/>
        <w:jc w:val="both"/>
        <w:rPr>
          <w:rFonts w:ascii="Times New Roman" w:eastAsia="Times New Roman" w:hAnsi="Times New Roman" w:cs="Times New Roman"/>
          <w:highlight w:val="yellow"/>
        </w:rPr>
      </w:pPr>
      <w:r w:rsidRPr="00B137E1">
        <w:rPr>
          <w:rFonts w:ascii="Times New Roman" w:eastAsia="Times New Roman" w:hAnsi="Times New Roman" w:cs="Times New Roman"/>
          <w:b/>
        </w:rPr>
        <w:t>4. ¿</w:t>
      </w:r>
      <w:r w:rsidR="00875009" w:rsidRPr="00B137E1">
        <w:rPr>
          <w:rFonts w:ascii="Times New Roman" w:eastAsia="Times New Roman" w:hAnsi="Times New Roman" w:cs="Times New Roman"/>
          <w:b/>
        </w:rPr>
        <w:t xml:space="preserve">Cuáles son los problemas y preocupaciones específicos que enfrentan las mujeres de edad, incluso sobre la base de su experiencia de vida acumulada en comparación con los hombres de edad, en el disfrute de sus derechos económicos, sociales y culturales (por ejemplo, en lo que respecta a la protección social, la </w:t>
      </w:r>
      <w:r w:rsidRPr="00B137E1">
        <w:rPr>
          <w:rFonts w:ascii="Times New Roman" w:eastAsia="Times New Roman" w:hAnsi="Times New Roman" w:cs="Times New Roman"/>
          <w:b/>
        </w:rPr>
        <w:t>salud, la</w:t>
      </w:r>
      <w:r w:rsidR="00875009" w:rsidRPr="00B137E1">
        <w:rPr>
          <w:rFonts w:ascii="Times New Roman" w:eastAsia="Times New Roman" w:hAnsi="Times New Roman" w:cs="Times New Roman"/>
          <w:b/>
        </w:rPr>
        <w:t xml:space="preserve"> educación, el trabajo, el nivel de vida adecuado y la propiedad de tierras y bienes)? Sírvase proporcionar datos y estadísticas, incluidos los datos desglosados, cuando se disponga de ellos.</w:t>
      </w:r>
      <w:r w:rsidR="00875009" w:rsidRPr="00B137E1">
        <w:rPr>
          <w:rFonts w:ascii="Times New Roman" w:eastAsia="Times New Roman" w:hAnsi="Times New Roman" w:cs="Times New Roman"/>
        </w:rPr>
        <w:t xml:space="preserve"> </w:t>
      </w:r>
      <w:r w:rsidR="00B137E1" w:rsidRPr="00B137E1">
        <w:rPr>
          <w:rFonts w:ascii="Times New Roman" w:eastAsia="Times New Roman" w:hAnsi="Times New Roman" w:cs="Times New Roman"/>
        </w:rPr>
        <w:t>N/A</w:t>
      </w:r>
    </w:p>
    <w:p w14:paraId="00000018" w14:textId="10D0056B" w:rsidR="00013295" w:rsidRPr="00B137E1" w:rsidRDefault="0066241D" w:rsidP="00F320D6">
      <w:pPr>
        <w:shd w:val="clear" w:color="auto" w:fill="FFFFFF"/>
        <w:spacing w:before="120" w:line="256" w:lineRule="auto"/>
        <w:ind w:left="1160" w:right="880" w:hanging="280"/>
        <w:jc w:val="both"/>
        <w:rPr>
          <w:rFonts w:ascii="Times New Roman" w:eastAsia="Times New Roman" w:hAnsi="Times New Roman" w:cs="Times New Roman"/>
          <w:b/>
        </w:rPr>
      </w:pPr>
      <w:r w:rsidRPr="00B137E1">
        <w:rPr>
          <w:rFonts w:ascii="Times New Roman" w:eastAsia="Times New Roman" w:hAnsi="Times New Roman" w:cs="Times New Roman"/>
          <w:b/>
        </w:rPr>
        <w:t>5</w:t>
      </w:r>
      <w:r w:rsidRPr="00B137E1">
        <w:rPr>
          <w:rFonts w:ascii="Times New Roman" w:eastAsia="Times New Roman" w:hAnsi="Times New Roman" w:cs="Times New Roman"/>
        </w:rPr>
        <w:t>. ¿</w:t>
      </w:r>
      <w:r w:rsidR="00875009" w:rsidRPr="00B137E1">
        <w:rPr>
          <w:rFonts w:ascii="Times New Roman" w:eastAsia="Times New Roman" w:hAnsi="Times New Roman" w:cs="Times New Roman"/>
          <w:b/>
        </w:rPr>
        <w:t xml:space="preserve">Qué formas de discriminación y desigualdad basadas en el género que experimentan las mujeres a lo largo del ciclo de vida repercuten especialmente en el disfrute de sus derechos humanos en la vejez? </w:t>
      </w:r>
    </w:p>
    <w:p w14:paraId="7BE36946" w14:textId="1A4F33BF" w:rsidR="008815C5" w:rsidRDefault="008815C5" w:rsidP="003E7865">
      <w:pPr>
        <w:shd w:val="clear" w:color="auto" w:fill="FFFFFF"/>
        <w:spacing w:before="120" w:line="256" w:lineRule="auto"/>
        <w:ind w:left="1160" w:right="880"/>
        <w:jc w:val="both"/>
        <w:rPr>
          <w:rFonts w:ascii="Times New Roman" w:eastAsia="Times New Roman" w:hAnsi="Times New Roman" w:cs="Times New Roman"/>
        </w:rPr>
      </w:pPr>
      <w:r>
        <w:rPr>
          <w:rFonts w:ascii="Times New Roman" w:eastAsia="Times New Roman" w:hAnsi="Times New Roman" w:cs="Times New Roman"/>
        </w:rPr>
        <w:lastRenderedPageBreak/>
        <w:t xml:space="preserve">Para asegurar que se garantizan los derechos humanos de las mujeres, sobre todo las envejecientes, y que no se incurren en formas de discriminación y desigualdad se debe dar un enfoque de interseccionalidad y multiculturalidad que permita un abordaje respetuoso y plural de la diversidad cultural y situacional de las mujeres, a la vez que faciliten el diseño e implementación de un proceso inclusivo de todas las mujeres: envejecientes, migrantes, afrodescendientes, residentes en las zonas rurales, discapacitadas, transgénero y trabajadoras sexuales. </w:t>
      </w:r>
    </w:p>
    <w:p w14:paraId="54C13C3D" w14:textId="6B80F283" w:rsidR="00F410EC" w:rsidRDefault="00F410EC" w:rsidP="003E7865">
      <w:pPr>
        <w:shd w:val="clear" w:color="auto" w:fill="FFFFFF"/>
        <w:spacing w:before="120" w:line="256" w:lineRule="auto"/>
        <w:ind w:left="1160" w:right="880"/>
        <w:jc w:val="both"/>
        <w:rPr>
          <w:rFonts w:ascii="Times New Roman" w:eastAsia="Times New Roman" w:hAnsi="Times New Roman" w:cs="Times New Roman"/>
        </w:rPr>
      </w:pPr>
      <w:r w:rsidRPr="003E7865">
        <w:rPr>
          <w:rFonts w:ascii="Times New Roman" w:eastAsia="Times New Roman" w:hAnsi="Times New Roman" w:cs="Times New Roman"/>
        </w:rPr>
        <w:t>Las mujeres en la vejez están en mayor situación de pobreza, perciben menos ingresos</w:t>
      </w:r>
      <w:r w:rsidR="00216E8D">
        <w:rPr>
          <w:rStyle w:val="FootnoteReference"/>
          <w:rFonts w:ascii="Times New Roman" w:eastAsia="Times New Roman" w:hAnsi="Times New Roman" w:cs="Times New Roman"/>
        </w:rPr>
        <w:footnoteReference w:id="10"/>
      </w:r>
      <w:r w:rsidR="00216E8D">
        <w:rPr>
          <w:rFonts w:ascii="Times New Roman" w:eastAsia="Times New Roman" w:hAnsi="Times New Roman" w:cs="Times New Roman"/>
        </w:rPr>
        <w:t xml:space="preserve"> </w:t>
      </w:r>
      <w:r w:rsidRPr="003E7865">
        <w:rPr>
          <w:rFonts w:ascii="Times New Roman" w:eastAsia="Times New Roman" w:hAnsi="Times New Roman" w:cs="Times New Roman"/>
        </w:rPr>
        <w:t>l</w:t>
      </w:r>
      <w:r w:rsidR="00037DD6">
        <w:rPr>
          <w:rFonts w:ascii="Times New Roman" w:eastAsia="Times New Roman" w:hAnsi="Times New Roman" w:cs="Times New Roman"/>
        </w:rPr>
        <w:t>o</w:t>
      </w:r>
      <w:r w:rsidRPr="003E7865">
        <w:rPr>
          <w:rFonts w:ascii="Times New Roman" w:eastAsia="Times New Roman" w:hAnsi="Times New Roman" w:cs="Times New Roman"/>
        </w:rPr>
        <w:t xml:space="preserve"> cual tiene un fuerte impacto en las condiciones de existencia material de las mujeres.</w:t>
      </w:r>
      <w:r w:rsidR="00216E8D">
        <w:rPr>
          <w:rFonts w:ascii="Times New Roman" w:eastAsia="Times New Roman" w:hAnsi="Times New Roman" w:cs="Times New Roman"/>
        </w:rPr>
        <w:t xml:space="preserve"> Dentro de los aspectos que generan discriminación y desigualdad en esta población podemos citar:</w:t>
      </w:r>
    </w:p>
    <w:p w14:paraId="2FF9EADC" w14:textId="77777777" w:rsidR="00216E8D" w:rsidRPr="000B06D7" w:rsidRDefault="00216E8D" w:rsidP="00216E8D">
      <w:pPr>
        <w:pStyle w:val="ListParagraph"/>
        <w:numPr>
          <w:ilvl w:val="0"/>
          <w:numId w:val="10"/>
        </w:numPr>
        <w:shd w:val="clear" w:color="auto" w:fill="FFFFFF"/>
        <w:spacing w:before="120" w:line="256" w:lineRule="auto"/>
        <w:ind w:right="880"/>
        <w:jc w:val="both"/>
        <w:rPr>
          <w:rFonts w:ascii="Times New Roman" w:eastAsia="Times New Roman" w:hAnsi="Times New Roman" w:cs="Times New Roman"/>
        </w:rPr>
      </w:pPr>
      <w:r>
        <w:rPr>
          <w:rFonts w:ascii="Times New Roman" w:eastAsia="Times New Roman" w:hAnsi="Times New Roman" w:cs="Times New Roman"/>
        </w:rPr>
        <w:t>C</w:t>
      </w:r>
      <w:r w:rsidRPr="003E7865">
        <w:rPr>
          <w:rFonts w:ascii="Times New Roman" w:eastAsia="Times New Roman" w:hAnsi="Times New Roman" w:cs="Times New Roman"/>
        </w:rPr>
        <w:t>erca del 15.2% de las mujeres ocupadas se dedica a las labores domésticas</w:t>
      </w:r>
      <w:r>
        <w:rPr>
          <w:rFonts w:ascii="Times New Roman" w:eastAsia="Times New Roman" w:hAnsi="Times New Roman" w:cs="Times New Roman"/>
        </w:rPr>
        <w:t xml:space="preserve">. </w:t>
      </w:r>
      <w:r>
        <w:rPr>
          <w:rStyle w:val="FootnoteReference"/>
          <w:rFonts w:ascii="Times New Roman" w:eastAsia="Times New Roman" w:hAnsi="Times New Roman" w:cs="Times New Roman"/>
        </w:rPr>
        <w:footnoteReference w:id="11"/>
      </w:r>
      <w:r>
        <w:rPr>
          <w:rFonts w:ascii="Times New Roman" w:eastAsia="Times New Roman" w:hAnsi="Times New Roman" w:cs="Times New Roman"/>
        </w:rPr>
        <w:t xml:space="preserve"> </w:t>
      </w:r>
      <w:r w:rsidRPr="000B06D7">
        <w:rPr>
          <w:rFonts w:ascii="Times New Roman" w:eastAsia="Times New Roman" w:hAnsi="Times New Roman" w:cs="Times New Roman"/>
        </w:rPr>
        <w:t>La desprotección en pensiones desde el enfoque de género lo provee el caso de las trabajadoras domésticas remuneradas, cuya ocupación se encuentra entre las de mayor vulnerabilidad en materia de protección</w:t>
      </w:r>
      <w:r>
        <w:rPr>
          <w:rFonts w:ascii="Times New Roman" w:eastAsia="Times New Roman" w:hAnsi="Times New Roman" w:cs="Times New Roman"/>
        </w:rPr>
        <w:t xml:space="preserve"> </w:t>
      </w:r>
      <w:r w:rsidRPr="000B06D7">
        <w:rPr>
          <w:rFonts w:ascii="Times New Roman" w:eastAsia="Times New Roman" w:hAnsi="Times New Roman" w:cs="Times New Roman"/>
        </w:rPr>
        <w:t>previsional</w:t>
      </w:r>
      <w:r>
        <w:rPr>
          <w:rFonts w:ascii="Times New Roman" w:eastAsia="Times New Roman" w:hAnsi="Times New Roman" w:cs="Times New Roman"/>
        </w:rPr>
        <w:t>.</w:t>
      </w:r>
    </w:p>
    <w:p w14:paraId="5FA2082F" w14:textId="26C7BDDC" w:rsidR="00216E8D" w:rsidRPr="003E7865" w:rsidRDefault="00216E8D" w:rsidP="003E7865">
      <w:pPr>
        <w:pStyle w:val="ListParagraph"/>
        <w:numPr>
          <w:ilvl w:val="0"/>
          <w:numId w:val="10"/>
        </w:numPr>
        <w:shd w:val="clear" w:color="auto" w:fill="FFFFFF"/>
        <w:spacing w:before="120" w:line="256" w:lineRule="auto"/>
        <w:ind w:right="880"/>
        <w:jc w:val="both"/>
        <w:rPr>
          <w:rFonts w:ascii="Times New Roman" w:eastAsia="Times New Roman" w:hAnsi="Times New Roman" w:cs="Times New Roman"/>
        </w:rPr>
      </w:pPr>
      <w:r w:rsidRPr="003E7865">
        <w:rPr>
          <w:rFonts w:ascii="Times New Roman" w:eastAsia="Times New Roman" w:hAnsi="Times New Roman" w:cs="Times New Roman"/>
        </w:rPr>
        <w:t>Las mujeres están más sujetas a participar en formas de trabajo independiente y</w:t>
      </w:r>
      <w:r>
        <w:rPr>
          <w:rFonts w:ascii="Times New Roman" w:eastAsia="Times New Roman" w:hAnsi="Times New Roman" w:cs="Times New Roman"/>
        </w:rPr>
        <w:t xml:space="preserve"> </w:t>
      </w:r>
      <w:r w:rsidRPr="003E7865">
        <w:rPr>
          <w:rFonts w:ascii="Times New Roman" w:eastAsia="Times New Roman" w:hAnsi="Times New Roman" w:cs="Times New Roman"/>
        </w:rPr>
        <w:t>no está protegida dentro del sistema de pensiones.</w:t>
      </w:r>
    </w:p>
    <w:p w14:paraId="5B8375DF" w14:textId="2D16395E" w:rsidR="00216E8D" w:rsidRPr="003E7865" w:rsidRDefault="00216E8D" w:rsidP="003E7865">
      <w:pPr>
        <w:pStyle w:val="ListParagraph"/>
        <w:numPr>
          <w:ilvl w:val="0"/>
          <w:numId w:val="10"/>
        </w:numPr>
        <w:shd w:val="clear" w:color="auto" w:fill="FFFFFF"/>
        <w:spacing w:before="120" w:line="256" w:lineRule="auto"/>
        <w:ind w:right="880"/>
        <w:jc w:val="both"/>
        <w:rPr>
          <w:rFonts w:ascii="Times New Roman" w:eastAsia="Times New Roman" w:hAnsi="Times New Roman" w:cs="Times New Roman"/>
        </w:rPr>
      </w:pPr>
      <w:r w:rsidRPr="003E7865">
        <w:rPr>
          <w:rFonts w:ascii="Times New Roman" w:eastAsia="Times New Roman" w:hAnsi="Times New Roman" w:cs="Times New Roman"/>
        </w:rPr>
        <w:t xml:space="preserve">En este contexto, la mujer que finaliza su vida productiva se encuentra en una situación de vulnerabilidad. La proporción de mujeres adultas mayores, viudas o separadas, triplica y a veces cuadruplica la de hombres en el mismo rango de edad, siendo éstas mayor, de origen </w:t>
      </w:r>
      <w:r w:rsidR="006223E5" w:rsidRPr="003E7865">
        <w:rPr>
          <w:rFonts w:ascii="Times New Roman" w:eastAsia="Times New Roman" w:hAnsi="Times New Roman" w:cs="Times New Roman"/>
        </w:rPr>
        <w:t>rural,</w:t>
      </w:r>
      <w:r w:rsidRPr="003E7865">
        <w:rPr>
          <w:rFonts w:ascii="Times New Roman" w:eastAsia="Times New Roman" w:hAnsi="Times New Roman" w:cs="Times New Roman"/>
        </w:rPr>
        <w:t xml:space="preserve"> pero de residencia urbana, que reside en un hogar ampliado con</w:t>
      </w:r>
      <w:r>
        <w:rPr>
          <w:rFonts w:ascii="Times New Roman" w:eastAsia="Times New Roman" w:hAnsi="Times New Roman" w:cs="Times New Roman"/>
        </w:rPr>
        <w:t xml:space="preserve"> </w:t>
      </w:r>
      <w:r w:rsidRPr="003E7865">
        <w:rPr>
          <w:rFonts w:ascii="Times New Roman" w:eastAsia="Times New Roman" w:hAnsi="Times New Roman" w:cs="Times New Roman"/>
        </w:rPr>
        <w:t>otros familiares, y que depende de la protección de otros para su subsistencia.</w:t>
      </w:r>
    </w:p>
    <w:p w14:paraId="0000001A" w14:textId="6035391E" w:rsidR="00013295" w:rsidRPr="00B137E1" w:rsidRDefault="0066241D">
      <w:pPr>
        <w:shd w:val="clear" w:color="auto" w:fill="FFFFFF"/>
        <w:spacing w:before="120" w:line="256" w:lineRule="auto"/>
        <w:ind w:left="1160" w:right="880" w:hanging="280"/>
        <w:jc w:val="both"/>
        <w:rPr>
          <w:rFonts w:ascii="Times New Roman" w:eastAsia="Times New Roman" w:hAnsi="Times New Roman" w:cs="Times New Roman"/>
          <w:b/>
          <w:highlight w:val="yellow"/>
        </w:rPr>
      </w:pPr>
      <w:r w:rsidRPr="00B137E1">
        <w:rPr>
          <w:rFonts w:ascii="Times New Roman" w:eastAsia="Times New Roman" w:hAnsi="Times New Roman" w:cs="Times New Roman"/>
          <w:b/>
        </w:rPr>
        <w:lastRenderedPageBreak/>
        <w:t>6. ¿</w:t>
      </w:r>
      <w:r w:rsidR="00875009" w:rsidRPr="00B137E1">
        <w:rPr>
          <w:rFonts w:ascii="Times New Roman" w:eastAsia="Times New Roman" w:hAnsi="Times New Roman" w:cs="Times New Roman"/>
          <w:b/>
        </w:rPr>
        <w:t xml:space="preserve">Ha afectado la pandemia del virus COVID-19 a las mujeres de edad de manera diferente que a los hombres de edad y de qué manera? </w:t>
      </w:r>
    </w:p>
    <w:p w14:paraId="6B66BED2" w14:textId="77777777" w:rsidR="00101099" w:rsidRDefault="00101099" w:rsidP="009A18B5">
      <w:pPr>
        <w:spacing w:line="240" w:lineRule="auto"/>
        <w:ind w:left="1166"/>
        <w:jc w:val="both"/>
        <w:rPr>
          <w:rFonts w:ascii="Times New Roman" w:eastAsia="Times New Roman" w:hAnsi="Times New Roman" w:cs="Times New Roman"/>
        </w:rPr>
      </w:pPr>
    </w:p>
    <w:p w14:paraId="5ECB1CA5" w14:textId="7E096016" w:rsidR="009E101B" w:rsidRPr="00D10EF5" w:rsidRDefault="00241C44" w:rsidP="003E7865">
      <w:pPr>
        <w:shd w:val="clear" w:color="auto" w:fill="FFFFFF"/>
        <w:spacing w:line="240" w:lineRule="auto"/>
        <w:ind w:left="900" w:right="878" w:hanging="22"/>
        <w:jc w:val="both"/>
        <w:rPr>
          <w:rFonts w:ascii="Times New Roman" w:eastAsia="Times New Roman" w:hAnsi="Times New Roman" w:cs="Times New Roman"/>
        </w:rPr>
      </w:pPr>
      <w:r>
        <w:rPr>
          <w:rFonts w:ascii="Times New Roman" w:eastAsia="Times New Roman" w:hAnsi="Times New Roman" w:cs="Times New Roman"/>
        </w:rPr>
        <w:t>N</w:t>
      </w:r>
      <w:r w:rsidRPr="00D10EF5">
        <w:rPr>
          <w:rFonts w:ascii="Times New Roman" w:eastAsia="Times New Roman" w:hAnsi="Times New Roman" w:cs="Times New Roman"/>
        </w:rPr>
        <w:t>/A</w:t>
      </w:r>
    </w:p>
    <w:p w14:paraId="0000001F" w14:textId="77777777" w:rsidR="00013295" w:rsidRPr="00B137E1" w:rsidRDefault="00875009">
      <w:pPr>
        <w:shd w:val="clear" w:color="auto" w:fill="FFFFFF"/>
        <w:spacing w:before="120" w:line="256" w:lineRule="auto"/>
        <w:ind w:left="1160" w:right="880" w:hanging="280"/>
        <w:jc w:val="both"/>
        <w:rPr>
          <w:rFonts w:ascii="Times New Roman" w:eastAsia="Times New Roman" w:hAnsi="Times New Roman" w:cs="Times New Roman"/>
          <w:b/>
        </w:rPr>
      </w:pPr>
      <w:r w:rsidRPr="00B137E1">
        <w:rPr>
          <w:rFonts w:ascii="Times New Roman" w:eastAsia="Times New Roman" w:hAnsi="Times New Roman" w:cs="Times New Roman"/>
          <w:b/>
        </w:rPr>
        <w:t xml:space="preserve">7.    Sírvase compartir ejemplos de la forma en que las mujeres de edad participan en la vida económica, social y cultural y contribuyen a ella, incluidas la solidaridad y el apoyo intergeneracionales. </w:t>
      </w:r>
    </w:p>
    <w:p w14:paraId="2A0E1DC2" w14:textId="76A939BD" w:rsidR="003F6B01" w:rsidRDefault="003F6B01" w:rsidP="00A52571">
      <w:pPr>
        <w:shd w:val="clear" w:color="auto" w:fill="FFFFFF"/>
        <w:spacing w:before="120" w:line="252" w:lineRule="auto"/>
        <w:ind w:left="1160" w:right="880"/>
        <w:jc w:val="both"/>
        <w:rPr>
          <w:rFonts w:ascii="Times New Roman" w:eastAsia="Times New Roman" w:hAnsi="Times New Roman" w:cs="Times New Roman"/>
        </w:rPr>
      </w:pPr>
      <w:r>
        <w:rPr>
          <w:rFonts w:ascii="Times New Roman" w:eastAsia="Times New Roman" w:hAnsi="Times New Roman" w:cs="Times New Roman"/>
        </w:rPr>
        <w:t xml:space="preserve">En el aspecto </w:t>
      </w:r>
      <w:r w:rsidR="00A52571" w:rsidRPr="00A52571">
        <w:rPr>
          <w:rFonts w:ascii="Times New Roman" w:eastAsia="Times New Roman" w:hAnsi="Times New Roman" w:cs="Times New Roman"/>
        </w:rPr>
        <w:t xml:space="preserve">económico, </w:t>
      </w:r>
      <w:r>
        <w:rPr>
          <w:rFonts w:ascii="Times New Roman" w:eastAsia="Times New Roman" w:hAnsi="Times New Roman" w:cs="Times New Roman"/>
        </w:rPr>
        <w:t xml:space="preserve">sobre todo en las zonas rurales sirven de apoyo para la agricultura familiar, realizan manualidades, artesanía. </w:t>
      </w:r>
    </w:p>
    <w:p w14:paraId="59A64BAF" w14:textId="0D857795" w:rsidR="00A52571" w:rsidRPr="00A52571" w:rsidRDefault="003F6B01" w:rsidP="00A52571">
      <w:pPr>
        <w:shd w:val="clear" w:color="auto" w:fill="FFFFFF"/>
        <w:spacing w:before="120" w:line="252" w:lineRule="auto"/>
        <w:ind w:left="1160" w:right="880"/>
        <w:jc w:val="both"/>
        <w:rPr>
          <w:rFonts w:ascii="Times New Roman" w:eastAsia="Times New Roman" w:hAnsi="Times New Roman" w:cs="Times New Roman"/>
        </w:rPr>
      </w:pPr>
      <w:r>
        <w:rPr>
          <w:rFonts w:ascii="Times New Roman" w:eastAsia="Times New Roman" w:hAnsi="Times New Roman" w:cs="Times New Roman"/>
        </w:rPr>
        <w:t>Proveen soporte para el sistema de cuidados de sus familiares directos.</w:t>
      </w:r>
    </w:p>
    <w:p w14:paraId="5BB24F57" w14:textId="6F8424FB" w:rsidR="00A52571" w:rsidRPr="00A52571" w:rsidRDefault="00A52571" w:rsidP="00A52571">
      <w:pPr>
        <w:shd w:val="clear" w:color="auto" w:fill="FFFFFF"/>
        <w:spacing w:before="120" w:line="252" w:lineRule="auto"/>
        <w:ind w:left="1160" w:right="880"/>
        <w:jc w:val="both"/>
        <w:rPr>
          <w:rFonts w:ascii="Times New Roman" w:eastAsia="Times New Roman" w:hAnsi="Times New Roman" w:cs="Times New Roman"/>
        </w:rPr>
      </w:pPr>
      <w:r w:rsidRPr="00A52571">
        <w:rPr>
          <w:rFonts w:ascii="Times New Roman" w:eastAsia="Times New Roman" w:hAnsi="Times New Roman" w:cs="Times New Roman"/>
        </w:rPr>
        <w:t xml:space="preserve">En el aspecto social: a nivel </w:t>
      </w:r>
      <w:r w:rsidR="003F6B01">
        <w:rPr>
          <w:rFonts w:ascii="Times New Roman" w:eastAsia="Times New Roman" w:hAnsi="Times New Roman" w:cs="Times New Roman"/>
        </w:rPr>
        <w:t xml:space="preserve">cultural y </w:t>
      </w:r>
      <w:r w:rsidRPr="00A52571">
        <w:rPr>
          <w:rFonts w:ascii="Times New Roman" w:eastAsia="Times New Roman" w:hAnsi="Times New Roman" w:cs="Times New Roman"/>
        </w:rPr>
        <w:t>religioso trabajan en la comunidad instru</w:t>
      </w:r>
      <w:r>
        <w:rPr>
          <w:rFonts w:ascii="Times New Roman" w:eastAsia="Times New Roman" w:hAnsi="Times New Roman" w:cs="Times New Roman"/>
        </w:rPr>
        <w:t>yendo en este aspecto a niños, n</w:t>
      </w:r>
      <w:r w:rsidRPr="00A52571">
        <w:rPr>
          <w:rFonts w:ascii="Times New Roman" w:eastAsia="Times New Roman" w:hAnsi="Times New Roman" w:cs="Times New Roman"/>
        </w:rPr>
        <w:t xml:space="preserve">iñas y adolescentes. </w:t>
      </w:r>
    </w:p>
    <w:p w14:paraId="629AA37B" w14:textId="77777777" w:rsidR="00A52571" w:rsidRPr="00A52571" w:rsidRDefault="00A52571" w:rsidP="00A52571">
      <w:pPr>
        <w:shd w:val="clear" w:color="auto" w:fill="FFFFFF"/>
        <w:spacing w:before="120" w:line="252" w:lineRule="auto"/>
        <w:ind w:left="1160" w:right="880"/>
        <w:jc w:val="both"/>
        <w:rPr>
          <w:rFonts w:ascii="Times New Roman" w:eastAsia="Times New Roman" w:hAnsi="Times New Roman" w:cs="Times New Roman"/>
        </w:rPr>
      </w:pPr>
      <w:r w:rsidRPr="00A52571">
        <w:rPr>
          <w:rFonts w:ascii="Times New Roman" w:eastAsia="Times New Roman" w:hAnsi="Times New Roman" w:cs="Times New Roman"/>
        </w:rPr>
        <w:t xml:space="preserve">En el aspecto cultural, organizan grupos de mujeres para llevar a cabo actividades en la comunidad. </w:t>
      </w:r>
    </w:p>
    <w:p w14:paraId="00000025" w14:textId="77777777" w:rsidR="00013295" w:rsidRPr="00467851" w:rsidRDefault="00875009">
      <w:pPr>
        <w:pStyle w:val="Heading4"/>
        <w:keepNext w:val="0"/>
        <w:keepLines w:val="0"/>
        <w:shd w:val="clear" w:color="auto" w:fill="FFFFFF"/>
        <w:spacing w:before="120" w:after="0"/>
        <w:ind w:left="600"/>
        <w:jc w:val="both"/>
        <w:rPr>
          <w:rFonts w:ascii="Times New Roman" w:eastAsia="Times New Roman" w:hAnsi="Times New Roman" w:cs="Times New Roman"/>
          <w:b/>
          <w:color w:val="000000"/>
          <w:sz w:val="22"/>
          <w:szCs w:val="22"/>
          <w:u w:val="single"/>
        </w:rPr>
      </w:pPr>
      <w:bookmarkStart w:id="4" w:name="_cpw8ht8ccwb0" w:colFirst="0" w:colLast="0"/>
      <w:bookmarkEnd w:id="4"/>
      <w:r w:rsidRPr="00467851">
        <w:rPr>
          <w:rFonts w:ascii="Times New Roman" w:eastAsia="Times New Roman" w:hAnsi="Times New Roman" w:cs="Times New Roman"/>
          <w:b/>
          <w:color w:val="000000"/>
          <w:sz w:val="22"/>
          <w:szCs w:val="22"/>
          <w:u w:val="single"/>
        </w:rPr>
        <w:t xml:space="preserve">Formas de discriminación contra las mujeres de edad y abusos específicos de género </w:t>
      </w:r>
    </w:p>
    <w:p w14:paraId="00000026" w14:textId="10B3A8E7" w:rsidR="00013295" w:rsidRPr="00467851" w:rsidRDefault="004D30AE">
      <w:pPr>
        <w:shd w:val="clear" w:color="auto" w:fill="FFFFFF"/>
        <w:spacing w:before="140" w:line="256" w:lineRule="auto"/>
        <w:ind w:left="1160" w:right="880" w:hanging="280"/>
        <w:jc w:val="both"/>
        <w:rPr>
          <w:rFonts w:ascii="Times New Roman" w:eastAsia="Times New Roman" w:hAnsi="Times New Roman" w:cs="Times New Roman"/>
          <w:b/>
        </w:rPr>
      </w:pPr>
      <w:r w:rsidRPr="00467851">
        <w:rPr>
          <w:rFonts w:ascii="Times New Roman" w:eastAsia="Times New Roman" w:hAnsi="Times New Roman" w:cs="Times New Roman"/>
          <w:b/>
        </w:rPr>
        <w:t>8. ¿</w:t>
      </w:r>
      <w:r w:rsidR="00875009" w:rsidRPr="00467851">
        <w:rPr>
          <w:rFonts w:ascii="Times New Roman" w:eastAsia="Times New Roman" w:hAnsi="Times New Roman" w:cs="Times New Roman"/>
          <w:b/>
        </w:rPr>
        <w:t xml:space="preserve">Qué formas de discriminación estructural y sistemática enfrentan las mujeres de edad (por ejemplo, mediante leyes, políticas, prácticas tradicionales y consuetudinarias, etc.) y qué medidas se han adoptado para hacerles frente? </w:t>
      </w:r>
    </w:p>
    <w:p w14:paraId="00000027" w14:textId="5A33C30B" w:rsidR="00013295" w:rsidRPr="00467851" w:rsidRDefault="00875009">
      <w:pPr>
        <w:shd w:val="clear" w:color="auto" w:fill="FFFFFF"/>
        <w:spacing w:before="140" w:line="256" w:lineRule="auto"/>
        <w:ind w:left="1160" w:right="880" w:hanging="280"/>
        <w:jc w:val="both"/>
        <w:rPr>
          <w:rFonts w:ascii="Times New Roman" w:eastAsia="Times New Roman" w:hAnsi="Times New Roman" w:cs="Times New Roman"/>
        </w:rPr>
      </w:pPr>
      <w:r w:rsidRPr="00467851">
        <w:rPr>
          <w:rFonts w:ascii="Times New Roman" w:eastAsia="Times New Roman" w:hAnsi="Times New Roman" w:cs="Times New Roman"/>
        </w:rPr>
        <w:t>1.</w:t>
      </w:r>
      <w:r w:rsidRPr="00467851">
        <w:rPr>
          <w:rFonts w:ascii="Times New Roman" w:eastAsia="Times New Roman" w:hAnsi="Times New Roman" w:cs="Times New Roman"/>
        </w:rPr>
        <w:tab/>
        <w:t xml:space="preserve">Acceso a la asistencia legal y psicológica en casos de violencia, se reciben los </w:t>
      </w:r>
      <w:r w:rsidR="00943C32" w:rsidRPr="00467851">
        <w:rPr>
          <w:rFonts w:ascii="Times New Roman" w:eastAsia="Times New Roman" w:hAnsi="Times New Roman" w:cs="Times New Roman"/>
        </w:rPr>
        <w:t>casos,</w:t>
      </w:r>
      <w:r w:rsidRPr="00467851">
        <w:rPr>
          <w:rFonts w:ascii="Times New Roman" w:eastAsia="Times New Roman" w:hAnsi="Times New Roman" w:cs="Times New Roman"/>
        </w:rPr>
        <w:t xml:space="preserve"> pero, algunos no son denunciados.</w:t>
      </w:r>
    </w:p>
    <w:p w14:paraId="00000028" w14:textId="3BCFC3F4" w:rsidR="00013295" w:rsidRPr="00467851" w:rsidRDefault="00875009">
      <w:pPr>
        <w:shd w:val="clear" w:color="auto" w:fill="FFFFFF"/>
        <w:spacing w:before="140" w:line="256" w:lineRule="auto"/>
        <w:ind w:left="1160" w:right="880" w:hanging="280"/>
        <w:jc w:val="both"/>
        <w:rPr>
          <w:rFonts w:ascii="Times New Roman" w:eastAsia="Times New Roman" w:hAnsi="Times New Roman" w:cs="Times New Roman"/>
        </w:rPr>
      </w:pPr>
      <w:r w:rsidRPr="00467851">
        <w:rPr>
          <w:rFonts w:ascii="Times New Roman" w:eastAsia="Times New Roman" w:hAnsi="Times New Roman" w:cs="Times New Roman"/>
        </w:rPr>
        <w:lastRenderedPageBreak/>
        <w:t>2.</w:t>
      </w:r>
      <w:r w:rsidRPr="00467851">
        <w:rPr>
          <w:rFonts w:ascii="Times New Roman" w:eastAsia="Times New Roman" w:hAnsi="Times New Roman" w:cs="Times New Roman"/>
        </w:rPr>
        <w:tab/>
        <w:t xml:space="preserve">Las leyes tienen un sentido </w:t>
      </w:r>
      <w:r w:rsidR="00943C32" w:rsidRPr="00467851">
        <w:rPr>
          <w:rFonts w:ascii="Times New Roman" w:eastAsia="Times New Roman" w:hAnsi="Times New Roman" w:cs="Times New Roman"/>
        </w:rPr>
        <w:t>inclusivo,</w:t>
      </w:r>
      <w:r w:rsidRPr="00467851">
        <w:rPr>
          <w:rFonts w:ascii="Times New Roman" w:eastAsia="Times New Roman" w:hAnsi="Times New Roman" w:cs="Times New Roman"/>
        </w:rPr>
        <w:t xml:space="preserve"> </w:t>
      </w:r>
      <w:r w:rsidR="00D10EF5" w:rsidRPr="00467851">
        <w:rPr>
          <w:rFonts w:ascii="Times New Roman" w:eastAsia="Times New Roman" w:hAnsi="Times New Roman" w:cs="Times New Roman"/>
        </w:rPr>
        <w:t xml:space="preserve">vemos como la Constitución otorga un rango constitucional a la igualdad salarial, sin embargo la brecha salarial entre hombres y mujeres sigue estando presente según lo confirman diversos estudios nacionales e internacionales. </w:t>
      </w:r>
      <w:r w:rsidR="00D10EF5" w:rsidRPr="00467851">
        <w:rPr>
          <w:rStyle w:val="FootnoteReference"/>
          <w:rFonts w:ascii="Times New Roman" w:eastAsia="Times New Roman" w:hAnsi="Times New Roman" w:cs="Times New Roman"/>
        </w:rPr>
        <w:footnoteReference w:id="12"/>
      </w:r>
      <w:r w:rsidR="00D10EF5" w:rsidRPr="00467851">
        <w:rPr>
          <w:rFonts w:ascii="Times New Roman" w:eastAsia="Times New Roman" w:hAnsi="Times New Roman" w:cs="Times New Roman"/>
        </w:rPr>
        <w:t xml:space="preserve"> </w:t>
      </w:r>
    </w:p>
    <w:p w14:paraId="00000029" w14:textId="77777777" w:rsidR="00013295" w:rsidRPr="00467851" w:rsidRDefault="00875009">
      <w:pPr>
        <w:shd w:val="clear" w:color="auto" w:fill="FFFFFF"/>
        <w:spacing w:before="140" w:line="256" w:lineRule="auto"/>
        <w:ind w:left="1160" w:right="880" w:hanging="280"/>
        <w:jc w:val="both"/>
        <w:rPr>
          <w:rFonts w:ascii="Times New Roman" w:eastAsia="Times New Roman" w:hAnsi="Times New Roman" w:cs="Times New Roman"/>
        </w:rPr>
      </w:pPr>
      <w:r w:rsidRPr="00467851">
        <w:rPr>
          <w:rFonts w:ascii="Times New Roman" w:eastAsia="Times New Roman" w:hAnsi="Times New Roman" w:cs="Times New Roman"/>
        </w:rPr>
        <w:t>3.</w:t>
      </w:r>
      <w:r w:rsidRPr="00467851">
        <w:rPr>
          <w:rFonts w:ascii="Times New Roman" w:eastAsia="Times New Roman" w:hAnsi="Times New Roman" w:cs="Times New Roman"/>
        </w:rPr>
        <w:tab/>
        <w:t>Falta de una política nacional de inclusión social de la mujer de edad.</w:t>
      </w:r>
    </w:p>
    <w:p w14:paraId="4C25470D" w14:textId="1B1CE19E" w:rsidR="00D10EF5" w:rsidRDefault="00875009" w:rsidP="00D10EF5">
      <w:pPr>
        <w:shd w:val="clear" w:color="auto" w:fill="FFFFFF"/>
        <w:spacing w:before="140" w:line="256" w:lineRule="auto"/>
        <w:ind w:left="1160" w:right="880" w:hanging="280"/>
        <w:jc w:val="both"/>
        <w:rPr>
          <w:rFonts w:ascii="Times New Roman" w:eastAsia="Times New Roman" w:hAnsi="Times New Roman" w:cs="Times New Roman"/>
        </w:rPr>
      </w:pPr>
      <w:r w:rsidRPr="00467851">
        <w:rPr>
          <w:rFonts w:ascii="Times New Roman" w:eastAsia="Times New Roman" w:hAnsi="Times New Roman" w:cs="Times New Roman"/>
        </w:rPr>
        <w:t>4.</w:t>
      </w:r>
      <w:r w:rsidRPr="00467851">
        <w:rPr>
          <w:rFonts w:ascii="Times New Roman" w:eastAsia="Times New Roman" w:hAnsi="Times New Roman" w:cs="Times New Roman"/>
        </w:rPr>
        <w:tab/>
      </w:r>
      <w:r w:rsidR="00D10EF5" w:rsidRPr="00467851">
        <w:rPr>
          <w:rFonts w:ascii="Times New Roman" w:eastAsia="Times New Roman" w:hAnsi="Times New Roman" w:cs="Times New Roman"/>
        </w:rPr>
        <w:t>Los derechos a la tierra, la propiedad y la vivienda son esenciales para la igualdad y el bienestar de las mujeres. Pero a pesar de la importancia que estos derechos tienen para ellas y para los hogares que están</w:t>
      </w:r>
      <w:r w:rsidR="00D10EF5" w:rsidRPr="00D10EF5">
        <w:rPr>
          <w:rFonts w:ascii="Times New Roman" w:eastAsia="Times New Roman" w:hAnsi="Times New Roman" w:cs="Times New Roman"/>
        </w:rPr>
        <w:t xml:space="preserve"> a su cargo, las mujeres carecen aún de manera desproporcionada de seguridad en la tenencia de estos bienes. </w:t>
      </w:r>
    </w:p>
    <w:p w14:paraId="064976FA" w14:textId="77777777" w:rsidR="00D10EF5" w:rsidRDefault="00D10EF5" w:rsidP="00D10EF5">
      <w:pPr>
        <w:shd w:val="clear" w:color="auto" w:fill="FFFFFF"/>
        <w:spacing w:before="140" w:line="256" w:lineRule="auto"/>
        <w:ind w:left="1160" w:right="880" w:hanging="280"/>
        <w:jc w:val="both"/>
        <w:rPr>
          <w:rFonts w:ascii="Times New Roman" w:hAnsi="Times New Roman" w:cs="Times New Roman"/>
        </w:rPr>
      </w:pPr>
      <w:r>
        <w:rPr>
          <w:rFonts w:ascii="Times New Roman" w:eastAsia="Times New Roman" w:hAnsi="Times New Roman" w:cs="Times New Roman"/>
        </w:rPr>
        <w:t xml:space="preserve">5.  </w:t>
      </w:r>
      <w:r w:rsidRPr="00D10EF5">
        <w:rPr>
          <w:rFonts w:ascii="Times New Roman" w:hAnsi="Times New Roman" w:cs="Times New Roman"/>
        </w:rPr>
        <w:t>La falta de títulos de propiedad, el acceso al crédito y al empleo de calidad de las mujeres rurales continúan siendo un importante desafío para superar para alcanzar la autonomía plena de este sector poblacional en la República Dominicana.</w:t>
      </w:r>
      <w:r>
        <w:t xml:space="preserve"> </w:t>
      </w:r>
      <w:r w:rsidRPr="00D10EF5">
        <w:rPr>
          <w:rFonts w:ascii="Times New Roman" w:hAnsi="Times New Roman" w:cs="Times New Roman"/>
        </w:rPr>
        <w:t>Aunque las mujeres rurales representan casi la mitad de la mano de obra agrícola, todavía persiste una brecha de género en la alimentación y la agricultura, afectándoles en su seguridad alimentaria e impidiéndoles el acceso a recursos y servicios productivos, tecnología, información de mercado y activos financieros.</w:t>
      </w:r>
    </w:p>
    <w:p w14:paraId="5A63158B" w14:textId="65F49D0B" w:rsidR="00D10EF5" w:rsidRPr="00D10EF5" w:rsidRDefault="00D10EF5" w:rsidP="00D10EF5">
      <w:pPr>
        <w:shd w:val="clear" w:color="auto" w:fill="FFFFFF"/>
        <w:spacing w:before="140" w:line="256" w:lineRule="auto"/>
        <w:ind w:left="1160" w:right="880" w:hanging="280"/>
        <w:jc w:val="both"/>
        <w:rPr>
          <w:rFonts w:ascii="Times New Roman" w:hAnsi="Times New Roman" w:cs="Times New Roman"/>
        </w:rPr>
      </w:pPr>
      <w:r>
        <w:rPr>
          <w:rFonts w:ascii="Times New Roman" w:hAnsi="Times New Roman" w:cs="Times New Roman"/>
        </w:rPr>
        <w:t xml:space="preserve">6. </w:t>
      </w:r>
      <w:r w:rsidRPr="00D10EF5">
        <w:rPr>
          <w:rFonts w:ascii="Times New Roman" w:eastAsia="Times New Roman" w:hAnsi="Times New Roman" w:cs="Times New Roman"/>
        </w:rPr>
        <w:t>“Tan solo el 16% de las unidades productivas en la República Dominicana pertenecen a las mujeres y solo el 10% posee legalmente sus tierras, lo que limita su autonomía económica, un elemento fundamental para el desarrollo sostenible"</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13"/>
      </w:r>
    </w:p>
    <w:p w14:paraId="0000002B" w14:textId="3971E9DF" w:rsidR="00013295" w:rsidRPr="00B137E1" w:rsidRDefault="00D10EF5">
      <w:pPr>
        <w:shd w:val="clear" w:color="auto" w:fill="FFFFFF"/>
        <w:spacing w:before="140" w:line="256" w:lineRule="auto"/>
        <w:ind w:left="1160" w:right="880" w:hanging="280"/>
        <w:jc w:val="both"/>
        <w:rPr>
          <w:rFonts w:ascii="Times New Roman" w:eastAsia="Times New Roman" w:hAnsi="Times New Roman" w:cs="Times New Roman"/>
        </w:rPr>
      </w:pPr>
      <w:r>
        <w:rPr>
          <w:rFonts w:ascii="Times New Roman" w:eastAsia="Times New Roman" w:hAnsi="Times New Roman" w:cs="Times New Roman"/>
        </w:rPr>
        <w:lastRenderedPageBreak/>
        <w:t>6</w:t>
      </w:r>
      <w:r w:rsidR="00875009" w:rsidRPr="00B137E1">
        <w:rPr>
          <w:rFonts w:ascii="Times New Roman" w:eastAsia="Times New Roman" w:hAnsi="Times New Roman" w:cs="Times New Roman"/>
        </w:rPr>
        <w:t>.</w:t>
      </w:r>
      <w:r w:rsidR="00875009" w:rsidRPr="00B137E1">
        <w:rPr>
          <w:rFonts w:ascii="Times New Roman" w:eastAsia="Times New Roman" w:hAnsi="Times New Roman" w:cs="Times New Roman"/>
        </w:rPr>
        <w:tab/>
        <w:t xml:space="preserve">A partir </w:t>
      </w:r>
      <w:r w:rsidR="00943C32" w:rsidRPr="00B137E1">
        <w:rPr>
          <w:rFonts w:ascii="Times New Roman" w:eastAsia="Times New Roman" w:hAnsi="Times New Roman" w:cs="Times New Roman"/>
        </w:rPr>
        <w:t>de los</w:t>
      </w:r>
      <w:r w:rsidR="00875009" w:rsidRPr="00B137E1">
        <w:rPr>
          <w:rFonts w:ascii="Times New Roman" w:eastAsia="Times New Roman" w:hAnsi="Times New Roman" w:cs="Times New Roman"/>
        </w:rPr>
        <w:t xml:space="preserve"> 58 años, la mujer no puede acceder al Sistema Nacional de </w:t>
      </w:r>
      <w:r w:rsidR="00241C44">
        <w:rPr>
          <w:rFonts w:ascii="Times New Roman" w:eastAsia="Times New Roman" w:hAnsi="Times New Roman" w:cs="Times New Roman"/>
        </w:rPr>
        <w:t xml:space="preserve">la </w:t>
      </w:r>
      <w:r w:rsidR="00875009" w:rsidRPr="00B137E1">
        <w:rPr>
          <w:rFonts w:ascii="Times New Roman" w:eastAsia="Times New Roman" w:hAnsi="Times New Roman" w:cs="Times New Roman"/>
        </w:rPr>
        <w:t>Seguridad Social, si no ha cotizado antes de esta edad.</w:t>
      </w:r>
    </w:p>
    <w:p w14:paraId="0000002D" w14:textId="39617B82" w:rsidR="00013295" w:rsidRPr="00467851" w:rsidRDefault="00D10EF5">
      <w:pPr>
        <w:shd w:val="clear" w:color="auto" w:fill="FFFFFF"/>
        <w:spacing w:before="140" w:line="256" w:lineRule="auto"/>
        <w:ind w:left="1160" w:right="880" w:hanging="280"/>
        <w:jc w:val="both"/>
        <w:rPr>
          <w:rFonts w:ascii="Times New Roman" w:eastAsia="Times New Roman" w:hAnsi="Times New Roman" w:cs="Times New Roman"/>
        </w:rPr>
      </w:pPr>
      <w:r>
        <w:rPr>
          <w:rFonts w:ascii="Times New Roman" w:eastAsia="Times New Roman" w:hAnsi="Times New Roman" w:cs="Times New Roman"/>
        </w:rPr>
        <w:t>7</w:t>
      </w:r>
      <w:r w:rsidR="00875009" w:rsidRPr="00B137E1">
        <w:rPr>
          <w:rFonts w:ascii="Times New Roman" w:eastAsia="Times New Roman" w:hAnsi="Times New Roman" w:cs="Times New Roman"/>
        </w:rPr>
        <w:t>.</w:t>
      </w:r>
      <w:r w:rsidR="00875009" w:rsidRPr="00B137E1">
        <w:rPr>
          <w:rFonts w:ascii="Times New Roman" w:eastAsia="Times New Roman" w:hAnsi="Times New Roman" w:cs="Times New Roman"/>
        </w:rPr>
        <w:tab/>
        <w:t xml:space="preserve">Las mujeres domésticas que se contratan para ofrecer sus servicios, la mayoría </w:t>
      </w:r>
      <w:r w:rsidR="00875009" w:rsidRPr="00467851">
        <w:rPr>
          <w:rFonts w:ascii="Times New Roman" w:eastAsia="Times New Roman" w:hAnsi="Times New Roman" w:cs="Times New Roman"/>
        </w:rPr>
        <w:t>son mujeres de edad.</w:t>
      </w:r>
    </w:p>
    <w:p w14:paraId="34819F20" w14:textId="59992F27" w:rsidR="00D10EF5" w:rsidRPr="00467851" w:rsidRDefault="00D10EF5" w:rsidP="00D10EF5">
      <w:pPr>
        <w:shd w:val="clear" w:color="auto" w:fill="FFFFFF"/>
        <w:spacing w:before="140" w:line="256" w:lineRule="auto"/>
        <w:ind w:left="1160" w:right="880" w:hanging="280"/>
        <w:jc w:val="both"/>
        <w:rPr>
          <w:rFonts w:ascii="Times New Roman" w:eastAsia="Times New Roman" w:hAnsi="Times New Roman" w:cs="Times New Roman"/>
          <w:b/>
        </w:rPr>
      </w:pPr>
      <w:r w:rsidRPr="00467851">
        <w:rPr>
          <w:rFonts w:ascii="Times New Roman" w:eastAsia="Times New Roman" w:hAnsi="Times New Roman" w:cs="Times New Roman"/>
          <w:b/>
        </w:rPr>
        <w:t xml:space="preserve">¿Qué medidas se han adoptado para hacerles frente? </w:t>
      </w:r>
    </w:p>
    <w:p w14:paraId="1022D6A2" w14:textId="2390C0FC" w:rsidR="00D10EF5" w:rsidRPr="00D10EF5" w:rsidRDefault="00D10EF5" w:rsidP="00D10EF5">
      <w:pPr>
        <w:pStyle w:val="ListParagraph"/>
        <w:numPr>
          <w:ilvl w:val="0"/>
          <w:numId w:val="13"/>
        </w:numPr>
        <w:shd w:val="clear" w:color="auto" w:fill="FFFFFF"/>
        <w:spacing w:before="140" w:line="256" w:lineRule="auto"/>
        <w:ind w:right="880"/>
        <w:jc w:val="both"/>
        <w:rPr>
          <w:rFonts w:ascii="Times New Roman" w:eastAsia="Times New Roman" w:hAnsi="Times New Roman" w:cs="Times New Roman"/>
          <w:bCs/>
        </w:rPr>
      </w:pPr>
      <w:r w:rsidRPr="00467851">
        <w:rPr>
          <w:rFonts w:ascii="Times New Roman" w:eastAsia="Times New Roman" w:hAnsi="Times New Roman" w:cs="Times New Roman"/>
          <w:bCs/>
        </w:rPr>
        <w:t>Programa Protección a la Vejez en Pobreza Extrema (PROVEE</w:t>
      </w:r>
      <w:r w:rsidRPr="00D10EF5">
        <w:rPr>
          <w:rFonts w:ascii="Times New Roman" w:eastAsia="Times New Roman" w:hAnsi="Times New Roman" w:cs="Times New Roman"/>
          <w:bCs/>
        </w:rPr>
        <w:t>): A través del PROVEE, las familias pobres beneficiarias de PCP con personas envejecientes que no reciben pensión ni se encuentran trabajando, reciben transferencias en efectivo sin tener que cumplir ninguna condición en específico.</w:t>
      </w:r>
    </w:p>
    <w:p w14:paraId="6BCC0C75" w14:textId="0B1718E6" w:rsidR="00D10EF5" w:rsidRPr="00D10EF5" w:rsidRDefault="00D10EF5" w:rsidP="00D10EF5">
      <w:pPr>
        <w:pStyle w:val="ListParagraph"/>
        <w:shd w:val="clear" w:color="auto" w:fill="FFFFFF"/>
        <w:spacing w:before="140" w:line="256" w:lineRule="auto"/>
        <w:ind w:left="1240" w:right="880"/>
        <w:jc w:val="both"/>
        <w:rPr>
          <w:rFonts w:ascii="Times New Roman" w:eastAsia="Times New Roman" w:hAnsi="Times New Roman" w:cs="Times New Roman"/>
          <w:bCs/>
        </w:rPr>
      </w:pPr>
      <w:r w:rsidRPr="00D10EF5">
        <w:rPr>
          <w:rFonts w:ascii="Times New Roman" w:eastAsia="Times New Roman" w:hAnsi="Times New Roman" w:cs="Times New Roman"/>
          <w:bCs/>
        </w:rPr>
        <w:t>Suplemento Alimenticio: otorga una ayuda mensual de RD$400 adicionales a hogares con personas mayores de 65 años de edad que no reciben pensiones ni están trabajando y que disfrutan del subsidio “Comer Es Primero” para la compra de alimentos.</w:t>
      </w:r>
    </w:p>
    <w:p w14:paraId="0000002E" w14:textId="216B48CC" w:rsidR="00013295" w:rsidRPr="00B137E1" w:rsidRDefault="00943C32">
      <w:pPr>
        <w:shd w:val="clear" w:color="auto" w:fill="FFFFFF"/>
        <w:spacing w:before="120" w:line="256" w:lineRule="auto"/>
        <w:ind w:left="1160" w:right="880" w:hanging="280"/>
        <w:jc w:val="both"/>
        <w:rPr>
          <w:rFonts w:ascii="Times New Roman" w:eastAsia="Times New Roman" w:hAnsi="Times New Roman" w:cs="Times New Roman"/>
          <w:b/>
          <w:highlight w:val="yellow"/>
        </w:rPr>
      </w:pPr>
      <w:r w:rsidRPr="00B137E1">
        <w:rPr>
          <w:rFonts w:ascii="Times New Roman" w:eastAsia="Times New Roman" w:hAnsi="Times New Roman" w:cs="Times New Roman"/>
          <w:b/>
        </w:rPr>
        <w:t>9. ¿</w:t>
      </w:r>
      <w:r w:rsidR="00875009" w:rsidRPr="00B137E1">
        <w:rPr>
          <w:rFonts w:ascii="Times New Roman" w:eastAsia="Times New Roman" w:hAnsi="Times New Roman" w:cs="Times New Roman"/>
          <w:b/>
        </w:rPr>
        <w:t xml:space="preserve">De qué manera los factores intersectoriales exacerban el efecto combinado de la discriminación por motivos de edad y sexismo, incluida la perspectiva de las mujeres LGBTI de edad, las mujeres con discapacidad, las mujeres migrantes de edad, las mujeres de edad pertenecientes a grupos indígenas y minoritarios, etc.?  </w:t>
      </w:r>
    </w:p>
    <w:p w14:paraId="03754B11" w14:textId="0A193C27" w:rsidR="00360C99" w:rsidRPr="004E6E92" w:rsidRDefault="00360C99" w:rsidP="004E6E92">
      <w:pPr>
        <w:shd w:val="clear" w:color="auto" w:fill="FFFFFF"/>
        <w:spacing w:before="120" w:line="256" w:lineRule="auto"/>
        <w:ind w:left="1160" w:right="880" w:hanging="280"/>
        <w:jc w:val="both"/>
        <w:rPr>
          <w:rFonts w:ascii="Times New Roman" w:eastAsia="Times New Roman" w:hAnsi="Times New Roman" w:cs="Times New Roman"/>
        </w:rPr>
      </w:pPr>
      <w:r>
        <w:rPr>
          <w:rFonts w:ascii="Times New Roman" w:eastAsia="Times New Roman" w:hAnsi="Times New Roman" w:cs="Times New Roman"/>
        </w:rPr>
        <w:tab/>
      </w:r>
      <w:r w:rsidR="003F6B01">
        <w:rPr>
          <w:rFonts w:ascii="Times New Roman" w:eastAsia="Times New Roman" w:hAnsi="Times New Roman" w:cs="Times New Roman"/>
        </w:rPr>
        <w:t>N/A</w:t>
      </w:r>
      <w:r w:rsidR="004E6E92">
        <w:rPr>
          <w:rFonts w:ascii="Times New Roman" w:eastAsia="Times New Roman" w:hAnsi="Times New Roman" w:cs="Times New Roman"/>
        </w:rPr>
        <w:t xml:space="preserve"> </w:t>
      </w:r>
    </w:p>
    <w:p w14:paraId="00000030" w14:textId="77777777" w:rsidR="00013295" w:rsidRPr="00B137E1" w:rsidRDefault="00875009">
      <w:pPr>
        <w:shd w:val="clear" w:color="auto" w:fill="FFFFFF"/>
        <w:spacing w:before="120" w:line="256" w:lineRule="auto"/>
        <w:ind w:left="1160" w:right="880" w:hanging="280"/>
        <w:jc w:val="both"/>
        <w:rPr>
          <w:rFonts w:ascii="Times New Roman" w:eastAsia="Times New Roman" w:hAnsi="Times New Roman" w:cs="Times New Roman"/>
          <w:b/>
          <w:highlight w:val="yellow"/>
        </w:rPr>
      </w:pPr>
      <w:r w:rsidRPr="00B137E1">
        <w:rPr>
          <w:rFonts w:ascii="Times New Roman" w:eastAsia="Times New Roman" w:hAnsi="Times New Roman" w:cs="Times New Roman"/>
          <w:b/>
        </w:rPr>
        <w:t xml:space="preserve">10. ¿Qué formas adopta la violencia de género y el abuso contra las mujeres de edad y cómo prevalece esa violencia? Sírvase compartir los datos y estadísticas disponibles, incluido en relación a los feminicidios. </w:t>
      </w:r>
      <w:r w:rsidRPr="00B137E1">
        <w:rPr>
          <w:rFonts w:ascii="Times New Roman" w:eastAsia="Times New Roman" w:hAnsi="Times New Roman" w:cs="Times New Roman"/>
          <w:b/>
          <w:highlight w:val="yellow"/>
        </w:rPr>
        <w:t xml:space="preserve">​ </w:t>
      </w:r>
    </w:p>
    <w:p w14:paraId="21A159E3" w14:textId="7A0F55F4" w:rsidR="00041374" w:rsidRPr="00B137E1" w:rsidRDefault="00D10EF5" w:rsidP="002B2754">
      <w:pPr>
        <w:shd w:val="clear" w:color="auto" w:fill="FFFFFF"/>
        <w:spacing w:before="140" w:line="256" w:lineRule="auto"/>
        <w:ind w:left="1440" w:right="880" w:hanging="560"/>
        <w:jc w:val="both"/>
        <w:rPr>
          <w:rFonts w:ascii="Times New Roman" w:eastAsia="Times New Roman" w:hAnsi="Times New Roman" w:cs="Times New Roman"/>
        </w:rPr>
      </w:pPr>
      <w:r>
        <w:rPr>
          <w:rFonts w:ascii="Times New Roman" w:eastAsia="Times New Roman" w:hAnsi="Times New Roman" w:cs="Times New Roman"/>
        </w:rPr>
        <w:t xml:space="preserve">     </w:t>
      </w:r>
      <w:r w:rsidR="00875009" w:rsidRPr="00D10EF5">
        <w:rPr>
          <w:rFonts w:ascii="Times New Roman" w:eastAsia="Times New Roman" w:hAnsi="Times New Roman" w:cs="Times New Roman"/>
        </w:rPr>
        <w:t>N/A</w:t>
      </w:r>
      <w:r w:rsidR="00875009" w:rsidRPr="00B137E1">
        <w:rPr>
          <w:rFonts w:ascii="Times New Roman" w:eastAsia="Times New Roman" w:hAnsi="Times New Roman" w:cs="Times New Roman"/>
        </w:rPr>
        <w:t xml:space="preserve"> </w:t>
      </w:r>
      <w:r w:rsidR="00EE7F18">
        <w:rPr>
          <w:rFonts w:ascii="Times New Roman" w:eastAsia="Times New Roman" w:hAnsi="Times New Roman" w:cs="Times New Roman"/>
        </w:rPr>
        <w:t xml:space="preserve"> </w:t>
      </w:r>
    </w:p>
    <w:p w14:paraId="00000032" w14:textId="77777777" w:rsidR="00013295" w:rsidRPr="00B137E1" w:rsidRDefault="00875009">
      <w:pPr>
        <w:shd w:val="clear" w:color="auto" w:fill="FFFFFF"/>
        <w:spacing w:before="120" w:line="256" w:lineRule="auto"/>
        <w:ind w:left="1160" w:right="880" w:hanging="280"/>
        <w:jc w:val="both"/>
        <w:rPr>
          <w:rFonts w:ascii="Times New Roman" w:eastAsia="Times New Roman" w:hAnsi="Times New Roman" w:cs="Times New Roman"/>
          <w:b/>
          <w:highlight w:val="yellow"/>
        </w:rPr>
      </w:pPr>
      <w:r w:rsidRPr="00B137E1">
        <w:rPr>
          <w:rFonts w:ascii="Times New Roman" w:eastAsia="Times New Roman" w:hAnsi="Times New Roman" w:cs="Times New Roman"/>
          <w:b/>
        </w:rPr>
        <w:lastRenderedPageBreak/>
        <w:t xml:space="preserve">11. Sírvase dar ejemplos de la forma en que la perspectiva del ciclo vital se integra en las políticas y programas para prevenir y abordar la violencia de género contra las mujeres y las niñas. </w:t>
      </w:r>
    </w:p>
    <w:p w14:paraId="00000033" w14:textId="78CC6E73" w:rsidR="00013295" w:rsidRPr="001D6B4F" w:rsidRDefault="00875009" w:rsidP="001D6B4F">
      <w:pPr>
        <w:pStyle w:val="ListParagraph"/>
        <w:numPr>
          <w:ilvl w:val="0"/>
          <w:numId w:val="6"/>
        </w:numPr>
        <w:shd w:val="clear" w:color="auto" w:fill="FFFFFF"/>
        <w:spacing w:before="120" w:line="256" w:lineRule="auto"/>
        <w:ind w:right="880"/>
        <w:jc w:val="both"/>
        <w:rPr>
          <w:rFonts w:ascii="Times New Roman" w:eastAsia="Times New Roman" w:hAnsi="Times New Roman" w:cs="Times New Roman"/>
        </w:rPr>
      </w:pPr>
      <w:r w:rsidRPr="001D6B4F">
        <w:rPr>
          <w:rFonts w:ascii="Times New Roman" w:eastAsia="Times New Roman" w:hAnsi="Times New Roman" w:cs="Times New Roman"/>
        </w:rPr>
        <w:t xml:space="preserve">La promulgación del Decreto 1-21, que crea Gabinete de las Mujeres, Niñas y Adolescentes, compuesto por las instituciones que trabajan el tema, detalladas a continuación: </w:t>
      </w:r>
    </w:p>
    <w:p w14:paraId="00000034" w14:textId="72726F09"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 xml:space="preserve">Ministerio de la Mujer, quien lo presidirá y coordinará </w:t>
      </w:r>
    </w:p>
    <w:p w14:paraId="00000035" w14:textId="48435378"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 xml:space="preserve">Ministerio de la Presidencia </w:t>
      </w:r>
    </w:p>
    <w:p w14:paraId="00000036" w14:textId="138CE919"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 xml:space="preserve">Ministerio de Interior y Policía </w:t>
      </w:r>
    </w:p>
    <w:p w14:paraId="00000037" w14:textId="6E3A5A10"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 xml:space="preserve">Ministerio de Defensa </w:t>
      </w:r>
    </w:p>
    <w:p w14:paraId="00000038" w14:textId="1E7B0728"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 xml:space="preserve">Ministerio de Salud Pública y Asistencia Social </w:t>
      </w:r>
    </w:p>
    <w:p w14:paraId="00000039" w14:textId="261B637C"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Ministerio de Educación</w:t>
      </w:r>
    </w:p>
    <w:p w14:paraId="0000003A" w14:textId="502A200A"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Ministerio de Educación Superior, Ciencia y Tecnología</w:t>
      </w:r>
    </w:p>
    <w:p w14:paraId="0000003B" w14:textId="77177937"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Ministerio de Trabajo i. Ministerio de Economía, Planificación y Desarrollo</w:t>
      </w:r>
    </w:p>
    <w:p w14:paraId="0000003C" w14:textId="5BAC58C3"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 xml:space="preserve">Ministerio de la Juventud </w:t>
      </w:r>
    </w:p>
    <w:p w14:paraId="0000003D" w14:textId="15747785"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 xml:space="preserve">Un representante del Poder Judicial, designado por el Consejo del Poder Judicial </w:t>
      </w:r>
    </w:p>
    <w:p w14:paraId="0000003E" w14:textId="569CC5DC"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 xml:space="preserve">Procuraduría General de la República </w:t>
      </w:r>
    </w:p>
    <w:p w14:paraId="0000003F" w14:textId="545AEE50"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 xml:space="preserve">Servicio Nacional de Salud (SNS) </w:t>
      </w:r>
    </w:p>
    <w:p w14:paraId="00000040" w14:textId="6A715C15"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 xml:space="preserve">Consejo Nacional para la Niñez y la Adolescencia (CONANI) </w:t>
      </w:r>
    </w:p>
    <w:p w14:paraId="00000041" w14:textId="47484732" w:rsidR="00013295" w:rsidRPr="00547347" w:rsidRDefault="00875009" w:rsidP="00547347">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Policía Nacional</w:t>
      </w:r>
    </w:p>
    <w:p w14:paraId="2EA5243C" w14:textId="77777777" w:rsidR="00407B25" w:rsidRDefault="00875009" w:rsidP="00407B25">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547347">
        <w:rPr>
          <w:rFonts w:ascii="Times New Roman" w:eastAsia="Times New Roman" w:hAnsi="Times New Roman" w:cs="Times New Roman"/>
        </w:rPr>
        <w:t xml:space="preserve">Oficina Nacional de Estadística. </w:t>
      </w:r>
    </w:p>
    <w:p w14:paraId="00000043" w14:textId="13498750" w:rsidR="00013295" w:rsidRPr="00407B25" w:rsidRDefault="00875009" w:rsidP="00407B25">
      <w:pPr>
        <w:pStyle w:val="ListParagraph"/>
        <w:numPr>
          <w:ilvl w:val="1"/>
          <w:numId w:val="4"/>
        </w:numPr>
        <w:shd w:val="clear" w:color="auto" w:fill="FFFFFF"/>
        <w:spacing w:before="120" w:line="256" w:lineRule="auto"/>
        <w:ind w:right="880"/>
        <w:jc w:val="both"/>
        <w:rPr>
          <w:rFonts w:ascii="Times New Roman" w:eastAsia="Times New Roman" w:hAnsi="Times New Roman" w:cs="Times New Roman"/>
        </w:rPr>
      </w:pPr>
      <w:r w:rsidRPr="00407B25">
        <w:rPr>
          <w:rFonts w:ascii="Times New Roman" w:eastAsia="Times New Roman" w:hAnsi="Times New Roman" w:cs="Times New Roman"/>
        </w:rPr>
        <w:t xml:space="preserve">Universidad Autónoma de Santo Domingo </w:t>
      </w:r>
    </w:p>
    <w:p w14:paraId="2A4DF058" w14:textId="7B614C61" w:rsidR="00407B25" w:rsidRPr="00407B25" w:rsidRDefault="00407B25" w:rsidP="00407B25">
      <w:pPr>
        <w:pStyle w:val="ListParagraph"/>
        <w:numPr>
          <w:ilvl w:val="0"/>
          <w:numId w:val="6"/>
        </w:numPr>
        <w:shd w:val="clear" w:color="auto" w:fill="FFFFFF"/>
        <w:spacing w:before="120" w:line="256" w:lineRule="auto"/>
        <w:ind w:right="880"/>
        <w:jc w:val="both"/>
        <w:rPr>
          <w:rFonts w:ascii="Times New Roman" w:eastAsia="Times New Roman" w:hAnsi="Times New Roman" w:cs="Times New Roman"/>
        </w:rPr>
      </w:pPr>
      <w:r w:rsidRPr="00407B25">
        <w:rPr>
          <w:rFonts w:ascii="Times New Roman" w:eastAsia="Times New Roman" w:hAnsi="Times New Roman" w:cs="Times New Roman"/>
        </w:rPr>
        <w:t>Ley 1-21, que elimina el matrimonio infantil en el territorio de la República Dominicana.</w:t>
      </w:r>
    </w:p>
    <w:p w14:paraId="00000044" w14:textId="4AE0BA0A" w:rsidR="00013295" w:rsidRPr="00407B25" w:rsidRDefault="00875009" w:rsidP="00407B25">
      <w:pPr>
        <w:pStyle w:val="ListParagraph"/>
        <w:numPr>
          <w:ilvl w:val="0"/>
          <w:numId w:val="6"/>
        </w:numPr>
        <w:shd w:val="clear" w:color="auto" w:fill="FFFFFF"/>
        <w:spacing w:before="120" w:line="256" w:lineRule="auto"/>
        <w:ind w:right="880"/>
        <w:jc w:val="both"/>
        <w:rPr>
          <w:rFonts w:ascii="Times New Roman" w:eastAsia="Times New Roman" w:hAnsi="Times New Roman" w:cs="Times New Roman"/>
        </w:rPr>
      </w:pPr>
      <w:r w:rsidRPr="00407B25">
        <w:rPr>
          <w:rFonts w:ascii="Times New Roman" w:eastAsia="Times New Roman" w:hAnsi="Times New Roman" w:cs="Times New Roman"/>
        </w:rPr>
        <w:lastRenderedPageBreak/>
        <w:t>El anteproyecto de Ley Integral para la Prevención, Atención, Sanción y Reparación para la Erradicación de la Violencia contra las Mujeres, actualmente depositado en la Secretaría General del Congreso Nacional, el cual tiene un tema sobre esta perspectiva, cito:</w:t>
      </w:r>
    </w:p>
    <w:p w14:paraId="00000045" w14:textId="38828700" w:rsidR="00013295" w:rsidRPr="00B137E1" w:rsidRDefault="00875009">
      <w:pPr>
        <w:shd w:val="clear" w:color="auto" w:fill="FFFFFF"/>
        <w:spacing w:before="120" w:line="256" w:lineRule="auto"/>
        <w:ind w:left="1160" w:right="880" w:hanging="280"/>
        <w:jc w:val="both"/>
        <w:rPr>
          <w:rFonts w:ascii="Times New Roman" w:eastAsia="Times New Roman" w:hAnsi="Times New Roman" w:cs="Times New Roman"/>
        </w:rPr>
      </w:pPr>
      <w:r w:rsidRPr="00B137E1">
        <w:rPr>
          <w:rFonts w:ascii="Times New Roman" w:eastAsia="Times New Roman" w:hAnsi="Times New Roman" w:cs="Times New Roman"/>
        </w:rPr>
        <w:t xml:space="preserve">  </w:t>
      </w:r>
      <w:r w:rsidR="00F91B48">
        <w:rPr>
          <w:rFonts w:ascii="Times New Roman" w:eastAsia="Times New Roman" w:hAnsi="Times New Roman" w:cs="Times New Roman"/>
        </w:rPr>
        <w:t xml:space="preserve">   </w:t>
      </w:r>
      <w:r w:rsidRPr="00B137E1">
        <w:rPr>
          <w:rFonts w:ascii="Times New Roman" w:eastAsia="Times New Roman" w:hAnsi="Times New Roman" w:cs="Times New Roman"/>
        </w:rPr>
        <w:t>Artículo 13. Enfoque de interseccionalidad de las violencias en las políticas públicas. Las políticas públicas de prevención, atención y sanción de las violencias contra las mujeres incorporarán el enfoque de interseccionalidad de las violencias, en particular en contextos de emergencia y ayuda humanitaria, estableciendo intervenciones dirigidas a mujeres en condiciones de mayor riesgo de vulneración de sus derechos frente a la violencia, como las mujeres con discapacidad, VIH positivas, migrantes en situación irregular o regular, incluidas las solicitantes de asilo, mujeres víctimas de trata y tráfico, trabajadoras domésticas, mujeres privadas de libertad, mujeres explotadas sexualmente, niñas, adolescentes y mujeres envejecientes, mujeres embarazadas, entre otras.</w:t>
      </w:r>
    </w:p>
    <w:p w14:paraId="00000047" w14:textId="1E52343C" w:rsidR="00013295" w:rsidRPr="001D6B4F" w:rsidRDefault="00875009" w:rsidP="001D6B4F">
      <w:pPr>
        <w:pStyle w:val="ListParagraph"/>
        <w:numPr>
          <w:ilvl w:val="0"/>
          <w:numId w:val="6"/>
        </w:numPr>
        <w:shd w:val="clear" w:color="auto" w:fill="FFFFFF"/>
        <w:spacing w:before="120" w:line="256" w:lineRule="auto"/>
        <w:ind w:right="880"/>
        <w:jc w:val="both"/>
        <w:rPr>
          <w:rFonts w:ascii="Times New Roman" w:eastAsia="Times New Roman" w:hAnsi="Times New Roman" w:cs="Times New Roman"/>
        </w:rPr>
      </w:pPr>
      <w:r w:rsidRPr="001D6B4F">
        <w:rPr>
          <w:rFonts w:ascii="Times New Roman" w:eastAsia="Times New Roman" w:hAnsi="Times New Roman" w:cs="Times New Roman"/>
        </w:rPr>
        <w:t>En el P</w:t>
      </w:r>
      <w:r w:rsidR="00F84966" w:rsidRPr="001D6B4F">
        <w:rPr>
          <w:rFonts w:ascii="Times New Roman" w:eastAsia="Times New Roman" w:hAnsi="Times New Roman" w:cs="Times New Roman"/>
        </w:rPr>
        <w:t>LANEG</w:t>
      </w:r>
      <w:r w:rsidRPr="001D6B4F">
        <w:rPr>
          <w:rFonts w:ascii="Times New Roman" w:eastAsia="Times New Roman" w:hAnsi="Times New Roman" w:cs="Times New Roman"/>
        </w:rPr>
        <w:t xml:space="preserve"> </w:t>
      </w:r>
      <w:r w:rsidR="00F84966" w:rsidRPr="001D6B4F">
        <w:rPr>
          <w:rFonts w:ascii="Times New Roman" w:eastAsia="Times New Roman" w:hAnsi="Times New Roman" w:cs="Times New Roman"/>
        </w:rPr>
        <w:t>III</w:t>
      </w:r>
      <w:r w:rsidR="00407B25">
        <w:rPr>
          <w:rFonts w:ascii="Times New Roman" w:eastAsia="Times New Roman" w:hAnsi="Times New Roman" w:cs="Times New Roman"/>
        </w:rPr>
        <w:t xml:space="preserve"> 2020-2030</w:t>
      </w:r>
      <w:r w:rsidR="00F84966" w:rsidRPr="001D6B4F">
        <w:rPr>
          <w:rFonts w:ascii="Times New Roman" w:eastAsia="Times New Roman" w:hAnsi="Times New Roman" w:cs="Times New Roman"/>
        </w:rPr>
        <w:t>, también</w:t>
      </w:r>
      <w:r w:rsidRPr="001D6B4F">
        <w:rPr>
          <w:rFonts w:ascii="Times New Roman" w:eastAsia="Times New Roman" w:hAnsi="Times New Roman" w:cs="Times New Roman"/>
        </w:rPr>
        <w:t xml:space="preserve"> se trabaja desde esta perspectiva</w:t>
      </w:r>
      <w:r w:rsidR="00E6331F" w:rsidRPr="001D6B4F">
        <w:rPr>
          <w:rFonts w:ascii="Times New Roman" w:eastAsia="Times New Roman" w:hAnsi="Times New Roman" w:cs="Times New Roman"/>
        </w:rPr>
        <w:t>.</w:t>
      </w:r>
    </w:p>
    <w:p w14:paraId="4A30CCF7" w14:textId="036EEA31" w:rsidR="004E6E92" w:rsidRDefault="00875009" w:rsidP="004E6E92">
      <w:pPr>
        <w:shd w:val="clear" w:color="auto" w:fill="FFFFFF"/>
        <w:spacing w:before="120" w:line="256" w:lineRule="auto"/>
        <w:ind w:left="1160" w:right="880" w:hanging="280"/>
        <w:jc w:val="both"/>
        <w:rPr>
          <w:rFonts w:ascii="Times New Roman" w:eastAsia="Times New Roman" w:hAnsi="Times New Roman" w:cs="Times New Roman"/>
          <w:b/>
        </w:rPr>
      </w:pPr>
      <w:r w:rsidRPr="00B137E1">
        <w:rPr>
          <w:rFonts w:ascii="Times New Roman" w:eastAsia="Times New Roman" w:hAnsi="Times New Roman" w:cs="Times New Roman"/>
          <w:b/>
        </w:rPr>
        <w:t>12. Sírvase compartir información sobre los mecanismos de denuncia, rendición de cuentas, reparación y protección disponibles y destinados a las mujeres</w:t>
      </w:r>
      <w:r w:rsidR="004F5C6E">
        <w:rPr>
          <w:rFonts w:ascii="Times New Roman" w:eastAsia="Times New Roman" w:hAnsi="Times New Roman" w:cs="Times New Roman"/>
          <w:b/>
        </w:rPr>
        <w:t xml:space="preserve"> </w:t>
      </w:r>
      <w:r w:rsidRPr="00B137E1">
        <w:rPr>
          <w:rFonts w:ascii="Times New Roman" w:eastAsia="Times New Roman" w:hAnsi="Times New Roman" w:cs="Times New Roman"/>
          <w:b/>
        </w:rPr>
        <w:t>de edad víctimas</w:t>
      </w:r>
      <w:r w:rsidR="004F5C6E">
        <w:rPr>
          <w:rFonts w:ascii="Times New Roman" w:eastAsia="Times New Roman" w:hAnsi="Times New Roman" w:cs="Times New Roman"/>
          <w:b/>
        </w:rPr>
        <w:t xml:space="preserve"> </w:t>
      </w:r>
      <w:r w:rsidRPr="00B137E1">
        <w:rPr>
          <w:rFonts w:ascii="Times New Roman" w:eastAsia="Times New Roman" w:hAnsi="Times New Roman" w:cs="Times New Roman"/>
          <w:b/>
        </w:rPr>
        <w:t xml:space="preserve">de la violencia y la discriminación por motivos de género.  </w:t>
      </w:r>
    </w:p>
    <w:p w14:paraId="604D2CF0" w14:textId="57F655C9" w:rsidR="004E6E92" w:rsidRPr="004E6E92" w:rsidRDefault="004E6E92">
      <w:pPr>
        <w:shd w:val="clear" w:color="auto" w:fill="FFFFFF"/>
        <w:spacing w:before="120" w:line="256" w:lineRule="auto"/>
        <w:ind w:left="1160" w:right="880" w:hanging="280"/>
        <w:jc w:val="both"/>
        <w:rPr>
          <w:rFonts w:ascii="Times New Roman" w:eastAsia="Times New Roman" w:hAnsi="Times New Roman" w:cs="Times New Roman"/>
          <w:highlight w:val="yellow"/>
        </w:rPr>
      </w:pPr>
      <w:r>
        <w:rPr>
          <w:rFonts w:ascii="Times New Roman" w:eastAsia="Times New Roman" w:hAnsi="Times New Roman" w:cs="Times New Roman"/>
        </w:rPr>
        <w:t xml:space="preserve">      </w:t>
      </w:r>
      <w:r w:rsidRPr="004E6E92">
        <w:rPr>
          <w:rFonts w:ascii="Times New Roman" w:eastAsia="Times New Roman" w:hAnsi="Times New Roman" w:cs="Times New Roman"/>
        </w:rPr>
        <w:t xml:space="preserve">El Ministerio de la Mujer cuenta con Programas de asistencia psicológica y asesoría legal, protección en las </w:t>
      </w:r>
      <w:r w:rsidR="003F6B01">
        <w:rPr>
          <w:rFonts w:ascii="Times New Roman" w:eastAsia="Times New Roman" w:hAnsi="Times New Roman" w:cs="Times New Roman"/>
        </w:rPr>
        <w:t>C</w:t>
      </w:r>
      <w:r w:rsidRPr="004E6E92">
        <w:rPr>
          <w:rFonts w:ascii="Times New Roman" w:eastAsia="Times New Roman" w:hAnsi="Times New Roman" w:cs="Times New Roman"/>
        </w:rPr>
        <w:t xml:space="preserve">asas de </w:t>
      </w:r>
      <w:r w:rsidR="003F6B01">
        <w:rPr>
          <w:rFonts w:ascii="Times New Roman" w:eastAsia="Times New Roman" w:hAnsi="Times New Roman" w:cs="Times New Roman"/>
        </w:rPr>
        <w:t>A</w:t>
      </w:r>
      <w:r w:rsidRPr="004E6E92">
        <w:rPr>
          <w:rFonts w:ascii="Times New Roman" w:eastAsia="Times New Roman" w:hAnsi="Times New Roman" w:cs="Times New Roman"/>
        </w:rPr>
        <w:t>cogida y asistencia de rescate con la Línea *212</w:t>
      </w:r>
      <w:r>
        <w:rPr>
          <w:rFonts w:ascii="Times New Roman" w:eastAsia="Times New Roman" w:hAnsi="Times New Roman" w:cs="Times New Roman"/>
        </w:rPr>
        <w:t xml:space="preserve">, por otro lado, articulamos esfuerzos con otras instituciones como las Fiscalías, </w:t>
      </w:r>
      <w:r w:rsidR="003F6B01">
        <w:rPr>
          <w:rFonts w:ascii="Times New Roman" w:eastAsia="Times New Roman" w:hAnsi="Times New Roman" w:cs="Times New Roman"/>
        </w:rPr>
        <w:t xml:space="preserve">la </w:t>
      </w:r>
      <w:r>
        <w:rPr>
          <w:rFonts w:ascii="Times New Roman" w:eastAsia="Times New Roman" w:hAnsi="Times New Roman" w:cs="Times New Roman"/>
        </w:rPr>
        <w:t>Policía Nacional</w:t>
      </w:r>
      <w:r w:rsidR="003F6B01">
        <w:rPr>
          <w:rFonts w:ascii="Times New Roman" w:eastAsia="Times New Roman" w:hAnsi="Times New Roman" w:cs="Times New Roman"/>
        </w:rPr>
        <w:t xml:space="preserve"> y el </w:t>
      </w:r>
      <w:r>
        <w:rPr>
          <w:rFonts w:ascii="Times New Roman" w:eastAsia="Times New Roman" w:hAnsi="Times New Roman" w:cs="Times New Roman"/>
        </w:rPr>
        <w:t>Sistema Nacional de Emergencias 911.</w:t>
      </w:r>
    </w:p>
    <w:p w14:paraId="00000049" w14:textId="6A62DD56" w:rsidR="00013295" w:rsidRPr="00B137E1" w:rsidRDefault="00013295" w:rsidP="00F91B48">
      <w:pPr>
        <w:ind w:left="1160"/>
        <w:jc w:val="both"/>
        <w:rPr>
          <w:rFonts w:ascii="Times New Roman" w:eastAsia="Times New Roman" w:hAnsi="Times New Roman" w:cs="Times New Roman"/>
        </w:rPr>
      </w:pPr>
    </w:p>
    <w:sectPr w:rsidR="00013295" w:rsidRPr="00B137E1">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0D43E" w14:textId="77777777" w:rsidR="00001DB6" w:rsidRDefault="00001DB6" w:rsidP="005E22CA">
      <w:pPr>
        <w:spacing w:line="240" w:lineRule="auto"/>
      </w:pPr>
      <w:r>
        <w:separator/>
      </w:r>
    </w:p>
  </w:endnote>
  <w:endnote w:type="continuationSeparator" w:id="0">
    <w:p w14:paraId="3ACC8DE9" w14:textId="77777777" w:rsidR="00001DB6" w:rsidRDefault="00001DB6" w:rsidP="005E2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5ECE6" w14:textId="77777777" w:rsidR="00E93650" w:rsidRDefault="00E93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B9BA" w14:textId="77777777" w:rsidR="00E93650" w:rsidRDefault="00E936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C279" w14:textId="77777777" w:rsidR="00E93650" w:rsidRDefault="00E93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1EB7" w14:textId="77777777" w:rsidR="00001DB6" w:rsidRDefault="00001DB6" w:rsidP="005E22CA">
      <w:pPr>
        <w:spacing w:line="240" w:lineRule="auto"/>
      </w:pPr>
      <w:r>
        <w:separator/>
      </w:r>
    </w:p>
  </w:footnote>
  <w:footnote w:type="continuationSeparator" w:id="0">
    <w:p w14:paraId="491FBD65" w14:textId="77777777" w:rsidR="00001DB6" w:rsidRDefault="00001DB6" w:rsidP="005E22CA">
      <w:pPr>
        <w:spacing w:line="240" w:lineRule="auto"/>
      </w:pPr>
      <w:r>
        <w:continuationSeparator/>
      </w:r>
    </w:p>
  </w:footnote>
  <w:footnote w:id="1">
    <w:p w14:paraId="31B570CF" w14:textId="77777777" w:rsidR="00101099" w:rsidRPr="000B06D7" w:rsidRDefault="00101099" w:rsidP="00101099">
      <w:pPr>
        <w:pStyle w:val="FootnoteText"/>
        <w:rPr>
          <w:sz w:val="16"/>
          <w:szCs w:val="16"/>
        </w:rPr>
      </w:pPr>
      <w:r w:rsidRPr="000B06D7">
        <w:rPr>
          <w:rStyle w:val="FootnoteReference"/>
          <w:sz w:val="16"/>
          <w:szCs w:val="16"/>
        </w:rPr>
        <w:footnoteRef/>
      </w:r>
      <w:r w:rsidRPr="000B06D7">
        <w:rPr>
          <w:sz w:val="16"/>
          <w:szCs w:val="16"/>
        </w:rPr>
        <w:t xml:space="preserve"> </w:t>
      </w:r>
      <w:r w:rsidRPr="000B06D7">
        <w:rPr>
          <w:rFonts w:ascii="Garamond" w:hAnsi="Garamond"/>
          <w:sz w:val="16"/>
          <w:szCs w:val="16"/>
          <w:lang w:val="es-EC"/>
        </w:rPr>
        <w:t>SISDOM, 2019</w:t>
      </w:r>
    </w:p>
  </w:footnote>
  <w:footnote w:id="2">
    <w:p w14:paraId="396D8BAF" w14:textId="0CFB0953" w:rsidR="008815C5" w:rsidRPr="003E7865" w:rsidRDefault="008815C5">
      <w:pPr>
        <w:pStyle w:val="FootnoteText"/>
        <w:rPr>
          <w:sz w:val="16"/>
          <w:szCs w:val="16"/>
          <w:lang w:val="es-DO"/>
        </w:rPr>
      </w:pPr>
      <w:r>
        <w:rPr>
          <w:rStyle w:val="FootnoteReference"/>
        </w:rPr>
        <w:footnoteRef/>
      </w:r>
      <w:r>
        <w:t xml:space="preserve"> </w:t>
      </w:r>
      <w:r w:rsidR="00F410EC" w:rsidRPr="003E7865">
        <w:rPr>
          <w:sz w:val="16"/>
          <w:szCs w:val="16"/>
          <w:lang w:val="es-DO"/>
        </w:rPr>
        <w:t>ONE (2016). Envejecimiento demográfico: desafío al Sistema de Seguridad Social en República Dominicana.</w:t>
      </w:r>
    </w:p>
  </w:footnote>
  <w:footnote w:id="3">
    <w:p w14:paraId="70ADC143" w14:textId="334FD9CD" w:rsidR="00F410EC" w:rsidRDefault="00F410EC">
      <w:pPr>
        <w:pStyle w:val="FootnoteText"/>
      </w:pPr>
      <w:r>
        <w:rPr>
          <w:rStyle w:val="FootnoteReference"/>
        </w:rPr>
        <w:footnoteRef/>
      </w:r>
      <w:r>
        <w:t xml:space="preserve"> </w:t>
      </w:r>
      <w:r w:rsidRPr="003E7865">
        <w:rPr>
          <w:sz w:val="16"/>
          <w:szCs w:val="16"/>
          <w:lang w:val="es-DO"/>
        </w:rPr>
        <w:t>ONE (2016). Envejecimiento demográfico: desafío al Sistema de Seguridad Social en República Dominicana.</w:t>
      </w:r>
    </w:p>
  </w:footnote>
  <w:footnote w:id="4">
    <w:p w14:paraId="2B47C43D" w14:textId="3A874286" w:rsidR="00F410EC" w:rsidRDefault="00F410EC">
      <w:pPr>
        <w:pStyle w:val="FootnoteText"/>
      </w:pPr>
      <w:r>
        <w:rPr>
          <w:rStyle w:val="FootnoteReference"/>
        </w:rPr>
        <w:footnoteRef/>
      </w:r>
      <w:r>
        <w:t xml:space="preserve"> </w:t>
      </w:r>
      <w:r w:rsidRPr="003E7865">
        <w:rPr>
          <w:sz w:val="16"/>
          <w:szCs w:val="16"/>
          <w:lang w:val="es-DO"/>
        </w:rPr>
        <w:t>CONAPE-UNFPA-CEAPA (2011).El maltrato hacia las personas mayores en la República Dominicana.</w:t>
      </w:r>
    </w:p>
  </w:footnote>
  <w:footnote w:id="5">
    <w:p w14:paraId="1CE4E3D4" w14:textId="08DF9AAE" w:rsidR="00F410EC" w:rsidRDefault="00F410EC">
      <w:pPr>
        <w:pStyle w:val="FootnoteText"/>
      </w:pPr>
      <w:r>
        <w:rPr>
          <w:rStyle w:val="FootnoteReference"/>
        </w:rPr>
        <w:footnoteRef/>
      </w:r>
      <w:r>
        <w:t xml:space="preserve"> </w:t>
      </w:r>
      <w:r w:rsidRPr="003E7865">
        <w:rPr>
          <w:sz w:val="16"/>
          <w:szCs w:val="16"/>
          <w:lang w:val="es-DO"/>
        </w:rPr>
        <w:t>CONAPE-UNFPA-CEAPA (2011). El maltrato hacia las personas mayores en la República Dominicana.</w:t>
      </w:r>
    </w:p>
  </w:footnote>
  <w:footnote w:id="6">
    <w:p w14:paraId="42B19651" w14:textId="31F6FEFE" w:rsidR="00F410EC" w:rsidRDefault="00F410EC">
      <w:pPr>
        <w:pStyle w:val="FootnoteText"/>
      </w:pPr>
      <w:r>
        <w:rPr>
          <w:rStyle w:val="FootnoteReference"/>
        </w:rPr>
        <w:footnoteRef/>
      </w:r>
      <w:r>
        <w:t xml:space="preserve"> </w:t>
      </w:r>
      <w:r w:rsidRPr="003E7865">
        <w:rPr>
          <w:sz w:val="16"/>
          <w:szCs w:val="16"/>
        </w:rPr>
        <w:t>CONAPE-UNFPA-CEAPA (2011). El maltrato hacia las personas mayores en la República Dominicana.</w:t>
      </w:r>
    </w:p>
  </w:footnote>
  <w:footnote w:id="7">
    <w:p w14:paraId="1FF3475D" w14:textId="1B012075" w:rsidR="00F410EC" w:rsidRDefault="00F410EC">
      <w:pPr>
        <w:pStyle w:val="FootnoteText"/>
      </w:pPr>
      <w:r>
        <w:rPr>
          <w:rStyle w:val="FootnoteReference"/>
        </w:rPr>
        <w:footnoteRef/>
      </w:r>
      <w:r>
        <w:t xml:space="preserve"> </w:t>
      </w:r>
      <w:r w:rsidRPr="003E7865">
        <w:rPr>
          <w:sz w:val="16"/>
          <w:szCs w:val="16"/>
        </w:rPr>
        <w:t>ONE (2016). Envejecimiento demográfico: desafío al Sistema de Seguridad Social en República Dominicana</w:t>
      </w:r>
    </w:p>
  </w:footnote>
  <w:footnote w:id="8">
    <w:p w14:paraId="0355F531" w14:textId="365BD606" w:rsidR="00F410EC" w:rsidRDefault="00F410EC">
      <w:pPr>
        <w:pStyle w:val="FootnoteText"/>
      </w:pPr>
      <w:r>
        <w:rPr>
          <w:rStyle w:val="FootnoteReference"/>
        </w:rPr>
        <w:footnoteRef/>
      </w:r>
      <w:r>
        <w:t xml:space="preserve"> </w:t>
      </w:r>
      <w:r w:rsidRPr="003E7865">
        <w:rPr>
          <w:sz w:val="16"/>
          <w:szCs w:val="16"/>
        </w:rPr>
        <w:t>CONAPE-UNFPA-CEAPA (2011). El maltrato hacia las personas mayores en la República Dominicana.</w:t>
      </w:r>
    </w:p>
  </w:footnote>
  <w:footnote w:id="9">
    <w:p w14:paraId="1A659123" w14:textId="0BC36C83" w:rsidR="00101099" w:rsidRDefault="00101099">
      <w:pPr>
        <w:pStyle w:val="FootnoteText"/>
      </w:pPr>
      <w:r>
        <w:rPr>
          <w:rStyle w:val="FootnoteReference"/>
        </w:rPr>
        <w:footnoteRef/>
      </w:r>
      <w:r>
        <w:t xml:space="preserve"> </w:t>
      </w:r>
      <w:r w:rsidRPr="003E7865">
        <w:rPr>
          <w:sz w:val="16"/>
          <w:szCs w:val="16"/>
        </w:rPr>
        <w:t>SISDOM, 2019</w:t>
      </w:r>
    </w:p>
  </w:footnote>
  <w:footnote w:id="10">
    <w:p w14:paraId="56E31B83" w14:textId="002DC4BA" w:rsidR="00216E8D" w:rsidRPr="003E7865" w:rsidRDefault="00216E8D">
      <w:pPr>
        <w:pStyle w:val="FootnoteText"/>
        <w:rPr>
          <w:sz w:val="16"/>
          <w:szCs w:val="16"/>
        </w:rPr>
      </w:pPr>
      <w:r w:rsidRPr="003E7865">
        <w:rPr>
          <w:rStyle w:val="FootnoteReference"/>
          <w:sz w:val="16"/>
          <w:szCs w:val="16"/>
        </w:rPr>
        <w:footnoteRef/>
      </w:r>
      <w:r w:rsidRPr="003E7865">
        <w:rPr>
          <w:sz w:val="16"/>
          <w:szCs w:val="16"/>
        </w:rPr>
        <w:t xml:space="preserve"> </w:t>
      </w:r>
      <w:r w:rsidRPr="003E7865">
        <w:rPr>
          <w:rFonts w:ascii="Times New Roman" w:eastAsia="Times New Roman" w:hAnsi="Times New Roman" w:cs="Times New Roman"/>
          <w:sz w:val="16"/>
          <w:szCs w:val="16"/>
        </w:rPr>
        <w:t>(CEPAL, 2017)</w:t>
      </w:r>
    </w:p>
  </w:footnote>
  <w:footnote w:id="11">
    <w:p w14:paraId="7A2C9B10" w14:textId="65F34289" w:rsidR="00216E8D" w:rsidRDefault="00216E8D">
      <w:pPr>
        <w:pStyle w:val="FootnoteText"/>
      </w:pPr>
      <w:r w:rsidRPr="003E7865">
        <w:rPr>
          <w:rStyle w:val="FootnoteReference"/>
          <w:sz w:val="16"/>
          <w:szCs w:val="16"/>
        </w:rPr>
        <w:footnoteRef/>
      </w:r>
      <w:r w:rsidRPr="003E7865">
        <w:rPr>
          <w:sz w:val="16"/>
          <w:szCs w:val="16"/>
        </w:rPr>
        <w:t xml:space="preserve"> ENDESA,2013</w:t>
      </w:r>
    </w:p>
  </w:footnote>
  <w:footnote w:id="12">
    <w:p w14:paraId="2C9D2FCC" w14:textId="5F4FE27E" w:rsidR="00D10EF5" w:rsidRPr="00D10EF5" w:rsidRDefault="00D10EF5">
      <w:pPr>
        <w:pStyle w:val="FootnoteText"/>
      </w:pPr>
      <w:r>
        <w:rPr>
          <w:rStyle w:val="FootnoteReference"/>
        </w:rPr>
        <w:footnoteRef/>
      </w:r>
      <w:r>
        <w:t xml:space="preserve"> </w:t>
      </w:r>
      <w:r w:rsidRPr="00D10EF5">
        <w:rPr>
          <w:sz w:val="16"/>
          <w:szCs w:val="16"/>
        </w:rPr>
        <w:t>Brecha salarial entre hombres y mujeres de la República Dominicana, y su evolución en un periodo de estudio desde el 200 al 2017”.</w:t>
      </w:r>
    </w:p>
  </w:footnote>
  <w:footnote w:id="13">
    <w:p w14:paraId="7439AE72" w14:textId="69BA9DF4" w:rsidR="00D10EF5" w:rsidRPr="00D10EF5" w:rsidRDefault="00D10EF5">
      <w:pPr>
        <w:pStyle w:val="FootnoteText"/>
        <w:rPr>
          <w:lang w:val="en-US"/>
        </w:rPr>
      </w:pPr>
      <w:r w:rsidRPr="00D10EF5">
        <w:rPr>
          <w:rStyle w:val="FootnoteReference"/>
          <w:sz w:val="14"/>
          <w:szCs w:val="14"/>
        </w:rPr>
        <w:footnoteRef/>
      </w:r>
      <w:r w:rsidRPr="00D10EF5">
        <w:rPr>
          <w:sz w:val="14"/>
          <w:szCs w:val="14"/>
        </w:rPr>
        <w:t xml:space="preserve"> </w:t>
      </w:r>
      <w:r w:rsidRPr="00D10EF5">
        <w:rPr>
          <w:sz w:val="14"/>
          <w:szCs w:val="14"/>
          <w:lang w:val="en-US"/>
        </w:rPr>
        <w:t>FAO,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64B6" w14:textId="77777777" w:rsidR="00E93650" w:rsidRDefault="00E93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C0801" w14:textId="77777777" w:rsidR="00E93650" w:rsidRDefault="00E93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9F106" w14:textId="77777777" w:rsidR="00E93650" w:rsidRDefault="00E93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26B4"/>
    <w:multiLevelType w:val="hybridMultilevel"/>
    <w:tmpl w:val="FA3C5EB0"/>
    <w:lvl w:ilvl="0" w:tplc="04090005">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
    <w:nsid w:val="034805FC"/>
    <w:multiLevelType w:val="hybridMultilevel"/>
    <w:tmpl w:val="B652EEE0"/>
    <w:lvl w:ilvl="0" w:tplc="B8C04DC4">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09F358C7"/>
    <w:multiLevelType w:val="hybridMultilevel"/>
    <w:tmpl w:val="59D23ADC"/>
    <w:lvl w:ilvl="0" w:tplc="3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B060A"/>
    <w:multiLevelType w:val="hybridMultilevel"/>
    <w:tmpl w:val="C29693AC"/>
    <w:lvl w:ilvl="0" w:tplc="04090019">
      <w:start w:val="1"/>
      <w:numFmt w:val="lowerLetter"/>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nsid w:val="1E12458C"/>
    <w:multiLevelType w:val="hybridMultilevel"/>
    <w:tmpl w:val="B6E8763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5">
    <w:nsid w:val="33B865EB"/>
    <w:multiLevelType w:val="hybridMultilevel"/>
    <w:tmpl w:val="57829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D5C36"/>
    <w:multiLevelType w:val="hybridMultilevel"/>
    <w:tmpl w:val="BD76DFFA"/>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nsid w:val="45A21021"/>
    <w:multiLevelType w:val="hybridMultilevel"/>
    <w:tmpl w:val="56346CA2"/>
    <w:lvl w:ilvl="0" w:tplc="40F8DFE0">
      <w:start w:val="1"/>
      <w:numFmt w:val="decimal"/>
      <w:lvlText w:val="%1."/>
      <w:lvlJc w:val="left"/>
      <w:pPr>
        <w:ind w:left="1375" w:hanging="495"/>
      </w:pPr>
      <w:rPr>
        <w:rFonts w:hint="default"/>
        <w:b w:val="0"/>
      </w:rPr>
    </w:lvl>
    <w:lvl w:ilvl="1" w:tplc="14D47B10">
      <w:start w:val="1"/>
      <w:numFmt w:val="lowerLetter"/>
      <w:lvlText w:val="%2."/>
      <w:lvlJc w:val="left"/>
      <w:pPr>
        <w:ind w:left="1960" w:hanging="360"/>
      </w:pPr>
      <w:rPr>
        <w:rFonts w:hint="default"/>
      </w:r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nsid w:val="53C02A8E"/>
    <w:multiLevelType w:val="hybridMultilevel"/>
    <w:tmpl w:val="59C08EF6"/>
    <w:lvl w:ilvl="0" w:tplc="04090005">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9">
    <w:nsid w:val="575E00A4"/>
    <w:multiLevelType w:val="hybridMultilevel"/>
    <w:tmpl w:val="152C8ADA"/>
    <w:lvl w:ilvl="0" w:tplc="5F34B1C2">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nsid w:val="5DD915E3"/>
    <w:multiLevelType w:val="hybridMultilevel"/>
    <w:tmpl w:val="AA180D42"/>
    <w:lvl w:ilvl="0" w:tplc="04090019">
      <w:start w:val="1"/>
      <w:numFmt w:val="lowerLetter"/>
      <w:lvlText w:val="%1."/>
      <w:lvlJc w:val="left"/>
      <w:pPr>
        <w:ind w:left="1600" w:hanging="360"/>
      </w:pPr>
    </w:lvl>
    <w:lvl w:ilvl="1" w:tplc="04090019">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1">
    <w:nsid w:val="66156EA0"/>
    <w:multiLevelType w:val="hybridMultilevel"/>
    <w:tmpl w:val="7B2EF27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2">
    <w:nsid w:val="78760C49"/>
    <w:multiLevelType w:val="hybridMultilevel"/>
    <w:tmpl w:val="0ADCD99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7"/>
  </w:num>
  <w:num w:numId="2">
    <w:abstractNumId w:val="8"/>
  </w:num>
  <w:num w:numId="3">
    <w:abstractNumId w:val="0"/>
  </w:num>
  <w:num w:numId="4">
    <w:abstractNumId w:val="10"/>
  </w:num>
  <w:num w:numId="5">
    <w:abstractNumId w:val="9"/>
  </w:num>
  <w:num w:numId="6">
    <w:abstractNumId w:val="6"/>
  </w:num>
  <w:num w:numId="7">
    <w:abstractNumId w:val="12"/>
  </w:num>
  <w:num w:numId="8">
    <w:abstractNumId w:val="3"/>
  </w:num>
  <w:num w:numId="9">
    <w:abstractNumId w:val="11"/>
  </w:num>
  <w:num w:numId="10">
    <w:abstractNumId w:val="4"/>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95"/>
    <w:rsid w:val="00001DB6"/>
    <w:rsid w:val="00004265"/>
    <w:rsid w:val="00013295"/>
    <w:rsid w:val="00037DD6"/>
    <w:rsid w:val="00041374"/>
    <w:rsid w:val="00101099"/>
    <w:rsid w:val="001A3957"/>
    <w:rsid w:val="001D2D57"/>
    <w:rsid w:val="001D6B4F"/>
    <w:rsid w:val="00205A02"/>
    <w:rsid w:val="00216E8D"/>
    <w:rsid w:val="0022438E"/>
    <w:rsid w:val="00241C44"/>
    <w:rsid w:val="002752B3"/>
    <w:rsid w:val="002B2754"/>
    <w:rsid w:val="003146EA"/>
    <w:rsid w:val="003332D4"/>
    <w:rsid w:val="00360C99"/>
    <w:rsid w:val="003A7707"/>
    <w:rsid w:val="003C4ACD"/>
    <w:rsid w:val="003E7865"/>
    <w:rsid w:val="003F6B01"/>
    <w:rsid w:val="00407B25"/>
    <w:rsid w:val="00447A86"/>
    <w:rsid w:val="00467851"/>
    <w:rsid w:val="0049401E"/>
    <w:rsid w:val="004B702B"/>
    <w:rsid w:val="004C2113"/>
    <w:rsid w:val="004D30AE"/>
    <w:rsid w:val="004E6E92"/>
    <w:rsid w:val="004F4363"/>
    <w:rsid w:val="004F5C6E"/>
    <w:rsid w:val="00525E9A"/>
    <w:rsid w:val="00547347"/>
    <w:rsid w:val="005E22CA"/>
    <w:rsid w:val="006223E5"/>
    <w:rsid w:val="0066241D"/>
    <w:rsid w:val="0076017E"/>
    <w:rsid w:val="00810AF9"/>
    <w:rsid w:val="00835770"/>
    <w:rsid w:val="00861FA2"/>
    <w:rsid w:val="0087280C"/>
    <w:rsid w:val="00875009"/>
    <w:rsid w:val="008815C5"/>
    <w:rsid w:val="00925F76"/>
    <w:rsid w:val="00943C32"/>
    <w:rsid w:val="009A18B5"/>
    <w:rsid w:val="009D3A41"/>
    <w:rsid w:val="009E101B"/>
    <w:rsid w:val="00A44193"/>
    <w:rsid w:val="00A468E6"/>
    <w:rsid w:val="00A52571"/>
    <w:rsid w:val="00A71436"/>
    <w:rsid w:val="00A82200"/>
    <w:rsid w:val="00A90684"/>
    <w:rsid w:val="00AD0601"/>
    <w:rsid w:val="00B01276"/>
    <w:rsid w:val="00B137E1"/>
    <w:rsid w:val="00BB061F"/>
    <w:rsid w:val="00BD710D"/>
    <w:rsid w:val="00BE30C0"/>
    <w:rsid w:val="00C57BA9"/>
    <w:rsid w:val="00C63503"/>
    <w:rsid w:val="00C93B02"/>
    <w:rsid w:val="00CC717B"/>
    <w:rsid w:val="00CC781C"/>
    <w:rsid w:val="00D06F09"/>
    <w:rsid w:val="00D10EF5"/>
    <w:rsid w:val="00E6331F"/>
    <w:rsid w:val="00E93650"/>
    <w:rsid w:val="00EE7F18"/>
    <w:rsid w:val="00F17C49"/>
    <w:rsid w:val="00F320D6"/>
    <w:rsid w:val="00F410EC"/>
    <w:rsid w:val="00F66E3E"/>
    <w:rsid w:val="00F84966"/>
    <w:rsid w:val="00F91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1B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E6331F"/>
    <w:pPr>
      <w:spacing w:line="240" w:lineRule="auto"/>
    </w:pPr>
  </w:style>
  <w:style w:type="paragraph" w:styleId="ListParagraph">
    <w:name w:val="List Paragraph"/>
    <w:aliases w:val="Bullet1,List Paragraph (numbered (a)),List Paragraph1,123 List Paragraph,Main numbered paragraph,Bullets,Body,References,List_Paragraph,Multilevel para_II,Bullet,Normal 2 DC,Numbered List Paragraph,Liste 1,ReferencesCxSpLast,Dot pt"/>
    <w:basedOn w:val="Normal"/>
    <w:link w:val="ListParagraphChar"/>
    <w:uiPriority w:val="34"/>
    <w:qFormat/>
    <w:rsid w:val="00875009"/>
    <w:pPr>
      <w:ind w:left="720"/>
      <w:contextualSpacing/>
    </w:pPr>
  </w:style>
  <w:style w:type="paragraph" w:styleId="Header">
    <w:name w:val="header"/>
    <w:basedOn w:val="Normal"/>
    <w:link w:val="HeaderChar"/>
    <w:uiPriority w:val="99"/>
    <w:unhideWhenUsed/>
    <w:rsid w:val="005E22CA"/>
    <w:pPr>
      <w:tabs>
        <w:tab w:val="center" w:pos="4680"/>
        <w:tab w:val="right" w:pos="9360"/>
      </w:tabs>
      <w:spacing w:line="240" w:lineRule="auto"/>
    </w:pPr>
  </w:style>
  <w:style w:type="character" w:customStyle="1" w:styleId="HeaderChar">
    <w:name w:val="Header Char"/>
    <w:basedOn w:val="DefaultParagraphFont"/>
    <w:link w:val="Header"/>
    <w:uiPriority w:val="99"/>
    <w:rsid w:val="005E22CA"/>
  </w:style>
  <w:style w:type="paragraph" w:styleId="Footer">
    <w:name w:val="footer"/>
    <w:basedOn w:val="Normal"/>
    <w:link w:val="FooterChar"/>
    <w:uiPriority w:val="99"/>
    <w:unhideWhenUsed/>
    <w:rsid w:val="005E22CA"/>
    <w:pPr>
      <w:tabs>
        <w:tab w:val="center" w:pos="4680"/>
        <w:tab w:val="right" w:pos="9360"/>
      </w:tabs>
      <w:spacing w:line="240" w:lineRule="auto"/>
    </w:pPr>
  </w:style>
  <w:style w:type="character" w:customStyle="1" w:styleId="FooterChar">
    <w:name w:val="Footer Char"/>
    <w:basedOn w:val="DefaultParagraphFont"/>
    <w:link w:val="Footer"/>
    <w:uiPriority w:val="99"/>
    <w:rsid w:val="005E22CA"/>
  </w:style>
  <w:style w:type="character" w:styleId="CommentReference">
    <w:name w:val="annotation reference"/>
    <w:basedOn w:val="DefaultParagraphFont"/>
    <w:uiPriority w:val="99"/>
    <w:semiHidden/>
    <w:unhideWhenUsed/>
    <w:rsid w:val="00004265"/>
    <w:rPr>
      <w:sz w:val="16"/>
      <w:szCs w:val="16"/>
    </w:rPr>
  </w:style>
  <w:style w:type="paragraph" w:styleId="CommentText">
    <w:name w:val="annotation text"/>
    <w:basedOn w:val="Normal"/>
    <w:link w:val="CommentTextChar"/>
    <w:uiPriority w:val="99"/>
    <w:semiHidden/>
    <w:unhideWhenUsed/>
    <w:rsid w:val="00004265"/>
    <w:pPr>
      <w:spacing w:line="240" w:lineRule="auto"/>
    </w:pPr>
    <w:rPr>
      <w:sz w:val="20"/>
      <w:szCs w:val="20"/>
    </w:rPr>
  </w:style>
  <w:style w:type="character" w:customStyle="1" w:styleId="CommentTextChar">
    <w:name w:val="Comment Text Char"/>
    <w:basedOn w:val="DefaultParagraphFont"/>
    <w:link w:val="CommentText"/>
    <w:uiPriority w:val="99"/>
    <w:semiHidden/>
    <w:rsid w:val="00004265"/>
    <w:rPr>
      <w:sz w:val="20"/>
      <w:szCs w:val="20"/>
    </w:rPr>
  </w:style>
  <w:style w:type="paragraph" w:styleId="CommentSubject">
    <w:name w:val="annotation subject"/>
    <w:basedOn w:val="CommentText"/>
    <w:next w:val="CommentText"/>
    <w:link w:val="CommentSubjectChar"/>
    <w:uiPriority w:val="99"/>
    <w:semiHidden/>
    <w:unhideWhenUsed/>
    <w:rsid w:val="00004265"/>
    <w:rPr>
      <w:b/>
      <w:bCs/>
    </w:rPr>
  </w:style>
  <w:style w:type="character" w:customStyle="1" w:styleId="CommentSubjectChar">
    <w:name w:val="Comment Subject Char"/>
    <w:basedOn w:val="CommentTextChar"/>
    <w:link w:val="CommentSubject"/>
    <w:uiPriority w:val="99"/>
    <w:semiHidden/>
    <w:rsid w:val="00004265"/>
    <w:rPr>
      <w:b/>
      <w:bCs/>
      <w:sz w:val="20"/>
      <w:szCs w:val="20"/>
    </w:rPr>
  </w:style>
  <w:style w:type="paragraph" w:styleId="BalloonText">
    <w:name w:val="Balloon Text"/>
    <w:basedOn w:val="Normal"/>
    <w:link w:val="BalloonTextChar"/>
    <w:uiPriority w:val="99"/>
    <w:semiHidden/>
    <w:unhideWhenUsed/>
    <w:rsid w:val="002752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B3"/>
    <w:rPr>
      <w:rFonts w:ascii="Segoe UI" w:hAnsi="Segoe UI" w:cs="Segoe UI"/>
      <w:sz w:val="18"/>
      <w:szCs w:val="18"/>
    </w:rPr>
  </w:style>
  <w:style w:type="paragraph" w:styleId="EndnoteText">
    <w:name w:val="endnote text"/>
    <w:basedOn w:val="Normal"/>
    <w:link w:val="EndnoteTextChar"/>
    <w:uiPriority w:val="99"/>
    <w:semiHidden/>
    <w:unhideWhenUsed/>
    <w:rsid w:val="00360C99"/>
    <w:pPr>
      <w:spacing w:line="240" w:lineRule="auto"/>
    </w:pPr>
    <w:rPr>
      <w:sz w:val="20"/>
      <w:szCs w:val="20"/>
    </w:rPr>
  </w:style>
  <w:style w:type="character" w:customStyle="1" w:styleId="EndnoteTextChar">
    <w:name w:val="Endnote Text Char"/>
    <w:basedOn w:val="DefaultParagraphFont"/>
    <w:link w:val="EndnoteText"/>
    <w:uiPriority w:val="99"/>
    <w:semiHidden/>
    <w:rsid w:val="00360C99"/>
    <w:rPr>
      <w:sz w:val="20"/>
      <w:szCs w:val="20"/>
    </w:rPr>
  </w:style>
  <w:style w:type="character" w:styleId="EndnoteReference">
    <w:name w:val="endnote reference"/>
    <w:basedOn w:val="DefaultParagraphFont"/>
    <w:uiPriority w:val="99"/>
    <w:semiHidden/>
    <w:unhideWhenUsed/>
    <w:rsid w:val="00360C99"/>
    <w:rPr>
      <w:vertAlign w:val="superscript"/>
    </w:rPr>
  </w:style>
  <w:style w:type="paragraph" w:styleId="FootnoteText">
    <w:name w:val="footnote text"/>
    <w:basedOn w:val="Normal"/>
    <w:link w:val="FootnoteTextChar"/>
    <w:uiPriority w:val="99"/>
    <w:semiHidden/>
    <w:unhideWhenUsed/>
    <w:rsid w:val="008815C5"/>
    <w:pPr>
      <w:spacing w:line="240" w:lineRule="auto"/>
    </w:pPr>
    <w:rPr>
      <w:sz w:val="20"/>
      <w:szCs w:val="20"/>
    </w:rPr>
  </w:style>
  <w:style w:type="character" w:customStyle="1" w:styleId="FootnoteTextChar">
    <w:name w:val="Footnote Text Char"/>
    <w:basedOn w:val="DefaultParagraphFont"/>
    <w:link w:val="FootnoteText"/>
    <w:uiPriority w:val="99"/>
    <w:semiHidden/>
    <w:rsid w:val="008815C5"/>
    <w:rPr>
      <w:sz w:val="20"/>
      <w:szCs w:val="20"/>
      <w:lang w:val="es-ES"/>
    </w:rPr>
  </w:style>
  <w:style w:type="character" w:styleId="FootnoteReference">
    <w:name w:val="footnote reference"/>
    <w:basedOn w:val="DefaultParagraphFont"/>
    <w:uiPriority w:val="99"/>
    <w:semiHidden/>
    <w:unhideWhenUsed/>
    <w:rsid w:val="008815C5"/>
    <w:rPr>
      <w:vertAlign w:val="superscript"/>
    </w:rPr>
  </w:style>
  <w:style w:type="character" w:customStyle="1" w:styleId="ListParagraphChar">
    <w:name w:val="List Paragraph Char"/>
    <w:aliases w:val="Bullet1 Char,List Paragraph (numbered (a)) Char,List Paragraph1 Char,123 List Paragraph Char,Main numbered paragraph Char,Bullets Char,Body Char,References Char,List_Paragraph Char,Multilevel para_II Char,Bullet Char,Normal 2 DC Char"/>
    <w:link w:val="ListParagraph"/>
    <w:uiPriority w:val="34"/>
    <w:rsid w:val="00101099"/>
    <w:rPr>
      <w:lang w:val="es-ES"/>
    </w:rPr>
  </w:style>
  <w:style w:type="paragraph" w:styleId="NormalWeb">
    <w:name w:val="Normal (Web)"/>
    <w:basedOn w:val="Normal"/>
    <w:uiPriority w:val="99"/>
    <w:semiHidden/>
    <w:unhideWhenUsed/>
    <w:rsid w:val="00D10EF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1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86EFE9-B609-448B-BE7A-8DD91714E564}">
  <ds:schemaRefs>
    <ds:schemaRef ds:uri="http://schemas.openxmlformats.org/officeDocument/2006/bibliography"/>
  </ds:schemaRefs>
</ds:datastoreItem>
</file>

<file path=customXml/itemProps2.xml><?xml version="1.0" encoding="utf-8"?>
<ds:datastoreItem xmlns:ds="http://schemas.openxmlformats.org/officeDocument/2006/customXml" ds:itemID="{0A0893A9-4650-4791-87F6-7AF20606AC6B}"/>
</file>

<file path=customXml/itemProps3.xml><?xml version="1.0" encoding="utf-8"?>
<ds:datastoreItem xmlns:ds="http://schemas.openxmlformats.org/officeDocument/2006/customXml" ds:itemID="{6DF7170C-ACBE-47A3-8125-0F3F0FE8650C}"/>
</file>

<file path=customXml/itemProps4.xml><?xml version="1.0" encoding="utf-8"?>
<ds:datastoreItem xmlns:ds="http://schemas.openxmlformats.org/officeDocument/2006/customXml" ds:itemID="{4A2BBB0A-1E1F-481D-BBFE-24E01826EF76}"/>
</file>

<file path=docProps/app.xml><?xml version="1.0" encoding="utf-8"?>
<Properties xmlns="http://schemas.openxmlformats.org/officeDocument/2006/extended-properties" xmlns:vt="http://schemas.openxmlformats.org/officeDocument/2006/docPropsVTypes">
  <Template>Normal.dotm</Template>
  <TotalTime>0</TotalTime>
  <Pages>8</Pages>
  <Words>2630</Words>
  <Characters>14993</Characters>
  <Application>Microsoft Office Word</Application>
  <DocSecurity>4</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2021-05-21T14:54:00Z</dcterms:created>
  <dcterms:modified xsi:type="dcterms:W3CDTF">2021-05-21T14:54:00Z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