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23" w:rsidRPr="00680EC8" w:rsidRDefault="001E7623" w:rsidP="001E7623">
      <w:pPr>
        <w:pStyle w:val="Style"/>
        <w:shd w:val="clear" w:color="auto" w:fill="FFFEFF"/>
        <w:spacing w:before="100" w:line="225" w:lineRule="exact"/>
        <w:ind w:right="892"/>
        <w:rPr>
          <w:w w:val="89"/>
          <w:sz w:val="18"/>
          <w:szCs w:val="18"/>
          <w:shd w:val="clear" w:color="auto" w:fill="FFFEFF"/>
        </w:rPr>
      </w:pPr>
      <w:r w:rsidRPr="00680EC8">
        <w:rPr>
          <w:noProof/>
        </w:rPr>
        <w:drawing>
          <wp:anchor distT="0" distB="0" distL="114300" distR="114300" simplePos="0" relativeHeight="251659264" behindDoc="1" locked="0" layoutInCell="0" allowOverlap="1">
            <wp:simplePos x="0" y="0"/>
            <wp:positionH relativeFrom="margin">
              <wp:posOffset>5114290</wp:posOffset>
            </wp:positionH>
            <wp:positionV relativeFrom="margin">
              <wp:posOffset>0</wp:posOffset>
            </wp:positionV>
            <wp:extent cx="952500" cy="987425"/>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2500" cy="987425"/>
                    </a:xfrm>
                    <a:prstGeom prst="rect">
                      <a:avLst/>
                    </a:prstGeom>
                    <a:noFill/>
                  </pic:spPr>
                </pic:pic>
              </a:graphicData>
            </a:graphic>
          </wp:anchor>
        </w:drawing>
      </w:r>
      <w:r w:rsidRPr="00680EC8">
        <w:rPr>
          <w:w w:val="89"/>
          <w:sz w:val="18"/>
          <w:szCs w:val="18"/>
          <w:shd w:val="clear" w:color="auto" w:fill="FFFEFF"/>
        </w:rPr>
        <w:t xml:space="preserve">MINISTERE DE LA JUSTICE, GARDE DES SCEAUX </w:t>
      </w:r>
      <w:r w:rsidRPr="00680EC8">
        <w:rPr>
          <w:w w:val="89"/>
          <w:sz w:val="18"/>
          <w:szCs w:val="18"/>
          <w:shd w:val="clear" w:color="auto" w:fill="FFFEFF"/>
        </w:rPr>
        <w:br/>
        <w:t xml:space="preserve">DES DROITS HUMAINS ET DES RELATIONS </w:t>
      </w:r>
      <w:r w:rsidRPr="00680EC8">
        <w:rPr>
          <w:w w:val="89"/>
          <w:sz w:val="18"/>
          <w:szCs w:val="18"/>
          <w:shd w:val="clear" w:color="auto" w:fill="FFFEFF"/>
        </w:rPr>
        <w:br/>
        <w:t xml:space="preserve">AVEC LES INSTITUTIONS CONSTITUTIONNELLES </w:t>
      </w:r>
    </w:p>
    <w:p w:rsidR="001E7623" w:rsidRPr="00680EC8" w:rsidRDefault="001E7623" w:rsidP="001E7623">
      <w:pPr>
        <w:pStyle w:val="Style"/>
        <w:spacing w:before="43" w:line="1" w:lineRule="exact"/>
        <w:rPr>
          <w:sz w:val="18"/>
          <w:szCs w:val="18"/>
        </w:rPr>
      </w:pPr>
    </w:p>
    <w:p w:rsidR="001E7623" w:rsidRPr="00680EC8" w:rsidRDefault="001E7623" w:rsidP="001E7623">
      <w:pPr>
        <w:pStyle w:val="Style"/>
        <w:rPr>
          <w:sz w:val="18"/>
          <w:szCs w:val="18"/>
        </w:rPr>
      </w:pPr>
      <w:r w:rsidRPr="00680EC8">
        <w:rPr>
          <w:sz w:val="18"/>
          <w:szCs w:val="18"/>
        </w:rPr>
        <w:t xml:space="preserve">                      </w:t>
      </w:r>
      <w:r w:rsidRPr="00680EC8">
        <w:rPr>
          <w:noProof/>
          <w:sz w:val="18"/>
          <w:szCs w:val="18"/>
        </w:rPr>
        <w:drawing>
          <wp:inline distT="0" distB="0" distL="0" distR="0">
            <wp:extent cx="876300" cy="47625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876300" cy="476250"/>
                    </a:xfrm>
                    <a:prstGeom prst="rect">
                      <a:avLst/>
                    </a:prstGeom>
                    <a:noFill/>
                    <a:ln w="9525">
                      <a:noFill/>
                      <a:miter lim="800000"/>
                      <a:headEnd/>
                      <a:tailEnd/>
                    </a:ln>
                  </pic:spPr>
                </pic:pic>
              </a:graphicData>
            </a:graphic>
          </wp:inline>
        </w:drawing>
      </w:r>
    </w:p>
    <w:p w:rsidR="001E7623" w:rsidRPr="00680EC8" w:rsidRDefault="001E7623" w:rsidP="001E7623">
      <w:pPr>
        <w:pStyle w:val="Style"/>
        <w:rPr>
          <w:sz w:val="18"/>
          <w:szCs w:val="18"/>
        </w:rPr>
      </w:pPr>
      <w:r w:rsidRPr="00680EC8">
        <w:rPr>
          <w:sz w:val="18"/>
          <w:szCs w:val="18"/>
        </w:rPr>
        <w:t xml:space="preserve">                          --------------</w:t>
      </w:r>
    </w:p>
    <w:p w:rsidR="001E7623" w:rsidRPr="00680EC8" w:rsidRDefault="001E7623" w:rsidP="001E7623">
      <w:pPr>
        <w:pStyle w:val="Style"/>
        <w:rPr>
          <w:w w:val="90"/>
          <w:sz w:val="22"/>
          <w:szCs w:val="22"/>
          <w:shd w:val="clear" w:color="auto" w:fill="FFFEFF"/>
        </w:rPr>
      </w:pPr>
      <w:r w:rsidRPr="00680EC8">
        <w:rPr>
          <w:sz w:val="18"/>
          <w:szCs w:val="18"/>
        </w:rPr>
        <w:t xml:space="preserve">       </w:t>
      </w:r>
      <w:r w:rsidRPr="00680EC8">
        <w:rPr>
          <w:w w:val="90"/>
          <w:sz w:val="22"/>
          <w:szCs w:val="22"/>
          <w:shd w:val="clear" w:color="auto" w:fill="FFFEFF"/>
        </w:rPr>
        <w:t xml:space="preserve"> SECRETARIAT GENERAL </w:t>
      </w:r>
    </w:p>
    <w:p w:rsidR="001E7623" w:rsidRPr="00680EC8" w:rsidRDefault="001E7623" w:rsidP="001E7623">
      <w:pPr>
        <w:pStyle w:val="Style"/>
        <w:rPr>
          <w:sz w:val="18"/>
          <w:szCs w:val="18"/>
        </w:rPr>
      </w:pPr>
      <w:r w:rsidRPr="00680EC8">
        <w:rPr>
          <w:w w:val="90"/>
          <w:sz w:val="22"/>
          <w:szCs w:val="22"/>
          <w:shd w:val="clear" w:color="auto" w:fill="FFFEFF"/>
        </w:rPr>
        <w:t xml:space="preserve">                       -------------</w:t>
      </w:r>
    </w:p>
    <w:p w:rsidR="001E7623" w:rsidRPr="00680EC8" w:rsidRDefault="001E7623" w:rsidP="001E7623">
      <w:pPr>
        <w:pStyle w:val="Style"/>
        <w:rPr>
          <w:sz w:val="18"/>
          <w:szCs w:val="18"/>
          <w:shd w:val="clear" w:color="auto" w:fill="FFFEFF"/>
        </w:rPr>
      </w:pPr>
      <w:r w:rsidRPr="00680EC8">
        <w:rPr>
          <w:b/>
          <w:sz w:val="18"/>
          <w:szCs w:val="18"/>
          <w:shd w:val="clear" w:color="auto" w:fill="FFFEFF"/>
        </w:rPr>
        <w:t>DIRECTION GENERALE DES DROITS DEL'HOMME</w:t>
      </w:r>
      <w:r w:rsidRPr="00680EC8">
        <w:rPr>
          <w:sz w:val="18"/>
          <w:szCs w:val="18"/>
          <w:shd w:val="clear" w:color="auto" w:fill="FFFEFF"/>
        </w:rPr>
        <w:t xml:space="preserve">                                 Libreville, le </w:t>
      </w:r>
    </w:p>
    <w:p w:rsidR="001E7623" w:rsidRPr="00680EC8" w:rsidRDefault="001E7623" w:rsidP="001E7623">
      <w:pPr>
        <w:pStyle w:val="Style"/>
        <w:rPr>
          <w:sz w:val="18"/>
          <w:szCs w:val="18"/>
          <w:lang w:val="en-US"/>
        </w:rPr>
      </w:pPr>
      <w:r w:rsidRPr="00680EC8">
        <w:rPr>
          <w:sz w:val="18"/>
          <w:szCs w:val="18"/>
          <w:shd w:val="clear" w:color="auto" w:fill="FFFEFF"/>
        </w:rPr>
        <w:t xml:space="preserve">                         </w:t>
      </w:r>
      <w:r w:rsidRPr="00680EC8">
        <w:rPr>
          <w:sz w:val="18"/>
          <w:szCs w:val="18"/>
          <w:shd w:val="clear" w:color="auto" w:fill="FFFEFF"/>
          <w:lang w:val="en-US"/>
        </w:rPr>
        <w:t xml:space="preserve">----------------                                                            </w:t>
      </w:r>
    </w:p>
    <w:p w:rsidR="001E7623" w:rsidRDefault="001E7623" w:rsidP="00C71DA3">
      <w:pPr>
        <w:pStyle w:val="Style"/>
        <w:shd w:val="clear" w:color="auto" w:fill="FFFEFF"/>
        <w:spacing w:before="172" w:line="288" w:lineRule="exact"/>
        <w:ind w:left="87" w:right="330"/>
        <w:rPr>
          <w:b/>
          <w:sz w:val="18"/>
          <w:szCs w:val="18"/>
          <w:shd w:val="clear" w:color="auto" w:fill="FFFEFF"/>
          <w:lang w:val="en-US"/>
        </w:rPr>
      </w:pPr>
      <w:r w:rsidRPr="00680EC8">
        <w:rPr>
          <w:sz w:val="18"/>
          <w:szCs w:val="18"/>
          <w:shd w:val="clear" w:color="auto" w:fill="FFFEFF"/>
          <w:lang w:val="en-US"/>
        </w:rPr>
        <w:t>N°__________MJGSDHRIC/SG/</w:t>
      </w:r>
      <w:r w:rsidRPr="00680EC8">
        <w:rPr>
          <w:b/>
          <w:sz w:val="18"/>
          <w:szCs w:val="18"/>
          <w:shd w:val="clear" w:color="auto" w:fill="FFFEFF"/>
          <w:lang w:val="en-US"/>
        </w:rPr>
        <w:t>DGDH.DG.</w:t>
      </w:r>
    </w:p>
    <w:p w:rsidR="00C71DA3" w:rsidRPr="00C71DA3" w:rsidRDefault="00C71DA3" w:rsidP="00C71DA3">
      <w:pPr>
        <w:pStyle w:val="Style"/>
        <w:shd w:val="clear" w:color="auto" w:fill="FFFEFF"/>
        <w:spacing w:before="172" w:line="288" w:lineRule="exact"/>
        <w:ind w:left="87" w:right="330"/>
        <w:rPr>
          <w:sz w:val="16"/>
          <w:szCs w:val="16"/>
          <w:shd w:val="clear" w:color="auto" w:fill="FFFEFF"/>
          <w:lang w:val="en-US"/>
        </w:rPr>
      </w:pPr>
    </w:p>
    <w:p w:rsidR="009D2C56" w:rsidRDefault="009D2C56"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spacing w:after="0"/>
        <w:jc w:val="center"/>
        <w:rPr>
          <w:rFonts w:ascii="Bookman Old Style" w:hAnsi="Bookman Old Style"/>
          <w:sz w:val="28"/>
          <w:szCs w:val="28"/>
        </w:rPr>
      </w:pPr>
    </w:p>
    <w:p w:rsidR="009D2C56" w:rsidRPr="009D2C56" w:rsidRDefault="001E7623"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spacing w:after="0"/>
        <w:jc w:val="center"/>
        <w:rPr>
          <w:rFonts w:ascii="Tahoma" w:hAnsi="Tahoma" w:cs="Tahoma"/>
          <w:b/>
          <w:sz w:val="28"/>
          <w:szCs w:val="28"/>
        </w:rPr>
      </w:pPr>
      <w:r w:rsidRPr="009D2C56">
        <w:rPr>
          <w:rFonts w:ascii="Tahoma" w:hAnsi="Tahoma" w:cs="Tahoma"/>
          <w:b/>
          <w:sz w:val="28"/>
          <w:szCs w:val="28"/>
        </w:rPr>
        <w:t xml:space="preserve">Mise en œuvre de la résolution du Conseil </w:t>
      </w:r>
    </w:p>
    <w:p w:rsidR="001E7623" w:rsidRPr="009D2C56" w:rsidRDefault="001E7623"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spacing w:after="0"/>
        <w:jc w:val="center"/>
        <w:rPr>
          <w:rFonts w:ascii="Tahoma" w:hAnsi="Tahoma" w:cs="Tahoma"/>
          <w:b/>
          <w:sz w:val="28"/>
          <w:szCs w:val="28"/>
        </w:rPr>
      </w:pPr>
      <w:proofErr w:type="gramStart"/>
      <w:r w:rsidRPr="009D2C56">
        <w:rPr>
          <w:rFonts w:ascii="Tahoma" w:hAnsi="Tahoma" w:cs="Tahoma"/>
          <w:b/>
          <w:sz w:val="28"/>
          <w:szCs w:val="28"/>
        </w:rPr>
        <w:t>des</w:t>
      </w:r>
      <w:proofErr w:type="gramEnd"/>
      <w:r w:rsidRPr="009D2C56">
        <w:rPr>
          <w:rFonts w:ascii="Tahoma" w:hAnsi="Tahoma" w:cs="Tahoma"/>
          <w:b/>
          <w:sz w:val="28"/>
          <w:szCs w:val="28"/>
        </w:rPr>
        <w:t xml:space="preserve"> Droits de l’Homme </w:t>
      </w:r>
    </w:p>
    <w:p w:rsidR="00281B9B" w:rsidRPr="009D2C56" w:rsidRDefault="001E7623"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spacing w:after="0"/>
        <w:jc w:val="center"/>
        <w:rPr>
          <w:rFonts w:ascii="Tahoma" w:hAnsi="Tahoma" w:cs="Tahoma"/>
          <w:b/>
          <w:sz w:val="28"/>
          <w:szCs w:val="28"/>
        </w:rPr>
      </w:pPr>
      <w:r w:rsidRPr="009D2C56">
        <w:rPr>
          <w:rFonts w:ascii="Tahoma" w:hAnsi="Tahoma" w:cs="Tahoma"/>
          <w:b/>
          <w:sz w:val="28"/>
          <w:szCs w:val="28"/>
        </w:rPr>
        <w:t>21/23-« les droits de l’homme des personnes âgées »</w:t>
      </w:r>
    </w:p>
    <w:p w:rsidR="001E7623" w:rsidRPr="009D2C56" w:rsidRDefault="00281B9B"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spacing w:after="0"/>
        <w:jc w:val="center"/>
        <w:rPr>
          <w:rFonts w:ascii="Tahoma" w:hAnsi="Tahoma" w:cs="Tahoma"/>
          <w:b/>
          <w:sz w:val="28"/>
          <w:szCs w:val="28"/>
        </w:rPr>
      </w:pPr>
      <w:r w:rsidRPr="009D2C56">
        <w:rPr>
          <w:rFonts w:ascii="Tahoma" w:hAnsi="Tahoma" w:cs="Tahoma"/>
          <w:b/>
          <w:sz w:val="28"/>
          <w:szCs w:val="28"/>
        </w:rPr>
        <w:t xml:space="preserve"> </w:t>
      </w:r>
      <w:proofErr w:type="gramStart"/>
      <w:r w:rsidRPr="009D2C56">
        <w:rPr>
          <w:rFonts w:ascii="Tahoma" w:hAnsi="Tahoma" w:cs="Tahoma"/>
          <w:b/>
          <w:sz w:val="28"/>
          <w:szCs w:val="28"/>
        </w:rPr>
        <w:t>par</w:t>
      </w:r>
      <w:proofErr w:type="gramEnd"/>
      <w:r w:rsidRPr="009D2C56">
        <w:rPr>
          <w:rFonts w:ascii="Tahoma" w:hAnsi="Tahoma" w:cs="Tahoma"/>
          <w:b/>
          <w:sz w:val="28"/>
          <w:szCs w:val="28"/>
        </w:rPr>
        <w:t xml:space="preserve"> le Gouvernement Gabonais</w:t>
      </w:r>
    </w:p>
    <w:p w:rsidR="00000000" w:rsidRPr="009D2C56" w:rsidRDefault="001E7623" w:rsidP="009D2C56">
      <w:pPr>
        <w:pBdr>
          <w:top w:val="thickThinSmallGap" w:sz="24" w:space="1" w:color="auto"/>
          <w:left w:val="thickThinSmallGap" w:sz="24" w:space="4" w:color="auto"/>
          <w:bottom w:val="thinThickSmallGap" w:sz="24" w:space="1" w:color="auto"/>
          <w:right w:val="thinThickSmallGap" w:sz="24" w:space="4" w:color="auto"/>
        </w:pBdr>
        <w:shd w:val="clear" w:color="auto" w:fill="92D050"/>
        <w:rPr>
          <w:rFonts w:ascii="Tahoma" w:hAnsi="Tahoma" w:cs="Tahoma"/>
          <w:sz w:val="16"/>
          <w:szCs w:val="16"/>
        </w:rPr>
      </w:pPr>
      <w:r w:rsidRPr="009D2C56">
        <w:rPr>
          <w:rFonts w:ascii="Tahoma" w:hAnsi="Tahoma" w:cs="Tahoma"/>
          <w:sz w:val="16"/>
          <w:szCs w:val="16"/>
        </w:rPr>
        <w:t xml:space="preserve"> </w:t>
      </w:r>
    </w:p>
    <w:p w:rsidR="001E7623" w:rsidRDefault="001E7623" w:rsidP="009D2C56">
      <w:pPr>
        <w:ind w:firstLine="708"/>
        <w:jc w:val="both"/>
      </w:pPr>
      <w:r>
        <w:t>De la situation sur les droits des personnes pour la protection et la promotion des personnes âgées, il ressort que nous pouvons dresser trois (3) cas de figures pour donner certains éclaircissements sur la question des enjeux principaux en matière de promotion et de protection de la population cible évoquée ci-dessus. Dans cette perspective, nous avons des acquis, les encours et les actions qui restent à réalisées.</w:t>
      </w:r>
    </w:p>
    <w:p w:rsidR="00281B9B" w:rsidRDefault="00281B9B" w:rsidP="009D2C56">
      <w:pPr>
        <w:ind w:firstLine="708"/>
        <w:jc w:val="both"/>
      </w:pPr>
      <w:r>
        <w:t>Le tabl</w:t>
      </w:r>
      <w:r w:rsidR="003622D2">
        <w:t>eau ci-dessus vous retrace les détails de cet état.</w:t>
      </w:r>
    </w:p>
    <w:tbl>
      <w:tblPr>
        <w:tblStyle w:val="Grilledutableau"/>
        <w:tblW w:w="0" w:type="auto"/>
        <w:tblInd w:w="-176" w:type="dxa"/>
        <w:tblLook w:val="04A0"/>
      </w:tblPr>
      <w:tblGrid>
        <w:gridCol w:w="3545"/>
        <w:gridCol w:w="3118"/>
        <w:gridCol w:w="2725"/>
      </w:tblGrid>
      <w:tr w:rsidR="003622D2" w:rsidRPr="003622D2" w:rsidTr="00C71DA3">
        <w:tc>
          <w:tcPr>
            <w:tcW w:w="3545" w:type="dxa"/>
          </w:tcPr>
          <w:p w:rsidR="003622D2" w:rsidRPr="003622D2" w:rsidRDefault="003622D2" w:rsidP="003622D2">
            <w:pPr>
              <w:jc w:val="center"/>
              <w:rPr>
                <w:b/>
                <w:sz w:val="28"/>
                <w:szCs w:val="28"/>
              </w:rPr>
            </w:pPr>
            <w:r w:rsidRPr="003622D2">
              <w:rPr>
                <w:b/>
                <w:sz w:val="28"/>
                <w:szCs w:val="28"/>
              </w:rPr>
              <w:t>Les Acquis</w:t>
            </w:r>
          </w:p>
        </w:tc>
        <w:tc>
          <w:tcPr>
            <w:tcW w:w="3118" w:type="dxa"/>
          </w:tcPr>
          <w:p w:rsidR="003622D2" w:rsidRPr="003622D2" w:rsidRDefault="003622D2" w:rsidP="003622D2">
            <w:pPr>
              <w:jc w:val="center"/>
              <w:rPr>
                <w:b/>
                <w:sz w:val="28"/>
                <w:szCs w:val="28"/>
              </w:rPr>
            </w:pPr>
            <w:r w:rsidRPr="003622D2">
              <w:rPr>
                <w:b/>
                <w:sz w:val="28"/>
                <w:szCs w:val="28"/>
              </w:rPr>
              <w:t>Les Encours</w:t>
            </w:r>
          </w:p>
        </w:tc>
        <w:tc>
          <w:tcPr>
            <w:tcW w:w="2725" w:type="dxa"/>
          </w:tcPr>
          <w:p w:rsidR="003622D2" w:rsidRPr="003622D2" w:rsidRDefault="003622D2" w:rsidP="003622D2">
            <w:pPr>
              <w:jc w:val="center"/>
              <w:rPr>
                <w:b/>
                <w:sz w:val="28"/>
                <w:szCs w:val="28"/>
              </w:rPr>
            </w:pPr>
            <w:r w:rsidRPr="003622D2">
              <w:rPr>
                <w:b/>
                <w:sz w:val="28"/>
                <w:szCs w:val="28"/>
              </w:rPr>
              <w:t>Reste à Faire</w:t>
            </w:r>
          </w:p>
        </w:tc>
      </w:tr>
      <w:tr w:rsidR="003622D2" w:rsidTr="00C71DA3">
        <w:tc>
          <w:tcPr>
            <w:tcW w:w="3545" w:type="dxa"/>
          </w:tcPr>
          <w:p w:rsidR="003622D2" w:rsidRPr="009D2C56" w:rsidRDefault="003622D2" w:rsidP="001E7623">
            <w:pPr>
              <w:jc w:val="both"/>
              <w:rPr>
                <w:b/>
              </w:rPr>
            </w:pPr>
            <w:r w:rsidRPr="009D2C56">
              <w:rPr>
                <w:b/>
              </w:rPr>
              <w:t>LA CONSTITUTION GABONAISE :</w:t>
            </w:r>
          </w:p>
          <w:p w:rsidR="003622D2" w:rsidRPr="009D2C56" w:rsidRDefault="003622D2" w:rsidP="001E7623">
            <w:pPr>
              <w:jc w:val="both"/>
              <w:rPr>
                <w:b/>
              </w:rPr>
            </w:pPr>
          </w:p>
          <w:p w:rsidR="003622D2" w:rsidRDefault="003622D2" w:rsidP="001E7623">
            <w:pPr>
              <w:jc w:val="both"/>
            </w:pPr>
            <w:r>
              <w:t xml:space="preserve">Dans son titre préliminaire en son </w:t>
            </w:r>
            <w:r w:rsidRPr="009D2C56">
              <w:rPr>
                <w:b/>
              </w:rPr>
              <w:t>article 1</w:t>
            </w:r>
            <w:r w:rsidRPr="009D2C56">
              <w:rPr>
                <w:b/>
                <w:vertAlign w:val="superscript"/>
              </w:rPr>
              <w:t>er</w:t>
            </w:r>
            <w:r>
              <w:t xml:space="preserve"> garantit à tous les citoyens l’égalité des droits fondamentaux devant la loi.</w:t>
            </w:r>
          </w:p>
          <w:p w:rsidR="003622D2" w:rsidRDefault="003622D2" w:rsidP="001E7623">
            <w:pPr>
              <w:jc w:val="both"/>
            </w:pPr>
          </w:p>
          <w:p w:rsidR="003622D2" w:rsidRPr="009D2C56" w:rsidRDefault="003622D2" w:rsidP="001E7623">
            <w:pPr>
              <w:jc w:val="both"/>
              <w:rPr>
                <w:b/>
              </w:rPr>
            </w:pPr>
            <w:r w:rsidRPr="009D2C56">
              <w:rPr>
                <w:b/>
              </w:rPr>
              <w:t>Le décret n° 00792/PR/MSASSF</w:t>
            </w:r>
            <w:r>
              <w:t xml:space="preserve"> déterminant les modalités d’attributions de l’aide sociale en république Gabonaise stipule en son </w:t>
            </w:r>
            <w:r w:rsidRPr="009D2C56">
              <w:rPr>
                <w:b/>
              </w:rPr>
              <w:t>article 8 :</w:t>
            </w:r>
          </w:p>
          <w:p w:rsidR="003622D2" w:rsidRDefault="003622D2" w:rsidP="001E7623">
            <w:pPr>
              <w:jc w:val="both"/>
            </w:pPr>
            <w:r>
              <w:t>Aide Sociale accordé aux personnes du 3</w:t>
            </w:r>
            <w:r w:rsidRPr="003622D2">
              <w:rPr>
                <w:vertAlign w:val="superscript"/>
              </w:rPr>
              <w:t>ème</w:t>
            </w:r>
            <w:r>
              <w:t xml:space="preserve"> âge économiquement faible.</w:t>
            </w:r>
          </w:p>
          <w:p w:rsidR="009D2C56" w:rsidRDefault="009D2C56" w:rsidP="001E7623">
            <w:pPr>
              <w:jc w:val="both"/>
            </w:pPr>
          </w:p>
          <w:p w:rsidR="003622D2" w:rsidRDefault="003622D2" w:rsidP="003622D2">
            <w:pPr>
              <w:pStyle w:val="Paragraphedeliste"/>
              <w:numPr>
                <w:ilvl w:val="0"/>
                <w:numId w:val="2"/>
              </w:numPr>
              <w:jc w:val="both"/>
            </w:pPr>
            <w:r>
              <w:t>Aide matérielle</w:t>
            </w:r>
          </w:p>
          <w:p w:rsidR="003622D2" w:rsidRDefault="003622D2" w:rsidP="003622D2">
            <w:pPr>
              <w:pStyle w:val="Paragraphedeliste"/>
              <w:numPr>
                <w:ilvl w:val="0"/>
                <w:numId w:val="2"/>
              </w:numPr>
              <w:jc w:val="both"/>
            </w:pPr>
            <w:r>
              <w:t>Appui alimentaire</w:t>
            </w:r>
          </w:p>
          <w:p w:rsidR="003622D2" w:rsidRDefault="003622D2" w:rsidP="003622D2">
            <w:pPr>
              <w:pStyle w:val="Paragraphedeliste"/>
              <w:numPr>
                <w:ilvl w:val="0"/>
                <w:numId w:val="2"/>
              </w:numPr>
              <w:jc w:val="both"/>
            </w:pPr>
            <w:r>
              <w:t>Prise en charge des consultations médicales, hospitalisations, interventions chirurgicales et produits pharmaceutiques</w:t>
            </w:r>
          </w:p>
          <w:p w:rsidR="003622D2" w:rsidRDefault="003622D2" w:rsidP="003622D2">
            <w:pPr>
              <w:pStyle w:val="Paragraphedeliste"/>
              <w:numPr>
                <w:ilvl w:val="0"/>
                <w:numId w:val="2"/>
              </w:numPr>
              <w:jc w:val="both"/>
            </w:pPr>
            <w:r>
              <w:lastRenderedPageBreak/>
              <w:t xml:space="preserve">Placement dans les structures </w:t>
            </w:r>
            <w:r w:rsidR="00C71DA3">
              <w:t>spécialisées</w:t>
            </w:r>
          </w:p>
          <w:p w:rsidR="003622D2" w:rsidRDefault="003622D2" w:rsidP="001E7623">
            <w:pPr>
              <w:jc w:val="both"/>
            </w:pPr>
          </w:p>
        </w:tc>
        <w:tc>
          <w:tcPr>
            <w:tcW w:w="3118" w:type="dxa"/>
          </w:tcPr>
          <w:p w:rsidR="003622D2" w:rsidRDefault="00C71DA3" w:rsidP="00C71DA3">
            <w:pPr>
              <w:pStyle w:val="Paragraphedeliste"/>
              <w:numPr>
                <w:ilvl w:val="0"/>
                <w:numId w:val="3"/>
              </w:numPr>
              <w:jc w:val="both"/>
            </w:pPr>
            <w:r>
              <w:lastRenderedPageBreak/>
              <w:t>Former du personnel pour les maisons d’accueil.</w:t>
            </w:r>
          </w:p>
          <w:p w:rsidR="00C71DA3" w:rsidRDefault="00C71DA3" w:rsidP="00C71DA3">
            <w:pPr>
              <w:pStyle w:val="Paragraphedeliste"/>
              <w:jc w:val="both"/>
            </w:pPr>
          </w:p>
          <w:p w:rsidR="00C71DA3" w:rsidRDefault="00C71DA3" w:rsidP="00C71DA3">
            <w:pPr>
              <w:pStyle w:val="Paragraphedeliste"/>
              <w:numPr>
                <w:ilvl w:val="0"/>
                <w:numId w:val="3"/>
              </w:numPr>
              <w:jc w:val="both"/>
            </w:pPr>
            <w:r>
              <w:t>Construire des maisons d’accueil plus précisément à Libreville et les grandes villes du Gabon.</w:t>
            </w:r>
          </w:p>
          <w:p w:rsidR="00C71DA3" w:rsidRDefault="00C71DA3" w:rsidP="00C71DA3">
            <w:pPr>
              <w:pStyle w:val="Paragraphedeliste"/>
            </w:pPr>
          </w:p>
          <w:p w:rsidR="00C71DA3" w:rsidRDefault="00C71DA3" w:rsidP="00C71DA3">
            <w:pPr>
              <w:pStyle w:val="Paragraphedeliste"/>
              <w:numPr>
                <w:ilvl w:val="0"/>
                <w:numId w:val="3"/>
              </w:numPr>
              <w:jc w:val="both"/>
            </w:pPr>
            <w:r>
              <w:t xml:space="preserve">Renforcer et accompagner les associations et </w:t>
            </w:r>
            <w:r w:rsidRPr="009D2C56">
              <w:rPr>
                <w:b/>
              </w:rPr>
              <w:t>ONG</w:t>
            </w:r>
            <w:r>
              <w:t xml:space="preserve"> en matière de prise en charge des personnes âgées.</w:t>
            </w:r>
          </w:p>
          <w:p w:rsidR="00C71DA3" w:rsidRDefault="00C71DA3" w:rsidP="00C71DA3">
            <w:pPr>
              <w:pStyle w:val="Paragraphedeliste"/>
            </w:pPr>
          </w:p>
          <w:p w:rsidR="00C71DA3" w:rsidRDefault="00C71DA3" w:rsidP="00C71DA3">
            <w:pPr>
              <w:pStyle w:val="Paragraphedeliste"/>
              <w:numPr>
                <w:ilvl w:val="0"/>
                <w:numId w:val="3"/>
              </w:numPr>
              <w:jc w:val="both"/>
            </w:pPr>
            <w:r>
              <w:t>Etablir les procédures et les processus clairs de prise en charge des personnes âgées.</w:t>
            </w:r>
          </w:p>
          <w:p w:rsidR="00C71DA3" w:rsidRDefault="00C71DA3" w:rsidP="00C71DA3">
            <w:pPr>
              <w:pStyle w:val="Paragraphedeliste"/>
            </w:pPr>
          </w:p>
          <w:p w:rsidR="00C71DA3" w:rsidRDefault="00C71DA3" w:rsidP="00C71DA3">
            <w:pPr>
              <w:pStyle w:val="Paragraphedeliste"/>
              <w:numPr>
                <w:ilvl w:val="0"/>
                <w:numId w:val="3"/>
              </w:numPr>
              <w:jc w:val="both"/>
            </w:pPr>
            <w:r w:rsidRPr="00C71DA3">
              <w:rPr>
                <w:sz w:val="20"/>
                <w:szCs w:val="20"/>
              </w:rPr>
              <w:t xml:space="preserve">Mettre en place le Panier </w:t>
            </w:r>
            <w:r w:rsidRPr="00C71DA3">
              <w:rPr>
                <w:sz w:val="20"/>
                <w:szCs w:val="20"/>
              </w:rPr>
              <w:lastRenderedPageBreak/>
              <w:t>Minimum</w:t>
            </w:r>
            <w:r>
              <w:t xml:space="preserve"> vieillesse</w:t>
            </w:r>
          </w:p>
        </w:tc>
        <w:tc>
          <w:tcPr>
            <w:tcW w:w="2725" w:type="dxa"/>
          </w:tcPr>
          <w:p w:rsidR="003622D2" w:rsidRDefault="00C71DA3" w:rsidP="00C71DA3">
            <w:pPr>
              <w:pStyle w:val="Paragraphedeliste"/>
              <w:numPr>
                <w:ilvl w:val="0"/>
                <w:numId w:val="3"/>
              </w:numPr>
              <w:jc w:val="both"/>
            </w:pPr>
            <w:r>
              <w:lastRenderedPageBreak/>
              <w:t>Créer une prise en charge spécifique des personnes âgées.</w:t>
            </w:r>
          </w:p>
          <w:p w:rsidR="00C71DA3" w:rsidRDefault="00C71DA3" w:rsidP="00C71DA3">
            <w:pPr>
              <w:pStyle w:val="Paragraphedeliste"/>
              <w:jc w:val="both"/>
            </w:pPr>
          </w:p>
          <w:p w:rsidR="00C71DA3" w:rsidRDefault="00C71DA3" w:rsidP="00C71DA3">
            <w:pPr>
              <w:pStyle w:val="Paragraphedeliste"/>
              <w:numPr>
                <w:ilvl w:val="0"/>
                <w:numId w:val="3"/>
              </w:numPr>
              <w:jc w:val="both"/>
            </w:pPr>
            <w:r>
              <w:t>Equiper et renforcer le matériel dans les maisons d’accueils existants.</w:t>
            </w:r>
          </w:p>
          <w:p w:rsidR="00C71DA3" w:rsidRDefault="00C71DA3" w:rsidP="00C71DA3">
            <w:pPr>
              <w:jc w:val="both"/>
            </w:pPr>
          </w:p>
          <w:p w:rsidR="00C71DA3" w:rsidRDefault="00C71DA3" w:rsidP="00C71DA3">
            <w:pPr>
              <w:pStyle w:val="Paragraphedeliste"/>
              <w:numPr>
                <w:ilvl w:val="0"/>
                <w:numId w:val="3"/>
              </w:numPr>
              <w:jc w:val="both"/>
            </w:pPr>
            <w:r>
              <w:t>Renforcer les capacités d’accueil dans les structures de prise e charge des personnes âgées.</w:t>
            </w:r>
          </w:p>
          <w:p w:rsidR="00C71DA3" w:rsidRDefault="00C71DA3" w:rsidP="00C71DA3">
            <w:pPr>
              <w:pStyle w:val="Paragraphedeliste"/>
            </w:pPr>
          </w:p>
          <w:p w:rsidR="00C71DA3" w:rsidRDefault="00C71DA3" w:rsidP="00C71DA3">
            <w:pPr>
              <w:pStyle w:val="Paragraphedeliste"/>
              <w:numPr>
                <w:ilvl w:val="0"/>
                <w:numId w:val="3"/>
              </w:numPr>
              <w:jc w:val="both"/>
            </w:pPr>
            <w:r>
              <w:t xml:space="preserve">Formaliser et agréer les structures privées de prise en charge des personnes </w:t>
            </w:r>
            <w:r>
              <w:lastRenderedPageBreak/>
              <w:t>âgées.</w:t>
            </w:r>
          </w:p>
          <w:p w:rsidR="00C71DA3" w:rsidRDefault="00C71DA3" w:rsidP="00C71DA3">
            <w:pPr>
              <w:pStyle w:val="Paragraphedeliste"/>
            </w:pPr>
          </w:p>
          <w:p w:rsidR="00C71DA3" w:rsidRDefault="00C71DA3" w:rsidP="00C71DA3">
            <w:pPr>
              <w:pStyle w:val="Paragraphedeliste"/>
              <w:numPr>
                <w:ilvl w:val="0"/>
                <w:numId w:val="3"/>
              </w:numPr>
              <w:jc w:val="both"/>
            </w:pPr>
            <w:r>
              <w:t>Elaborer une loi répressive aux familles qui abandonnent les personnes âgées.</w:t>
            </w:r>
          </w:p>
        </w:tc>
      </w:tr>
      <w:tr w:rsidR="003622D2" w:rsidTr="00C71DA3">
        <w:tc>
          <w:tcPr>
            <w:tcW w:w="3545" w:type="dxa"/>
          </w:tcPr>
          <w:p w:rsidR="003622D2" w:rsidRPr="009D2C56" w:rsidRDefault="00C71DA3" w:rsidP="001E7623">
            <w:pPr>
              <w:jc w:val="both"/>
              <w:rPr>
                <w:b/>
              </w:rPr>
            </w:pPr>
            <w:r w:rsidRPr="009D2C56">
              <w:rPr>
                <w:b/>
              </w:rPr>
              <w:lastRenderedPageBreak/>
              <w:t xml:space="preserve">L’arrêté </w:t>
            </w:r>
          </w:p>
          <w:p w:rsidR="00C71DA3" w:rsidRDefault="00C71DA3" w:rsidP="001E7623">
            <w:pPr>
              <w:jc w:val="both"/>
            </w:pPr>
            <w:r w:rsidRPr="009D2C56">
              <w:rPr>
                <w:b/>
              </w:rPr>
              <w:t xml:space="preserve">00021/MTEPS/MSHP/du 12 décembre 2008 </w:t>
            </w:r>
            <w:r>
              <w:t>portant le régime Obligatoire d’Assurance Maladie et Garantie Sociale.</w:t>
            </w:r>
          </w:p>
          <w:p w:rsidR="00C71DA3" w:rsidRDefault="00C71DA3" w:rsidP="001E7623">
            <w:pPr>
              <w:jc w:val="both"/>
            </w:pPr>
            <w:r>
              <w:t>Pas de point spécifique sur la prise en charge des maladies liées au vieillissement.</w:t>
            </w:r>
          </w:p>
          <w:p w:rsidR="00466ED9" w:rsidRDefault="00466ED9" w:rsidP="001E7623">
            <w:pPr>
              <w:jc w:val="both"/>
            </w:pPr>
          </w:p>
        </w:tc>
        <w:tc>
          <w:tcPr>
            <w:tcW w:w="3118" w:type="dxa"/>
          </w:tcPr>
          <w:p w:rsidR="003622D2" w:rsidRDefault="003622D2" w:rsidP="001E7623">
            <w:pPr>
              <w:jc w:val="both"/>
            </w:pPr>
          </w:p>
        </w:tc>
        <w:tc>
          <w:tcPr>
            <w:tcW w:w="2725" w:type="dxa"/>
          </w:tcPr>
          <w:p w:rsidR="003622D2" w:rsidRDefault="003622D2" w:rsidP="001E7623">
            <w:pPr>
              <w:jc w:val="both"/>
            </w:pPr>
          </w:p>
        </w:tc>
      </w:tr>
      <w:tr w:rsidR="003622D2" w:rsidTr="00C71DA3">
        <w:tc>
          <w:tcPr>
            <w:tcW w:w="3545" w:type="dxa"/>
          </w:tcPr>
          <w:p w:rsidR="00466ED9" w:rsidRDefault="00466ED9" w:rsidP="001E7623">
            <w:pPr>
              <w:jc w:val="both"/>
            </w:pPr>
          </w:p>
          <w:p w:rsidR="003622D2" w:rsidRDefault="00466ED9" w:rsidP="001E7623">
            <w:pPr>
              <w:jc w:val="both"/>
            </w:pPr>
            <w:r w:rsidRPr="009D2C56">
              <w:rPr>
                <w:b/>
              </w:rPr>
              <w:t>La loi n°675 du 25 novembre 1975</w:t>
            </w:r>
            <w:r>
              <w:t xml:space="preserve"> portant le code de la Sécurité Sociales en son </w:t>
            </w:r>
            <w:r w:rsidRPr="009D2C56">
              <w:rPr>
                <w:b/>
              </w:rPr>
              <w:t>article 74</w:t>
            </w:r>
            <w:r>
              <w:t xml:space="preserve"> parle des pensions allocution de vieillesse, des pensions d’invalidités et des pensions et allocations de survivants.</w:t>
            </w:r>
          </w:p>
          <w:p w:rsidR="00466ED9" w:rsidRDefault="00466ED9" w:rsidP="001E7623">
            <w:pPr>
              <w:jc w:val="both"/>
            </w:pPr>
            <w:r w:rsidRPr="009D2C56">
              <w:rPr>
                <w:b/>
              </w:rPr>
              <w:t>Article 75</w:t>
            </w:r>
            <w:r>
              <w:t> :</w:t>
            </w:r>
          </w:p>
          <w:p w:rsidR="00466ED9" w:rsidRPr="009D2C56" w:rsidRDefault="00466ED9" w:rsidP="00466ED9">
            <w:pPr>
              <w:pStyle w:val="Paragraphedeliste"/>
              <w:numPr>
                <w:ilvl w:val="0"/>
                <w:numId w:val="4"/>
              </w:numPr>
              <w:jc w:val="both"/>
              <w:rPr>
                <w:b/>
              </w:rPr>
            </w:pPr>
            <w:r>
              <w:t xml:space="preserve">Avoir été immatriculé à la caisse depuis au moins </w:t>
            </w:r>
            <w:r w:rsidRPr="009D2C56">
              <w:rPr>
                <w:b/>
              </w:rPr>
              <w:t>20 ans.</w:t>
            </w:r>
          </w:p>
          <w:p w:rsidR="00466ED9" w:rsidRDefault="00466ED9" w:rsidP="00466ED9">
            <w:pPr>
              <w:pStyle w:val="Paragraphedeliste"/>
              <w:numPr>
                <w:ilvl w:val="0"/>
                <w:numId w:val="4"/>
              </w:numPr>
              <w:jc w:val="both"/>
            </w:pPr>
            <w:r>
              <w:t xml:space="preserve">Avoir accomplir au moins </w:t>
            </w:r>
            <w:r w:rsidRPr="009D2C56">
              <w:rPr>
                <w:b/>
              </w:rPr>
              <w:t>120 mois</w:t>
            </w:r>
            <w:r>
              <w:t xml:space="preserve"> d’assurance au cours des vingt dernières années précédant la date d’admission à la pension.</w:t>
            </w:r>
          </w:p>
          <w:p w:rsidR="00466ED9" w:rsidRDefault="00466ED9" w:rsidP="00466ED9">
            <w:pPr>
              <w:pStyle w:val="Paragraphedeliste"/>
              <w:numPr>
                <w:ilvl w:val="0"/>
                <w:numId w:val="4"/>
              </w:numPr>
              <w:jc w:val="both"/>
            </w:pPr>
            <w:r>
              <w:t>Après avoir cessé toute activité salariée.</w:t>
            </w:r>
          </w:p>
          <w:p w:rsidR="00466ED9" w:rsidRDefault="00466ED9" w:rsidP="00466ED9">
            <w:pPr>
              <w:pStyle w:val="Paragraphedeliste"/>
              <w:jc w:val="both"/>
            </w:pPr>
          </w:p>
        </w:tc>
        <w:tc>
          <w:tcPr>
            <w:tcW w:w="3118" w:type="dxa"/>
          </w:tcPr>
          <w:p w:rsidR="003622D2" w:rsidRDefault="003622D2" w:rsidP="001E7623">
            <w:pPr>
              <w:jc w:val="both"/>
            </w:pPr>
          </w:p>
        </w:tc>
        <w:tc>
          <w:tcPr>
            <w:tcW w:w="2725" w:type="dxa"/>
          </w:tcPr>
          <w:p w:rsidR="003622D2" w:rsidRDefault="003622D2" w:rsidP="001E7623">
            <w:pPr>
              <w:jc w:val="both"/>
            </w:pPr>
          </w:p>
        </w:tc>
      </w:tr>
      <w:tr w:rsidR="003622D2" w:rsidTr="00C71DA3">
        <w:tc>
          <w:tcPr>
            <w:tcW w:w="3545" w:type="dxa"/>
          </w:tcPr>
          <w:p w:rsidR="003622D2" w:rsidRDefault="003622D2" w:rsidP="001E7623">
            <w:pPr>
              <w:jc w:val="both"/>
            </w:pPr>
          </w:p>
          <w:p w:rsidR="00466ED9" w:rsidRDefault="00466ED9" w:rsidP="001E7623">
            <w:pPr>
              <w:jc w:val="both"/>
            </w:pPr>
            <w:r w:rsidRPr="009D2C56">
              <w:rPr>
                <w:b/>
              </w:rPr>
              <w:t>Le service de Gériatrie de l’hôpital provincial de Melen de (Libreville</w:t>
            </w:r>
            <w:r>
              <w:t>) hébergé des personnes âgées abandonnées par leurs familles.</w:t>
            </w:r>
          </w:p>
          <w:p w:rsidR="00466ED9" w:rsidRDefault="00466ED9" w:rsidP="001E7623">
            <w:pPr>
              <w:jc w:val="both"/>
            </w:pPr>
          </w:p>
        </w:tc>
        <w:tc>
          <w:tcPr>
            <w:tcW w:w="3118" w:type="dxa"/>
          </w:tcPr>
          <w:p w:rsidR="003622D2" w:rsidRDefault="003622D2" w:rsidP="001E7623">
            <w:pPr>
              <w:jc w:val="both"/>
            </w:pPr>
          </w:p>
        </w:tc>
        <w:tc>
          <w:tcPr>
            <w:tcW w:w="2725" w:type="dxa"/>
          </w:tcPr>
          <w:p w:rsidR="003622D2" w:rsidRDefault="003622D2" w:rsidP="001E7623">
            <w:pPr>
              <w:jc w:val="both"/>
            </w:pPr>
          </w:p>
        </w:tc>
      </w:tr>
      <w:tr w:rsidR="003622D2" w:rsidTr="00C71DA3">
        <w:tc>
          <w:tcPr>
            <w:tcW w:w="3545" w:type="dxa"/>
          </w:tcPr>
          <w:p w:rsidR="003622D2" w:rsidRDefault="003622D2" w:rsidP="001E7623">
            <w:pPr>
              <w:jc w:val="both"/>
            </w:pPr>
          </w:p>
          <w:p w:rsidR="00466ED9" w:rsidRDefault="00466ED9" w:rsidP="001E7623">
            <w:pPr>
              <w:jc w:val="both"/>
            </w:pPr>
            <w:r w:rsidRPr="009D2C56">
              <w:rPr>
                <w:b/>
              </w:rPr>
              <w:t>La Fraternité Saint Jean (Libreville</w:t>
            </w:r>
            <w:r>
              <w:t>) accueille des personnes âgées économiquement faibles, abandonnés par leurs grâce aux dons. (Structure privée encadré par l’Etat).</w:t>
            </w:r>
          </w:p>
          <w:p w:rsidR="00466ED9" w:rsidRDefault="00466ED9" w:rsidP="001E7623">
            <w:pPr>
              <w:jc w:val="both"/>
            </w:pPr>
          </w:p>
        </w:tc>
        <w:tc>
          <w:tcPr>
            <w:tcW w:w="3118" w:type="dxa"/>
          </w:tcPr>
          <w:p w:rsidR="003622D2" w:rsidRDefault="003622D2" w:rsidP="001E7623">
            <w:pPr>
              <w:jc w:val="both"/>
            </w:pPr>
          </w:p>
        </w:tc>
        <w:tc>
          <w:tcPr>
            <w:tcW w:w="2725" w:type="dxa"/>
          </w:tcPr>
          <w:p w:rsidR="003622D2" w:rsidRDefault="003622D2" w:rsidP="001E7623">
            <w:pPr>
              <w:jc w:val="both"/>
            </w:pPr>
          </w:p>
        </w:tc>
      </w:tr>
      <w:tr w:rsidR="003622D2" w:rsidTr="00C71DA3">
        <w:tc>
          <w:tcPr>
            <w:tcW w:w="3545" w:type="dxa"/>
          </w:tcPr>
          <w:p w:rsidR="003622D2" w:rsidRDefault="003622D2" w:rsidP="001E7623">
            <w:pPr>
              <w:jc w:val="both"/>
            </w:pPr>
          </w:p>
          <w:p w:rsidR="00466ED9" w:rsidRDefault="00466ED9" w:rsidP="001E7623">
            <w:pPr>
              <w:jc w:val="both"/>
            </w:pPr>
            <w:r>
              <w:t>Le village lumière proche de l’hôpital d’</w:t>
            </w:r>
            <w:proofErr w:type="spellStart"/>
            <w:r>
              <w:t>Ebeigne</w:t>
            </w:r>
            <w:proofErr w:type="spellEnd"/>
            <w:r>
              <w:t xml:space="preserve"> qui héberge</w:t>
            </w:r>
          </w:p>
        </w:tc>
        <w:tc>
          <w:tcPr>
            <w:tcW w:w="3118" w:type="dxa"/>
          </w:tcPr>
          <w:p w:rsidR="003622D2" w:rsidRDefault="003622D2" w:rsidP="001E7623">
            <w:pPr>
              <w:jc w:val="both"/>
            </w:pPr>
          </w:p>
        </w:tc>
        <w:tc>
          <w:tcPr>
            <w:tcW w:w="2725" w:type="dxa"/>
          </w:tcPr>
          <w:p w:rsidR="003622D2" w:rsidRDefault="003622D2" w:rsidP="001E7623">
            <w:pPr>
              <w:jc w:val="both"/>
            </w:pPr>
          </w:p>
        </w:tc>
      </w:tr>
    </w:tbl>
    <w:p w:rsidR="003622D2" w:rsidRDefault="003622D2" w:rsidP="001E7623">
      <w:pPr>
        <w:jc w:val="both"/>
      </w:pPr>
    </w:p>
    <w:p w:rsidR="000836C4" w:rsidRDefault="000836C4" w:rsidP="001E7623">
      <w:pPr>
        <w:jc w:val="both"/>
      </w:pPr>
    </w:p>
    <w:p w:rsidR="000836C4" w:rsidRDefault="000836C4" w:rsidP="001E7623">
      <w:pPr>
        <w:jc w:val="both"/>
      </w:pPr>
    </w:p>
    <w:p w:rsidR="000836C4" w:rsidRDefault="000836C4" w:rsidP="001E7623">
      <w:pPr>
        <w:jc w:val="both"/>
      </w:pPr>
    </w:p>
    <w:p w:rsidR="000836C4" w:rsidRDefault="000836C4" w:rsidP="000836C4">
      <w:pPr>
        <w:spacing w:after="0"/>
        <w:jc w:val="both"/>
      </w:pPr>
      <w:r>
        <w:t xml:space="preserve">Les personnes âgées ayant souffert </w:t>
      </w:r>
    </w:p>
    <w:p w:rsidR="000836C4" w:rsidRDefault="000836C4" w:rsidP="000836C4">
      <w:pPr>
        <w:spacing w:after="0"/>
        <w:jc w:val="both"/>
      </w:pPr>
      <w:proofErr w:type="gramStart"/>
      <w:r>
        <w:t>de</w:t>
      </w:r>
      <w:proofErr w:type="gramEnd"/>
      <w:r>
        <w:t xml:space="preserve"> Lèpre et permet à ces derniers</w:t>
      </w:r>
    </w:p>
    <w:p w:rsidR="000836C4" w:rsidRDefault="000836C4" w:rsidP="000836C4">
      <w:pPr>
        <w:spacing w:after="0"/>
        <w:jc w:val="both"/>
      </w:pPr>
      <w:proofErr w:type="gramStart"/>
      <w:r>
        <w:t>de</w:t>
      </w:r>
      <w:proofErr w:type="gramEnd"/>
      <w:r>
        <w:t xml:space="preserve"> se prendre en charge par le biais </w:t>
      </w:r>
    </w:p>
    <w:p w:rsidR="000836C4" w:rsidRDefault="000836C4" w:rsidP="000836C4">
      <w:pPr>
        <w:spacing w:after="0"/>
        <w:jc w:val="both"/>
      </w:pPr>
      <w:proofErr w:type="gramStart"/>
      <w:r>
        <w:t>des</w:t>
      </w:r>
      <w:proofErr w:type="gramEnd"/>
      <w:r>
        <w:t xml:space="preserve"> activités génératrices de revenus.</w:t>
      </w:r>
    </w:p>
    <w:p w:rsidR="000836C4" w:rsidRDefault="000836C4" w:rsidP="000836C4">
      <w:pPr>
        <w:spacing w:after="0"/>
        <w:jc w:val="both"/>
      </w:pPr>
    </w:p>
    <w:p w:rsidR="000836C4" w:rsidRDefault="000836C4" w:rsidP="000836C4">
      <w:pPr>
        <w:spacing w:after="0"/>
        <w:jc w:val="both"/>
      </w:pPr>
      <w:r>
        <w:t>S’agissant de la seconde question évoquée, nous pouvons dire que notre pays le Gabon n’a pas une prohibition explicite de discrimination fondée sur l’âge dans la Constitution</w:t>
      </w:r>
      <w:r w:rsidR="00894E2D">
        <w:t xml:space="preserve">. Aussi, cette même Constitution consacre l’égalité des droits à tous les citoyens en référence au titre préliminaire et des droits fondamentaux en ses articles 8,9, 18, et 20. Je cite de manière respective </w:t>
      </w:r>
      <w:proofErr w:type="gramStart"/>
      <w:r w:rsidR="00894E2D">
        <w:t>la</w:t>
      </w:r>
      <w:proofErr w:type="gramEnd"/>
      <w:r w:rsidR="00894E2D">
        <w:t xml:space="preserve"> caractère inébranlable de ses dispositions.</w:t>
      </w:r>
    </w:p>
    <w:p w:rsidR="00894E2D" w:rsidRDefault="00894E2D" w:rsidP="000836C4">
      <w:pPr>
        <w:spacing w:after="0"/>
        <w:jc w:val="both"/>
      </w:pPr>
    </w:p>
    <w:p w:rsidR="00894E2D" w:rsidRDefault="00894E2D" w:rsidP="000836C4">
      <w:pPr>
        <w:spacing w:after="0"/>
        <w:jc w:val="both"/>
      </w:pPr>
      <w:r>
        <w:t>« L’Etat, selon ses possibilités, garantit à tous, notamment à l’enfant, à la mère, aux handicapés, aux vieux travailleurs âgées, la protection de la santé, la sécurité sociale, un environnement naturel préservé, le repos et les loisirs ».</w:t>
      </w:r>
    </w:p>
    <w:p w:rsidR="00894E2D" w:rsidRDefault="00894E2D" w:rsidP="000836C4">
      <w:pPr>
        <w:spacing w:after="0"/>
        <w:jc w:val="both"/>
      </w:pPr>
    </w:p>
    <w:p w:rsidR="00894E2D" w:rsidRDefault="00894E2D" w:rsidP="000836C4">
      <w:pPr>
        <w:spacing w:after="0"/>
        <w:jc w:val="both"/>
      </w:pPr>
      <w:r>
        <w:t>« Tout citoyen gabonais séjournant ou résidant à l’étranger bénéficie de la protection et de l’assistance de l’Etat, dans les conditions fixées par les lois nationales ou les accords internationaux ».</w:t>
      </w:r>
    </w:p>
    <w:p w:rsidR="00894E2D" w:rsidRDefault="00894E2D" w:rsidP="000836C4">
      <w:pPr>
        <w:spacing w:after="0"/>
        <w:jc w:val="both"/>
      </w:pPr>
    </w:p>
    <w:p w:rsidR="00894E2D" w:rsidRDefault="00894E2D" w:rsidP="000836C4">
      <w:pPr>
        <w:spacing w:after="0"/>
        <w:jc w:val="both"/>
      </w:pPr>
      <w:r>
        <w:t>« L’Etat garantit l’égal accès de l’enfant et de l’adulte à l’instruction, à la formation professionnelle et à la culture ; comme la nation gabonaise proclame la solidarité et l’égalité de tous devant les charges publiques, chacun doit participer, en proportion de ses ressources, au financement des dépenses publiques ».</w:t>
      </w:r>
    </w:p>
    <w:p w:rsidR="00894E2D" w:rsidRDefault="00894E2D" w:rsidP="000836C4">
      <w:pPr>
        <w:spacing w:after="0"/>
        <w:jc w:val="both"/>
      </w:pPr>
    </w:p>
    <w:p w:rsidR="00894E2D" w:rsidRDefault="00894E2D" w:rsidP="000836C4">
      <w:pPr>
        <w:spacing w:after="0"/>
        <w:jc w:val="both"/>
      </w:pPr>
      <w:r>
        <w:t>« La nation proclame en outre la solidarité de tous devant les charges qui résultent des calamités naturelles et nationales ».</w:t>
      </w:r>
    </w:p>
    <w:p w:rsidR="00894E2D" w:rsidRDefault="00894E2D" w:rsidP="000836C4">
      <w:pPr>
        <w:spacing w:after="0"/>
        <w:jc w:val="both"/>
      </w:pPr>
    </w:p>
    <w:p w:rsidR="00894E2D" w:rsidRDefault="00894E2D" w:rsidP="000836C4">
      <w:pPr>
        <w:spacing w:after="0"/>
        <w:jc w:val="both"/>
      </w:pPr>
      <w:r>
        <w:t>Entre autre, les questions liées aux problèmes de santé des personnes du troisième âge viennent d’être</w:t>
      </w:r>
      <w:r w:rsidR="00AF77ED">
        <w:t xml:space="preserve"> prises en compte par la mise en place de la CNAMGS, la structure de Gér</w:t>
      </w:r>
      <w:r w:rsidR="008B6FD3">
        <w:t>iatrie Gérontologie de Melen, (Ministère de la Santé) seule structure étatique reçoit et structure, sa difficulté concerne la capacité d’accueil qui est de quarante (40) lits pour tout le pays, il faut noter que le personnel formé pour cette matière est insuffisant parce que la discipline est mal connue. L’Etat ne commence à prendre conscience de la problématique de la vieillesse et ses difficultés du fait de la prolifération de cette population cible dans les rues de grande agglomération, dont, le délitement familial est certainement l’une des causes.</w:t>
      </w:r>
    </w:p>
    <w:p w:rsidR="006717CE" w:rsidRDefault="006717CE" w:rsidP="000836C4">
      <w:pPr>
        <w:spacing w:after="0"/>
        <w:jc w:val="both"/>
      </w:pPr>
    </w:p>
    <w:p w:rsidR="006717CE" w:rsidRDefault="006717CE" w:rsidP="000836C4">
      <w:pPr>
        <w:spacing w:after="0"/>
        <w:jc w:val="both"/>
      </w:pPr>
      <w:r>
        <w:t xml:space="preserve">Au niveau de l’administration centrale, le chevauchement des missions dans ce domaine entre la Direction Générale de la Famille et celle des Affaires Sociales a accentué le fossé dans la prise en charge sociale, mais aussi et surtout à poser </w:t>
      </w:r>
      <w:proofErr w:type="gramStart"/>
      <w:r>
        <w:t>la</w:t>
      </w:r>
      <w:proofErr w:type="gramEnd"/>
      <w:r>
        <w:t xml:space="preserve"> diagnostic devant permettre d’élaborer et mettre en place la politique nationale</w:t>
      </w:r>
      <w:r w:rsidR="009C25B6">
        <w:t>.</w:t>
      </w:r>
    </w:p>
    <w:p w:rsidR="009C25B6" w:rsidRDefault="009C25B6" w:rsidP="000836C4">
      <w:pPr>
        <w:spacing w:after="0"/>
        <w:jc w:val="both"/>
      </w:pPr>
    </w:p>
    <w:p w:rsidR="009C25B6" w:rsidRDefault="009C25B6" w:rsidP="000836C4">
      <w:pPr>
        <w:spacing w:after="0"/>
        <w:jc w:val="both"/>
      </w:pPr>
      <w:r>
        <w:t xml:space="preserve">Cette politique qui sera centrée sur les besoins de la personne âgées, sa promotion, et la protection de ses droits qui ont été reléguées au second plan. Les personnes âgées bénéficiant de retraite donc salariés ou fonctionnaires jouissent d’une protection sociale, dans les conditions et formes de tous les citoyens sans dispositions spécifiques au regard des complications liées à leur âge. </w:t>
      </w:r>
    </w:p>
    <w:p w:rsidR="00894E2D" w:rsidRDefault="00894E2D" w:rsidP="000836C4">
      <w:pPr>
        <w:spacing w:after="0"/>
        <w:jc w:val="both"/>
      </w:pPr>
    </w:p>
    <w:sectPr w:rsidR="00894E2D" w:rsidSect="00C71DA3">
      <w:footerReference w:type="default" r:id="rId9"/>
      <w:pgSz w:w="11906" w:h="16838"/>
      <w:pgMar w:top="851"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B46" w:rsidRDefault="00E57B46" w:rsidP="00E57B46">
      <w:pPr>
        <w:spacing w:after="0" w:line="240" w:lineRule="auto"/>
      </w:pPr>
      <w:r>
        <w:separator/>
      </w:r>
    </w:p>
  </w:endnote>
  <w:endnote w:type="continuationSeparator" w:id="1">
    <w:p w:rsidR="00E57B46" w:rsidRDefault="00E57B46" w:rsidP="00E57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3573"/>
      <w:docPartObj>
        <w:docPartGallery w:val="Page Numbers (Bottom of Page)"/>
        <w:docPartUnique/>
      </w:docPartObj>
    </w:sdtPr>
    <w:sdtContent>
      <w:p w:rsidR="00E57B46" w:rsidRDefault="00E57B4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E57B46" w:rsidRDefault="00E57B46">
                    <w:pPr>
                      <w:jc w:val="center"/>
                    </w:pPr>
                    <w:fldSimple w:instr=" PAGE    \* MERGEFORMAT ">
                      <w:r w:rsidRPr="00E57B46">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B46" w:rsidRDefault="00E57B46" w:rsidP="00E57B46">
      <w:pPr>
        <w:spacing w:after="0" w:line="240" w:lineRule="auto"/>
      </w:pPr>
      <w:r>
        <w:separator/>
      </w:r>
    </w:p>
  </w:footnote>
  <w:footnote w:type="continuationSeparator" w:id="1">
    <w:p w:rsidR="00E57B46" w:rsidRDefault="00E57B46" w:rsidP="00E57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4670"/>
    <w:multiLevelType w:val="hybridMultilevel"/>
    <w:tmpl w:val="1F8EC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E70BCD"/>
    <w:multiLevelType w:val="hybridMultilevel"/>
    <w:tmpl w:val="6D6E8A92"/>
    <w:lvl w:ilvl="0" w:tplc="3EC805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D72879"/>
    <w:multiLevelType w:val="hybridMultilevel"/>
    <w:tmpl w:val="9CC494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F12ADF"/>
    <w:multiLevelType w:val="hybridMultilevel"/>
    <w:tmpl w:val="7340DBBC"/>
    <w:lvl w:ilvl="0" w:tplc="3EC8058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1E7623"/>
    <w:rsid w:val="000836C4"/>
    <w:rsid w:val="001E7623"/>
    <w:rsid w:val="00281B9B"/>
    <w:rsid w:val="003622D2"/>
    <w:rsid w:val="00466ED9"/>
    <w:rsid w:val="006717CE"/>
    <w:rsid w:val="00894E2D"/>
    <w:rsid w:val="008B6FD3"/>
    <w:rsid w:val="009C25B6"/>
    <w:rsid w:val="009D2C56"/>
    <w:rsid w:val="009E4045"/>
    <w:rsid w:val="00AF77ED"/>
    <w:rsid w:val="00C71DA3"/>
    <w:rsid w:val="00E57B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1E7623"/>
    <w:pPr>
      <w:widowControl w:val="0"/>
      <w:autoSpaceDE w:val="0"/>
      <w:autoSpaceDN w:val="0"/>
      <w:adjustRightInd w:val="0"/>
      <w:spacing w:after="0" w:line="240" w:lineRule="auto"/>
    </w:pPr>
    <w:rPr>
      <w:rFonts w:ascii="Arial" w:hAnsi="Arial" w:cs="Arial"/>
      <w:sz w:val="24"/>
      <w:szCs w:val="24"/>
    </w:rPr>
  </w:style>
  <w:style w:type="paragraph" w:styleId="Textedebulles">
    <w:name w:val="Balloon Text"/>
    <w:basedOn w:val="Normal"/>
    <w:link w:val="TextedebullesCar"/>
    <w:uiPriority w:val="99"/>
    <w:semiHidden/>
    <w:unhideWhenUsed/>
    <w:rsid w:val="001E7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623"/>
    <w:rPr>
      <w:rFonts w:ascii="Tahoma" w:hAnsi="Tahoma" w:cs="Tahoma"/>
      <w:sz w:val="16"/>
      <w:szCs w:val="16"/>
    </w:rPr>
  </w:style>
  <w:style w:type="paragraph" w:styleId="Paragraphedeliste">
    <w:name w:val="List Paragraph"/>
    <w:basedOn w:val="Normal"/>
    <w:uiPriority w:val="34"/>
    <w:qFormat/>
    <w:rsid w:val="001E7623"/>
    <w:pPr>
      <w:ind w:left="720"/>
      <w:contextualSpacing/>
    </w:pPr>
  </w:style>
  <w:style w:type="table" w:styleId="Grilledutableau">
    <w:name w:val="Table Grid"/>
    <w:basedOn w:val="TableauNormal"/>
    <w:uiPriority w:val="59"/>
    <w:rsid w:val="003622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57B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7B46"/>
  </w:style>
  <w:style w:type="paragraph" w:styleId="Pieddepage">
    <w:name w:val="footer"/>
    <w:basedOn w:val="Normal"/>
    <w:link w:val="PieddepageCar"/>
    <w:uiPriority w:val="99"/>
    <w:semiHidden/>
    <w:unhideWhenUsed/>
    <w:rsid w:val="00E57B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7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CD5FF-863D-45A2-993D-4E055B730E7B}"/>
</file>

<file path=customXml/itemProps2.xml><?xml version="1.0" encoding="utf-8"?>
<ds:datastoreItem xmlns:ds="http://schemas.openxmlformats.org/officeDocument/2006/customXml" ds:itemID="{F0153436-15D1-465F-B77B-CE0819F4A043}"/>
</file>

<file path=customXml/itemProps3.xml><?xml version="1.0" encoding="utf-8"?>
<ds:datastoreItem xmlns:ds="http://schemas.openxmlformats.org/officeDocument/2006/customXml" ds:itemID="{1A56F2BC-0B13-48EF-8EC3-7386A86C3E67}"/>
</file>

<file path=docProps/app.xml><?xml version="1.0" encoding="utf-8"?>
<Properties xmlns="http://schemas.openxmlformats.org/officeDocument/2006/extended-properties" xmlns:vt="http://schemas.openxmlformats.org/officeDocument/2006/docPropsVTypes">
  <Template>Normal</Template>
  <TotalTime>4</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xxx</cp:lastModifiedBy>
  <cp:revision>2</cp:revision>
  <cp:lastPrinted>2013-03-07T14:03:00Z</cp:lastPrinted>
  <dcterms:created xsi:type="dcterms:W3CDTF">2013-03-07T14:07:00Z</dcterms:created>
  <dcterms:modified xsi:type="dcterms:W3CDTF">2013-03-07T14:07:00Z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