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F8C44" w14:textId="77777777" w:rsidR="00357815" w:rsidRDefault="00357815" w:rsidP="00357815">
      <w:pPr>
        <w:autoSpaceDE w:val="0"/>
        <w:autoSpaceDN w:val="0"/>
        <w:adjustRightInd w:val="0"/>
        <w:rPr>
          <w:rFonts w:ascii="HelveticaNeueLTStd-LtCn" w:hAnsi="HelveticaNeueLTStd-LtCn" w:cs="HelveticaNeueLTStd-LtCn"/>
        </w:rPr>
      </w:pPr>
    </w:p>
    <w:p w14:paraId="36A4EBA3" w14:textId="35D1E149" w:rsidR="00357815" w:rsidRPr="0000687F" w:rsidRDefault="00564199" w:rsidP="00357815">
      <w:pPr>
        <w:autoSpaceDE w:val="0"/>
        <w:autoSpaceDN w:val="0"/>
        <w:adjustRightInd w:val="0"/>
        <w:jc w:val="center"/>
        <w:rPr>
          <w:rFonts w:ascii="HelveticaNeueLTStd-LtCn" w:hAnsi="HelveticaNeueLTStd-LtCn" w:cs="HelveticaNeueLTStd-LtCn"/>
          <w:b/>
          <w:sz w:val="28"/>
          <w:szCs w:val="28"/>
        </w:rPr>
      </w:pPr>
      <w:r>
        <w:rPr>
          <w:rFonts w:ascii="HelveticaNeueLTStd-LtCn" w:hAnsi="HelveticaNeueLTStd-LtCn" w:cs="HelveticaNeueLTStd-LtCn"/>
          <w:b/>
          <w:sz w:val="28"/>
          <w:szCs w:val="28"/>
        </w:rPr>
        <w:t>A</w:t>
      </w:r>
      <w:r w:rsidR="00357815" w:rsidRPr="0000687F">
        <w:rPr>
          <w:rFonts w:ascii="HelveticaNeueLTStd-LtCn" w:hAnsi="HelveticaNeueLTStd-LtCn" w:cs="HelveticaNeueLTStd-LtCn"/>
          <w:b/>
          <w:sz w:val="28"/>
          <w:szCs w:val="28"/>
        </w:rPr>
        <w:t xml:space="preserve">ge discrimination </w:t>
      </w:r>
      <w:r>
        <w:rPr>
          <w:rFonts w:ascii="HelveticaNeueLTStd-LtCn" w:hAnsi="HelveticaNeueLTStd-LtCn" w:cs="HelveticaNeueLTStd-LtCn"/>
          <w:b/>
          <w:sz w:val="28"/>
          <w:szCs w:val="28"/>
        </w:rPr>
        <w:t>and</w:t>
      </w:r>
      <w:r w:rsidR="00357815" w:rsidRPr="0000687F">
        <w:rPr>
          <w:rFonts w:ascii="HelveticaNeueLTStd-LtCn" w:hAnsi="HelveticaNeueLTStd-LtCn" w:cs="HelveticaNeueLTStd-LtCn"/>
          <w:b/>
          <w:sz w:val="28"/>
          <w:szCs w:val="28"/>
        </w:rPr>
        <w:t xml:space="preserve"> </w:t>
      </w:r>
      <w:r>
        <w:rPr>
          <w:rFonts w:ascii="HelveticaNeueLTStd-LtCn" w:hAnsi="HelveticaNeueLTStd-LtCn" w:cs="HelveticaNeueLTStd-LtCn"/>
          <w:b/>
          <w:sz w:val="28"/>
          <w:szCs w:val="28"/>
        </w:rPr>
        <w:t>private sector</w:t>
      </w:r>
    </w:p>
    <w:p w14:paraId="6FF0AB5F" w14:textId="77777777" w:rsidR="00357815" w:rsidRDefault="00357815" w:rsidP="00357815">
      <w:pPr>
        <w:autoSpaceDE w:val="0"/>
        <w:autoSpaceDN w:val="0"/>
        <w:adjustRightInd w:val="0"/>
        <w:jc w:val="both"/>
        <w:rPr>
          <w:rFonts w:ascii="HelveticaNeueLTStd-LtCn" w:hAnsi="HelveticaNeueLTStd-LtCn" w:cs="HelveticaNeueLTStd-LtCn"/>
          <w:sz w:val="28"/>
          <w:szCs w:val="28"/>
        </w:rPr>
      </w:pPr>
    </w:p>
    <w:p w14:paraId="7EEB4F92" w14:textId="77777777" w:rsidR="00357815" w:rsidRPr="0000687F" w:rsidRDefault="00357815" w:rsidP="00357815">
      <w:pPr>
        <w:autoSpaceDE w:val="0"/>
        <w:autoSpaceDN w:val="0"/>
        <w:adjustRightInd w:val="0"/>
        <w:jc w:val="both"/>
        <w:rPr>
          <w:rFonts w:ascii="Times New Roman" w:hAnsi="Times New Roman" w:cs="Times New Roman"/>
          <w:b/>
          <w:color w:val="283237"/>
          <w:sz w:val="26"/>
          <w:szCs w:val="26"/>
        </w:rPr>
      </w:pPr>
      <w:r w:rsidRPr="0000687F">
        <w:rPr>
          <w:rFonts w:ascii="Times New Roman" w:hAnsi="Times New Roman" w:cs="Times New Roman"/>
          <w:b/>
          <w:color w:val="283237"/>
          <w:sz w:val="26"/>
          <w:szCs w:val="26"/>
        </w:rPr>
        <w:t>Background</w:t>
      </w:r>
    </w:p>
    <w:p w14:paraId="2458A22E" w14:textId="77777777" w:rsidR="00357815" w:rsidRPr="0000687F" w:rsidRDefault="00357815" w:rsidP="00357815">
      <w:pPr>
        <w:autoSpaceDE w:val="0"/>
        <w:autoSpaceDN w:val="0"/>
        <w:adjustRightInd w:val="0"/>
        <w:jc w:val="both"/>
        <w:rPr>
          <w:rFonts w:ascii="Times New Roman" w:hAnsi="Times New Roman" w:cs="Times New Roman"/>
          <w:b/>
          <w:color w:val="283237"/>
        </w:rPr>
      </w:pPr>
    </w:p>
    <w:p w14:paraId="77528836" w14:textId="77777777" w:rsidR="00357815" w:rsidRPr="0000687F" w:rsidRDefault="00357815" w:rsidP="00357815">
      <w:pPr>
        <w:autoSpaceDE w:val="0"/>
        <w:autoSpaceDN w:val="0"/>
        <w:adjustRightInd w:val="0"/>
        <w:ind w:firstLine="720"/>
        <w:jc w:val="both"/>
        <w:rPr>
          <w:rFonts w:ascii="Times New Roman" w:hAnsi="Times New Roman" w:cs="Times New Roman"/>
          <w:color w:val="283237"/>
        </w:rPr>
      </w:pPr>
      <w:r w:rsidRPr="0000687F">
        <w:rPr>
          <w:rFonts w:ascii="Times New Roman" w:hAnsi="Times New Roman" w:cs="Times New Roman"/>
          <w:color w:val="283237"/>
        </w:rPr>
        <w:t>Age discrimination is a key impediment for the enjoyment by older persons of their rights. This concerns in particular travel insurance, complementary health insurance, mortgages and loans and needs to be addressed by industry and banks.</w:t>
      </w:r>
    </w:p>
    <w:p w14:paraId="59DF58BD" w14:textId="77777777" w:rsidR="00564199" w:rsidRDefault="00564199" w:rsidP="00357815">
      <w:pPr>
        <w:autoSpaceDE w:val="0"/>
        <w:autoSpaceDN w:val="0"/>
        <w:adjustRightInd w:val="0"/>
        <w:jc w:val="both"/>
        <w:rPr>
          <w:rFonts w:ascii="Times New Roman" w:hAnsi="Times New Roman" w:cs="Times New Roman"/>
          <w:color w:val="283237"/>
        </w:rPr>
      </w:pPr>
    </w:p>
    <w:p w14:paraId="34408717" w14:textId="77777777" w:rsidR="00357815" w:rsidRPr="0000687F" w:rsidRDefault="00357815" w:rsidP="00564199">
      <w:pPr>
        <w:autoSpaceDE w:val="0"/>
        <w:autoSpaceDN w:val="0"/>
        <w:adjustRightInd w:val="0"/>
        <w:ind w:firstLine="720"/>
        <w:jc w:val="both"/>
        <w:rPr>
          <w:rFonts w:ascii="Times New Roman" w:hAnsi="Times New Roman" w:cs="Times New Roman"/>
          <w:color w:val="283237"/>
        </w:rPr>
      </w:pPr>
      <w:r w:rsidRPr="0000687F">
        <w:rPr>
          <w:rFonts w:ascii="Times New Roman" w:hAnsi="Times New Roman" w:cs="Times New Roman"/>
          <w:color w:val="283237"/>
        </w:rPr>
        <w:t>Upper age limits or denial of products or services, on account of a persons’ age, including for some essential financial products is a direct form of discrimination on the ground of age. Moreover, indirect discriminatory conditions such as sharp and disproportionate increases in premiums for people above a certain age, downgraded access to alternative products, reduced coverage, etc</w:t>
      </w:r>
      <w:r>
        <w:rPr>
          <w:rFonts w:ascii="Times New Roman" w:hAnsi="Times New Roman" w:cs="Times New Roman"/>
          <w:color w:val="283237"/>
        </w:rPr>
        <w:t>.</w:t>
      </w:r>
      <w:r w:rsidRPr="0000687F">
        <w:rPr>
          <w:rFonts w:ascii="Times New Roman" w:hAnsi="Times New Roman" w:cs="Times New Roman"/>
          <w:color w:val="283237"/>
        </w:rPr>
        <w:t xml:space="preserve"> have a negative impact on older persons</w:t>
      </w:r>
      <w:r>
        <w:rPr>
          <w:rFonts w:ascii="Times New Roman" w:hAnsi="Times New Roman" w:cs="Times New Roman"/>
          <w:color w:val="283237"/>
        </w:rPr>
        <w:t>’</w:t>
      </w:r>
      <w:r w:rsidRPr="0000687F">
        <w:rPr>
          <w:rFonts w:ascii="Times New Roman" w:hAnsi="Times New Roman" w:cs="Times New Roman"/>
          <w:color w:val="283237"/>
        </w:rPr>
        <w:t xml:space="preserve"> access to basic services.</w:t>
      </w:r>
    </w:p>
    <w:p w14:paraId="2A8B406B" w14:textId="77777777" w:rsidR="00357815" w:rsidRPr="0000687F" w:rsidRDefault="00357815" w:rsidP="00357815">
      <w:pPr>
        <w:autoSpaceDE w:val="0"/>
        <w:autoSpaceDN w:val="0"/>
        <w:adjustRightInd w:val="0"/>
        <w:rPr>
          <w:rFonts w:ascii="Times New Roman" w:hAnsi="Times New Roman" w:cs="Times New Roman"/>
          <w:color w:val="283237"/>
        </w:rPr>
      </w:pPr>
    </w:p>
    <w:p w14:paraId="3B331227" w14:textId="77777777" w:rsidR="00357815" w:rsidRPr="0000687F" w:rsidRDefault="00357815" w:rsidP="00357815">
      <w:pPr>
        <w:autoSpaceDE w:val="0"/>
        <w:autoSpaceDN w:val="0"/>
        <w:adjustRightInd w:val="0"/>
        <w:ind w:firstLine="720"/>
        <w:jc w:val="both"/>
        <w:rPr>
          <w:rFonts w:ascii="Times New Roman" w:hAnsi="Times New Roman" w:cs="Times New Roman"/>
          <w:color w:val="283237"/>
        </w:rPr>
      </w:pPr>
      <w:r w:rsidRPr="0000687F">
        <w:rPr>
          <w:rFonts w:ascii="Times New Roman" w:hAnsi="Times New Roman" w:cs="Times New Roman"/>
          <w:color w:val="283237"/>
        </w:rPr>
        <w:t>Some insurance companies deny access or charge excessive premiums to older persons wishing to buy travel insurance to travel. Insurers claim that older persons are at a higher risk of needing emergency medical treatment when travelling abroad compared to younger age groups. There are examples, where savings made by not undertaking individual risk assessments made it possible for the insurance company to offer one single cheap flat rate to all, regardless of their age or health condition.</w:t>
      </w:r>
    </w:p>
    <w:p w14:paraId="314C2E5F" w14:textId="77777777" w:rsidR="00357815" w:rsidRPr="0000687F" w:rsidRDefault="00357815" w:rsidP="00357815">
      <w:pPr>
        <w:autoSpaceDE w:val="0"/>
        <w:autoSpaceDN w:val="0"/>
        <w:adjustRightInd w:val="0"/>
        <w:jc w:val="both"/>
        <w:rPr>
          <w:rFonts w:ascii="Times New Roman" w:hAnsi="Times New Roman" w:cs="Times New Roman"/>
          <w:color w:val="283237"/>
        </w:rPr>
      </w:pPr>
    </w:p>
    <w:p w14:paraId="529BC1EF" w14:textId="77777777" w:rsidR="00357815" w:rsidRPr="0000687F" w:rsidRDefault="00357815" w:rsidP="00357815">
      <w:pPr>
        <w:autoSpaceDE w:val="0"/>
        <w:autoSpaceDN w:val="0"/>
        <w:adjustRightInd w:val="0"/>
        <w:ind w:firstLine="720"/>
        <w:jc w:val="both"/>
        <w:rPr>
          <w:rFonts w:ascii="Times New Roman" w:hAnsi="Times New Roman" w:cs="Times New Roman"/>
          <w:color w:val="283237"/>
        </w:rPr>
      </w:pPr>
      <w:r w:rsidRPr="0000687F">
        <w:rPr>
          <w:rFonts w:ascii="Times New Roman" w:hAnsi="Times New Roman" w:cs="Times New Roman"/>
          <w:color w:val="283237"/>
        </w:rPr>
        <w:t xml:space="preserve">Upper age limits, downgraded products and prohibitive premiums also constitute barriers preventing older persons from accessing quality and affordable healthcare. With new models to finance health care systems, some States are transferring part of their services or responsibilities to the private sector. Complementary health insurance is gradually becoming an essential component for affordable </w:t>
      </w:r>
      <w:proofErr w:type="spellStart"/>
      <w:r w:rsidRPr="0000687F">
        <w:rPr>
          <w:rFonts w:ascii="Times New Roman" w:hAnsi="Times New Roman" w:cs="Times New Roman"/>
          <w:color w:val="283237"/>
        </w:rPr>
        <w:t>hospitalisation</w:t>
      </w:r>
      <w:proofErr w:type="spellEnd"/>
      <w:r w:rsidRPr="0000687F">
        <w:rPr>
          <w:rFonts w:ascii="Times New Roman" w:hAnsi="Times New Roman" w:cs="Times New Roman"/>
          <w:color w:val="283237"/>
        </w:rPr>
        <w:t xml:space="preserve"> and medical care. This implies that the holding of a complementary health insurance is becoming indispensable for older persons to complement the basic care covered by the public system. Age limits to join such schemes deny older persons an adequate level of health care. Given the ageing of populations, this means that a growing proportion of persons will be ineligible for any but the most perfunctory level of healthcare. </w:t>
      </w:r>
    </w:p>
    <w:p w14:paraId="3C6BDC58" w14:textId="77777777" w:rsidR="00357815" w:rsidRPr="0000687F" w:rsidRDefault="00357815" w:rsidP="00357815">
      <w:pPr>
        <w:autoSpaceDE w:val="0"/>
        <w:autoSpaceDN w:val="0"/>
        <w:adjustRightInd w:val="0"/>
        <w:rPr>
          <w:rFonts w:ascii="Calibri" w:hAnsi="Calibri" w:cs="Calibri"/>
        </w:rPr>
      </w:pPr>
    </w:p>
    <w:p w14:paraId="10F0F2BD" w14:textId="77777777" w:rsidR="00357815" w:rsidRPr="0000687F" w:rsidRDefault="00357815" w:rsidP="00357815">
      <w:pPr>
        <w:autoSpaceDE w:val="0"/>
        <w:autoSpaceDN w:val="0"/>
        <w:adjustRightInd w:val="0"/>
        <w:ind w:firstLine="720"/>
        <w:jc w:val="both"/>
        <w:rPr>
          <w:rFonts w:ascii="Times New Roman" w:hAnsi="Times New Roman" w:cs="Times New Roman"/>
          <w:color w:val="283237"/>
        </w:rPr>
      </w:pPr>
      <w:r w:rsidRPr="0000687F">
        <w:rPr>
          <w:rFonts w:ascii="Times New Roman" w:hAnsi="Times New Roman" w:cs="Times New Roman"/>
          <w:color w:val="283237"/>
        </w:rPr>
        <w:t xml:space="preserve">In most countries, banks impose age limits to access loans. These </w:t>
      </w:r>
      <w:r>
        <w:rPr>
          <w:rFonts w:ascii="Times New Roman" w:hAnsi="Times New Roman" w:cs="Times New Roman"/>
          <w:color w:val="283237"/>
        </w:rPr>
        <w:t xml:space="preserve">are usually set at the </w:t>
      </w:r>
      <w:r w:rsidRPr="0000687F">
        <w:rPr>
          <w:rFonts w:ascii="Times New Roman" w:hAnsi="Times New Roman" w:cs="Times New Roman"/>
          <w:color w:val="283237"/>
        </w:rPr>
        <w:t>official retirement age. This approach is also used by many re</w:t>
      </w:r>
      <w:r>
        <w:rPr>
          <w:rFonts w:ascii="Times New Roman" w:hAnsi="Times New Roman" w:cs="Times New Roman"/>
          <w:color w:val="283237"/>
        </w:rPr>
        <w:t xml:space="preserve">tailers who offer customers the </w:t>
      </w:r>
      <w:r w:rsidRPr="0000687F">
        <w:rPr>
          <w:rFonts w:ascii="Times New Roman" w:hAnsi="Times New Roman" w:cs="Times New Roman"/>
          <w:color w:val="283237"/>
        </w:rPr>
        <w:t xml:space="preserve">possibility to buy and pay </w:t>
      </w:r>
      <w:r>
        <w:rPr>
          <w:rFonts w:ascii="Times New Roman" w:hAnsi="Times New Roman" w:cs="Times New Roman"/>
          <w:color w:val="283237"/>
        </w:rPr>
        <w:t>for goods and services by insta</w:t>
      </w:r>
      <w:r w:rsidRPr="0000687F">
        <w:rPr>
          <w:rFonts w:ascii="Times New Roman" w:hAnsi="Times New Roman" w:cs="Times New Roman"/>
          <w:color w:val="283237"/>
        </w:rPr>
        <w:t>lments. Such age limits make it</w:t>
      </w:r>
      <w:r>
        <w:rPr>
          <w:rFonts w:ascii="Times New Roman" w:hAnsi="Times New Roman" w:cs="Times New Roman"/>
          <w:color w:val="283237"/>
        </w:rPr>
        <w:t xml:space="preserve"> </w:t>
      </w:r>
      <w:r w:rsidRPr="0000687F">
        <w:rPr>
          <w:rFonts w:ascii="Times New Roman" w:hAnsi="Times New Roman" w:cs="Times New Roman"/>
          <w:color w:val="283237"/>
        </w:rPr>
        <w:t>impossible for older persons to buy a house or even household appliances on credit. This applies also to “bridge loans" that persons might need for example to move from their house or apartment to a smaller more accessible apartment when growing old and wishing to adapt to their new needs. Inevitably, refusing access to credit solely based on the age of the person, means that solvent customers risk to be excluded from access to loans and mortgages, having a huge impact not only on their lives but also on the market in general.</w:t>
      </w:r>
    </w:p>
    <w:p w14:paraId="069CFD2D" w14:textId="77777777" w:rsidR="00357815" w:rsidRDefault="00357815" w:rsidP="00357815">
      <w:pPr>
        <w:spacing w:after="160" w:line="259" w:lineRule="auto"/>
        <w:rPr>
          <w:rFonts w:ascii="Calibri" w:hAnsi="Calibri" w:cs="Calibri"/>
          <w:color w:val="000000"/>
        </w:rPr>
      </w:pPr>
      <w:r>
        <w:rPr>
          <w:rFonts w:ascii="Calibri" w:hAnsi="Calibri" w:cs="Calibri"/>
          <w:color w:val="000000"/>
        </w:rPr>
        <w:br w:type="page"/>
      </w:r>
    </w:p>
    <w:p w14:paraId="4FA969E2" w14:textId="3EAD2D98" w:rsidR="00357815" w:rsidRPr="009553F3" w:rsidRDefault="00357815" w:rsidP="00357815">
      <w:pPr>
        <w:autoSpaceDE w:val="0"/>
        <w:autoSpaceDN w:val="0"/>
        <w:adjustRightInd w:val="0"/>
        <w:jc w:val="both"/>
        <w:rPr>
          <w:rFonts w:ascii="Times New Roman" w:hAnsi="Times New Roman" w:cs="Times New Roman"/>
          <w:b/>
          <w:color w:val="283237"/>
          <w:sz w:val="26"/>
          <w:szCs w:val="26"/>
        </w:rPr>
      </w:pPr>
      <w:r w:rsidRPr="009553F3">
        <w:rPr>
          <w:rFonts w:ascii="Times New Roman" w:hAnsi="Times New Roman" w:cs="Times New Roman"/>
          <w:b/>
          <w:color w:val="283237"/>
          <w:sz w:val="26"/>
          <w:szCs w:val="26"/>
        </w:rPr>
        <w:lastRenderedPageBreak/>
        <w:t xml:space="preserve">Standard set of </w:t>
      </w:r>
      <w:r>
        <w:rPr>
          <w:rFonts w:ascii="Times New Roman" w:hAnsi="Times New Roman" w:cs="Times New Roman"/>
          <w:b/>
          <w:color w:val="283237"/>
          <w:sz w:val="26"/>
          <w:szCs w:val="26"/>
        </w:rPr>
        <w:t>private sector tenets</w:t>
      </w:r>
      <w:r w:rsidRPr="009553F3">
        <w:rPr>
          <w:rFonts w:ascii="Times New Roman" w:hAnsi="Times New Roman" w:cs="Times New Roman"/>
          <w:b/>
          <w:color w:val="283237"/>
          <w:sz w:val="26"/>
          <w:szCs w:val="26"/>
        </w:rPr>
        <w:t xml:space="preserve"> </w:t>
      </w:r>
    </w:p>
    <w:p w14:paraId="314FE855" w14:textId="77777777" w:rsidR="00357815" w:rsidRDefault="00357815" w:rsidP="00357815">
      <w:pPr>
        <w:autoSpaceDE w:val="0"/>
        <w:autoSpaceDN w:val="0"/>
        <w:adjustRightInd w:val="0"/>
        <w:jc w:val="both"/>
        <w:rPr>
          <w:rFonts w:ascii="Times New Roman" w:hAnsi="Times New Roman" w:cs="Times New Roman"/>
          <w:b/>
          <w:color w:val="283237"/>
          <w:highlight w:val="yellow"/>
        </w:rPr>
      </w:pPr>
    </w:p>
    <w:p w14:paraId="0D4B7322" w14:textId="0AE84633" w:rsidR="00357815" w:rsidRDefault="00357815" w:rsidP="00357815">
      <w:pPr>
        <w:autoSpaceDE w:val="0"/>
        <w:autoSpaceDN w:val="0"/>
        <w:adjustRightInd w:val="0"/>
        <w:ind w:firstLine="720"/>
        <w:jc w:val="both"/>
        <w:rPr>
          <w:rFonts w:ascii="Times New Roman" w:hAnsi="Times New Roman" w:cs="Times New Roman"/>
          <w:color w:val="283237"/>
        </w:rPr>
      </w:pPr>
      <w:r>
        <w:rPr>
          <w:rFonts w:ascii="Times New Roman" w:hAnsi="Times New Roman" w:cs="Times New Roman"/>
          <w:color w:val="283237"/>
        </w:rPr>
        <w:t xml:space="preserve">In the absence of a dedicated international instruments on the rights of older persons, the Independent Expert on the enjoyment of all human rights by older persons, is referring to the Guiding Principles on Business and Human Rights. </w:t>
      </w:r>
    </w:p>
    <w:p w14:paraId="228C868B" w14:textId="77777777" w:rsidR="00357815" w:rsidRDefault="00357815" w:rsidP="00357815">
      <w:pPr>
        <w:autoSpaceDE w:val="0"/>
        <w:autoSpaceDN w:val="0"/>
        <w:adjustRightInd w:val="0"/>
        <w:ind w:firstLine="720"/>
        <w:jc w:val="both"/>
        <w:rPr>
          <w:rFonts w:ascii="Times New Roman" w:hAnsi="Times New Roman" w:cs="Times New Roman"/>
          <w:color w:val="283237"/>
        </w:rPr>
      </w:pPr>
    </w:p>
    <w:p w14:paraId="041235E7" w14:textId="77777777" w:rsidR="00357815" w:rsidRDefault="00357815" w:rsidP="00357815">
      <w:pPr>
        <w:autoSpaceDE w:val="0"/>
        <w:autoSpaceDN w:val="0"/>
        <w:adjustRightInd w:val="0"/>
        <w:ind w:firstLine="720"/>
        <w:jc w:val="both"/>
        <w:rPr>
          <w:rFonts w:ascii="Times New Roman" w:hAnsi="Times New Roman" w:cs="Times New Roman"/>
          <w:color w:val="283237"/>
        </w:rPr>
      </w:pPr>
      <w:r>
        <w:rPr>
          <w:rFonts w:ascii="Times New Roman" w:hAnsi="Times New Roman" w:cs="Times New Roman"/>
          <w:color w:val="283237"/>
        </w:rPr>
        <w:t>In June 2011, the</w:t>
      </w:r>
      <w:r w:rsidRPr="009553F3">
        <w:rPr>
          <w:rFonts w:ascii="Times New Roman" w:hAnsi="Times New Roman" w:cs="Times New Roman"/>
          <w:color w:val="283237"/>
        </w:rPr>
        <w:t xml:space="preserve"> Human Rights Council endorsed the Guiding Principles on Business and Human Rights</w:t>
      </w:r>
      <w:r>
        <w:rPr>
          <w:rFonts w:ascii="Times New Roman" w:hAnsi="Times New Roman" w:cs="Times New Roman"/>
          <w:color w:val="283237"/>
        </w:rPr>
        <w:t xml:space="preserve">, </w:t>
      </w:r>
      <w:r w:rsidRPr="009553F3">
        <w:rPr>
          <w:rFonts w:ascii="Times New Roman" w:hAnsi="Times New Roman" w:cs="Times New Roman"/>
          <w:color w:val="283237"/>
        </w:rPr>
        <w:t>in its resolution 17/</w:t>
      </w:r>
      <w:proofErr w:type="gramStart"/>
      <w:r w:rsidRPr="009553F3">
        <w:rPr>
          <w:rFonts w:ascii="Times New Roman" w:hAnsi="Times New Roman" w:cs="Times New Roman"/>
          <w:color w:val="283237"/>
        </w:rPr>
        <w:t>4</w:t>
      </w:r>
      <w:r>
        <w:rPr>
          <w:rFonts w:ascii="Times New Roman" w:hAnsi="Times New Roman" w:cs="Times New Roman"/>
          <w:color w:val="283237"/>
        </w:rPr>
        <w:t>, that</w:t>
      </w:r>
      <w:proofErr w:type="gramEnd"/>
      <w:r>
        <w:rPr>
          <w:rFonts w:ascii="Times New Roman" w:hAnsi="Times New Roman" w:cs="Times New Roman"/>
          <w:color w:val="283237"/>
        </w:rPr>
        <w:t xml:space="preserve"> were developed </w:t>
      </w:r>
      <w:r w:rsidRPr="009553F3">
        <w:rPr>
          <w:rFonts w:ascii="Times New Roman" w:hAnsi="Times New Roman" w:cs="Times New Roman"/>
          <w:color w:val="283237"/>
        </w:rPr>
        <w:t>by the Special Representative of the</w:t>
      </w:r>
      <w:r>
        <w:rPr>
          <w:rFonts w:ascii="Times New Roman" w:hAnsi="Times New Roman" w:cs="Times New Roman"/>
          <w:color w:val="283237"/>
        </w:rPr>
        <w:t xml:space="preserve"> Secretary-General on the issue </w:t>
      </w:r>
      <w:r w:rsidRPr="009553F3">
        <w:rPr>
          <w:rFonts w:ascii="Times New Roman" w:hAnsi="Times New Roman" w:cs="Times New Roman"/>
          <w:color w:val="283237"/>
        </w:rPr>
        <w:t xml:space="preserve">of human rights and transnational corporations and other </w:t>
      </w:r>
      <w:bookmarkStart w:id="0" w:name="_GoBack"/>
      <w:r w:rsidRPr="009553F3">
        <w:rPr>
          <w:rFonts w:ascii="Times New Roman" w:hAnsi="Times New Roman" w:cs="Times New Roman"/>
          <w:color w:val="283237"/>
        </w:rPr>
        <w:t>business</w:t>
      </w:r>
      <w:bookmarkEnd w:id="0"/>
      <w:r w:rsidRPr="009553F3">
        <w:rPr>
          <w:rFonts w:ascii="Times New Roman" w:hAnsi="Times New Roman" w:cs="Times New Roman"/>
          <w:color w:val="283237"/>
        </w:rPr>
        <w:t xml:space="preserve"> enterprises</w:t>
      </w:r>
      <w:r>
        <w:rPr>
          <w:rFonts w:ascii="Times New Roman" w:hAnsi="Times New Roman" w:cs="Times New Roman"/>
          <w:color w:val="283237"/>
        </w:rPr>
        <w:t>. The</w:t>
      </w:r>
      <w:r w:rsidRPr="003F2A68">
        <w:rPr>
          <w:rFonts w:ascii="Times New Roman" w:hAnsi="Times New Roman" w:cs="Times New Roman"/>
          <w:color w:val="283237"/>
        </w:rPr>
        <w:t xml:space="preserve"> Guiding Principles</w:t>
      </w:r>
      <w:r>
        <w:rPr>
          <w:rFonts w:ascii="Times New Roman" w:hAnsi="Times New Roman" w:cs="Times New Roman"/>
          <w:color w:val="283237"/>
        </w:rPr>
        <w:t xml:space="preserve"> are grounded in recognition of t</w:t>
      </w:r>
      <w:r w:rsidRPr="003F2A68">
        <w:rPr>
          <w:rFonts w:ascii="Times New Roman" w:hAnsi="Times New Roman" w:cs="Times New Roman"/>
          <w:color w:val="283237"/>
        </w:rPr>
        <w:t>he role of business enterprises as specialized organs of society performing</w:t>
      </w:r>
      <w:r>
        <w:rPr>
          <w:rFonts w:ascii="Times New Roman" w:hAnsi="Times New Roman" w:cs="Times New Roman"/>
          <w:color w:val="283237"/>
        </w:rPr>
        <w:t xml:space="preserve"> </w:t>
      </w:r>
      <w:r w:rsidRPr="003F2A68">
        <w:rPr>
          <w:rFonts w:ascii="Times New Roman" w:hAnsi="Times New Roman" w:cs="Times New Roman"/>
          <w:color w:val="283237"/>
        </w:rPr>
        <w:t xml:space="preserve">specialized functions, required to comply </w:t>
      </w:r>
      <w:r>
        <w:rPr>
          <w:rFonts w:ascii="Times New Roman" w:hAnsi="Times New Roman" w:cs="Times New Roman"/>
          <w:color w:val="283237"/>
        </w:rPr>
        <w:t xml:space="preserve">with all applicable laws and to respect human rights. They </w:t>
      </w:r>
      <w:r w:rsidRPr="003F2A68">
        <w:rPr>
          <w:rFonts w:ascii="Times New Roman" w:hAnsi="Times New Roman" w:cs="Times New Roman"/>
          <w:color w:val="283237"/>
        </w:rPr>
        <w:t>apply to all States and to all business enterprises, both</w:t>
      </w:r>
      <w:r>
        <w:rPr>
          <w:rFonts w:ascii="Times New Roman" w:hAnsi="Times New Roman" w:cs="Times New Roman"/>
          <w:color w:val="283237"/>
        </w:rPr>
        <w:t xml:space="preserve"> </w:t>
      </w:r>
      <w:r w:rsidRPr="003F2A68">
        <w:rPr>
          <w:rFonts w:ascii="Times New Roman" w:hAnsi="Times New Roman" w:cs="Times New Roman"/>
          <w:color w:val="283237"/>
        </w:rPr>
        <w:t xml:space="preserve">transnational and others, regardless of their size, </w:t>
      </w:r>
      <w:r>
        <w:rPr>
          <w:rFonts w:ascii="Times New Roman" w:hAnsi="Times New Roman" w:cs="Times New Roman"/>
          <w:color w:val="283237"/>
        </w:rPr>
        <w:t xml:space="preserve">sector, location, ownership and </w:t>
      </w:r>
      <w:r w:rsidRPr="003F2A68">
        <w:rPr>
          <w:rFonts w:ascii="Times New Roman" w:hAnsi="Times New Roman" w:cs="Times New Roman"/>
          <w:color w:val="283237"/>
        </w:rPr>
        <w:t>structure.</w:t>
      </w:r>
    </w:p>
    <w:p w14:paraId="49AA8342" w14:textId="77777777" w:rsidR="00357815" w:rsidRDefault="00357815" w:rsidP="00357815">
      <w:pPr>
        <w:autoSpaceDE w:val="0"/>
        <w:autoSpaceDN w:val="0"/>
        <w:adjustRightInd w:val="0"/>
        <w:ind w:firstLine="720"/>
        <w:jc w:val="both"/>
        <w:rPr>
          <w:rFonts w:ascii="Times New Roman" w:hAnsi="Times New Roman" w:cs="Times New Roman"/>
          <w:color w:val="283237"/>
        </w:rPr>
      </w:pPr>
    </w:p>
    <w:p w14:paraId="2D7A587D" w14:textId="19EB499B" w:rsidR="00357815" w:rsidRDefault="00357815" w:rsidP="00357815">
      <w:pPr>
        <w:autoSpaceDE w:val="0"/>
        <w:autoSpaceDN w:val="0"/>
        <w:adjustRightInd w:val="0"/>
        <w:ind w:firstLine="720"/>
        <w:jc w:val="both"/>
        <w:rPr>
          <w:rFonts w:ascii="Times New Roman" w:hAnsi="Times New Roman" w:cs="Times New Roman"/>
          <w:color w:val="283237"/>
        </w:rPr>
      </w:pPr>
      <w:r>
        <w:rPr>
          <w:rFonts w:ascii="Times New Roman" w:hAnsi="Times New Roman" w:cs="Times New Roman"/>
          <w:color w:val="283237"/>
        </w:rPr>
        <w:t>The below standard set of recommendations have been developed by the Independent Expert in examining specific aspects of the rights protection of older persons, for instance i</w:t>
      </w:r>
      <w:r w:rsidR="00142868">
        <w:rPr>
          <w:rFonts w:ascii="Times New Roman" w:hAnsi="Times New Roman" w:cs="Times New Roman"/>
          <w:color w:val="283237"/>
        </w:rPr>
        <w:t>n the area of autonomy and care, and drawing</w:t>
      </w:r>
      <w:r>
        <w:rPr>
          <w:rFonts w:ascii="Times New Roman" w:hAnsi="Times New Roman" w:cs="Times New Roman"/>
          <w:color w:val="283237"/>
        </w:rPr>
        <w:t xml:space="preserve"> on her findings during her </w:t>
      </w:r>
      <w:r w:rsidR="00142868">
        <w:rPr>
          <w:rFonts w:ascii="Times New Roman" w:hAnsi="Times New Roman" w:cs="Times New Roman"/>
          <w:color w:val="283237"/>
        </w:rPr>
        <w:t>country visit</w:t>
      </w:r>
      <w:r>
        <w:rPr>
          <w:rFonts w:ascii="Times New Roman" w:hAnsi="Times New Roman" w:cs="Times New Roman"/>
          <w:color w:val="283237"/>
        </w:rPr>
        <w:t>s.</w:t>
      </w:r>
    </w:p>
    <w:p w14:paraId="49A18143" w14:textId="77777777" w:rsidR="00357815" w:rsidRDefault="00357815" w:rsidP="00357815">
      <w:pPr>
        <w:autoSpaceDE w:val="0"/>
        <w:autoSpaceDN w:val="0"/>
        <w:adjustRightInd w:val="0"/>
        <w:ind w:firstLine="720"/>
        <w:jc w:val="both"/>
        <w:rPr>
          <w:rFonts w:ascii="Times New Roman" w:hAnsi="Times New Roman" w:cs="Times New Roman"/>
          <w:color w:val="283237"/>
        </w:rPr>
      </w:pPr>
    </w:p>
    <w:p w14:paraId="53E8B69D" w14:textId="77777777" w:rsidR="00357815" w:rsidRDefault="00357815" w:rsidP="00357815">
      <w:pPr>
        <w:pStyle w:val="ListParagraph"/>
        <w:numPr>
          <w:ilvl w:val="0"/>
          <w:numId w:val="13"/>
        </w:numPr>
        <w:autoSpaceDE w:val="0"/>
        <w:autoSpaceDN w:val="0"/>
        <w:adjustRightInd w:val="0"/>
        <w:jc w:val="both"/>
        <w:rPr>
          <w:rFonts w:ascii="Times New Roman" w:hAnsi="Times New Roman" w:cs="Times New Roman"/>
          <w:color w:val="283237"/>
          <w:sz w:val="24"/>
          <w:szCs w:val="24"/>
        </w:rPr>
      </w:pPr>
      <w:r w:rsidRPr="00F47D2F">
        <w:rPr>
          <w:rFonts w:ascii="Times New Roman" w:hAnsi="Times New Roman" w:cs="Times New Roman"/>
          <w:b/>
          <w:color w:val="283237"/>
          <w:sz w:val="24"/>
          <w:szCs w:val="24"/>
        </w:rPr>
        <w:t>General:</w:t>
      </w:r>
      <w:r>
        <w:rPr>
          <w:rFonts w:ascii="Times New Roman" w:hAnsi="Times New Roman" w:cs="Times New Roman"/>
          <w:color w:val="283237"/>
          <w:sz w:val="24"/>
          <w:szCs w:val="24"/>
        </w:rPr>
        <w:t xml:space="preserve"> On a number of occasions, including in the context of country visits, the</w:t>
      </w:r>
      <w:r w:rsidRPr="00122E77">
        <w:rPr>
          <w:rFonts w:ascii="Times New Roman" w:hAnsi="Times New Roman" w:cs="Times New Roman"/>
          <w:color w:val="283237"/>
          <w:sz w:val="24"/>
          <w:szCs w:val="24"/>
        </w:rPr>
        <w:t xml:space="preserve"> Independent Expert </w:t>
      </w:r>
      <w:r>
        <w:rPr>
          <w:rFonts w:ascii="Times New Roman" w:hAnsi="Times New Roman" w:cs="Times New Roman"/>
          <w:color w:val="283237"/>
          <w:sz w:val="24"/>
          <w:szCs w:val="24"/>
        </w:rPr>
        <w:t>took</w:t>
      </w:r>
      <w:r w:rsidRPr="00122E77">
        <w:rPr>
          <w:rFonts w:ascii="Times New Roman" w:hAnsi="Times New Roman" w:cs="Times New Roman"/>
          <w:color w:val="283237"/>
          <w:sz w:val="24"/>
          <w:szCs w:val="24"/>
        </w:rPr>
        <w:t xml:space="preserve"> the opportunity to remind businesses that they should comply with the Guiding Principles on Business and Human Rights. She also </w:t>
      </w:r>
      <w:r>
        <w:rPr>
          <w:rFonts w:ascii="Times New Roman" w:hAnsi="Times New Roman" w:cs="Times New Roman"/>
          <w:color w:val="283237"/>
          <w:sz w:val="24"/>
          <w:szCs w:val="24"/>
        </w:rPr>
        <w:t>took</w:t>
      </w:r>
      <w:r w:rsidRPr="00122E77">
        <w:rPr>
          <w:rFonts w:ascii="Times New Roman" w:hAnsi="Times New Roman" w:cs="Times New Roman"/>
          <w:color w:val="283237"/>
          <w:sz w:val="24"/>
          <w:szCs w:val="24"/>
        </w:rPr>
        <w:t xml:space="preserve"> the opportunity to draw the attention of the Government to its obligation to ensure respect for, protection of and compliance with human rights in the sphere of business activities by public or private enterprises, and to the need to adopt appropriate legislation and regulations in conjunction with supervisory and investigative mechanisms and mechanisms to ensure accountability, in order to establish and ensure compliance with norms for business activities.</w:t>
      </w:r>
    </w:p>
    <w:p w14:paraId="21B2859F" w14:textId="77777777" w:rsidR="00357815" w:rsidRPr="00122E77" w:rsidRDefault="00357815" w:rsidP="00357815">
      <w:pPr>
        <w:pStyle w:val="ListParagraph"/>
        <w:autoSpaceDE w:val="0"/>
        <w:autoSpaceDN w:val="0"/>
        <w:adjustRightInd w:val="0"/>
        <w:ind w:left="360"/>
        <w:jc w:val="both"/>
        <w:rPr>
          <w:rFonts w:ascii="Times New Roman" w:hAnsi="Times New Roman" w:cs="Times New Roman"/>
          <w:color w:val="283237"/>
          <w:sz w:val="24"/>
          <w:szCs w:val="24"/>
        </w:rPr>
      </w:pPr>
    </w:p>
    <w:p w14:paraId="6086C4E8" w14:textId="2D74AEE0" w:rsidR="00357815" w:rsidRPr="00077218" w:rsidRDefault="00357815" w:rsidP="00077218">
      <w:pPr>
        <w:pStyle w:val="ListParagraph"/>
        <w:numPr>
          <w:ilvl w:val="0"/>
          <w:numId w:val="13"/>
        </w:numPr>
        <w:autoSpaceDE w:val="0"/>
        <w:autoSpaceDN w:val="0"/>
        <w:adjustRightInd w:val="0"/>
        <w:jc w:val="both"/>
        <w:rPr>
          <w:rFonts w:ascii="Times New Roman" w:hAnsi="Times New Roman" w:cs="Times New Roman"/>
          <w:b/>
          <w:color w:val="283237"/>
          <w:sz w:val="24"/>
          <w:szCs w:val="24"/>
        </w:rPr>
      </w:pPr>
      <w:r w:rsidRPr="00FC2F9D">
        <w:rPr>
          <w:rFonts w:ascii="Times New Roman" w:hAnsi="Times New Roman" w:cs="Times New Roman"/>
          <w:b/>
          <w:color w:val="283237"/>
          <w:sz w:val="24"/>
          <w:szCs w:val="24"/>
        </w:rPr>
        <w:t xml:space="preserve">Meaningful engagement with older persons: </w:t>
      </w:r>
      <w:r w:rsidRPr="00711A50">
        <w:rPr>
          <w:rFonts w:ascii="Times New Roman" w:hAnsi="Times New Roman" w:cs="Times New Roman"/>
          <w:color w:val="283237"/>
          <w:sz w:val="24"/>
          <w:szCs w:val="24"/>
        </w:rPr>
        <w:t xml:space="preserve">Principle 18 of the UNGPs focuses on the notion that companies should engage directly with rights holders. </w:t>
      </w:r>
      <w:r w:rsidRPr="00FC2F9D">
        <w:rPr>
          <w:rFonts w:ascii="Times New Roman" w:hAnsi="Times New Roman" w:cs="Times New Roman"/>
          <w:color w:val="283237"/>
          <w:sz w:val="24"/>
          <w:szCs w:val="24"/>
        </w:rPr>
        <w:t>Meaningful engagement with older persons is essential to ensure that a human rights-based approach is embedded in the design of assistive technology. A rights-based design ensures that the technology will not stigmatize older persons and will take account of their diverse needs and preferences, paying due attention to vulnerable groups, including those with high support needs, the cognitively and otherwise impaired, digital immigrants and others.</w:t>
      </w:r>
    </w:p>
    <w:p w14:paraId="2D3CE83A" w14:textId="77777777" w:rsidR="00357815" w:rsidRPr="004957E7" w:rsidRDefault="00357815" w:rsidP="00357815">
      <w:pPr>
        <w:pStyle w:val="ListParagraph"/>
        <w:autoSpaceDE w:val="0"/>
        <w:autoSpaceDN w:val="0"/>
        <w:adjustRightInd w:val="0"/>
        <w:ind w:left="360"/>
        <w:jc w:val="both"/>
        <w:rPr>
          <w:rFonts w:ascii="Times New Roman" w:hAnsi="Times New Roman" w:cs="Times New Roman"/>
          <w:b/>
          <w:color w:val="283237"/>
          <w:sz w:val="24"/>
          <w:szCs w:val="24"/>
        </w:rPr>
      </w:pPr>
    </w:p>
    <w:p w14:paraId="14A5BAC9" w14:textId="658CBD9B" w:rsidR="00357815" w:rsidRPr="000A5EF2" w:rsidRDefault="00357815" w:rsidP="00357815">
      <w:pPr>
        <w:pStyle w:val="ListParagraph"/>
        <w:numPr>
          <w:ilvl w:val="0"/>
          <w:numId w:val="13"/>
        </w:numPr>
        <w:autoSpaceDE w:val="0"/>
        <w:autoSpaceDN w:val="0"/>
        <w:adjustRightInd w:val="0"/>
        <w:jc w:val="both"/>
        <w:rPr>
          <w:rFonts w:ascii="Times New Roman" w:hAnsi="Times New Roman" w:cs="Times New Roman"/>
          <w:b/>
          <w:color w:val="283237"/>
          <w:sz w:val="24"/>
          <w:szCs w:val="24"/>
        </w:rPr>
      </w:pPr>
      <w:r w:rsidRPr="004957E7">
        <w:rPr>
          <w:rFonts w:ascii="Times New Roman" w:hAnsi="Times New Roman" w:cs="Times New Roman"/>
          <w:b/>
          <w:color w:val="283237"/>
          <w:sz w:val="24"/>
          <w:szCs w:val="24"/>
        </w:rPr>
        <w:t>Effective human rights due diligence:</w:t>
      </w:r>
      <w:r w:rsidRPr="004957E7">
        <w:rPr>
          <w:rFonts w:ascii="Times New Roman" w:hAnsi="Times New Roman" w:cs="Times New Roman"/>
          <w:color w:val="283237"/>
          <w:sz w:val="24"/>
          <w:szCs w:val="24"/>
        </w:rPr>
        <w:t xml:space="preserve"> Human rights impact assessments should be undertaken to address human rights concerns and ensure compliance with international standards. Auditing machine decisions and algorithms, and their compliance with human rights standards, is essential in avoiding discriminatory treatment, including through biased algorithms. There is a need to develop concrete guidelines for such human rights impact assessments in consultation with developers and manufactures, but also service providers, procurers and civil society to ensure that a human rights-based approach can be embedded in the design, procurement, supply and implementation of assistive technology.</w:t>
      </w:r>
    </w:p>
    <w:p w14:paraId="34FB6FF6" w14:textId="77777777" w:rsidR="00357815" w:rsidRPr="004957E7" w:rsidRDefault="00357815" w:rsidP="00357815">
      <w:pPr>
        <w:pStyle w:val="ListParagraph"/>
        <w:autoSpaceDE w:val="0"/>
        <w:autoSpaceDN w:val="0"/>
        <w:adjustRightInd w:val="0"/>
        <w:ind w:left="360"/>
        <w:jc w:val="both"/>
        <w:rPr>
          <w:rFonts w:ascii="Times New Roman" w:hAnsi="Times New Roman" w:cs="Times New Roman"/>
          <w:b/>
          <w:color w:val="283237"/>
          <w:sz w:val="24"/>
          <w:szCs w:val="24"/>
        </w:rPr>
      </w:pPr>
    </w:p>
    <w:p w14:paraId="22A9F54F" w14:textId="22D405A3" w:rsidR="00077218" w:rsidRDefault="00357815" w:rsidP="00077218">
      <w:pPr>
        <w:pStyle w:val="ListParagraph"/>
        <w:numPr>
          <w:ilvl w:val="0"/>
          <w:numId w:val="13"/>
        </w:numPr>
        <w:autoSpaceDE w:val="0"/>
        <w:autoSpaceDN w:val="0"/>
        <w:adjustRightInd w:val="0"/>
        <w:jc w:val="both"/>
        <w:rPr>
          <w:rFonts w:ascii="Times New Roman" w:hAnsi="Times New Roman" w:cs="Times New Roman"/>
          <w:color w:val="283237"/>
          <w:sz w:val="24"/>
          <w:szCs w:val="24"/>
        </w:rPr>
      </w:pPr>
      <w:r>
        <w:rPr>
          <w:rFonts w:ascii="Times New Roman" w:hAnsi="Times New Roman" w:cs="Times New Roman"/>
          <w:b/>
          <w:color w:val="283237"/>
          <w:sz w:val="24"/>
          <w:szCs w:val="24"/>
        </w:rPr>
        <w:t>E</w:t>
      </w:r>
      <w:r w:rsidRPr="005D6C5A">
        <w:rPr>
          <w:rFonts w:ascii="Times New Roman" w:hAnsi="Times New Roman" w:cs="Times New Roman"/>
          <w:b/>
          <w:color w:val="283237"/>
          <w:sz w:val="24"/>
          <w:szCs w:val="24"/>
        </w:rPr>
        <w:t>ffective operational-level grievance mechani</w:t>
      </w:r>
      <w:r>
        <w:rPr>
          <w:rFonts w:ascii="Times New Roman" w:hAnsi="Times New Roman" w:cs="Times New Roman"/>
          <w:b/>
          <w:color w:val="283237"/>
          <w:sz w:val="24"/>
          <w:szCs w:val="24"/>
        </w:rPr>
        <w:t xml:space="preserve">sms: </w:t>
      </w:r>
      <w:r w:rsidRPr="00122E77">
        <w:rPr>
          <w:rFonts w:ascii="Times New Roman" w:hAnsi="Times New Roman" w:cs="Times New Roman"/>
          <w:color w:val="283237"/>
          <w:sz w:val="24"/>
          <w:szCs w:val="24"/>
        </w:rPr>
        <w:t xml:space="preserve">Older persons </w:t>
      </w:r>
      <w:r>
        <w:rPr>
          <w:rFonts w:ascii="Times New Roman" w:hAnsi="Times New Roman" w:cs="Times New Roman"/>
          <w:color w:val="283237"/>
          <w:sz w:val="24"/>
          <w:szCs w:val="24"/>
        </w:rPr>
        <w:t xml:space="preserve">must have access to effective remedies. This includes </w:t>
      </w:r>
      <w:r w:rsidRPr="00122E77">
        <w:rPr>
          <w:rFonts w:ascii="Times New Roman" w:hAnsi="Times New Roman" w:cs="Times New Roman"/>
          <w:color w:val="283237"/>
          <w:sz w:val="24"/>
          <w:szCs w:val="24"/>
        </w:rPr>
        <w:t>other non-State-based grievance mechanisms, such as multi-stakeholder or other collaborative initiatives, as important means through which companies can meet their responsibility to respect human rights.</w:t>
      </w:r>
    </w:p>
    <w:p w14:paraId="3AE90818" w14:textId="77777777" w:rsidR="00077218" w:rsidRPr="00077218" w:rsidRDefault="00077218" w:rsidP="00077218">
      <w:pPr>
        <w:autoSpaceDE w:val="0"/>
        <w:autoSpaceDN w:val="0"/>
        <w:adjustRightInd w:val="0"/>
        <w:jc w:val="both"/>
        <w:rPr>
          <w:rFonts w:ascii="Times New Roman" w:hAnsi="Times New Roman" w:cs="Times New Roman"/>
          <w:color w:val="283237"/>
        </w:rPr>
      </w:pPr>
    </w:p>
    <w:p w14:paraId="76632667" w14:textId="56E254A2" w:rsidR="00325826" w:rsidRPr="00077218" w:rsidRDefault="00357815" w:rsidP="00077218">
      <w:pPr>
        <w:autoSpaceDE w:val="0"/>
        <w:autoSpaceDN w:val="0"/>
        <w:adjustRightInd w:val="0"/>
        <w:jc w:val="center"/>
        <w:rPr>
          <w:rFonts w:ascii="Times New Roman" w:hAnsi="Times New Roman" w:cs="Times New Roman"/>
          <w:color w:val="283237"/>
        </w:rPr>
      </w:pPr>
      <w:r>
        <w:rPr>
          <w:rFonts w:ascii="Times New Roman" w:hAnsi="Times New Roman" w:cs="Times New Roman"/>
        </w:rPr>
        <w:t>***</w:t>
      </w:r>
    </w:p>
    <w:sectPr w:rsidR="00325826" w:rsidRPr="00077218" w:rsidSect="00077218">
      <w:footerReference w:type="even" r:id="rId7"/>
      <w:footerReference w:type="default" r:id="rId8"/>
      <w:pgSz w:w="11900" w:h="16840"/>
      <w:pgMar w:top="1418" w:right="1552" w:bottom="1134" w:left="1276"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D040E" w14:textId="77777777" w:rsidR="0017098C" w:rsidRDefault="0017098C" w:rsidP="00F62906">
      <w:r>
        <w:separator/>
      </w:r>
    </w:p>
  </w:endnote>
  <w:endnote w:type="continuationSeparator" w:id="0">
    <w:p w14:paraId="03CC84F0" w14:textId="77777777" w:rsidR="0017098C" w:rsidRDefault="0017098C" w:rsidP="00F6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NeueLTStd-L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926E" w14:textId="77777777" w:rsidR="00F82780" w:rsidRDefault="00F82780" w:rsidP="00F62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850F7" w14:textId="77777777" w:rsidR="00F82780" w:rsidRDefault="00F82780" w:rsidP="00F629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3A74" w14:textId="77777777" w:rsidR="00F82780" w:rsidRDefault="00F82780" w:rsidP="00F629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A553" w14:textId="77777777" w:rsidR="0017098C" w:rsidRDefault="0017098C" w:rsidP="00F62906">
      <w:r>
        <w:separator/>
      </w:r>
    </w:p>
  </w:footnote>
  <w:footnote w:type="continuationSeparator" w:id="0">
    <w:p w14:paraId="1B316A2D" w14:textId="77777777" w:rsidR="0017098C" w:rsidRDefault="0017098C" w:rsidP="00F62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4066F"/>
    <w:multiLevelType w:val="hybridMultilevel"/>
    <w:tmpl w:val="DADE1692"/>
    <w:lvl w:ilvl="0" w:tplc="3282129C">
      <w:start w:val="1"/>
      <w:numFmt w:val="bullet"/>
      <w:lvlText w:val="•"/>
      <w:lvlJc w:val="left"/>
      <w:pPr>
        <w:tabs>
          <w:tab w:val="num" w:pos="720"/>
        </w:tabs>
        <w:ind w:left="720" w:hanging="360"/>
      </w:pPr>
      <w:rPr>
        <w:rFonts w:ascii="Arial" w:hAnsi="Arial" w:hint="default"/>
      </w:rPr>
    </w:lvl>
    <w:lvl w:ilvl="1" w:tplc="6232A46E" w:tentative="1">
      <w:start w:val="1"/>
      <w:numFmt w:val="bullet"/>
      <w:lvlText w:val="•"/>
      <w:lvlJc w:val="left"/>
      <w:pPr>
        <w:tabs>
          <w:tab w:val="num" w:pos="1440"/>
        </w:tabs>
        <w:ind w:left="1440" w:hanging="360"/>
      </w:pPr>
      <w:rPr>
        <w:rFonts w:ascii="Arial" w:hAnsi="Arial" w:hint="default"/>
      </w:rPr>
    </w:lvl>
    <w:lvl w:ilvl="2" w:tplc="B482621E" w:tentative="1">
      <w:start w:val="1"/>
      <w:numFmt w:val="bullet"/>
      <w:lvlText w:val="•"/>
      <w:lvlJc w:val="left"/>
      <w:pPr>
        <w:tabs>
          <w:tab w:val="num" w:pos="2160"/>
        </w:tabs>
        <w:ind w:left="2160" w:hanging="360"/>
      </w:pPr>
      <w:rPr>
        <w:rFonts w:ascii="Arial" w:hAnsi="Arial" w:hint="default"/>
      </w:rPr>
    </w:lvl>
    <w:lvl w:ilvl="3" w:tplc="74901B48" w:tentative="1">
      <w:start w:val="1"/>
      <w:numFmt w:val="bullet"/>
      <w:lvlText w:val="•"/>
      <w:lvlJc w:val="left"/>
      <w:pPr>
        <w:tabs>
          <w:tab w:val="num" w:pos="2880"/>
        </w:tabs>
        <w:ind w:left="2880" w:hanging="360"/>
      </w:pPr>
      <w:rPr>
        <w:rFonts w:ascii="Arial" w:hAnsi="Arial" w:hint="default"/>
      </w:rPr>
    </w:lvl>
    <w:lvl w:ilvl="4" w:tplc="0A2ED19E" w:tentative="1">
      <w:start w:val="1"/>
      <w:numFmt w:val="bullet"/>
      <w:lvlText w:val="•"/>
      <w:lvlJc w:val="left"/>
      <w:pPr>
        <w:tabs>
          <w:tab w:val="num" w:pos="3600"/>
        </w:tabs>
        <w:ind w:left="3600" w:hanging="360"/>
      </w:pPr>
      <w:rPr>
        <w:rFonts w:ascii="Arial" w:hAnsi="Arial" w:hint="default"/>
      </w:rPr>
    </w:lvl>
    <w:lvl w:ilvl="5" w:tplc="2BA6D12A" w:tentative="1">
      <w:start w:val="1"/>
      <w:numFmt w:val="bullet"/>
      <w:lvlText w:val="•"/>
      <w:lvlJc w:val="left"/>
      <w:pPr>
        <w:tabs>
          <w:tab w:val="num" w:pos="4320"/>
        </w:tabs>
        <w:ind w:left="4320" w:hanging="360"/>
      </w:pPr>
      <w:rPr>
        <w:rFonts w:ascii="Arial" w:hAnsi="Arial" w:hint="default"/>
      </w:rPr>
    </w:lvl>
    <w:lvl w:ilvl="6" w:tplc="BEFC5CAE" w:tentative="1">
      <w:start w:val="1"/>
      <w:numFmt w:val="bullet"/>
      <w:lvlText w:val="•"/>
      <w:lvlJc w:val="left"/>
      <w:pPr>
        <w:tabs>
          <w:tab w:val="num" w:pos="5040"/>
        </w:tabs>
        <w:ind w:left="5040" w:hanging="360"/>
      </w:pPr>
      <w:rPr>
        <w:rFonts w:ascii="Arial" w:hAnsi="Arial" w:hint="default"/>
      </w:rPr>
    </w:lvl>
    <w:lvl w:ilvl="7" w:tplc="15141DD0" w:tentative="1">
      <w:start w:val="1"/>
      <w:numFmt w:val="bullet"/>
      <w:lvlText w:val="•"/>
      <w:lvlJc w:val="left"/>
      <w:pPr>
        <w:tabs>
          <w:tab w:val="num" w:pos="5760"/>
        </w:tabs>
        <w:ind w:left="5760" w:hanging="360"/>
      </w:pPr>
      <w:rPr>
        <w:rFonts w:ascii="Arial" w:hAnsi="Arial" w:hint="default"/>
      </w:rPr>
    </w:lvl>
    <w:lvl w:ilvl="8" w:tplc="11683D18" w:tentative="1">
      <w:start w:val="1"/>
      <w:numFmt w:val="bullet"/>
      <w:lvlText w:val="•"/>
      <w:lvlJc w:val="left"/>
      <w:pPr>
        <w:tabs>
          <w:tab w:val="num" w:pos="6480"/>
        </w:tabs>
        <w:ind w:left="6480" w:hanging="360"/>
      </w:pPr>
      <w:rPr>
        <w:rFonts w:ascii="Arial" w:hAnsi="Arial" w:hint="default"/>
      </w:rPr>
    </w:lvl>
  </w:abstractNum>
  <w:abstractNum w:abstractNumId="1">
    <w:nsid w:val="1FE248ED"/>
    <w:multiLevelType w:val="hybridMultilevel"/>
    <w:tmpl w:val="D66A470C"/>
    <w:lvl w:ilvl="0" w:tplc="F91E92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EB2FD7"/>
    <w:multiLevelType w:val="hybridMultilevel"/>
    <w:tmpl w:val="F6A4B7D8"/>
    <w:lvl w:ilvl="0" w:tplc="69E01F7A">
      <w:start w:val="1"/>
      <w:numFmt w:val="bullet"/>
      <w:lvlText w:val="•"/>
      <w:lvlJc w:val="left"/>
      <w:pPr>
        <w:tabs>
          <w:tab w:val="num" w:pos="720"/>
        </w:tabs>
        <w:ind w:left="720" w:hanging="360"/>
      </w:pPr>
      <w:rPr>
        <w:rFonts w:ascii="Arial" w:hAnsi="Arial" w:hint="default"/>
      </w:rPr>
    </w:lvl>
    <w:lvl w:ilvl="1" w:tplc="F604B45C" w:tentative="1">
      <w:start w:val="1"/>
      <w:numFmt w:val="bullet"/>
      <w:lvlText w:val="•"/>
      <w:lvlJc w:val="left"/>
      <w:pPr>
        <w:tabs>
          <w:tab w:val="num" w:pos="1440"/>
        </w:tabs>
        <w:ind w:left="1440" w:hanging="360"/>
      </w:pPr>
      <w:rPr>
        <w:rFonts w:ascii="Arial" w:hAnsi="Arial" w:hint="default"/>
      </w:rPr>
    </w:lvl>
    <w:lvl w:ilvl="2" w:tplc="AADA09A4" w:tentative="1">
      <w:start w:val="1"/>
      <w:numFmt w:val="bullet"/>
      <w:lvlText w:val="•"/>
      <w:lvlJc w:val="left"/>
      <w:pPr>
        <w:tabs>
          <w:tab w:val="num" w:pos="2160"/>
        </w:tabs>
        <w:ind w:left="2160" w:hanging="360"/>
      </w:pPr>
      <w:rPr>
        <w:rFonts w:ascii="Arial" w:hAnsi="Arial" w:hint="default"/>
      </w:rPr>
    </w:lvl>
    <w:lvl w:ilvl="3" w:tplc="32FE8DB4" w:tentative="1">
      <w:start w:val="1"/>
      <w:numFmt w:val="bullet"/>
      <w:lvlText w:val="•"/>
      <w:lvlJc w:val="left"/>
      <w:pPr>
        <w:tabs>
          <w:tab w:val="num" w:pos="2880"/>
        </w:tabs>
        <w:ind w:left="2880" w:hanging="360"/>
      </w:pPr>
      <w:rPr>
        <w:rFonts w:ascii="Arial" w:hAnsi="Arial" w:hint="default"/>
      </w:rPr>
    </w:lvl>
    <w:lvl w:ilvl="4" w:tplc="A4165076" w:tentative="1">
      <w:start w:val="1"/>
      <w:numFmt w:val="bullet"/>
      <w:lvlText w:val="•"/>
      <w:lvlJc w:val="left"/>
      <w:pPr>
        <w:tabs>
          <w:tab w:val="num" w:pos="3600"/>
        </w:tabs>
        <w:ind w:left="3600" w:hanging="360"/>
      </w:pPr>
      <w:rPr>
        <w:rFonts w:ascii="Arial" w:hAnsi="Arial" w:hint="default"/>
      </w:rPr>
    </w:lvl>
    <w:lvl w:ilvl="5" w:tplc="143CA7BA" w:tentative="1">
      <w:start w:val="1"/>
      <w:numFmt w:val="bullet"/>
      <w:lvlText w:val="•"/>
      <w:lvlJc w:val="left"/>
      <w:pPr>
        <w:tabs>
          <w:tab w:val="num" w:pos="4320"/>
        </w:tabs>
        <w:ind w:left="4320" w:hanging="360"/>
      </w:pPr>
      <w:rPr>
        <w:rFonts w:ascii="Arial" w:hAnsi="Arial" w:hint="default"/>
      </w:rPr>
    </w:lvl>
    <w:lvl w:ilvl="6" w:tplc="02283926" w:tentative="1">
      <w:start w:val="1"/>
      <w:numFmt w:val="bullet"/>
      <w:lvlText w:val="•"/>
      <w:lvlJc w:val="left"/>
      <w:pPr>
        <w:tabs>
          <w:tab w:val="num" w:pos="5040"/>
        </w:tabs>
        <w:ind w:left="5040" w:hanging="360"/>
      </w:pPr>
      <w:rPr>
        <w:rFonts w:ascii="Arial" w:hAnsi="Arial" w:hint="default"/>
      </w:rPr>
    </w:lvl>
    <w:lvl w:ilvl="7" w:tplc="F4A6180E" w:tentative="1">
      <w:start w:val="1"/>
      <w:numFmt w:val="bullet"/>
      <w:lvlText w:val="•"/>
      <w:lvlJc w:val="left"/>
      <w:pPr>
        <w:tabs>
          <w:tab w:val="num" w:pos="5760"/>
        </w:tabs>
        <w:ind w:left="5760" w:hanging="360"/>
      </w:pPr>
      <w:rPr>
        <w:rFonts w:ascii="Arial" w:hAnsi="Arial" w:hint="default"/>
      </w:rPr>
    </w:lvl>
    <w:lvl w:ilvl="8" w:tplc="1284D7D0" w:tentative="1">
      <w:start w:val="1"/>
      <w:numFmt w:val="bullet"/>
      <w:lvlText w:val="•"/>
      <w:lvlJc w:val="left"/>
      <w:pPr>
        <w:tabs>
          <w:tab w:val="num" w:pos="6480"/>
        </w:tabs>
        <w:ind w:left="6480" w:hanging="360"/>
      </w:pPr>
      <w:rPr>
        <w:rFonts w:ascii="Arial" w:hAnsi="Arial" w:hint="default"/>
      </w:rPr>
    </w:lvl>
  </w:abstractNum>
  <w:abstractNum w:abstractNumId="3">
    <w:nsid w:val="24992B12"/>
    <w:multiLevelType w:val="hybridMultilevel"/>
    <w:tmpl w:val="0CAA3620"/>
    <w:lvl w:ilvl="0" w:tplc="E1262210">
      <w:start w:val="1"/>
      <w:numFmt w:val="bullet"/>
      <w:lvlText w:val="•"/>
      <w:lvlJc w:val="left"/>
      <w:pPr>
        <w:tabs>
          <w:tab w:val="num" w:pos="720"/>
        </w:tabs>
        <w:ind w:left="720" w:hanging="360"/>
      </w:pPr>
      <w:rPr>
        <w:rFonts w:ascii="Arial" w:hAnsi="Arial" w:hint="default"/>
      </w:rPr>
    </w:lvl>
    <w:lvl w:ilvl="1" w:tplc="211237E2" w:tentative="1">
      <w:start w:val="1"/>
      <w:numFmt w:val="bullet"/>
      <w:lvlText w:val="•"/>
      <w:lvlJc w:val="left"/>
      <w:pPr>
        <w:tabs>
          <w:tab w:val="num" w:pos="1440"/>
        </w:tabs>
        <w:ind w:left="1440" w:hanging="360"/>
      </w:pPr>
      <w:rPr>
        <w:rFonts w:ascii="Arial" w:hAnsi="Arial" w:hint="default"/>
      </w:rPr>
    </w:lvl>
    <w:lvl w:ilvl="2" w:tplc="2B2CBE16" w:tentative="1">
      <w:start w:val="1"/>
      <w:numFmt w:val="bullet"/>
      <w:lvlText w:val="•"/>
      <w:lvlJc w:val="left"/>
      <w:pPr>
        <w:tabs>
          <w:tab w:val="num" w:pos="2160"/>
        </w:tabs>
        <w:ind w:left="2160" w:hanging="360"/>
      </w:pPr>
      <w:rPr>
        <w:rFonts w:ascii="Arial" w:hAnsi="Arial" w:hint="default"/>
      </w:rPr>
    </w:lvl>
    <w:lvl w:ilvl="3" w:tplc="F96E8C3C" w:tentative="1">
      <w:start w:val="1"/>
      <w:numFmt w:val="bullet"/>
      <w:lvlText w:val="•"/>
      <w:lvlJc w:val="left"/>
      <w:pPr>
        <w:tabs>
          <w:tab w:val="num" w:pos="2880"/>
        </w:tabs>
        <w:ind w:left="2880" w:hanging="360"/>
      </w:pPr>
      <w:rPr>
        <w:rFonts w:ascii="Arial" w:hAnsi="Arial" w:hint="default"/>
      </w:rPr>
    </w:lvl>
    <w:lvl w:ilvl="4" w:tplc="4F060360" w:tentative="1">
      <w:start w:val="1"/>
      <w:numFmt w:val="bullet"/>
      <w:lvlText w:val="•"/>
      <w:lvlJc w:val="left"/>
      <w:pPr>
        <w:tabs>
          <w:tab w:val="num" w:pos="3600"/>
        </w:tabs>
        <w:ind w:left="3600" w:hanging="360"/>
      </w:pPr>
      <w:rPr>
        <w:rFonts w:ascii="Arial" w:hAnsi="Arial" w:hint="default"/>
      </w:rPr>
    </w:lvl>
    <w:lvl w:ilvl="5" w:tplc="CE901C28" w:tentative="1">
      <w:start w:val="1"/>
      <w:numFmt w:val="bullet"/>
      <w:lvlText w:val="•"/>
      <w:lvlJc w:val="left"/>
      <w:pPr>
        <w:tabs>
          <w:tab w:val="num" w:pos="4320"/>
        </w:tabs>
        <w:ind w:left="4320" w:hanging="360"/>
      </w:pPr>
      <w:rPr>
        <w:rFonts w:ascii="Arial" w:hAnsi="Arial" w:hint="default"/>
      </w:rPr>
    </w:lvl>
    <w:lvl w:ilvl="6" w:tplc="783AA612" w:tentative="1">
      <w:start w:val="1"/>
      <w:numFmt w:val="bullet"/>
      <w:lvlText w:val="•"/>
      <w:lvlJc w:val="left"/>
      <w:pPr>
        <w:tabs>
          <w:tab w:val="num" w:pos="5040"/>
        </w:tabs>
        <w:ind w:left="5040" w:hanging="360"/>
      </w:pPr>
      <w:rPr>
        <w:rFonts w:ascii="Arial" w:hAnsi="Arial" w:hint="default"/>
      </w:rPr>
    </w:lvl>
    <w:lvl w:ilvl="7" w:tplc="9EBC050A" w:tentative="1">
      <w:start w:val="1"/>
      <w:numFmt w:val="bullet"/>
      <w:lvlText w:val="•"/>
      <w:lvlJc w:val="left"/>
      <w:pPr>
        <w:tabs>
          <w:tab w:val="num" w:pos="5760"/>
        </w:tabs>
        <w:ind w:left="5760" w:hanging="360"/>
      </w:pPr>
      <w:rPr>
        <w:rFonts w:ascii="Arial" w:hAnsi="Arial" w:hint="default"/>
      </w:rPr>
    </w:lvl>
    <w:lvl w:ilvl="8" w:tplc="D088AFD4" w:tentative="1">
      <w:start w:val="1"/>
      <w:numFmt w:val="bullet"/>
      <w:lvlText w:val="•"/>
      <w:lvlJc w:val="left"/>
      <w:pPr>
        <w:tabs>
          <w:tab w:val="num" w:pos="6480"/>
        </w:tabs>
        <w:ind w:left="6480" w:hanging="360"/>
      </w:pPr>
      <w:rPr>
        <w:rFonts w:ascii="Arial" w:hAnsi="Arial" w:hint="default"/>
      </w:rPr>
    </w:lvl>
  </w:abstractNum>
  <w:abstractNum w:abstractNumId="4">
    <w:nsid w:val="2BE51E41"/>
    <w:multiLevelType w:val="hybridMultilevel"/>
    <w:tmpl w:val="AADC2CF6"/>
    <w:lvl w:ilvl="0" w:tplc="53D8F036">
      <w:start w:val="1"/>
      <w:numFmt w:val="bullet"/>
      <w:lvlText w:val=""/>
      <w:lvlJc w:val="left"/>
      <w:pPr>
        <w:tabs>
          <w:tab w:val="num" w:pos="720"/>
        </w:tabs>
        <w:ind w:left="720" w:hanging="360"/>
      </w:pPr>
      <w:rPr>
        <w:rFonts w:ascii="Symbol" w:hAnsi="Symbol" w:hint="default"/>
      </w:rPr>
    </w:lvl>
    <w:lvl w:ilvl="1" w:tplc="CBC84BC2" w:tentative="1">
      <w:start w:val="1"/>
      <w:numFmt w:val="bullet"/>
      <w:lvlText w:val=""/>
      <w:lvlJc w:val="left"/>
      <w:pPr>
        <w:tabs>
          <w:tab w:val="num" w:pos="1440"/>
        </w:tabs>
        <w:ind w:left="1440" w:hanging="360"/>
      </w:pPr>
      <w:rPr>
        <w:rFonts w:ascii="Symbol" w:hAnsi="Symbol" w:hint="default"/>
      </w:rPr>
    </w:lvl>
    <w:lvl w:ilvl="2" w:tplc="B5DC46F0" w:tentative="1">
      <w:start w:val="1"/>
      <w:numFmt w:val="bullet"/>
      <w:lvlText w:val=""/>
      <w:lvlJc w:val="left"/>
      <w:pPr>
        <w:tabs>
          <w:tab w:val="num" w:pos="2160"/>
        </w:tabs>
        <w:ind w:left="2160" w:hanging="360"/>
      </w:pPr>
      <w:rPr>
        <w:rFonts w:ascii="Symbol" w:hAnsi="Symbol" w:hint="default"/>
      </w:rPr>
    </w:lvl>
    <w:lvl w:ilvl="3" w:tplc="F8684EBA" w:tentative="1">
      <w:start w:val="1"/>
      <w:numFmt w:val="bullet"/>
      <w:lvlText w:val=""/>
      <w:lvlJc w:val="left"/>
      <w:pPr>
        <w:tabs>
          <w:tab w:val="num" w:pos="2880"/>
        </w:tabs>
        <w:ind w:left="2880" w:hanging="360"/>
      </w:pPr>
      <w:rPr>
        <w:rFonts w:ascii="Symbol" w:hAnsi="Symbol" w:hint="default"/>
      </w:rPr>
    </w:lvl>
    <w:lvl w:ilvl="4" w:tplc="C76E5074" w:tentative="1">
      <w:start w:val="1"/>
      <w:numFmt w:val="bullet"/>
      <w:lvlText w:val=""/>
      <w:lvlJc w:val="left"/>
      <w:pPr>
        <w:tabs>
          <w:tab w:val="num" w:pos="3600"/>
        </w:tabs>
        <w:ind w:left="3600" w:hanging="360"/>
      </w:pPr>
      <w:rPr>
        <w:rFonts w:ascii="Symbol" w:hAnsi="Symbol" w:hint="default"/>
      </w:rPr>
    </w:lvl>
    <w:lvl w:ilvl="5" w:tplc="DBC83500" w:tentative="1">
      <w:start w:val="1"/>
      <w:numFmt w:val="bullet"/>
      <w:lvlText w:val=""/>
      <w:lvlJc w:val="left"/>
      <w:pPr>
        <w:tabs>
          <w:tab w:val="num" w:pos="4320"/>
        </w:tabs>
        <w:ind w:left="4320" w:hanging="360"/>
      </w:pPr>
      <w:rPr>
        <w:rFonts w:ascii="Symbol" w:hAnsi="Symbol" w:hint="default"/>
      </w:rPr>
    </w:lvl>
    <w:lvl w:ilvl="6" w:tplc="C6D43BD8" w:tentative="1">
      <w:start w:val="1"/>
      <w:numFmt w:val="bullet"/>
      <w:lvlText w:val=""/>
      <w:lvlJc w:val="left"/>
      <w:pPr>
        <w:tabs>
          <w:tab w:val="num" w:pos="5040"/>
        </w:tabs>
        <w:ind w:left="5040" w:hanging="360"/>
      </w:pPr>
      <w:rPr>
        <w:rFonts w:ascii="Symbol" w:hAnsi="Symbol" w:hint="default"/>
      </w:rPr>
    </w:lvl>
    <w:lvl w:ilvl="7" w:tplc="4DF40C78" w:tentative="1">
      <w:start w:val="1"/>
      <w:numFmt w:val="bullet"/>
      <w:lvlText w:val=""/>
      <w:lvlJc w:val="left"/>
      <w:pPr>
        <w:tabs>
          <w:tab w:val="num" w:pos="5760"/>
        </w:tabs>
        <w:ind w:left="5760" w:hanging="360"/>
      </w:pPr>
      <w:rPr>
        <w:rFonts w:ascii="Symbol" w:hAnsi="Symbol" w:hint="default"/>
      </w:rPr>
    </w:lvl>
    <w:lvl w:ilvl="8" w:tplc="AF18C0AC" w:tentative="1">
      <w:start w:val="1"/>
      <w:numFmt w:val="bullet"/>
      <w:lvlText w:val=""/>
      <w:lvlJc w:val="left"/>
      <w:pPr>
        <w:tabs>
          <w:tab w:val="num" w:pos="6480"/>
        </w:tabs>
        <w:ind w:left="6480" w:hanging="360"/>
      </w:pPr>
      <w:rPr>
        <w:rFonts w:ascii="Symbol" w:hAnsi="Symbol" w:hint="default"/>
      </w:rPr>
    </w:lvl>
  </w:abstractNum>
  <w:abstractNum w:abstractNumId="5">
    <w:nsid w:val="2BF476B1"/>
    <w:multiLevelType w:val="hybridMultilevel"/>
    <w:tmpl w:val="883ABB2C"/>
    <w:lvl w:ilvl="0" w:tplc="38DA6CA6">
      <w:start w:val="1"/>
      <w:numFmt w:val="bullet"/>
      <w:lvlText w:val="•"/>
      <w:lvlJc w:val="left"/>
      <w:pPr>
        <w:tabs>
          <w:tab w:val="num" w:pos="720"/>
        </w:tabs>
        <w:ind w:left="720" w:hanging="360"/>
      </w:pPr>
      <w:rPr>
        <w:rFonts w:ascii="Arial" w:hAnsi="Arial" w:hint="default"/>
      </w:rPr>
    </w:lvl>
    <w:lvl w:ilvl="1" w:tplc="94C00524" w:tentative="1">
      <w:start w:val="1"/>
      <w:numFmt w:val="bullet"/>
      <w:lvlText w:val="•"/>
      <w:lvlJc w:val="left"/>
      <w:pPr>
        <w:tabs>
          <w:tab w:val="num" w:pos="1440"/>
        </w:tabs>
        <w:ind w:left="1440" w:hanging="360"/>
      </w:pPr>
      <w:rPr>
        <w:rFonts w:ascii="Arial" w:hAnsi="Arial" w:hint="default"/>
      </w:rPr>
    </w:lvl>
    <w:lvl w:ilvl="2" w:tplc="816C7E5C" w:tentative="1">
      <w:start w:val="1"/>
      <w:numFmt w:val="bullet"/>
      <w:lvlText w:val="•"/>
      <w:lvlJc w:val="left"/>
      <w:pPr>
        <w:tabs>
          <w:tab w:val="num" w:pos="2160"/>
        </w:tabs>
        <w:ind w:left="2160" w:hanging="360"/>
      </w:pPr>
      <w:rPr>
        <w:rFonts w:ascii="Arial" w:hAnsi="Arial" w:hint="default"/>
      </w:rPr>
    </w:lvl>
    <w:lvl w:ilvl="3" w:tplc="3168CEDE" w:tentative="1">
      <w:start w:val="1"/>
      <w:numFmt w:val="bullet"/>
      <w:lvlText w:val="•"/>
      <w:lvlJc w:val="left"/>
      <w:pPr>
        <w:tabs>
          <w:tab w:val="num" w:pos="2880"/>
        </w:tabs>
        <w:ind w:left="2880" w:hanging="360"/>
      </w:pPr>
      <w:rPr>
        <w:rFonts w:ascii="Arial" w:hAnsi="Arial" w:hint="default"/>
      </w:rPr>
    </w:lvl>
    <w:lvl w:ilvl="4" w:tplc="CDB8A596" w:tentative="1">
      <w:start w:val="1"/>
      <w:numFmt w:val="bullet"/>
      <w:lvlText w:val="•"/>
      <w:lvlJc w:val="left"/>
      <w:pPr>
        <w:tabs>
          <w:tab w:val="num" w:pos="3600"/>
        </w:tabs>
        <w:ind w:left="3600" w:hanging="360"/>
      </w:pPr>
      <w:rPr>
        <w:rFonts w:ascii="Arial" w:hAnsi="Arial" w:hint="default"/>
      </w:rPr>
    </w:lvl>
    <w:lvl w:ilvl="5" w:tplc="1C5C48D2" w:tentative="1">
      <w:start w:val="1"/>
      <w:numFmt w:val="bullet"/>
      <w:lvlText w:val="•"/>
      <w:lvlJc w:val="left"/>
      <w:pPr>
        <w:tabs>
          <w:tab w:val="num" w:pos="4320"/>
        </w:tabs>
        <w:ind w:left="4320" w:hanging="360"/>
      </w:pPr>
      <w:rPr>
        <w:rFonts w:ascii="Arial" w:hAnsi="Arial" w:hint="default"/>
      </w:rPr>
    </w:lvl>
    <w:lvl w:ilvl="6" w:tplc="09487418" w:tentative="1">
      <w:start w:val="1"/>
      <w:numFmt w:val="bullet"/>
      <w:lvlText w:val="•"/>
      <w:lvlJc w:val="left"/>
      <w:pPr>
        <w:tabs>
          <w:tab w:val="num" w:pos="5040"/>
        </w:tabs>
        <w:ind w:left="5040" w:hanging="360"/>
      </w:pPr>
      <w:rPr>
        <w:rFonts w:ascii="Arial" w:hAnsi="Arial" w:hint="default"/>
      </w:rPr>
    </w:lvl>
    <w:lvl w:ilvl="7" w:tplc="4D04F7E0" w:tentative="1">
      <w:start w:val="1"/>
      <w:numFmt w:val="bullet"/>
      <w:lvlText w:val="•"/>
      <w:lvlJc w:val="left"/>
      <w:pPr>
        <w:tabs>
          <w:tab w:val="num" w:pos="5760"/>
        </w:tabs>
        <w:ind w:left="5760" w:hanging="360"/>
      </w:pPr>
      <w:rPr>
        <w:rFonts w:ascii="Arial" w:hAnsi="Arial" w:hint="default"/>
      </w:rPr>
    </w:lvl>
    <w:lvl w:ilvl="8" w:tplc="F05A7582" w:tentative="1">
      <w:start w:val="1"/>
      <w:numFmt w:val="bullet"/>
      <w:lvlText w:val="•"/>
      <w:lvlJc w:val="left"/>
      <w:pPr>
        <w:tabs>
          <w:tab w:val="num" w:pos="6480"/>
        </w:tabs>
        <w:ind w:left="6480" w:hanging="360"/>
      </w:pPr>
      <w:rPr>
        <w:rFonts w:ascii="Arial" w:hAnsi="Arial" w:hint="default"/>
      </w:rPr>
    </w:lvl>
  </w:abstractNum>
  <w:abstractNum w:abstractNumId="6">
    <w:nsid w:val="44B76711"/>
    <w:multiLevelType w:val="hybridMultilevel"/>
    <w:tmpl w:val="751C15D0"/>
    <w:lvl w:ilvl="0" w:tplc="5400EAB8">
      <w:start w:val="1"/>
      <w:numFmt w:val="bullet"/>
      <w:lvlText w:val="•"/>
      <w:lvlJc w:val="left"/>
      <w:pPr>
        <w:tabs>
          <w:tab w:val="num" w:pos="720"/>
        </w:tabs>
        <w:ind w:left="720" w:hanging="360"/>
      </w:pPr>
      <w:rPr>
        <w:rFonts w:ascii="Arial" w:hAnsi="Arial" w:hint="default"/>
      </w:rPr>
    </w:lvl>
    <w:lvl w:ilvl="1" w:tplc="42620A72" w:tentative="1">
      <w:start w:val="1"/>
      <w:numFmt w:val="bullet"/>
      <w:lvlText w:val="•"/>
      <w:lvlJc w:val="left"/>
      <w:pPr>
        <w:tabs>
          <w:tab w:val="num" w:pos="1440"/>
        </w:tabs>
        <w:ind w:left="1440" w:hanging="360"/>
      </w:pPr>
      <w:rPr>
        <w:rFonts w:ascii="Arial" w:hAnsi="Arial" w:hint="default"/>
      </w:rPr>
    </w:lvl>
    <w:lvl w:ilvl="2" w:tplc="27DC762C" w:tentative="1">
      <w:start w:val="1"/>
      <w:numFmt w:val="bullet"/>
      <w:lvlText w:val="•"/>
      <w:lvlJc w:val="left"/>
      <w:pPr>
        <w:tabs>
          <w:tab w:val="num" w:pos="2160"/>
        </w:tabs>
        <w:ind w:left="2160" w:hanging="360"/>
      </w:pPr>
      <w:rPr>
        <w:rFonts w:ascii="Arial" w:hAnsi="Arial" w:hint="default"/>
      </w:rPr>
    </w:lvl>
    <w:lvl w:ilvl="3" w:tplc="ED381034" w:tentative="1">
      <w:start w:val="1"/>
      <w:numFmt w:val="bullet"/>
      <w:lvlText w:val="•"/>
      <w:lvlJc w:val="left"/>
      <w:pPr>
        <w:tabs>
          <w:tab w:val="num" w:pos="2880"/>
        </w:tabs>
        <w:ind w:left="2880" w:hanging="360"/>
      </w:pPr>
      <w:rPr>
        <w:rFonts w:ascii="Arial" w:hAnsi="Arial" w:hint="default"/>
      </w:rPr>
    </w:lvl>
    <w:lvl w:ilvl="4" w:tplc="E654EBA8" w:tentative="1">
      <w:start w:val="1"/>
      <w:numFmt w:val="bullet"/>
      <w:lvlText w:val="•"/>
      <w:lvlJc w:val="left"/>
      <w:pPr>
        <w:tabs>
          <w:tab w:val="num" w:pos="3600"/>
        </w:tabs>
        <w:ind w:left="3600" w:hanging="360"/>
      </w:pPr>
      <w:rPr>
        <w:rFonts w:ascii="Arial" w:hAnsi="Arial" w:hint="default"/>
      </w:rPr>
    </w:lvl>
    <w:lvl w:ilvl="5" w:tplc="413E32CC" w:tentative="1">
      <w:start w:val="1"/>
      <w:numFmt w:val="bullet"/>
      <w:lvlText w:val="•"/>
      <w:lvlJc w:val="left"/>
      <w:pPr>
        <w:tabs>
          <w:tab w:val="num" w:pos="4320"/>
        </w:tabs>
        <w:ind w:left="4320" w:hanging="360"/>
      </w:pPr>
      <w:rPr>
        <w:rFonts w:ascii="Arial" w:hAnsi="Arial" w:hint="default"/>
      </w:rPr>
    </w:lvl>
    <w:lvl w:ilvl="6" w:tplc="27600E5C" w:tentative="1">
      <w:start w:val="1"/>
      <w:numFmt w:val="bullet"/>
      <w:lvlText w:val="•"/>
      <w:lvlJc w:val="left"/>
      <w:pPr>
        <w:tabs>
          <w:tab w:val="num" w:pos="5040"/>
        </w:tabs>
        <w:ind w:left="5040" w:hanging="360"/>
      </w:pPr>
      <w:rPr>
        <w:rFonts w:ascii="Arial" w:hAnsi="Arial" w:hint="default"/>
      </w:rPr>
    </w:lvl>
    <w:lvl w:ilvl="7" w:tplc="224AEA0C" w:tentative="1">
      <w:start w:val="1"/>
      <w:numFmt w:val="bullet"/>
      <w:lvlText w:val="•"/>
      <w:lvlJc w:val="left"/>
      <w:pPr>
        <w:tabs>
          <w:tab w:val="num" w:pos="5760"/>
        </w:tabs>
        <w:ind w:left="5760" w:hanging="360"/>
      </w:pPr>
      <w:rPr>
        <w:rFonts w:ascii="Arial" w:hAnsi="Arial" w:hint="default"/>
      </w:rPr>
    </w:lvl>
    <w:lvl w:ilvl="8" w:tplc="60BC9644" w:tentative="1">
      <w:start w:val="1"/>
      <w:numFmt w:val="bullet"/>
      <w:lvlText w:val="•"/>
      <w:lvlJc w:val="left"/>
      <w:pPr>
        <w:tabs>
          <w:tab w:val="num" w:pos="6480"/>
        </w:tabs>
        <w:ind w:left="6480" w:hanging="360"/>
      </w:pPr>
      <w:rPr>
        <w:rFonts w:ascii="Arial" w:hAnsi="Arial" w:hint="default"/>
      </w:rPr>
    </w:lvl>
  </w:abstractNum>
  <w:abstractNum w:abstractNumId="7">
    <w:nsid w:val="45CA0F11"/>
    <w:multiLevelType w:val="hybridMultilevel"/>
    <w:tmpl w:val="6DE42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990AB7"/>
    <w:multiLevelType w:val="hybridMultilevel"/>
    <w:tmpl w:val="D66A470C"/>
    <w:lvl w:ilvl="0" w:tplc="F91E92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757211"/>
    <w:multiLevelType w:val="hybridMultilevel"/>
    <w:tmpl w:val="9056DFE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5EBE68E7"/>
    <w:multiLevelType w:val="hybridMultilevel"/>
    <w:tmpl w:val="7CBEF426"/>
    <w:lvl w:ilvl="0" w:tplc="0B3A12F6">
      <w:start w:val="1"/>
      <w:numFmt w:val="bullet"/>
      <w:lvlText w:val="•"/>
      <w:lvlJc w:val="left"/>
      <w:pPr>
        <w:tabs>
          <w:tab w:val="num" w:pos="720"/>
        </w:tabs>
        <w:ind w:left="720" w:hanging="360"/>
      </w:pPr>
      <w:rPr>
        <w:rFonts w:ascii="Arial" w:hAnsi="Arial" w:hint="default"/>
      </w:rPr>
    </w:lvl>
    <w:lvl w:ilvl="1" w:tplc="EEC6B074" w:tentative="1">
      <w:start w:val="1"/>
      <w:numFmt w:val="bullet"/>
      <w:lvlText w:val="•"/>
      <w:lvlJc w:val="left"/>
      <w:pPr>
        <w:tabs>
          <w:tab w:val="num" w:pos="1440"/>
        </w:tabs>
        <w:ind w:left="1440" w:hanging="360"/>
      </w:pPr>
      <w:rPr>
        <w:rFonts w:ascii="Arial" w:hAnsi="Arial" w:hint="default"/>
      </w:rPr>
    </w:lvl>
    <w:lvl w:ilvl="2" w:tplc="ED268950" w:tentative="1">
      <w:start w:val="1"/>
      <w:numFmt w:val="bullet"/>
      <w:lvlText w:val="•"/>
      <w:lvlJc w:val="left"/>
      <w:pPr>
        <w:tabs>
          <w:tab w:val="num" w:pos="2160"/>
        </w:tabs>
        <w:ind w:left="2160" w:hanging="360"/>
      </w:pPr>
      <w:rPr>
        <w:rFonts w:ascii="Arial" w:hAnsi="Arial" w:hint="default"/>
      </w:rPr>
    </w:lvl>
    <w:lvl w:ilvl="3" w:tplc="5EDEDE0E" w:tentative="1">
      <w:start w:val="1"/>
      <w:numFmt w:val="bullet"/>
      <w:lvlText w:val="•"/>
      <w:lvlJc w:val="left"/>
      <w:pPr>
        <w:tabs>
          <w:tab w:val="num" w:pos="2880"/>
        </w:tabs>
        <w:ind w:left="2880" w:hanging="360"/>
      </w:pPr>
      <w:rPr>
        <w:rFonts w:ascii="Arial" w:hAnsi="Arial" w:hint="default"/>
      </w:rPr>
    </w:lvl>
    <w:lvl w:ilvl="4" w:tplc="7F38F6C8" w:tentative="1">
      <w:start w:val="1"/>
      <w:numFmt w:val="bullet"/>
      <w:lvlText w:val="•"/>
      <w:lvlJc w:val="left"/>
      <w:pPr>
        <w:tabs>
          <w:tab w:val="num" w:pos="3600"/>
        </w:tabs>
        <w:ind w:left="3600" w:hanging="360"/>
      </w:pPr>
      <w:rPr>
        <w:rFonts w:ascii="Arial" w:hAnsi="Arial" w:hint="default"/>
      </w:rPr>
    </w:lvl>
    <w:lvl w:ilvl="5" w:tplc="0E424C76" w:tentative="1">
      <w:start w:val="1"/>
      <w:numFmt w:val="bullet"/>
      <w:lvlText w:val="•"/>
      <w:lvlJc w:val="left"/>
      <w:pPr>
        <w:tabs>
          <w:tab w:val="num" w:pos="4320"/>
        </w:tabs>
        <w:ind w:left="4320" w:hanging="360"/>
      </w:pPr>
      <w:rPr>
        <w:rFonts w:ascii="Arial" w:hAnsi="Arial" w:hint="default"/>
      </w:rPr>
    </w:lvl>
    <w:lvl w:ilvl="6" w:tplc="E0EEACF8" w:tentative="1">
      <w:start w:val="1"/>
      <w:numFmt w:val="bullet"/>
      <w:lvlText w:val="•"/>
      <w:lvlJc w:val="left"/>
      <w:pPr>
        <w:tabs>
          <w:tab w:val="num" w:pos="5040"/>
        </w:tabs>
        <w:ind w:left="5040" w:hanging="360"/>
      </w:pPr>
      <w:rPr>
        <w:rFonts w:ascii="Arial" w:hAnsi="Arial" w:hint="default"/>
      </w:rPr>
    </w:lvl>
    <w:lvl w:ilvl="7" w:tplc="2124B6F4" w:tentative="1">
      <w:start w:val="1"/>
      <w:numFmt w:val="bullet"/>
      <w:lvlText w:val="•"/>
      <w:lvlJc w:val="left"/>
      <w:pPr>
        <w:tabs>
          <w:tab w:val="num" w:pos="5760"/>
        </w:tabs>
        <w:ind w:left="5760" w:hanging="360"/>
      </w:pPr>
      <w:rPr>
        <w:rFonts w:ascii="Arial" w:hAnsi="Arial" w:hint="default"/>
      </w:rPr>
    </w:lvl>
    <w:lvl w:ilvl="8" w:tplc="1F30F586" w:tentative="1">
      <w:start w:val="1"/>
      <w:numFmt w:val="bullet"/>
      <w:lvlText w:val="•"/>
      <w:lvlJc w:val="left"/>
      <w:pPr>
        <w:tabs>
          <w:tab w:val="num" w:pos="6480"/>
        </w:tabs>
        <w:ind w:left="6480" w:hanging="360"/>
      </w:pPr>
      <w:rPr>
        <w:rFonts w:ascii="Arial" w:hAnsi="Arial" w:hint="default"/>
      </w:rPr>
    </w:lvl>
  </w:abstractNum>
  <w:abstractNum w:abstractNumId="11">
    <w:nsid w:val="6A0B6BD2"/>
    <w:multiLevelType w:val="hybridMultilevel"/>
    <w:tmpl w:val="59BA9426"/>
    <w:lvl w:ilvl="0" w:tplc="F44824CC">
      <w:start w:val="1"/>
      <w:numFmt w:val="bullet"/>
      <w:lvlText w:val="•"/>
      <w:lvlJc w:val="left"/>
      <w:pPr>
        <w:tabs>
          <w:tab w:val="num" w:pos="720"/>
        </w:tabs>
        <w:ind w:left="720" w:hanging="360"/>
      </w:pPr>
      <w:rPr>
        <w:rFonts w:ascii="Arial" w:hAnsi="Arial" w:hint="default"/>
      </w:rPr>
    </w:lvl>
    <w:lvl w:ilvl="1" w:tplc="13E212F8" w:tentative="1">
      <w:start w:val="1"/>
      <w:numFmt w:val="bullet"/>
      <w:lvlText w:val="•"/>
      <w:lvlJc w:val="left"/>
      <w:pPr>
        <w:tabs>
          <w:tab w:val="num" w:pos="1440"/>
        </w:tabs>
        <w:ind w:left="1440" w:hanging="360"/>
      </w:pPr>
      <w:rPr>
        <w:rFonts w:ascii="Arial" w:hAnsi="Arial" w:hint="default"/>
      </w:rPr>
    </w:lvl>
    <w:lvl w:ilvl="2" w:tplc="2E22296A" w:tentative="1">
      <w:start w:val="1"/>
      <w:numFmt w:val="bullet"/>
      <w:lvlText w:val="•"/>
      <w:lvlJc w:val="left"/>
      <w:pPr>
        <w:tabs>
          <w:tab w:val="num" w:pos="2160"/>
        </w:tabs>
        <w:ind w:left="2160" w:hanging="360"/>
      </w:pPr>
      <w:rPr>
        <w:rFonts w:ascii="Arial" w:hAnsi="Arial" w:hint="default"/>
      </w:rPr>
    </w:lvl>
    <w:lvl w:ilvl="3" w:tplc="25F802C2" w:tentative="1">
      <w:start w:val="1"/>
      <w:numFmt w:val="bullet"/>
      <w:lvlText w:val="•"/>
      <w:lvlJc w:val="left"/>
      <w:pPr>
        <w:tabs>
          <w:tab w:val="num" w:pos="2880"/>
        </w:tabs>
        <w:ind w:left="2880" w:hanging="360"/>
      </w:pPr>
      <w:rPr>
        <w:rFonts w:ascii="Arial" w:hAnsi="Arial" w:hint="default"/>
      </w:rPr>
    </w:lvl>
    <w:lvl w:ilvl="4" w:tplc="3C947A30" w:tentative="1">
      <w:start w:val="1"/>
      <w:numFmt w:val="bullet"/>
      <w:lvlText w:val="•"/>
      <w:lvlJc w:val="left"/>
      <w:pPr>
        <w:tabs>
          <w:tab w:val="num" w:pos="3600"/>
        </w:tabs>
        <w:ind w:left="3600" w:hanging="360"/>
      </w:pPr>
      <w:rPr>
        <w:rFonts w:ascii="Arial" w:hAnsi="Arial" w:hint="default"/>
      </w:rPr>
    </w:lvl>
    <w:lvl w:ilvl="5" w:tplc="EB885788" w:tentative="1">
      <w:start w:val="1"/>
      <w:numFmt w:val="bullet"/>
      <w:lvlText w:val="•"/>
      <w:lvlJc w:val="left"/>
      <w:pPr>
        <w:tabs>
          <w:tab w:val="num" w:pos="4320"/>
        </w:tabs>
        <w:ind w:left="4320" w:hanging="360"/>
      </w:pPr>
      <w:rPr>
        <w:rFonts w:ascii="Arial" w:hAnsi="Arial" w:hint="default"/>
      </w:rPr>
    </w:lvl>
    <w:lvl w:ilvl="6" w:tplc="4D44BFB2" w:tentative="1">
      <w:start w:val="1"/>
      <w:numFmt w:val="bullet"/>
      <w:lvlText w:val="•"/>
      <w:lvlJc w:val="left"/>
      <w:pPr>
        <w:tabs>
          <w:tab w:val="num" w:pos="5040"/>
        </w:tabs>
        <w:ind w:left="5040" w:hanging="360"/>
      </w:pPr>
      <w:rPr>
        <w:rFonts w:ascii="Arial" w:hAnsi="Arial" w:hint="default"/>
      </w:rPr>
    </w:lvl>
    <w:lvl w:ilvl="7" w:tplc="B2D411E4" w:tentative="1">
      <w:start w:val="1"/>
      <w:numFmt w:val="bullet"/>
      <w:lvlText w:val="•"/>
      <w:lvlJc w:val="left"/>
      <w:pPr>
        <w:tabs>
          <w:tab w:val="num" w:pos="5760"/>
        </w:tabs>
        <w:ind w:left="5760" w:hanging="360"/>
      </w:pPr>
      <w:rPr>
        <w:rFonts w:ascii="Arial" w:hAnsi="Arial" w:hint="default"/>
      </w:rPr>
    </w:lvl>
    <w:lvl w:ilvl="8" w:tplc="B5EA7F70" w:tentative="1">
      <w:start w:val="1"/>
      <w:numFmt w:val="bullet"/>
      <w:lvlText w:val="•"/>
      <w:lvlJc w:val="left"/>
      <w:pPr>
        <w:tabs>
          <w:tab w:val="num" w:pos="6480"/>
        </w:tabs>
        <w:ind w:left="6480" w:hanging="360"/>
      </w:pPr>
      <w:rPr>
        <w:rFonts w:ascii="Arial" w:hAnsi="Arial" w:hint="default"/>
      </w:rPr>
    </w:lvl>
  </w:abstractNum>
  <w:abstractNum w:abstractNumId="12">
    <w:nsid w:val="784E2474"/>
    <w:multiLevelType w:val="hybridMultilevel"/>
    <w:tmpl w:val="3E048FDE"/>
    <w:lvl w:ilvl="0" w:tplc="3E4AFBE6">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10"/>
  </w:num>
  <w:num w:numId="6">
    <w:abstractNumId w:val="2"/>
  </w:num>
  <w:num w:numId="7">
    <w:abstractNumId w:val="5"/>
  </w:num>
  <w:num w:numId="8">
    <w:abstractNumId w:val="3"/>
  </w:num>
  <w:num w:numId="9">
    <w:abstractNumId w:val="4"/>
  </w:num>
  <w:num w:numId="10">
    <w:abstractNumId w:val="9"/>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C2"/>
    <w:rsid w:val="00001164"/>
    <w:rsid w:val="000016A7"/>
    <w:rsid w:val="00005DA8"/>
    <w:rsid w:val="000201A9"/>
    <w:rsid w:val="000206CC"/>
    <w:rsid w:val="00022A8B"/>
    <w:rsid w:val="00027FE4"/>
    <w:rsid w:val="00031397"/>
    <w:rsid w:val="0003151A"/>
    <w:rsid w:val="00033E5B"/>
    <w:rsid w:val="0003541C"/>
    <w:rsid w:val="000375E5"/>
    <w:rsid w:val="00042903"/>
    <w:rsid w:val="000431C5"/>
    <w:rsid w:val="0005572C"/>
    <w:rsid w:val="00057295"/>
    <w:rsid w:val="000601F1"/>
    <w:rsid w:val="00066E8A"/>
    <w:rsid w:val="0007049B"/>
    <w:rsid w:val="000708A1"/>
    <w:rsid w:val="00075B0F"/>
    <w:rsid w:val="00076975"/>
    <w:rsid w:val="00077218"/>
    <w:rsid w:val="00083075"/>
    <w:rsid w:val="00085680"/>
    <w:rsid w:val="0009459E"/>
    <w:rsid w:val="00094F12"/>
    <w:rsid w:val="000A2476"/>
    <w:rsid w:val="000A3A53"/>
    <w:rsid w:val="000C50CA"/>
    <w:rsid w:val="000C7FAE"/>
    <w:rsid w:val="000D00CC"/>
    <w:rsid w:val="000D0143"/>
    <w:rsid w:val="000D026B"/>
    <w:rsid w:val="000E4B57"/>
    <w:rsid w:val="000E5B02"/>
    <w:rsid w:val="001163DD"/>
    <w:rsid w:val="0011727B"/>
    <w:rsid w:val="0013563C"/>
    <w:rsid w:val="00142868"/>
    <w:rsid w:val="00144434"/>
    <w:rsid w:val="001444B2"/>
    <w:rsid w:val="0014709D"/>
    <w:rsid w:val="0016699D"/>
    <w:rsid w:val="00167A69"/>
    <w:rsid w:val="0017098C"/>
    <w:rsid w:val="001726AB"/>
    <w:rsid w:val="001B04C5"/>
    <w:rsid w:val="001B2793"/>
    <w:rsid w:val="00207160"/>
    <w:rsid w:val="00207C70"/>
    <w:rsid w:val="00210AEB"/>
    <w:rsid w:val="00222D3E"/>
    <w:rsid w:val="00224BC2"/>
    <w:rsid w:val="00226C7C"/>
    <w:rsid w:val="00251C47"/>
    <w:rsid w:val="00251E25"/>
    <w:rsid w:val="00254748"/>
    <w:rsid w:val="00265487"/>
    <w:rsid w:val="00265599"/>
    <w:rsid w:val="0027761B"/>
    <w:rsid w:val="00280C8E"/>
    <w:rsid w:val="00281DCF"/>
    <w:rsid w:val="00283A87"/>
    <w:rsid w:val="002A32F4"/>
    <w:rsid w:val="002B421E"/>
    <w:rsid w:val="002B73F9"/>
    <w:rsid w:val="002C49A4"/>
    <w:rsid w:val="002C5B0C"/>
    <w:rsid w:val="002D2A04"/>
    <w:rsid w:val="002E033D"/>
    <w:rsid w:val="002E0EF7"/>
    <w:rsid w:val="002F476D"/>
    <w:rsid w:val="003018B4"/>
    <w:rsid w:val="00306E4F"/>
    <w:rsid w:val="0031665C"/>
    <w:rsid w:val="00317B4D"/>
    <w:rsid w:val="00325111"/>
    <w:rsid w:val="00325826"/>
    <w:rsid w:val="003312FB"/>
    <w:rsid w:val="00331E7C"/>
    <w:rsid w:val="003370E1"/>
    <w:rsid w:val="00342286"/>
    <w:rsid w:val="00357815"/>
    <w:rsid w:val="0036118E"/>
    <w:rsid w:val="003649F0"/>
    <w:rsid w:val="00365A02"/>
    <w:rsid w:val="00365F9D"/>
    <w:rsid w:val="00380A28"/>
    <w:rsid w:val="00382BF0"/>
    <w:rsid w:val="00394B3B"/>
    <w:rsid w:val="00395A37"/>
    <w:rsid w:val="00396528"/>
    <w:rsid w:val="003A0FB3"/>
    <w:rsid w:val="003B245D"/>
    <w:rsid w:val="003B6233"/>
    <w:rsid w:val="003B740F"/>
    <w:rsid w:val="003C3877"/>
    <w:rsid w:val="003E10B9"/>
    <w:rsid w:val="003E1E95"/>
    <w:rsid w:val="003E45C8"/>
    <w:rsid w:val="003E4AAA"/>
    <w:rsid w:val="003F4138"/>
    <w:rsid w:val="003F7A7A"/>
    <w:rsid w:val="00422AB7"/>
    <w:rsid w:val="00423120"/>
    <w:rsid w:val="00435369"/>
    <w:rsid w:val="00435905"/>
    <w:rsid w:val="00454B3B"/>
    <w:rsid w:val="0045671D"/>
    <w:rsid w:val="00460505"/>
    <w:rsid w:val="00461F8E"/>
    <w:rsid w:val="00463918"/>
    <w:rsid w:val="00473BD6"/>
    <w:rsid w:val="00476256"/>
    <w:rsid w:val="00481903"/>
    <w:rsid w:val="004B20E0"/>
    <w:rsid w:val="004D5467"/>
    <w:rsid w:val="004E7EC0"/>
    <w:rsid w:val="004F1CF9"/>
    <w:rsid w:val="004F4E9E"/>
    <w:rsid w:val="004F7B5C"/>
    <w:rsid w:val="00501940"/>
    <w:rsid w:val="00502FBF"/>
    <w:rsid w:val="0051022A"/>
    <w:rsid w:val="00513F57"/>
    <w:rsid w:val="00530A28"/>
    <w:rsid w:val="00541BDD"/>
    <w:rsid w:val="005427C0"/>
    <w:rsid w:val="005435FE"/>
    <w:rsid w:val="00543CD2"/>
    <w:rsid w:val="00545AE5"/>
    <w:rsid w:val="00552592"/>
    <w:rsid w:val="00561251"/>
    <w:rsid w:val="00564199"/>
    <w:rsid w:val="00574520"/>
    <w:rsid w:val="00574B36"/>
    <w:rsid w:val="00575F29"/>
    <w:rsid w:val="00582D14"/>
    <w:rsid w:val="00596122"/>
    <w:rsid w:val="005A0D9C"/>
    <w:rsid w:val="005A3EFF"/>
    <w:rsid w:val="005B6848"/>
    <w:rsid w:val="005C3584"/>
    <w:rsid w:val="005C6053"/>
    <w:rsid w:val="005D35F0"/>
    <w:rsid w:val="005E630E"/>
    <w:rsid w:val="005E7C89"/>
    <w:rsid w:val="005F0787"/>
    <w:rsid w:val="005F454C"/>
    <w:rsid w:val="00600EC1"/>
    <w:rsid w:val="00603746"/>
    <w:rsid w:val="00624958"/>
    <w:rsid w:val="006278AE"/>
    <w:rsid w:val="006332F0"/>
    <w:rsid w:val="00636578"/>
    <w:rsid w:val="00642061"/>
    <w:rsid w:val="0064717B"/>
    <w:rsid w:val="00672E37"/>
    <w:rsid w:val="0067332B"/>
    <w:rsid w:val="00674C76"/>
    <w:rsid w:val="00681AF1"/>
    <w:rsid w:val="006863D6"/>
    <w:rsid w:val="00695B7B"/>
    <w:rsid w:val="006A031B"/>
    <w:rsid w:val="006A0856"/>
    <w:rsid w:val="006C4A68"/>
    <w:rsid w:val="006C71AB"/>
    <w:rsid w:val="006D23DD"/>
    <w:rsid w:val="006D5348"/>
    <w:rsid w:val="006D55D9"/>
    <w:rsid w:val="006D7B22"/>
    <w:rsid w:val="006E2DF3"/>
    <w:rsid w:val="006F5B06"/>
    <w:rsid w:val="007018D3"/>
    <w:rsid w:val="00703D1F"/>
    <w:rsid w:val="00710D62"/>
    <w:rsid w:val="007112C1"/>
    <w:rsid w:val="007136B5"/>
    <w:rsid w:val="007272C0"/>
    <w:rsid w:val="007440EF"/>
    <w:rsid w:val="007451AF"/>
    <w:rsid w:val="007463D0"/>
    <w:rsid w:val="00750560"/>
    <w:rsid w:val="00756E2A"/>
    <w:rsid w:val="007632BD"/>
    <w:rsid w:val="00771F9A"/>
    <w:rsid w:val="00777D41"/>
    <w:rsid w:val="007841C9"/>
    <w:rsid w:val="00786A52"/>
    <w:rsid w:val="007906C1"/>
    <w:rsid w:val="00790D78"/>
    <w:rsid w:val="007A045F"/>
    <w:rsid w:val="007B18A4"/>
    <w:rsid w:val="007B4701"/>
    <w:rsid w:val="007C559E"/>
    <w:rsid w:val="007D0C49"/>
    <w:rsid w:val="007D5B2A"/>
    <w:rsid w:val="007D5F0A"/>
    <w:rsid w:val="007E187A"/>
    <w:rsid w:val="007F4928"/>
    <w:rsid w:val="00833FFB"/>
    <w:rsid w:val="00835B16"/>
    <w:rsid w:val="00837137"/>
    <w:rsid w:val="00840F26"/>
    <w:rsid w:val="008427FC"/>
    <w:rsid w:val="00843D63"/>
    <w:rsid w:val="00844ECC"/>
    <w:rsid w:val="00846CBE"/>
    <w:rsid w:val="0085205B"/>
    <w:rsid w:val="0085350C"/>
    <w:rsid w:val="00873DA8"/>
    <w:rsid w:val="008B6952"/>
    <w:rsid w:val="008C12BF"/>
    <w:rsid w:val="008D3540"/>
    <w:rsid w:val="008E2158"/>
    <w:rsid w:val="008E54B0"/>
    <w:rsid w:val="008F27D3"/>
    <w:rsid w:val="00936267"/>
    <w:rsid w:val="00941D59"/>
    <w:rsid w:val="00957A12"/>
    <w:rsid w:val="009730FA"/>
    <w:rsid w:val="0097447E"/>
    <w:rsid w:val="009919D7"/>
    <w:rsid w:val="00992DAB"/>
    <w:rsid w:val="00997EE2"/>
    <w:rsid w:val="009A4F9A"/>
    <w:rsid w:val="009B207F"/>
    <w:rsid w:val="009B51A4"/>
    <w:rsid w:val="009B56DA"/>
    <w:rsid w:val="009B6B6F"/>
    <w:rsid w:val="009C4881"/>
    <w:rsid w:val="009C77D3"/>
    <w:rsid w:val="009C7D94"/>
    <w:rsid w:val="009E234A"/>
    <w:rsid w:val="009E5781"/>
    <w:rsid w:val="009F166D"/>
    <w:rsid w:val="009F2DF8"/>
    <w:rsid w:val="009F3F1B"/>
    <w:rsid w:val="00A00F18"/>
    <w:rsid w:val="00A03400"/>
    <w:rsid w:val="00A06B58"/>
    <w:rsid w:val="00A106C4"/>
    <w:rsid w:val="00A149FB"/>
    <w:rsid w:val="00A15DAE"/>
    <w:rsid w:val="00A17C01"/>
    <w:rsid w:val="00A30675"/>
    <w:rsid w:val="00A331A7"/>
    <w:rsid w:val="00A35869"/>
    <w:rsid w:val="00A47733"/>
    <w:rsid w:val="00A50456"/>
    <w:rsid w:val="00A51A5C"/>
    <w:rsid w:val="00A5458D"/>
    <w:rsid w:val="00A63FBA"/>
    <w:rsid w:val="00A652B8"/>
    <w:rsid w:val="00A655A7"/>
    <w:rsid w:val="00A67380"/>
    <w:rsid w:val="00A772A4"/>
    <w:rsid w:val="00A77344"/>
    <w:rsid w:val="00A83891"/>
    <w:rsid w:val="00AA0476"/>
    <w:rsid w:val="00AA1F31"/>
    <w:rsid w:val="00AC1E4D"/>
    <w:rsid w:val="00AC3062"/>
    <w:rsid w:val="00AC7672"/>
    <w:rsid w:val="00AD1080"/>
    <w:rsid w:val="00AD3201"/>
    <w:rsid w:val="00AD559E"/>
    <w:rsid w:val="00AE50A7"/>
    <w:rsid w:val="00AF0BC9"/>
    <w:rsid w:val="00B10057"/>
    <w:rsid w:val="00B13E7F"/>
    <w:rsid w:val="00B4578F"/>
    <w:rsid w:val="00B46ACC"/>
    <w:rsid w:val="00B546D8"/>
    <w:rsid w:val="00B56839"/>
    <w:rsid w:val="00B72081"/>
    <w:rsid w:val="00B828BE"/>
    <w:rsid w:val="00B91B6C"/>
    <w:rsid w:val="00B95D97"/>
    <w:rsid w:val="00B97641"/>
    <w:rsid w:val="00BA4275"/>
    <w:rsid w:val="00BB5C21"/>
    <w:rsid w:val="00BC3BB8"/>
    <w:rsid w:val="00BC5F3D"/>
    <w:rsid w:val="00BD4B76"/>
    <w:rsid w:val="00BF1153"/>
    <w:rsid w:val="00C05BDC"/>
    <w:rsid w:val="00C05D3D"/>
    <w:rsid w:val="00C147C6"/>
    <w:rsid w:val="00C2317D"/>
    <w:rsid w:val="00C44E04"/>
    <w:rsid w:val="00C608D1"/>
    <w:rsid w:val="00C62F9E"/>
    <w:rsid w:val="00C65F1F"/>
    <w:rsid w:val="00C864C8"/>
    <w:rsid w:val="00C9039A"/>
    <w:rsid w:val="00CA06AF"/>
    <w:rsid w:val="00CB01B1"/>
    <w:rsid w:val="00CB35C2"/>
    <w:rsid w:val="00CB79A1"/>
    <w:rsid w:val="00CC1F08"/>
    <w:rsid w:val="00CD0EF2"/>
    <w:rsid w:val="00CD1ED8"/>
    <w:rsid w:val="00CD47A8"/>
    <w:rsid w:val="00CD4B63"/>
    <w:rsid w:val="00CE044E"/>
    <w:rsid w:val="00CE104A"/>
    <w:rsid w:val="00CE1D6C"/>
    <w:rsid w:val="00CE3898"/>
    <w:rsid w:val="00CF10F9"/>
    <w:rsid w:val="00CF641B"/>
    <w:rsid w:val="00D12DE1"/>
    <w:rsid w:val="00D13168"/>
    <w:rsid w:val="00D205F2"/>
    <w:rsid w:val="00D21448"/>
    <w:rsid w:val="00D21D91"/>
    <w:rsid w:val="00D2389D"/>
    <w:rsid w:val="00D323DC"/>
    <w:rsid w:val="00D41749"/>
    <w:rsid w:val="00D47829"/>
    <w:rsid w:val="00D47AA4"/>
    <w:rsid w:val="00D73DF0"/>
    <w:rsid w:val="00D776AF"/>
    <w:rsid w:val="00D940C5"/>
    <w:rsid w:val="00DA1740"/>
    <w:rsid w:val="00DC35CF"/>
    <w:rsid w:val="00DD17F7"/>
    <w:rsid w:val="00DD2047"/>
    <w:rsid w:val="00DD268F"/>
    <w:rsid w:val="00DD39A7"/>
    <w:rsid w:val="00DE07D6"/>
    <w:rsid w:val="00DE4FC5"/>
    <w:rsid w:val="00DF117D"/>
    <w:rsid w:val="00DF52AB"/>
    <w:rsid w:val="00E01D8F"/>
    <w:rsid w:val="00E21B6B"/>
    <w:rsid w:val="00E40267"/>
    <w:rsid w:val="00E425DC"/>
    <w:rsid w:val="00E507D3"/>
    <w:rsid w:val="00E5276D"/>
    <w:rsid w:val="00E53985"/>
    <w:rsid w:val="00E55D3F"/>
    <w:rsid w:val="00E70B5D"/>
    <w:rsid w:val="00E73511"/>
    <w:rsid w:val="00E75A36"/>
    <w:rsid w:val="00E96102"/>
    <w:rsid w:val="00EA140F"/>
    <w:rsid w:val="00EA2750"/>
    <w:rsid w:val="00EA51C6"/>
    <w:rsid w:val="00EB1A6C"/>
    <w:rsid w:val="00EB4D2B"/>
    <w:rsid w:val="00EB5C2B"/>
    <w:rsid w:val="00ED3D2E"/>
    <w:rsid w:val="00ED50DB"/>
    <w:rsid w:val="00EF1502"/>
    <w:rsid w:val="00F000AA"/>
    <w:rsid w:val="00F0455C"/>
    <w:rsid w:val="00F15439"/>
    <w:rsid w:val="00F245E5"/>
    <w:rsid w:val="00F26CC2"/>
    <w:rsid w:val="00F361A6"/>
    <w:rsid w:val="00F3729C"/>
    <w:rsid w:val="00F5322A"/>
    <w:rsid w:val="00F611D9"/>
    <w:rsid w:val="00F6191A"/>
    <w:rsid w:val="00F62906"/>
    <w:rsid w:val="00F63066"/>
    <w:rsid w:val="00F66226"/>
    <w:rsid w:val="00F73C50"/>
    <w:rsid w:val="00F741C0"/>
    <w:rsid w:val="00F82780"/>
    <w:rsid w:val="00F94052"/>
    <w:rsid w:val="00FB27CD"/>
    <w:rsid w:val="00FC3EBD"/>
    <w:rsid w:val="00FC476E"/>
    <w:rsid w:val="00FE5F26"/>
    <w:rsid w:val="00FF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10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27CD"/>
    <w:pPr>
      <w:spacing w:before="100" w:beforeAutospacing="1" w:after="100" w:afterAutospacing="1"/>
    </w:pPr>
    <w:rPr>
      <w:rFonts w:ascii="Times New Roman" w:eastAsia="Times New Roman" w:hAnsi="Times New Roman" w:cs="Times New Roman"/>
      <w:color w:val="000000"/>
      <w:lang w:val="en-GB" w:eastAsia="en-GB"/>
    </w:rPr>
  </w:style>
  <w:style w:type="paragraph" w:styleId="Footer">
    <w:name w:val="footer"/>
    <w:basedOn w:val="Normal"/>
    <w:link w:val="FooterChar"/>
    <w:uiPriority w:val="99"/>
    <w:unhideWhenUsed/>
    <w:rsid w:val="00F62906"/>
    <w:pPr>
      <w:tabs>
        <w:tab w:val="center" w:pos="4320"/>
        <w:tab w:val="right" w:pos="8640"/>
      </w:tabs>
    </w:pPr>
  </w:style>
  <w:style w:type="character" w:customStyle="1" w:styleId="FooterChar">
    <w:name w:val="Footer Char"/>
    <w:basedOn w:val="DefaultParagraphFont"/>
    <w:link w:val="Footer"/>
    <w:uiPriority w:val="99"/>
    <w:rsid w:val="00F62906"/>
  </w:style>
  <w:style w:type="character" w:styleId="PageNumber">
    <w:name w:val="page number"/>
    <w:basedOn w:val="DefaultParagraphFont"/>
    <w:uiPriority w:val="99"/>
    <w:semiHidden/>
    <w:unhideWhenUsed/>
    <w:rsid w:val="00F62906"/>
  </w:style>
  <w:style w:type="paragraph" w:styleId="ListParagraph">
    <w:name w:val="List Paragraph"/>
    <w:basedOn w:val="Normal"/>
    <w:uiPriority w:val="34"/>
    <w:qFormat/>
    <w:rsid w:val="004D5467"/>
    <w:pPr>
      <w:ind w:left="720"/>
      <w:contextualSpacing/>
    </w:pPr>
    <w:rPr>
      <w:rFonts w:ascii="Times" w:hAnsi="Times"/>
      <w:sz w:val="20"/>
      <w:szCs w:val="20"/>
    </w:rPr>
  </w:style>
  <w:style w:type="character" w:styleId="Hyperlink">
    <w:name w:val="Hyperlink"/>
    <w:basedOn w:val="DefaultParagraphFont"/>
    <w:uiPriority w:val="99"/>
    <w:unhideWhenUsed/>
    <w:rsid w:val="007440EF"/>
    <w:rPr>
      <w:color w:val="0000FF" w:themeColor="hyperlink"/>
      <w:u w:val="single"/>
    </w:rPr>
  </w:style>
  <w:style w:type="paragraph" w:styleId="FootnoteText">
    <w:name w:val="footnote text"/>
    <w:aliases w:val="5_G,Fodnotetekst Tegn1,Fodnotetekst Tegn Tegn,Fodnotetekst Tegn,Footnotes,Note de bas de page2,fn,Fußnotentext RAXEN,Footnote Text Char2 Char,Footnote Text Char Char1 Char,Footnote Text Char2 Char Char Char,footnotes,footnote text,Tex,Car"/>
    <w:basedOn w:val="Normal"/>
    <w:link w:val="FootnoteTextChar"/>
    <w:uiPriority w:val="99"/>
    <w:unhideWhenUsed/>
    <w:qFormat/>
    <w:rsid w:val="00D2389D"/>
  </w:style>
  <w:style w:type="character" w:customStyle="1" w:styleId="FootnoteTextChar">
    <w:name w:val="Footnote Text Char"/>
    <w:aliases w:val="5_G Char,Fodnotetekst Tegn1 Char,Fodnotetekst Tegn Tegn Char,Fodnotetekst Tegn Char,Footnotes Char,Note de bas de page2 Char,fn Char,Fußnotentext RAXEN Char,Footnote Text Char2 Char Char,Footnote Text Char Char1 Char Char,Tex Char"/>
    <w:basedOn w:val="DefaultParagraphFont"/>
    <w:link w:val="FootnoteText"/>
    <w:uiPriority w:val="99"/>
    <w:rsid w:val="00D2389D"/>
  </w:style>
  <w:style w:type="character" w:styleId="FootnoteReference">
    <w:name w:val="footnote reference"/>
    <w:aliases w:val="4_G,Appel note de bas de p.thèse,Appel note de bas de p.thèse1,Appel note de bas de p.thèse2,Appel note de bas de p.thèse3,Appel note de bas de p.thèse4,Appel note de bas de p.thèse5,Appel note de bas de p.thèse6,Footnotes refss"/>
    <w:basedOn w:val="DefaultParagraphFont"/>
    <w:uiPriority w:val="99"/>
    <w:unhideWhenUsed/>
    <w:qFormat/>
    <w:rsid w:val="00D2389D"/>
    <w:rPr>
      <w:vertAlign w:val="superscript"/>
    </w:rPr>
  </w:style>
  <w:style w:type="paragraph" w:styleId="Header">
    <w:name w:val="header"/>
    <w:basedOn w:val="Normal"/>
    <w:link w:val="HeaderChar"/>
    <w:uiPriority w:val="99"/>
    <w:unhideWhenUsed/>
    <w:rsid w:val="00ED50DB"/>
    <w:pPr>
      <w:tabs>
        <w:tab w:val="center" w:pos="4320"/>
        <w:tab w:val="right" w:pos="8640"/>
      </w:tabs>
    </w:pPr>
  </w:style>
  <w:style w:type="character" w:customStyle="1" w:styleId="HeaderChar">
    <w:name w:val="Header Char"/>
    <w:basedOn w:val="DefaultParagraphFont"/>
    <w:link w:val="Header"/>
    <w:uiPriority w:val="99"/>
    <w:rsid w:val="00ED50DB"/>
  </w:style>
  <w:style w:type="paragraph" w:styleId="BalloonText">
    <w:name w:val="Balloon Text"/>
    <w:basedOn w:val="Normal"/>
    <w:link w:val="BalloonTextChar"/>
    <w:uiPriority w:val="99"/>
    <w:semiHidden/>
    <w:unhideWhenUsed/>
    <w:rsid w:val="00ED5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0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AD559E"/>
    <w:rPr>
      <w:sz w:val="16"/>
      <w:szCs w:val="16"/>
    </w:rPr>
  </w:style>
  <w:style w:type="paragraph" w:styleId="CommentText">
    <w:name w:val="annotation text"/>
    <w:basedOn w:val="Normal"/>
    <w:link w:val="CommentTextChar"/>
    <w:uiPriority w:val="99"/>
    <w:semiHidden/>
    <w:unhideWhenUsed/>
    <w:rsid w:val="00AD559E"/>
    <w:rPr>
      <w:sz w:val="20"/>
      <w:szCs w:val="20"/>
    </w:rPr>
  </w:style>
  <w:style w:type="character" w:customStyle="1" w:styleId="CommentTextChar">
    <w:name w:val="Comment Text Char"/>
    <w:basedOn w:val="DefaultParagraphFont"/>
    <w:link w:val="CommentText"/>
    <w:uiPriority w:val="99"/>
    <w:semiHidden/>
    <w:rsid w:val="00AD559E"/>
    <w:rPr>
      <w:sz w:val="20"/>
      <w:szCs w:val="20"/>
    </w:rPr>
  </w:style>
  <w:style w:type="paragraph" w:styleId="CommentSubject">
    <w:name w:val="annotation subject"/>
    <w:basedOn w:val="CommentText"/>
    <w:next w:val="CommentText"/>
    <w:link w:val="CommentSubjectChar"/>
    <w:uiPriority w:val="99"/>
    <w:semiHidden/>
    <w:unhideWhenUsed/>
    <w:rsid w:val="00AD559E"/>
    <w:rPr>
      <w:b/>
      <w:bCs/>
    </w:rPr>
  </w:style>
  <w:style w:type="character" w:customStyle="1" w:styleId="CommentSubjectChar">
    <w:name w:val="Comment Subject Char"/>
    <w:basedOn w:val="CommentTextChar"/>
    <w:link w:val="CommentSubject"/>
    <w:uiPriority w:val="99"/>
    <w:semiHidden/>
    <w:rsid w:val="00AD559E"/>
    <w:rPr>
      <w:b/>
      <w:bCs/>
      <w:sz w:val="20"/>
      <w:szCs w:val="20"/>
    </w:rPr>
  </w:style>
  <w:style w:type="table" w:styleId="TableGrid">
    <w:name w:val="Table Grid"/>
    <w:basedOn w:val="TableNormal"/>
    <w:uiPriority w:val="59"/>
    <w:rsid w:val="00476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278">
      <w:bodyDiv w:val="1"/>
      <w:marLeft w:val="0"/>
      <w:marRight w:val="0"/>
      <w:marTop w:val="0"/>
      <w:marBottom w:val="0"/>
      <w:divBdr>
        <w:top w:val="none" w:sz="0" w:space="0" w:color="auto"/>
        <w:left w:val="none" w:sz="0" w:space="0" w:color="auto"/>
        <w:bottom w:val="none" w:sz="0" w:space="0" w:color="auto"/>
        <w:right w:val="none" w:sz="0" w:space="0" w:color="auto"/>
      </w:divBdr>
      <w:divsChild>
        <w:div w:id="856232674">
          <w:marLeft w:val="0"/>
          <w:marRight w:val="0"/>
          <w:marTop w:val="0"/>
          <w:marBottom w:val="0"/>
          <w:divBdr>
            <w:top w:val="none" w:sz="0" w:space="0" w:color="auto"/>
            <w:left w:val="none" w:sz="0" w:space="0" w:color="auto"/>
            <w:bottom w:val="none" w:sz="0" w:space="0" w:color="auto"/>
            <w:right w:val="none" w:sz="0" w:space="0" w:color="auto"/>
          </w:divBdr>
        </w:div>
      </w:divsChild>
    </w:div>
    <w:div w:id="74788381">
      <w:bodyDiv w:val="1"/>
      <w:marLeft w:val="0"/>
      <w:marRight w:val="0"/>
      <w:marTop w:val="0"/>
      <w:marBottom w:val="0"/>
      <w:divBdr>
        <w:top w:val="none" w:sz="0" w:space="0" w:color="auto"/>
        <w:left w:val="none" w:sz="0" w:space="0" w:color="auto"/>
        <w:bottom w:val="none" w:sz="0" w:space="0" w:color="auto"/>
        <w:right w:val="none" w:sz="0" w:space="0" w:color="auto"/>
      </w:divBdr>
      <w:divsChild>
        <w:div w:id="1771972828">
          <w:marLeft w:val="0"/>
          <w:marRight w:val="0"/>
          <w:marTop w:val="0"/>
          <w:marBottom w:val="0"/>
          <w:divBdr>
            <w:top w:val="none" w:sz="0" w:space="0" w:color="auto"/>
            <w:left w:val="none" w:sz="0" w:space="0" w:color="auto"/>
            <w:bottom w:val="none" w:sz="0" w:space="0" w:color="auto"/>
            <w:right w:val="none" w:sz="0" w:space="0" w:color="auto"/>
          </w:divBdr>
        </w:div>
      </w:divsChild>
    </w:div>
    <w:div w:id="324823686">
      <w:bodyDiv w:val="1"/>
      <w:marLeft w:val="0"/>
      <w:marRight w:val="0"/>
      <w:marTop w:val="0"/>
      <w:marBottom w:val="0"/>
      <w:divBdr>
        <w:top w:val="none" w:sz="0" w:space="0" w:color="auto"/>
        <w:left w:val="none" w:sz="0" w:space="0" w:color="auto"/>
        <w:bottom w:val="none" w:sz="0" w:space="0" w:color="auto"/>
        <w:right w:val="none" w:sz="0" w:space="0" w:color="auto"/>
      </w:divBdr>
      <w:divsChild>
        <w:div w:id="1548106985">
          <w:marLeft w:val="547"/>
          <w:marRight w:val="0"/>
          <w:marTop w:val="0"/>
          <w:marBottom w:val="0"/>
          <w:divBdr>
            <w:top w:val="none" w:sz="0" w:space="0" w:color="auto"/>
            <w:left w:val="none" w:sz="0" w:space="0" w:color="auto"/>
            <w:bottom w:val="none" w:sz="0" w:space="0" w:color="auto"/>
            <w:right w:val="none" w:sz="0" w:space="0" w:color="auto"/>
          </w:divBdr>
        </w:div>
        <w:div w:id="669674307">
          <w:marLeft w:val="547"/>
          <w:marRight w:val="0"/>
          <w:marTop w:val="0"/>
          <w:marBottom w:val="0"/>
          <w:divBdr>
            <w:top w:val="none" w:sz="0" w:space="0" w:color="auto"/>
            <w:left w:val="none" w:sz="0" w:space="0" w:color="auto"/>
            <w:bottom w:val="none" w:sz="0" w:space="0" w:color="auto"/>
            <w:right w:val="none" w:sz="0" w:space="0" w:color="auto"/>
          </w:divBdr>
        </w:div>
        <w:div w:id="626083218">
          <w:marLeft w:val="547"/>
          <w:marRight w:val="0"/>
          <w:marTop w:val="240"/>
          <w:marBottom w:val="0"/>
          <w:divBdr>
            <w:top w:val="none" w:sz="0" w:space="0" w:color="auto"/>
            <w:left w:val="none" w:sz="0" w:space="0" w:color="auto"/>
            <w:bottom w:val="none" w:sz="0" w:space="0" w:color="auto"/>
            <w:right w:val="none" w:sz="0" w:space="0" w:color="auto"/>
          </w:divBdr>
        </w:div>
        <w:div w:id="547450565">
          <w:marLeft w:val="547"/>
          <w:marRight w:val="0"/>
          <w:marTop w:val="240"/>
          <w:marBottom w:val="0"/>
          <w:divBdr>
            <w:top w:val="none" w:sz="0" w:space="0" w:color="auto"/>
            <w:left w:val="none" w:sz="0" w:space="0" w:color="auto"/>
            <w:bottom w:val="none" w:sz="0" w:space="0" w:color="auto"/>
            <w:right w:val="none" w:sz="0" w:space="0" w:color="auto"/>
          </w:divBdr>
        </w:div>
      </w:divsChild>
    </w:div>
    <w:div w:id="368338707">
      <w:bodyDiv w:val="1"/>
      <w:marLeft w:val="0"/>
      <w:marRight w:val="0"/>
      <w:marTop w:val="0"/>
      <w:marBottom w:val="0"/>
      <w:divBdr>
        <w:top w:val="none" w:sz="0" w:space="0" w:color="auto"/>
        <w:left w:val="none" w:sz="0" w:space="0" w:color="auto"/>
        <w:bottom w:val="none" w:sz="0" w:space="0" w:color="auto"/>
        <w:right w:val="none" w:sz="0" w:space="0" w:color="auto"/>
      </w:divBdr>
      <w:divsChild>
        <w:div w:id="1503546501">
          <w:marLeft w:val="0"/>
          <w:marRight w:val="0"/>
          <w:marTop w:val="0"/>
          <w:marBottom w:val="0"/>
          <w:divBdr>
            <w:top w:val="none" w:sz="0" w:space="0" w:color="auto"/>
            <w:left w:val="none" w:sz="0" w:space="0" w:color="auto"/>
            <w:bottom w:val="none" w:sz="0" w:space="0" w:color="auto"/>
            <w:right w:val="none" w:sz="0" w:space="0" w:color="auto"/>
          </w:divBdr>
        </w:div>
      </w:divsChild>
    </w:div>
    <w:div w:id="415633196">
      <w:bodyDiv w:val="1"/>
      <w:marLeft w:val="0"/>
      <w:marRight w:val="0"/>
      <w:marTop w:val="0"/>
      <w:marBottom w:val="0"/>
      <w:divBdr>
        <w:top w:val="none" w:sz="0" w:space="0" w:color="auto"/>
        <w:left w:val="none" w:sz="0" w:space="0" w:color="auto"/>
        <w:bottom w:val="none" w:sz="0" w:space="0" w:color="auto"/>
        <w:right w:val="none" w:sz="0" w:space="0" w:color="auto"/>
      </w:divBdr>
      <w:divsChild>
        <w:div w:id="953756392">
          <w:marLeft w:val="547"/>
          <w:marRight w:val="0"/>
          <w:marTop w:val="115"/>
          <w:marBottom w:val="0"/>
          <w:divBdr>
            <w:top w:val="none" w:sz="0" w:space="0" w:color="auto"/>
            <w:left w:val="none" w:sz="0" w:space="0" w:color="auto"/>
            <w:bottom w:val="none" w:sz="0" w:space="0" w:color="auto"/>
            <w:right w:val="none" w:sz="0" w:space="0" w:color="auto"/>
          </w:divBdr>
        </w:div>
      </w:divsChild>
    </w:div>
    <w:div w:id="455295028">
      <w:bodyDiv w:val="1"/>
      <w:marLeft w:val="0"/>
      <w:marRight w:val="0"/>
      <w:marTop w:val="0"/>
      <w:marBottom w:val="0"/>
      <w:divBdr>
        <w:top w:val="none" w:sz="0" w:space="0" w:color="auto"/>
        <w:left w:val="none" w:sz="0" w:space="0" w:color="auto"/>
        <w:bottom w:val="none" w:sz="0" w:space="0" w:color="auto"/>
        <w:right w:val="none" w:sz="0" w:space="0" w:color="auto"/>
      </w:divBdr>
    </w:div>
    <w:div w:id="482041439">
      <w:bodyDiv w:val="1"/>
      <w:marLeft w:val="0"/>
      <w:marRight w:val="0"/>
      <w:marTop w:val="0"/>
      <w:marBottom w:val="0"/>
      <w:divBdr>
        <w:top w:val="none" w:sz="0" w:space="0" w:color="auto"/>
        <w:left w:val="none" w:sz="0" w:space="0" w:color="auto"/>
        <w:bottom w:val="none" w:sz="0" w:space="0" w:color="auto"/>
        <w:right w:val="none" w:sz="0" w:space="0" w:color="auto"/>
      </w:divBdr>
      <w:divsChild>
        <w:div w:id="1316955589">
          <w:marLeft w:val="0"/>
          <w:marRight w:val="0"/>
          <w:marTop w:val="0"/>
          <w:marBottom w:val="0"/>
          <w:divBdr>
            <w:top w:val="none" w:sz="0" w:space="0" w:color="auto"/>
            <w:left w:val="none" w:sz="0" w:space="0" w:color="auto"/>
            <w:bottom w:val="none" w:sz="0" w:space="0" w:color="auto"/>
            <w:right w:val="none" w:sz="0" w:space="0" w:color="auto"/>
          </w:divBdr>
          <w:divsChild>
            <w:div w:id="1406681218">
              <w:marLeft w:val="0"/>
              <w:marRight w:val="0"/>
              <w:marTop w:val="0"/>
              <w:marBottom w:val="0"/>
              <w:divBdr>
                <w:top w:val="none" w:sz="0" w:space="0" w:color="auto"/>
                <w:left w:val="none" w:sz="0" w:space="0" w:color="auto"/>
                <w:bottom w:val="none" w:sz="0" w:space="0" w:color="auto"/>
                <w:right w:val="none" w:sz="0" w:space="0" w:color="auto"/>
              </w:divBdr>
              <w:divsChild>
                <w:div w:id="20749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5422">
      <w:bodyDiv w:val="1"/>
      <w:marLeft w:val="0"/>
      <w:marRight w:val="0"/>
      <w:marTop w:val="0"/>
      <w:marBottom w:val="0"/>
      <w:divBdr>
        <w:top w:val="none" w:sz="0" w:space="0" w:color="auto"/>
        <w:left w:val="none" w:sz="0" w:space="0" w:color="auto"/>
        <w:bottom w:val="none" w:sz="0" w:space="0" w:color="auto"/>
        <w:right w:val="none" w:sz="0" w:space="0" w:color="auto"/>
      </w:divBdr>
      <w:divsChild>
        <w:div w:id="1391541647">
          <w:marLeft w:val="0"/>
          <w:marRight w:val="0"/>
          <w:marTop w:val="0"/>
          <w:marBottom w:val="0"/>
          <w:divBdr>
            <w:top w:val="none" w:sz="0" w:space="0" w:color="auto"/>
            <w:left w:val="none" w:sz="0" w:space="0" w:color="auto"/>
            <w:bottom w:val="none" w:sz="0" w:space="0" w:color="auto"/>
            <w:right w:val="none" w:sz="0" w:space="0" w:color="auto"/>
          </w:divBdr>
          <w:divsChild>
            <w:div w:id="1205024767">
              <w:marLeft w:val="0"/>
              <w:marRight w:val="0"/>
              <w:marTop w:val="0"/>
              <w:marBottom w:val="0"/>
              <w:divBdr>
                <w:top w:val="none" w:sz="0" w:space="0" w:color="auto"/>
                <w:left w:val="none" w:sz="0" w:space="0" w:color="auto"/>
                <w:bottom w:val="none" w:sz="0" w:space="0" w:color="auto"/>
                <w:right w:val="none" w:sz="0" w:space="0" w:color="auto"/>
              </w:divBdr>
              <w:divsChild>
                <w:div w:id="831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1948">
      <w:bodyDiv w:val="1"/>
      <w:marLeft w:val="0"/>
      <w:marRight w:val="0"/>
      <w:marTop w:val="0"/>
      <w:marBottom w:val="0"/>
      <w:divBdr>
        <w:top w:val="none" w:sz="0" w:space="0" w:color="auto"/>
        <w:left w:val="none" w:sz="0" w:space="0" w:color="auto"/>
        <w:bottom w:val="none" w:sz="0" w:space="0" w:color="auto"/>
        <w:right w:val="none" w:sz="0" w:space="0" w:color="auto"/>
      </w:divBdr>
      <w:divsChild>
        <w:div w:id="872377815">
          <w:marLeft w:val="547"/>
          <w:marRight w:val="0"/>
          <w:marTop w:val="120"/>
          <w:marBottom w:val="0"/>
          <w:divBdr>
            <w:top w:val="none" w:sz="0" w:space="0" w:color="auto"/>
            <w:left w:val="none" w:sz="0" w:space="0" w:color="auto"/>
            <w:bottom w:val="none" w:sz="0" w:space="0" w:color="auto"/>
            <w:right w:val="none" w:sz="0" w:space="0" w:color="auto"/>
          </w:divBdr>
        </w:div>
        <w:div w:id="164903507">
          <w:marLeft w:val="547"/>
          <w:marRight w:val="0"/>
          <w:marTop w:val="120"/>
          <w:marBottom w:val="0"/>
          <w:divBdr>
            <w:top w:val="none" w:sz="0" w:space="0" w:color="auto"/>
            <w:left w:val="none" w:sz="0" w:space="0" w:color="auto"/>
            <w:bottom w:val="none" w:sz="0" w:space="0" w:color="auto"/>
            <w:right w:val="none" w:sz="0" w:space="0" w:color="auto"/>
          </w:divBdr>
        </w:div>
      </w:divsChild>
    </w:div>
    <w:div w:id="574125928">
      <w:bodyDiv w:val="1"/>
      <w:marLeft w:val="0"/>
      <w:marRight w:val="0"/>
      <w:marTop w:val="0"/>
      <w:marBottom w:val="0"/>
      <w:divBdr>
        <w:top w:val="none" w:sz="0" w:space="0" w:color="auto"/>
        <w:left w:val="none" w:sz="0" w:space="0" w:color="auto"/>
        <w:bottom w:val="none" w:sz="0" w:space="0" w:color="auto"/>
        <w:right w:val="none" w:sz="0" w:space="0" w:color="auto"/>
      </w:divBdr>
      <w:divsChild>
        <w:div w:id="31275122">
          <w:marLeft w:val="547"/>
          <w:marRight w:val="0"/>
          <w:marTop w:val="360"/>
          <w:marBottom w:val="0"/>
          <w:divBdr>
            <w:top w:val="none" w:sz="0" w:space="0" w:color="auto"/>
            <w:left w:val="none" w:sz="0" w:space="0" w:color="auto"/>
            <w:bottom w:val="none" w:sz="0" w:space="0" w:color="auto"/>
            <w:right w:val="none" w:sz="0" w:space="0" w:color="auto"/>
          </w:divBdr>
        </w:div>
        <w:div w:id="697314766">
          <w:marLeft w:val="547"/>
          <w:marRight w:val="0"/>
          <w:marTop w:val="360"/>
          <w:marBottom w:val="0"/>
          <w:divBdr>
            <w:top w:val="none" w:sz="0" w:space="0" w:color="auto"/>
            <w:left w:val="none" w:sz="0" w:space="0" w:color="auto"/>
            <w:bottom w:val="none" w:sz="0" w:space="0" w:color="auto"/>
            <w:right w:val="none" w:sz="0" w:space="0" w:color="auto"/>
          </w:divBdr>
        </w:div>
        <w:div w:id="190844680">
          <w:marLeft w:val="547"/>
          <w:marRight w:val="0"/>
          <w:marTop w:val="360"/>
          <w:marBottom w:val="0"/>
          <w:divBdr>
            <w:top w:val="none" w:sz="0" w:space="0" w:color="auto"/>
            <w:left w:val="none" w:sz="0" w:space="0" w:color="auto"/>
            <w:bottom w:val="none" w:sz="0" w:space="0" w:color="auto"/>
            <w:right w:val="none" w:sz="0" w:space="0" w:color="auto"/>
          </w:divBdr>
        </w:div>
        <w:div w:id="1803959811">
          <w:marLeft w:val="547"/>
          <w:marRight w:val="0"/>
          <w:marTop w:val="360"/>
          <w:marBottom w:val="0"/>
          <w:divBdr>
            <w:top w:val="none" w:sz="0" w:space="0" w:color="auto"/>
            <w:left w:val="none" w:sz="0" w:space="0" w:color="auto"/>
            <w:bottom w:val="none" w:sz="0" w:space="0" w:color="auto"/>
            <w:right w:val="none" w:sz="0" w:space="0" w:color="auto"/>
          </w:divBdr>
        </w:div>
      </w:divsChild>
    </w:div>
    <w:div w:id="614288109">
      <w:bodyDiv w:val="1"/>
      <w:marLeft w:val="0"/>
      <w:marRight w:val="0"/>
      <w:marTop w:val="0"/>
      <w:marBottom w:val="0"/>
      <w:divBdr>
        <w:top w:val="none" w:sz="0" w:space="0" w:color="auto"/>
        <w:left w:val="none" w:sz="0" w:space="0" w:color="auto"/>
        <w:bottom w:val="none" w:sz="0" w:space="0" w:color="auto"/>
        <w:right w:val="none" w:sz="0" w:space="0" w:color="auto"/>
      </w:divBdr>
      <w:divsChild>
        <w:div w:id="1253971216">
          <w:marLeft w:val="0"/>
          <w:marRight w:val="0"/>
          <w:marTop w:val="0"/>
          <w:marBottom w:val="0"/>
          <w:divBdr>
            <w:top w:val="none" w:sz="0" w:space="0" w:color="auto"/>
            <w:left w:val="none" w:sz="0" w:space="0" w:color="auto"/>
            <w:bottom w:val="none" w:sz="0" w:space="0" w:color="auto"/>
            <w:right w:val="none" w:sz="0" w:space="0" w:color="auto"/>
          </w:divBdr>
          <w:divsChild>
            <w:div w:id="583876591">
              <w:marLeft w:val="0"/>
              <w:marRight w:val="0"/>
              <w:marTop w:val="0"/>
              <w:marBottom w:val="0"/>
              <w:divBdr>
                <w:top w:val="none" w:sz="0" w:space="0" w:color="auto"/>
                <w:left w:val="none" w:sz="0" w:space="0" w:color="auto"/>
                <w:bottom w:val="none" w:sz="0" w:space="0" w:color="auto"/>
                <w:right w:val="none" w:sz="0" w:space="0" w:color="auto"/>
              </w:divBdr>
              <w:divsChild>
                <w:div w:id="8106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81033">
      <w:bodyDiv w:val="1"/>
      <w:marLeft w:val="0"/>
      <w:marRight w:val="0"/>
      <w:marTop w:val="0"/>
      <w:marBottom w:val="0"/>
      <w:divBdr>
        <w:top w:val="none" w:sz="0" w:space="0" w:color="auto"/>
        <w:left w:val="none" w:sz="0" w:space="0" w:color="auto"/>
        <w:bottom w:val="none" w:sz="0" w:space="0" w:color="auto"/>
        <w:right w:val="none" w:sz="0" w:space="0" w:color="auto"/>
      </w:divBdr>
      <w:divsChild>
        <w:div w:id="1123231237">
          <w:marLeft w:val="547"/>
          <w:marRight w:val="0"/>
          <w:marTop w:val="134"/>
          <w:marBottom w:val="0"/>
          <w:divBdr>
            <w:top w:val="none" w:sz="0" w:space="0" w:color="auto"/>
            <w:left w:val="none" w:sz="0" w:space="0" w:color="auto"/>
            <w:bottom w:val="none" w:sz="0" w:space="0" w:color="auto"/>
            <w:right w:val="none" w:sz="0" w:space="0" w:color="auto"/>
          </w:divBdr>
        </w:div>
      </w:divsChild>
    </w:div>
    <w:div w:id="773668381">
      <w:bodyDiv w:val="1"/>
      <w:marLeft w:val="0"/>
      <w:marRight w:val="0"/>
      <w:marTop w:val="0"/>
      <w:marBottom w:val="0"/>
      <w:divBdr>
        <w:top w:val="none" w:sz="0" w:space="0" w:color="auto"/>
        <w:left w:val="none" w:sz="0" w:space="0" w:color="auto"/>
        <w:bottom w:val="none" w:sz="0" w:space="0" w:color="auto"/>
        <w:right w:val="none" w:sz="0" w:space="0" w:color="auto"/>
      </w:divBdr>
      <w:divsChild>
        <w:div w:id="1128619523">
          <w:marLeft w:val="0"/>
          <w:marRight w:val="0"/>
          <w:marTop w:val="0"/>
          <w:marBottom w:val="0"/>
          <w:divBdr>
            <w:top w:val="none" w:sz="0" w:space="0" w:color="auto"/>
            <w:left w:val="none" w:sz="0" w:space="0" w:color="auto"/>
            <w:bottom w:val="none" w:sz="0" w:space="0" w:color="auto"/>
            <w:right w:val="none" w:sz="0" w:space="0" w:color="auto"/>
          </w:divBdr>
          <w:divsChild>
            <w:div w:id="894661041">
              <w:marLeft w:val="0"/>
              <w:marRight w:val="0"/>
              <w:marTop w:val="0"/>
              <w:marBottom w:val="0"/>
              <w:divBdr>
                <w:top w:val="none" w:sz="0" w:space="0" w:color="auto"/>
                <w:left w:val="none" w:sz="0" w:space="0" w:color="auto"/>
                <w:bottom w:val="none" w:sz="0" w:space="0" w:color="auto"/>
                <w:right w:val="none" w:sz="0" w:space="0" w:color="auto"/>
              </w:divBdr>
              <w:divsChild>
                <w:div w:id="13845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80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236">
          <w:marLeft w:val="0"/>
          <w:marRight w:val="0"/>
          <w:marTop w:val="0"/>
          <w:marBottom w:val="0"/>
          <w:divBdr>
            <w:top w:val="none" w:sz="0" w:space="0" w:color="auto"/>
            <w:left w:val="none" w:sz="0" w:space="0" w:color="auto"/>
            <w:bottom w:val="none" w:sz="0" w:space="0" w:color="auto"/>
            <w:right w:val="none" w:sz="0" w:space="0" w:color="auto"/>
          </w:divBdr>
        </w:div>
      </w:divsChild>
    </w:div>
    <w:div w:id="982199175">
      <w:bodyDiv w:val="1"/>
      <w:marLeft w:val="0"/>
      <w:marRight w:val="0"/>
      <w:marTop w:val="0"/>
      <w:marBottom w:val="0"/>
      <w:divBdr>
        <w:top w:val="none" w:sz="0" w:space="0" w:color="auto"/>
        <w:left w:val="none" w:sz="0" w:space="0" w:color="auto"/>
        <w:bottom w:val="none" w:sz="0" w:space="0" w:color="auto"/>
        <w:right w:val="none" w:sz="0" w:space="0" w:color="auto"/>
      </w:divBdr>
      <w:divsChild>
        <w:div w:id="662658827">
          <w:marLeft w:val="547"/>
          <w:marRight w:val="0"/>
          <w:marTop w:val="240"/>
          <w:marBottom w:val="0"/>
          <w:divBdr>
            <w:top w:val="none" w:sz="0" w:space="0" w:color="auto"/>
            <w:left w:val="none" w:sz="0" w:space="0" w:color="auto"/>
            <w:bottom w:val="none" w:sz="0" w:space="0" w:color="auto"/>
            <w:right w:val="none" w:sz="0" w:space="0" w:color="auto"/>
          </w:divBdr>
        </w:div>
        <w:div w:id="187763095">
          <w:marLeft w:val="547"/>
          <w:marRight w:val="0"/>
          <w:marTop w:val="240"/>
          <w:marBottom w:val="0"/>
          <w:divBdr>
            <w:top w:val="none" w:sz="0" w:space="0" w:color="auto"/>
            <w:left w:val="none" w:sz="0" w:space="0" w:color="auto"/>
            <w:bottom w:val="none" w:sz="0" w:space="0" w:color="auto"/>
            <w:right w:val="none" w:sz="0" w:space="0" w:color="auto"/>
          </w:divBdr>
        </w:div>
        <w:div w:id="255869721">
          <w:marLeft w:val="547"/>
          <w:marRight w:val="0"/>
          <w:marTop w:val="154"/>
          <w:marBottom w:val="0"/>
          <w:divBdr>
            <w:top w:val="none" w:sz="0" w:space="0" w:color="auto"/>
            <w:left w:val="none" w:sz="0" w:space="0" w:color="auto"/>
            <w:bottom w:val="none" w:sz="0" w:space="0" w:color="auto"/>
            <w:right w:val="none" w:sz="0" w:space="0" w:color="auto"/>
          </w:divBdr>
        </w:div>
        <w:div w:id="633413005">
          <w:marLeft w:val="547"/>
          <w:marRight w:val="0"/>
          <w:marTop w:val="154"/>
          <w:marBottom w:val="0"/>
          <w:divBdr>
            <w:top w:val="none" w:sz="0" w:space="0" w:color="auto"/>
            <w:left w:val="none" w:sz="0" w:space="0" w:color="auto"/>
            <w:bottom w:val="none" w:sz="0" w:space="0" w:color="auto"/>
            <w:right w:val="none" w:sz="0" w:space="0" w:color="auto"/>
          </w:divBdr>
        </w:div>
      </w:divsChild>
    </w:div>
    <w:div w:id="1128358149">
      <w:bodyDiv w:val="1"/>
      <w:marLeft w:val="0"/>
      <w:marRight w:val="0"/>
      <w:marTop w:val="0"/>
      <w:marBottom w:val="0"/>
      <w:divBdr>
        <w:top w:val="none" w:sz="0" w:space="0" w:color="auto"/>
        <w:left w:val="none" w:sz="0" w:space="0" w:color="auto"/>
        <w:bottom w:val="none" w:sz="0" w:space="0" w:color="auto"/>
        <w:right w:val="none" w:sz="0" w:space="0" w:color="auto"/>
      </w:divBdr>
      <w:divsChild>
        <w:div w:id="638922917">
          <w:marLeft w:val="547"/>
          <w:marRight w:val="0"/>
          <w:marTop w:val="134"/>
          <w:marBottom w:val="0"/>
          <w:divBdr>
            <w:top w:val="none" w:sz="0" w:space="0" w:color="auto"/>
            <w:left w:val="none" w:sz="0" w:space="0" w:color="auto"/>
            <w:bottom w:val="none" w:sz="0" w:space="0" w:color="auto"/>
            <w:right w:val="none" w:sz="0" w:space="0" w:color="auto"/>
          </w:divBdr>
        </w:div>
      </w:divsChild>
    </w:div>
    <w:div w:id="1145731963">
      <w:bodyDiv w:val="1"/>
      <w:marLeft w:val="0"/>
      <w:marRight w:val="0"/>
      <w:marTop w:val="0"/>
      <w:marBottom w:val="0"/>
      <w:divBdr>
        <w:top w:val="none" w:sz="0" w:space="0" w:color="auto"/>
        <w:left w:val="none" w:sz="0" w:space="0" w:color="auto"/>
        <w:bottom w:val="none" w:sz="0" w:space="0" w:color="auto"/>
        <w:right w:val="none" w:sz="0" w:space="0" w:color="auto"/>
      </w:divBdr>
    </w:div>
    <w:div w:id="11854808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889">
          <w:marLeft w:val="0"/>
          <w:marRight w:val="0"/>
          <w:marTop w:val="0"/>
          <w:marBottom w:val="0"/>
          <w:divBdr>
            <w:top w:val="none" w:sz="0" w:space="0" w:color="auto"/>
            <w:left w:val="none" w:sz="0" w:space="0" w:color="auto"/>
            <w:bottom w:val="none" w:sz="0" w:space="0" w:color="auto"/>
            <w:right w:val="none" w:sz="0" w:space="0" w:color="auto"/>
          </w:divBdr>
        </w:div>
      </w:divsChild>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sChild>
        <w:div w:id="491988950">
          <w:marLeft w:val="547"/>
          <w:marRight w:val="0"/>
          <w:marTop w:val="240"/>
          <w:marBottom w:val="0"/>
          <w:divBdr>
            <w:top w:val="none" w:sz="0" w:space="0" w:color="auto"/>
            <w:left w:val="none" w:sz="0" w:space="0" w:color="auto"/>
            <w:bottom w:val="none" w:sz="0" w:space="0" w:color="auto"/>
            <w:right w:val="none" w:sz="0" w:space="0" w:color="auto"/>
          </w:divBdr>
        </w:div>
        <w:div w:id="1797596628">
          <w:marLeft w:val="547"/>
          <w:marRight w:val="0"/>
          <w:marTop w:val="240"/>
          <w:marBottom w:val="0"/>
          <w:divBdr>
            <w:top w:val="none" w:sz="0" w:space="0" w:color="auto"/>
            <w:left w:val="none" w:sz="0" w:space="0" w:color="auto"/>
            <w:bottom w:val="none" w:sz="0" w:space="0" w:color="auto"/>
            <w:right w:val="none" w:sz="0" w:space="0" w:color="auto"/>
          </w:divBdr>
        </w:div>
      </w:divsChild>
    </w:div>
    <w:div w:id="1473403276">
      <w:bodyDiv w:val="1"/>
      <w:marLeft w:val="0"/>
      <w:marRight w:val="0"/>
      <w:marTop w:val="0"/>
      <w:marBottom w:val="0"/>
      <w:divBdr>
        <w:top w:val="none" w:sz="0" w:space="0" w:color="auto"/>
        <w:left w:val="none" w:sz="0" w:space="0" w:color="auto"/>
        <w:bottom w:val="none" w:sz="0" w:space="0" w:color="auto"/>
        <w:right w:val="none" w:sz="0" w:space="0" w:color="auto"/>
      </w:divBdr>
      <w:divsChild>
        <w:div w:id="1929268605">
          <w:marLeft w:val="0"/>
          <w:marRight w:val="0"/>
          <w:marTop w:val="0"/>
          <w:marBottom w:val="0"/>
          <w:divBdr>
            <w:top w:val="none" w:sz="0" w:space="0" w:color="auto"/>
            <w:left w:val="none" w:sz="0" w:space="0" w:color="auto"/>
            <w:bottom w:val="none" w:sz="0" w:space="0" w:color="auto"/>
            <w:right w:val="none" w:sz="0" w:space="0" w:color="auto"/>
          </w:divBdr>
          <w:divsChild>
            <w:div w:id="13266901">
              <w:marLeft w:val="0"/>
              <w:marRight w:val="0"/>
              <w:marTop w:val="0"/>
              <w:marBottom w:val="0"/>
              <w:divBdr>
                <w:top w:val="none" w:sz="0" w:space="0" w:color="auto"/>
                <w:left w:val="none" w:sz="0" w:space="0" w:color="auto"/>
                <w:bottom w:val="none" w:sz="0" w:space="0" w:color="auto"/>
                <w:right w:val="none" w:sz="0" w:space="0" w:color="auto"/>
              </w:divBdr>
              <w:divsChild>
                <w:div w:id="8274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2198">
      <w:bodyDiv w:val="1"/>
      <w:marLeft w:val="0"/>
      <w:marRight w:val="0"/>
      <w:marTop w:val="0"/>
      <w:marBottom w:val="0"/>
      <w:divBdr>
        <w:top w:val="none" w:sz="0" w:space="0" w:color="auto"/>
        <w:left w:val="none" w:sz="0" w:space="0" w:color="auto"/>
        <w:bottom w:val="none" w:sz="0" w:space="0" w:color="auto"/>
        <w:right w:val="none" w:sz="0" w:space="0" w:color="auto"/>
      </w:divBdr>
    </w:div>
    <w:div w:id="1631327558">
      <w:bodyDiv w:val="1"/>
      <w:marLeft w:val="0"/>
      <w:marRight w:val="0"/>
      <w:marTop w:val="0"/>
      <w:marBottom w:val="0"/>
      <w:divBdr>
        <w:top w:val="none" w:sz="0" w:space="0" w:color="auto"/>
        <w:left w:val="none" w:sz="0" w:space="0" w:color="auto"/>
        <w:bottom w:val="none" w:sz="0" w:space="0" w:color="auto"/>
        <w:right w:val="none" w:sz="0" w:space="0" w:color="auto"/>
      </w:divBdr>
    </w:div>
    <w:div w:id="1692609348">
      <w:bodyDiv w:val="1"/>
      <w:marLeft w:val="0"/>
      <w:marRight w:val="0"/>
      <w:marTop w:val="0"/>
      <w:marBottom w:val="0"/>
      <w:divBdr>
        <w:top w:val="none" w:sz="0" w:space="0" w:color="auto"/>
        <w:left w:val="none" w:sz="0" w:space="0" w:color="auto"/>
        <w:bottom w:val="none" w:sz="0" w:space="0" w:color="auto"/>
        <w:right w:val="none" w:sz="0" w:space="0" w:color="auto"/>
      </w:divBdr>
      <w:divsChild>
        <w:div w:id="720712003">
          <w:marLeft w:val="547"/>
          <w:marRight w:val="0"/>
          <w:marTop w:val="134"/>
          <w:marBottom w:val="0"/>
          <w:divBdr>
            <w:top w:val="none" w:sz="0" w:space="0" w:color="auto"/>
            <w:left w:val="none" w:sz="0" w:space="0" w:color="auto"/>
            <w:bottom w:val="none" w:sz="0" w:space="0" w:color="auto"/>
            <w:right w:val="none" w:sz="0" w:space="0" w:color="auto"/>
          </w:divBdr>
        </w:div>
      </w:divsChild>
    </w:div>
    <w:div w:id="1712607494">
      <w:bodyDiv w:val="1"/>
      <w:marLeft w:val="0"/>
      <w:marRight w:val="0"/>
      <w:marTop w:val="0"/>
      <w:marBottom w:val="0"/>
      <w:divBdr>
        <w:top w:val="none" w:sz="0" w:space="0" w:color="auto"/>
        <w:left w:val="none" w:sz="0" w:space="0" w:color="auto"/>
        <w:bottom w:val="none" w:sz="0" w:space="0" w:color="auto"/>
        <w:right w:val="none" w:sz="0" w:space="0" w:color="auto"/>
      </w:divBdr>
      <w:divsChild>
        <w:div w:id="995258942">
          <w:marLeft w:val="547"/>
          <w:marRight w:val="0"/>
          <w:marTop w:val="120"/>
          <w:marBottom w:val="0"/>
          <w:divBdr>
            <w:top w:val="none" w:sz="0" w:space="0" w:color="auto"/>
            <w:left w:val="none" w:sz="0" w:space="0" w:color="auto"/>
            <w:bottom w:val="none" w:sz="0" w:space="0" w:color="auto"/>
            <w:right w:val="none" w:sz="0" w:space="0" w:color="auto"/>
          </w:divBdr>
        </w:div>
        <w:div w:id="1777746114">
          <w:marLeft w:val="547"/>
          <w:marRight w:val="0"/>
          <w:marTop w:val="120"/>
          <w:marBottom w:val="0"/>
          <w:divBdr>
            <w:top w:val="none" w:sz="0" w:space="0" w:color="auto"/>
            <w:left w:val="none" w:sz="0" w:space="0" w:color="auto"/>
            <w:bottom w:val="none" w:sz="0" w:space="0" w:color="auto"/>
            <w:right w:val="none" w:sz="0" w:space="0" w:color="auto"/>
          </w:divBdr>
        </w:div>
        <w:div w:id="228082790">
          <w:marLeft w:val="547"/>
          <w:marRight w:val="0"/>
          <w:marTop w:val="240"/>
          <w:marBottom w:val="0"/>
          <w:divBdr>
            <w:top w:val="none" w:sz="0" w:space="0" w:color="auto"/>
            <w:left w:val="none" w:sz="0" w:space="0" w:color="auto"/>
            <w:bottom w:val="none" w:sz="0" w:space="0" w:color="auto"/>
            <w:right w:val="none" w:sz="0" w:space="0" w:color="auto"/>
          </w:divBdr>
        </w:div>
        <w:div w:id="1607418165">
          <w:marLeft w:val="547"/>
          <w:marRight w:val="0"/>
          <w:marTop w:val="120"/>
          <w:marBottom w:val="0"/>
          <w:divBdr>
            <w:top w:val="none" w:sz="0" w:space="0" w:color="auto"/>
            <w:left w:val="none" w:sz="0" w:space="0" w:color="auto"/>
            <w:bottom w:val="none" w:sz="0" w:space="0" w:color="auto"/>
            <w:right w:val="none" w:sz="0" w:space="0" w:color="auto"/>
          </w:divBdr>
        </w:div>
        <w:div w:id="1176382763">
          <w:marLeft w:val="547"/>
          <w:marRight w:val="0"/>
          <w:marTop w:val="240"/>
          <w:marBottom w:val="0"/>
          <w:divBdr>
            <w:top w:val="none" w:sz="0" w:space="0" w:color="auto"/>
            <w:left w:val="none" w:sz="0" w:space="0" w:color="auto"/>
            <w:bottom w:val="none" w:sz="0" w:space="0" w:color="auto"/>
            <w:right w:val="none" w:sz="0" w:space="0" w:color="auto"/>
          </w:divBdr>
        </w:div>
      </w:divsChild>
    </w:div>
    <w:div w:id="1804149585">
      <w:bodyDiv w:val="1"/>
      <w:marLeft w:val="0"/>
      <w:marRight w:val="0"/>
      <w:marTop w:val="0"/>
      <w:marBottom w:val="0"/>
      <w:divBdr>
        <w:top w:val="none" w:sz="0" w:space="0" w:color="auto"/>
        <w:left w:val="none" w:sz="0" w:space="0" w:color="auto"/>
        <w:bottom w:val="none" w:sz="0" w:space="0" w:color="auto"/>
        <w:right w:val="none" w:sz="0" w:space="0" w:color="auto"/>
      </w:divBdr>
      <w:divsChild>
        <w:div w:id="1840268005">
          <w:marLeft w:val="0"/>
          <w:marRight w:val="0"/>
          <w:marTop w:val="0"/>
          <w:marBottom w:val="0"/>
          <w:divBdr>
            <w:top w:val="none" w:sz="0" w:space="0" w:color="auto"/>
            <w:left w:val="none" w:sz="0" w:space="0" w:color="auto"/>
            <w:bottom w:val="none" w:sz="0" w:space="0" w:color="auto"/>
            <w:right w:val="none" w:sz="0" w:space="0" w:color="auto"/>
          </w:divBdr>
        </w:div>
      </w:divsChild>
    </w:div>
    <w:div w:id="1841889679">
      <w:bodyDiv w:val="1"/>
      <w:marLeft w:val="0"/>
      <w:marRight w:val="0"/>
      <w:marTop w:val="0"/>
      <w:marBottom w:val="0"/>
      <w:divBdr>
        <w:top w:val="none" w:sz="0" w:space="0" w:color="auto"/>
        <w:left w:val="none" w:sz="0" w:space="0" w:color="auto"/>
        <w:bottom w:val="none" w:sz="0" w:space="0" w:color="auto"/>
        <w:right w:val="none" w:sz="0" w:space="0" w:color="auto"/>
      </w:divBdr>
      <w:divsChild>
        <w:div w:id="634601653">
          <w:marLeft w:val="0"/>
          <w:marRight w:val="0"/>
          <w:marTop w:val="0"/>
          <w:marBottom w:val="0"/>
          <w:divBdr>
            <w:top w:val="none" w:sz="0" w:space="0" w:color="auto"/>
            <w:left w:val="none" w:sz="0" w:space="0" w:color="auto"/>
            <w:bottom w:val="none" w:sz="0" w:space="0" w:color="auto"/>
            <w:right w:val="none" w:sz="0" w:space="0" w:color="auto"/>
          </w:divBdr>
          <w:divsChild>
            <w:div w:id="1436680386">
              <w:marLeft w:val="0"/>
              <w:marRight w:val="0"/>
              <w:marTop w:val="0"/>
              <w:marBottom w:val="0"/>
              <w:divBdr>
                <w:top w:val="none" w:sz="0" w:space="0" w:color="auto"/>
                <w:left w:val="none" w:sz="0" w:space="0" w:color="auto"/>
                <w:bottom w:val="none" w:sz="0" w:space="0" w:color="auto"/>
                <w:right w:val="none" w:sz="0" w:space="0" w:color="auto"/>
              </w:divBdr>
              <w:divsChild>
                <w:div w:id="15128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5933">
      <w:bodyDiv w:val="1"/>
      <w:marLeft w:val="0"/>
      <w:marRight w:val="0"/>
      <w:marTop w:val="0"/>
      <w:marBottom w:val="0"/>
      <w:divBdr>
        <w:top w:val="none" w:sz="0" w:space="0" w:color="auto"/>
        <w:left w:val="none" w:sz="0" w:space="0" w:color="auto"/>
        <w:bottom w:val="none" w:sz="0" w:space="0" w:color="auto"/>
        <w:right w:val="none" w:sz="0" w:space="0" w:color="auto"/>
      </w:divBdr>
      <w:divsChild>
        <w:div w:id="1802109024">
          <w:marLeft w:val="0"/>
          <w:marRight w:val="0"/>
          <w:marTop w:val="0"/>
          <w:marBottom w:val="0"/>
          <w:divBdr>
            <w:top w:val="none" w:sz="0" w:space="0" w:color="auto"/>
            <w:left w:val="none" w:sz="0" w:space="0" w:color="auto"/>
            <w:bottom w:val="none" w:sz="0" w:space="0" w:color="auto"/>
            <w:right w:val="none" w:sz="0" w:space="0" w:color="auto"/>
          </w:divBdr>
        </w:div>
      </w:divsChild>
    </w:div>
    <w:div w:id="1904483614">
      <w:bodyDiv w:val="1"/>
      <w:marLeft w:val="0"/>
      <w:marRight w:val="0"/>
      <w:marTop w:val="0"/>
      <w:marBottom w:val="0"/>
      <w:divBdr>
        <w:top w:val="none" w:sz="0" w:space="0" w:color="auto"/>
        <w:left w:val="none" w:sz="0" w:space="0" w:color="auto"/>
        <w:bottom w:val="none" w:sz="0" w:space="0" w:color="auto"/>
        <w:right w:val="none" w:sz="0" w:space="0" w:color="auto"/>
      </w:divBdr>
      <w:divsChild>
        <w:div w:id="924996646">
          <w:marLeft w:val="547"/>
          <w:marRight w:val="0"/>
          <w:marTop w:val="240"/>
          <w:marBottom w:val="120"/>
          <w:divBdr>
            <w:top w:val="none" w:sz="0" w:space="0" w:color="auto"/>
            <w:left w:val="none" w:sz="0" w:space="0" w:color="auto"/>
            <w:bottom w:val="none" w:sz="0" w:space="0" w:color="auto"/>
            <w:right w:val="none" w:sz="0" w:space="0" w:color="auto"/>
          </w:divBdr>
        </w:div>
        <w:div w:id="1221746467">
          <w:marLeft w:val="547"/>
          <w:marRight w:val="0"/>
          <w:marTop w:val="240"/>
          <w:marBottom w:val="120"/>
          <w:divBdr>
            <w:top w:val="none" w:sz="0" w:space="0" w:color="auto"/>
            <w:left w:val="none" w:sz="0" w:space="0" w:color="auto"/>
            <w:bottom w:val="none" w:sz="0" w:space="0" w:color="auto"/>
            <w:right w:val="none" w:sz="0" w:space="0" w:color="auto"/>
          </w:divBdr>
        </w:div>
        <w:div w:id="1389107248">
          <w:marLeft w:val="547"/>
          <w:marRight w:val="0"/>
          <w:marTop w:val="240"/>
          <w:marBottom w:val="120"/>
          <w:divBdr>
            <w:top w:val="none" w:sz="0" w:space="0" w:color="auto"/>
            <w:left w:val="none" w:sz="0" w:space="0" w:color="auto"/>
            <w:bottom w:val="none" w:sz="0" w:space="0" w:color="auto"/>
            <w:right w:val="none" w:sz="0" w:space="0" w:color="auto"/>
          </w:divBdr>
        </w:div>
      </w:divsChild>
    </w:div>
    <w:div w:id="2007435305">
      <w:bodyDiv w:val="1"/>
      <w:marLeft w:val="0"/>
      <w:marRight w:val="0"/>
      <w:marTop w:val="0"/>
      <w:marBottom w:val="0"/>
      <w:divBdr>
        <w:top w:val="none" w:sz="0" w:space="0" w:color="auto"/>
        <w:left w:val="none" w:sz="0" w:space="0" w:color="auto"/>
        <w:bottom w:val="none" w:sz="0" w:space="0" w:color="auto"/>
        <w:right w:val="none" w:sz="0" w:space="0" w:color="auto"/>
      </w:divBdr>
      <w:divsChild>
        <w:div w:id="355736938">
          <w:marLeft w:val="547"/>
          <w:marRight w:val="0"/>
          <w:marTop w:val="134"/>
          <w:marBottom w:val="0"/>
          <w:divBdr>
            <w:top w:val="none" w:sz="0" w:space="0" w:color="auto"/>
            <w:left w:val="none" w:sz="0" w:space="0" w:color="auto"/>
            <w:bottom w:val="none" w:sz="0" w:space="0" w:color="auto"/>
            <w:right w:val="none" w:sz="0" w:space="0" w:color="auto"/>
          </w:divBdr>
        </w:div>
      </w:divsChild>
    </w:div>
    <w:div w:id="2010789168">
      <w:bodyDiv w:val="1"/>
      <w:marLeft w:val="0"/>
      <w:marRight w:val="0"/>
      <w:marTop w:val="0"/>
      <w:marBottom w:val="0"/>
      <w:divBdr>
        <w:top w:val="none" w:sz="0" w:space="0" w:color="auto"/>
        <w:left w:val="none" w:sz="0" w:space="0" w:color="auto"/>
        <w:bottom w:val="none" w:sz="0" w:space="0" w:color="auto"/>
        <w:right w:val="none" w:sz="0" w:space="0" w:color="auto"/>
      </w:divBdr>
      <w:divsChild>
        <w:div w:id="1049766234">
          <w:marLeft w:val="0"/>
          <w:marRight w:val="0"/>
          <w:marTop w:val="0"/>
          <w:marBottom w:val="0"/>
          <w:divBdr>
            <w:top w:val="none" w:sz="0" w:space="0" w:color="auto"/>
            <w:left w:val="none" w:sz="0" w:space="0" w:color="auto"/>
            <w:bottom w:val="none" w:sz="0" w:space="0" w:color="auto"/>
            <w:right w:val="none" w:sz="0" w:space="0" w:color="auto"/>
          </w:divBdr>
          <w:divsChild>
            <w:div w:id="1752265888">
              <w:marLeft w:val="0"/>
              <w:marRight w:val="0"/>
              <w:marTop w:val="0"/>
              <w:marBottom w:val="0"/>
              <w:divBdr>
                <w:top w:val="none" w:sz="0" w:space="0" w:color="auto"/>
                <w:left w:val="none" w:sz="0" w:space="0" w:color="auto"/>
                <w:bottom w:val="none" w:sz="0" w:space="0" w:color="auto"/>
                <w:right w:val="none" w:sz="0" w:space="0" w:color="auto"/>
              </w:divBdr>
              <w:divsChild>
                <w:div w:id="1169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5FB0FE-DE83-4231-AFFD-F7FEE62559E1}"/>
</file>

<file path=customXml/itemProps2.xml><?xml version="1.0" encoding="utf-8"?>
<ds:datastoreItem xmlns:ds="http://schemas.openxmlformats.org/officeDocument/2006/customXml" ds:itemID="{256ED049-E73F-47D5-887B-62E579066C30}"/>
</file>

<file path=customXml/itemProps3.xml><?xml version="1.0" encoding="utf-8"?>
<ds:datastoreItem xmlns:ds="http://schemas.openxmlformats.org/officeDocument/2006/customXml" ds:itemID="{0C9B7495-54EF-4E48-964A-570132091783}"/>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2020-04-21T19:57:00Z</dcterms:created>
  <dcterms:modified xsi:type="dcterms:W3CDTF">2020-04-21T20:05:00Z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