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266" w:rsidRPr="001E2266" w:rsidRDefault="001E2266" w:rsidP="001E2266">
      <w:pPr>
        <w:jc w:val="center"/>
        <w:rPr>
          <w:b/>
          <w:sz w:val="24"/>
          <w:lang w:val="en-US"/>
        </w:rPr>
      </w:pPr>
      <w:r w:rsidRPr="001E2266">
        <w:rPr>
          <w:b/>
          <w:sz w:val="24"/>
          <w:lang w:val="en-US"/>
        </w:rPr>
        <w:t>SOCIAL FORUM 2019</w:t>
      </w:r>
    </w:p>
    <w:p w:rsidR="001E2266" w:rsidRPr="001E2266" w:rsidRDefault="001E2266" w:rsidP="001E2266">
      <w:pPr>
        <w:jc w:val="center"/>
        <w:rPr>
          <w:sz w:val="24"/>
          <w:lang w:val="en-US"/>
        </w:rPr>
      </w:pPr>
    </w:p>
    <w:p w:rsidR="001E2266" w:rsidRPr="001E2266" w:rsidRDefault="001E2266" w:rsidP="001E2266">
      <w:pPr>
        <w:jc w:val="center"/>
        <w:rPr>
          <w:sz w:val="24"/>
          <w:lang w:val="en-US"/>
        </w:rPr>
      </w:pPr>
      <w:r w:rsidRPr="001E2266">
        <w:rPr>
          <w:sz w:val="24"/>
          <w:lang w:val="en-US"/>
        </w:rPr>
        <w:t>2 October 2019</w:t>
      </w:r>
    </w:p>
    <w:p w:rsidR="001E2266" w:rsidRPr="001E2266" w:rsidRDefault="001E2266" w:rsidP="001E2266">
      <w:pPr>
        <w:jc w:val="center"/>
        <w:rPr>
          <w:sz w:val="24"/>
          <w:lang w:val="en-US"/>
        </w:rPr>
      </w:pPr>
    </w:p>
    <w:p w:rsidR="001E2266" w:rsidRPr="001E2266" w:rsidRDefault="001E2266" w:rsidP="001E2266">
      <w:pPr>
        <w:jc w:val="center"/>
        <w:rPr>
          <w:sz w:val="24"/>
          <w:lang w:val="en-US"/>
        </w:rPr>
      </w:pPr>
      <w:r w:rsidRPr="001E2266">
        <w:rPr>
          <w:sz w:val="24"/>
          <w:lang w:val="en-US"/>
        </w:rPr>
        <w:t>Statement for the panel discussion “How education today can strengthen opportunities for the future”</w:t>
      </w:r>
    </w:p>
    <w:p w:rsidR="001E2266" w:rsidRDefault="001E2266" w:rsidP="001E2266">
      <w:pPr>
        <w:jc w:val="center"/>
        <w:rPr>
          <w:sz w:val="24"/>
          <w:lang w:val="en-US"/>
        </w:rPr>
      </w:pPr>
      <w:r>
        <w:rPr>
          <w:sz w:val="24"/>
          <w:lang w:val="en-US"/>
        </w:rPr>
        <w:t xml:space="preserve">by </w:t>
      </w:r>
      <w:r w:rsidRPr="001E2266">
        <w:rPr>
          <w:b/>
          <w:sz w:val="24"/>
          <w:lang w:val="en-US"/>
        </w:rPr>
        <w:t>Hiromichi Katayama</w:t>
      </w:r>
      <w:r w:rsidRPr="001E2266">
        <w:rPr>
          <w:sz w:val="24"/>
          <w:lang w:val="en-US"/>
        </w:rPr>
        <w:t xml:space="preserve"> </w:t>
      </w:r>
    </w:p>
    <w:p w:rsidR="001E2266" w:rsidRDefault="00BF6CC4" w:rsidP="001E2266">
      <w:pPr>
        <w:jc w:val="center"/>
        <w:rPr>
          <w:sz w:val="24"/>
          <w:lang w:val="en-US"/>
        </w:rPr>
      </w:pPr>
      <w:bookmarkStart w:id="0" w:name="_GoBack"/>
      <w:r w:rsidRPr="00BF6CC4">
        <w:rPr>
          <w:sz w:val="24"/>
          <w:lang w:val="en-US"/>
        </w:rPr>
        <w:t>Programme Specialist</w:t>
      </w:r>
      <w:bookmarkEnd w:id="0"/>
      <w:r w:rsidR="001E2266" w:rsidRPr="001E2266">
        <w:rPr>
          <w:sz w:val="24"/>
          <w:lang w:val="en-US"/>
        </w:rPr>
        <w:t>, Section of Youth, Literacy and Skills Development, Education Sector</w:t>
      </w:r>
      <w:r w:rsidR="001E2266">
        <w:rPr>
          <w:sz w:val="24"/>
          <w:lang w:val="en-US"/>
        </w:rPr>
        <w:t>, UNESCO</w:t>
      </w:r>
    </w:p>
    <w:p w:rsidR="001E2266" w:rsidRPr="001E2266" w:rsidRDefault="001E2266" w:rsidP="001E2266">
      <w:pPr>
        <w:jc w:val="center"/>
        <w:rPr>
          <w:sz w:val="24"/>
          <w:lang w:val="en-US"/>
        </w:rPr>
      </w:pPr>
      <w:r>
        <w:rPr>
          <w:sz w:val="24"/>
          <w:lang w:val="en-US"/>
        </w:rPr>
        <w:t>“</w:t>
      </w:r>
      <w:r w:rsidRPr="001E2266">
        <w:rPr>
          <w:sz w:val="24"/>
          <w:lang w:val="en-US"/>
        </w:rPr>
        <w:t>The role of education and training for a better life and decent work</w:t>
      </w:r>
      <w:r>
        <w:rPr>
          <w:sz w:val="24"/>
          <w:lang w:val="en-US"/>
        </w:rPr>
        <w:t>”</w:t>
      </w:r>
    </w:p>
    <w:p w:rsidR="001E2266" w:rsidRPr="001E2266" w:rsidRDefault="001E2266" w:rsidP="001E2266">
      <w:pPr>
        <w:rPr>
          <w:sz w:val="24"/>
          <w:lang w:val="en-US"/>
        </w:rPr>
      </w:pPr>
    </w:p>
    <w:p w:rsidR="001E2266" w:rsidRPr="001E2266" w:rsidRDefault="001E2266" w:rsidP="001E2266">
      <w:pPr>
        <w:rPr>
          <w:sz w:val="24"/>
          <w:lang w:val="en-US"/>
        </w:rPr>
      </w:pPr>
    </w:p>
    <w:p w:rsidR="006A249B" w:rsidRDefault="001E2266" w:rsidP="00E01E68">
      <w:pPr>
        <w:ind w:firstLine="851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My </w:t>
      </w:r>
      <w:r w:rsidRPr="001E2266">
        <w:rPr>
          <w:sz w:val="24"/>
          <w:lang w:val="en-US"/>
        </w:rPr>
        <w:t xml:space="preserve">section is responsible for youth literacy and skills development. </w:t>
      </w:r>
      <w:r>
        <w:rPr>
          <w:sz w:val="24"/>
          <w:lang w:val="en-US"/>
        </w:rPr>
        <w:t>In this panel discussion, w</w:t>
      </w:r>
      <w:r w:rsidRPr="001E2266">
        <w:rPr>
          <w:sz w:val="24"/>
          <w:lang w:val="en-US"/>
        </w:rPr>
        <w:t>e are talking about the future. So I</w:t>
      </w:r>
      <w:r>
        <w:rPr>
          <w:sz w:val="24"/>
          <w:lang w:val="en-US"/>
        </w:rPr>
        <w:t xml:space="preserve"> woul</w:t>
      </w:r>
      <w:r w:rsidRPr="001E2266">
        <w:rPr>
          <w:sz w:val="24"/>
          <w:lang w:val="en-US"/>
        </w:rPr>
        <w:t xml:space="preserve">d like to </w:t>
      </w:r>
      <w:r w:rsidR="006A249B">
        <w:rPr>
          <w:sz w:val="24"/>
          <w:lang w:val="en-US"/>
        </w:rPr>
        <w:t>discuss</w:t>
      </w:r>
      <w:r w:rsidRPr="001E2266">
        <w:rPr>
          <w:sz w:val="24"/>
          <w:lang w:val="en-US"/>
        </w:rPr>
        <w:t xml:space="preserve"> how we capture the demand for skills for </w:t>
      </w:r>
      <w:r w:rsidR="00E01E68">
        <w:rPr>
          <w:sz w:val="24"/>
          <w:lang w:val="en-US"/>
        </w:rPr>
        <w:t xml:space="preserve">the </w:t>
      </w:r>
      <w:r w:rsidRPr="001E2266">
        <w:rPr>
          <w:sz w:val="24"/>
          <w:lang w:val="en-US"/>
        </w:rPr>
        <w:t xml:space="preserve">future and what kind of training and education we are trying to provide by helping our Member States. </w:t>
      </w:r>
    </w:p>
    <w:p w:rsidR="001E2266" w:rsidRPr="001E2266" w:rsidRDefault="006A249B" w:rsidP="00E01E68">
      <w:pPr>
        <w:ind w:firstLine="851"/>
        <w:jc w:val="both"/>
        <w:rPr>
          <w:sz w:val="24"/>
          <w:lang w:val="en-US"/>
        </w:rPr>
      </w:pPr>
      <w:r>
        <w:rPr>
          <w:sz w:val="24"/>
          <w:lang w:val="en-US"/>
        </w:rPr>
        <w:t>F</w:t>
      </w:r>
      <w:r w:rsidR="001E2266" w:rsidRPr="001E2266">
        <w:rPr>
          <w:sz w:val="24"/>
          <w:lang w:val="en-US"/>
        </w:rPr>
        <w:t>irst of all, I</w:t>
      </w:r>
      <w:r>
        <w:rPr>
          <w:sz w:val="24"/>
          <w:lang w:val="en-US"/>
        </w:rPr>
        <w:t xml:space="preserve"> woul</w:t>
      </w:r>
      <w:r w:rsidR="001E2266" w:rsidRPr="001E2266">
        <w:rPr>
          <w:sz w:val="24"/>
          <w:lang w:val="en-US"/>
        </w:rPr>
        <w:t xml:space="preserve">d like to mention that our focus is youth and adults, </w:t>
      </w:r>
      <w:r>
        <w:rPr>
          <w:sz w:val="24"/>
          <w:lang w:val="en-US"/>
        </w:rPr>
        <w:t>also</w:t>
      </w:r>
      <w:r w:rsidR="001E2266" w:rsidRPr="001E2266">
        <w:rPr>
          <w:sz w:val="24"/>
          <w:lang w:val="en-US"/>
        </w:rPr>
        <w:t xml:space="preserve"> we have colleagues working on children and the basic general education</w:t>
      </w:r>
      <w:r>
        <w:rPr>
          <w:sz w:val="24"/>
          <w:lang w:val="en-US"/>
        </w:rPr>
        <w:t>. However,</w:t>
      </w:r>
      <w:r w:rsidR="001E2266" w:rsidRPr="001E2266">
        <w:rPr>
          <w:sz w:val="24"/>
          <w:lang w:val="en-US"/>
        </w:rPr>
        <w:t xml:space="preserve"> the mandate of our section is technical and vocational education and skills development</w:t>
      </w:r>
      <w:r w:rsidR="00344AEC">
        <w:rPr>
          <w:sz w:val="24"/>
          <w:lang w:val="en-US"/>
        </w:rPr>
        <w:t xml:space="preserve"> for </w:t>
      </w:r>
      <w:r w:rsidR="00085444">
        <w:rPr>
          <w:sz w:val="24"/>
          <w:lang w:val="en-US"/>
        </w:rPr>
        <w:t>youth and adults</w:t>
      </w:r>
      <w:r w:rsidR="001E2266" w:rsidRPr="001E2266">
        <w:rPr>
          <w:sz w:val="24"/>
          <w:lang w:val="en-US"/>
        </w:rPr>
        <w:t>.</w:t>
      </w:r>
    </w:p>
    <w:p w:rsidR="001E2266" w:rsidRPr="001E2266" w:rsidRDefault="001E2266" w:rsidP="00E01E68">
      <w:pPr>
        <w:ind w:firstLine="851"/>
        <w:jc w:val="both"/>
        <w:rPr>
          <w:sz w:val="24"/>
          <w:lang w:val="en-US"/>
        </w:rPr>
      </w:pPr>
      <w:r w:rsidRPr="001E2266">
        <w:rPr>
          <w:sz w:val="24"/>
          <w:lang w:val="en-US"/>
        </w:rPr>
        <w:t xml:space="preserve">I would like to briefly </w:t>
      </w:r>
      <w:r w:rsidR="00344AEC">
        <w:rPr>
          <w:sz w:val="24"/>
          <w:lang w:val="en-US"/>
        </w:rPr>
        <w:t>introduce the</w:t>
      </w:r>
      <w:r w:rsidRPr="001E2266">
        <w:rPr>
          <w:sz w:val="24"/>
          <w:lang w:val="en-US"/>
        </w:rPr>
        <w:t xml:space="preserve"> policy and strategies we </w:t>
      </w:r>
      <w:r w:rsidR="00344AEC">
        <w:rPr>
          <w:sz w:val="24"/>
          <w:lang w:val="en-US"/>
        </w:rPr>
        <w:t>are using i</w:t>
      </w:r>
      <w:r w:rsidRPr="001E2266">
        <w:rPr>
          <w:sz w:val="24"/>
          <w:lang w:val="en-US"/>
        </w:rPr>
        <w:t xml:space="preserve">n order to help our </w:t>
      </w:r>
      <w:r w:rsidR="00085444" w:rsidRPr="001E2266">
        <w:rPr>
          <w:sz w:val="24"/>
          <w:lang w:val="en-US"/>
        </w:rPr>
        <w:t>member states</w:t>
      </w:r>
      <w:r w:rsidRPr="001E2266">
        <w:rPr>
          <w:sz w:val="24"/>
          <w:lang w:val="en-US"/>
        </w:rPr>
        <w:t xml:space="preserve">, and then </w:t>
      </w:r>
      <w:r w:rsidR="00344AEC">
        <w:rPr>
          <w:sz w:val="24"/>
          <w:lang w:val="en-US"/>
        </w:rPr>
        <w:t>focus on</w:t>
      </w:r>
      <w:r w:rsidRPr="001E2266">
        <w:rPr>
          <w:sz w:val="24"/>
          <w:lang w:val="en-US"/>
        </w:rPr>
        <w:t xml:space="preserve"> the specific program</w:t>
      </w:r>
      <w:r w:rsidR="00344AEC">
        <w:rPr>
          <w:sz w:val="24"/>
          <w:lang w:val="en-US"/>
        </w:rPr>
        <w:t>me</w:t>
      </w:r>
      <w:r w:rsidRPr="001E2266">
        <w:rPr>
          <w:sz w:val="24"/>
          <w:lang w:val="en-US"/>
        </w:rPr>
        <w:t>s and activities that we have been conducting.</w:t>
      </w:r>
    </w:p>
    <w:p w:rsidR="00085444" w:rsidRDefault="00663AEE" w:rsidP="00E01E68">
      <w:pPr>
        <w:ind w:firstLine="851"/>
        <w:jc w:val="both"/>
        <w:rPr>
          <w:sz w:val="24"/>
          <w:lang w:val="en-US"/>
        </w:rPr>
      </w:pPr>
      <w:r w:rsidRPr="00663AEE">
        <w:rPr>
          <w:sz w:val="24"/>
          <w:lang w:val="en-US"/>
        </w:rPr>
        <w:t>UNESCO's Strategy for Technical and Vocational Education and Training (TVET) </w:t>
      </w:r>
      <w:r w:rsidR="001E2266" w:rsidRPr="001E2266">
        <w:rPr>
          <w:sz w:val="24"/>
          <w:lang w:val="en-US"/>
        </w:rPr>
        <w:t>2016</w:t>
      </w:r>
      <w:r>
        <w:rPr>
          <w:sz w:val="24"/>
          <w:lang w:val="en-US"/>
        </w:rPr>
        <w:t>-</w:t>
      </w:r>
      <w:r w:rsidR="001E2266" w:rsidRPr="001E2266">
        <w:rPr>
          <w:sz w:val="24"/>
          <w:lang w:val="en-US"/>
        </w:rPr>
        <w:t>2021</w:t>
      </w:r>
      <w:r>
        <w:rPr>
          <w:sz w:val="24"/>
          <w:lang w:val="en-US"/>
        </w:rPr>
        <w:t xml:space="preserve"> has</w:t>
      </w:r>
      <w:r w:rsidR="001E2266" w:rsidRPr="001E2266">
        <w:rPr>
          <w:sz w:val="24"/>
          <w:lang w:val="en-US"/>
        </w:rPr>
        <w:t xml:space="preserve"> three priority areas. </w:t>
      </w:r>
      <w:r>
        <w:rPr>
          <w:sz w:val="24"/>
          <w:lang w:val="en-US"/>
        </w:rPr>
        <w:t>The first one</w:t>
      </w:r>
      <w:r w:rsidR="001E2266" w:rsidRPr="001E2266">
        <w:rPr>
          <w:sz w:val="24"/>
          <w:lang w:val="en-US"/>
        </w:rPr>
        <w:t xml:space="preserve"> is youth employment and </w:t>
      </w:r>
      <w:r>
        <w:rPr>
          <w:sz w:val="24"/>
          <w:lang w:val="en-US"/>
        </w:rPr>
        <w:t>youth employ</w:t>
      </w:r>
      <w:r w:rsidR="001E2266" w:rsidRPr="001E2266">
        <w:rPr>
          <w:sz w:val="24"/>
          <w:lang w:val="en-US"/>
        </w:rPr>
        <w:t>abilit</w:t>
      </w:r>
      <w:r>
        <w:rPr>
          <w:sz w:val="24"/>
          <w:lang w:val="en-US"/>
        </w:rPr>
        <w:t>y. Second, it focuses on</w:t>
      </w:r>
      <w:r w:rsidR="001E2266" w:rsidRPr="001E2266">
        <w:rPr>
          <w:sz w:val="24"/>
          <w:lang w:val="en-US"/>
        </w:rPr>
        <w:t xml:space="preserve"> equity and gender equality. </w:t>
      </w:r>
      <w:r w:rsidR="00085444">
        <w:rPr>
          <w:sz w:val="24"/>
          <w:lang w:val="en-US"/>
        </w:rPr>
        <w:t>Third</w:t>
      </w:r>
      <w:r w:rsidR="001E2266" w:rsidRPr="001E2266">
        <w:rPr>
          <w:sz w:val="24"/>
          <w:lang w:val="en-US"/>
        </w:rPr>
        <w:t xml:space="preserve">, </w:t>
      </w:r>
      <w:r w:rsidR="00085444">
        <w:rPr>
          <w:sz w:val="24"/>
          <w:lang w:val="en-US"/>
        </w:rPr>
        <w:t>it is aimed at</w:t>
      </w:r>
      <w:r w:rsidR="001E2266" w:rsidRPr="001E2266">
        <w:rPr>
          <w:sz w:val="24"/>
          <w:lang w:val="en-US"/>
        </w:rPr>
        <w:t xml:space="preserve"> helping member </w:t>
      </w:r>
      <w:r w:rsidR="00085444">
        <w:rPr>
          <w:sz w:val="24"/>
          <w:lang w:val="en-US"/>
        </w:rPr>
        <w:t>states</w:t>
      </w:r>
      <w:r w:rsidR="001E2266" w:rsidRPr="001E2266">
        <w:rPr>
          <w:sz w:val="24"/>
          <w:lang w:val="en-US"/>
        </w:rPr>
        <w:t xml:space="preserve"> to transform t</w:t>
      </w:r>
      <w:r w:rsidR="00085444">
        <w:rPr>
          <w:sz w:val="24"/>
          <w:lang w:val="en-US"/>
        </w:rPr>
        <w:t>heir societies</w:t>
      </w:r>
      <w:r w:rsidR="001E2266" w:rsidRPr="001E2266">
        <w:rPr>
          <w:sz w:val="24"/>
          <w:lang w:val="en-US"/>
        </w:rPr>
        <w:t xml:space="preserve"> to greener economies, including further introduction of the digital space and digit</w:t>
      </w:r>
      <w:r w:rsidR="00085444">
        <w:rPr>
          <w:sz w:val="24"/>
          <w:lang w:val="en-US"/>
        </w:rPr>
        <w:t>al</w:t>
      </w:r>
      <w:r w:rsidR="001E2266" w:rsidRPr="001E2266">
        <w:rPr>
          <w:sz w:val="24"/>
          <w:lang w:val="en-US"/>
        </w:rPr>
        <w:t xml:space="preserve">ization in those countries. </w:t>
      </w:r>
    </w:p>
    <w:p w:rsidR="00D223B7" w:rsidRDefault="001E2266" w:rsidP="00E01E68">
      <w:pPr>
        <w:ind w:firstLine="851"/>
        <w:jc w:val="both"/>
        <w:rPr>
          <w:sz w:val="24"/>
          <w:lang w:val="en-US"/>
        </w:rPr>
      </w:pPr>
      <w:r w:rsidRPr="001E2266">
        <w:rPr>
          <w:sz w:val="24"/>
          <w:lang w:val="en-US"/>
        </w:rPr>
        <w:t xml:space="preserve">UNESCO has a set of recommendations </w:t>
      </w:r>
      <w:r w:rsidR="00085444">
        <w:rPr>
          <w:sz w:val="24"/>
          <w:lang w:val="en-US"/>
        </w:rPr>
        <w:t xml:space="preserve">for member states </w:t>
      </w:r>
      <w:r w:rsidRPr="001E2266">
        <w:rPr>
          <w:sz w:val="24"/>
          <w:lang w:val="en-US"/>
        </w:rPr>
        <w:t xml:space="preserve">to improve </w:t>
      </w:r>
      <w:r w:rsidR="00085444" w:rsidRPr="001E2266">
        <w:rPr>
          <w:sz w:val="24"/>
          <w:lang w:val="en-US"/>
        </w:rPr>
        <w:t xml:space="preserve">education and training systems </w:t>
      </w:r>
      <w:r w:rsidRPr="001E2266">
        <w:rPr>
          <w:sz w:val="24"/>
          <w:lang w:val="en-US"/>
        </w:rPr>
        <w:t>of their cou</w:t>
      </w:r>
      <w:r w:rsidR="00085444">
        <w:rPr>
          <w:sz w:val="24"/>
          <w:lang w:val="en-US"/>
        </w:rPr>
        <w:t>ntries.</w:t>
      </w:r>
      <w:r w:rsidRPr="001E2266">
        <w:rPr>
          <w:sz w:val="24"/>
          <w:lang w:val="en-US"/>
        </w:rPr>
        <w:t xml:space="preserve"> </w:t>
      </w:r>
      <w:r w:rsidR="00085444">
        <w:rPr>
          <w:sz w:val="24"/>
          <w:lang w:val="en-US"/>
        </w:rPr>
        <w:t>These recommendations concern</w:t>
      </w:r>
      <w:r w:rsidRPr="001E2266">
        <w:rPr>
          <w:sz w:val="24"/>
          <w:lang w:val="en-US"/>
        </w:rPr>
        <w:t xml:space="preserve"> access</w:t>
      </w:r>
      <w:r w:rsidR="00085444">
        <w:rPr>
          <w:sz w:val="24"/>
          <w:lang w:val="en-US"/>
        </w:rPr>
        <w:t>,</w:t>
      </w:r>
      <w:r w:rsidRPr="001E2266">
        <w:rPr>
          <w:sz w:val="24"/>
          <w:lang w:val="en-US"/>
        </w:rPr>
        <w:t xml:space="preserve"> inclusion</w:t>
      </w:r>
      <w:r w:rsidR="00085444">
        <w:rPr>
          <w:sz w:val="24"/>
          <w:lang w:val="en-US"/>
        </w:rPr>
        <w:t>,</w:t>
      </w:r>
      <w:r w:rsidRPr="001E2266">
        <w:rPr>
          <w:sz w:val="24"/>
          <w:lang w:val="en-US"/>
        </w:rPr>
        <w:t xml:space="preserve"> equity</w:t>
      </w:r>
      <w:r w:rsidR="00085444">
        <w:rPr>
          <w:sz w:val="24"/>
          <w:lang w:val="en-US"/>
        </w:rPr>
        <w:t>,</w:t>
      </w:r>
      <w:r w:rsidRPr="001E2266">
        <w:rPr>
          <w:sz w:val="24"/>
          <w:lang w:val="en-US"/>
        </w:rPr>
        <w:t xml:space="preserve"> financing</w:t>
      </w:r>
      <w:r w:rsidR="00085444">
        <w:rPr>
          <w:sz w:val="24"/>
          <w:lang w:val="en-US"/>
        </w:rPr>
        <w:t>,</w:t>
      </w:r>
      <w:r w:rsidRPr="001E2266">
        <w:rPr>
          <w:sz w:val="24"/>
          <w:lang w:val="en-US"/>
        </w:rPr>
        <w:t xml:space="preserve"> management, etc. But what makes our section slightly different from </w:t>
      </w:r>
      <w:r w:rsidR="00085444">
        <w:rPr>
          <w:sz w:val="24"/>
          <w:lang w:val="en-US"/>
        </w:rPr>
        <w:t>the rest of the</w:t>
      </w:r>
      <w:r w:rsidRPr="001E2266">
        <w:rPr>
          <w:sz w:val="24"/>
          <w:lang w:val="en-US"/>
        </w:rPr>
        <w:t xml:space="preserve"> education subsector is </w:t>
      </w:r>
      <w:r w:rsidR="00085444">
        <w:rPr>
          <w:sz w:val="24"/>
          <w:lang w:val="en-US"/>
        </w:rPr>
        <w:t>our aim to ensure the cross-</w:t>
      </w:r>
      <w:r w:rsidRPr="001E2266">
        <w:rPr>
          <w:sz w:val="24"/>
          <w:lang w:val="en-US"/>
        </w:rPr>
        <w:t xml:space="preserve">cutting </w:t>
      </w:r>
      <w:r w:rsidR="00085444">
        <w:rPr>
          <w:sz w:val="24"/>
          <w:lang w:val="en-US"/>
        </w:rPr>
        <w:t xml:space="preserve">nature of </w:t>
      </w:r>
      <w:r w:rsidRPr="001E2266">
        <w:rPr>
          <w:sz w:val="24"/>
          <w:lang w:val="en-US"/>
        </w:rPr>
        <w:t>our interventions</w:t>
      </w:r>
      <w:r w:rsidR="00085444">
        <w:rPr>
          <w:sz w:val="24"/>
          <w:lang w:val="en-US"/>
        </w:rPr>
        <w:t>. Vocational</w:t>
      </w:r>
      <w:r w:rsidRPr="001E2266">
        <w:rPr>
          <w:sz w:val="24"/>
          <w:lang w:val="en-US"/>
        </w:rPr>
        <w:t xml:space="preserve"> education is not </w:t>
      </w:r>
      <w:r w:rsidR="00085444">
        <w:rPr>
          <w:sz w:val="24"/>
          <w:lang w:val="en-US"/>
        </w:rPr>
        <w:t>exclusively</w:t>
      </w:r>
      <w:r w:rsidRPr="001E2266">
        <w:rPr>
          <w:sz w:val="24"/>
          <w:lang w:val="en-US"/>
        </w:rPr>
        <w:t xml:space="preserve"> the mandate of the Ministry of Education</w:t>
      </w:r>
      <w:r w:rsidR="00085444">
        <w:rPr>
          <w:sz w:val="24"/>
          <w:lang w:val="en-US"/>
        </w:rPr>
        <w:t xml:space="preserve">. For this reason, </w:t>
      </w:r>
      <w:r w:rsidRPr="001E2266">
        <w:rPr>
          <w:sz w:val="24"/>
          <w:lang w:val="en-US"/>
        </w:rPr>
        <w:t xml:space="preserve">we </w:t>
      </w:r>
      <w:r w:rsidR="00085444">
        <w:rPr>
          <w:sz w:val="24"/>
          <w:lang w:val="en-US"/>
        </w:rPr>
        <w:t>try</w:t>
      </w:r>
      <w:r w:rsidRPr="001E2266">
        <w:rPr>
          <w:sz w:val="24"/>
          <w:lang w:val="en-US"/>
        </w:rPr>
        <w:t xml:space="preserve"> to work with other ministries as well</w:t>
      </w:r>
      <w:r w:rsidR="00D223B7">
        <w:rPr>
          <w:sz w:val="24"/>
          <w:lang w:val="en-US"/>
        </w:rPr>
        <w:t xml:space="preserve"> in order to ha</w:t>
      </w:r>
      <w:r w:rsidRPr="001E2266">
        <w:rPr>
          <w:sz w:val="24"/>
          <w:lang w:val="en-US"/>
        </w:rPr>
        <w:t xml:space="preserve">ve a better understanding of </w:t>
      </w:r>
      <w:r w:rsidR="00D223B7">
        <w:rPr>
          <w:sz w:val="24"/>
          <w:lang w:val="en-US"/>
        </w:rPr>
        <w:t>the</w:t>
      </w:r>
      <w:r w:rsidRPr="001E2266">
        <w:rPr>
          <w:sz w:val="24"/>
          <w:lang w:val="en-US"/>
        </w:rPr>
        <w:t xml:space="preserve"> skills needed in the labor market, and to have a better understanding of the specific sectors</w:t>
      </w:r>
      <w:r w:rsidR="00D223B7">
        <w:rPr>
          <w:sz w:val="24"/>
          <w:lang w:val="en-US"/>
        </w:rPr>
        <w:t>, such as</w:t>
      </w:r>
      <w:r w:rsidRPr="001E2266">
        <w:rPr>
          <w:sz w:val="24"/>
          <w:lang w:val="en-US"/>
        </w:rPr>
        <w:t xml:space="preserve"> agriculture</w:t>
      </w:r>
      <w:r w:rsidR="00D223B7">
        <w:rPr>
          <w:sz w:val="24"/>
          <w:lang w:val="en-US"/>
        </w:rPr>
        <w:t xml:space="preserve"> or</w:t>
      </w:r>
      <w:r w:rsidRPr="001E2266">
        <w:rPr>
          <w:sz w:val="24"/>
          <w:lang w:val="en-US"/>
        </w:rPr>
        <w:t xml:space="preserve"> industr</w:t>
      </w:r>
      <w:r w:rsidR="00D223B7">
        <w:rPr>
          <w:sz w:val="24"/>
          <w:lang w:val="en-US"/>
        </w:rPr>
        <w:t>ies</w:t>
      </w:r>
      <w:r w:rsidRPr="001E2266">
        <w:rPr>
          <w:sz w:val="24"/>
          <w:lang w:val="en-US"/>
        </w:rPr>
        <w:t xml:space="preserve">. </w:t>
      </w:r>
    </w:p>
    <w:p w:rsidR="001E2266" w:rsidRPr="001E2266" w:rsidRDefault="00D223B7" w:rsidP="00E01E68">
      <w:pPr>
        <w:ind w:firstLine="851"/>
        <w:jc w:val="both"/>
        <w:rPr>
          <w:sz w:val="24"/>
          <w:lang w:val="en-US"/>
        </w:rPr>
      </w:pPr>
      <w:r>
        <w:rPr>
          <w:sz w:val="24"/>
          <w:lang w:val="en-US"/>
        </w:rPr>
        <w:t>In our work,</w:t>
      </w:r>
      <w:r w:rsidR="001E2266" w:rsidRPr="001E2266">
        <w:rPr>
          <w:sz w:val="24"/>
          <w:lang w:val="en-US"/>
        </w:rPr>
        <w:t xml:space="preserve"> we </w:t>
      </w:r>
      <w:r>
        <w:rPr>
          <w:sz w:val="24"/>
          <w:lang w:val="en-US"/>
        </w:rPr>
        <w:t xml:space="preserve">always aim </w:t>
      </w:r>
      <w:r w:rsidR="001E2266" w:rsidRPr="001E2266">
        <w:rPr>
          <w:sz w:val="24"/>
          <w:lang w:val="en-US"/>
        </w:rPr>
        <w:t>to engage economic communities</w:t>
      </w:r>
      <w:r>
        <w:rPr>
          <w:sz w:val="24"/>
          <w:lang w:val="en-US"/>
        </w:rPr>
        <w:t xml:space="preserve">, such as </w:t>
      </w:r>
      <w:r w:rsidR="001E2266" w:rsidRPr="001E2266">
        <w:rPr>
          <w:sz w:val="24"/>
          <w:lang w:val="en-US"/>
        </w:rPr>
        <w:t xml:space="preserve">industries, employers associations and trade unions. </w:t>
      </w:r>
      <w:r>
        <w:rPr>
          <w:sz w:val="24"/>
          <w:lang w:val="en-US"/>
        </w:rPr>
        <w:t>W</w:t>
      </w:r>
      <w:r w:rsidR="001E2266" w:rsidRPr="001E2266">
        <w:rPr>
          <w:sz w:val="24"/>
          <w:lang w:val="en-US"/>
        </w:rPr>
        <w:t xml:space="preserve">henever we provide a policy advice to our </w:t>
      </w:r>
      <w:r>
        <w:rPr>
          <w:sz w:val="24"/>
          <w:lang w:val="en-US"/>
        </w:rPr>
        <w:t xml:space="preserve">member states, </w:t>
      </w:r>
      <w:r w:rsidR="001E2266" w:rsidRPr="001E2266">
        <w:rPr>
          <w:sz w:val="24"/>
          <w:lang w:val="en-US"/>
        </w:rPr>
        <w:t>we ensure engagement of those stakeholders, as well as non</w:t>
      </w:r>
      <w:r>
        <w:rPr>
          <w:sz w:val="24"/>
          <w:lang w:val="en-US"/>
        </w:rPr>
        <w:t>-</w:t>
      </w:r>
      <w:r w:rsidR="001E2266" w:rsidRPr="001E2266">
        <w:rPr>
          <w:sz w:val="24"/>
          <w:lang w:val="en-US"/>
        </w:rPr>
        <w:t>governmental organization</w:t>
      </w:r>
      <w:r>
        <w:rPr>
          <w:sz w:val="24"/>
          <w:lang w:val="en-US"/>
        </w:rPr>
        <w:t>s</w:t>
      </w:r>
      <w:r w:rsidR="001E2266" w:rsidRPr="001E2266">
        <w:rPr>
          <w:sz w:val="24"/>
          <w:lang w:val="en-US"/>
        </w:rPr>
        <w:t xml:space="preserve">, </w:t>
      </w:r>
      <w:r>
        <w:rPr>
          <w:sz w:val="24"/>
          <w:lang w:val="en-US"/>
        </w:rPr>
        <w:t>civil society organizations and communities</w:t>
      </w:r>
      <w:r w:rsidR="001E2266" w:rsidRPr="001E2266">
        <w:rPr>
          <w:sz w:val="24"/>
          <w:lang w:val="en-US"/>
        </w:rPr>
        <w:t>.</w:t>
      </w:r>
    </w:p>
    <w:p w:rsidR="001E2266" w:rsidRPr="001E2266" w:rsidRDefault="00D223B7" w:rsidP="00E01E68">
      <w:pPr>
        <w:ind w:firstLine="851"/>
        <w:jc w:val="both"/>
        <w:rPr>
          <w:sz w:val="24"/>
          <w:lang w:val="en-US"/>
        </w:rPr>
      </w:pPr>
      <w:r>
        <w:rPr>
          <w:sz w:val="24"/>
          <w:lang w:val="en-US"/>
        </w:rPr>
        <w:t>I</w:t>
      </w:r>
      <w:r w:rsidR="001E2266" w:rsidRPr="001E2266">
        <w:rPr>
          <w:sz w:val="24"/>
          <w:lang w:val="en-US"/>
        </w:rPr>
        <w:t xml:space="preserve">n relation to our recommendations, we are now preparing conceptual publications, focusing on the entitlement of lifelong learning, because we would like to ensure </w:t>
      </w:r>
      <w:r>
        <w:rPr>
          <w:sz w:val="24"/>
          <w:lang w:val="en-US"/>
        </w:rPr>
        <w:t>that every citizen has</w:t>
      </w:r>
      <w:r w:rsidR="001E2266" w:rsidRPr="001E2266">
        <w:rPr>
          <w:sz w:val="24"/>
          <w:lang w:val="en-US"/>
        </w:rPr>
        <w:t xml:space="preserve"> the entitlement to learning opportunities </w:t>
      </w:r>
      <w:r>
        <w:rPr>
          <w:sz w:val="24"/>
          <w:lang w:val="en-US"/>
        </w:rPr>
        <w:t>throughout</w:t>
      </w:r>
      <w:r w:rsidR="001E2266" w:rsidRPr="001E2266">
        <w:rPr>
          <w:sz w:val="24"/>
          <w:lang w:val="en-US"/>
        </w:rPr>
        <w:t xml:space="preserve"> their life. </w:t>
      </w:r>
      <w:r>
        <w:rPr>
          <w:sz w:val="24"/>
          <w:lang w:val="en-US"/>
        </w:rPr>
        <w:t>W</w:t>
      </w:r>
      <w:r w:rsidR="001E2266" w:rsidRPr="001E2266">
        <w:rPr>
          <w:sz w:val="24"/>
          <w:lang w:val="en-US"/>
        </w:rPr>
        <w:t xml:space="preserve">e have been trying to collect specific cases from </w:t>
      </w:r>
      <w:r>
        <w:rPr>
          <w:sz w:val="24"/>
          <w:lang w:val="en-US"/>
        </w:rPr>
        <w:t>member states,</w:t>
      </w:r>
      <w:r w:rsidR="001E2266" w:rsidRPr="001E2266">
        <w:rPr>
          <w:sz w:val="24"/>
          <w:lang w:val="en-US"/>
        </w:rPr>
        <w:t xml:space="preserve"> but </w:t>
      </w:r>
      <w:r>
        <w:rPr>
          <w:sz w:val="24"/>
          <w:lang w:val="en-US"/>
        </w:rPr>
        <w:t xml:space="preserve">this is </w:t>
      </w:r>
      <w:r w:rsidR="001E2266" w:rsidRPr="001E2266">
        <w:rPr>
          <w:sz w:val="24"/>
          <w:lang w:val="en-US"/>
        </w:rPr>
        <w:t>not easy, because</w:t>
      </w:r>
      <w:r>
        <w:rPr>
          <w:sz w:val="24"/>
          <w:lang w:val="en-US"/>
        </w:rPr>
        <w:t xml:space="preserve">, unlike the educational sector, </w:t>
      </w:r>
      <w:r w:rsidRPr="001E2266">
        <w:rPr>
          <w:sz w:val="24"/>
          <w:lang w:val="en-US"/>
        </w:rPr>
        <w:t xml:space="preserve">in </w:t>
      </w:r>
      <w:r>
        <w:rPr>
          <w:sz w:val="24"/>
          <w:lang w:val="en-US"/>
        </w:rPr>
        <w:t xml:space="preserve">most </w:t>
      </w:r>
      <w:r w:rsidRPr="001E2266">
        <w:rPr>
          <w:sz w:val="24"/>
          <w:lang w:val="en-US"/>
        </w:rPr>
        <w:t>countries</w:t>
      </w:r>
      <w:r>
        <w:rPr>
          <w:sz w:val="24"/>
          <w:lang w:val="en-US"/>
        </w:rPr>
        <w:t>, t</w:t>
      </w:r>
      <w:r w:rsidR="001E2266" w:rsidRPr="001E2266">
        <w:rPr>
          <w:sz w:val="24"/>
          <w:lang w:val="en-US"/>
        </w:rPr>
        <w:t>here</w:t>
      </w:r>
      <w:r>
        <w:rPr>
          <w:sz w:val="24"/>
          <w:lang w:val="en-US"/>
        </w:rPr>
        <w:t xml:space="preserve"> i</w:t>
      </w:r>
      <w:r w:rsidR="001E2266" w:rsidRPr="001E2266">
        <w:rPr>
          <w:sz w:val="24"/>
          <w:lang w:val="en-US"/>
        </w:rPr>
        <w:t xml:space="preserve">s no </w:t>
      </w:r>
      <w:r>
        <w:rPr>
          <w:sz w:val="24"/>
          <w:lang w:val="en-US"/>
        </w:rPr>
        <w:t>unified</w:t>
      </w:r>
      <w:r w:rsidR="001E2266" w:rsidRPr="001E2266">
        <w:rPr>
          <w:sz w:val="24"/>
          <w:lang w:val="en-US"/>
        </w:rPr>
        <w:t xml:space="preserve"> lifelong learning system</w:t>
      </w:r>
      <w:r>
        <w:rPr>
          <w:sz w:val="24"/>
          <w:lang w:val="en-US"/>
        </w:rPr>
        <w:t>. Very often</w:t>
      </w:r>
      <w:r w:rsidR="00521259">
        <w:rPr>
          <w:sz w:val="24"/>
          <w:lang w:val="en-US"/>
        </w:rPr>
        <w:t>,</w:t>
      </w:r>
      <w:r w:rsidR="001E2266" w:rsidRPr="001E2266">
        <w:rPr>
          <w:sz w:val="24"/>
          <w:lang w:val="en-US"/>
        </w:rPr>
        <w:t xml:space="preserve"> it</w:t>
      </w:r>
      <w:r>
        <w:rPr>
          <w:sz w:val="24"/>
          <w:lang w:val="en-US"/>
        </w:rPr>
        <w:t xml:space="preserve"> i</w:t>
      </w:r>
      <w:r w:rsidR="001E2266" w:rsidRPr="001E2266">
        <w:rPr>
          <w:sz w:val="24"/>
          <w:lang w:val="en-US"/>
        </w:rPr>
        <w:t xml:space="preserve">s the combination of many different aspects. </w:t>
      </w:r>
      <w:r>
        <w:rPr>
          <w:sz w:val="24"/>
          <w:lang w:val="en-US"/>
        </w:rPr>
        <w:t>S</w:t>
      </w:r>
      <w:r w:rsidR="001E2266" w:rsidRPr="001E2266">
        <w:rPr>
          <w:sz w:val="24"/>
          <w:lang w:val="en-US"/>
        </w:rPr>
        <w:t xml:space="preserve">ome countries provide </w:t>
      </w:r>
      <w:r w:rsidRPr="001E2266">
        <w:rPr>
          <w:sz w:val="24"/>
          <w:lang w:val="en-US"/>
        </w:rPr>
        <w:t xml:space="preserve">lifelong learning </w:t>
      </w:r>
      <w:r w:rsidR="001E2266" w:rsidRPr="001E2266">
        <w:rPr>
          <w:sz w:val="24"/>
          <w:lang w:val="en-US"/>
        </w:rPr>
        <w:t xml:space="preserve">programs </w:t>
      </w:r>
      <w:r>
        <w:rPr>
          <w:sz w:val="24"/>
          <w:lang w:val="en-US"/>
        </w:rPr>
        <w:t>within the educational sector</w:t>
      </w:r>
      <w:r w:rsidR="001E2266" w:rsidRPr="001E2266">
        <w:rPr>
          <w:sz w:val="24"/>
          <w:lang w:val="en-US"/>
        </w:rPr>
        <w:t>,</w:t>
      </w:r>
      <w:r>
        <w:rPr>
          <w:sz w:val="24"/>
          <w:lang w:val="en-US"/>
        </w:rPr>
        <w:t xml:space="preserve"> while </w:t>
      </w:r>
      <w:r w:rsidR="001E2266" w:rsidRPr="001E2266">
        <w:rPr>
          <w:sz w:val="24"/>
          <w:lang w:val="en-US"/>
        </w:rPr>
        <w:t>others provide relevant program</w:t>
      </w:r>
      <w:r>
        <w:rPr>
          <w:sz w:val="24"/>
          <w:lang w:val="en-US"/>
        </w:rPr>
        <w:t>me</w:t>
      </w:r>
      <w:r w:rsidR="001E2266" w:rsidRPr="001E2266">
        <w:rPr>
          <w:sz w:val="24"/>
          <w:lang w:val="en-US"/>
        </w:rPr>
        <w:t>s under employment services</w:t>
      </w:r>
      <w:r>
        <w:rPr>
          <w:sz w:val="24"/>
          <w:lang w:val="en-US"/>
        </w:rPr>
        <w:t xml:space="preserve"> or</w:t>
      </w:r>
      <w:r w:rsidR="001E2266" w:rsidRPr="001E2266">
        <w:rPr>
          <w:sz w:val="24"/>
          <w:lang w:val="en-US"/>
        </w:rPr>
        <w:t xml:space="preserve"> social protection sectors. </w:t>
      </w:r>
      <w:r>
        <w:rPr>
          <w:sz w:val="24"/>
          <w:lang w:val="en-US"/>
        </w:rPr>
        <w:t>We are working on</w:t>
      </w:r>
      <w:r w:rsidR="001E2266" w:rsidRPr="001E2266">
        <w:rPr>
          <w:sz w:val="24"/>
          <w:lang w:val="en-US"/>
        </w:rPr>
        <w:t xml:space="preserve"> compil</w:t>
      </w:r>
      <w:r>
        <w:rPr>
          <w:sz w:val="24"/>
          <w:lang w:val="en-US"/>
        </w:rPr>
        <w:t>ing</w:t>
      </w:r>
      <w:r w:rsidR="001E2266" w:rsidRPr="001E2266">
        <w:rPr>
          <w:sz w:val="24"/>
          <w:lang w:val="en-US"/>
        </w:rPr>
        <w:t xml:space="preserve"> </w:t>
      </w:r>
      <w:r>
        <w:rPr>
          <w:sz w:val="24"/>
          <w:lang w:val="en-US"/>
        </w:rPr>
        <w:t>different</w:t>
      </w:r>
      <w:r w:rsidR="001E2266" w:rsidRPr="001E2266">
        <w:rPr>
          <w:sz w:val="24"/>
          <w:lang w:val="en-US"/>
        </w:rPr>
        <w:t xml:space="preserve"> </w:t>
      </w:r>
      <w:r>
        <w:rPr>
          <w:sz w:val="24"/>
          <w:lang w:val="en-US"/>
        </w:rPr>
        <w:t>practices</w:t>
      </w:r>
      <w:r w:rsidR="001E2266" w:rsidRPr="001E2266">
        <w:rPr>
          <w:sz w:val="24"/>
          <w:lang w:val="en-US"/>
        </w:rPr>
        <w:t xml:space="preserve"> </w:t>
      </w:r>
      <w:r>
        <w:rPr>
          <w:sz w:val="24"/>
          <w:lang w:val="en-US"/>
        </w:rPr>
        <w:t>in order</w:t>
      </w:r>
      <w:r w:rsidR="001E2266" w:rsidRPr="001E2266">
        <w:rPr>
          <w:sz w:val="24"/>
          <w:lang w:val="en-US"/>
        </w:rPr>
        <w:t xml:space="preserve"> to provide a better understanding of what policy actions and institutional arrangements </w:t>
      </w:r>
      <w:r>
        <w:rPr>
          <w:sz w:val="24"/>
          <w:lang w:val="en-US"/>
        </w:rPr>
        <w:t>would</w:t>
      </w:r>
      <w:r w:rsidR="001E2266" w:rsidRPr="001E2266">
        <w:rPr>
          <w:sz w:val="24"/>
          <w:lang w:val="en-US"/>
        </w:rPr>
        <w:t xml:space="preserve"> be needed to ensure lifelong learning entitlements.</w:t>
      </w:r>
    </w:p>
    <w:p w:rsidR="001E2266" w:rsidRPr="001E2266" w:rsidRDefault="00521259" w:rsidP="00521259">
      <w:pPr>
        <w:ind w:firstLine="851"/>
        <w:jc w:val="both"/>
        <w:rPr>
          <w:sz w:val="24"/>
          <w:lang w:val="en-US"/>
        </w:rPr>
      </w:pPr>
      <w:r>
        <w:rPr>
          <w:sz w:val="24"/>
          <w:lang w:val="en-US"/>
        </w:rPr>
        <w:t>In conclusion, I would like to highlight our current activities</w:t>
      </w:r>
      <w:r w:rsidR="001E2266" w:rsidRPr="001E2266">
        <w:rPr>
          <w:sz w:val="24"/>
          <w:lang w:val="en-US"/>
        </w:rPr>
        <w:t xml:space="preserve">. </w:t>
      </w:r>
      <w:r>
        <w:rPr>
          <w:sz w:val="24"/>
          <w:lang w:val="en-US"/>
        </w:rPr>
        <w:t>W</w:t>
      </w:r>
      <w:r w:rsidR="001E2266" w:rsidRPr="001E2266">
        <w:rPr>
          <w:sz w:val="24"/>
          <w:lang w:val="en-US"/>
        </w:rPr>
        <w:t xml:space="preserve">e receive </w:t>
      </w:r>
      <w:r>
        <w:rPr>
          <w:sz w:val="24"/>
          <w:lang w:val="en-US"/>
        </w:rPr>
        <w:t>many</w:t>
      </w:r>
      <w:r w:rsidR="001E2266" w:rsidRPr="001E2266">
        <w:rPr>
          <w:sz w:val="24"/>
          <w:lang w:val="en-US"/>
        </w:rPr>
        <w:t xml:space="preserve"> requests from member </w:t>
      </w:r>
      <w:r>
        <w:rPr>
          <w:sz w:val="24"/>
          <w:lang w:val="en-US"/>
        </w:rPr>
        <w:t>states</w:t>
      </w:r>
      <w:r w:rsidR="001E2266" w:rsidRPr="001E2266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urging us </w:t>
      </w:r>
      <w:r w:rsidR="001E2266" w:rsidRPr="001E2266">
        <w:rPr>
          <w:sz w:val="24"/>
          <w:lang w:val="en-US"/>
        </w:rPr>
        <w:t>to respond to the needs of</w:t>
      </w:r>
      <w:r>
        <w:rPr>
          <w:sz w:val="24"/>
          <w:lang w:val="en-US"/>
        </w:rPr>
        <w:t xml:space="preserve"> the</w:t>
      </w:r>
      <w:r w:rsidR="001E2266" w:rsidRPr="001E2266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forth industrial revolution. In this context, </w:t>
      </w:r>
      <w:r w:rsidR="001E2266" w:rsidRPr="001E2266">
        <w:rPr>
          <w:sz w:val="24"/>
          <w:lang w:val="en-US"/>
        </w:rPr>
        <w:t>we are explor</w:t>
      </w:r>
      <w:r>
        <w:rPr>
          <w:sz w:val="24"/>
          <w:lang w:val="en-US"/>
        </w:rPr>
        <w:t>ing</w:t>
      </w:r>
      <w:r w:rsidR="001E2266" w:rsidRPr="001E2266">
        <w:rPr>
          <w:sz w:val="24"/>
          <w:lang w:val="en-US"/>
        </w:rPr>
        <w:t xml:space="preserve"> the possibility of providing a technical service to education</w:t>
      </w:r>
      <w:r>
        <w:rPr>
          <w:sz w:val="24"/>
          <w:lang w:val="en-US"/>
        </w:rPr>
        <w:t xml:space="preserve">al and </w:t>
      </w:r>
      <w:r w:rsidR="001E2266" w:rsidRPr="001E2266">
        <w:rPr>
          <w:sz w:val="24"/>
          <w:lang w:val="en-US"/>
        </w:rPr>
        <w:t>training institutions to introduce emerging technologies, such as 3</w:t>
      </w:r>
      <w:r>
        <w:rPr>
          <w:sz w:val="24"/>
          <w:lang w:val="en-US"/>
        </w:rPr>
        <w:t>D</w:t>
      </w:r>
      <w:r w:rsidR="001E2266" w:rsidRPr="001E2266">
        <w:rPr>
          <w:sz w:val="24"/>
          <w:lang w:val="en-US"/>
        </w:rPr>
        <w:t xml:space="preserve"> printing</w:t>
      </w:r>
      <w:r>
        <w:rPr>
          <w:sz w:val="24"/>
          <w:lang w:val="en-US"/>
        </w:rPr>
        <w:t>,</w:t>
      </w:r>
      <w:r w:rsidR="001E2266" w:rsidRPr="001E2266">
        <w:rPr>
          <w:sz w:val="24"/>
          <w:lang w:val="en-US"/>
        </w:rPr>
        <w:t xml:space="preserve"> the use of drones and the use of Internet of </w:t>
      </w:r>
      <w:r w:rsidR="001E2266" w:rsidRPr="001E2266">
        <w:rPr>
          <w:sz w:val="24"/>
          <w:lang w:val="en-US"/>
        </w:rPr>
        <w:lastRenderedPageBreak/>
        <w:t>Things</w:t>
      </w:r>
      <w:r>
        <w:rPr>
          <w:sz w:val="24"/>
          <w:lang w:val="en-US"/>
        </w:rPr>
        <w:t>. This is especially useful i</w:t>
      </w:r>
      <w:r w:rsidR="001E2266" w:rsidRPr="001E2266">
        <w:rPr>
          <w:sz w:val="24"/>
          <w:lang w:val="en-US"/>
        </w:rPr>
        <w:t>n order to manage the pla</w:t>
      </w:r>
      <w:r>
        <w:rPr>
          <w:sz w:val="24"/>
          <w:lang w:val="en-US"/>
        </w:rPr>
        <w:t>n</w:t>
      </w:r>
      <w:r w:rsidR="001E2266" w:rsidRPr="001E2266">
        <w:rPr>
          <w:sz w:val="24"/>
          <w:lang w:val="en-US"/>
        </w:rPr>
        <w:t>t growth in the agricultural sector</w:t>
      </w:r>
      <w:r>
        <w:rPr>
          <w:sz w:val="24"/>
          <w:lang w:val="en-US"/>
        </w:rPr>
        <w:t xml:space="preserve">. </w:t>
      </w:r>
      <w:r w:rsidR="001E2266" w:rsidRPr="001E2266">
        <w:rPr>
          <w:sz w:val="24"/>
          <w:lang w:val="en-US"/>
        </w:rPr>
        <w:t xml:space="preserve">In the previous presentation, there was a reference to the Fab Lab, and this is also what we are trying to do. </w:t>
      </w:r>
      <w:r>
        <w:rPr>
          <w:sz w:val="24"/>
          <w:lang w:val="en-US"/>
        </w:rPr>
        <w:t>W</w:t>
      </w:r>
      <w:r w:rsidR="001E2266" w:rsidRPr="001E2266">
        <w:rPr>
          <w:sz w:val="24"/>
          <w:lang w:val="en-US"/>
        </w:rPr>
        <w:t>e are encouraging training institutions to become technical prototype platforms</w:t>
      </w:r>
      <w:r>
        <w:rPr>
          <w:sz w:val="24"/>
          <w:lang w:val="en-US"/>
        </w:rPr>
        <w:t xml:space="preserve"> i</w:t>
      </w:r>
      <w:r w:rsidR="001E2266" w:rsidRPr="001E2266">
        <w:rPr>
          <w:sz w:val="24"/>
          <w:lang w:val="en-US"/>
        </w:rPr>
        <w:t xml:space="preserve">n order to </w:t>
      </w:r>
      <w:r>
        <w:rPr>
          <w:sz w:val="24"/>
          <w:lang w:val="en-US"/>
        </w:rPr>
        <w:t>initiate</w:t>
      </w:r>
      <w:r w:rsidR="001E2266" w:rsidRPr="001E2266">
        <w:rPr>
          <w:sz w:val="24"/>
          <w:lang w:val="en-US"/>
        </w:rPr>
        <w:t xml:space="preserve"> innovative ideas or plans to meet the needs </w:t>
      </w:r>
      <w:r>
        <w:rPr>
          <w:sz w:val="24"/>
          <w:lang w:val="en-US"/>
        </w:rPr>
        <w:t>of</w:t>
      </w:r>
      <w:r w:rsidR="001E2266" w:rsidRPr="001E2266">
        <w:rPr>
          <w:sz w:val="24"/>
          <w:lang w:val="en-US"/>
        </w:rPr>
        <w:t xml:space="preserve"> the fourth industrial revolution. </w:t>
      </w:r>
    </w:p>
    <w:p w:rsidR="001E2266" w:rsidRPr="001E2266" w:rsidRDefault="00521259" w:rsidP="00E01E68">
      <w:pPr>
        <w:ind w:firstLine="851"/>
        <w:jc w:val="both"/>
        <w:rPr>
          <w:sz w:val="24"/>
          <w:lang w:val="en-US"/>
        </w:rPr>
      </w:pPr>
      <w:r w:rsidRPr="001E2266">
        <w:rPr>
          <w:sz w:val="24"/>
          <w:lang w:val="en-US"/>
        </w:rPr>
        <w:t xml:space="preserve">Regarding </w:t>
      </w:r>
      <w:r w:rsidR="001E2266" w:rsidRPr="001E2266">
        <w:rPr>
          <w:sz w:val="24"/>
          <w:lang w:val="en-US"/>
        </w:rPr>
        <w:t xml:space="preserve">the future skills </w:t>
      </w:r>
      <w:r>
        <w:rPr>
          <w:sz w:val="24"/>
          <w:lang w:val="en-US"/>
        </w:rPr>
        <w:t>needs</w:t>
      </w:r>
      <w:r w:rsidR="001E2266" w:rsidRPr="001E2266">
        <w:rPr>
          <w:sz w:val="24"/>
          <w:lang w:val="en-US"/>
        </w:rPr>
        <w:t xml:space="preserve">, we have been helping some of the countries </w:t>
      </w:r>
      <w:r>
        <w:rPr>
          <w:sz w:val="24"/>
          <w:lang w:val="en-US"/>
        </w:rPr>
        <w:t xml:space="preserve">to </w:t>
      </w:r>
      <w:r w:rsidR="001E2266" w:rsidRPr="001E2266">
        <w:rPr>
          <w:sz w:val="24"/>
          <w:lang w:val="en-US"/>
        </w:rPr>
        <w:t xml:space="preserve">forecast </w:t>
      </w:r>
      <w:r>
        <w:rPr>
          <w:sz w:val="24"/>
          <w:lang w:val="en-US"/>
        </w:rPr>
        <w:t xml:space="preserve">the </w:t>
      </w:r>
      <w:r w:rsidR="001E2266" w:rsidRPr="001E2266">
        <w:rPr>
          <w:sz w:val="24"/>
          <w:lang w:val="en-US"/>
        </w:rPr>
        <w:t xml:space="preserve">kind of skills </w:t>
      </w:r>
      <w:r>
        <w:rPr>
          <w:sz w:val="24"/>
          <w:lang w:val="en-US"/>
        </w:rPr>
        <w:t>that might be</w:t>
      </w:r>
      <w:r w:rsidR="001E2266" w:rsidRPr="001E2266">
        <w:rPr>
          <w:sz w:val="24"/>
          <w:lang w:val="en-US"/>
        </w:rPr>
        <w:t xml:space="preserve"> needed in the future</w:t>
      </w:r>
      <w:r>
        <w:rPr>
          <w:sz w:val="24"/>
          <w:lang w:val="en-US"/>
        </w:rPr>
        <w:t>, disaggregated by occupation and</w:t>
      </w:r>
      <w:r w:rsidR="001E2266" w:rsidRPr="001E2266">
        <w:rPr>
          <w:sz w:val="24"/>
          <w:lang w:val="en-US"/>
        </w:rPr>
        <w:t xml:space="preserve"> by industries. </w:t>
      </w:r>
      <w:r>
        <w:rPr>
          <w:sz w:val="24"/>
          <w:lang w:val="en-US"/>
        </w:rPr>
        <w:t xml:space="preserve">There is plenty of </w:t>
      </w:r>
      <w:r w:rsidR="001E2266" w:rsidRPr="001E2266">
        <w:rPr>
          <w:sz w:val="24"/>
          <w:lang w:val="en-US"/>
        </w:rPr>
        <w:t>information and data</w:t>
      </w:r>
      <w:r>
        <w:rPr>
          <w:sz w:val="24"/>
          <w:lang w:val="en-US"/>
        </w:rPr>
        <w:t xml:space="preserve"> available</w:t>
      </w:r>
      <w:r w:rsidR="001E2266" w:rsidRPr="001E2266">
        <w:rPr>
          <w:sz w:val="24"/>
          <w:lang w:val="en-US"/>
        </w:rPr>
        <w:t xml:space="preserve"> under</w:t>
      </w:r>
      <w:r>
        <w:rPr>
          <w:sz w:val="24"/>
          <w:lang w:val="en-US"/>
        </w:rPr>
        <w:t xml:space="preserve"> these</w:t>
      </w:r>
      <w:r w:rsidR="001E2266" w:rsidRPr="001E2266">
        <w:rPr>
          <w:sz w:val="24"/>
          <w:lang w:val="en-US"/>
        </w:rPr>
        <w:t xml:space="preserve"> variables, including the administrative data</w:t>
      </w:r>
      <w:r>
        <w:rPr>
          <w:sz w:val="24"/>
          <w:lang w:val="en-US"/>
        </w:rPr>
        <w:t>, labor survey data, cens</w:t>
      </w:r>
      <w:r>
        <w:rPr>
          <w:sz w:val="24"/>
          <w:lang w:val="en-GB"/>
        </w:rPr>
        <w:t>uses</w:t>
      </w:r>
      <w:r>
        <w:rPr>
          <w:sz w:val="24"/>
          <w:lang w:val="en-US"/>
        </w:rPr>
        <w:t xml:space="preserve"> and other quantitative </w:t>
      </w:r>
      <w:r w:rsidR="001E2266" w:rsidRPr="001E2266">
        <w:rPr>
          <w:sz w:val="24"/>
          <w:lang w:val="en-US"/>
        </w:rPr>
        <w:t xml:space="preserve">data. </w:t>
      </w:r>
      <w:r w:rsidR="00BB66C8">
        <w:rPr>
          <w:sz w:val="24"/>
          <w:lang w:val="en-US"/>
        </w:rPr>
        <w:t>W</w:t>
      </w:r>
      <w:r w:rsidR="001E2266" w:rsidRPr="001E2266">
        <w:rPr>
          <w:sz w:val="24"/>
          <w:lang w:val="en-US"/>
        </w:rPr>
        <w:t xml:space="preserve">e </w:t>
      </w:r>
      <w:r w:rsidR="00BB66C8">
        <w:rPr>
          <w:sz w:val="24"/>
          <w:lang w:val="en-US"/>
        </w:rPr>
        <w:t>are trying</w:t>
      </w:r>
      <w:r w:rsidR="001E2266" w:rsidRPr="001E2266">
        <w:rPr>
          <w:sz w:val="24"/>
          <w:lang w:val="en-US"/>
        </w:rPr>
        <w:t xml:space="preserve"> to use as many </w:t>
      </w:r>
      <w:r w:rsidR="00BB66C8">
        <w:rPr>
          <w:sz w:val="24"/>
          <w:lang w:val="en-US"/>
        </w:rPr>
        <w:t xml:space="preserve">sources of </w:t>
      </w:r>
      <w:r w:rsidR="001E2266" w:rsidRPr="001E2266">
        <w:rPr>
          <w:sz w:val="24"/>
          <w:lang w:val="en-US"/>
        </w:rPr>
        <w:t>existing data as possible</w:t>
      </w:r>
      <w:r w:rsidR="00BB66C8">
        <w:rPr>
          <w:sz w:val="24"/>
          <w:lang w:val="en-US"/>
        </w:rPr>
        <w:t xml:space="preserve"> and to build our forecast, focusing on the type of</w:t>
      </w:r>
      <w:r w:rsidR="001E2266" w:rsidRPr="001E2266">
        <w:rPr>
          <w:sz w:val="24"/>
          <w:lang w:val="en-US"/>
        </w:rPr>
        <w:t xml:space="preserve"> skills needed in the labor market. </w:t>
      </w:r>
      <w:r w:rsidR="00BB66C8">
        <w:rPr>
          <w:sz w:val="24"/>
          <w:lang w:val="en-US"/>
        </w:rPr>
        <w:t>The</w:t>
      </w:r>
      <w:r w:rsidR="001E2266" w:rsidRPr="001E2266">
        <w:rPr>
          <w:sz w:val="24"/>
          <w:lang w:val="en-US"/>
        </w:rPr>
        <w:t xml:space="preserve"> lack of data is a serious challenge in low income countries, but even in those countries, people are using online job search platforms. So we are trying to </w:t>
      </w:r>
      <w:r w:rsidR="00BB66C8">
        <w:rPr>
          <w:sz w:val="24"/>
          <w:lang w:val="en-US"/>
        </w:rPr>
        <w:t>obtain</w:t>
      </w:r>
      <w:r w:rsidR="001E2266" w:rsidRPr="001E2266">
        <w:rPr>
          <w:sz w:val="24"/>
          <w:lang w:val="en-US"/>
        </w:rPr>
        <w:t xml:space="preserve"> the big data from those private online platform</w:t>
      </w:r>
      <w:r w:rsidR="00BB66C8">
        <w:rPr>
          <w:sz w:val="24"/>
          <w:lang w:val="en-US"/>
        </w:rPr>
        <w:t>s</w:t>
      </w:r>
      <w:r w:rsidR="001E2266" w:rsidRPr="001E2266">
        <w:rPr>
          <w:sz w:val="24"/>
          <w:lang w:val="en-US"/>
        </w:rPr>
        <w:t xml:space="preserve"> </w:t>
      </w:r>
      <w:r w:rsidR="00BB66C8">
        <w:rPr>
          <w:sz w:val="24"/>
          <w:lang w:val="en-US"/>
        </w:rPr>
        <w:t>for our</w:t>
      </w:r>
      <w:r w:rsidR="001E2266" w:rsidRPr="001E2266">
        <w:rPr>
          <w:sz w:val="24"/>
          <w:lang w:val="en-US"/>
        </w:rPr>
        <w:t xml:space="preserve"> analysis, and thereby </w:t>
      </w:r>
      <w:r w:rsidR="00BB66C8">
        <w:rPr>
          <w:sz w:val="24"/>
          <w:lang w:val="en-US"/>
        </w:rPr>
        <w:t>to</w:t>
      </w:r>
      <w:r w:rsidR="001E2266" w:rsidRPr="001E2266">
        <w:rPr>
          <w:sz w:val="24"/>
          <w:lang w:val="en-US"/>
        </w:rPr>
        <w:t xml:space="preserve"> provide a better information for job seekers and </w:t>
      </w:r>
      <w:r w:rsidR="00BB66C8">
        <w:rPr>
          <w:sz w:val="24"/>
          <w:lang w:val="en-US"/>
        </w:rPr>
        <w:t>for</w:t>
      </w:r>
      <w:r w:rsidR="001E2266" w:rsidRPr="001E2266">
        <w:rPr>
          <w:sz w:val="24"/>
          <w:lang w:val="en-US"/>
        </w:rPr>
        <w:t xml:space="preserve"> </w:t>
      </w:r>
      <w:r w:rsidR="00BB66C8">
        <w:rPr>
          <w:sz w:val="24"/>
          <w:lang w:val="en-US"/>
        </w:rPr>
        <w:t>education planners.</w:t>
      </w:r>
    </w:p>
    <w:p w:rsidR="001E2266" w:rsidRPr="001E2266" w:rsidRDefault="001E2266" w:rsidP="00E01E68">
      <w:pPr>
        <w:ind w:firstLine="851"/>
        <w:jc w:val="both"/>
        <w:rPr>
          <w:sz w:val="24"/>
          <w:lang w:val="en-US"/>
        </w:rPr>
      </w:pPr>
    </w:p>
    <w:p w:rsidR="00446FE5" w:rsidRPr="001E2266" w:rsidRDefault="00446FE5" w:rsidP="00E01E68">
      <w:pPr>
        <w:ind w:firstLine="851"/>
        <w:jc w:val="both"/>
        <w:rPr>
          <w:sz w:val="24"/>
          <w:lang w:val="en-US"/>
        </w:rPr>
      </w:pPr>
    </w:p>
    <w:sectPr w:rsidR="00446FE5" w:rsidRPr="001E2266" w:rsidSect="00382A1F"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266" w:rsidRDefault="001E2266" w:rsidP="00F95C08"/>
  </w:endnote>
  <w:endnote w:type="continuationSeparator" w:id="0">
    <w:p w:rsidR="001E2266" w:rsidRPr="00AC3823" w:rsidRDefault="001E2266" w:rsidP="00AC3823">
      <w:pPr>
        <w:pStyle w:val="Footer"/>
      </w:pPr>
    </w:p>
  </w:endnote>
  <w:endnote w:type="continuationNotice" w:id="1">
    <w:p w:rsidR="001E2266" w:rsidRDefault="001E22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266" w:rsidRPr="00AC3823" w:rsidRDefault="001E226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E2266" w:rsidRPr="00AC3823" w:rsidRDefault="001E226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E2266" w:rsidRPr="00AC3823" w:rsidRDefault="001E2266">
      <w:pPr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5B050DDB"/>
    <w:multiLevelType w:val="hybridMultilevel"/>
    <w:tmpl w:val="002603F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63C95284"/>
    <w:multiLevelType w:val="hybridMultilevel"/>
    <w:tmpl w:val="B4A01022"/>
    <w:lvl w:ilvl="0" w:tplc="A7C8414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6FAEC2A8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66"/>
    <w:rsid w:val="00017F94"/>
    <w:rsid w:val="00023842"/>
    <w:rsid w:val="000334F9"/>
    <w:rsid w:val="0007796D"/>
    <w:rsid w:val="00085444"/>
    <w:rsid w:val="000B7790"/>
    <w:rsid w:val="000C390E"/>
    <w:rsid w:val="00111F2F"/>
    <w:rsid w:val="0014365E"/>
    <w:rsid w:val="0014660A"/>
    <w:rsid w:val="00150DB2"/>
    <w:rsid w:val="00176178"/>
    <w:rsid w:val="001E2266"/>
    <w:rsid w:val="001F525A"/>
    <w:rsid w:val="00223272"/>
    <w:rsid w:val="0024779E"/>
    <w:rsid w:val="00291F1D"/>
    <w:rsid w:val="0029407C"/>
    <w:rsid w:val="00344AEC"/>
    <w:rsid w:val="00350987"/>
    <w:rsid w:val="00353ED5"/>
    <w:rsid w:val="00382A1F"/>
    <w:rsid w:val="00390178"/>
    <w:rsid w:val="003D1AD0"/>
    <w:rsid w:val="00446FE5"/>
    <w:rsid w:val="00452396"/>
    <w:rsid w:val="004D1CEB"/>
    <w:rsid w:val="00521259"/>
    <w:rsid w:val="005505B7"/>
    <w:rsid w:val="005706C8"/>
    <w:rsid w:val="00573BE5"/>
    <w:rsid w:val="00586ED3"/>
    <w:rsid w:val="00596AA9"/>
    <w:rsid w:val="006122C4"/>
    <w:rsid w:val="00663AEE"/>
    <w:rsid w:val="006A249B"/>
    <w:rsid w:val="006E2C9B"/>
    <w:rsid w:val="0071601D"/>
    <w:rsid w:val="0076624F"/>
    <w:rsid w:val="00766CEC"/>
    <w:rsid w:val="00770252"/>
    <w:rsid w:val="007A62E6"/>
    <w:rsid w:val="0080684C"/>
    <w:rsid w:val="00815502"/>
    <w:rsid w:val="00845D2D"/>
    <w:rsid w:val="00871C75"/>
    <w:rsid w:val="008776DC"/>
    <w:rsid w:val="008F2A1D"/>
    <w:rsid w:val="00957790"/>
    <w:rsid w:val="009705C8"/>
    <w:rsid w:val="00A12AB5"/>
    <w:rsid w:val="00AC3823"/>
    <w:rsid w:val="00AE323C"/>
    <w:rsid w:val="00AE7D9F"/>
    <w:rsid w:val="00B00181"/>
    <w:rsid w:val="00B43C66"/>
    <w:rsid w:val="00B55090"/>
    <w:rsid w:val="00B765F7"/>
    <w:rsid w:val="00BA0CA9"/>
    <w:rsid w:val="00BB3E59"/>
    <w:rsid w:val="00BB66C8"/>
    <w:rsid w:val="00BE1F4C"/>
    <w:rsid w:val="00BE4745"/>
    <w:rsid w:val="00BF3C2C"/>
    <w:rsid w:val="00BF6CC4"/>
    <w:rsid w:val="00C02897"/>
    <w:rsid w:val="00CF3AE1"/>
    <w:rsid w:val="00D223B7"/>
    <w:rsid w:val="00D3439C"/>
    <w:rsid w:val="00D40AEB"/>
    <w:rsid w:val="00DA22F4"/>
    <w:rsid w:val="00DB1831"/>
    <w:rsid w:val="00DD3BFD"/>
    <w:rsid w:val="00DF6678"/>
    <w:rsid w:val="00E01E68"/>
    <w:rsid w:val="00E22CF2"/>
    <w:rsid w:val="00E33F14"/>
    <w:rsid w:val="00E44A12"/>
    <w:rsid w:val="00E52D9F"/>
    <w:rsid w:val="00F12269"/>
    <w:rsid w:val="00F164B0"/>
    <w:rsid w:val="00F660DF"/>
    <w:rsid w:val="00F80094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50B4EF8-1633-4F04-9B89-51E8F680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2D"/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</w:pPr>
    <w:rPr>
      <w:rFonts w:eastAsia="Times New Roman"/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semiHidden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5706C8"/>
    <w:pPr>
      <w:numPr>
        <w:numId w:val="15"/>
      </w:numPr>
      <w:tabs>
        <w:tab w:val="clear" w:pos="1701"/>
      </w:tabs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1E2266"/>
    <w:pPr>
      <w:spacing w:after="160" w:line="256" w:lineRule="auto"/>
      <w:ind w:left="720"/>
      <w:contextualSpacing/>
    </w:pPr>
    <w:rPr>
      <w:rFonts w:asciiTheme="minorHAnsi" w:hAnsiTheme="minorHAnsi" w:cstheme="minorBidi"/>
      <w:sz w:val="22"/>
      <w:szCs w:val="22"/>
      <w:lang w:val="en-GB"/>
    </w:rPr>
  </w:style>
  <w:style w:type="character" w:styleId="Emphasis">
    <w:name w:val="Emphasis"/>
    <w:basedOn w:val="DefaultParagraphFont"/>
    <w:uiPriority w:val="20"/>
    <w:qFormat/>
    <w:rsid w:val="00663A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4165CA-2A2F-4B43-A422-9E63CFFF303B}"/>
</file>

<file path=customXml/itemProps2.xml><?xml version="1.0" encoding="utf-8"?>
<ds:datastoreItem xmlns:ds="http://schemas.openxmlformats.org/officeDocument/2006/customXml" ds:itemID="{9FCAE131-BDF6-4E59-8D30-9AD27A70982F}"/>
</file>

<file path=customXml/itemProps3.xml><?xml version="1.0" encoding="utf-8"?>
<ds:datastoreItem xmlns:ds="http://schemas.openxmlformats.org/officeDocument/2006/customXml" ds:itemID="{C23289DB-6B5D-42A1-9940-CE31282AEA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748</Words>
  <Characters>4266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 Maria</dc:creator>
  <cp:keywords/>
  <dc:description/>
  <cp:lastModifiedBy>GRIFFITHS Helen</cp:lastModifiedBy>
  <cp:revision>2</cp:revision>
  <cp:lastPrinted>2014-05-14T10:59:00Z</cp:lastPrinted>
  <dcterms:created xsi:type="dcterms:W3CDTF">2019-12-06T15:13:00Z</dcterms:created>
  <dcterms:modified xsi:type="dcterms:W3CDTF">2019-12-06T15:13:00Z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