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EC5A" w14:textId="2616EADF" w:rsidR="00D51E79" w:rsidRDefault="008A149B">
      <w:pPr>
        <w:rPr>
          <w:b/>
          <w:bCs/>
        </w:rPr>
      </w:pPr>
      <w:bookmarkStart w:id="0" w:name="_GoBack"/>
      <w:bookmarkEnd w:id="0"/>
      <w:r>
        <w:rPr>
          <w:b/>
          <w:bCs/>
        </w:rPr>
        <w:t>R</w:t>
      </w:r>
      <w:r w:rsidR="00D34BAC" w:rsidRPr="00D34BAC">
        <w:rPr>
          <w:b/>
          <w:bCs/>
        </w:rPr>
        <w:t xml:space="preserve">eaction to forthcoming </w:t>
      </w:r>
      <w:r w:rsidR="005E36B1" w:rsidRPr="005E36B1">
        <w:rPr>
          <w:b/>
          <w:bCs/>
        </w:rPr>
        <w:t>OHCHR</w:t>
      </w:r>
      <w:r w:rsidR="005E36B1">
        <w:rPr>
          <w:b/>
          <w:bCs/>
        </w:rPr>
        <w:t xml:space="preserve"> </w:t>
      </w:r>
      <w:r w:rsidR="00D34BAC" w:rsidRPr="00D34BAC">
        <w:rPr>
          <w:b/>
          <w:bCs/>
        </w:rPr>
        <w:t xml:space="preserve">report on </w:t>
      </w:r>
      <w:r w:rsidR="005C05E8">
        <w:rPr>
          <w:b/>
          <w:bCs/>
        </w:rPr>
        <w:t>G</w:t>
      </w:r>
      <w:r w:rsidR="00D34BAC" w:rsidRPr="00D34BAC">
        <w:rPr>
          <w:b/>
          <w:bCs/>
        </w:rPr>
        <w:t xml:space="preserve">lobal </w:t>
      </w:r>
      <w:r w:rsidR="005C05E8">
        <w:rPr>
          <w:b/>
          <w:bCs/>
        </w:rPr>
        <w:t>F</w:t>
      </w:r>
      <w:r w:rsidR="00D34BAC" w:rsidRPr="00D34BAC">
        <w:rPr>
          <w:b/>
          <w:bCs/>
        </w:rPr>
        <w:t xml:space="preserve">und for </w:t>
      </w:r>
      <w:r w:rsidR="005C05E8">
        <w:rPr>
          <w:b/>
          <w:bCs/>
        </w:rPr>
        <w:t>S</w:t>
      </w:r>
      <w:r w:rsidR="00D34BAC" w:rsidRPr="00D34BAC">
        <w:rPr>
          <w:b/>
          <w:bCs/>
        </w:rPr>
        <w:t xml:space="preserve">ocial </w:t>
      </w:r>
      <w:r w:rsidR="005C05E8">
        <w:rPr>
          <w:b/>
          <w:bCs/>
        </w:rPr>
        <w:t>P</w:t>
      </w:r>
      <w:r w:rsidR="00D34BAC" w:rsidRPr="00D34BAC">
        <w:rPr>
          <w:b/>
          <w:bCs/>
        </w:rPr>
        <w:t xml:space="preserve">rotection </w:t>
      </w:r>
      <w:r>
        <w:rPr>
          <w:b/>
          <w:bCs/>
        </w:rPr>
        <w:t xml:space="preserve">– personal contribution by Marcus Manuel </w:t>
      </w:r>
    </w:p>
    <w:p w14:paraId="58DBFA2A" w14:textId="34107830" w:rsidR="00D34BAC" w:rsidRPr="00C500A4" w:rsidRDefault="009C174B">
      <w:pPr>
        <w:rPr>
          <w:i/>
          <w:iCs/>
        </w:rPr>
      </w:pPr>
      <w:r w:rsidRPr="00144000">
        <w:rPr>
          <w:i/>
          <w:iCs/>
        </w:rPr>
        <w:t xml:space="preserve">Disclaimer – While this note draws in part on </w:t>
      </w:r>
      <w:r w:rsidR="00FB3AE1">
        <w:rPr>
          <w:i/>
          <w:iCs/>
        </w:rPr>
        <w:t>Overseas Development Institute (</w:t>
      </w:r>
      <w:r w:rsidRPr="00144000">
        <w:rPr>
          <w:i/>
          <w:iCs/>
        </w:rPr>
        <w:t>ODI</w:t>
      </w:r>
      <w:r w:rsidR="00FB3AE1">
        <w:rPr>
          <w:i/>
          <w:iCs/>
        </w:rPr>
        <w:t>)</w:t>
      </w:r>
      <w:r w:rsidRPr="00144000">
        <w:rPr>
          <w:i/>
          <w:iCs/>
        </w:rPr>
        <w:t xml:space="preserve"> published research that I have contributed to, the views in this note are my own</w:t>
      </w:r>
      <w:r w:rsidR="005C05E8" w:rsidRPr="00144000">
        <w:rPr>
          <w:i/>
          <w:iCs/>
        </w:rPr>
        <w:t xml:space="preserve">. This note </w:t>
      </w:r>
      <w:r w:rsidRPr="00144000">
        <w:rPr>
          <w:i/>
          <w:iCs/>
        </w:rPr>
        <w:t>do</w:t>
      </w:r>
      <w:r w:rsidR="005C05E8" w:rsidRPr="00144000">
        <w:rPr>
          <w:i/>
          <w:iCs/>
        </w:rPr>
        <w:t>es</w:t>
      </w:r>
      <w:r w:rsidRPr="00144000">
        <w:rPr>
          <w:i/>
          <w:iCs/>
        </w:rPr>
        <w:t xml:space="preserve"> not necessarily reflect the views of other colleagues at </w:t>
      </w:r>
      <w:r w:rsidR="00FB3AE1">
        <w:rPr>
          <w:i/>
          <w:iCs/>
        </w:rPr>
        <w:t>O</w:t>
      </w:r>
      <w:r w:rsidRPr="00144000">
        <w:rPr>
          <w:i/>
          <w:iCs/>
        </w:rPr>
        <w:t>D</w:t>
      </w:r>
      <w:r w:rsidR="00FB3AE1">
        <w:rPr>
          <w:i/>
          <w:iCs/>
        </w:rPr>
        <w:t>I</w:t>
      </w:r>
      <w:r w:rsidRPr="00144000">
        <w:rPr>
          <w:i/>
          <w:iCs/>
        </w:rPr>
        <w:t xml:space="preserve"> or ODI as an institute or the funders of th</w:t>
      </w:r>
      <w:r w:rsidR="005C05E8" w:rsidRPr="00144000">
        <w:rPr>
          <w:i/>
          <w:iCs/>
        </w:rPr>
        <w:t>e ODI research</w:t>
      </w:r>
      <w:r w:rsidRPr="009C174B">
        <w:t xml:space="preserve">. </w:t>
      </w:r>
      <w:r w:rsidR="00FB3AE1" w:rsidRPr="00FB3AE1">
        <w:rPr>
          <w:i/>
          <w:iCs/>
        </w:rPr>
        <w:t>As my research focuses on financial issues I have just commented on those questions in my contribution.</w:t>
      </w:r>
      <w:r w:rsidR="00FB3AE1">
        <w:t xml:space="preserve"> </w:t>
      </w:r>
      <w:r w:rsidR="00C500A4" w:rsidRPr="00C500A4">
        <w:rPr>
          <w:i/>
          <w:iCs/>
        </w:rPr>
        <w:t xml:space="preserve">All </w:t>
      </w:r>
      <w:r w:rsidR="00C500A4">
        <w:rPr>
          <w:i/>
          <w:iCs/>
        </w:rPr>
        <w:t>r</w:t>
      </w:r>
      <w:r w:rsidR="00C500A4" w:rsidRPr="00C500A4">
        <w:rPr>
          <w:i/>
          <w:iCs/>
        </w:rPr>
        <w:t>eferences are included at the end</w:t>
      </w:r>
    </w:p>
    <w:p w14:paraId="2C8BDAFC" w14:textId="77777777" w:rsidR="00BC1D37" w:rsidRDefault="00BC1D37"/>
    <w:p w14:paraId="2CCD192C" w14:textId="241B0B83" w:rsidR="00AE3290" w:rsidRPr="00AE3290" w:rsidRDefault="00AE3290">
      <w:pPr>
        <w:rPr>
          <w:b/>
          <w:bCs/>
        </w:rPr>
      </w:pPr>
      <w:r>
        <w:rPr>
          <w:b/>
          <w:bCs/>
        </w:rPr>
        <w:t>I</w:t>
      </w:r>
      <w:r w:rsidRPr="00AE3290">
        <w:rPr>
          <w:b/>
          <w:bCs/>
        </w:rPr>
        <w:t xml:space="preserve"> Added value of the Glo</w:t>
      </w:r>
      <w:r w:rsidR="009C174B">
        <w:rPr>
          <w:b/>
          <w:bCs/>
        </w:rPr>
        <w:t xml:space="preserve">bal </w:t>
      </w:r>
      <w:r w:rsidRPr="00AE3290">
        <w:rPr>
          <w:b/>
          <w:bCs/>
        </w:rPr>
        <w:t xml:space="preserve">Fund </w:t>
      </w:r>
      <w:r w:rsidR="005C05E8" w:rsidRPr="00D34BAC">
        <w:rPr>
          <w:b/>
          <w:bCs/>
        </w:rPr>
        <w:t xml:space="preserve">for </w:t>
      </w:r>
      <w:r w:rsidR="005C05E8">
        <w:rPr>
          <w:b/>
          <w:bCs/>
        </w:rPr>
        <w:t>S</w:t>
      </w:r>
      <w:r w:rsidR="005C05E8" w:rsidRPr="00D34BAC">
        <w:rPr>
          <w:b/>
          <w:bCs/>
        </w:rPr>
        <w:t xml:space="preserve">ocial </w:t>
      </w:r>
      <w:r w:rsidR="005C05E8">
        <w:rPr>
          <w:b/>
          <w:bCs/>
        </w:rPr>
        <w:t>P</w:t>
      </w:r>
      <w:r w:rsidR="005C05E8" w:rsidRPr="00D34BAC">
        <w:rPr>
          <w:b/>
          <w:bCs/>
        </w:rPr>
        <w:t>rotection</w:t>
      </w:r>
      <w:r w:rsidR="00FB3AE1">
        <w:rPr>
          <w:b/>
          <w:bCs/>
        </w:rPr>
        <w:t xml:space="preserve"> (GFSP)</w:t>
      </w:r>
    </w:p>
    <w:p w14:paraId="79CA5E8C" w14:textId="37DF1F70" w:rsidR="00AE3290" w:rsidRDefault="009C174B" w:rsidP="00AE3290">
      <w:pPr>
        <w:pStyle w:val="BodyText"/>
        <w:spacing w:before="4" w:line="264" w:lineRule="auto"/>
        <w:ind w:right="161"/>
      </w:pPr>
      <w:r w:rsidRPr="005C05E8">
        <w:rPr>
          <w:rFonts w:asciiTheme="minorHAnsi" w:eastAsiaTheme="minorHAnsi" w:hAnsiTheme="minorHAnsi" w:cstheme="minorBidi"/>
        </w:rPr>
        <w:t xml:space="preserve">I </w:t>
      </w:r>
      <w:r w:rsidR="00FB3AE1">
        <w:rPr>
          <w:rFonts w:asciiTheme="minorHAnsi" w:eastAsiaTheme="minorHAnsi" w:hAnsiTheme="minorHAnsi" w:cstheme="minorBidi"/>
        </w:rPr>
        <w:t xml:space="preserve">think </w:t>
      </w:r>
      <w:r w:rsidR="00AE3290" w:rsidRPr="005C05E8">
        <w:rPr>
          <w:rFonts w:asciiTheme="minorHAnsi" w:eastAsiaTheme="minorHAnsi" w:hAnsiTheme="minorHAnsi" w:cstheme="minorBidi"/>
        </w:rPr>
        <w:t xml:space="preserve">are </w:t>
      </w:r>
      <w:r w:rsidRPr="005C05E8">
        <w:rPr>
          <w:rFonts w:asciiTheme="minorHAnsi" w:eastAsiaTheme="minorHAnsi" w:hAnsiTheme="minorHAnsi" w:cstheme="minorBidi"/>
        </w:rPr>
        <w:t xml:space="preserve">in general </w:t>
      </w:r>
      <w:r w:rsidR="00AE3290" w:rsidRPr="005C05E8">
        <w:rPr>
          <w:rFonts w:asciiTheme="minorHAnsi" w:eastAsiaTheme="minorHAnsi" w:hAnsiTheme="minorHAnsi" w:cstheme="minorBidi"/>
        </w:rPr>
        <w:t>eight interlinked potential lessons from a global fund approach, drawing on the experience of funds to date, in particular the Global Fund</w:t>
      </w:r>
      <w:r w:rsidR="00FB3AE1">
        <w:rPr>
          <w:rFonts w:asciiTheme="minorHAnsi" w:eastAsiaTheme="minorHAnsi" w:hAnsiTheme="minorHAnsi" w:cstheme="minorBidi"/>
        </w:rPr>
        <w:t xml:space="preserve"> (for health)</w:t>
      </w:r>
      <w:r w:rsidR="00FB3AE1">
        <w:rPr>
          <w:rStyle w:val="EndnoteReference"/>
          <w:rFonts w:asciiTheme="minorHAnsi" w:eastAsiaTheme="minorHAnsi" w:hAnsiTheme="minorHAnsi" w:cstheme="minorBidi"/>
        </w:rPr>
        <w:endnoteReference w:id="1"/>
      </w:r>
      <w:r w:rsidR="00FB3AE1">
        <w:rPr>
          <w:rFonts w:asciiTheme="minorHAnsi" w:eastAsiaTheme="minorHAnsi" w:hAnsiTheme="minorHAnsi" w:cstheme="minorBidi"/>
        </w:rPr>
        <w:t>. I think many of these lessons also apply to the proposed GFSP.</w:t>
      </w:r>
    </w:p>
    <w:p w14:paraId="639A2A93" w14:textId="77777777" w:rsidR="00AE3290" w:rsidRPr="00FD4D28" w:rsidRDefault="00AE3290" w:rsidP="00AE3290">
      <w:pPr>
        <w:pStyle w:val="ListParagraph"/>
        <w:widowControl w:val="0"/>
        <w:numPr>
          <w:ilvl w:val="0"/>
          <w:numId w:val="6"/>
        </w:numPr>
        <w:tabs>
          <w:tab w:val="left" w:pos="448"/>
        </w:tabs>
        <w:autoSpaceDE w:val="0"/>
        <w:autoSpaceDN w:val="0"/>
        <w:spacing w:before="127" w:after="0" w:line="264" w:lineRule="auto"/>
        <w:ind w:right="408" w:hanging="230"/>
        <w:contextualSpacing w:val="0"/>
        <w:rPr>
          <w:color w:val="231F20"/>
        </w:rPr>
      </w:pPr>
      <w:r w:rsidRPr="00FD4D28">
        <w:rPr>
          <w:color w:val="231F20"/>
        </w:rPr>
        <w:t xml:space="preserve">Strengthened international political commitment </w:t>
      </w:r>
    </w:p>
    <w:p w14:paraId="2C604436" w14:textId="77777777" w:rsidR="00AE3290" w:rsidRPr="00FD4D28" w:rsidRDefault="00AE3290" w:rsidP="00AE3290">
      <w:pPr>
        <w:pStyle w:val="ListParagraph"/>
        <w:widowControl w:val="0"/>
        <w:numPr>
          <w:ilvl w:val="0"/>
          <w:numId w:val="6"/>
        </w:numPr>
        <w:tabs>
          <w:tab w:val="left" w:pos="448"/>
        </w:tabs>
        <w:autoSpaceDE w:val="0"/>
        <w:autoSpaceDN w:val="0"/>
        <w:spacing w:before="5" w:after="0" w:line="240" w:lineRule="auto"/>
        <w:ind w:hanging="230"/>
        <w:contextualSpacing w:val="0"/>
        <w:rPr>
          <w:color w:val="231F20"/>
        </w:rPr>
      </w:pPr>
      <w:r w:rsidRPr="00FD4D28">
        <w:rPr>
          <w:color w:val="231F20"/>
        </w:rPr>
        <w:t>Management of donor risk</w:t>
      </w:r>
    </w:p>
    <w:p w14:paraId="04259A4C" w14:textId="77777777" w:rsidR="00AE3290" w:rsidRPr="00FD4D28" w:rsidRDefault="00AE3290" w:rsidP="00AE3290">
      <w:pPr>
        <w:pStyle w:val="ListParagraph"/>
        <w:widowControl w:val="0"/>
        <w:numPr>
          <w:ilvl w:val="0"/>
          <w:numId w:val="6"/>
        </w:numPr>
        <w:tabs>
          <w:tab w:val="left" w:pos="448"/>
        </w:tabs>
        <w:autoSpaceDE w:val="0"/>
        <w:autoSpaceDN w:val="0"/>
        <w:spacing w:before="26" w:after="0" w:line="240" w:lineRule="auto"/>
        <w:ind w:hanging="230"/>
        <w:contextualSpacing w:val="0"/>
        <w:rPr>
          <w:color w:val="231F20"/>
        </w:rPr>
      </w:pPr>
      <w:r w:rsidRPr="00FD4D28">
        <w:rPr>
          <w:color w:val="231F20"/>
        </w:rPr>
        <w:t>Stronger focus on data, results, learning and innovation</w:t>
      </w:r>
    </w:p>
    <w:p w14:paraId="319CFE72" w14:textId="77777777" w:rsidR="00AE3290" w:rsidRPr="00FD4D28" w:rsidRDefault="00AE3290" w:rsidP="00AE3290">
      <w:pPr>
        <w:pStyle w:val="ListParagraph"/>
        <w:widowControl w:val="0"/>
        <w:numPr>
          <w:ilvl w:val="0"/>
          <w:numId w:val="6"/>
        </w:numPr>
        <w:tabs>
          <w:tab w:val="left" w:pos="448"/>
        </w:tabs>
        <w:autoSpaceDE w:val="0"/>
        <w:autoSpaceDN w:val="0"/>
        <w:spacing w:before="26" w:after="0" w:line="240" w:lineRule="auto"/>
        <w:ind w:hanging="230"/>
        <w:contextualSpacing w:val="0"/>
        <w:rPr>
          <w:color w:val="231F20"/>
        </w:rPr>
      </w:pPr>
      <w:r w:rsidRPr="00FD4D28">
        <w:rPr>
          <w:color w:val="231F20"/>
        </w:rPr>
        <w:lastRenderedPageBreak/>
        <w:t>More effective collective donor effort</w:t>
      </w:r>
    </w:p>
    <w:p w14:paraId="6EDA3507" w14:textId="70AD32DB" w:rsidR="00AE3290" w:rsidRPr="00FD4D28" w:rsidRDefault="00AE3290" w:rsidP="00AE3290">
      <w:pPr>
        <w:pStyle w:val="ListParagraph"/>
        <w:widowControl w:val="0"/>
        <w:numPr>
          <w:ilvl w:val="0"/>
          <w:numId w:val="6"/>
        </w:numPr>
        <w:tabs>
          <w:tab w:val="left" w:pos="448"/>
        </w:tabs>
        <w:autoSpaceDE w:val="0"/>
        <w:autoSpaceDN w:val="0"/>
        <w:spacing w:before="26" w:after="0" w:line="264" w:lineRule="auto"/>
        <w:ind w:right="722" w:hanging="230"/>
        <w:contextualSpacing w:val="0"/>
        <w:rPr>
          <w:color w:val="231F20"/>
        </w:rPr>
      </w:pPr>
      <w:r w:rsidRPr="00FD4D28">
        <w:rPr>
          <w:color w:val="231F20"/>
        </w:rPr>
        <w:t>Stimulation of national strategies for scaling up service delivery</w:t>
      </w:r>
    </w:p>
    <w:p w14:paraId="443130AC" w14:textId="77777777" w:rsidR="00AE3290" w:rsidRPr="00FD4D28" w:rsidRDefault="00AE3290" w:rsidP="00AE3290">
      <w:pPr>
        <w:pStyle w:val="ListParagraph"/>
        <w:widowControl w:val="0"/>
        <w:numPr>
          <w:ilvl w:val="0"/>
          <w:numId w:val="6"/>
        </w:numPr>
        <w:tabs>
          <w:tab w:val="left" w:pos="448"/>
        </w:tabs>
        <w:autoSpaceDE w:val="0"/>
        <w:autoSpaceDN w:val="0"/>
        <w:spacing w:before="4" w:after="0" w:line="264" w:lineRule="auto"/>
        <w:ind w:right="251" w:hanging="230"/>
        <w:contextualSpacing w:val="0"/>
        <w:rPr>
          <w:color w:val="231F20"/>
        </w:rPr>
      </w:pPr>
      <w:r w:rsidRPr="00FD4D28">
        <w:rPr>
          <w:color w:val="231F20"/>
        </w:rPr>
        <w:t>Stronger engagement with national budgets to ensure affordable sustainable solutions</w:t>
      </w:r>
    </w:p>
    <w:p w14:paraId="2E251C50" w14:textId="77777777" w:rsidR="00AE3290" w:rsidRPr="00FD4D28" w:rsidRDefault="00AE3290" w:rsidP="00AE3290">
      <w:pPr>
        <w:pStyle w:val="ListParagraph"/>
        <w:widowControl w:val="0"/>
        <w:numPr>
          <w:ilvl w:val="0"/>
          <w:numId w:val="6"/>
        </w:numPr>
        <w:tabs>
          <w:tab w:val="left" w:pos="448"/>
        </w:tabs>
        <w:autoSpaceDE w:val="0"/>
        <w:autoSpaceDN w:val="0"/>
        <w:spacing w:before="5" w:after="0" w:line="240" w:lineRule="auto"/>
        <w:ind w:hanging="230"/>
        <w:contextualSpacing w:val="0"/>
        <w:rPr>
          <w:color w:val="231F20"/>
        </w:rPr>
      </w:pPr>
      <w:r w:rsidRPr="00FD4D28">
        <w:rPr>
          <w:color w:val="231F20"/>
        </w:rPr>
        <w:t>Crowding in new funding sources</w:t>
      </w:r>
    </w:p>
    <w:p w14:paraId="60BBFD21" w14:textId="77777777" w:rsidR="00AE3290" w:rsidRPr="00FD4D28" w:rsidRDefault="00AE3290" w:rsidP="00FB3AE1">
      <w:pPr>
        <w:pStyle w:val="ListParagraph"/>
        <w:widowControl w:val="0"/>
        <w:numPr>
          <w:ilvl w:val="0"/>
          <w:numId w:val="6"/>
        </w:numPr>
        <w:tabs>
          <w:tab w:val="left" w:pos="448"/>
        </w:tabs>
        <w:autoSpaceDE w:val="0"/>
        <w:autoSpaceDN w:val="0"/>
        <w:spacing w:after="0" w:line="264" w:lineRule="auto"/>
        <w:ind w:right="661" w:hanging="230"/>
        <w:contextualSpacing w:val="0"/>
        <w:rPr>
          <w:color w:val="231F20"/>
        </w:rPr>
      </w:pPr>
      <w:r w:rsidRPr="00FD4D28">
        <w:rPr>
          <w:color w:val="231F20"/>
        </w:rPr>
        <w:t>Creation of new partnerships between national governments, civil society, the private sector and academia.</w:t>
      </w:r>
    </w:p>
    <w:p w14:paraId="5C7BC7B4" w14:textId="77777777" w:rsidR="00FB3AE1" w:rsidRDefault="00FB3AE1" w:rsidP="009C174B"/>
    <w:p w14:paraId="44127D88" w14:textId="44CB73D2" w:rsidR="009C174B" w:rsidRDefault="009C174B" w:rsidP="009C174B">
      <w:r>
        <w:t xml:space="preserve">As regards the particular case for </w:t>
      </w:r>
      <w:r w:rsidR="00FB3AE1">
        <w:t xml:space="preserve">the GFSP </w:t>
      </w:r>
      <w:r w:rsidR="005C05E8">
        <w:t xml:space="preserve">I think </w:t>
      </w:r>
    </w:p>
    <w:p w14:paraId="7FBF38F1" w14:textId="180C60F3" w:rsidR="009C174B" w:rsidRDefault="009C174B" w:rsidP="006C2F30">
      <w:pPr>
        <w:pStyle w:val="ListParagraph"/>
        <w:numPr>
          <w:ilvl w:val="0"/>
          <w:numId w:val="5"/>
        </w:numPr>
        <w:ind w:left="567" w:hanging="567"/>
      </w:pPr>
      <w:r>
        <w:t>ODI’s flagship report</w:t>
      </w:r>
      <w:r w:rsidR="00FB3AE1">
        <w:rPr>
          <w:rStyle w:val="EndnoteReference"/>
        </w:rPr>
        <w:endnoteReference w:id="2"/>
      </w:r>
      <w:r>
        <w:t xml:space="preserve"> in 2015 set out a strong case for a new global social protection facility. One of the key arguments was the need for a new financial architecture to mediate between donors operating on short term budgetary horizons and governments making long term social protection comments. The absence of a long-term multilateral structure in the past has made LIC governments reluctant to embark on major nationwide programme.</w:t>
      </w:r>
      <w:r w:rsidR="00FB3AE1">
        <w:t xml:space="preserve"> </w:t>
      </w:r>
    </w:p>
    <w:p w14:paraId="65F869D6" w14:textId="2D3CC1C1" w:rsidR="009C174B" w:rsidRDefault="009C174B" w:rsidP="006C2F30">
      <w:pPr>
        <w:pStyle w:val="ListParagraph"/>
        <w:numPr>
          <w:ilvl w:val="0"/>
          <w:numId w:val="5"/>
        </w:numPr>
        <w:ind w:left="567" w:hanging="567"/>
      </w:pPr>
      <w:r>
        <w:lastRenderedPageBreak/>
        <w:t xml:space="preserve">A new international mechanism would make clear that social protection is not just about reducing inequality within countries but is also about reducing inequality between countries. </w:t>
      </w:r>
      <w:r w:rsidR="006C2F30">
        <w:t>In my view o</w:t>
      </w:r>
      <w:r>
        <w:t xml:space="preserve">ne reason that social protection has been low on the priority list for LIC governments (and donors operating in LICs) is the recognition that there is limited capacity to redistribute income if most people are living in extreme poverty. But such circumstances are well suited to donors that want to address global extreme poverty. Where there are many people in poverty there is no need to target and donor investment in universal benefits can be a very efficient form of support. </w:t>
      </w:r>
    </w:p>
    <w:p w14:paraId="0601335A" w14:textId="77777777" w:rsidR="009C174B" w:rsidRDefault="009C174B" w:rsidP="006C2F30">
      <w:pPr>
        <w:pStyle w:val="ListParagraph"/>
        <w:numPr>
          <w:ilvl w:val="0"/>
          <w:numId w:val="5"/>
        </w:numPr>
        <w:ind w:left="567" w:hanging="567"/>
      </w:pPr>
      <w:r>
        <w:t xml:space="preserve">A new financial mechanism would also change the political economy around social protection. It is much easier for a government to accept external finance that is seen as being politically neutral and is part of global effort to address global inequality. It is also easier to agree financial management provisions and audit processes. This echoes the experience of debt relief which had a different domestic political profile than normal development assistance. </w:t>
      </w:r>
    </w:p>
    <w:p w14:paraId="771BB9CA" w14:textId="2FBB7815" w:rsidR="009C174B" w:rsidRDefault="006C2F30" w:rsidP="006C2F30">
      <w:pPr>
        <w:pStyle w:val="ListParagraph"/>
        <w:numPr>
          <w:ilvl w:val="0"/>
          <w:numId w:val="5"/>
        </w:numPr>
        <w:ind w:left="567" w:hanging="567"/>
      </w:pPr>
      <w:r>
        <w:rPr>
          <w:rFonts w:eastAsia="Times New Roman"/>
          <w:color w:val="000000"/>
        </w:rPr>
        <w:lastRenderedPageBreak/>
        <w:t xml:space="preserve">The existing </w:t>
      </w:r>
      <w:r w:rsidR="009C174B" w:rsidRPr="008D2D45">
        <w:rPr>
          <w:rFonts w:eastAsia="Times New Roman"/>
          <w:color w:val="000000"/>
        </w:rPr>
        <w:t xml:space="preserve">international financial architecture </w:t>
      </w:r>
      <w:r>
        <w:rPr>
          <w:rFonts w:eastAsia="Times New Roman"/>
          <w:color w:val="000000"/>
        </w:rPr>
        <w:t xml:space="preserve">was not designed to provide global funding for social protection. One reason that the Global Fund (for health) was created </w:t>
      </w:r>
      <w:r w:rsidR="00FB3AE1">
        <w:rPr>
          <w:rFonts w:eastAsia="Times New Roman"/>
          <w:color w:val="000000"/>
        </w:rPr>
        <w:t xml:space="preserve">was </w:t>
      </w:r>
      <w:r>
        <w:rPr>
          <w:rFonts w:eastAsia="Times New Roman"/>
          <w:color w:val="000000"/>
        </w:rPr>
        <w:t xml:space="preserve">that the </w:t>
      </w:r>
      <w:r w:rsidR="009C174B" w:rsidRPr="008D2D45">
        <w:rPr>
          <w:rFonts w:eastAsia="Times New Roman"/>
          <w:color w:val="000000"/>
        </w:rPr>
        <w:t xml:space="preserve">WHO </w:t>
      </w:r>
      <w:r w:rsidR="00FB3AE1">
        <w:rPr>
          <w:rFonts w:eastAsia="Times New Roman"/>
          <w:color w:val="000000"/>
        </w:rPr>
        <w:t xml:space="preserve">had </w:t>
      </w:r>
      <w:r w:rsidR="009C174B">
        <w:rPr>
          <w:rFonts w:eastAsia="Times New Roman"/>
          <w:color w:val="000000"/>
        </w:rPr>
        <w:t xml:space="preserve">not </w:t>
      </w:r>
      <w:r w:rsidR="00FB3AE1">
        <w:rPr>
          <w:rFonts w:eastAsia="Times New Roman"/>
          <w:color w:val="000000"/>
        </w:rPr>
        <w:t xml:space="preserve">been </w:t>
      </w:r>
      <w:r w:rsidR="009C174B">
        <w:rPr>
          <w:rFonts w:eastAsia="Times New Roman"/>
          <w:color w:val="000000"/>
        </w:rPr>
        <w:t xml:space="preserve">created to be </w:t>
      </w:r>
      <w:r w:rsidR="009C174B" w:rsidRPr="008D2D45">
        <w:rPr>
          <w:rFonts w:eastAsia="Times New Roman"/>
          <w:color w:val="000000"/>
        </w:rPr>
        <w:t xml:space="preserve">a </w:t>
      </w:r>
      <w:r w:rsidR="009C174B">
        <w:rPr>
          <w:rFonts w:eastAsia="Times New Roman"/>
          <w:color w:val="000000"/>
        </w:rPr>
        <w:t xml:space="preserve">major </w:t>
      </w:r>
      <w:r>
        <w:rPr>
          <w:rFonts w:eastAsia="Times New Roman"/>
          <w:color w:val="000000"/>
        </w:rPr>
        <w:t xml:space="preserve">international </w:t>
      </w:r>
      <w:r w:rsidR="009C174B" w:rsidRPr="008D2D45">
        <w:rPr>
          <w:rFonts w:eastAsia="Times New Roman"/>
          <w:color w:val="000000"/>
        </w:rPr>
        <w:t xml:space="preserve">funding </w:t>
      </w:r>
      <w:r>
        <w:rPr>
          <w:rFonts w:eastAsia="Times New Roman"/>
          <w:color w:val="000000"/>
        </w:rPr>
        <w:t xml:space="preserve">mechanism. The ILO is in a similar position. </w:t>
      </w:r>
      <w:r w:rsidR="009C174B" w:rsidRPr="008D2D45">
        <w:rPr>
          <w:rFonts w:eastAsia="Times New Roman"/>
          <w:color w:val="000000"/>
        </w:rPr>
        <w:t>The World Bank</w:t>
      </w:r>
      <w:r w:rsidR="009C174B">
        <w:rPr>
          <w:rFonts w:eastAsia="Times New Roman"/>
          <w:color w:val="000000"/>
        </w:rPr>
        <w:t xml:space="preserve"> was created to enable countries to borrow</w:t>
      </w:r>
      <w:r>
        <w:rPr>
          <w:rFonts w:eastAsia="Times New Roman"/>
          <w:color w:val="000000"/>
        </w:rPr>
        <w:t>,</w:t>
      </w:r>
      <w:r w:rsidR="009C174B">
        <w:rPr>
          <w:rFonts w:eastAsia="Times New Roman"/>
          <w:color w:val="000000"/>
        </w:rPr>
        <w:t xml:space="preserve"> yet </w:t>
      </w:r>
      <w:r>
        <w:rPr>
          <w:rFonts w:eastAsia="Times New Roman"/>
          <w:color w:val="000000"/>
        </w:rPr>
        <w:t xml:space="preserve">many countries are reluctant </w:t>
      </w:r>
      <w:r w:rsidR="009C174B" w:rsidRPr="008D2D45">
        <w:rPr>
          <w:rFonts w:eastAsia="Times New Roman"/>
          <w:color w:val="000000"/>
        </w:rPr>
        <w:t xml:space="preserve">to borrow </w:t>
      </w:r>
      <w:r w:rsidR="00FB3AE1">
        <w:rPr>
          <w:rFonts w:eastAsia="Times New Roman"/>
          <w:color w:val="000000"/>
        </w:rPr>
        <w:t xml:space="preserve">externally </w:t>
      </w:r>
      <w:r w:rsidR="009C174B" w:rsidRPr="008D2D45">
        <w:rPr>
          <w:rFonts w:eastAsia="Times New Roman"/>
          <w:color w:val="000000"/>
        </w:rPr>
        <w:t xml:space="preserve">for social protection programmes. </w:t>
      </w:r>
      <w:r w:rsidR="00FB3AE1">
        <w:rPr>
          <w:rFonts w:eastAsia="Times New Roman"/>
          <w:color w:val="000000"/>
        </w:rPr>
        <w:t xml:space="preserve">Other key possible agencies are constrained by their mandates. </w:t>
      </w:r>
      <w:r w:rsidR="009C174B" w:rsidRPr="008D2D45">
        <w:rPr>
          <w:rFonts w:eastAsia="Times New Roman"/>
          <w:color w:val="000000"/>
        </w:rPr>
        <w:t xml:space="preserve">The World Food Programme </w:t>
      </w:r>
      <w:r>
        <w:rPr>
          <w:rFonts w:eastAsia="Times New Roman"/>
          <w:color w:val="000000"/>
        </w:rPr>
        <w:t xml:space="preserve">mandate is </w:t>
      </w:r>
      <w:r w:rsidR="009C174B" w:rsidRPr="008D2D45">
        <w:rPr>
          <w:rFonts w:eastAsia="Times New Roman"/>
          <w:color w:val="000000"/>
        </w:rPr>
        <w:t xml:space="preserve">on humanitarian contexts and </w:t>
      </w:r>
      <w:r w:rsidR="009C174B">
        <w:rPr>
          <w:rFonts w:eastAsia="Times New Roman"/>
          <w:color w:val="000000"/>
        </w:rPr>
        <w:t xml:space="preserve">short-term funding cycles. </w:t>
      </w:r>
      <w:r w:rsidR="009C174B" w:rsidRPr="008D2D45">
        <w:rPr>
          <w:rFonts w:eastAsia="Times New Roman"/>
          <w:color w:val="000000"/>
        </w:rPr>
        <w:t>UNICEF</w:t>
      </w:r>
      <w:r>
        <w:rPr>
          <w:rFonts w:eastAsia="Times New Roman"/>
          <w:color w:val="000000"/>
        </w:rPr>
        <w:t>’s</w:t>
      </w:r>
      <w:r w:rsidR="009C174B" w:rsidRPr="008D2D45">
        <w:rPr>
          <w:rFonts w:eastAsia="Times New Roman"/>
          <w:color w:val="000000"/>
        </w:rPr>
        <w:t xml:space="preserve"> mandate </w:t>
      </w:r>
      <w:r>
        <w:rPr>
          <w:rFonts w:eastAsia="Times New Roman"/>
          <w:color w:val="000000"/>
        </w:rPr>
        <w:t xml:space="preserve">is </w:t>
      </w:r>
      <w:r w:rsidR="009C174B" w:rsidRPr="008D2D45">
        <w:rPr>
          <w:rFonts w:eastAsia="Times New Roman"/>
          <w:color w:val="000000"/>
        </w:rPr>
        <w:t xml:space="preserve">to focus </w:t>
      </w:r>
      <w:r w:rsidR="009C174B">
        <w:rPr>
          <w:rFonts w:eastAsia="Times New Roman"/>
          <w:color w:val="000000"/>
        </w:rPr>
        <w:t xml:space="preserve">mainly </w:t>
      </w:r>
      <w:r w:rsidR="009C174B" w:rsidRPr="008D2D45">
        <w:rPr>
          <w:rFonts w:eastAsia="Times New Roman"/>
          <w:color w:val="000000"/>
        </w:rPr>
        <w:t>on children.</w:t>
      </w:r>
    </w:p>
    <w:p w14:paraId="79AD336A" w14:textId="77777777" w:rsidR="00B96B37" w:rsidRDefault="00B96B37" w:rsidP="00690FF0">
      <w:pPr>
        <w:rPr>
          <w:b/>
          <w:bCs/>
        </w:rPr>
      </w:pPr>
    </w:p>
    <w:p w14:paraId="2009D88C" w14:textId="7BD37144" w:rsidR="009C174B" w:rsidRPr="009C174B" w:rsidRDefault="009C174B" w:rsidP="00690FF0">
      <w:pPr>
        <w:rPr>
          <w:b/>
          <w:bCs/>
        </w:rPr>
      </w:pPr>
      <w:r w:rsidRPr="009C174B">
        <w:rPr>
          <w:b/>
          <w:bCs/>
        </w:rPr>
        <w:t xml:space="preserve">IV Provision of financial support </w:t>
      </w:r>
    </w:p>
    <w:p w14:paraId="728DE44A" w14:textId="12920A16" w:rsidR="008E55F9" w:rsidRDefault="005C05E8" w:rsidP="00690FF0">
      <w:r>
        <w:t xml:space="preserve">In my view the </w:t>
      </w:r>
      <w:r w:rsidR="009C174B">
        <w:t xml:space="preserve">key arguments for increasing </w:t>
      </w:r>
      <w:r w:rsidR="008E55F9">
        <w:t xml:space="preserve">external finance </w:t>
      </w:r>
      <w:r w:rsidR="00690FF0">
        <w:t xml:space="preserve">for social protection </w:t>
      </w:r>
      <w:r w:rsidR="006C2F30">
        <w:t xml:space="preserve">include </w:t>
      </w:r>
    </w:p>
    <w:p w14:paraId="740CDEB8" w14:textId="300E34C5" w:rsidR="00690FF0" w:rsidRDefault="00690FF0" w:rsidP="005C05E8">
      <w:pPr>
        <w:pStyle w:val="ListParagraph"/>
        <w:numPr>
          <w:ilvl w:val="0"/>
          <w:numId w:val="7"/>
        </w:numPr>
        <w:spacing w:before="240"/>
        <w:ind w:left="567" w:hanging="567"/>
      </w:pPr>
      <w:r>
        <w:t>Numerous reports - including now four by ODI</w:t>
      </w:r>
      <w:r w:rsidR="00FB3AE1">
        <w:rPr>
          <w:rStyle w:val="EndnoteReference"/>
        </w:rPr>
        <w:endnoteReference w:id="3"/>
      </w:r>
      <w:r>
        <w:t xml:space="preserve"> – have shown that most LICs cannot afford to invest in social protection </w:t>
      </w:r>
      <w:r w:rsidR="006C2F30">
        <w:t xml:space="preserve">even </w:t>
      </w:r>
      <w:r>
        <w:t xml:space="preserve">at the level needed </w:t>
      </w:r>
      <w:r w:rsidR="006C2F30">
        <w:t xml:space="preserve">just </w:t>
      </w:r>
      <w:r>
        <w:t xml:space="preserve">to address extreme poverty. This is the case even if they maximise the amount of </w:t>
      </w:r>
      <w:r w:rsidR="00144000">
        <w:t>taxation</w:t>
      </w:r>
      <w:r>
        <w:t xml:space="preserve"> they raise to </w:t>
      </w:r>
      <w:r>
        <w:lastRenderedPageBreak/>
        <w:t>the level that the IMF and World Bank</w:t>
      </w:r>
      <w:r w:rsidR="00144000">
        <w:t xml:space="preserve"> </w:t>
      </w:r>
      <w:r>
        <w:t>think is feasible and increase their share of sending on social protection in line with international targets. ODI latest estimates of financing gap in LICs</w:t>
      </w:r>
      <w:r w:rsidR="00FB3AE1">
        <w:t xml:space="preserve">, </w:t>
      </w:r>
      <w:r w:rsidR="006C2F30">
        <w:t>after both these steps have been taken</w:t>
      </w:r>
      <w:r w:rsidR="00FB3AE1">
        <w:t>,</w:t>
      </w:r>
      <w:r w:rsidR="006C2F30">
        <w:t xml:space="preserve"> </w:t>
      </w:r>
      <w:r>
        <w:t>is circa $50 billion a year</w:t>
      </w:r>
      <w:r w:rsidR="00C500A4">
        <w:rPr>
          <w:rStyle w:val="EndnoteReference"/>
        </w:rPr>
        <w:endnoteReference w:id="4"/>
      </w:r>
      <w:r w:rsidR="00C500A4">
        <w:t xml:space="preserve">. Further detail on the assumptions behind these costings is set out in Annex A. </w:t>
      </w:r>
    </w:p>
    <w:p w14:paraId="2DAE1DCE" w14:textId="60F084E7" w:rsidR="00AE3290" w:rsidRDefault="00FB3AE1" w:rsidP="005C05E8">
      <w:pPr>
        <w:pStyle w:val="ListParagraph"/>
        <w:numPr>
          <w:ilvl w:val="0"/>
          <w:numId w:val="7"/>
        </w:numPr>
        <w:spacing w:before="240"/>
        <w:ind w:left="567" w:hanging="567"/>
      </w:pPr>
      <w:r>
        <w:t xml:space="preserve">The most recent of these ODI reports. </w:t>
      </w:r>
      <w:r w:rsidR="00AE3290">
        <w:t>published in November</w:t>
      </w:r>
      <w:r>
        <w:rPr>
          <w:rStyle w:val="EndnoteReference"/>
        </w:rPr>
        <w:endnoteReference w:id="5"/>
      </w:r>
      <w:r>
        <w:t xml:space="preserve">, </w:t>
      </w:r>
      <w:r w:rsidR="00AE3290">
        <w:t xml:space="preserve">identified social protection as being by far the least well-funded sector in LICs. </w:t>
      </w:r>
    </w:p>
    <w:p w14:paraId="3E2D4976" w14:textId="299E31C9" w:rsidR="00AE3290" w:rsidRDefault="00AE3290" w:rsidP="005C05E8">
      <w:pPr>
        <w:pStyle w:val="ListParagraph"/>
        <w:numPr>
          <w:ilvl w:val="0"/>
          <w:numId w:val="7"/>
        </w:numPr>
        <w:spacing w:before="240"/>
        <w:ind w:left="567" w:hanging="567"/>
      </w:pPr>
      <w:r>
        <w:t>Social protection is a key element of “building back better” after this pandemic. First social protection is critical for building the resilience of the poorest to future pandemics. This crisis has prompted greater use of the existing patchwork of schemes run by governments, humanitarian donors and NGOs. At the same time the crisis has revealed how thinly these are spread in the poorest countries and how inefficient it is to have multiple uncoordinated independent schemes. Second social protection is a key element for addressing the two great long-term global crises – inequality and climate change</w:t>
      </w:r>
      <w:r w:rsidR="009C174B">
        <w:t xml:space="preserve">. </w:t>
      </w:r>
    </w:p>
    <w:p w14:paraId="2F276749" w14:textId="77777777" w:rsidR="00B96B37" w:rsidRDefault="00B96B37" w:rsidP="00261905">
      <w:pPr>
        <w:rPr>
          <w:b/>
          <w:bCs/>
        </w:rPr>
      </w:pPr>
    </w:p>
    <w:p w14:paraId="419AD00B" w14:textId="049A5123" w:rsidR="00690FF0" w:rsidRPr="005C05E8" w:rsidRDefault="00AE3290" w:rsidP="00261905">
      <w:pPr>
        <w:rPr>
          <w:b/>
          <w:bCs/>
        </w:rPr>
      </w:pPr>
      <w:r w:rsidRPr="005C05E8">
        <w:rPr>
          <w:b/>
          <w:bCs/>
        </w:rPr>
        <w:lastRenderedPageBreak/>
        <w:t xml:space="preserve">V </w:t>
      </w:r>
      <w:r w:rsidR="00690FF0" w:rsidRPr="005C05E8">
        <w:rPr>
          <w:b/>
          <w:bCs/>
        </w:rPr>
        <w:t>Additional sources of financing</w:t>
      </w:r>
    </w:p>
    <w:p w14:paraId="2A85569F" w14:textId="6544C0C4" w:rsidR="00AE3290" w:rsidRDefault="00690FF0" w:rsidP="00261905">
      <w:r>
        <w:t>Climate finance could be a major source of financing</w:t>
      </w:r>
      <w:r w:rsidR="00AE3290">
        <w:t xml:space="preserve"> for </w:t>
      </w:r>
      <w:r w:rsidR="006C2F30">
        <w:t xml:space="preserve">a global </w:t>
      </w:r>
      <w:r w:rsidR="00AE3290">
        <w:t>social protection fund</w:t>
      </w:r>
      <w:r>
        <w:t xml:space="preserve">. </w:t>
      </w:r>
      <w:r w:rsidR="00AE3290">
        <w:t xml:space="preserve">Social protection is becoming increasingly appreciated as an effective adaption measure in poorer countries. </w:t>
      </w:r>
      <w:r w:rsidR="00D13F96">
        <w:rPr>
          <w:rStyle w:val="EndnoteReference"/>
        </w:rPr>
        <w:endnoteReference w:id="6"/>
      </w:r>
      <w:r w:rsidR="00AE3290">
        <w:t xml:space="preserve"> As donor climate finance investment in Ethiopian’s large-scale social protection programmes testifies, such mechanisms help poor subsistence farmers adapt to climate change, by both building their resilience to extreme weather events and by supporting their development of off farm income sources.</w:t>
      </w:r>
    </w:p>
    <w:p w14:paraId="2554EC4B" w14:textId="78CFBBBD" w:rsidR="008D2D45" w:rsidRDefault="00AE3290" w:rsidP="008D2D45">
      <w:r>
        <w:t xml:space="preserve">Climate finance would be particularly appropriate if the global fund prioritises the needs of the poorest countries. </w:t>
      </w:r>
      <w:r w:rsidR="00EF389D">
        <w:t>It is increasing</w:t>
      </w:r>
      <w:r w:rsidR="00173BC0">
        <w:t xml:space="preserve">ly </w:t>
      </w:r>
      <w:r w:rsidR="00EF389D">
        <w:t>reco</w:t>
      </w:r>
      <w:r w:rsidR="00173BC0">
        <w:t xml:space="preserve">gnised </w:t>
      </w:r>
      <w:r w:rsidR="00EF389D">
        <w:t xml:space="preserve">that </w:t>
      </w:r>
      <w:r w:rsidR="00173BC0">
        <w:t xml:space="preserve">climate finance </w:t>
      </w:r>
      <w:r w:rsidR="00EF389D">
        <w:t xml:space="preserve">is inequitably allocated </w:t>
      </w:r>
      <w:r w:rsidR="00173BC0">
        <w:t>in favour of richer countries and is imbalanced in favour of mitigation</w:t>
      </w:r>
      <w:r w:rsidR="008E55F9">
        <w:t xml:space="preserve"> rather than adaptation</w:t>
      </w:r>
      <w:r w:rsidR="00173BC0">
        <w:t xml:space="preserve">. A global social protection </w:t>
      </w:r>
      <w:r>
        <w:t xml:space="preserve">fund </w:t>
      </w:r>
      <w:r w:rsidR="00173BC0">
        <w:t xml:space="preserve">would </w:t>
      </w:r>
      <w:r w:rsidR="0034647A">
        <w:t xml:space="preserve">help re-balance </w:t>
      </w:r>
      <w:r>
        <w:t xml:space="preserve">funding </w:t>
      </w:r>
      <w:r w:rsidR="0034647A">
        <w:t xml:space="preserve">towards the poorer countries and adaptation support. </w:t>
      </w:r>
    </w:p>
    <w:p w14:paraId="37D6592B" w14:textId="1DCE466E" w:rsidR="005177BD" w:rsidRDefault="00E572D7" w:rsidP="00E572D7">
      <w:r>
        <w:t xml:space="preserve">A more radical area that might be worth exploring is additional earmarked </w:t>
      </w:r>
      <w:r w:rsidR="005177BD">
        <w:t>voluntary funding</w:t>
      </w:r>
      <w:r>
        <w:t xml:space="preserve"> from schools, businesses and cities. Funding amount would be linked to number of children/people in the </w:t>
      </w:r>
      <w:r>
        <w:lastRenderedPageBreak/>
        <w:t xml:space="preserve">funding institution and associated with same number of children/people in a specific school or city receiving additional social protection benefits. </w:t>
      </w:r>
    </w:p>
    <w:p w14:paraId="54623892" w14:textId="352792F9" w:rsidR="005177BD" w:rsidRDefault="005177BD" w:rsidP="008D2D45"/>
    <w:p w14:paraId="5BD71839" w14:textId="728ABA7C" w:rsidR="00C500A4" w:rsidRPr="00C500A4" w:rsidRDefault="00C500A4">
      <w:pPr>
        <w:rPr>
          <w:rFonts w:cstheme="minorHAnsi"/>
          <w:b/>
          <w:bCs/>
        </w:rPr>
      </w:pPr>
      <w:r w:rsidRPr="00C500A4">
        <w:rPr>
          <w:rFonts w:cstheme="minorHAnsi"/>
          <w:b/>
          <w:bCs/>
        </w:rPr>
        <w:t xml:space="preserve">Annex A Details of </w:t>
      </w:r>
      <w:r w:rsidR="00B96B37">
        <w:rPr>
          <w:rFonts w:cstheme="minorHAnsi"/>
          <w:b/>
          <w:bCs/>
        </w:rPr>
        <w:t xml:space="preserve">latest </w:t>
      </w:r>
      <w:r w:rsidRPr="00C500A4">
        <w:rPr>
          <w:rFonts w:cstheme="minorHAnsi"/>
          <w:b/>
          <w:bCs/>
        </w:rPr>
        <w:t>social protection costing estimate</w:t>
      </w:r>
      <w:r w:rsidR="00B96B37">
        <w:rPr>
          <w:rFonts w:cstheme="minorHAnsi"/>
          <w:b/>
          <w:bCs/>
        </w:rPr>
        <w:t>s (prepared by Martin Evans, Senior Research Fellow ODI)</w:t>
      </w:r>
    </w:p>
    <w:p w14:paraId="1DD67B72" w14:textId="198580BA" w:rsidR="00C500A4" w:rsidRPr="00C500A4" w:rsidRDefault="00C500A4" w:rsidP="00C500A4">
      <w:pPr>
        <w:rPr>
          <w:rStyle w:val="BodyTextChar"/>
          <w:rFonts w:asciiTheme="minorHAnsi" w:hAnsiTheme="minorHAnsi" w:cstheme="minorHAnsi"/>
        </w:rPr>
      </w:pPr>
      <w:r w:rsidRPr="00C500A4">
        <w:rPr>
          <w:rStyle w:val="BodyTextChar"/>
          <w:rFonts w:asciiTheme="minorHAnsi" w:hAnsiTheme="minorHAnsi" w:cstheme="minorHAnsi"/>
        </w:rPr>
        <w:t xml:space="preserve">The precise design of social protection programmes to address poverty varies across countries depending on their context and history. Our estimate does not attempt to consider which precise design would be most appropriate at the national level. Our outline proposal is to ensure countries have the funding they need to provide a basic set of social protection transfers and services that can lift the poor population towards or over the international extreme poverty line of $1.90. Many countries may choose to spend more than this minimum and provide more than a floor e.g. through contributory benefits and pension schemes, although those programmes tend to be less progressive. Some countries may also want to make payments conditional e.g. on children attending school or receiving vaccination. </w:t>
      </w:r>
    </w:p>
    <w:p w14:paraId="484A7BF0" w14:textId="2F18D067" w:rsidR="00C500A4" w:rsidRPr="00C500A4" w:rsidRDefault="00C500A4" w:rsidP="00C500A4">
      <w:pPr>
        <w:rPr>
          <w:rStyle w:val="BodyTextChar"/>
          <w:rFonts w:asciiTheme="minorHAnsi" w:hAnsiTheme="minorHAnsi" w:cstheme="minorHAnsi"/>
        </w:rPr>
      </w:pPr>
      <w:r w:rsidRPr="00C500A4">
        <w:rPr>
          <w:rStyle w:val="BodyTextChar"/>
          <w:rFonts w:asciiTheme="minorHAnsi" w:hAnsiTheme="minorHAnsi" w:cstheme="minorHAnsi"/>
        </w:rPr>
        <w:lastRenderedPageBreak/>
        <w:t>Our stylised costings are based on the</w:t>
      </w:r>
    </w:p>
    <w:p w14:paraId="6C817084" w14:textId="3E88777F" w:rsidR="00C500A4" w:rsidRPr="00C500A4" w:rsidRDefault="00C500A4" w:rsidP="00C500A4">
      <w:pPr>
        <w:pStyle w:val="ListParagraph"/>
        <w:numPr>
          <w:ilvl w:val="0"/>
          <w:numId w:val="9"/>
        </w:numPr>
        <w:rPr>
          <w:rStyle w:val="BodyTextChar"/>
          <w:rFonts w:asciiTheme="minorHAnsi" w:hAnsiTheme="minorHAnsi" w:cstheme="minorHAnsi"/>
        </w:rPr>
      </w:pPr>
      <w:r w:rsidRPr="00C500A4">
        <w:rPr>
          <w:rStyle w:val="BodyTextChar"/>
          <w:rFonts w:asciiTheme="minorHAnsi" w:hAnsiTheme="minorHAnsi" w:cstheme="minorHAnsi"/>
        </w:rPr>
        <w:t xml:space="preserve">size of the aggregate extreme poverty gap in each country: </w:t>
      </w:r>
      <w:r w:rsidR="00B96B37" w:rsidRPr="00C500A4">
        <w:rPr>
          <w:rStyle w:val="BodyTextChar"/>
          <w:rFonts w:asciiTheme="minorHAnsi" w:hAnsiTheme="minorHAnsi" w:cstheme="minorHAnsi"/>
        </w:rPr>
        <w:t>i.e.</w:t>
      </w:r>
      <w:r w:rsidRPr="00C500A4">
        <w:rPr>
          <w:rStyle w:val="BodyTextChar"/>
          <w:rFonts w:asciiTheme="minorHAnsi" w:hAnsiTheme="minorHAnsi" w:cstheme="minorHAnsi"/>
        </w:rPr>
        <w:t xml:space="preserve"> the shortfall in consumption or income level relative to the extreme poverty line.</w:t>
      </w:r>
    </w:p>
    <w:p w14:paraId="3CC658FC" w14:textId="77777777" w:rsidR="00C500A4" w:rsidRPr="00C500A4" w:rsidRDefault="00C500A4" w:rsidP="00C500A4">
      <w:pPr>
        <w:pStyle w:val="ListParagraph"/>
        <w:numPr>
          <w:ilvl w:val="0"/>
          <w:numId w:val="9"/>
        </w:numPr>
        <w:rPr>
          <w:rStyle w:val="BodyTextChar"/>
          <w:rFonts w:asciiTheme="minorHAnsi" w:hAnsiTheme="minorHAnsi" w:cstheme="minorHAnsi"/>
        </w:rPr>
      </w:pPr>
      <w:r w:rsidRPr="00C500A4">
        <w:rPr>
          <w:rStyle w:val="BodyTextChar"/>
          <w:rFonts w:asciiTheme="minorHAnsi" w:hAnsiTheme="minorHAnsi" w:cstheme="minorHAnsi"/>
        </w:rPr>
        <w:t>projected levels of poverty so programmes are only scaled to be provided for people who are not expected to be lifted out of poverty by broader economic growth.</w:t>
      </w:r>
    </w:p>
    <w:p w14:paraId="20509E14" w14:textId="77777777" w:rsidR="00C500A4" w:rsidRPr="00C500A4" w:rsidRDefault="00C500A4" w:rsidP="00C500A4">
      <w:pPr>
        <w:pStyle w:val="ListParagraph"/>
        <w:numPr>
          <w:ilvl w:val="0"/>
          <w:numId w:val="9"/>
        </w:numPr>
        <w:rPr>
          <w:rStyle w:val="BodyTextChar"/>
          <w:rFonts w:asciiTheme="minorHAnsi" w:hAnsiTheme="minorHAnsi" w:cstheme="minorHAnsi"/>
        </w:rPr>
      </w:pPr>
      <w:r w:rsidRPr="00C500A4">
        <w:rPr>
          <w:rStyle w:val="BodyTextChar"/>
          <w:rFonts w:asciiTheme="minorHAnsi" w:hAnsiTheme="minorHAnsi" w:cstheme="minorHAnsi"/>
        </w:rPr>
        <w:t xml:space="preserve">need to provide for different forms of transfers and services to consider the demographic and the economic drivers of improved livelihoods of poor people </w:t>
      </w:r>
    </w:p>
    <w:p w14:paraId="4FCD39A2" w14:textId="77777777" w:rsidR="00C500A4" w:rsidRPr="00C500A4" w:rsidRDefault="00C500A4" w:rsidP="00C500A4">
      <w:pPr>
        <w:pStyle w:val="ListParagraph"/>
        <w:numPr>
          <w:ilvl w:val="0"/>
          <w:numId w:val="9"/>
        </w:numPr>
        <w:rPr>
          <w:rStyle w:val="BodyTextChar"/>
          <w:rFonts w:asciiTheme="minorHAnsi" w:hAnsiTheme="minorHAnsi" w:cstheme="minorHAnsi"/>
        </w:rPr>
      </w:pPr>
      <w:r w:rsidRPr="00C500A4">
        <w:rPr>
          <w:rStyle w:val="BodyTextChar"/>
          <w:rFonts w:asciiTheme="minorHAnsi" w:hAnsiTheme="minorHAnsi" w:cstheme="minorHAnsi"/>
        </w:rPr>
        <w:t xml:space="preserve">recognition that long-term sustainability and domestic political acceptability considerations imply that the choice of the precise form of demographic cash transfers (e.g. to children and elderly people) needs to balance poverty reducing and universal coverage aims.  </w:t>
      </w:r>
    </w:p>
    <w:p w14:paraId="0F28E9ED" w14:textId="77777777" w:rsidR="00C500A4" w:rsidRPr="00C500A4" w:rsidRDefault="00C500A4" w:rsidP="00C500A4">
      <w:pPr>
        <w:pStyle w:val="ListParagraph"/>
        <w:numPr>
          <w:ilvl w:val="0"/>
          <w:numId w:val="9"/>
        </w:numPr>
        <w:rPr>
          <w:rStyle w:val="BodyTextChar"/>
          <w:rFonts w:asciiTheme="minorHAnsi" w:hAnsiTheme="minorHAnsi" w:cstheme="minorHAnsi"/>
        </w:rPr>
      </w:pPr>
      <w:r w:rsidRPr="00C500A4">
        <w:rPr>
          <w:rStyle w:val="BodyTextChar"/>
          <w:rFonts w:asciiTheme="minorHAnsi" w:hAnsiTheme="minorHAnsi" w:cstheme="minorHAnsi"/>
        </w:rPr>
        <w:t>recognition that people with disabilities and those who are chronically ill would need additional support from cash and services.</w:t>
      </w:r>
    </w:p>
    <w:p w14:paraId="2FA2D60E" w14:textId="1EE61CB3" w:rsidR="00C500A4" w:rsidRPr="00C500A4" w:rsidRDefault="00C500A4" w:rsidP="00C500A4">
      <w:pPr>
        <w:pStyle w:val="BodyText"/>
        <w:rPr>
          <w:rFonts w:asciiTheme="minorHAnsi" w:hAnsiTheme="minorHAnsi" w:cstheme="minorHAnsi"/>
        </w:rPr>
      </w:pPr>
      <w:r w:rsidRPr="00C500A4">
        <w:rPr>
          <w:rFonts w:asciiTheme="minorHAnsi" w:hAnsiTheme="minorHAnsi" w:cstheme="minorHAnsi"/>
        </w:rPr>
        <w:t>The costings therefore cover three distinct types of transfers</w:t>
      </w:r>
    </w:p>
    <w:p w14:paraId="14FAB054" w14:textId="4AB8A7DB" w:rsidR="00C500A4" w:rsidRPr="00C500A4" w:rsidRDefault="00C500A4" w:rsidP="00C500A4">
      <w:pPr>
        <w:pStyle w:val="BodyText"/>
        <w:numPr>
          <w:ilvl w:val="0"/>
          <w:numId w:val="10"/>
        </w:numPr>
        <w:rPr>
          <w:rFonts w:asciiTheme="minorHAnsi" w:hAnsiTheme="minorHAnsi" w:cstheme="minorHAnsi"/>
        </w:rPr>
      </w:pPr>
      <w:r w:rsidRPr="00C500A4">
        <w:rPr>
          <w:rFonts w:asciiTheme="minorHAnsi" w:hAnsiTheme="minorHAnsi" w:cstheme="minorHAnsi"/>
          <w:i/>
        </w:rPr>
        <w:lastRenderedPageBreak/>
        <w:t>Age-specific transfers</w:t>
      </w:r>
      <w:r w:rsidRPr="00C500A4">
        <w:rPr>
          <w:rFonts w:asciiTheme="minorHAnsi" w:hAnsiTheme="minorHAnsi" w:cstheme="minorHAnsi"/>
        </w:rPr>
        <w:t xml:space="preserve">: Children are over-represented among the extreme poor. The World Bank estimated that </w:t>
      </w:r>
      <w:r w:rsidRPr="00C500A4">
        <w:rPr>
          <w:rFonts w:asciiTheme="minorHAnsi" w:eastAsia="Times New Roman" w:hAnsiTheme="minorHAnsi" w:cstheme="minorHAnsi"/>
        </w:rPr>
        <w:t>19.5% of children under 18 years live in $1.90 extreme poverty compared to 9.2% for adults. Poverty is particularly high for children aged 0-9 and declines in older groups of children. So t</w:t>
      </w:r>
      <w:r w:rsidRPr="00C500A4">
        <w:rPr>
          <w:rFonts w:asciiTheme="minorHAnsi" w:hAnsiTheme="minorHAnsi" w:cstheme="minorHAnsi"/>
        </w:rPr>
        <w:t xml:space="preserve">ransfers that reflect the presence and/or the number of children can be a characteristic of an efficient poverty reducing transfer. Very high percentages of extremely poor households contain children in many countries. Most countries also recognise the need to provide support for elderly populations, even though they are less associated with poverty in poorer countries.  The poorest countries have high fertility, and a large proportion of households contain children, while other richer countries differ.  How far transfers to children (and the elderly) should be universal or not is thus a question of coverage and efficiency as well as a normative policy question, and best determined at national level to reflect political and economic constraints. To ensure countries can afford to choose, the costings here assume a universal approach, which is the more costly option. The difference between the universal and targeted approaches is not that large in high poverty countries, as targeted programmes would need to reach most of </w:t>
      </w:r>
      <w:r w:rsidRPr="00C500A4">
        <w:rPr>
          <w:rFonts w:asciiTheme="minorHAnsi" w:hAnsiTheme="minorHAnsi" w:cstheme="minorHAnsi"/>
        </w:rPr>
        <w:lastRenderedPageBreak/>
        <w:t xml:space="preserve">the population anyway and have much higher leakage rates and administration costs. </w:t>
      </w:r>
    </w:p>
    <w:p w14:paraId="704B46CD" w14:textId="77777777" w:rsidR="00C500A4" w:rsidRPr="00C500A4" w:rsidRDefault="00C500A4" w:rsidP="00C500A4">
      <w:pPr>
        <w:pStyle w:val="BodyText"/>
        <w:numPr>
          <w:ilvl w:val="0"/>
          <w:numId w:val="10"/>
        </w:numPr>
        <w:rPr>
          <w:rFonts w:asciiTheme="minorHAnsi" w:hAnsiTheme="minorHAnsi" w:cstheme="minorHAnsi"/>
        </w:rPr>
      </w:pPr>
      <w:r w:rsidRPr="00C500A4">
        <w:rPr>
          <w:rFonts w:asciiTheme="minorHAnsi" w:hAnsiTheme="minorHAnsi" w:cstheme="minorHAnsi"/>
          <w:i/>
        </w:rPr>
        <w:t xml:space="preserve">Transfers </w:t>
      </w:r>
      <w:r w:rsidRPr="00C500A4">
        <w:rPr>
          <w:rFonts w:asciiTheme="minorHAnsi" w:hAnsiTheme="minorHAnsi" w:cstheme="minorHAnsi"/>
        </w:rPr>
        <w:t xml:space="preserve">to </w:t>
      </w:r>
      <w:r w:rsidRPr="00C500A4">
        <w:rPr>
          <w:rFonts w:asciiTheme="minorHAnsi" w:hAnsiTheme="minorHAnsi" w:cstheme="minorHAnsi"/>
          <w:i/>
        </w:rPr>
        <w:t xml:space="preserve">people living with disabilities </w:t>
      </w:r>
    </w:p>
    <w:p w14:paraId="12E820D5" w14:textId="77777777" w:rsidR="00C500A4" w:rsidRPr="00C500A4" w:rsidRDefault="00C500A4" w:rsidP="00C500A4">
      <w:pPr>
        <w:pStyle w:val="BodyText"/>
        <w:ind w:left="720"/>
        <w:rPr>
          <w:rFonts w:asciiTheme="minorHAnsi" w:hAnsiTheme="minorHAnsi" w:cstheme="minorHAnsi"/>
        </w:rPr>
      </w:pPr>
      <w:r w:rsidRPr="00C500A4">
        <w:rPr>
          <w:rFonts w:asciiTheme="minorHAnsi" w:hAnsiTheme="minorHAnsi" w:cstheme="minorHAnsi"/>
        </w:rPr>
        <w:t xml:space="preserve">People with disabilities face constraints on their ability to earn and have higher living costs for both their care and for essential goods.  Transfers to individuals identified as having a qualifying level of disability can be an efficient response to support individuals with low incomes and compensate for the opportunity costs of carers.  They also can counter prejudice and discrimination. We assume a universal approach to costing based on estimates of prevalence of disability in the working age population. </w:t>
      </w:r>
    </w:p>
    <w:p w14:paraId="6E4056AE" w14:textId="77777777" w:rsidR="00C500A4" w:rsidRPr="00C500A4" w:rsidRDefault="00C500A4" w:rsidP="00C500A4">
      <w:pPr>
        <w:pStyle w:val="BodyText"/>
        <w:numPr>
          <w:ilvl w:val="0"/>
          <w:numId w:val="10"/>
        </w:numPr>
        <w:rPr>
          <w:rFonts w:asciiTheme="minorHAnsi" w:hAnsiTheme="minorHAnsi" w:cstheme="minorHAnsi"/>
        </w:rPr>
      </w:pPr>
      <w:r w:rsidRPr="00C500A4">
        <w:rPr>
          <w:rFonts w:asciiTheme="minorHAnsi" w:hAnsiTheme="minorHAnsi" w:cstheme="minorHAnsi"/>
          <w:i/>
        </w:rPr>
        <w:t xml:space="preserve">Productive safety net/livelihood enhancing programmes: </w:t>
      </w:r>
      <w:r w:rsidRPr="00C500A4">
        <w:rPr>
          <w:rFonts w:asciiTheme="minorHAnsi" w:hAnsiTheme="minorHAnsi" w:cstheme="minorHAnsi"/>
        </w:rPr>
        <w:t xml:space="preserve">These programmes should assist in smoothing underlying risks from uncertain income generation and encourage increasing productivity. Given that the child transfer allocation would provide an income and consumption smoothing for the large majority of economically active adults in the poorest countries, our stylised example provides for a ‘productive safety net’ type transfer based on public works employment for the </w:t>
      </w:r>
      <w:r w:rsidRPr="00C500A4">
        <w:rPr>
          <w:rFonts w:asciiTheme="minorHAnsi" w:hAnsiTheme="minorHAnsi" w:cstheme="minorHAnsi"/>
        </w:rPr>
        <w:lastRenderedPageBreak/>
        <w:t>adult population combined with ‘livelihood improvement services’ that will help improve productivity and promote business, based on the Ethiopian Productive Safety Net Programme.</w:t>
      </w:r>
    </w:p>
    <w:p w14:paraId="5786CDCE" w14:textId="77777777" w:rsidR="00C500A4" w:rsidRDefault="00C500A4" w:rsidP="008D2D45">
      <w:pPr>
        <w:rPr>
          <w:b/>
          <w:bCs/>
          <w:sz w:val="28"/>
          <w:szCs w:val="28"/>
        </w:rPr>
      </w:pPr>
    </w:p>
    <w:p w14:paraId="2B658A8B" w14:textId="77777777" w:rsidR="00C500A4" w:rsidRDefault="00C500A4" w:rsidP="008D2D45">
      <w:pPr>
        <w:rPr>
          <w:b/>
          <w:bCs/>
          <w:sz w:val="28"/>
          <w:szCs w:val="28"/>
        </w:rPr>
      </w:pPr>
    </w:p>
    <w:p w14:paraId="1A56369B" w14:textId="699244C8" w:rsidR="00144000" w:rsidRPr="00D13F96" w:rsidRDefault="00D13F96" w:rsidP="008D2D45">
      <w:pPr>
        <w:rPr>
          <w:b/>
          <w:bCs/>
          <w:sz w:val="28"/>
          <w:szCs w:val="28"/>
        </w:rPr>
      </w:pPr>
      <w:r w:rsidRPr="00D13F96">
        <w:rPr>
          <w:b/>
          <w:bCs/>
          <w:sz w:val="28"/>
          <w:szCs w:val="28"/>
        </w:rPr>
        <w:t xml:space="preserve">References </w:t>
      </w:r>
    </w:p>
    <w:sectPr w:rsidR="00144000" w:rsidRPr="00D13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B4B7" w14:textId="77777777" w:rsidR="00C20CBA" w:rsidRDefault="00C20CBA">
      <w:pPr>
        <w:spacing w:after="0" w:line="240" w:lineRule="auto"/>
      </w:pPr>
      <w:r>
        <w:separator/>
      </w:r>
    </w:p>
  </w:endnote>
  <w:endnote w:type="continuationSeparator" w:id="0">
    <w:p w14:paraId="693C90D7" w14:textId="77777777" w:rsidR="00C20CBA" w:rsidRDefault="00C20CBA">
      <w:pPr>
        <w:spacing w:after="0" w:line="240" w:lineRule="auto"/>
      </w:pPr>
      <w:r>
        <w:continuationSeparator/>
      </w:r>
    </w:p>
  </w:endnote>
  <w:endnote w:id="1">
    <w:p w14:paraId="382B784E" w14:textId="3791C0A9" w:rsidR="00D13F96" w:rsidRDefault="00FB3AE1" w:rsidP="000B2547">
      <w:pPr>
        <w:pStyle w:val="Heading1"/>
        <w:spacing w:after="0" w:afterAutospacing="0"/>
      </w:pPr>
      <w:r w:rsidRPr="000B2547">
        <w:rPr>
          <w:rStyle w:val="EndnoteReference"/>
          <w:b w:val="0"/>
          <w:bCs w:val="0"/>
          <w:sz w:val="18"/>
          <w:szCs w:val="18"/>
        </w:rPr>
        <w:endnoteRef/>
      </w:r>
      <w:r w:rsidRPr="000B2547">
        <w:rPr>
          <w:b w:val="0"/>
          <w:bCs w:val="0"/>
          <w:sz w:val="18"/>
          <w:szCs w:val="18"/>
        </w:rPr>
        <w:t xml:space="preserve"> </w:t>
      </w:r>
      <w:r w:rsidR="000B2547" w:rsidRPr="00A465BD">
        <w:rPr>
          <w:rFonts w:eastAsia="Calibri"/>
          <w:b w:val="0"/>
          <w:sz w:val="22"/>
          <w:szCs w:val="22"/>
        </w:rPr>
        <w:t xml:space="preserve">Manuel, M. and Manuel, C. </w:t>
      </w:r>
      <w:r w:rsidR="000B2547">
        <w:rPr>
          <w:rFonts w:eastAsia="Calibri"/>
          <w:b w:val="0"/>
          <w:sz w:val="22"/>
          <w:szCs w:val="22"/>
        </w:rPr>
        <w:t xml:space="preserve">(2018) </w:t>
      </w:r>
      <w:r w:rsidR="000B2547" w:rsidRPr="00A465BD">
        <w:rPr>
          <w:rFonts w:eastAsia="Calibri"/>
          <w:b w:val="0"/>
          <w:bCs w:val="0"/>
          <w:i/>
          <w:iCs/>
          <w:kern w:val="0"/>
          <w:sz w:val="22"/>
          <w:szCs w:val="22"/>
          <w:lang w:eastAsia="en-US"/>
        </w:rPr>
        <w:t>Achieving equal access to justice for all by 2030: lessons from global funds</w:t>
      </w:r>
      <w:r w:rsidR="000B2547">
        <w:rPr>
          <w:rFonts w:eastAsia="Calibri"/>
          <w:b w:val="0"/>
          <w:sz w:val="22"/>
          <w:szCs w:val="22"/>
        </w:rPr>
        <w:t xml:space="preserve"> </w:t>
      </w:r>
      <w:r w:rsidR="000B2547" w:rsidRPr="00A465BD">
        <w:rPr>
          <w:rFonts w:eastAsia="Calibri"/>
          <w:b w:val="0"/>
          <w:sz w:val="22"/>
          <w:szCs w:val="22"/>
        </w:rPr>
        <w:t>London: Overseas Development Institute</w:t>
      </w:r>
      <w:r w:rsidR="000B2547">
        <w:rPr>
          <w:rFonts w:asciiTheme="minorHAnsi" w:eastAsiaTheme="minorHAnsi" w:hAnsiTheme="minorHAnsi" w:cstheme="minorBidi"/>
          <w:b w:val="0"/>
          <w:bCs w:val="0"/>
          <w:kern w:val="0"/>
          <w:sz w:val="24"/>
          <w:szCs w:val="24"/>
          <w:lang w:eastAsia="en-US"/>
        </w:rPr>
        <w:t xml:space="preserve"> </w:t>
      </w:r>
      <w:hyperlink r:id="rId1" w:history="1">
        <w:r w:rsidR="000B2547" w:rsidRPr="00F7328F">
          <w:rPr>
            <w:rStyle w:val="Hyperlink"/>
            <w:rFonts w:asciiTheme="minorHAnsi" w:eastAsiaTheme="minorHAnsi" w:hAnsiTheme="minorHAnsi" w:cstheme="minorBidi"/>
            <w:b w:val="0"/>
            <w:bCs w:val="0"/>
            <w:color w:val="4472C4" w:themeColor="accent1"/>
            <w:kern w:val="0"/>
            <w:sz w:val="22"/>
            <w:szCs w:val="22"/>
            <w:lang w:eastAsia="en-US"/>
          </w:rPr>
          <w:t>https://www.odi.org/publications/11161-achieving-equal-access-justice-all-2030-lessons-global-funds</w:t>
        </w:r>
      </w:hyperlink>
    </w:p>
  </w:endnote>
  <w:endnote w:id="2">
    <w:p w14:paraId="5BC73A20" w14:textId="613CCA4E" w:rsidR="00FB3AE1" w:rsidRDefault="00FB3AE1">
      <w:pPr>
        <w:pStyle w:val="EndnoteText"/>
      </w:pPr>
      <w:r>
        <w:rPr>
          <w:rStyle w:val="EndnoteReference"/>
        </w:rPr>
        <w:endnoteRef/>
      </w:r>
      <w:r>
        <w:t xml:space="preserve"> </w:t>
      </w:r>
      <w:bookmarkStart w:id="1" w:name="_Hlk57731797"/>
      <w:r w:rsidR="00F7328F" w:rsidRPr="00F7328F">
        <w:rPr>
          <w:rFonts w:ascii="Times New Roman" w:hAnsi="Times New Roman" w:cs="Times New Roman"/>
          <w:color w:val="231F20"/>
          <w:w w:val="105"/>
          <w:sz w:val="22"/>
        </w:rPr>
        <w:t>Greenhill, R., Carter, P., Hoy, C. and Manuel, M.</w:t>
      </w:r>
      <w:r w:rsidR="00F7328F" w:rsidRPr="00F7328F">
        <w:rPr>
          <w:rFonts w:ascii="Times New Roman" w:hAnsi="Times New Roman" w:cs="Times New Roman"/>
          <w:i/>
        </w:rPr>
        <w:t xml:space="preserve"> </w:t>
      </w:r>
      <w:r w:rsidR="00F7328F" w:rsidRPr="00F7328F">
        <w:rPr>
          <w:rFonts w:ascii="Times New Roman" w:hAnsi="Times New Roman" w:cs="Times New Roman"/>
          <w:iCs/>
        </w:rPr>
        <w:t>(2015</w:t>
      </w:r>
      <w:r w:rsidR="00F7328F" w:rsidRPr="00D13F96">
        <w:rPr>
          <w:rFonts w:ascii="Times New Roman" w:hAnsi="Times New Roman" w:cs="Times New Roman"/>
          <w:iCs/>
        </w:rPr>
        <w:t>)</w:t>
      </w:r>
      <w:r w:rsidR="00F7328F" w:rsidRPr="00D13F96">
        <w:rPr>
          <w:rFonts w:ascii="Times New Roman" w:hAnsi="Times New Roman" w:cs="Times New Roman"/>
          <w:i/>
        </w:rPr>
        <w:t xml:space="preserve"> </w:t>
      </w:r>
      <w:r w:rsidR="00F7328F" w:rsidRPr="00D13F96">
        <w:rPr>
          <w:rFonts w:ascii="Times New Roman" w:hAnsi="Times New Roman" w:cs="Times New Roman"/>
          <w:i/>
          <w:sz w:val="22"/>
          <w:szCs w:val="22"/>
        </w:rPr>
        <w:t>Financing the future – how international public finance should fund a global social compact to eradicate poverty</w:t>
      </w:r>
      <w:r w:rsidR="00F7328F">
        <w:rPr>
          <w:i/>
        </w:rPr>
        <w:t xml:space="preserve"> </w:t>
      </w:r>
      <w:r w:rsidR="00F7328F" w:rsidRPr="00D13F96">
        <w:rPr>
          <w:rFonts w:ascii="Times New Roman" w:hAnsi="Times New Roman" w:cs="Times New Roman"/>
          <w:sz w:val="22"/>
          <w:szCs w:val="22"/>
        </w:rPr>
        <w:t>London: Overseas Development Institute</w:t>
      </w:r>
      <w:r w:rsidR="00F7328F">
        <w:rPr>
          <w:color w:val="231F20"/>
          <w:w w:val="105"/>
          <w:sz w:val="22"/>
        </w:rPr>
        <w:t xml:space="preserve"> </w:t>
      </w:r>
      <w:hyperlink r:id="rId2" w:history="1">
        <w:r w:rsidR="00F7328F" w:rsidRPr="00D13F96">
          <w:rPr>
            <w:rStyle w:val="Hyperlink"/>
            <w:sz w:val="22"/>
            <w:szCs w:val="22"/>
          </w:rPr>
          <w:t>http://www.odi.org/publications/9462-financing-future-international-public-finance-should-fund-global-social-compact-eradicate-poverty</w:t>
        </w:r>
      </w:hyperlink>
      <w:bookmarkEnd w:id="1"/>
    </w:p>
  </w:endnote>
  <w:endnote w:id="3">
    <w:p w14:paraId="124702F0" w14:textId="5AF70A17" w:rsidR="000B2547" w:rsidRDefault="00FB3AE1" w:rsidP="000B2547">
      <w:pPr>
        <w:spacing w:after="0"/>
      </w:pPr>
      <w:r>
        <w:rPr>
          <w:rStyle w:val="EndnoteReference"/>
        </w:rPr>
        <w:endnoteRef/>
      </w:r>
      <w:r>
        <w:t xml:space="preserve"> </w:t>
      </w:r>
      <w:r w:rsidR="00F7328F" w:rsidRPr="00D13F96">
        <w:rPr>
          <w:rFonts w:ascii="Times New Roman" w:hAnsi="Times New Roman" w:cs="Times New Roman"/>
        </w:rPr>
        <w:t>Greenhill et al (2015)</w:t>
      </w:r>
      <w:r w:rsidR="00F7328F">
        <w:t xml:space="preserve"> </w:t>
      </w:r>
    </w:p>
    <w:p w14:paraId="524AEA73" w14:textId="5EFB7EE8" w:rsidR="00F7328F" w:rsidRPr="00D13F96" w:rsidRDefault="00F7328F" w:rsidP="000B2547">
      <w:pPr>
        <w:spacing w:after="0"/>
        <w:rPr>
          <w:rFonts w:ascii="Times New Roman" w:hAnsi="Times New Roman" w:cs="Times New Roman"/>
        </w:rPr>
      </w:pPr>
      <w:bookmarkStart w:id="2" w:name="_Hlk57731756"/>
      <w:r w:rsidRPr="00D13F96">
        <w:rPr>
          <w:rFonts w:ascii="Times New Roman" w:hAnsi="Times New Roman" w:cs="Times New Roman"/>
        </w:rPr>
        <w:t xml:space="preserve">Manuel, M., Desai, H. Samman, E. and Evans, M. (2018) </w:t>
      </w:r>
      <w:r w:rsidRPr="00D13F96">
        <w:rPr>
          <w:rFonts w:ascii="Times New Roman" w:hAnsi="Times New Roman" w:cs="Times New Roman"/>
          <w:i/>
        </w:rPr>
        <w:t xml:space="preserve">Financing the end of extreme poverty </w:t>
      </w:r>
      <w:r w:rsidRPr="00D13F96">
        <w:rPr>
          <w:rFonts w:ascii="Times New Roman" w:hAnsi="Times New Roman" w:cs="Times New Roman"/>
        </w:rPr>
        <w:t>London: Overseas Development Institute</w:t>
      </w:r>
    </w:p>
    <w:p w14:paraId="31B81861" w14:textId="71C53062" w:rsidR="00FB3AE1" w:rsidRDefault="00F31222" w:rsidP="000B2547">
      <w:pPr>
        <w:spacing w:after="0"/>
        <w:rPr>
          <w:rStyle w:val="Hyperlink"/>
        </w:rPr>
      </w:pPr>
      <w:hyperlink r:id="rId3" w:history="1">
        <w:r w:rsidR="000B2547" w:rsidRPr="00AF2035">
          <w:rPr>
            <w:rStyle w:val="Hyperlink"/>
          </w:rPr>
          <w:t>https://www.odi.org/publications/11187-financing-end-extreme-poverty</w:t>
        </w:r>
      </w:hyperlink>
    </w:p>
    <w:p w14:paraId="45607713" w14:textId="77777777" w:rsidR="000B2547" w:rsidRDefault="000B2547" w:rsidP="000B2547">
      <w:pPr>
        <w:pStyle w:val="Referencetext"/>
        <w:spacing w:after="0"/>
        <w:ind w:left="0" w:firstLine="0"/>
      </w:pPr>
      <w:r>
        <w:t>Manuel</w:t>
      </w:r>
      <w:r w:rsidRPr="00600ED5">
        <w:t>, M.</w:t>
      </w:r>
      <w:r>
        <w:t xml:space="preserve">, Manea, S., </w:t>
      </w:r>
      <w:r w:rsidRPr="00E40542">
        <w:t>Samman</w:t>
      </w:r>
      <w:r>
        <w:t>, E.</w:t>
      </w:r>
      <w:r w:rsidRPr="00E40542">
        <w:t xml:space="preserve"> and Evans</w:t>
      </w:r>
      <w:r>
        <w:t xml:space="preserve">, M. </w:t>
      </w:r>
      <w:r w:rsidRPr="00600ED5">
        <w:t>(201</w:t>
      </w:r>
      <w:r>
        <w:t>9</w:t>
      </w:r>
      <w:r w:rsidRPr="00600ED5">
        <w:t xml:space="preserve">) </w:t>
      </w:r>
      <w:r w:rsidRPr="009E7840">
        <w:rPr>
          <w:i/>
        </w:rPr>
        <w:t>Financing the end of extreme poverty</w:t>
      </w:r>
      <w:r>
        <w:rPr>
          <w:i/>
        </w:rPr>
        <w:t xml:space="preserve"> - 2019 update. </w:t>
      </w:r>
      <w:r w:rsidRPr="00600ED5">
        <w:t>London: Overseas Development Institute.</w:t>
      </w:r>
    </w:p>
    <w:p w14:paraId="34DE0B33" w14:textId="2F2E4708" w:rsidR="000B2547" w:rsidRDefault="00F31222" w:rsidP="000B2547">
      <w:pPr>
        <w:spacing w:after="0"/>
        <w:rPr>
          <w:rStyle w:val="Hyperlink"/>
        </w:rPr>
      </w:pPr>
      <w:hyperlink r:id="rId4" w:history="1">
        <w:r w:rsidR="000B2547" w:rsidRPr="00A465BD">
          <w:rPr>
            <w:rStyle w:val="Hyperlink"/>
          </w:rPr>
          <w:t>https://www.odi.org/publications/11433-financing-end-extreme-poverty-2019-update</w:t>
        </w:r>
      </w:hyperlink>
    </w:p>
    <w:p w14:paraId="07B9A465" w14:textId="215E2957" w:rsidR="000B2547" w:rsidRPr="00F7328F" w:rsidRDefault="00F7328F" w:rsidP="00D13F96">
      <w:pPr>
        <w:spacing w:after="0"/>
        <w:rPr>
          <w:rFonts w:ascii="Times New Roman" w:hAnsi="Times New Roman" w:cs="Times New Roman"/>
        </w:rPr>
      </w:pPr>
      <w:r w:rsidRPr="002E2268">
        <w:rPr>
          <w:rFonts w:ascii="Times New Roman" w:hAnsi="Times New Roman" w:cs="Times New Roman"/>
        </w:rPr>
        <w:t xml:space="preserve">Manuel, M., Carson, C., Samman, E. and Evans, M. (2020) </w:t>
      </w:r>
      <w:r w:rsidRPr="002E2268">
        <w:rPr>
          <w:rFonts w:ascii="Times New Roman" w:hAnsi="Times New Roman" w:cs="Times New Roman"/>
          <w:i/>
          <w:iCs/>
        </w:rPr>
        <w:t>Financing the reduction of extreme poverty post-Covid-19</w:t>
      </w:r>
      <w:r w:rsidRPr="002E2268">
        <w:rPr>
          <w:rFonts w:ascii="Times New Roman" w:hAnsi="Times New Roman" w:cs="Times New Roman"/>
        </w:rPr>
        <w:t xml:space="preserve"> London: Overseas Development Institute </w:t>
      </w:r>
      <w:hyperlink r:id="rId5" w:history="1">
        <w:r w:rsidRPr="00EA4B8E">
          <w:rPr>
            <w:rStyle w:val="Hyperlink"/>
          </w:rPr>
          <w:t>https://www.odi.org/publications/17516-financing-reduction-extreme-poverty-post-covid</w:t>
        </w:r>
      </w:hyperlink>
      <w:bookmarkEnd w:id="2"/>
    </w:p>
  </w:endnote>
  <w:endnote w:id="4">
    <w:p w14:paraId="2C0B36D2" w14:textId="2517D89D" w:rsidR="00C500A4" w:rsidRDefault="00C500A4">
      <w:pPr>
        <w:pStyle w:val="EndnoteText"/>
      </w:pPr>
      <w:r>
        <w:rPr>
          <w:rStyle w:val="EndnoteReference"/>
        </w:rPr>
        <w:endnoteRef/>
      </w:r>
      <w:r>
        <w:t xml:space="preserve"> </w:t>
      </w:r>
      <w:r w:rsidRPr="00D13F96">
        <w:rPr>
          <w:rFonts w:ascii="Times New Roman" w:hAnsi="Times New Roman" w:cs="Times New Roman"/>
          <w:sz w:val="22"/>
          <w:szCs w:val="22"/>
        </w:rPr>
        <w:t>Manuel et al (2020)</w:t>
      </w:r>
    </w:p>
  </w:endnote>
  <w:endnote w:id="5">
    <w:p w14:paraId="0627847D" w14:textId="1A4C7E08" w:rsidR="00FB3AE1" w:rsidRDefault="00FB3AE1">
      <w:pPr>
        <w:pStyle w:val="EndnoteText"/>
      </w:pPr>
      <w:r>
        <w:rPr>
          <w:rStyle w:val="EndnoteReference"/>
        </w:rPr>
        <w:endnoteRef/>
      </w:r>
      <w:r>
        <w:t xml:space="preserve"> </w:t>
      </w:r>
      <w:r w:rsidR="00F7328F" w:rsidRPr="00D13F96">
        <w:rPr>
          <w:rFonts w:ascii="Times New Roman" w:hAnsi="Times New Roman" w:cs="Times New Roman"/>
          <w:sz w:val="22"/>
          <w:szCs w:val="22"/>
        </w:rPr>
        <w:t>Manuel et al (2020)</w:t>
      </w:r>
      <w:r w:rsidR="00F7328F">
        <w:t xml:space="preserve"> </w:t>
      </w:r>
    </w:p>
  </w:endnote>
  <w:endnote w:id="6">
    <w:p w14:paraId="78ED147B" w14:textId="77777777" w:rsidR="00D13F96" w:rsidRDefault="00D13F96" w:rsidP="00D13F96">
      <w:pPr>
        <w:spacing w:after="0"/>
        <w:rPr>
          <w:i/>
          <w:iCs/>
        </w:rPr>
      </w:pPr>
      <w:r>
        <w:rPr>
          <w:rStyle w:val="EndnoteReference"/>
        </w:rPr>
        <w:endnoteRef/>
      </w:r>
      <w:r>
        <w:t xml:space="preserve"> </w:t>
      </w:r>
      <w:r w:rsidRPr="00511C44">
        <w:rPr>
          <w:rFonts w:ascii="Times New Roman" w:hAnsi="Times New Roman" w:cs="Times New Roman"/>
        </w:rPr>
        <w:t>Bird, N., Manuel, M and Nakhooda, S. (2015)</w:t>
      </w:r>
      <w:r>
        <w:t xml:space="preserve"> </w:t>
      </w:r>
      <w:r w:rsidRPr="00511C44">
        <w:rPr>
          <w:rFonts w:ascii="Times New Roman" w:hAnsi="Times New Roman" w:cs="Times New Roman"/>
          <w:i/>
          <w:iCs/>
        </w:rPr>
        <w:t>Scaling up international support for adaptation: productive safety nets and reimbursable debt service</w:t>
      </w:r>
    </w:p>
    <w:p w14:paraId="3A37A879" w14:textId="77777777" w:rsidR="00D13F96" w:rsidRPr="00D13F96" w:rsidRDefault="00F31222" w:rsidP="00B96B37">
      <w:pPr>
        <w:spacing w:line="240" w:lineRule="auto"/>
        <w:rPr>
          <w:rFonts w:cstheme="minorHAnsi"/>
        </w:rPr>
      </w:pPr>
      <w:hyperlink r:id="rId6" w:history="1">
        <w:r w:rsidR="00D13F96" w:rsidRPr="00D13F96">
          <w:rPr>
            <w:rStyle w:val="Hyperlink"/>
            <w:rFonts w:cstheme="minorHAnsi"/>
          </w:rPr>
          <w:t>http://www.odi.org/publications/10080-scaling-up-international-support-adaptation-productive-safety-nets-reimbursable-debt-service</w:t>
        </w:r>
      </w:hyperlink>
    </w:p>
    <w:p w14:paraId="19A40050" w14:textId="0446F21E" w:rsidR="00D13F96" w:rsidRDefault="00D13F9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48E0" w14:textId="77777777" w:rsidR="00C20CBA" w:rsidRDefault="00C20CBA">
      <w:pPr>
        <w:spacing w:after="0" w:line="240" w:lineRule="auto"/>
      </w:pPr>
      <w:r>
        <w:separator/>
      </w:r>
    </w:p>
  </w:footnote>
  <w:footnote w:type="continuationSeparator" w:id="0">
    <w:p w14:paraId="171C538E" w14:textId="77777777" w:rsidR="00C20CBA" w:rsidRDefault="00C20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4DBB"/>
    <w:multiLevelType w:val="hybridMultilevel"/>
    <w:tmpl w:val="951CE0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3B3CEC"/>
    <w:multiLevelType w:val="hybridMultilevel"/>
    <w:tmpl w:val="DD9C4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033C9"/>
    <w:multiLevelType w:val="hybridMultilevel"/>
    <w:tmpl w:val="CACC9578"/>
    <w:lvl w:ilvl="0" w:tplc="917CEC08">
      <w:start w:val="1"/>
      <w:numFmt w:val="decimal"/>
      <w:lvlText w:val="%1."/>
      <w:lvlJc w:val="left"/>
      <w:pPr>
        <w:ind w:left="447" w:hanging="231"/>
      </w:pPr>
      <w:rPr>
        <w:rFonts w:ascii="Cambria" w:eastAsia="Cambria" w:hAnsi="Cambria" w:cs="Cambria" w:hint="default"/>
        <w:color w:val="231F20"/>
        <w:spacing w:val="-2"/>
        <w:w w:val="100"/>
        <w:sz w:val="19"/>
        <w:szCs w:val="19"/>
        <w:lang w:val="en-GB" w:eastAsia="en-GB" w:bidi="en-GB"/>
      </w:rPr>
    </w:lvl>
    <w:lvl w:ilvl="1" w:tplc="893E8C28">
      <w:numFmt w:val="bullet"/>
      <w:lvlText w:val="•"/>
      <w:lvlJc w:val="left"/>
      <w:pPr>
        <w:ind w:left="892" w:hanging="231"/>
      </w:pPr>
      <w:rPr>
        <w:rFonts w:hint="default"/>
        <w:lang w:val="en-GB" w:eastAsia="en-GB" w:bidi="en-GB"/>
      </w:rPr>
    </w:lvl>
    <w:lvl w:ilvl="2" w:tplc="7A9897B2">
      <w:numFmt w:val="bullet"/>
      <w:lvlText w:val="•"/>
      <w:lvlJc w:val="left"/>
      <w:pPr>
        <w:ind w:left="1344" w:hanging="231"/>
      </w:pPr>
      <w:rPr>
        <w:rFonts w:hint="default"/>
        <w:lang w:val="en-GB" w:eastAsia="en-GB" w:bidi="en-GB"/>
      </w:rPr>
    </w:lvl>
    <w:lvl w:ilvl="3" w:tplc="0584D8E2">
      <w:numFmt w:val="bullet"/>
      <w:lvlText w:val="•"/>
      <w:lvlJc w:val="left"/>
      <w:pPr>
        <w:ind w:left="1797" w:hanging="231"/>
      </w:pPr>
      <w:rPr>
        <w:rFonts w:hint="default"/>
        <w:lang w:val="en-GB" w:eastAsia="en-GB" w:bidi="en-GB"/>
      </w:rPr>
    </w:lvl>
    <w:lvl w:ilvl="4" w:tplc="EA3A6B40">
      <w:numFmt w:val="bullet"/>
      <w:lvlText w:val="•"/>
      <w:lvlJc w:val="left"/>
      <w:pPr>
        <w:ind w:left="2249" w:hanging="231"/>
      </w:pPr>
      <w:rPr>
        <w:rFonts w:hint="default"/>
        <w:lang w:val="en-GB" w:eastAsia="en-GB" w:bidi="en-GB"/>
      </w:rPr>
    </w:lvl>
    <w:lvl w:ilvl="5" w:tplc="D666B788">
      <w:numFmt w:val="bullet"/>
      <w:lvlText w:val="•"/>
      <w:lvlJc w:val="left"/>
      <w:pPr>
        <w:ind w:left="2702" w:hanging="231"/>
      </w:pPr>
      <w:rPr>
        <w:rFonts w:hint="default"/>
        <w:lang w:val="en-GB" w:eastAsia="en-GB" w:bidi="en-GB"/>
      </w:rPr>
    </w:lvl>
    <w:lvl w:ilvl="6" w:tplc="501E1A40">
      <w:numFmt w:val="bullet"/>
      <w:lvlText w:val="•"/>
      <w:lvlJc w:val="left"/>
      <w:pPr>
        <w:ind w:left="3154" w:hanging="231"/>
      </w:pPr>
      <w:rPr>
        <w:rFonts w:hint="default"/>
        <w:lang w:val="en-GB" w:eastAsia="en-GB" w:bidi="en-GB"/>
      </w:rPr>
    </w:lvl>
    <w:lvl w:ilvl="7" w:tplc="6566957E">
      <w:numFmt w:val="bullet"/>
      <w:lvlText w:val="•"/>
      <w:lvlJc w:val="left"/>
      <w:pPr>
        <w:ind w:left="3606" w:hanging="231"/>
      </w:pPr>
      <w:rPr>
        <w:rFonts w:hint="default"/>
        <w:lang w:val="en-GB" w:eastAsia="en-GB" w:bidi="en-GB"/>
      </w:rPr>
    </w:lvl>
    <w:lvl w:ilvl="8" w:tplc="AADEB2C0">
      <w:numFmt w:val="bullet"/>
      <w:lvlText w:val="•"/>
      <w:lvlJc w:val="left"/>
      <w:pPr>
        <w:ind w:left="4059" w:hanging="231"/>
      </w:pPr>
      <w:rPr>
        <w:rFonts w:hint="default"/>
        <w:lang w:val="en-GB" w:eastAsia="en-GB" w:bidi="en-GB"/>
      </w:rPr>
    </w:lvl>
  </w:abstractNum>
  <w:abstractNum w:abstractNumId="3" w15:restartNumberingAfterBreak="0">
    <w:nsid w:val="204E78FF"/>
    <w:multiLevelType w:val="hybridMultilevel"/>
    <w:tmpl w:val="E50A3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E389C"/>
    <w:multiLevelType w:val="hybridMultilevel"/>
    <w:tmpl w:val="96B2D5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9A14B1"/>
    <w:multiLevelType w:val="hybridMultilevel"/>
    <w:tmpl w:val="1A28DCF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462846"/>
    <w:multiLevelType w:val="hybridMultilevel"/>
    <w:tmpl w:val="6ED0B3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57351A"/>
    <w:multiLevelType w:val="hybridMultilevel"/>
    <w:tmpl w:val="55167D5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65F9A"/>
    <w:multiLevelType w:val="hybridMultilevel"/>
    <w:tmpl w:val="90A82738"/>
    <w:lvl w:ilvl="0" w:tplc="1992381C">
      <w:start w:val="1"/>
      <w:numFmt w:val="lowerLetter"/>
      <w:lvlText w:val="%1)"/>
      <w:lvlJc w:val="left"/>
      <w:pPr>
        <w:ind w:left="720" w:hanging="360"/>
      </w:pPr>
      <w:rPr>
        <w:rFonts w:ascii="Times New Roman" w:eastAsia="Calibri" w:hAnsi="Times New Roman" w:cs="Times New Roman"/>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240F3"/>
    <w:multiLevelType w:val="hybridMultilevel"/>
    <w:tmpl w:val="5AE8D33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8E83889"/>
    <w:multiLevelType w:val="hybridMultilevel"/>
    <w:tmpl w:val="5F7201D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 w:numId="8">
    <w:abstractNumId w:val="10"/>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78"/>
    <w:rsid w:val="00054097"/>
    <w:rsid w:val="000B2547"/>
    <w:rsid w:val="000B4340"/>
    <w:rsid w:val="00144000"/>
    <w:rsid w:val="001674BA"/>
    <w:rsid w:val="00173BC0"/>
    <w:rsid w:val="00261905"/>
    <w:rsid w:val="002D161B"/>
    <w:rsid w:val="0034647A"/>
    <w:rsid w:val="00360EA7"/>
    <w:rsid w:val="00381978"/>
    <w:rsid w:val="003B279C"/>
    <w:rsid w:val="00512622"/>
    <w:rsid w:val="005177BD"/>
    <w:rsid w:val="005C05E8"/>
    <w:rsid w:val="005E36B1"/>
    <w:rsid w:val="005F35B1"/>
    <w:rsid w:val="00616C7C"/>
    <w:rsid w:val="00667CBB"/>
    <w:rsid w:val="00690FF0"/>
    <w:rsid w:val="006C2F30"/>
    <w:rsid w:val="0075372D"/>
    <w:rsid w:val="007F0429"/>
    <w:rsid w:val="00811CB7"/>
    <w:rsid w:val="00812D57"/>
    <w:rsid w:val="008A149B"/>
    <w:rsid w:val="008D190C"/>
    <w:rsid w:val="008D2D45"/>
    <w:rsid w:val="008E55F9"/>
    <w:rsid w:val="00924CED"/>
    <w:rsid w:val="009564DD"/>
    <w:rsid w:val="009C174B"/>
    <w:rsid w:val="00A26BA0"/>
    <w:rsid w:val="00AE3290"/>
    <w:rsid w:val="00B43DF4"/>
    <w:rsid w:val="00B96B37"/>
    <w:rsid w:val="00BC1D37"/>
    <w:rsid w:val="00C20CBA"/>
    <w:rsid w:val="00C500A4"/>
    <w:rsid w:val="00CC405C"/>
    <w:rsid w:val="00D13F96"/>
    <w:rsid w:val="00D34BAC"/>
    <w:rsid w:val="00D51E79"/>
    <w:rsid w:val="00D55DA0"/>
    <w:rsid w:val="00DB7CF2"/>
    <w:rsid w:val="00DE491D"/>
    <w:rsid w:val="00DF623B"/>
    <w:rsid w:val="00E572D7"/>
    <w:rsid w:val="00EF389D"/>
    <w:rsid w:val="00F31222"/>
    <w:rsid w:val="00F7328F"/>
    <w:rsid w:val="00FB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65770"/>
  <w15:chartTrackingRefBased/>
  <w15:docId w15:val="{F7AB7FE5-2B29-408B-8080-6769CF4C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2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0EA7"/>
    <w:pPr>
      <w:ind w:left="720"/>
      <w:contextualSpacing/>
    </w:pPr>
  </w:style>
  <w:style w:type="paragraph" w:styleId="BalloonText">
    <w:name w:val="Balloon Text"/>
    <w:basedOn w:val="Normal"/>
    <w:link w:val="BalloonTextChar"/>
    <w:uiPriority w:val="99"/>
    <w:semiHidden/>
    <w:unhideWhenUsed/>
    <w:rsid w:val="008D2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45"/>
    <w:rPr>
      <w:rFonts w:ascii="Segoe UI" w:hAnsi="Segoe UI" w:cs="Segoe UI"/>
      <w:sz w:val="18"/>
      <w:szCs w:val="18"/>
    </w:rPr>
  </w:style>
  <w:style w:type="paragraph" w:styleId="BodyText">
    <w:name w:val="Body Text"/>
    <w:basedOn w:val="Normal"/>
    <w:link w:val="BodyTextChar"/>
    <w:qFormat/>
    <w:rsid w:val="00AE3290"/>
    <w:pPr>
      <w:spacing w:after="190" w:line="250" w:lineRule="atLeast"/>
    </w:pPr>
    <w:rPr>
      <w:rFonts w:ascii="Times New Roman" w:eastAsia="Calibri" w:hAnsi="Times New Roman" w:cs="Times New Roman"/>
    </w:rPr>
  </w:style>
  <w:style w:type="character" w:customStyle="1" w:styleId="BodyTextChar">
    <w:name w:val="Body Text Char"/>
    <w:basedOn w:val="DefaultParagraphFont"/>
    <w:link w:val="BodyText"/>
    <w:rsid w:val="00AE3290"/>
    <w:rPr>
      <w:rFonts w:ascii="Times New Roman" w:eastAsia="Calibri" w:hAnsi="Times New Roman" w:cs="Times New Roman"/>
    </w:rPr>
  </w:style>
  <w:style w:type="paragraph" w:styleId="EndnoteText">
    <w:name w:val="endnote text"/>
    <w:basedOn w:val="Normal"/>
    <w:link w:val="EndnoteTextChar"/>
    <w:uiPriority w:val="99"/>
    <w:semiHidden/>
    <w:unhideWhenUsed/>
    <w:rsid w:val="001440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000"/>
    <w:rPr>
      <w:sz w:val="20"/>
      <w:szCs w:val="20"/>
    </w:rPr>
  </w:style>
  <w:style w:type="character" w:styleId="EndnoteReference">
    <w:name w:val="endnote reference"/>
    <w:basedOn w:val="DefaultParagraphFont"/>
    <w:uiPriority w:val="99"/>
    <w:semiHidden/>
    <w:unhideWhenUsed/>
    <w:rsid w:val="00144000"/>
    <w:rPr>
      <w:vertAlign w:val="superscript"/>
    </w:rPr>
  </w:style>
  <w:style w:type="paragraph" w:styleId="FootnoteText">
    <w:name w:val="footnote text"/>
    <w:aliases w:val="DI Footnote Text"/>
    <w:basedOn w:val="Normal"/>
    <w:link w:val="FootnoteTextChar"/>
    <w:uiPriority w:val="99"/>
    <w:unhideWhenUsed/>
    <w:qFormat/>
    <w:rsid w:val="00FB3AE1"/>
    <w:pPr>
      <w:spacing w:after="0" w:line="240" w:lineRule="auto"/>
    </w:pPr>
    <w:rPr>
      <w:sz w:val="20"/>
      <w:szCs w:val="20"/>
    </w:rPr>
  </w:style>
  <w:style w:type="character" w:customStyle="1" w:styleId="FootnoteTextChar">
    <w:name w:val="Footnote Text Char"/>
    <w:aliases w:val="DI Footnote Text Char"/>
    <w:basedOn w:val="DefaultParagraphFont"/>
    <w:link w:val="FootnoteText"/>
    <w:uiPriority w:val="99"/>
    <w:rsid w:val="00FB3AE1"/>
    <w:rPr>
      <w:sz w:val="20"/>
      <w:szCs w:val="20"/>
    </w:rPr>
  </w:style>
  <w:style w:type="character" w:styleId="FootnoteReference">
    <w:name w:val="footnote reference"/>
    <w:aliases w:val="DI Footnote Reference"/>
    <w:basedOn w:val="DefaultParagraphFont"/>
    <w:uiPriority w:val="99"/>
    <w:unhideWhenUsed/>
    <w:qFormat/>
    <w:rsid w:val="00FB3AE1"/>
    <w:rPr>
      <w:vertAlign w:val="superscript"/>
    </w:rPr>
  </w:style>
  <w:style w:type="character" w:styleId="Hyperlink">
    <w:name w:val="Hyperlink"/>
    <w:basedOn w:val="DefaultParagraphFont"/>
    <w:uiPriority w:val="99"/>
    <w:unhideWhenUsed/>
    <w:rsid w:val="000B2547"/>
    <w:rPr>
      <w:color w:val="0563C1" w:themeColor="hyperlink"/>
      <w:u w:val="single"/>
    </w:rPr>
  </w:style>
  <w:style w:type="character" w:customStyle="1" w:styleId="notlast">
    <w:name w:val="notlast"/>
    <w:basedOn w:val="DefaultParagraphFont"/>
    <w:rsid w:val="000B2547"/>
  </w:style>
  <w:style w:type="character" w:customStyle="1" w:styleId="Heading1Char">
    <w:name w:val="Heading 1 Char"/>
    <w:basedOn w:val="DefaultParagraphFont"/>
    <w:link w:val="Heading1"/>
    <w:uiPriority w:val="9"/>
    <w:rsid w:val="000B2547"/>
    <w:rPr>
      <w:rFonts w:ascii="Times New Roman" w:eastAsia="Times New Roman" w:hAnsi="Times New Roman" w:cs="Times New Roman"/>
      <w:b/>
      <w:bCs/>
      <w:kern w:val="36"/>
      <w:sz w:val="48"/>
      <w:szCs w:val="48"/>
      <w:lang w:eastAsia="en-GB"/>
    </w:rPr>
  </w:style>
  <w:style w:type="paragraph" w:customStyle="1" w:styleId="Referencetext">
    <w:name w:val="Reference text"/>
    <w:basedOn w:val="BodyText"/>
    <w:qFormat/>
    <w:rsid w:val="000B2547"/>
    <w:pPr>
      <w:ind w:left="397" w:right="113" w:hanging="284"/>
    </w:pPr>
  </w:style>
  <w:style w:type="character" w:customStyle="1" w:styleId="UnresolvedMention">
    <w:name w:val="Unresolved Mention"/>
    <w:basedOn w:val="DefaultParagraphFont"/>
    <w:uiPriority w:val="99"/>
    <w:semiHidden/>
    <w:unhideWhenUsed/>
    <w:rsid w:val="00F7328F"/>
    <w:rPr>
      <w:color w:val="605E5C"/>
      <w:shd w:val="clear" w:color="auto" w:fill="E1DFDD"/>
    </w:rPr>
  </w:style>
  <w:style w:type="character" w:styleId="FollowedHyperlink">
    <w:name w:val="FollowedHyperlink"/>
    <w:basedOn w:val="DefaultParagraphFont"/>
    <w:uiPriority w:val="99"/>
    <w:semiHidden/>
    <w:unhideWhenUsed/>
    <w:rsid w:val="00F7328F"/>
    <w:rPr>
      <w:color w:val="954F72" w:themeColor="followedHyperlink"/>
      <w:u w:val="single"/>
    </w:rPr>
  </w:style>
  <w:style w:type="paragraph" w:customStyle="1" w:styleId="FigureTableBoxtitle">
    <w:name w:val="Figure/Table/Box title"/>
    <w:basedOn w:val="Normal"/>
    <w:qFormat/>
    <w:rsid w:val="00C500A4"/>
    <w:pPr>
      <w:keepNext/>
      <w:spacing w:after="190" w:line="250" w:lineRule="atLeast"/>
    </w:pPr>
    <w:rPr>
      <w:rFonts w:asciiTheme="majorHAnsi" w:eastAsia="Calibri" w:hAnsiTheme="majorHAnsi" w:cs="Times New Roman"/>
      <w:b/>
    </w:rPr>
  </w:style>
  <w:style w:type="paragraph" w:customStyle="1" w:styleId="Tabletext">
    <w:name w:val="Table text"/>
    <w:basedOn w:val="Normal"/>
    <w:qFormat/>
    <w:rsid w:val="00C500A4"/>
    <w:pPr>
      <w:spacing w:after="190" w:line="250" w:lineRule="atLeast"/>
    </w:pPr>
    <w:rPr>
      <w:rFonts w:eastAsia="Calibri"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di.org/publications/11187-financing-end-extreme-poverty" TargetMode="External"/><Relationship Id="rId2" Type="http://schemas.openxmlformats.org/officeDocument/2006/relationships/hyperlink" Target="http://www.odi.org/publications/9462-financing-future-international-public-finance-should-fund-global-social-compact-eradicate-poverty" TargetMode="External"/><Relationship Id="rId1" Type="http://schemas.openxmlformats.org/officeDocument/2006/relationships/hyperlink" Target="https://www.odi.org/publications/11161-achieving-equal-access-justice-all-2030-lessons-global-funds" TargetMode="External"/><Relationship Id="rId6" Type="http://schemas.openxmlformats.org/officeDocument/2006/relationships/hyperlink" Target="http://www.odi.org/publications/10080-scaling-up-international-support-adaptation-productive-safety-nets-reimbursable-debt-service" TargetMode="External"/><Relationship Id="rId5" Type="http://schemas.openxmlformats.org/officeDocument/2006/relationships/hyperlink" Target="https://www.odi.org/publications/17516-financing-reduction-extreme-poverty-post-covid" TargetMode="External"/><Relationship Id="rId4" Type="http://schemas.openxmlformats.org/officeDocument/2006/relationships/hyperlink" Target="https://www.odi.org/publications/11433-financing-end-extreme-poverty-2019-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F82517-2798-4D8A-B8F1-7D6C910F4EF1}">
  <ds:schemaRefs>
    <ds:schemaRef ds:uri="http://schemas.openxmlformats.org/officeDocument/2006/bibliography"/>
  </ds:schemaRefs>
</ds:datastoreItem>
</file>

<file path=customXml/itemProps2.xml><?xml version="1.0" encoding="utf-8"?>
<ds:datastoreItem xmlns:ds="http://schemas.openxmlformats.org/officeDocument/2006/customXml" ds:itemID="{E5C19998-9F43-4483-AE59-3B00F3716662}"/>
</file>

<file path=customXml/itemProps3.xml><?xml version="1.0" encoding="utf-8"?>
<ds:datastoreItem xmlns:ds="http://schemas.openxmlformats.org/officeDocument/2006/customXml" ds:itemID="{EF2E5031-A46C-4145-975B-49B3B70940C9}"/>
</file>

<file path=customXml/itemProps4.xml><?xml version="1.0" encoding="utf-8"?>
<ds:datastoreItem xmlns:ds="http://schemas.openxmlformats.org/officeDocument/2006/customXml" ds:itemID="{5468D7A0-3F31-4778-85DC-6D2B7EA6A9FD}"/>
</file>

<file path=docProps/app.xml><?xml version="1.0" encoding="utf-8"?>
<Properties xmlns="http://schemas.openxmlformats.org/officeDocument/2006/extended-properties" xmlns:vt="http://schemas.openxmlformats.org/officeDocument/2006/docPropsVTypes">
  <Template>Normal.dotm</Template>
  <TotalTime>1</TotalTime>
  <Pages>4</Pages>
  <Words>1625</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manuel</dc:creator>
  <cp:keywords/>
  <dc:description/>
  <cp:lastModifiedBy>VARELA Patricia</cp:lastModifiedBy>
  <cp:revision>2</cp:revision>
  <dcterms:created xsi:type="dcterms:W3CDTF">2020-12-03T14:42:00Z</dcterms:created>
  <dcterms:modified xsi:type="dcterms:W3CDTF">2020-12-03T14:42:00Z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