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D60498" w14:textId="1FC2A79E" w:rsidR="0023104C" w:rsidRPr="00CF238A" w:rsidRDefault="0023104C" w:rsidP="0023104C">
      <w:pPr>
        <w:spacing w:line="240" w:lineRule="auto"/>
        <w:jc w:val="center"/>
        <w:rPr>
          <w:rFonts w:ascii="Calibri Light" w:hAnsi="Calibri Light" w:cs="Calibri Light"/>
          <w:b/>
          <w:sz w:val="24"/>
          <w:szCs w:val="24"/>
          <w:lang w:val="en-US"/>
        </w:rPr>
      </w:pPr>
      <w:r w:rsidRPr="00CF238A">
        <w:rPr>
          <w:rFonts w:ascii="Calibri Light" w:eastAsia="Times New Roman" w:hAnsi="Calibri Light" w:cs="Calibri Light"/>
          <w:b/>
          <w:color w:val="000000"/>
          <w:sz w:val="24"/>
          <w:szCs w:val="24"/>
          <w:shd w:val="clear" w:color="auto" w:fill="FFFFFF"/>
          <w:lang w:val="en-US"/>
        </w:rPr>
        <w:t xml:space="preserve">Submission </w:t>
      </w:r>
      <w:r w:rsidRPr="00CF238A">
        <w:rPr>
          <w:rFonts w:ascii="Calibri Light" w:hAnsi="Calibri Light" w:cs="Calibri Light"/>
          <w:b/>
          <w:sz w:val="24"/>
          <w:szCs w:val="24"/>
          <w:lang w:val="en-US"/>
        </w:rPr>
        <w:t>on how privacy affects the evolving capacity of the child and the growth of autonomy, and what factors enhance or constrain this development.</w:t>
      </w:r>
    </w:p>
    <w:p w14:paraId="756157C5" w14:textId="77777777" w:rsidR="0023104C" w:rsidRDefault="0023104C" w:rsidP="0023104C">
      <w:pPr>
        <w:spacing w:line="240" w:lineRule="auto"/>
      </w:pPr>
    </w:p>
    <w:p w14:paraId="09A5171E" w14:textId="32712950" w:rsidR="0023104C" w:rsidRPr="00CF238A" w:rsidRDefault="0023104C" w:rsidP="0023104C">
      <w:pPr>
        <w:spacing w:line="240" w:lineRule="auto"/>
        <w:rPr>
          <w:rFonts w:ascii="Calibri Light" w:hAnsi="Calibri Light" w:cs="Calibri Light"/>
        </w:rPr>
      </w:pPr>
      <w:r w:rsidRPr="00CF238A">
        <w:rPr>
          <w:rFonts w:ascii="Calibri Light" w:hAnsi="Calibri Light" w:cs="Calibri Light"/>
        </w:rPr>
        <w:t>September 2020</w:t>
      </w:r>
    </w:p>
    <w:p w14:paraId="3A4AA892" w14:textId="3CEB8ACC" w:rsidR="0023104C" w:rsidRPr="00CF238A" w:rsidRDefault="0023104C" w:rsidP="0023104C">
      <w:pPr>
        <w:spacing w:line="240" w:lineRule="auto"/>
        <w:rPr>
          <w:rFonts w:ascii="Calibri Light" w:hAnsi="Calibri Light" w:cs="Calibri Light"/>
        </w:rPr>
      </w:pPr>
    </w:p>
    <w:p w14:paraId="33389A16" w14:textId="182E98C8" w:rsidR="0023104C" w:rsidRPr="00CF238A" w:rsidRDefault="0023104C" w:rsidP="008B2B1C">
      <w:pPr>
        <w:spacing w:line="240" w:lineRule="auto"/>
        <w:jc w:val="center"/>
        <w:rPr>
          <w:rFonts w:ascii="Calibri Light" w:eastAsia="Times New Roman" w:hAnsi="Calibri Light" w:cs="Calibri Light"/>
          <w:i/>
          <w:lang w:val="en-US"/>
        </w:rPr>
      </w:pPr>
      <w:r w:rsidRPr="00CF238A">
        <w:rPr>
          <w:rFonts w:ascii="Calibri Light" w:eastAsia="Times New Roman" w:hAnsi="Calibri Light" w:cs="Calibri Light"/>
          <w:i/>
          <w:color w:val="000000"/>
          <w:shd w:val="clear" w:color="auto" w:fill="FFFFFF"/>
          <w:lang w:val="en-US"/>
        </w:rPr>
        <w:t xml:space="preserve">A written submission </w:t>
      </w:r>
      <w:r w:rsidRPr="00CF238A">
        <w:rPr>
          <w:rFonts w:ascii="Calibri Light" w:eastAsia="Times New Roman" w:hAnsi="Calibri Light" w:cs="Calibri Light"/>
          <w:i/>
          <w:lang w:val="en-US"/>
        </w:rPr>
        <w:t>by Matimba</w:t>
      </w:r>
    </w:p>
    <w:p w14:paraId="4EA7F524" w14:textId="1C7440AB" w:rsidR="008B2B1C" w:rsidRDefault="008B2B1C" w:rsidP="008B2B1C">
      <w:pPr>
        <w:spacing w:line="240" w:lineRule="auto"/>
        <w:rPr>
          <w:rFonts w:eastAsia="Times New Roman" w:cs="Times New Roman"/>
          <w:iCs/>
          <w:lang w:val="en-US"/>
        </w:rPr>
      </w:pPr>
    </w:p>
    <w:p w14:paraId="32E1AAC0" w14:textId="5CCCEC14" w:rsidR="008B2B1C" w:rsidRPr="00CF238A" w:rsidRDefault="008B2B1C" w:rsidP="00CF238A">
      <w:pPr>
        <w:jc w:val="both"/>
        <w:rPr>
          <w:rFonts w:ascii="Calibri Light" w:eastAsia="Times New Roman" w:hAnsi="Calibri Light" w:cs="Calibri Light"/>
        </w:rPr>
      </w:pPr>
      <w:r w:rsidRPr="00CF238A">
        <w:rPr>
          <w:rFonts w:ascii="Calibri Light" w:hAnsi="Calibri Light" w:cs="Calibri Light"/>
          <w:color w:val="000000" w:themeColor="text1"/>
        </w:rPr>
        <w:t>This report aims to address questions posed by</w:t>
      </w:r>
      <w:r w:rsidR="004C28AE">
        <w:rPr>
          <w:rFonts w:ascii="Calibri Light" w:hAnsi="Calibri Light" w:cs="Calibri Light"/>
          <w:color w:val="000000" w:themeColor="text1"/>
        </w:rPr>
        <w:t xml:space="preserve"> the</w:t>
      </w:r>
      <w:r w:rsidRPr="00CF238A">
        <w:rPr>
          <w:rFonts w:ascii="Calibri Light" w:hAnsi="Calibri Light" w:cs="Calibri Light"/>
          <w:color w:val="000000" w:themeColor="text1"/>
        </w:rPr>
        <w:t xml:space="preserve"> </w:t>
      </w:r>
      <w:r w:rsidRPr="00CF238A">
        <w:rPr>
          <w:rFonts w:ascii="Calibri Light" w:hAnsi="Calibri Light" w:cs="Calibri Light"/>
          <w:lang w:val="en-US"/>
        </w:rPr>
        <w:t xml:space="preserve">Special Rapporteur on the right to privacy, pursuant to Human Rights Council resolution 37/2. </w:t>
      </w:r>
      <w:r w:rsidRPr="00CF238A">
        <w:rPr>
          <w:rFonts w:ascii="Calibri Light" w:hAnsi="Calibri Light" w:cs="Calibri Light"/>
          <w:color w:val="000000" w:themeColor="text1"/>
        </w:rPr>
        <w:t xml:space="preserve">This submission is made by </w:t>
      </w:r>
      <w:r w:rsidRPr="00CF238A">
        <w:rPr>
          <w:rFonts w:ascii="Calibri Light" w:eastAsia="Times New Roman" w:hAnsi="Calibri Light" w:cs="Calibri Light"/>
        </w:rPr>
        <w:t>Matimba an organisation based in South Africa</w:t>
      </w:r>
      <w:r w:rsidR="00CF238A" w:rsidRPr="00CF238A">
        <w:rPr>
          <w:rFonts w:ascii="Calibri Light" w:eastAsia="Times New Roman" w:hAnsi="Calibri Light" w:cs="Calibri Light"/>
        </w:rPr>
        <w:t>.</w:t>
      </w:r>
    </w:p>
    <w:p w14:paraId="2D07F488" w14:textId="03F09F42" w:rsidR="00CF238A" w:rsidRDefault="00CF238A" w:rsidP="00CF238A">
      <w:pPr>
        <w:jc w:val="both"/>
        <w:rPr>
          <w:rFonts w:ascii="Calibri Light" w:eastAsia="Times New Roman" w:hAnsi="Calibri Light" w:cs="Calibri Light"/>
        </w:rPr>
      </w:pPr>
    </w:p>
    <w:p w14:paraId="326253F5" w14:textId="5352DBA0" w:rsidR="004944A8" w:rsidRDefault="00F264A6" w:rsidP="00CF238A">
      <w:pPr>
        <w:jc w:val="both"/>
        <w:rPr>
          <w:rFonts w:ascii="Calibri Light" w:eastAsia="Times New Roman" w:hAnsi="Calibri Light" w:cs="Calibri Light"/>
        </w:rPr>
      </w:pPr>
      <w:r>
        <w:rPr>
          <w:rFonts w:ascii="Calibri Light" w:eastAsia="Times New Roman" w:hAnsi="Calibri Light" w:cs="Calibri Light"/>
        </w:rPr>
        <w:t xml:space="preserve">This submission aims to provide pertinent information to ensure that the report is inclusive and </w:t>
      </w:r>
      <w:r w:rsidR="00210D0D">
        <w:rPr>
          <w:rFonts w:ascii="Calibri Light" w:eastAsia="Times New Roman" w:hAnsi="Calibri Light" w:cs="Calibri Light"/>
        </w:rPr>
        <w:t>conscious</w:t>
      </w:r>
      <w:r>
        <w:rPr>
          <w:rFonts w:ascii="Calibri Light" w:eastAsia="Times New Roman" w:hAnsi="Calibri Light" w:cs="Calibri Light"/>
        </w:rPr>
        <w:t xml:space="preserve"> of the rights and challenges of minors with diverse gender identities and gender expressions who generally remain marginalised, </w:t>
      </w:r>
      <w:proofErr w:type="spellStart"/>
      <w:r>
        <w:rPr>
          <w:rFonts w:ascii="Calibri Light" w:eastAsia="Times New Roman" w:hAnsi="Calibri Light" w:cs="Calibri Light"/>
        </w:rPr>
        <w:t>invisibilised</w:t>
      </w:r>
      <w:proofErr w:type="spellEnd"/>
      <w:r>
        <w:rPr>
          <w:rFonts w:ascii="Calibri Light" w:eastAsia="Times New Roman" w:hAnsi="Calibri Light" w:cs="Calibri Light"/>
        </w:rPr>
        <w:t xml:space="preserve"> and oppressed in South Africa due to the continued, overt and covert, dominance of essentialist </w:t>
      </w:r>
      <w:proofErr w:type="spellStart"/>
      <w:r>
        <w:rPr>
          <w:rFonts w:ascii="Calibri Light" w:eastAsia="Times New Roman" w:hAnsi="Calibri Light" w:cs="Calibri Light"/>
        </w:rPr>
        <w:t>cisnormative</w:t>
      </w:r>
      <w:proofErr w:type="spellEnd"/>
      <w:r>
        <w:rPr>
          <w:rFonts w:ascii="Calibri Light" w:eastAsia="Times New Roman" w:hAnsi="Calibri Light" w:cs="Calibri Light"/>
        </w:rPr>
        <w:t xml:space="preserve"> and heteronormative conceptions of sex and gender</w:t>
      </w:r>
      <w:r w:rsidR="00210D0D">
        <w:rPr>
          <w:rFonts w:ascii="Calibri Light" w:eastAsia="Times New Roman" w:hAnsi="Calibri Light" w:cs="Calibri Light"/>
        </w:rPr>
        <w:t>, and binary conceptions of biological sex</w:t>
      </w:r>
      <w:r w:rsidR="00210D0D">
        <w:rPr>
          <w:rStyle w:val="FootnoteReference"/>
          <w:rFonts w:ascii="Calibri Light" w:eastAsia="Times New Roman" w:hAnsi="Calibri Light" w:cs="Calibri Light"/>
        </w:rPr>
        <w:footnoteReference w:id="1"/>
      </w:r>
      <w:r w:rsidR="004944A8">
        <w:rPr>
          <w:rFonts w:ascii="Calibri Light" w:eastAsia="Times New Roman" w:hAnsi="Calibri Light" w:cs="Calibri Light"/>
        </w:rPr>
        <w:t>, as reflected in the statement below:</w:t>
      </w:r>
    </w:p>
    <w:p w14:paraId="2CC06C68" w14:textId="77777777" w:rsidR="004944A8" w:rsidRDefault="004944A8" w:rsidP="00CF238A">
      <w:pPr>
        <w:jc w:val="both"/>
        <w:rPr>
          <w:rFonts w:ascii="Calibri Light" w:eastAsia="Times New Roman" w:hAnsi="Calibri Light" w:cs="Calibri Light"/>
        </w:rPr>
      </w:pPr>
    </w:p>
    <w:tbl>
      <w:tblPr>
        <w:tblStyle w:val="TableGrid"/>
        <w:tblW w:w="0" w:type="auto"/>
        <w:tblLook w:val="04A0" w:firstRow="1" w:lastRow="0" w:firstColumn="1" w:lastColumn="0" w:noHBand="0" w:noVBand="1"/>
      </w:tblPr>
      <w:tblGrid>
        <w:gridCol w:w="9016"/>
      </w:tblGrid>
      <w:tr w:rsidR="004944A8" w14:paraId="0DA69E3E" w14:textId="77777777" w:rsidTr="004944A8">
        <w:tc>
          <w:tcPr>
            <w:tcW w:w="9016" w:type="dxa"/>
          </w:tcPr>
          <w:p w14:paraId="4C116F63" w14:textId="06880DB9" w:rsidR="004944A8" w:rsidRPr="0069582C" w:rsidRDefault="004944A8" w:rsidP="004944A8">
            <w:pPr>
              <w:ind w:left="720"/>
              <w:jc w:val="both"/>
              <w:rPr>
                <w:rFonts w:ascii="Calibri Light" w:hAnsi="Calibri Light"/>
                <w:i/>
                <w:iCs/>
              </w:rPr>
            </w:pPr>
            <w:r>
              <w:rPr>
                <w:rFonts w:ascii="Calibri Light" w:hAnsi="Calibri Light"/>
                <w:i/>
                <w:iCs/>
              </w:rPr>
              <w:t>“</w:t>
            </w:r>
            <w:r w:rsidRPr="0069582C">
              <w:rPr>
                <w:rFonts w:ascii="Calibri Light" w:hAnsi="Calibri Light"/>
                <w:i/>
                <w:iCs/>
              </w:rPr>
              <w:t>I can’t change my gender marker yet because South Africa doesn’t legally recognize anything outside of Binary gender and sex. “</w:t>
            </w:r>
          </w:p>
          <w:p w14:paraId="53EB1203" w14:textId="3C7D90F0" w:rsidR="004944A8" w:rsidRPr="0069582C" w:rsidRDefault="004944A8" w:rsidP="004944A8">
            <w:pPr>
              <w:ind w:left="720"/>
              <w:jc w:val="both"/>
              <w:rPr>
                <w:rFonts w:ascii="Calibri Light" w:hAnsi="Calibri Light"/>
                <w:b/>
                <w:bCs/>
              </w:rPr>
            </w:pPr>
            <w:r w:rsidRPr="0069582C">
              <w:rPr>
                <w:rFonts w:ascii="Calibri Light" w:hAnsi="Calibri Light"/>
                <w:i/>
                <w:iCs/>
              </w:rPr>
              <w:t>“I am non-binary and I would really appreciate if my ID didn’t say my birth sex.</w:t>
            </w:r>
            <w:r w:rsidRPr="0069582C">
              <w:rPr>
                <w:rFonts w:ascii="Calibri Light" w:hAnsi="Calibri Light"/>
                <w:b/>
                <w:bCs/>
              </w:rPr>
              <w:t xml:space="preserve"> “</w:t>
            </w:r>
          </w:p>
          <w:p w14:paraId="751DA743" w14:textId="77777777" w:rsidR="004944A8" w:rsidRDefault="004944A8" w:rsidP="00CF238A">
            <w:pPr>
              <w:jc w:val="both"/>
              <w:rPr>
                <w:rFonts w:ascii="Calibri Light" w:eastAsia="Times New Roman" w:hAnsi="Calibri Light" w:cs="Calibri Light"/>
              </w:rPr>
            </w:pPr>
          </w:p>
        </w:tc>
      </w:tr>
    </w:tbl>
    <w:p w14:paraId="6381CD6D" w14:textId="77777777" w:rsidR="004944A8" w:rsidRDefault="004944A8" w:rsidP="00CF238A">
      <w:pPr>
        <w:jc w:val="both"/>
        <w:rPr>
          <w:rFonts w:ascii="Calibri Light" w:eastAsia="Times New Roman" w:hAnsi="Calibri Light" w:cs="Calibri Light"/>
        </w:rPr>
      </w:pPr>
    </w:p>
    <w:p w14:paraId="411A6A90" w14:textId="3F62900A" w:rsidR="00F264A6" w:rsidRDefault="00210D0D" w:rsidP="00CF238A">
      <w:pPr>
        <w:jc w:val="both"/>
        <w:rPr>
          <w:rFonts w:ascii="Calibri Light" w:hAnsi="Calibri Light" w:cs="Calibri Light"/>
        </w:rPr>
      </w:pPr>
      <w:r>
        <w:rPr>
          <w:rFonts w:ascii="Calibri Light" w:eastAsia="Times New Roman" w:hAnsi="Calibri Light" w:cs="Calibri Light"/>
        </w:rPr>
        <w:t>This submission is further</w:t>
      </w:r>
      <w:r w:rsidRPr="00210D0D">
        <w:rPr>
          <w:rFonts w:ascii="Calibri Light" w:hAnsi="Calibri Light" w:cs="Calibri Light"/>
        </w:rPr>
        <w:t xml:space="preserve"> </w:t>
      </w:r>
      <w:r w:rsidRPr="00CF238A">
        <w:rPr>
          <w:rFonts w:ascii="Calibri Light" w:hAnsi="Calibri Light" w:cs="Calibri Light"/>
        </w:rPr>
        <w:t xml:space="preserve">informed by a pilot research carried out by Matimba </w:t>
      </w:r>
      <w:r w:rsidR="004C28AE">
        <w:rPr>
          <w:rFonts w:ascii="Calibri Light" w:hAnsi="Calibri Light" w:cs="Calibri Light"/>
        </w:rPr>
        <w:t>on  how the lack of legal gender recognition impacts on the privacy of the child and the growth of autonomy, and what factors enhance or constrain this development.</w:t>
      </w:r>
    </w:p>
    <w:p w14:paraId="42471DC5" w14:textId="3D4DF73E" w:rsidR="004C28AE" w:rsidRDefault="004C28AE" w:rsidP="00CF238A">
      <w:pPr>
        <w:jc w:val="both"/>
        <w:rPr>
          <w:rFonts w:ascii="Calibri Light" w:hAnsi="Calibri Light" w:cs="Calibri Light"/>
        </w:rPr>
      </w:pPr>
    </w:p>
    <w:p w14:paraId="1B73E86D" w14:textId="021CAED3" w:rsidR="00210D0D" w:rsidRPr="00E46530" w:rsidRDefault="00E46530" w:rsidP="00CF238A">
      <w:pPr>
        <w:jc w:val="both"/>
        <w:rPr>
          <w:rFonts w:ascii="Calibri Light" w:eastAsia="Times New Roman" w:hAnsi="Calibri Light" w:cs="Calibri Light"/>
          <w:sz w:val="24"/>
          <w:szCs w:val="24"/>
        </w:rPr>
      </w:pPr>
      <w:r w:rsidRPr="00E46530">
        <w:rPr>
          <w:rFonts w:ascii="Calibri Light" w:hAnsi="Calibri Light" w:cs="Calibri Light"/>
          <w:b/>
          <w:bCs/>
          <w:sz w:val="24"/>
          <w:szCs w:val="24"/>
        </w:rPr>
        <w:t>Legal Gender Recognition - A</w:t>
      </w:r>
      <w:r w:rsidR="00210D0D" w:rsidRPr="00E46530">
        <w:rPr>
          <w:rFonts w:ascii="Calibri Light" w:hAnsi="Calibri Light" w:cs="Calibri Light"/>
          <w:b/>
          <w:bCs/>
          <w:sz w:val="24"/>
          <w:szCs w:val="24"/>
        </w:rPr>
        <w:t>lteration of sex description</w:t>
      </w:r>
    </w:p>
    <w:p w14:paraId="39E9136E" w14:textId="77777777" w:rsidR="00F264A6" w:rsidRDefault="00F264A6" w:rsidP="00F264A6">
      <w:pPr>
        <w:pStyle w:val="Default"/>
      </w:pPr>
    </w:p>
    <w:p w14:paraId="3C4F4253" w14:textId="7FDA6F8B" w:rsidR="00E900A0" w:rsidRDefault="00E900A0" w:rsidP="00E46530">
      <w:pPr>
        <w:jc w:val="both"/>
        <w:rPr>
          <w:rFonts w:ascii="Calibri Light" w:eastAsia="Calibri" w:hAnsi="Calibri Light" w:cs="Calibri Light"/>
        </w:rPr>
      </w:pPr>
      <w:r w:rsidRPr="0069582C">
        <w:rPr>
          <w:rFonts w:ascii="Calibri Light" w:eastAsia="Calibri" w:hAnsi="Calibri Light" w:cs="Calibri Light"/>
        </w:rPr>
        <w:t xml:space="preserve">The Alteration of Sex Description and Sex Status Act 49 of 2003 (Act 49) brought about by the Equality Act is a legislation that seeks to </w:t>
      </w:r>
      <w:r w:rsidRPr="0069582C">
        <w:rPr>
          <w:rFonts w:ascii="Calibri Light" w:hAnsi="Calibri Light" w:cs="Calibri Light"/>
        </w:rPr>
        <w:t>legally enable transgender and intersex people to amend their identification documentation from the gender recorded at their birth to reflect their true gender identity</w:t>
      </w:r>
      <w:r>
        <w:rPr>
          <w:rFonts w:ascii="Calibri Light" w:hAnsi="Calibri Light" w:cs="Calibri Light"/>
        </w:rPr>
        <w:t xml:space="preserve"> in South Africa</w:t>
      </w:r>
      <w:r w:rsidRPr="0069582C">
        <w:rPr>
          <w:rFonts w:ascii="Calibri Light" w:hAnsi="Calibri Light" w:cs="Calibri Light"/>
        </w:rPr>
        <w:t xml:space="preserve">. </w:t>
      </w:r>
      <w:r>
        <w:rPr>
          <w:rFonts w:ascii="Calibri Light" w:hAnsi="Calibri Light" w:cs="Calibri Light"/>
        </w:rPr>
        <w:t xml:space="preserve">In </w:t>
      </w:r>
      <w:r w:rsidRPr="0069582C">
        <w:rPr>
          <w:rFonts w:ascii="Calibri Light" w:hAnsi="Calibri Light" w:cs="Calibri Light"/>
        </w:rPr>
        <w:t xml:space="preserve">2003, Act 49 </w:t>
      </w:r>
      <w:r w:rsidRPr="0069582C">
        <w:rPr>
          <w:rFonts w:ascii="Calibri Light" w:eastAsia="Calibri" w:hAnsi="Calibri Light" w:cs="Calibri Light"/>
        </w:rPr>
        <w:t>officially became the legal mechanism th</w:t>
      </w:r>
      <w:r>
        <w:rPr>
          <w:rFonts w:ascii="Calibri Light" w:eastAsia="Calibri" w:hAnsi="Calibri Light" w:cs="Calibri Light"/>
        </w:rPr>
        <w:t>r</w:t>
      </w:r>
      <w:r w:rsidRPr="0069582C">
        <w:rPr>
          <w:rFonts w:ascii="Calibri Light" w:eastAsia="Calibri" w:hAnsi="Calibri Light" w:cs="Calibri Light"/>
        </w:rPr>
        <w:t>ough which any trans or intersex person could amend their gender marker on the population register</w:t>
      </w:r>
      <w:r>
        <w:rPr>
          <w:rStyle w:val="FootnoteReference"/>
          <w:rFonts w:ascii="Calibri Light" w:eastAsia="Calibri" w:hAnsi="Calibri Light" w:cs="Calibri Light"/>
        </w:rPr>
        <w:footnoteReference w:id="2"/>
      </w:r>
      <w:r w:rsidRPr="0069582C">
        <w:rPr>
          <w:rFonts w:ascii="Calibri Light" w:eastAsia="Calibri" w:hAnsi="Calibri Light" w:cs="Calibri Light"/>
        </w:rPr>
        <w:t xml:space="preserve"> subject to certain medical requirements being met</w:t>
      </w:r>
      <w:r>
        <w:rPr>
          <w:rFonts w:ascii="Calibri Light" w:eastAsia="Calibri" w:hAnsi="Calibri Light" w:cs="Calibri Light"/>
        </w:rPr>
        <w:t xml:space="preserve">. However, the requirements stipulated are </w:t>
      </w:r>
      <w:r w:rsidRPr="0069582C">
        <w:rPr>
          <w:rFonts w:ascii="Calibri Light" w:eastAsia="Calibri" w:hAnsi="Calibri Light" w:cs="Calibri Light"/>
        </w:rPr>
        <w:t>confined to binary gender options.</w:t>
      </w:r>
    </w:p>
    <w:p w14:paraId="79F622D3" w14:textId="77777777" w:rsidR="00D20FE8" w:rsidRDefault="00D20FE8" w:rsidP="00E46530">
      <w:pPr>
        <w:jc w:val="both"/>
        <w:rPr>
          <w:rFonts w:ascii="Calibri Light" w:eastAsia="Calibri" w:hAnsi="Calibri Light" w:cs="Calibri Light"/>
        </w:rPr>
      </w:pPr>
    </w:p>
    <w:p w14:paraId="47B0329C" w14:textId="77777777" w:rsidR="00E900A0" w:rsidRPr="0069582C" w:rsidRDefault="00E900A0" w:rsidP="00E46530">
      <w:pPr>
        <w:jc w:val="both"/>
        <w:rPr>
          <w:rFonts w:ascii="Calibri Light" w:hAnsi="Calibri Light" w:cs="Calibri Light"/>
        </w:rPr>
      </w:pPr>
      <w:r w:rsidRPr="0069582C">
        <w:rPr>
          <w:rFonts w:ascii="Calibri Light" w:eastAsia="Calibri" w:hAnsi="Calibri Light" w:cs="Calibri Light"/>
        </w:rPr>
        <w:t>Section 2 provides that: “</w:t>
      </w:r>
      <w:r w:rsidRPr="0069582C">
        <w:rPr>
          <w:rFonts w:ascii="Calibri Light" w:hAnsi="Calibri Light" w:cs="Calibri Light"/>
        </w:rPr>
        <w:t>“[a]</w:t>
      </w:r>
      <w:proofErr w:type="spellStart"/>
      <w:r w:rsidRPr="0069582C">
        <w:rPr>
          <w:rFonts w:ascii="Calibri Light" w:hAnsi="Calibri Light" w:cs="Calibri Light"/>
        </w:rPr>
        <w:t>ny</w:t>
      </w:r>
      <w:proofErr w:type="spellEnd"/>
      <w:r w:rsidRPr="0069582C">
        <w:rPr>
          <w:rFonts w:ascii="Calibri Light" w:hAnsi="Calibri Light" w:cs="Calibri Light"/>
        </w:rPr>
        <w:t xml:space="preserve"> person whose sexual characteristics have been altered by surgical or medical treatment or by evolvement through natural development resulting in gender reassignment, </w:t>
      </w:r>
      <w:r w:rsidRPr="0069582C">
        <w:rPr>
          <w:rFonts w:ascii="Calibri Light" w:hAnsi="Calibri Light" w:cs="Calibri Light"/>
        </w:rPr>
        <w:lastRenderedPageBreak/>
        <w:t>or any person who is intersexed may apply to the Director-General of the National Department of Home Affairs for the alteration of the sex description on his or her birth register.” With the Department of Home Affairs</w:t>
      </w:r>
      <w:r>
        <w:rPr>
          <w:rFonts w:ascii="Calibri Light" w:hAnsi="Calibri Light" w:cs="Calibri Light"/>
        </w:rPr>
        <w:t xml:space="preserve"> (DHA)</w:t>
      </w:r>
      <w:r w:rsidRPr="0069582C">
        <w:rPr>
          <w:rFonts w:ascii="Calibri Light" w:hAnsi="Calibri Light" w:cs="Calibri Light"/>
        </w:rPr>
        <w:t xml:space="preserve"> being the designated custodian of the Act, as it is responsible for considering applications made in terms of Act 49 and issuing successful applicant</w:t>
      </w:r>
      <w:r>
        <w:rPr>
          <w:rFonts w:ascii="Calibri Light" w:hAnsi="Calibri Light" w:cs="Calibri Light"/>
        </w:rPr>
        <w:t>(s)</w:t>
      </w:r>
      <w:r w:rsidRPr="0069582C">
        <w:rPr>
          <w:rFonts w:ascii="Calibri Light" w:hAnsi="Calibri Light" w:cs="Calibri Light"/>
        </w:rPr>
        <w:t xml:space="preserve"> with new identity documentation that reflects their gender</w:t>
      </w:r>
      <w:r>
        <w:rPr>
          <w:rFonts w:ascii="Calibri Light" w:hAnsi="Calibri Light" w:cs="Calibri Light"/>
        </w:rPr>
        <w:t>.</w:t>
      </w:r>
    </w:p>
    <w:p w14:paraId="4D9256F3" w14:textId="77777777" w:rsidR="00E900A0" w:rsidRPr="0069582C" w:rsidRDefault="00E900A0" w:rsidP="00E46530">
      <w:pPr>
        <w:jc w:val="both"/>
        <w:rPr>
          <w:rFonts w:ascii="Calibri Light" w:hAnsi="Calibri Light" w:cs="Calibri Light"/>
        </w:rPr>
      </w:pPr>
      <w:r w:rsidRPr="0069582C">
        <w:rPr>
          <w:rFonts w:ascii="Calibri Light" w:hAnsi="Calibri Light" w:cs="Calibri Light"/>
        </w:rPr>
        <w:t>Act 49 allows for three groups of people to apply for alteration of sex description:</w:t>
      </w:r>
    </w:p>
    <w:p w14:paraId="021E7EAC" w14:textId="77777777" w:rsidR="00E900A0" w:rsidRPr="0069582C" w:rsidRDefault="00E900A0" w:rsidP="00E46530">
      <w:pPr>
        <w:pStyle w:val="ListParagraph"/>
        <w:numPr>
          <w:ilvl w:val="0"/>
          <w:numId w:val="1"/>
        </w:numPr>
        <w:spacing w:line="276" w:lineRule="auto"/>
        <w:jc w:val="both"/>
        <w:rPr>
          <w:rFonts w:ascii="Calibri Light" w:hAnsi="Calibri Light" w:cs="Calibri Light"/>
        </w:rPr>
      </w:pPr>
      <w:r w:rsidRPr="0069582C">
        <w:rPr>
          <w:rFonts w:ascii="Calibri Light" w:hAnsi="Calibri Light" w:cs="Calibri Light"/>
        </w:rPr>
        <w:t>people whose sexual characteristics have been altered through medical or surgical treatment;</w:t>
      </w:r>
    </w:p>
    <w:p w14:paraId="66EE5084" w14:textId="77777777" w:rsidR="00E900A0" w:rsidRPr="0069582C" w:rsidRDefault="00E900A0" w:rsidP="00E46530">
      <w:pPr>
        <w:pStyle w:val="ListParagraph"/>
        <w:numPr>
          <w:ilvl w:val="0"/>
          <w:numId w:val="1"/>
        </w:numPr>
        <w:spacing w:line="276" w:lineRule="auto"/>
        <w:jc w:val="both"/>
        <w:rPr>
          <w:rFonts w:ascii="Calibri Light" w:hAnsi="Calibri Light" w:cs="Calibri Light"/>
        </w:rPr>
      </w:pPr>
      <w:r w:rsidRPr="0069582C">
        <w:rPr>
          <w:rFonts w:ascii="Calibri Light" w:hAnsi="Calibri Light" w:cs="Calibri Light"/>
        </w:rPr>
        <w:t xml:space="preserve">people whose sexual characteristics </w:t>
      </w:r>
      <w:r>
        <w:rPr>
          <w:rFonts w:ascii="Calibri Light" w:hAnsi="Calibri Light" w:cs="Calibri Light"/>
        </w:rPr>
        <w:t xml:space="preserve">(which are not defined in the act) </w:t>
      </w:r>
      <w:r w:rsidRPr="0069582C">
        <w:rPr>
          <w:rFonts w:ascii="Calibri Light" w:hAnsi="Calibri Light" w:cs="Calibri Light"/>
        </w:rPr>
        <w:t>have been altered through natural evolvement, and</w:t>
      </w:r>
    </w:p>
    <w:p w14:paraId="070CF245" w14:textId="77777777" w:rsidR="00E900A0" w:rsidRDefault="00E900A0" w:rsidP="00E46530">
      <w:pPr>
        <w:pStyle w:val="ListParagraph"/>
        <w:numPr>
          <w:ilvl w:val="0"/>
          <w:numId w:val="1"/>
        </w:numPr>
        <w:spacing w:line="276" w:lineRule="auto"/>
        <w:jc w:val="both"/>
        <w:rPr>
          <w:rFonts w:ascii="Calibri Light" w:hAnsi="Calibri Light" w:cs="Calibri Light"/>
        </w:rPr>
      </w:pPr>
      <w:r w:rsidRPr="0069582C">
        <w:rPr>
          <w:rFonts w:ascii="Calibri Light" w:hAnsi="Calibri Light" w:cs="Calibri Light"/>
        </w:rPr>
        <w:t>people who are intersex</w:t>
      </w:r>
      <w:r w:rsidRPr="0069582C">
        <w:rPr>
          <w:rStyle w:val="FootnoteReference"/>
          <w:rFonts w:ascii="Calibri Light" w:hAnsi="Calibri Light" w:cs="Calibri Light"/>
        </w:rPr>
        <w:footnoteReference w:id="3"/>
      </w:r>
    </w:p>
    <w:p w14:paraId="4FFA7C40" w14:textId="55A5AB9E" w:rsidR="003938D9" w:rsidRDefault="00E900A0" w:rsidP="00E46530">
      <w:pPr>
        <w:jc w:val="both"/>
        <w:rPr>
          <w:rFonts w:ascii="Calibri Light" w:hAnsi="Calibri Light" w:cs="Calibri Light"/>
        </w:rPr>
      </w:pPr>
      <w:r w:rsidRPr="00763A0E">
        <w:rPr>
          <w:rFonts w:ascii="Calibri Light" w:hAnsi="Calibri Light" w:cs="Calibri Light"/>
        </w:rPr>
        <w:t>However, when Act 49 was promulgated in 2003, the legislation was seen as progressive by world standards</w:t>
      </w:r>
      <w:r w:rsidR="0084793D" w:rsidRPr="00763A0E">
        <w:rPr>
          <w:rFonts w:ascii="Calibri Light" w:hAnsi="Calibri Light" w:cs="Calibri Light"/>
        </w:rPr>
        <w:t>,</w:t>
      </w:r>
      <w:r w:rsidR="00763A0E" w:rsidRPr="00763A0E">
        <w:rPr>
          <w:rFonts w:ascii="Calibri Light" w:hAnsi="Calibri Light" w:cs="Calibri Light"/>
        </w:rPr>
        <w:t xml:space="preserve"> and despite being a signatory to the </w:t>
      </w:r>
      <w:r w:rsidR="00763A0E" w:rsidRPr="00763A0E">
        <w:rPr>
          <w:rFonts w:ascii="Calibri Light" w:hAnsi="Calibri Light" w:cs="Calibri Light"/>
          <w:i/>
          <w:iCs/>
        </w:rPr>
        <w:t xml:space="preserve">Yogyakarta Principles </w:t>
      </w:r>
      <w:r w:rsidR="00763A0E" w:rsidRPr="00763A0E">
        <w:rPr>
          <w:rFonts w:ascii="Calibri Light" w:hAnsi="Calibri Light" w:cs="Calibri Light"/>
        </w:rPr>
        <w:t>(2007),</w:t>
      </w:r>
      <w:r w:rsidR="00763A0E" w:rsidRPr="00763A0E">
        <w:rPr>
          <w:rStyle w:val="FootnoteReference"/>
          <w:rFonts w:ascii="Calibri Light" w:hAnsi="Calibri Light" w:cs="Calibri Light"/>
        </w:rPr>
        <w:footnoteReference w:id="4"/>
      </w:r>
      <w:r w:rsidR="00763A0E" w:rsidRPr="00763A0E">
        <w:rPr>
          <w:rFonts w:ascii="Calibri Light" w:hAnsi="Calibri Light" w:cs="Calibri Light"/>
        </w:rPr>
        <w:t xml:space="preserve"> the South African government has yet to reform its laws and policies to comply with self-identification, bodily integrity and other human rights standards for gender identity and bodily diversity articulated in this instrument. Furthermore, the manner in which the Department of Home Affairs administrates Act 49 renders many transgender and intersex persons vulnerable and effectively denies them access to their rights to education, health, housing and employment, among others. </w:t>
      </w:r>
      <w:r w:rsidR="001D351C">
        <w:rPr>
          <w:rFonts w:ascii="Calibri Light" w:hAnsi="Calibri Light" w:cs="Calibri Light"/>
        </w:rPr>
        <w:t>The highly medicalised nature of the Act continues to put trans and gender variant minors in a position in which they must divulge privileged information to access legal gender recognition</w:t>
      </w:r>
      <w:r w:rsidR="00FE26D4">
        <w:rPr>
          <w:rFonts w:ascii="Calibri Light" w:hAnsi="Calibri Light" w:cs="Calibri Light"/>
        </w:rPr>
        <w:t>,</w:t>
      </w:r>
      <w:r w:rsidR="001D351C">
        <w:rPr>
          <w:rFonts w:ascii="Calibri Light" w:hAnsi="Calibri Light" w:cs="Calibri Light"/>
        </w:rPr>
        <w:t xml:space="preserve"> continuously violat</w:t>
      </w:r>
      <w:r w:rsidR="00FE26D4">
        <w:rPr>
          <w:rFonts w:ascii="Calibri Light" w:hAnsi="Calibri Light" w:cs="Calibri Light"/>
        </w:rPr>
        <w:t>ing</w:t>
      </w:r>
      <w:r w:rsidR="001D351C">
        <w:rPr>
          <w:rFonts w:ascii="Calibri Light" w:hAnsi="Calibri Light" w:cs="Calibri Light"/>
        </w:rPr>
        <w:t xml:space="preserve"> their right to privacy. Furthermore, by continuously using documents that do not reflect who they are</w:t>
      </w:r>
      <w:r w:rsidR="00FE26D4">
        <w:rPr>
          <w:rFonts w:ascii="Calibri Light" w:hAnsi="Calibri Light" w:cs="Calibri Light"/>
        </w:rPr>
        <w:t>,</w:t>
      </w:r>
      <w:r w:rsidR="001D351C">
        <w:rPr>
          <w:rFonts w:ascii="Calibri Light" w:hAnsi="Calibri Light" w:cs="Calibri Light"/>
        </w:rPr>
        <w:t xml:space="preserve"> put</w:t>
      </w:r>
      <w:r w:rsidR="00FE26D4">
        <w:rPr>
          <w:rFonts w:ascii="Calibri Light" w:hAnsi="Calibri Light" w:cs="Calibri Light"/>
        </w:rPr>
        <w:t>s</w:t>
      </w:r>
      <w:r w:rsidR="001D351C">
        <w:rPr>
          <w:rFonts w:ascii="Calibri Light" w:hAnsi="Calibri Light" w:cs="Calibri Light"/>
        </w:rPr>
        <w:t xml:space="preserve"> them in situations in which they con</w:t>
      </w:r>
      <w:r w:rsidR="006A609F">
        <w:rPr>
          <w:rFonts w:ascii="Calibri Light" w:hAnsi="Calibri Light" w:cs="Calibri Light"/>
        </w:rPr>
        <w:t>stantly must explain themselves, continuously violates their right to privacy.</w:t>
      </w:r>
    </w:p>
    <w:p w14:paraId="05991CFF" w14:textId="50635B0F" w:rsidR="003938D9" w:rsidRDefault="003938D9" w:rsidP="00E46530">
      <w:pPr>
        <w:jc w:val="both"/>
        <w:rPr>
          <w:rFonts w:ascii="Calibri Light" w:hAnsi="Calibri Light" w:cs="Calibri Light"/>
        </w:rPr>
      </w:pPr>
    </w:p>
    <w:p w14:paraId="1A4041F6" w14:textId="0AC048FD" w:rsidR="00763A0E" w:rsidRDefault="00763A0E" w:rsidP="00E46530">
      <w:pPr>
        <w:jc w:val="both"/>
        <w:rPr>
          <w:rFonts w:ascii="Calibri Light" w:hAnsi="Calibri Light" w:cs="Calibri Light"/>
        </w:rPr>
      </w:pPr>
      <w:r w:rsidRPr="00763A0E">
        <w:rPr>
          <w:rFonts w:ascii="Calibri Light" w:hAnsi="Calibri Light" w:cs="Calibri Light"/>
        </w:rPr>
        <w:t>The Act is silent on trans and gender variant minors, despite other countries such as Malta, Belgium, Iceland Argentina</w:t>
      </w:r>
      <w:r w:rsidRPr="00763A0E">
        <w:rPr>
          <w:rStyle w:val="FootnoteReference"/>
          <w:rFonts w:ascii="Calibri Light" w:hAnsi="Calibri Light" w:cs="Calibri Light"/>
        </w:rPr>
        <w:footnoteReference w:id="5"/>
      </w:r>
      <w:r w:rsidRPr="00763A0E">
        <w:rPr>
          <w:rFonts w:ascii="Calibri Light" w:hAnsi="Calibri Light" w:cs="Calibri Light"/>
        </w:rPr>
        <w:t xml:space="preserve"> having passed gender recognition laws or decrees that allow for legal gender recognition of trans and gender variant minors.</w:t>
      </w:r>
      <w:r w:rsidR="003938D9">
        <w:rPr>
          <w:rFonts w:ascii="Calibri Light" w:hAnsi="Calibri Light" w:cs="Calibri Light"/>
        </w:rPr>
        <w:t xml:space="preserve"> However, parents and/or legal guardians can apply on the minor’s behalf to have their gender marker changed however, there is a wide lack of access to information around how the change can be accessed</w:t>
      </w:r>
      <w:r w:rsidR="003938D9">
        <w:rPr>
          <w:rStyle w:val="FootnoteReference"/>
          <w:rFonts w:ascii="Calibri Light" w:hAnsi="Calibri Light" w:cs="Calibri Light"/>
        </w:rPr>
        <w:footnoteReference w:id="6"/>
      </w:r>
      <w:r w:rsidR="00D20FE8">
        <w:rPr>
          <w:rFonts w:ascii="Calibri Light" w:hAnsi="Calibri Light" w:cs="Calibri Light"/>
        </w:rPr>
        <w:t>. As such t</w:t>
      </w:r>
      <w:r>
        <w:rPr>
          <w:rFonts w:ascii="Calibri Light" w:hAnsi="Calibri Light" w:cs="Calibri Light"/>
        </w:rPr>
        <w:t>he resultant problems created by the lack of progressive gender recognition legislation that is inclusive of trans and gender variant minors, that respects self-identification, coupled with the lack of regulatory directives from the D</w:t>
      </w:r>
      <w:r w:rsidR="004944A8">
        <w:rPr>
          <w:rFonts w:ascii="Calibri Light" w:hAnsi="Calibri Light" w:cs="Calibri Light"/>
        </w:rPr>
        <w:t xml:space="preserve">epartment of Home Affairs and the lack of an efficient and effective processing system, are not only isolated to interactions between trans and gender diverse persons and the Department of Home Affairs. </w:t>
      </w:r>
    </w:p>
    <w:p w14:paraId="0DBCD37A" w14:textId="77777777" w:rsidR="004E4A03" w:rsidRDefault="004E4A03" w:rsidP="00E46530">
      <w:pPr>
        <w:jc w:val="both"/>
        <w:rPr>
          <w:rFonts w:ascii="Calibri Light" w:hAnsi="Calibri Light" w:cs="Calibri Light"/>
        </w:rPr>
      </w:pPr>
    </w:p>
    <w:tbl>
      <w:tblPr>
        <w:tblStyle w:val="TableGrid"/>
        <w:tblW w:w="0" w:type="auto"/>
        <w:tblLook w:val="04A0" w:firstRow="1" w:lastRow="0" w:firstColumn="1" w:lastColumn="0" w:noHBand="0" w:noVBand="1"/>
      </w:tblPr>
      <w:tblGrid>
        <w:gridCol w:w="9016"/>
      </w:tblGrid>
      <w:tr w:rsidR="004E4A03" w14:paraId="02DBDE1C" w14:textId="77777777" w:rsidTr="004E4A03">
        <w:tc>
          <w:tcPr>
            <w:tcW w:w="9016" w:type="dxa"/>
          </w:tcPr>
          <w:p w14:paraId="50164EDA" w14:textId="3BC7B679" w:rsidR="004E4A03" w:rsidRDefault="004E4A03" w:rsidP="004E4A03">
            <w:pPr>
              <w:ind w:left="720"/>
              <w:jc w:val="both"/>
              <w:rPr>
                <w:rFonts w:ascii="Calibri Light" w:hAnsi="Calibri Light" w:cs="Calibri Light"/>
              </w:rPr>
            </w:pPr>
            <w:r w:rsidRPr="0069582C">
              <w:rPr>
                <w:rFonts w:ascii="Calibri Light" w:hAnsi="Calibri Light"/>
                <w:i/>
                <w:iCs/>
              </w:rPr>
              <w:lastRenderedPageBreak/>
              <w:t xml:space="preserve">“Every part of my child's life would have been easier if we had changed his gender marker and name immediately his gender identity was expressed in a consistent manner - from age 10 at least”. </w:t>
            </w:r>
          </w:p>
        </w:tc>
      </w:tr>
    </w:tbl>
    <w:p w14:paraId="2C58620D" w14:textId="30407CF1" w:rsidR="004E4A03" w:rsidRDefault="004E4A03" w:rsidP="00E900A0">
      <w:pPr>
        <w:jc w:val="both"/>
        <w:rPr>
          <w:rFonts w:ascii="Calibri Light" w:eastAsia="Calibri" w:hAnsi="Calibri Light" w:cs="Calibri Light"/>
          <w:b/>
          <w:bCs/>
          <w:noProof/>
          <w:sz w:val="24"/>
          <w:szCs w:val="24"/>
        </w:rPr>
      </w:pPr>
    </w:p>
    <w:p w14:paraId="27E3EA88" w14:textId="2009A053" w:rsidR="00763A0E" w:rsidRDefault="009E7075" w:rsidP="00E900A0">
      <w:pPr>
        <w:jc w:val="both"/>
        <w:rPr>
          <w:rFonts w:ascii="Calibri Light" w:hAnsi="Calibri Light" w:cs="Calibri Light"/>
          <w:b/>
          <w:bCs/>
          <w:sz w:val="24"/>
          <w:szCs w:val="24"/>
        </w:rPr>
      </w:pPr>
      <w:r w:rsidRPr="009E7075">
        <w:rPr>
          <w:rFonts w:ascii="Calibri Light" w:eastAsia="Calibri" w:hAnsi="Calibri Light" w:cs="Calibri Light"/>
          <w:b/>
          <w:bCs/>
          <w:noProof/>
          <w:sz w:val="24"/>
          <w:szCs w:val="24"/>
        </w:rPr>
        <w:t xml:space="preserve">Right to Basic Education: </w:t>
      </w:r>
      <w:r w:rsidRPr="009E7075">
        <w:rPr>
          <w:rFonts w:ascii="Calibri Light" w:hAnsi="Calibri Light" w:cs="Calibri Light"/>
          <w:b/>
          <w:bCs/>
          <w:sz w:val="24"/>
          <w:szCs w:val="24"/>
        </w:rPr>
        <w:t>Equality in accessing education for trans and gender variant minors</w:t>
      </w:r>
    </w:p>
    <w:p w14:paraId="55F803A4" w14:textId="2A335D2B" w:rsidR="009E7075" w:rsidRDefault="009E7075" w:rsidP="00E900A0">
      <w:pPr>
        <w:jc w:val="both"/>
        <w:rPr>
          <w:rFonts w:ascii="Calibri Light" w:eastAsiaTheme="minorHAnsi" w:hAnsi="Calibri Light" w:cs="Calibri Light"/>
          <w:color w:val="000000"/>
          <w:lang w:val="en-ZA" w:eastAsia="en-US"/>
        </w:rPr>
      </w:pPr>
      <w:r w:rsidRPr="008D55E1">
        <w:rPr>
          <w:rFonts w:ascii="Calibri Light" w:hAnsi="Calibri Light" w:cs="Calibri Light"/>
        </w:rPr>
        <w:t xml:space="preserve">There is a general lack of </w:t>
      </w:r>
      <w:r w:rsidRPr="009E7075">
        <w:rPr>
          <w:rFonts w:ascii="Calibri Light" w:eastAsiaTheme="minorHAnsi" w:hAnsi="Calibri Light" w:cs="Calibri Light"/>
          <w:color w:val="000000"/>
          <w:lang w:val="en-ZA" w:eastAsia="en-US"/>
        </w:rPr>
        <w:t>education about gender diversity, bodily diversity</w:t>
      </w:r>
      <w:r w:rsidRPr="008D55E1">
        <w:rPr>
          <w:rFonts w:ascii="Calibri Light" w:eastAsiaTheme="minorHAnsi" w:hAnsi="Calibri Light" w:cs="Calibri Light"/>
          <w:color w:val="000000"/>
          <w:lang w:val="en-ZA" w:eastAsia="en-US"/>
        </w:rPr>
        <w:t xml:space="preserve">, </w:t>
      </w:r>
      <w:r w:rsidRPr="009E7075">
        <w:rPr>
          <w:rFonts w:ascii="Calibri Light" w:eastAsiaTheme="minorHAnsi" w:hAnsi="Calibri Light" w:cs="Calibri Light"/>
          <w:color w:val="000000"/>
          <w:lang w:val="en-ZA" w:eastAsia="en-US"/>
        </w:rPr>
        <w:t>and sexual identities in primary and high schools in South Africa</w:t>
      </w:r>
      <w:r w:rsidR="008D55E1" w:rsidRPr="008D55E1">
        <w:rPr>
          <w:rFonts w:ascii="Calibri Light" w:eastAsiaTheme="minorHAnsi" w:hAnsi="Calibri Light" w:cs="Calibri Light"/>
          <w:color w:val="000000"/>
          <w:lang w:val="en-ZA" w:eastAsia="en-US"/>
        </w:rPr>
        <w:t xml:space="preserve">. What is more where it is provided, educators are either not well informed as they are not trained on the subject matter, or they allow their personal prejudices  </w:t>
      </w:r>
      <w:r w:rsidR="008D55E1" w:rsidRPr="009E7075">
        <w:rPr>
          <w:rFonts w:ascii="Calibri Light" w:eastAsiaTheme="minorHAnsi" w:hAnsi="Calibri Light" w:cs="Calibri Light"/>
          <w:color w:val="000000"/>
          <w:lang w:val="en-ZA" w:eastAsia="en-US"/>
        </w:rPr>
        <w:t>to impact on the subject and thus stigmatise students’ understanding of</w:t>
      </w:r>
      <w:r w:rsidR="008D55E1" w:rsidRPr="008D55E1">
        <w:rPr>
          <w:rFonts w:ascii="Calibri Light" w:eastAsiaTheme="minorHAnsi" w:hAnsi="Calibri Light" w:cs="Calibri Light"/>
          <w:color w:val="000000"/>
          <w:lang w:val="en-ZA" w:eastAsia="en-US"/>
        </w:rPr>
        <w:t xml:space="preserve"> </w:t>
      </w:r>
      <w:r w:rsidR="008D55E1" w:rsidRPr="009E7075">
        <w:rPr>
          <w:rFonts w:ascii="Calibri Light" w:eastAsiaTheme="minorHAnsi" w:hAnsi="Calibri Light" w:cs="Calibri Light"/>
          <w:color w:val="000000"/>
          <w:lang w:val="en-ZA" w:eastAsia="en-US"/>
        </w:rPr>
        <w:t>sexual orientation, bodily diversity, and gender identity and expression</w:t>
      </w:r>
      <w:r w:rsidR="008D55E1" w:rsidRPr="008D55E1">
        <w:rPr>
          <w:rFonts w:ascii="Calibri Light" w:eastAsiaTheme="minorHAnsi" w:hAnsi="Calibri Light" w:cs="Calibri Light"/>
          <w:color w:val="000000"/>
          <w:lang w:val="en-ZA" w:eastAsia="en-US"/>
        </w:rPr>
        <w:t xml:space="preserve">. </w:t>
      </w:r>
      <w:r w:rsidR="008D55E1" w:rsidRPr="008D55E1">
        <w:rPr>
          <w:rStyle w:val="FootnoteReference"/>
          <w:rFonts w:ascii="Calibri Light" w:eastAsiaTheme="minorHAnsi" w:hAnsi="Calibri Light" w:cs="Calibri Light"/>
          <w:color w:val="000000"/>
          <w:lang w:val="en-ZA" w:eastAsia="en-US"/>
        </w:rPr>
        <w:footnoteReference w:id="7"/>
      </w:r>
      <w:r w:rsidR="008D55E1" w:rsidRPr="008D55E1">
        <w:rPr>
          <w:rFonts w:ascii="Calibri Light" w:eastAsiaTheme="minorHAnsi" w:hAnsi="Calibri Light" w:cs="Calibri Light"/>
          <w:color w:val="000000"/>
          <w:lang w:val="en-ZA" w:eastAsia="en-US"/>
        </w:rPr>
        <w:t xml:space="preserve"> Furthermore, the education community is mostly unaware of the issues experienced by trans and gender variant minors, with the lack of </w:t>
      </w:r>
      <w:r w:rsidR="008D55E1" w:rsidRPr="009E7075">
        <w:rPr>
          <w:rFonts w:ascii="Calibri Light" w:eastAsiaTheme="minorHAnsi" w:hAnsi="Calibri Light" w:cs="Calibri Light"/>
          <w:color w:val="000000"/>
          <w:lang w:val="en-ZA" w:eastAsia="en-US"/>
        </w:rPr>
        <w:t>education around, and awareness of, gender, bodily and sexual diversity creat</w:t>
      </w:r>
      <w:r w:rsidR="008D55E1" w:rsidRPr="008D55E1">
        <w:rPr>
          <w:rFonts w:ascii="Calibri Light" w:eastAsiaTheme="minorHAnsi" w:hAnsi="Calibri Light" w:cs="Calibri Light"/>
          <w:color w:val="000000"/>
          <w:lang w:val="en-ZA" w:eastAsia="en-US"/>
        </w:rPr>
        <w:t>ing</w:t>
      </w:r>
      <w:r w:rsidR="008D55E1" w:rsidRPr="009E7075">
        <w:rPr>
          <w:rFonts w:ascii="Calibri Light" w:eastAsiaTheme="minorHAnsi" w:hAnsi="Calibri Light" w:cs="Calibri Light"/>
          <w:color w:val="000000"/>
          <w:lang w:val="en-ZA" w:eastAsia="en-US"/>
        </w:rPr>
        <w:t xml:space="preserve"> a hostile and discriminatory environment for </w:t>
      </w:r>
      <w:r w:rsidR="008D55E1" w:rsidRPr="008D55E1">
        <w:rPr>
          <w:rFonts w:ascii="Calibri Light" w:eastAsiaTheme="minorHAnsi" w:hAnsi="Calibri Light" w:cs="Calibri Light"/>
          <w:color w:val="000000"/>
          <w:lang w:val="en-ZA" w:eastAsia="en-US"/>
        </w:rPr>
        <w:t>trans and gender variant minors in schools, as reflected below:</w:t>
      </w:r>
    </w:p>
    <w:p w14:paraId="0F89FD89" w14:textId="30F070C5" w:rsidR="006A609F" w:rsidRDefault="006A609F" w:rsidP="00E900A0">
      <w:pPr>
        <w:jc w:val="both"/>
        <w:rPr>
          <w:rFonts w:ascii="Calibri Light" w:eastAsiaTheme="minorHAnsi" w:hAnsi="Calibri Light" w:cs="Calibri Light"/>
          <w:color w:val="000000"/>
          <w:lang w:val="en-ZA" w:eastAsia="en-US"/>
        </w:rPr>
      </w:pPr>
    </w:p>
    <w:p w14:paraId="1323019F" w14:textId="4101F240" w:rsidR="006A609F" w:rsidRDefault="006A609F" w:rsidP="00E900A0">
      <w:pPr>
        <w:jc w:val="both"/>
        <w:rPr>
          <w:rFonts w:ascii="Calibri Light" w:eastAsiaTheme="minorHAnsi" w:hAnsi="Calibri Light" w:cs="Calibri Light"/>
          <w:color w:val="000000"/>
          <w:lang w:val="en-ZA" w:eastAsia="en-US"/>
        </w:rPr>
      </w:pPr>
    </w:p>
    <w:p w14:paraId="02B751A7" w14:textId="77777777" w:rsidR="006A609F" w:rsidRPr="008D55E1" w:rsidRDefault="006A609F" w:rsidP="00E900A0">
      <w:pPr>
        <w:jc w:val="both"/>
        <w:rPr>
          <w:rFonts w:ascii="Calibri Light" w:eastAsiaTheme="minorHAnsi" w:hAnsi="Calibri Light" w:cs="Calibri Light"/>
          <w:color w:val="000000"/>
          <w:lang w:val="en-ZA" w:eastAsia="en-US"/>
        </w:rPr>
      </w:pPr>
    </w:p>
    <w:p w14:paraId="1F8B7803" w14:textId="4AFFE0AA" w:rsidR="008D55E1" w:rsidRDefault="008D55E1" w:rsidP="00E900A0">
      <w:pPr>
        <w:jc w:val="both"/>
        <w:rPr>
          <w:rFonts w:ascii="Calibri Light" w:hAnsi="Calibri Light" w:cs="Calibri Light"/>
        </w:rPr>
      </w:pPr>
      <w:r>
        <w:rPr>
          <w:noProof/>
          <w:lang w:val="en-US"/>
        </w:rPr>
        <w:drawing>
          <wp:inline distT="0" distB="0" distL="0" distR="0" wp14:anchorId="555ABA44" wp14:editId="48DC7869">
            <wp:extent cx="6309360" cy="336804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310211" cy="3368494"/>
                    </a:xfrm>
                    <a:prstGeom prst="rect">
                      <a:avLst/>
                    </a:prstGeom>
                  </pic:spPr>
                </pic:pic>
              </a:graphicData>
            </a:graphic>
          </wp:inline>
        </w:drawing>
      </w:r>
    </w:p>
    <w:p w14:paraId="4EEA2338" w14:textId="07560106" w:rsidR="009E7075" w:rsidRDefault="009E7075" w:rsidP="00E900A0">
      <w:pPr>
        <w:jc w:val="both"/>
        <w:rPr>
          <w:rFonts w:ascii="Calibri Light" w:hAnsi="Calibri Light" w:cs="Calibri Light"/>
        </w:rPr>
      </w:pPr>
    </w:p>
    <w:p w14:paraId="0C13808E" w14:textId="77777777" w:rsidR="009E7075" w:rsidRPr="009E7075" w:rsidRDefault="009E7075" w:rsidP="009E7075">
      <w:pPr>
        <w:autoSpaceDE w:val="0"/>
        <w:autoSpaceDN w:val="0"/>
        <w:adjustRightInd w:val="0"/>
        <w:spacing w:line="240" w:lineRule="auto"/>
        <w:rPr>
          <w:rFonts w:ascii="Cambria" w:eastAsiaTheme="minorHAnsi" w:hAnsi="Cambria" w:cs="Cambria"/>
          <w:color w:val="000000"/>
          <w:sz w:val="24"/>
          <w:szCs w:val="24"/>
          <w:lang w:val="en-ZA" w:eastAsia="en-US"/>
        </w:rPr>
      </w:pPr>
    </w:p>
    <w:p w14:paraId="58E25644" w14:textId="4FB59FA5" w:rsidR="006A609F" w:rsidRDefault="00E46530" w:rsidP="006A609F">
      <w:pPr>
        <w:pStyle w:val="Default"/>
        <w:spacing w:line="276" w:lineRule="auto"/>
        <w:jc w:val="both"/>
        <w:rPr>
          <w:rFonts w:ascii="Calibri Light" w:hAnsi="Calibri Light" w:cs="Calibri Light"/>
          <w:sz w:val="22"/>
          <w:szCs w:val="22"/>
        </w:rPr>
      </w:pPr>
      <w:r w:rsidRPr="00E46530">
        <w:rPr>
          <w:rFonts w:ascii="Calibri Light" w:hAnsi="Calibri Light" w:cs="Calibri Light"/>
          <w:sz w:val="22"/>
          <w:szCs w:val="22"/>
        </w:rPr>
        <w:t>There is no mention of gender, sexual, or bodily diversity in the school curriculum</w:t>
      </w:r>
      <w:r w:rsidRPr="00E45AE8">
        <w:rPr>
          <w:rFonts w:ascii="Calibri Light" w:hAnsi="Calibri Light" w:cs="Calibri Light"/>
          <w:sz w:val="22"/>
          <w:szCs w:val="22"/>
        </w:rPr>
        <w:t>, where Gender identity, gender expression, intersex variations and sexual orientation are rarely discussed in a manner which ensures inclusivity and a balanced informed understanding in schools. This has serious consequences for transgender and intersex individuals who are not educated about gender and bodily diversity in their school curriculum. Trans</w:t>
      </w:r>
      <w:r w:rsidR="006A609F">
        <w:rPr>
          <w:rFonts w:ascii="Calibri Light" w:hAnsi="Calibri Light" w:cs="Calibri Light"/>
          <w:sz w:val="22"/>
          <w:szCs w:val="22"/>
        </w:rPr>
        <w:t xml:space="preserve"> and gender variant minors</w:t>
      </w:r>
      <w:r w:rsidRPr="00E45AE8">
        <w:rPr>
          <w:rFonts w:ascii="Calibri Light" w:hAnsi="Calibri Light" w:cs="Calibri Light"/>
          <w:sz w:val="22"/>
          <w:szCs w:val="22"/>
        </w:rPr>
        <w:t xml:space="preserve"> may feel pressured into conforming to the existing gender and sex binaries and stereotypes, undermining the agency and </w:t>
      </w:r>
      <w:r w:rsidRPr="00E45AE8">
        <w:rPr>
          <w:rFonts w:ascii="Calibri Light" w:hAnsi="Calibri Light" w:cs="Calibri Light"/>
          <w:sz w:val="22"/>
          <w:szCs w:val="22"/>
        </w:rPr>
        <w:lastRenderedPageBreak/>
        <w:t>autonomy of trans and gender variant minors who are unable to express themselves fully due to the lack of inclusivity in the school curriculum.</w:t>
      </w:r>
      <w:r w:rsidRPr="00E45AE8">
        <w:rPr>
          <w:rStyle w:val="FootnoteReference"/>
          <w:rFonts w:ascii="Calibri Light" w:hAnsi="Calibri Light" w:cs="Calibri Light"/>
          <w:sz w:val="22"/>
          <w:szCs w:val="22"/>
        </w:rPr>
        <w:footnoteReference w:id="8"/>
      </w:r>
      <w:r w:rsidRPr="00E45AE8">
        <w:rPr>
          <w:rFonts w:ascii="Calibri Light" w:hAnsi="Calibri Light" w:cs="Calibri Light"/>
          <w:sz w:val="22"/>
          <w:szCs w:val="22"/>
        </w:rPr>
        <w:t xml:space="preserve"> </w:t>
      </w:r>
      <w:r w:rsidR="006A609F">
        <w:rPr>
          <w:rFonts w:ascii="Calibri Light" w:hAnsi="Calibri Light" w:cs="Calibri Light"/>
          <w:sz w:val="22"/>
          <w:szCs w:val="22"/>
        </w:rPr>
        <w:t xml:space="preserve">The continuous denial of the existence of trans and gender diverse minors gender identity and expression, can have an impact on their personal development (or sense of self) as they exist in a space that denies their existence, with their being constantly reminded that they do not belong. </w:t>
      </w:r>
    </w:p>
    <w:p w14:paraId="05BA4F37" w14:textId="77777777" w:rsidR="00FE26D4" w:rsidRDefault="00FE26D4" w:rsidP="006A609F">
      <w:pPr>
        <w:pStyle w:val="Default"/>
        <w:spacing w:line="276" w:lineRule="auto"/>
        <w:jc w:val="both"/>
        <w:rPr>
          <w:rFonts w:ascii="Calibri Light" w:hAnsi="Calibri Light" w:cs="Calibri Light"/>
          <w:sz w:val="22"/>
          <w:szCs w:val="22"/>
        </w:rPr>
      </w:pPr>
    </w:p>
    <w:p w14:paraId="2566BD76" w14:textId="577DB564" w:rsidR="00A712C4" w:rsidRPr="00D936B3" w:rsidRDefault="00A44BDC" w:rsidP="00D936B3">
      <w:pPr>
        <w:pStyle w:val="Default"/>
        <w:spacing w:line="276" w:lineRule="auto"/>
        <w:jc w:val="both"/>
        <w:rPr>
          <w:rFonts w:ascii="Calibri Light" w:hAnsi="Calibri Light" w:cs="Calibri Light"/>
          <w:sz w:val="22"/>
          <w:szCs w:val="22"/>
        </w:rPr>
      </w:pPr>
      <w:r w:rsidRPr="00D936B3">
        <w:rPr>
          <w:rFonts w:ascii="Calibri Light" w:hAnsi="Calibri Light" w:cs="Calibri Light"/>
          <w:sz w:val="22"/>
          <w:szCs w:val="22"/>
        </w:rPr>
        <w:t xml:space="preserve">Moreover, the above circumstances are compounded by the fact that there currently no guidelines for schools to assist learners, parents, teachers, school-governing bodies and other members of school communities on how to socially include trans and gender variant minors in their school community. </w:t>
      </w:r>
      <w:r w:rsidR="006A609F" w:rsidRPr="00D936B3">
        <w:rPr>
          <w:rFonts w:ascii="Calibri Light" w:hAnsi="Calibri Light" w:cs="Calibri Light"/>
          <w:sz w:val="22"/>
          <w:szCs w:val="22"/>
        </w:rPr>
        <w:t>Furthermore, Trans and gender variant minors reported experiencing some level of discrimination on the basis of their expressed gender identity at both primary and high school</w:t>
      </w:r>
      <w:r w:rsidR="006A609F" w:rsidRPr="00D936B3">
        <w:rPr>
          <w:rStyle w:val="FootnoteReference"/>
          <w:rFonts w:ascii="Calibri Light" w:hAnsi="Calibri Light" w:cs="Calibri Light"/>
          <w:sz w:val="22"/>
          <w:szCs w:val="22"/>
        </w:rPr>
        <w:footnoteReference w:id="9"/>
      </w:r>
      <w:r w:rsidR="00FE26D4">
        <w:rPr>
          <w:rFonts w:ascii="Calibri Light" w:hAnsi="Calibri Light" w:cs="Calibri Light"/>
          <w:sz w:val="22"/>
          <w:szCs w:val="22"/>
        </w:rPr>
        <w:t>.</w:t>
      </w:r>
      <w:r w:rsidR="0078534D" w:rsidRPr="00D936B3">
        <w:rPr>
          <w:rFonts w:ascii="Calibri Light" w:hAnsi="Calibri Light" w:cs="Calibri Light"/>
          <w:sz w:val="22"/>
          <w:szCs w:val="22"/>
        </w:rPr>
        <w:t xml:space="preserve"> </w:t>
      </w:r>
      <w:r w:rsidR="00A712C4" w:rsidRPr="00D936B3">
        <w:rPr>
          <w:rFonts w:ascii="Calibri Light" w:hAnsi="Calibri Light" w:cs="Calibri Light"/>
          <w:sz w:val="22"/>
          <w:szCs w:val="22"/>
        </w:rPr>
        <w:t xml:space="preserve">Research on the schooling system in South Africa points to the </w:t>
      </w:r>
      <w:r w:rsidR="0078534D" w:rsidRPr="00D936B3">
        <w:rPr>
          <w:rFonts w:ascii="Calibri Light" w:hAnsi="Calibri Light" w:cs="Calibri Light"/>
          <w:sz w:val="22"/>
          <w:szCs w:val="22"/>
        </w:rPr>
        <w:t xml:space="preserve">discrimination, mostly in the form of bullying, was perpetuated mainly by other learners and at times by the teaching staff. </w:t>
      </w:r>
    </w:p>
    <w:p w14:paraId="347DE2A3" w14:textId="77777777" w:rsidR="00A712C4" w:rsidRPr="00D936B3" w:rsidRDefault="00A712C4" w:rsidP="00D936B3">
      <w:pPr>
        <w:pStyle w:val="Default"/>
        <w:spacing w:line="276" w:lineRule="auto"/>
        <w:jc w:val="both"/>
        <w:rPr>
          <w:rFonts w:ascii="Calibri Light" w:hAnsi="Calibri Light" w:cs="Calibri Light"/>
          <w:sz w:val="22"/>
          <w:szCs w:val="22"/>
        </w:rPr>
      </w:pPr>
    </w:p>
    <w:p w14:paraId="7C88BCDB" w14:textId="0EAB0184" w:rsidR="00A712C4" w:rsidRPr="00D936B3" w:rsidRDefault="0078534D" w:rsidP="00D936B3">
      <w:pPr>
        <w:pStyle w:val="Default"/>
        <w:spacing w:line="276" w:lineRule="auto"/>
        <w:jc w:val="both"/>
        <w:rPr>
          <w:rFonts w:ascii="Calibri Light" w:hAnsi="Calibri Light" w:cs="Calibri Light"/>
          <w:sz w:val="22"/>
          <w:szCs w:val="22"/>
        </w:rPr>
      </w:pPr>
      <w:r w:rsidRPr="00D936B3">
        <w:rPr>
          <w:rFonts w:ascii="Calibri Light" w:hAnsi="Calibri Light" w:cs="Calibri Light"/>
          <w:sz w:val="22"/>
          <w:szCs w:val="22"/>
        </w:rPr>
        <w:t>However, the severity of the bullying and the kind of bullying (verbal or physical)</w:t>
      </w:r>
      <w:r w:rsidR="00FE26D4">
        <w:rPr>
          <w:rFonts w:ascii="Calibri Light" w:hAnsi="Calibri Light" w:cs="Calibri Light"/>
          <w:sz w:val="22"/>
          <w:szCs w:val="22"/>
        </w:rPr>
        <w:t xml:space="preserve"> experienced by trans and gender variant minors, is</w:t>
      </w:r>
      <w:r w:rsidRPr="00D936B3">
        <w:rPr>
          <w:rFonts w:ascii="Calibri Light" w:hAnsi="Calibri Light" w:cs="Calibri Light"/>
          <w:sz w:val="22"/>
          <w:szCs w:val="22"/>
        </w:rPr>
        <w:t xml:space="preserve"> dependent on a number of interlinking factors, such as the kind of school the person attended, i.e. township</w:t>
      </w:r>
      <w:r w:rsidRPr="00D936B3">
        <w:rPr>
          <w:rStyle w:val="FootnoteReference"/>
          <w:rFonts w:ascii="Calibri Light" w:hAnsi="Calibri Light" w:cs="Calibri Light"/>
          <w:sz w:val="22"/>
          <w:szCs w:val="22"/>
        </w:rPr>
        <w:footnoteReference w:id="10"/>
      </w:r>
      <w:r w:rsidRPr="00D936B3">
        <w:rPr>
          <w:rFonts w:ascii="Calibri Light" w:hAnsi="Calibri Light" w:cs="Calibri Light"/>
          <w:sz w:val="22"/>
          <w:szCs w:val="22"/>
        </w:rPr>
        <w:t xml:space="preserve"> or Model C</w:t>
      </w:r>
      <w:r w:rsidRPr="00D936B3">
        <w:rPr>
          <w:rStyle w:val="FootnoteReference"/>
          <w:rFonts w:ascii="Calibri Light" w:hAnsi="Calibri Light" w:cs="Calibri Light"/>
          <w:sz w:val="22"/>
          <w:szCs w:val="22"/>
        </w:rPr>
        <w:footnoteReference w:id="11"/>
      </w:r>
      <w:r w:rsidRPr="00D936B3">
        <w:rPr>
          <w:rFonts w:ascii="Calibri Light" w:hAnsi="Calibri Light" w:cs="Calibri Light"/>
          <w:sz w:val="22"/>
          <w:szCs w:val="22"/>
        </w:rPr>
        <w:t xml:space="preserve"> for instance, the participant’s personality (shy or extroverted, for instance) and/or the way he/she expressed their gender identity. </w:t>
      </w:r>
      <w:r w:rsidR="00A712C4" w:rsidRPr="00D936B3">
        <w:rPr>
          <w:rFonts w:ascii="Calibri Light" w:hAnsi="Calibri Light" w:cs="Calibri Light"/>
          <w:sz w:val="22"/>
          <w:szCs w:val="22"/>
        </w:rPr>
        <w:t xml:space="preserve">Furthermore, </w:t>
      </w:r>
      <w:r w:rsidR="00FE26D4">
        <w:rPr>
          <w:rFonts w:ascii="Calibri Light" w:hAnsi="Calibri Light" w:cs="Calibri Light"/>
          <w:sz w:val="22"/>
          <w:szCs w:val="22"/>
        </w:rPr>
        <w:t xml:space="preserve">the </w:t>
      </w:r>
      <w:r w:rsidR="00A712C4" w:rsidRPr="00D936B3">
        <w:rPr>
          <w:rFonts w:ascii="Calibri Light" w:hAnsi="Calibri Light" w:cs="Calibri Light"/>
          <w:sz w:val="22"/>
          <w:szCs w:val="22"/>
        </w:rPr>
        <w:t xml:space="preserve">gendered nature of the school space including uniforms, bathrooms, </w:t>
      </w:r>
      <w:r w:rsidR="00FE26D4">
        <w:rPr>
          <w:rFonts w:ascii="Calibri Light" w:hAnsi="Calibri Light" w:cs="Calibri Light"/>
          <w:sz w:val="22"/>
          <w:szCs w:val="22"/>
        </w:rPr>
        <w:t xml:space="preserve">and </w:t>
      </w:r>
      <w:r w:rsidR="00A712C4" w:rsidRPr="00D936B3">
        <w:rPr>
          <w:rFonts w:ascii="Calibri Light" w:hAnsi="Calibri Light" w:cs="Calibri Light"/>
          <w:sz w:val="22"/>
          <w:szCs w:val="22"/>
        </w:rPr>
        <w:t>not being able to participate in sports due to their gender identity and/or expression continues to put trans and gender variant minors in a space where they are continually violated</w:t>
      </w:r>
      <w:r w:rsidR="00D936B3" w:rsidRPr="00D936B3">
        <w:rPr>
          <w:rFonts w:ascii="Calibri Light" w:hAnsi="Calibri Light" w:cs="Calibri Light"/>
          <w:sz w:val="22"/>
          <w:szCs w:val="22"/>
        </w:rPr>
        <w:t xml:space="preserve">, having to </w:t>
      </w:r>
      <w:r w:rsidR="00FE26D4">
        <w:rPr>
          <w:rFonts w:ascii="Calibri Light" w:hAnsi="Calibri Light" w:cs="Calibri Light"/>
          <w:sz w:val="22"/>
          <w:szCs w:val="22"/>
        </w:rPr>
        <w:t>keep</w:t>
      </w:r>
      <w:r w:rsidR="00D936B3" w:rsidRPr="00D936B3">
        <w:rPr>
          <w:rFonts w:ascii="Calibri Light" w:hAnsi="Calibri Light" w:cs="Calibri Light"/>
          <w:sz w:val="22"/>
          <w:szCs w:val="22"/>
        </w:rPr>
        <w:t xml:space="preserve"> explain</w:t>
      </w:r>
      <w:r w:rsidR="00FE26D4">
        <w:rPr>
          <w:rFonts w:ascii="Calibri Light" w:hAnsi="Calibri Light" w:cs="Calibri Light"/>
          <w:sz w:val="22"/>
          <w:szCs w:val="22"/>
        </w:rPr>
        <w:t>ing</w:t>
      </w:r>
      <w:r w:rsidR="00D936B3" w:rsidRPr="00D936B3">
        <w:rPr>
          <w:rFonts w:ascii="Calibri Light" w:hAnsi="Calibri Light" w:cs="Calibri Light"/>
          <w:sz w:val="22"/>
          <w:szCs w:val="22"/>
        </w:rPr>
        <w:t xml:space="preserve"> themselves of defend their right to be in a space. </w:t>
      </w:r>
      <w:r w:rsidR="00D936B3">
        <w:rPr>
          <w:rFonts w:ascii="Calibri Light" w:hAnsi="Calibri Light" w:cs="Calibri Light"/>
          <w:sz w:val="22"/>
          <w:szCs w:val="22"/>
        </w:rPr>
        <w:t xml:space="preserve">As such continually having their sense of autonomy </w:t>
      </w:r>
      <w:r w:rsidR="00FE26D4">
        <w:rPr>
          <w:rFonts w:ascii="Calibri Light" w:hAnsi="Calibri Light" w:cs="Calibri Light"/>
          <w:sz w:val="22"/>
          <w:szCs w:val="22"/>
        </w:rPr>
        <w:t>constantly</w:t>
      </w:r>
      <w:r w:rsidR="00D936B3">
        <w:rPr>
          <w:rFonts w:ascii="Calibri Light" w:hAnsi="Calibri Light" w:cs="Calibri Light"/>
          <w:sz w:val="22"/>
          <w:szCs w:val="22"/>
        </w:rPr>
        <w:t xml:space="preserve"> questioned with their privacy being violated by being put in a space where have to </w:t>
      </w:r>
      <w:r w:rsidR="00FE26D4">
        <w:rPr>
          <w:rFonts w:ascii="Calibri Light" w:hAnsi="Calibri Light" w:cs="Calibri Light"/>
          <w:sz w:val="22"/>
          <w:szCs w:val="22"/>
        </w:rPr>
        <w:t>always</w:t>
      </w:r>
      <w:r w:rsidR="00D936B3">
        <w:rPr>
          <w:rFonts w:ascii="Calibri Light" w:hAnsi="Calibri Light" w:cs="Calibri Light"/>
          <w:sz w:val="22"/>
          <w:szCs w:val="22"/>
        </w:rPr>
        <w:t xml:space="preserve"> explain who they are in order to fit in</w:t>
      </w:r>
      <w:r w:rsidR="00FE26D4">
        <w:rPr>
          <w:rFonts w:ascii="Calibri Light" w:hAnsi="Calibri Light" w:cs="Calibri Light"/>
          <w:sz w:val="22"/>
          <w:szCs w:val="22"/>
        </w:rPr>
        <w:t xml:space="preserve"> or be accepted</w:t>
      </w:r>
      <w:r w:rsidR="00D936B3">
        <w:rPr>
          <w:rFonts w:ascii="Calibri Light" w:hAnsi="Calibri Light" w:cs="Calibri Light"/>
          <w:sz w:val="22"/>
          <w:szCs w:val="22"/>
        </w:rPr>
        <w:t>.</w:t>
      </w:r>
    </w:p>
    <w:p w14:paraId="4EDA72E5" w14:textId="77777777" w:rsidR="004E4A03" w:rsidRDefault="004E4A03" w:rsidP="00A44BDC">
      <w:pPr>
        <w:autoSpaceDE w:val="0"/>
        <w:autoSpaceDN w:val="0"/>
        <w:adjustRightInd w:val="0"/>
        <w:jc w:val="both"/>
        <w:rPr>
          <w:rFonts w:ascii="Calibri Light" w:hAnsi="Calibri Light" w:cs="Calibri Light"/>
          <w:b/>
          <w:bCs/>
          <w:sz w:val="24"/>
          <w:szCs w:val="24"/>
        </w:rPr>
      </w:pPr>
    </w:p>
    <w:p w14:paraId="127AC640" w14:textId="2D768812" w:rsidR="00A44BDC" w:rsidRDefault="00A44BDC" w:rsidP="00A44BDC">
      <w:pPr>
        <w:autoSpaceDE w:val="0"/>
        <w:autoSpaceDN w:val="0"/>
        <w:adjustRightInd w:val="0"/>
        <w:jc w:val="both"/>
        <w:rPr>
          <w:rFonts w:ascii="Calibri Light" w:hAnsi="Calibri Light" w:cs="Calibri Light"/>
          <w:b/>
          <w:bCs/>
          <w:sz w:val="24"/>
          <w:szCs w:val="24"/>
        </w:rPr>
      </w:pPr>
      <w:r w:rsidRPr="00A44BDC">
        <w:rPr>
          <w:rFonts w:ascii="Calibri Light" w:hAnsi="Calibri Light" w:cs="Calibri Light"/>
          <w:b/>
          <w:bCs/>
          <w:sz w:val="24"/>
          <w:szCs w:val="24"/>
        </w:rPr>
        <w:t xml:space="preserve">Bodily integrity and autonomy – Access to healthcare </w:t>
      </w:r>
    </w:p>
    <w:p w14:paraId="5AE22AC2" w14:textId="37C8ED75" w:rsidR="00A44BDC" w:rsidRDefault="00A44BDC" w:rsidP="00A44BDC">
      <w:pPr>
        <w:autoSpaceDE w:val="0"/>
        <w:autoSpaceDN w:val="0"/>
        <w:adjustRightInd w:val="0"/>
        <w:jc w:val="both"/>
        <w:rPr>
          <w:rFonts w:ascii="Calibri Light" w:hAnsi="Calibri Light" w:cs="Calibri Light"/>
          <w:b/>
          <w:bCs/>
          <w:sz w:val="24"/>
          <w:szCs w:val="24"/>
        </w:rPr>
      </w:pPr>
    </w:p>
    <w:p w14:paraId="000B2B5C" w14:textId="77777777" w:rsidR="00A3332F" w:rsidRDefault="00A44BDC" w:rsidP="004E4A03">
      <w:pPr>
        <w:pStyle w:val="Default"/>
        <w:spacing w:line="276" w:lineRule="auto"/>
        <w:jc w:val="both"/>
        <w:rPr>
          <w:rFonts w:ascii="Calibri Light" w:hAnsi="Calibri Light" w:cs="Calibri Light"/>
          <w:sz w:val="22"/>
          <w:szCs w:val="22"/>
        </w:rPr>
      </w:pPr>
      <w:r w:rsidRPr="004E4A03">
        <w:rPr>
          <w:rFonts w:ascii="Calibri Light" w:hAnsi="Calibri Light" w:cs="Calibri Light"/>
          <w:sz w:val="22"/>
          <w:szCs w:val="22"/>
        </w:rPr>
        <w:t xml:space="preserve">Beside </w:t>
      </w:r>
      <w:r w:rsidRPr="00A44BDC">
        <w:rPr>
          <w:rFonts w:ascii="Calibri Light" w:hAnsi="Calibri Light" w:cs="Calibri Light"/>
          <w:sz w:val="22"/>
          <w:szCs w:val="22"/>
        </w:rPr>
        <w:t xml:space="preserve">facing </w:t>
      </w:r>
      <w:r w:rsidR="004E4A03" w:rsidRPr="004E4A03">
        <w:rPr>
          <w:rFonts w:ascii="Calibri Light" w:hAnsi="Calibri Light" w:cs="Calibri Light"/>
          <w:sz w:val="22"/>
          <w:szCs w:val="22"/>
        </w:rPr>
        <w:t>s</w:t>
      </w:r>
      <w:r w:rsidRPr="00A44BDC">
        <w:rPr>
          <w:rFonts w:ascii="Calibri Light" w:hAnsi="Calibri Light" w:cs="Calibri Light"/>
          <w:sz w:val="22"/>
          <w:szCs w:val="22"/>
        </w:rPr>
        <w:t>ocio-economic and socio-political barriers to quality health care faced by South Africans generally, transgender persons also have to navigate a healthcare system which is unresponsive to their specific healthcare needs.</w:t>
      </w:r>
      <w:r w:rsidR="004E4A03" w:rsidRPr="004E4A03">
        <w:rPr>
          <w:rFonts w:ascii="Calibri Light" w:hAnsi="Calibri Light" w:cs="Calibri Light"/>
          <w:sz w:val="22"/>
          <w:szCs w:val="22"/>
        </w:rPr>
        <w:t xml:space="preserve"> </w:t>
      </w:r>
      <w:r w:rsidR="004E4A03" w:rsidRPr="00A44BDC">
        <w:rPr>
          <w:rFonts w:ascii="Calibri Light" w:hAnsi="Calibri Light" w:cs="Calibri Light"/>
          <w:sz w:val="22"/>
          <w:szCs w:val="22"/>
        </w:rPr>
        <w:t xml:space="preserve">Apart from general healthcare that is transgender inclusive, many transgender persons also require access to gender affirming healthcare services to enable them to alter their bodies in ways that affirm their gender identities. </w:t>
      </w:r>
      <w:r w:rsidR="004E4A03" w:rsidRPr="004E4A03">
        <w:rPr>
          <w:rFonts w:ascii="Calibri Light" w:hAnsi="Calibri Light" w:cs="Calibri Light"/>
          <w:sz w:val="22"/>
          <w:szCs w:val="22"/>
        </w:rPr>
        <w:t xml:space="preserve"> Furthermore, there is a dearth of transgender-specific healthcare services that provides gender affirming care. </w:t>
      </w:r>
    </w:p>
    <w:p w14:paraId="3B981C4F" w14:textId="77777777" w:rsidR="00A3332F" w:rsidRDefault="00A3332F" w:rsidP="004E4A03">
      <w:pPr>
        <w:pStyle w:val="Default"/>
        <w:spacing w:line="276" w:lineRule="auto"/>
        <w:jc w:val="both"/>
        <w:rPr>
          <w:rFonts w:ascii="Calibri Light" w:hAnsi="Calibri Light" w:cs="Calibri Light"/>
          <w:sz w:val="22"/>
          <w:szCs w:val="22"/>
        </w:rPr>
      </w:pPr>
    </w:p>
    <w:p w14:paraId="6B44B7CE" w14:textId="632226D9" w:rsidR="00A3332F" w:rsidRDefault="004E4A03" w:rsidP="004E4A03">
      <w:pPr>
        <w:pStyle w:val="Default"/>
        <w:spacing w:line="276" w:lineRule="auto"/>
        <w:jc w:val="both"/>
        <w:rPr>
          <w:rFonts w:ascii="Calibri Light" w:hAnsi="Calibri Light" w:cs="Calibri Light"/>
          <w:sz w:val="22"/>
          <w:szCs w:val="22"/>
        </w:rPr>
      </w:pPr>
      <w:r w:rsidRPr="004E4A03">
        <w:rPr>
          <w:rFonts w:ascii="Calibri Light" w:hAnsi="Calibri Light" w:cs="Calibri Light"/>
          <w:sz w:val="22"/>
          <w:szCs w:val="22"/>
        </w:rPr>
        <w:t>Although a handful of hospitals located in urban centres provide some gender affirming procedures, only one hospital in the entire country provides the full range of trans-specific healthcare in accordance with the latest guidelines of the World Professional Association for Transgender Health (WPATH) and actively works together with transgender organisations to provide gender affirming healthcare (Groote Schuur Hospital, Cape Town).</w:t>
      </w:r>
      <w:r w:rsidRPr="004E4A03">
        <w:rPr>
          <w:rStyle w:val="FootnoteReference"/>
          <w:rFonts w:ascii="Calibri Light" w:hAnsi="Calibri Light" w:cs="Calibri Light"/>
          <w:sz w:val="22"/>
          <w:szCs w:val="22"/>
        </w:rPr>
        <w:footnoteReference w:id="12"/>
      </w:r>
      <w:r w:rsidRPr="004E4A03">
        <w:rPr>
          <w:rFonts w:ascii="Calibri Light" w:hAnsi="Calibri Light" w:cs="Calibri Light"/>
          <w:sz w:val="22"/>
          <w:szCs w:val="22"/>
        </w:rPr>
        <w:t xml:space="preserve">  For trans and gender variant minors, access to healthcare is more challenging as it is dependent on their caregiver being able to provide them with the care they need.  </w:t>
      </w:r>
      <w:r w:rsidR="00A3332F">
        <w:rPr>
          <w:rFonts w:ascii="Calibri Light" w:hAnsi="Calibri Light" w:cs="Calibri Light"/>
          <w:sz w:val="22"/>
          <w:szCs w:val="22"/>
        </w:rPr>
        <w:t>Access to public healthcare continues to be a challenge with most accessing gender affirming care by private means, but not all can access these services, further undermining trans and gender diverse minors’ agency, autonomy and ability to self-actualise.</w:t>
      </w:r>
      <w:r w:rsidR="00D936B3">
        <w:rPr>
          <w:rFonts w:ascii="Calibri Light" w:hAnsi="Calibri Light" w:cs="Calibri Light"/>
          <w:sz w:val="22"/>
          <w:szCs w:val="22"/>
        </w:rPr>
        <w:t xml:space="preserve"> </w:t>
      </w:r>
    </w:p>
    <w:p w14:paraId="79CB0784" w14:textId="77777777" w:rsidR="00A3332F" w:rsidRDefault="00A3332F" w:rsidP="004E4A03">
      <w:pPr>
        <w:pStyle w:val="Default"/>
        <w:spacing w:line="276" w:lineRule="auto"/>
        <w:jc w:val="both"/>
        <w:rPr>
          <w:rFonts w:ascii="Calibri Light" w:hAnsi="Calibri Light" w:cs="Calibri Light"/>
          <w:sz w:val="22"/>
          <w:szCs w:val="22"/>
        </w:rPr>
      </w:pPr>
    </w:p>
    <w:p w14:paraId="47CDA03A" w14:textId="338D5A71" w:rsidR="004E4A03" w:rsidRPr="004E4A03" w:rsidRDefault="00A3332F" w:rsidP="004E4A03">
      <w:pPr>
        <w:pStyle w:val="Default"/>
        <w:spacing w:line="276" w:lineRule="auto"/>
        <w:jc w:val="both"/>
        <w:rPr>
          <w:rFonts w:ascii="Calibri Light" w:hAnsi="Calibri Light" w:cs="Calibri Light"/>
          <w:sz w:val="22"/>
          <w:szCs w:val="22"/>
        </w:rPr>
      </w:pPr>
      <w:r>
        <w:rPr>
          <w:rFonts w:ascii="Calibri Light" w:hAnsi="Calibri Light" w:cs="Calibri Light"/>
          <w:sz w:val="22"/>
          <w:szCs w:val="22"/>
        </w:rPr>
        <w:t xml:space="preserve">The main challenge for trans and gender variant minors is the lack of legal gender recognition that impedes their access to healthcare, quality education and other aspects that work together to make up a whole individual capable of contributing to society.  </w:t>
      </w:r>
    </w:p>
    <w:p w14:paraId="242179CB" w14:textId="3688A404" w:rsidR="004E4A03" w:rsidRPr="00A44BDC" w:rsidRDefault="004E4A03" w:rsidP="004E4A03">
      <w:pPr>
        <w:autoSpaceDE w:val="0"/>
        <w:autoSpaceDN w:val="0"/>
        <w:adjustRightInd w:val="0"/>
        <w:spacing w:line="240" w:lineRule="auto"/>
        <w:rPr>
          <w:rFonts w:ascii="Cambria" w:eastAsiaTheme="minorHAnsi" w:hAnsi="Cambria" w:cs="Cambria"/>
          <w:color w:val="000000"/>
          <w:lang w:val="en-ZA" w:eastAsia="en-US"/>
        </w:rPr>
      </w:pPr>
    </w:p>
    <w:p w14:paraId="324A677D" w14:textId="334A27C7" w:rsidR="00A44BDC" w:rsidRPr="00A44BDC" w:rsidRDefault="00A44BDC" w:rsidP="00A44BDC">
      <w:pPr>
        <w:autoSpaceDE w:val="0"/>
        <w:autoSpaceDN w:val="0"/>
        <w:adjustRightInd w:val="0"/>
        <w:jc w:val="both"/>
        <w:rPr>
          <w:rFonts w:ascii="Calibri Light" w:hAnsi="Calibri Light" w:cs="Calibri Light"/>
        </w:rPr>
      </w:pPr>
    </w:p>
    <w:p w14:paraId="4DAC98ED" w14:textId="2B5AD94C" w:rsidR="00A44BDC" w:rsidRDefault="00A44BDC" w:rsidP="00A44BDC">
      <w:pPr>
        <w:autoSpaceDE w:val="0"/>
        <w:autoSpaceDN w:val="0"/>
        <w:adjustRightInd w:val="0"/>
        <w:spacing w:line="240" w:lineRule="auto"/>
        <w:rPr>
          <w:rFonts w:ascii="Cambria" w:eastAsiaTheme="minorHAnsi" w:hAnsi="Cambria" w:cs="Cambria"/>
          <w:color w:val="000000"/>
          <w:sz w:val="24"/>
          <w:szCs w:val="24"/>
          <w:lang w:val="en-ZA" w:eastAsia="en-US"/>
        </w:rPr>
      </w:pPr>
    </w:p>
    <w:p w14:paraId="574EF1B4" w14:textId="0A9B6FF8" w:rsidR="000F3AB7" w:rsidRDefault="000F3AB7" w:rsidP="00A44BDC">
      <w:pPr>
        <w:autoSpaceDE w:val="0"/>
        <w:autoSpaceDN w:val="0"/>
        <w:adjustRightInd w:val="0"/>
        <w:spacing w:line="240" w:lineRule="auto"/>
        <w:rPr>
          <w:rFonts w:ascii="Cambria" w:eastAsiaTheme="minorHAnsi" w:hAnsi="Cambria" w:cs="Cambria"/>
          <w:color w:val="000000"/>
          <w:sz w:val="24"/>
          <w:szCs w:val="24"/>
          <w:lang w:val="en-ZA" w:eastAsia="en-US"/>
        </w:rPr>
      </w:pPr>
    </w:p>
    <w:p w14:paraId="08232DF3" w14:textId="48A6873D" w:rsidR="000F3AB7" w:rsidRDefault="000F3AB7" w:rsidP="00A44BDC">
      <w:pPr>
        <w:autoSpaceDE w:val="0"/>
        <w:autoSpaceDN w:val="0"/>
        <w:adjustRightInd w:val="0"/>
        <w:spacing w:line="240" w:lineRule="auto"/>
        <w:rPr>
          <w:rFonts w:ascii="Cambria" w:eastAsiaTheme="minorHAnsi" w:hAnsi="Cambria" w:cs="Cambria"/>
          <w:color w:val="000000"/>
          <w:sz w:val="24"/>
          <w:szCs w:val="24"/>
          <w:lang w:val="en-ZA" w:eastAsia="en-US"/>
        </w:rPr>
      </w:pPr>
    </w:p>
    <w:p w14:paraId="379EFF56" w14:textId="69B6475A" w:rsidR="000F3AB7" w:rsidRDefault="000F3AB7" w:rsidP="00A44BDC">
      <w:pPr>
        <w:autoSpaceDE w:val="0"/>
        <w:autoSpaceDN w:val="0"/>
        <w:adjustRightInd w:val="0"/>
        <w:spacing w:line="240" w:lineRule="auto"/>
        <w:rPr>
          <w:rFonts w:ascii="Cambria" w:eastAsiaTheme="minorHAnsi" w:hAnsi="Cambria" w:cs="Cambria"/>
          <w:color w:val="000000"/>
          <w:sz w:val="24"/>
          <w:szCs w:val="24"/>
          <w:lang w:val="en-ZA" w:eastAsia="en-US"/>
        </w:rPr>
      </w:pPr>
    </w:p>
    <w:p w14:paraId="10DC41FB" w14:textId="6CDBFE71" w:rsidR="000F3AB7" w:rsidRDefault="000F3AB7" w:rsidP="00A44BDC">
      <w:pPr>
        <w:autoSpaceDE w:val="0"/>
        <w:autoSpaceDN w:val="0"/>
        <w:adjustRightInd w:val="0"/>
        <w:spacing w:line="240" w:lineRule="auto"/>
        <w:rPr>
          <w:rFonts w:ascii="Cambria" w:eastAsiaTheme="minorHAnsi" w:hAnsi="Cambria" w:cs="Cambria"/>
          <w:color w:val="000000"/>
          <w:sz w:val="24"/>
          <w:szCs w:val="24"/>
          <w:lang w:val="en-ZA" w:eastAsia="en-US"/>
        </w:rPr>
      </w:pPr>
    </w:p>
    <w:p w14:paraId="4EBD2119" w14:textId="48AB9339" w:rsidR="000F3AB7" w:rsidRDefault="000F3AB7" w:rsidP="00A44BDC">
      <w:pPr>
        <w:autoSpaceDE w:val="0"/>
        <w:autoSpaceDN w:val="0"/>
        <w:adjustRightInd w:val="0"/>
        <w:spacing w:line="240" w:lineRule="auto"/>
        <w:rPr>
          <w:rFonts w:ascii="Cambria" w:eastAsiaTheme="minorHAnsi" w:hAnsi="Cambria" w:cs="Cambria"/>
          <w:color w:val="000000"/>
          <w:sz w:val="24"/>
          <w:szCs w:val="24"/>
          <w:lang w:val="en-ZA" w:eastAsia="en-US"/>
        </w:rPr>
      </w:pPr>
    </w:p>
    <w:p w14:paraId="793BD50F" w14:textId="07699B1C" w:rsidR="000F3AB7" w:rsidRDefault="000F3AB7" w:rsidP="00A44BDC">
      <w:pPr>
        <w:autoSpaceDE w:val="0"/>
        <w:autoSpaceDN w:val="0"/>
        <w:adjustRightInd w:val="0"/>
        <w:spacing w:line="240" w:lineRule="auto"/>
        <w:rPr>
          <w:rFonts w:ascii="Cambria" w:eastAsiaTheme="minorHAnsi" w:hAnsi="Cambria" w:cs="Cambria"/>
          <w:color w:val="000000"/>
          <w:sz w:val="24"/>
          <w:szCs w:val="24"/>
          <w:lang w:val="en-ZA" w:eastAsia="en-US"/>
        </w:rPr>
      </w:pPr>
    </w:p>
    <w:p w14:paraId="797041FB" w14:textId="62A03EF4" w:rsidR="000F3AB7" w:rsidRDefault="000F3AB7" w:rsidP="00A44BDC">
      <w:pPr>
        <w:autoSpaceDE w:val="0"/>
        <w:autoSpaceDN w:val="0"/>
        <w:adjustRightInd w:val="0"/>
        <w:spacing w:line="240" w:lineRule="auto"/>
        <w:rPr>
          <w:rFonts w:ascii="Cambria" w:eastAsiaTheme="minorHAnsi" w:hAnsi="Cambria" w:cs="Cambria"/>
          <w:color w:val="000000"/>
          <w:sz w:val="24"/>
          <w:szCs w:val="24"/>
          <w:lang w:val="en-ZA" w:eastAsia="en-US"/>
        </w:rPr>
      </w:pPr>
    </w:p>
    <w:p w14:paraId="389C11C0" w14:textId="5661B6EF" w:rsidR="000F3AB7" w:rsidRDefault="000F3AB7" w:rsidP="00A44BDC">
      <w:pPr>
        <w:autoSpaceDE w:val="0"/>
        <w:autoSpaceDN w:val="0"/>
        <w:adjustRightInd w:val="0"/>
        <w:spacing w:line="240" w:lineRule="auto"/>
        <w:rPr>
          <w:rFonts w:ascii="Cambria" w:eastAsiaTheme="minorHAnsi" w:hAnsi="Cambria" w:cs="Cambria"/>
          <w:color w:val="000000"/>
          <w:sz w:val="24"/>
          <w:szCs w:val="24"/>
          <w:lang w:val="en-ZA" w:eastAsia="en-US"/>
        </w:rPr>
      </w:pPr>
    </w:p>
    <w:p w14:paraId="7DB3D3E6" w14:textId="76D52007" w:rsidR="000F3AB7" w:rsidRDefault="000F3AB7" w:rsidP="00A44BDC">
      <w:pPr>
        <w:autoSpaceDE w:val="0"/>
        <w:autoSpaceDN w:val="0"/>
        <w:adjustRightInd w:val="0"/>
        <w:spacing w:line="240" w:lineRule="auto"/>
        <w:rPr>
          <w:rFonts w:ascii="Cambria" w:eastAsiaTheme="minorHAnsi" w:hAnsi="Cambria" w:cs="Cambria"/>
          <w:color w:val="000000"/>
          <w:sz w:val="24"/>
          <w:szCs w:val="24"/>
          <w:lang w:val="en-ZA" w:eastAsia="en-US"/>
        </w:rPr>
      </w:pPr>
    </w:p>
    <w:p w14:paraId="693AA7F3" w14:textId="0A49F56A" w:rsidR="000F3AB7" w:rsidRDefault="000F3AB7" w:rsidP="00A44BDC">
      <w:pPr>
        <w:autoSpaceDE w:val="0"/>
        <w:autoSpaceDN w:val="0"/>
        <w:adjustRightInd w:val="0"/>
        <w:spacing w:line="240" w:lineRule="auto"/>
        <w:rPr>
          <w:rFonts w:ascii="Cambria" w:eastAsiaTheme="minorHAnsi" w:hAnsi="Cambria" w:cs="Cambria"/>
          <w:color w:val="000000"/>
          <w:sz w:val="24"/>
          <w:szCs w:val="24"/>
          <w:lang w:val="en-ZA" w:eastAsia="en-US"/>
        </w:rPr>
      </w:pPr>
    </w:p>
    <w:p w14:paraId="525898B5" w14:textId="2BE7303F" w:rsidR="000F3AB7" w:rsidRDefault="000F3AB7" w:rsidP="00A44BDC">
      <w:pPr>
        <w:autoSpaceDE w:val="0"/>
        <w:autoSpaceDN w:val="0"/>
        <w:adjustRightInd w:val="0"/>
        <w:spacing w:line="240" w:lineRule="auto"/>
        <w:rPr>
          <w:rFonts w:ascii="Cambria" w:eastAsiaTheme="minorHAnsi" w:hAnsi="Cambria" w:cs="Cambria"/>
          <w:color w:val="000000"/>
          <w:sz w:val="24"/>
          <w:szCs w:val="24"/>
          <w:lang w:val="en-ZA" w:eastAsia="en-US"/>
        </w:rPr>
      </w:pPr>
    </w:p>
    <w:p w14:paraId="5F32A838" w14:textId="356C4330" w:rsidR="000F3AB7" w:rsidRDefault="000F3AB7" w:rsidP="00A44BDC">
      <w:pPr>
        <w:autoSpaceDE w:val="0"/>
        <w:autoSpaceDN w:val="0"/>
        <w:adjustRightInd w:val="0"/>
        <w:spacing w:line="240" w:lineRule="auto"/>
        <w:rPr>
          <w:rFonts w:ascii="Cambria" w:eastAsiaTheme="minorHAnsi" w:hAnsi="Cambria" w:cs="Cambria"/>
          <w:color w:val="000000"/>
          <w:sz w:val="24"/>
          <w:szCs w:val="24"/>
          <w:lang w:val="en-ZA" w:eastAsia="en-US"/>
        </w:rPr>
      </w:pPr>
    </w:p>
    <w:p w14:paraId="155A4FEC" w14:textId="44B8CF26" w:rsidR="000F3AB7" w:rsidRDefault="000F3AB7" w:rsidP="00A44BDC">
      <w:pPr>
        <w:autoSpaceDE w:val="0"/>
        <w:autoSpaceDN w:val="0"/>
        <w:adjustRightInd w:val="0"/>
        <w:spacing w:line="240" w:lineRule="auto"/>
        <w:rPr>
          <w:rFonts w:ascii="Cambria" w:eastAsiaTheme="minorHAnsi" w:hAnsi="Cambria" w:cs="Cambria"/>
          <w:color w:val="000000"/>
          <w:sz w:val="24"/>
          <w:szCs w:val="24"/>
          <w:lang w:val="en-ZA" w:eastAsia="en-US"/>
        </w:rPr>
      </w:pPr>
    </w:p>
    <w:p w14:paraId="00EFCA69" w14:textId="0A34DD50" w:rsidR="000F3AB7" w:rsidRDefault="000F3AB7" w:rsidP="00A44BDC">
      <w:pPr>
        <w:autoSpaceDE w:val="0"/>
        <w:autoSpaceDN w:val="0"/>
        <w:adjustRightInd w:val="0"/>
        <w:spacing w:line="240" w:lineRule="auto"/>
        <w:rPr>
          <w:rFonts w:ascii="Cambria" w:eastAsiaTheme="minorHAnsi" w:hAnsi="Cambria" w:cs="Cambria"/>
          <w:color w:val="000000"/>
          <w:sz w:val="24"/>
          <w:szCs w:val="24"/>
          <w:lang w:val="en-ZA" w:eastAsia="en-US"/>
        </w:rPr>
      </w:pPr>
    </w:p>
    <w:p w14:paraId="291AFE43" w14:textId="0B99182A" w:rsidR="000F3AB7" w:rsidRDefault="000F3AB7" w:rsidP="00A44BDC">
      <w:pPr>
        <w:autoSpaceDE w:val="0"/>
        <w:autoSpaceDN w:val="0"/>
        <w:adjustRightInd w:val="0"/>
        <w:spacing w:line="240" w:lineRule="auto"/>
        <w:rPr>
          <w:rFonts w:ascii="Cambria" w:eastAsiaTheme="minorHAnsi" w:hAnsi="Cambria" w:cs="Cambria"/>
          <w:color w:val="000000"/>
          <w:sz w:val="24"/>
          <w:szCs w:val="24"/>
          <w:lang w:val="en-ZA" w:eastAsia="en-US"/>
        </w:rPr>
      </w:pPr>
    </w:p>
    <w:p w14:paraId="0B40A77D" w14:textId="4A662649" w:rsidR="000F3AB7" w:rsidRDefault="000F3AB7" w:rsidP="00A44BDC">
      <w:pPr>
        <w:autoSpaceDE w:val="0"/>
        <w:autoSpaceDN w:val="0"/>
        <w:adjustRightInd w:val="0"/>
        <w:spacing w:line="240" w:lineRule="auto"/>
        <w:rPr>
          <w:rFonts w:ascii="Cambria" w:eastAsiaTheme="minorHAnsi" w:hAnsi="Cambria" w:cs="Cambria"/>
          <w:color w:val="000000"/>
          <w:sz w:val="24"/>
          <w:szCs w:val="24"/>
          <w:lang w:val="en-ZA" w:eastAsia="en-US"/>
        </w:rPr>
      </w:pPr>
    </w:p>
    <w:p w14:paraId="4BD7A5BC" w14:textId="77777777" w:rsidR="000F3AB7" w:rsidRPr="00A44BDC" w:rsidRDefault="000F3AB7" w:rsidP="00A44BDC">
      <w:pPr>
        <w:autoSpaceDE w:val="0"/>
        <w:autoSpaceDN w:val="0"/>
        <w:adjustRightInd w:val="0"/>
        <w:spacing w:line="240" w:lineRule="auto"/>
        <w:rPr>
          <w:rFonts w:ascii="Cambria" w:eastAsiaTheme="minorHAnsi" w:hAnsi="Cambria" w:cs="Cambria"/>
          <w:color w:val="000000"/>
          <w:sz w:val="24"/>
          <w:szCs w:val="24"/>
          <w:lang w:val="en-ZA" w:eastAsia="en-US"/>
        </w:rPr>
      </w:pPr>
    </w:p>
    <w:sectPr w:rsidR="000F3AB7" w:rsidRPr="00A44BDC">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B27F34" w14:textId="77777777" w:rsidR="002206A3" w:rsidRDefault="002206A3" w:rsidP="0023104C">
      <w:pPr>
        <w:spacing w:line="240" w:lineRule="auto"/>
      </w:pPr>
      <w:r>
        <w:separator/>
      </w:r>
    </w:p>
  </w:endnote>
  <w:endnote w:type="continuationSeparator" w:id="0">
    <w:p w14:paraId="7B97F82F" w14:textId="77777777" w:rsidR="002206A3" w:rsidRDefault="002206A3" w:rsidP="002310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33383399"/>
      <w:docPartObj>
        <w:docPartGallery w:val="Page Numbers (Bottom of Page)"/>
        <w:docPartUnique/>
      </w:docPartObj>
    </w:sdtPr>
    <w:sdtEndPr>
      <w:rPr>
        <w:noProof/>
      </w:rPr>
    </w:sdtEndPr>
    <w:sdtContent>
      <w:p w14:paraId="43AFCF46" w14:textId="4B020E9E" w:rsidR="004C28AE" w:rsidRDefault="004C28A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A747F00" w14:textId="77777777" w:rsidR="004C28AE" w:rsidRDefault="004C28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66EC8A" w14:textId="77777777" w:rsidR="002206A3" w:rsidRDefault="002206A3" w:rsidP="0023104C">
      <w:pPr>
        <w:spacing w:line="240" w:lineRule="auto"/>
      </w:pPr>
      <w:r>
        <w:separator/>
      </w:r>
    </w:p>
  </w:footnote>
  <w:footnote w:type="continuationSeparator" w:id="0">
    <w:p w14:paraId="5BA8DFC8" w14:textId="77777777" w:rsidR="002206A3" w:rsidRDefault="002206A3" w:rsidP="0023104C">
      <w:pPr>
        <w:spacing w:line="240" w:lineRule="auto"/>
      </w:pPr>
      <w:r>
        <w:continuationSeparator/>
      </w:r>
    </w:p>
  </w:footnote>
  <w:footnote w:id="1">
    <w:p w14:paraId="4602CB90" w14:textId="77777777" w:rsidR="00210D0D" w:rsidRPr="00D20FE8" w:rsidRDefault="00210D0D" w:rsidP="00210D0D">
      <w:pPr>
        <w:spacing w:line="240" w:lineRule="auto"/>
        <w:jc w:val="both"/>
        <w:rPr>
          <w:rFonts w:ascii="Calibri Light" w:eastAsia="Calibri" w:hAnsi="Calibri Light" w:cs="Calibri Light"/>
          <w:sz w:val="20"/>
          <w:szCs w:val="20"/>
        </w:rPr>
      </w:pPr>
      <w:r>
        <w:rPr>
          <w:rStyle w:val="FootnoteReference"/>
        </w:rPr>
        <w:footnoteRef/>
      </w:r>
      <w:r>
        <w:t xml:space="preserve"> </w:t>
      </w:r>
      <w:r w:rsidRPr="00D20FE8">
        <w:rPr>
          <w:rFonts w:ascii="Calibri Light" w:hAnsi="Calibri Light" w:cs="Calibri Light"/>
          <w:sz w:val="20"/>
          <w:szCs w:val="20"/>
        </w:rPr>
        <w:t xml:space="preserve">Sanger, N. (2014). </w:t>
      </w:r>
      <w:r w:rsidRPr="00D20FE8">
        <w:rPr>
          <w:rFonts w:ascii="Calibri Light" w:hAnsi="Calibri Light" w:cs="Calibri Light"/>
          <w:i/>
          <w:iCs/>
          <w:sz w:val="20"/>
          <w:szCs w:val="20"/>
        </w:rPr>
        <w:t>Young and Transgender: Understanding the Experiences of Young Transgender Persons in Educational Institutions and the Health Sector in South Africa</w:t>
      </w:r>
      <w:r w:rsidRPr="00D20FE8">
        <w:rPr>
          <w:rFonts w:ascii="Calibri Light" w:hAnsi="Calibri Light" w:cs="Calibri Light"/>
          <w:sz w:val="20"/>
          <w:szCs w:val="20"/>
        </w:rPr>
        <w:t xml:space="preserve">. Available at </w:t>
      </w:r>
      <w:hyperlink r:id="rId1" w:history="1">
        <w:r w:rsidRPr="00D20FE8">
          <w:rPr>
            <w:rStyle w:val="Hyperlink"/>
            <w:rFonts w:ascii="Calibri Light" w:hAnsi="Calibri Light" w:cs="Calibri Light"/>
            <w:sz w:val="20"/>
            <w:szCs w:val="20"/>
          </w:rPr>
          <w:t>https://drive.google.com/file/d/1pbnau_x1y6_tZcIxGzKInfhrvuYt81vJ/view</w:t>
        </w:r>
      </w:hyperlink>
      <w:r w:rsidRPr="00D20FE8">
        <w:rPr>
          <w:rFonts w:ascii="Calibri Light" w:hAnsi="Calibri Light" w:cs="Calibri Light"/>
          <w:sz w:val="20"/>
          <w:szCs w:val="20"/>
        </w:rPr>
        <w:t>. (Accessed 01 July 2020)</w:t>
      </w:r>
    </w:p>
    <w:p w14:paraId="646C70EE" w14:textId="74483E88" w:rsidR="00210D0D" w:rsidRPr="00D20FE8" w:rsidRDefault="00210D0D" w:rsidP="00210D0D">
      <w:pPr>
        <w:pStyle w:val="FootnoteText"/>
        <w:rPr>
          <w:rFonts w:ascii="Calibri Light" w:hAnsi="Calibri Light" w:cs="Calibri Light"/>
          <w:lang w:val="en-US"/>
        </w:rPr>
      </w:pPr>
    </w:p>
  </w:footnote>
  <w:footnote w:id="2">
    <w:p w14:paraId="4570E3DD" w14:textId="77777777" w:rsidR="00E900A0" w:rsidRPr="00D20FE8" w:rsidRDefault="00E900A0" w:rsidP="00E900A0">
      <w:pPr>
        <w:pStyle w:val="FootnoteText"/>
        <w:rPr>
          <w:rFonts w:ascii="Calibri Light" w:hAnsi="Calibri Light" w:cs="Calibri Light"/>
          <w:lang w:val="en-US"/>
        </w:rPr>
      </w:pPr>
      <w:r w:rsidRPr="00D20FE8">
        <w:rPr>
          <w:rStyle w:val="FootnoteReference"/>
          <w:rFonts w:ascii="Calibri Light" w:hAnsi="Calibri Light" w:cs="Calibri Light"/>
        </w:rPr>
        <w:footnoteRef/>
      </w:r>
      <w:r w:rsidRPr="00D20FE8">
        <w:rPr>
          <w:rFonts w:ascii="Calibri Light" w:hAnsi="Calibri Light" w:cs="Calibri Light"/>
        </w:rPr>
        <w:t xml:space="preserve"> </w:t>
      </w:r>
      <w:r w:rsidRPr="00D20FE8">
        <w:rPr>
          <w:rFonts w:ascii="Calibri Light" w:hAnsi="Calibri Light" w:cs="Calibri Light"/>
          <w:color w:val="333333"/>
          <w:shd w:val="clear" w:color="auto" w:fill="FFFFFF"/>
        </w:rPr>
        <w:t>National Population Register of South Africa (NPR) is a government document that contains the personal information of individuals</w:t>
      </w:r>
    </w:p>
  </w:footnote>
  <w:footnote w:id="3">
    <w:p w14:paraId="16E26084" w14:textId="77777777" w:rsidR="00E900A0" w:rsidRPr="00D20FE8" w:rsidRDefault="00E900A0" w:rsidP="00E900A0">
      <w:pPr>
        <w:pStyle w:val="FootnoteText"/>
        <w:rPr>
          <w:rFonts w:ascii="Calibri Light" w:hAnsi="Calibri Light" w:cs="Calibri Light"/>
          <w:lang w:val="en-US"/>
        </w:rPr>
      </w:pPr>
      <w:r>
        <w:rPr>
          <w:rStyle w:val="FootnoteReference"/>
        </w:rPr>
        <w:footnoteRef/>
      </w:r>
      <w:r>
        <w:t xml:space="preserve"> </w:t>
      </w:r>
      <w:hyperlink r:id="rId2" w:history="1">
        <w:r w:rsidRPr="00D20FE8">
          <w:rPr>
            <w:rStyle w:val="Hyperlink"/>
            <w:rFonts w:ascii="Calibri Light" w:hAnsi="Calibri Light" w:cs="Calibri Light"/>
          </w:rPr>
          <w:t>https://www.gov.za/sipes/default/files/gcis_document/201409/a49-03.pdf</w:t>
        </w:r>
      </w:hyperlink>
      <w:r w:rsidRPr="00D20FE8">
        <w:rPr>
          <w:rFonts w:ascii="Calibri Light" w:hAnsi="Calibri Light" w:cs="Calibri Light"/>
        </w:rPr>
        <w:t xml:space="preserve"> </w:t>
      </w:r>
    </w:p>
  </w:footnote>
  <w:footnote w:id="4">
    <w:p w14:paraId="24A369A6" w14:textId="15CB8482" w:rsidR="00763A0E" w:rsidRPr="00D20FE8" w:rsidRDefault="00763A0E" w:rsidP="00763A0E">
      <w:pPr>
        <w:spacing w:after="120" w:line="240" w:lineRule="auto"/>
        <w:jc w:val="both"/>
        <w:rPr>
          <w:rFonts w:ascii="Calibri Light" w:eastAsia="Calibri" w:hAnsi="Calibri Light" w:cs="Calibri Light"/>
          <w:sz w:val="20"/>
          <w:szCs w:val="20"/>
        </w:rPr>
      </w:pPr>
      <w:r w:rsidRPr="00D20FE8">
        <w:rPr>
          <w:rStyle w:val="FootnoteReference"/>
          <w:rFonts w:ascii="Calibri Light" w:hAnsi="Calibri Light" w:cs="Calibri Light"/>
          <w:sz w:val="20"/>
          <w:szCs w:val="20"/>
        </w:rPr>
        <w:footnoteRef/>
      </w:r>
      <w:r w:rsidRPr="00D20FE8">
        <w:rPr>
          <w:rFonts w:ascii="Calibri Light" w:hAnsi="Calibri Light" w:cs="Calibri Light"/>
          <w:sz w:val="20"/>
          <w:szCs w:val="20"/>
        </w:rPr>
        <w:t xml:space="preserve"> </w:t>
      </w:r>
      <w:r w:rsidRPr="00D20FE8">
        <w:rPr>
          <w:rFonts w:ascii="Calibri Light" w:eastAsia="Calibri" w:hAnsi="Calibri Light" w:cs="Calibri Light"/>
          <w:i/>
          <w:sz w:val="20"/>
          <w:szCs w:val="20"/>
        </w:rPr>
        <w:t>Yogyakarta Principles: Principles on the Application of International Human Rights Law in Relation to Sexual Orientation and Gender Identity</w:t>
      </w:r>
      <w:r w:rsidRPr="00D20FE8">
        <w:rPr>
          <w:rFonts w:ascii="Calibri Light" w:eastAsia="Calibri" w:hAnsi="Calibri Light" w:cs="Calibri Light"/>
          <w:sz w:val="20"/>
          <w:szCs w:val="20"/>
        </w:rPr>
        <w:t xml:space="preserve">. 2007. </w:t>
      </w:r>
      <w:hyperlink r:id="rId3" w:history="1">
        <w:r w:rsidRPr="00D20FE8">
          <w:rPr>
            <w:rFonts w:ascii="Calibri Light" w:eastAsia="Calibri" w:hAnsi="Calibri Light" w:cs="Calibri Light"/>
            <w:color w:val="0563C1"/>
            <w:sz w:val="20"/>
            <w:szCs w:val="20"/>
            <w:u w:val="single"/>
          </w:rPr>
          <w:t>http://www.yogyakartaprinciples.org/</w:t>
        </w:r>
      </w:hyperlink>
    </w:p>
  </w:footnote>
  <w:footnote w:id="5">
    <w:p w14:paraId="469ED740" w14:textId="77777777" w:rsidR="00763A0E" w:rsidRPr="00D20FE8" w:rsidRDefault="00763A0E" w:rsidP="00763A0E">
      <w:pPr>
        <w:pStyle w:val="Default"/>
        <w:jc w:val="both"/>
        <w:rPr>
          <w:rFonts w:ascii="Calibri Light" w:eastAsia="Calibri" w:hAnsi="Calibri Light" w:cs="Calibri Light"/>
          <w:sz w:val="20"/>
          <w:szCs w:val="20"/>
        </w:rPr>
      </w:pPr>
      <w:r w:rsidRPr="00D20FE8">
        <w:rPr>
          <w:rStyle w:val="FootnoteReference"/>
          <w:rFonts w:ascii="Calibri Light" w:hAnsi="Calibri Light" w:cs="Calibri Light"/>
          <w:sz w:val="20"/>
          <w:szCs w:val="20"/>
        </w:rPr>
        <w:footnoteRef/>
      </w:r>
      <w:r w:rsidRPr="00D20FE8">
        <w:rPr>
          <w:rFonts w:ascii="Calibri Light" w:hAnsi="Calibri Light" w:cs="Calibri Light"/>
          <w:sz w:val="20"/>
          <w:szCs w:val="20"/>
        </w:rPr>
        <w:t xml:space="preserve"> </w:t>
      </w:r>
      <w:proofErr w:type="spellStart"/>
      <w:r w:rsidRPr="00D20FE8">
        <w:rPr>
          <w:rFonts w:ascii="Calibri Light" w:hAnsi="Calibri Light" w:cs="Calibri Light"/>
          <w:sz w:val="20"/>
          <w:szCs w:val="20"/>
        </w:rPr>
        <w:t>Henzel</w:t>
      </w:r>
      <w:proofErr w:type="spellEnd"/>
      <w:r w:rsidRPr="00D20FE8">
        <w:rPr>
          <w:rFonts w:ascii="Calibri Light" w:hAnsi="Calibri Light" w:cs="Calibri Light"/>
          <w:sz w:val="20"/>
          <w:szCs w:val="20"/>
        </w:rPr>
        <w:t xml:space="preserve">, L. 2016. Back Me Up: Rights of Trans Children under the Convention on the Rights of the Child. </w:t>
      </w:r>
      <w:r w:rsidRPr="00D20FE8">
        <w:rPr>
          <w:rFonts w:ascii="Calibri Light" w:hAnsi="Calibri Light" w:cs="Calibri Light"/>
          <w:i/>
          <w:iCs/>
          <w:sz w:val="20"/>
          <w:szCs w:val="20"/>
        </w:rPr>
        <w:t>Working Paper, Nr 13</w:t>
      </w:r>
      <w:r w:rsidRPr="00D20FE8">
        <w:rPr>
          <w:rFonts w:ascii="Calibri Light" w:hAnsi="Calibri Light" w:cs="Calibri Light"/>
          <w:sz w:val="20"/>
          <w:szCs w:val="20"/>
        </w:rPr>
        <w:t>.  (Accessed 01 July 2020).</w:t>
      </w:r>
    </w:p>
    <w:p w14:paraId="56B47D8D" w14:textId="77777777" w:rsidR="00763A0E" w:rsidRPr="00D20FE8" w:rsidRDefault="00763A0E" w:rsidP="00763A0E">
      <w:pPr>
        <w:pStyle w:val="FootnoteText"/>
        <w:rPr>
          <w:rFonts w:ascii="Calibri Light" w:hAnsi="Calibri Light" w:cs="Calibri Light"/>
          <w:lang w:val="en-US"/>
        </w:rPr>
      </w:pPr>
    </w:p>
  </w:footnote>
  <w:footnote w:id="6">
    <w:p w14:paraId="62CE1A89" w14:textId="77777777" w:rsidR="003938D9" w:rsidRPr="008D55E1" w:rsidRDefault="003938D9" w:rsidP="003938D9">
      <w:pPr>
        <w:spacing w:line="240" w:lineRule="auto"/>
        <w:ind w:left="720" w:hanging="720"/>
        <w:jc w:val="both"/>
        <w:rPr>
          <w:rFonts w:ascii="Calibri Light" w:eastAsia="Calibri" w:hAnsi="Calibri Light" w:cs="Calibri Light"/>
          <w:noProof/>
          <w:sz w:val="20"/>
          <w:szCs w:val="20"/>
        </w:rPr>
      </w:pPr>
      <w:r w:rsidRPr="00D20FE8">
        <w:rPr>
          <w:rStyle w:val="FootnoteReference"/>
          <w:rFonts w:ascii="Calibri Light" w:hAnsi="Calibri Light" w:cs="Calibri Light"/>
          <w:sz w:val="20"/>
          <w:szCs w:val="20"/>
        </w:rPr>
        <w:footnoteRef/>
      </w:r>
      <w:r w:rsidRPr="00D20FE8">
        <w:rPr>
          <w:rFonts w:ascii="Calibri Light" w:hAnsi="Calibri Light" w:cs="Calibri Light"/>
          <w:sz w:val="20"/>
          <w:szCs w:val="20"/>
        </w:rPr>
        <w:t xml:space="preserve"> </w:t>
      </w:r>
      <w:r w:rsidRPr="008D55E1">
        <w:rPr>
          <w:rFonts w:ascii="Calibri Light" w:eastAsia="Calibri" w:hAnsi="Calibri Light" w:cs="Calibri Light"/>
          <w:noProof/>
          <w:sz w:val="20"/>
          <w:szCs w:val="20"/>
        </w:rPr>
        <w:t xml:space="preserve">Deyi, B., Kheswa, S., Theron, L., Mudarikwa, M., May, C., &amp; Rubin, M. 2015, 12 01. </w:t>
      </w:r>
      <w:r w:rsidRPr="008D55E1">
        <w:rPr>
          <w:rFonts w:ascii="Calibri Light" w:eastAsia="Calibri" w:hAnsi="Calibri Light" w:cs="Calibri Light"/>
          <w:i/>
          <w:iCs/>
          <w:noProof/>
          <w:sz w:val="20"/>
          <w:szCs w:val="20"/>
        </w:rPr>
        <w:t>Briefing Paper: Alteration of Sex Description and Sex Status Act, No. 49 of 2003.</w:t>
      </w:r>
      <w:r w:rsidRPr="008D55E1">
        <w:rPr>
          <w:rFonts w:ascii="Calibri Light" w:eastAsia="Calibri" w:hAnsi="Calibri Light" w:cs="Calibri Light"/>
          <w:noProof/>
          <w:sz w:val="20"/>
          <w:szCs w:val="20"/>
        </w:rPr>
        <w:t xml:space="preserve"> Retrieved from Cape Town: Gender Dynamix &amp; Legal Resources Centre.: </w:t>
      </w:r>
      <w:hyperlink r:id="rId4" w:history="1">
        <w:r w:rsidRPr="008D55E1">
          <w:rPr>
            <w:rStyle w:val="Hyperlink"/>
            <w:rFonts w:ascii="Calibri Light" w:eastAsia="Calibri" w:hAnsi="Calibri Light" w:cs="Calibri Light"/>
            <w:noProof/>
            <w:sz w:val="20"/>
            <w:szCs w:val="20"/>
          </w:rPr>
          <w:t>https://drive.google.com/file/d/1xvXcmoa5OZ1gs</w:t>
        </w:r>
      </w:hyperlink>
    </w:p>
    <w:p w14:paraId="4C0DF978" w14:textId="17DCD2B6" w:rsidR="003938D9" w:rsidRPr="008D55E1" w:rsidRDefault="003938D9">
      <w:pPr>
        <w:pStyle w:val="FootnoteText"/>
        <w:rPr>
          <w:rFonts w:ascii="Calibri Light" w:hAnsi="Calibri Light" w:cs="Calibri Light"/>
          <w:lang w:val="en-US"/>
        </w:rPr>
      </w:pPr>
    </w:p>
  </w:footnote>
  <w:footnote w:id="7">
    <w:p w14:paraId="78725249" w14:textId="3DFBB110" w:rsidR="008D55E1" w:rsidRPr="008D55E1" w:rsidRDefault="008D55E1">
      <w:pPr>
        <w:pStyle w:val="FootnoteText"/>
        <w:rPr>
          <w:lang w:val="en-US"/>
        </w:rPr>
      </w:pPr>
      <w:r w:rsidRPr="008D55E1">
        <w:rPr>
          <w:rStyle w:val="FootnoteReference"/>
          <w:rFonts w:ascii="Calibri Light" w:hAnsi="Calibri Light" w:cs="Calibri Light"/>
        </w:rPr>
        <w:footnoteRef/>
      </w:r>
      <w:r w:rsidRPr="008D55E1">
        <w:rPr>
          <w:rFonts w:ascii="Calibri Light" w:hAnsi="Calibri Light" w:cs="Calibri Light"/>
        </w:rPr>
        <w:t xml:space="preserve"> </w:t>
      </w:r>
      <w:r w:rsidRPr="008D55E1">
        <w:rPr>
          <w:rFonts w:ascii="Calibri Light" w:hAnsi="Calibri Light" w:cs="Calibri Light"/>
          <w:lang w:val="en-US"/>
        </w:rPr>
        <w:t>Ibid</w:t>
      </w:r>
      <w:r>
        <w:rPr>
          <w:lang w:val="en-US"/>
        </w:rPr>
        <w:t xml:space="preserve"> </w:t>
      </w:r>
    </w:p>
  </w:footnote>
  <w:footnote w:id="8">
    <w:p w14:paraId="40B7218F" w14:textId="28B476AB" w:rsidR="00E46530" w:rsidRPr="00A44BDC" w:rsidRDefault="00E46530">
      <w:pPr>
        <w:pStyle w:val="FootnoteText"/>
        <w:rPr>
          <w:rFonts w:ascii="Calibri Light" w:hAnsi="Calibri Light" w:cs="Calibri Light"/>
          <w:lang w:val="en-US"/>
        </w:rPr>
      </w:pPr>
      <w:r>
        <w:rPr>
          <w:rStyle w:val="FootnoteReference"/>
        </w:rPr>
        <w:footnoteRef/>
      </w:r>
      <w:r w:rsidRPr="00E46530">
        <w:rPr>
          <w:rFonts w:ascii="Calibri Light" w:hAnsi="Calibri Light" w:cs="Calibri Light"/>
        </w:rPr>
        <w:t xml:space="preserve"> </w:t>
      </w:r>
      <w:r w:rsidRPr="00A44BDC">
        <w:rPr>
          <w:rFonts w:ascii="Calibri Light" w:hAnsi="Calibri Light" w:cs="Calibri Light"/>
          <w:lang w:val="en-US"/>
        </w:rPr>
        <w:t>Ibid</w:t>
      </w:r>
    </w:p>
  </w:footnote>
  <w:footnote w:id="9">
    <w:p w14:paraId="22D6D13B" w14:textId="1134D2A9" w:rsidR="006A609F" w:rsidRPr="00D936B3" w:rsidRDefault="006A609F" w:rsidP="00D936B3">
      <w:pPr>
        <w:spacing w:line="240" w:lineRule="auto"/>
        <w:jc w:val="both"/>
        <w:rPr>
          <w:rFonts w:ascii="Calibri Light" w:eastAsia="Calibri" w:hAnsi="Calibri Light" w:cs="Calibri Light"/>
          <w:sz w:val="20"/>
          <w:szCs w:val="20"/>
        </w:rPr>
      </w:pPr>
      <w:r>
        <w:rPr>
          <w:rStyle w:val="FootnoteReference"/>
        </w:rPr>
        <w:footnoteRef/>
      </w:r>
      <w:r>
        <w:t xml:space="preserve"> </w:t>
      </w:r>
      <w:bookmarkStart w:id="0" w:name="_Hlk52038155"/>
      <w:r w:rsidRPr="00D936B3">
        <w:rPr>
          <w:rFonts w:ascii="Calibri Light" w:hAnsi="Calibri Light" w:cs="Calibri Light"/>
          <w:sz w:val="20"/>
          <w:szCs w:val="20"/>
        </w:rPr>
        <w:t xml:space="preserve">Sanger, N. (2014). </w:t>
      </w:r>
      <w:r w:rsidRPr="00D936B3">
        <w:rPr>
          <w:rFonts w:ascii="Calibri Light" w:hAnsi="Calibri Light" w:cs="Calibri Light"/>
          <w:i/>
          <w:iCs/>
          <w:sz w:val="20"/>
          <w:szCs w:val="20"/>
        </w:rPr>
        <w:t>Young and Transgender: Understanding the Experiences of Young Transgender Persons in Educational Institutions and the Health Sector in South Africa</w:t>
      </w:r>
      <w:r w:rsidRPr="00D936B3">
        <w:rPr>
          <w:rFonts w:ascii="Calibri Light" w:hAnsi="Calibri Light" w:cs="Calibri Light"/>
          <w:sz w:val="20"/>
          <w:szCs w:val="20"/>
        </w:rPr>
        <w:t xml:space="preserve">. Available at </w:t>
      </w:r>
      <w:hyperlink r:id="rId5" w:history="1">
        <w:r w:rsidRPr="00D936B3">
          <w:rPr>
            <w:rStyle w:val="Hyperlink"/>
            <w:rFonts w:ascii="Calibri Light" w:hAnsi="Calibri Light" w:cs="Calibri Light"/>
            <w:sz w:val="20"/>
            <w:szCs w:val="20"/>
          </w:rPr>
          <w:t>https://drive.google.com/file/d/1pbnau_x1y6_tZcIxGzKInfhrvuYt81vJ/view</w:t>
        </w:r>
      </w:hyperlink>
      <w:r w:rsidRPr="00D936B3">
        <w:rPr>
          <w:rFonts w:ascii="Calibri Light" w:hAnsi="Calibri Light" w:cs="Calibri Light"/>
          <w:sz w:val="20"/>
          <w:szCs w:val="20"/>
        </w:rPr>
        <w:t>. (Accessed 01 July 2020)</w:t>
      </w:r>
    </w:p>
    <w:bookmarkEnd w:id="0"/>
    <w:p w14:paraId="2FD50B6D" w14:textId="262583D3" w:rsidR="006A609F" w:rsidRPr="00D936B3" w:rsidRDefault="006A609F" w:rsidP="00D936B3">
      <w:pPr>
        <w:pStyle w:val="FootnoteText"/>
        <w:rPr>
          <w:rFonts w:ascii="Calibri Light" w:hAnsi="Calibri Light" w:cs="Calibri Light"/>
          <w:lang w:val="en-US"/>
        </w:rPr>
      </w:pPr>
    </w:p>
  </w:footnote>
  <w:footnote w:id="10">
    <w:p w14:paraId="097CEEAF" w14:textId="77777777" w:rsidR="0078534D" w:rsidRPr="00D936B3" w:rsidRDefault="0078534D" w:rsidP="00D936B3">
      <w:pPr>
        <w:pStyle w:val="FootnoteText"/>
        <w:jc w:val="both"/>
        <w:rPr>
          <w:rFonts w:ascii="Calibri Light" w:hAnsi="Calibri Light" w:cs="Calibri Light"/>
          <w:lang w:val="en-US"/>
        </w:rPr>
      </w:pPr>
      <w:r w:rsidRPr="00D936B3">
        <w:rPr>
          <w:rStyle w:val="FootnoteReference"/>
          <w:rFonts w:ascii="Calibri Light" w:hAnsi="Calibri Light" w:cs="Calibri Light"/>
        </w:rPr>
        <w:footnoteRef/>
      </w:r>
      <w:r w:rsidRPr="00D936B3">
        <w:rPr>
          <w:rFonts w:ascii="Calibri Light" w:hAnsi="Calibri Light" w:cs="Calibri Light"/>
        </w:rPr>
        <w:t xml:space="preserve"> </w:t>
      </w:r>
      <w:r w:rsidRPr="00D936B3">
        <w:rPr>
          <w:rFonts w:ascii="Calibri Light" w:hAnsi="Calibri Light" w:cs="Calibri Light"/>
          <w:lang w:val="en-US"/>
        </w:rPr>
        <w:t>Township school- these are schools located in the township area</w:t>
      </w:r>
    </w:p>
    <w:p w14:paraId="18DD54AB" w14:textId="77777777" w:rsidR="0078534D" w:rsidRPr="00D936B3" w:rsidRDefault="0078534D" w:rsidP="00D936B3">
      <w:pPr>
        <w:pStyle w:val="FootnoteText"/>
        <w:jc w:val="both"/>
        <w:rPr>
          <w:rFonts w:ascii="Calibri Light" w:hAnsi="Calibri Light" w:cs="Calibri Light"/>
          <w:lang w:val="en-US"/>
        </w:rPr>
      </w:pPr>
    </w:p>
  </w:footnote>
  <w:footnote w:id="11">
    <w:p w14:paraId="7E05D439" w14:textId="209284B2" w:rsidR="0078534D" w:rsidRPr="00D936B3" w:rsidRDefault="0078534D" w:rsidP="00D936B3">
      <w:pPr>
        <w:pStyle w:val="FootnoteText"/>
        <w:jc w:val="both"/>
        <w:rPr>
          <w:rFonts w:ascii="Calibri Light" w:hAnsi="Calibri Light" w:cs="Calibri Light"/>
          <w:shd w:val="clear" w:color="auto" w:fill="FFFFFF"/>
        </w:rPr>
      </w:pPr>
      <w:r w:rsidRPr="00D936B3">
        <w:rPr>
          <w:rStyle w:val="FootnoteReference"/>
          <w:rFonts w:ascii="Calibri Light" w:hAnsi="Calibri Light" w:cs="Calibri Light"/>
        </w:rPr>
        <w:footnoteRef/>
      </w:r>
      <w:r w:rsidRPr="00D936B3">
        <w:rPr>
          <w:rFonts w:ascii="Calibri Light" w:hAnsi="Calibri Light" w:cs="Calibri Light"/>
        </w:rPr>
        <w:t xml:space="preserve"> </w:t>
      </w:r>
      <w:r w:rsidRPr="00D936B3">
        <w:rPr>
          <w:rFonts w:ascii="Calibri Light" w:hAnsi="Calibri Light" w:cs="Calibri Light"/>
          <w:lang w:val="en-US"/>
        </w:rPr>
        <w:t xml:space="preserve">Model C school - </w:t>
      </w:r>
      <w:r w:rsidRPr="00D936B3">
        <w:rPr>
          <w:rFonts w:ascii="Calibri Light" w:hAnsi="Calibri Light" w:cs="Calibri Light"/>
          <w:shd w:val="clear" w:color="auto" w:fill="FFFFFF"/>
        </w:rPr>
        <w:t xml:space="preserve">Model C schools receive government funding, however they are administered and largely funded by the parent body. The term also refers to those schools that were reserved for white pupils under apartheid. The term is not officially used by the Department of Basic </w:t>
      </w:r>
      <w:r w:rsidR="00D936B3" w:rsidRPr="00D936B3">
        <w:rPr>
          <w:rFonts w:ascii="Calibri Light" w:hAnsi="Calibri Light" w:cs="Calibri Light"/>
          <w:shd w:val="clear" w:color="auto" w:fill="FFFFFF"/>
        </w:rPr>
        <w:t>Education but</w:t>
      </w:r>
      <w:r w:rsidRPr="00D936B3">
        <w:rPr>
          <w:rFonts w:ascii="Calibri Light" w:hAnsi="Calibri Light" w:cs="Calibri Light"/>
          <w:shd w:val="clear" w:color="auto" w:fill="FFFFFF"/>
        </w:rPr>
        <w:t xml:space="preserve"> is widely used to refer to former whites-only schools.</w:t>
      </w:r>
    </w:p>
    <w:p w14:paraId="37F16F7B" w14:textId="77777777" w:rsidR="00D936B3" w:rsidRPr="00D936B3" w:rsidRDefault="00D936B3" w:rsidP="00D936B3">
      <w:pPr>
        <w:pStyle w:val="FootnoteText"/>
        <w:jc w:val="both"/>
        <w:rPr>
          <w:rFonts w:ascii="Calibri Light" w:hAnsi="Calibri Light" w:cs="Calibri Light"/>
          <w:lang w:val="en-US"/>
        </w:rPr>
      </w:pPr>
    </w:p>
  </w:footnote>
  <w:footnote w:id="12">
    <w:p w14:paraId="15EB894D" w14:textId="77777777" w:rsidR="004E4A03" w:rsidRPr="00D63F2B" w:rsidRDefault="004E4A03" w:rsidP="004E4A03">
      <w:pPr>
        <w:autoSpaceDE w:val="0"/>
        <w:autoSpaceDN w:val="0"/>
        <w:adjustRightInd w:val="0"/>
        <w:spacing w:line="240" w:lineRule="auto"/>
        <w:jc w:val="both"/>
        <w:rPr>
          <w:rFonts w:ascii="Calibri Light" w:eastAsia="Calibri" w:hAnsi="Calibri Light" w:cs="Calibri Light"/>
        </w:rPr>
      </w:pPr>
      <w:r>
        <w:rPr>
          <w:rStyle w:val="FootnoteReference"/>
        </w:rPr>
        <w:footnoteRef/>
      </w:r>
      <w:r>
        <w:t xml:space="preserve"> </w:t>
      </w:r>
      <w:r w:rsidRPr="004E4A03">
        <w:rPr>
          <w:rFonts w:ascii="Calibri Light" w:eastAsia="Calibri" w:hAnsi="Calibri Light" w:cs="Calibri Light"/>
          <w:sz w:val="20"/>
          <w:szCs w:val="20"/>
        </w:rPr>
        <w:t xml:space="preserve">Klein, T. 2009. </w:t>
      </w:r>
      <w:r w:rsidRPr="004E4A03">
        <w:rPr>
          <w:rFonts w:ascii="Calibri Light" w:hAnsi="Calibri Light" w:cs="Calibri Light"/>
          <w:sz w:val="20"/>
          <w:szCs w:val="20"/>
        </w:rPr>
        <w:t xml:space="preserve">Querying medical and legal discourses of queer sexes and genders in South Africa. </w:t>
      </w:r>
      <w:r w:rsidRPr="004E4A03">
        <w:rPr>
          <w:rFonts w:ascii="Calibri Light" w:hAnsi="Calibri Light" w:cs="Calibri Light"/>
          <w:i/>
          <w:iCs/>
          <w:sz w:val="20"/>
          <w:szCs w:val="20"/>
        </w:rPr>
        <w:t>Anthropology Matters Journal, Vol 10 (2)</w:t>
      </w:r>
      <w:r w:rsidRPr="004E4A03">
        <w:rPr>
          <w:rFonts w:ascii="Calibri Light" w:hAnsi="Calibri Light" w:cs="Calibri Light"/>
          <w:sz w:val="20"/>
          <w:szCs w:val="20"/>
        </w:rPr>
        <w:t>: 1-17</w:t>
      </w:r>
    </w:p>
    <w:p w14:paraId="0F9C7E2A" w14:textId="07FF155F" w:rsidR="004E4A03" w:rsidRPr="004E4A03" w:rsidRDefault="004E4A03">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6CF3F" w14:textId="47A5D3A0" w:rsidR="0023104C" w:rsidRDefault="005F4BE5">
    <w:pPr>
      <w:pStyle w:val="Header"/>
    </w:pPr>
    <w:r>
      <w:rPr>
        <w:noProof/>
      </w:rPr>
      <w:drawing>
        <wp:inline distT="0" distB="0" distL="0" distR="0" wp14:anchorId="5A139A9F" wp14:editId="3D1FA31F">
          <wp:extent cx="1356360" cy="6019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6360" cy="601980"/>
                  </a:xfrm>
                  <a:prstGeom prst="rect">
                    <a:avLst/>
                  </a:prstGeom>
                  <a:noFill/>
                  <a:ln>
                    <a:noFill/>
                  </a:ln>
                </pic:spPr>
              </pic:pic>
            </a:graphicData>
          </a:graphic>
        </wp:inline>
      </w:drawing>
    </w:r>
  </w:p>
  <w:p w14:paraId="5A3D2619" w14:textId="77777777" w:rsidR="0023104C" w:rsidRDefault="002310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BD43B4"/>
    <w:multiLevelType w:val="hybridMultilevel"/>
    <w:tmpl w:val="653628C4"/>
    <w:lvl w:ilvl="0" w:tplc="03F6704A">
      <w:start w:val="3"/>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104C"/>
    <w:rsid w:val="00087A67"/>
    <w:rsid w:val="000F3AB7"/>
    <w:rsid w:val="001B5413"/>
    <w:rsid w:val="001D351C"/>
    <w:rsid w:val="00210D0D"/>
    <w:rsid w:val="002206A3"/>
    <w:rsid w:val="0023104C"/>
    <w:rsid w:val="003938D9"/>
    <w:rsid w:val="004944A8"/>
    <w:rsid w:val="004C28AE"/>
    <w:rsid w:val="004E4A03"/>
    <w:rsid w:val="00566D94"/>
    <w:rsid w:val="005F4BE5"/>
    <w:rsid w:val="006A609F"/>
    <w:rsid w:val="006B5051"/>
    <w:rsid w:val="00763A0E"/>
    <w:rsid w:val="0078534D"/>
    <w:rsid w:val="0084793D"/>
    <w:rsid w:val="0086255E"/>
    <w:rsid w:val="008B2B1C"/>
    <w:rsid w:val="008D55E1"/>
    <w:rsid w:val="009E7075"/>
    <w:rsid w:val="00A3332F"/>
    <w:rsid w:val="00A44BDC"/>
    <w:rsid w:val="00A712C4"/>
    <w:rsid w:val="00C02599"/>
    <w:rsid w:val="00C12E79"/>
    <w:rsid w:val="00CF238A"/>
    <w:rsid w:val="00D20FE8"/>
    <w:rsid w:val="00D936B3"/>
    <w:rsid w:val="00E45AE8"/>
    <w:rsid w:val="00E46530"/>
    <w:rsid w:val="00E900A0"/>
    <w:rsid w:val="00F264A6"/>
    <w:rsid w:val="00F71FE8"/>
    <w:rsid w:val="00F748A9"/>
    <w:rsid w:val="00FE26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5C8FE"/>
  <w15:chartTrackingRefBased/>
  <w15:docId w15:val="{65EE07DC-22E9-45A5-A63E-1F3DCE08F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4C"/>
    <w:pPr>
      <w:spacing w:after="0" w:line="276" w:lineRule="auto"/>
    </w:pPr>
    <w:rPr>
      <w:rFonts w:ascii="Arial" w:eastAsia="Arial" w:hAnsi="Arial" w:cs="Arial"/>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104C"/>
    <w:pPr>
      <w:tabs>
        <w:tab w:val="center" w:pos="4513"/>
        <w:tab w:val="right" w:pos="9026"/>
      </w:tabs>
      <w:spacing w:line="240" w:lineRule="auto"/>
    </w:pPr>
  </w:style>
  <w:style w:type="character" w:customStyle="1" w:styleId="HeaderChar">
    <w:name w:val="Header Char"/>
    <w:basedOn w:val="DefaultParagraphFont"/>
    <w:link w:val="Header"/>
    <w:uiPriority w:val="99"/>
    <w:rsid w:val="0023104C"/>
  </w:style>
  <w:style w:type="paragraph" w:styleId="Footer">
    <w:name w:val="footer"/>
    <w:basedOn w:val="Normal"/>
    <w:link w:val="FooterChar"/>
    <w:uiPriority w:val="99"/>
    <w:unhideWhenUsed/>
    <w:rsid w:val="0023104C"/>
    <w:pPr>
      <w:tabs>
        <w:tab w:val="center" w:pos="4513"/>
        <w:tab w:val="right" w:pos="9026"/>
      </w:tabs>
      <w:spacing w:line="240" w:lineRule="auto"/>
    </w:pPr>
  </w:style>
  <w:style w:type="character" w:customStyle="1" w:styleId="FooterChar">
    <w:name w:val="Footer Char"/>
    <w:basedOn w:val="DefaultParagraphFont"/>
    <w:link w:val="Footer"/>
    <w:uiPriority w:val="99"/>
    <w:rsid w:val="0023104C"/>
  </w:style>
  <w:style w:type="paragraph" w:styleId="BalloonText">
    <w:name w:val="Balloon Text"/>
    <w:basedOn w:val="Normal"/>
    <w:link w:val="BalloonTextChar"/>
    <w:uiPriority w:val="99"/>
    <w:semiHidden/>
    <w:unhideWhenUsed/>
    <w:rsid w:val="008B2B1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B1C"/>
    <w:rPr>
      <w:rFonts w:ascii="Segoe UI" w:eastAsia="Arial" w:hAnsi="Segoe UI" w:cs="Segoe UI"/>
      <w:sz w:val="18"/>
      <w:szCs w:val="18"/>
      <w:lang w:val="en-GB" w:eastAsia="en-GB"/>
    </w:rPr>
  </w:style>
  <w:style w:type="paragraph" w:customStyle="1" w:styleId="Default">
    <w:name w:val="Default"/>
    <w:rsid w:val="00F264A6"/>
    <w:pPr>
      <w:autoSpaceDE w:val="0"/>
      <w:autoSpaceDN w:val="0"/>
      <w:adjustRightInd w:val="0"/>
      <w:spacing w:after="0" w:line="240" w:lineRule="auto"/>
    </w:pPr>
    <w:rPr>
      <w:rFonts w:ascii="Cambria" w:hAnsi="Cambria" w:cs="Cambria"/>
      <w:color w:val="000000"/>
      <w:sz w:val="24"/>
      <w:szCs w:val="24"/>
    </w:rPr>
  </w:style>
  <w:style w:type="paragraph" w:styleId="FootnoteText">
    <w:name w:val="footnote text"/>
    <w:basedOn w:val="Normal"/>
    <w:link w:val="FootnoteTextChar"/>
    <w:uiPriority w:val="99"/>
    <w:semiHidden/>
    <w:unhideWhenUsed/>
    <w:rsid w:val="00210D0D"/>
    <w:pPr>
      <w:spacing w:line="240" w:lineRule="auto"/>
    </w:pPr>
    <w:rPr>
      <w:sz w:val="20"/>
      <w:szCs w:val="20"/>
    </w:rPr>
  </w:style>
  <w:style w:type="character" w:customStyle="1" w:styleId="FootnoteTextChar">
    <w:name w:val="Footnote Text Char"/>
    <w:basedOn w:val="DefaultParagraphFont"/>
    <w:link w:val="FootnoteText"/>
    <w:uiPriority w:val="99"/>
    <w:semiHidden/>
    <w:rsid w:val="00210D0D"/>
    <w:rPr>
      <w:rFonts w:ascii="Arial" w:eastAsia="Arial" w:hAnsi="Arial" w:cs="Arial"/>
      <w:sz w:val="20"/>
      <w:szCs w:val="20"/>
      <w:lang w:val="en-GB" w:eastAsia="en-GB"/>
    </w:rPr>
  </w:style>
  <w:style w:type="character" w:styleId="FootnoteReference">
    <w:name w:val="footnote reference"/>
    <w:basedOn w:val="DefaultParagraphFont"/>
    <w:uiPriority w:val="99"/>
    <w:semiHidden/>
    <w:unhideWhenUsed/>
    <w:rsid w:val="00210D0D"/>
    <w:rPr>
      <w:vertAlign w:val="superscript"/>
    </w:rPr>
  </w:style>
  <w:style w:type="character" w:styleId="Hyperlink">
    <w:name w:val="Hyperlink"/>
    <w:basedOn w:val="DefaultParagraphFont"/>
    <w:uiPriority w:val="99"/>
    <w:unhideWhenUsed/>
    <w:rsid w:val="00210D0D"/>
    <w:rPr>
      <w:color w:val="0563C1" w:themeColor="hyperlink"/>
      <w:u w:val="single"/>
    </w:rPr>
  </w:style>
  <w:style w:type="paragraph" w:styleId="ListParagraph">
    <w:name w:val="List Paragraph"/>
    <w:basedOn w:val="Normal"/>
    <w:uiPriority w:val="34"/>
    <w:qFormat/>
    <w:rsid w:val="00E900A0"/>
    <w:pPr>
      <w:spacing w:after="160" w:line="259" w:lineRule="auto"/>
      <w:ind w:left="720"/>
      <w:contextualSpacing/>
    </w:pPr>
    <w:rPr>
      <w:rFonts w:asciiTheme="minorHAnsi" w:eastAsiaTheme="minorHAnsi" w:hAnsiTheme="minorHAnsi" w:cstheme="minorBidi"/>
      <w:lang w:val="en-ZA" w:eastAsia="en-US"/>
    </w:rPr>
  </w:style>
  <w:style w:type="table" w:styleId="TableGrid">
    <w:name w:val="Table Grid"/>
    <w:basedOn w:val="TableNormal"/>
    <w:uiPriority w:val="39"/>
    <w:rsid w:val="00494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3955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yogyakartaprinciples.org/" TargetMode="External"/><Relationship Id="rId2" Type="http://schemas.openxmlformats.org/officeDocument/2006/relationships/hyperlink" Target="https://www.gov.za/sipes/default/files/gcis_document/201409/a49-03.pdf" TargetMode="External"/><Relationship Id="rId1" Type="http://schemas.openxmlformats.org/officeDocument/2006/relationships/hyperlink" Target="https://drive.google.com/file/d/1pbnau_x1y6_tZcIxGzKInfhrvuYt81vJ/view" TargetMode="External"/><Relationship Id="rId5" Type="http://schemas.openxmlformats.org/officeDocument/2006/relationships/hyperlink" Target="https://drive.google.com/file/d/1pbnau_x1y6_tZcIxGzKInfhrvuYt81vJ/view" TargetMode="External"/><Relationship Id="rId4" Type="http://schemas.openxmlformats.org/officeDocument/2006/relationships/hyperlink" Target="https://drive.google.com/file/d/1xvXcmoa5OZ1g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99ED641-FB8F-45D2-BFC0-3900558FBBC4}">
  <ds:schemaRefs>
    <ds:schemaRef ds:uri="http://schemas.openxmlformats.org/officeDocument/2006/bibliography"/>
  </ds:schemaRefs>
</ds:datastoreItem>
</file>

<file path=customXml/itemProps2.xml><?xml version="1.0" encoding="utf-8"?>
<ds:datastoreItem xmlns:ds="http://schemas.openxmlformats.org/officeDocument/2006/customXml" ds:itemID="{5B5D5F21-9E87-47E2-83D5-544A51CC04D5}"/>
</file>

<file path=customXml/itemProps3.xml><?xml version="1.0" encoding="utf-8"?>
<ds:datastoreItem xmlns:ds="http://schemas.openxmlformats.org/officeDocument/2006/customXml" ds:itemID="{33CE0585-363D-42A9-AB6F-B770608C837D}"/>
</file>

<file path=customXml/itemProps4.xml><?xml version="1.0" encoding="utf-8"?>
<ds:datastoreItem xmlns:ds="http://schemas.openxmlformats.org/officeDocument/2006/customXml" ds:itemID="{692EAB26-8636-4E56-8173-5D6B4CC87700}"/>
</file>

<file path=docProps/app.xml><?xml version="1.0" encoding="utf-8"?>
<Properties xmlns="http://schemas.openxmlformats.org/officeDocument/2006/extended-properties" xmlns:vt="http://schemas.openxmlformats.org/officeDocument/2006/docPropsVTypes">
  <Template>Normal.dotm</Template>
  <TotalTime>0</TotalTime>
  <Pages>5</Pages>
  <Words>1564</Words>
  <Characters>8916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Conference</dc:creator>
  <cp:keywords/>
  <dc:description/>
  <cp:lastModifiedBy>Akani Shimange</cp:lastModifiedBy>
  <cp:revision>2</cp:revision>
  <dcterms:created xsi:type="dcterms:W3CDTF">2020-09-29T12:14:00Z</dcterms:created>
  <dcterms:modified xsi:type="dcterms:W3CDTF">2020-09-29T12:14:00Z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