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618A0" w14:textId="533F35C7" w:rsidR="00921488" w:rsidRPr="00921488" w:rsidRDefault="00921488" w:rsidP="00921488">
      <w:pPr>
        <w:pBdr>
          <w:bottom w:val="single" w:sz="6" w:space="1" w:color="auto"/>
        </w:pBdr>
        <w:tabs>
          <w:tab w:val="left" w:pos="6495"/>
        </w:tabs>
        <w:jc w:val="center"/>
        <w:rPr>
          <w:b/>
          <w:bCs/>
          <w:smallCaps/>
        </w:rPr>
      </w:pPr>
      <w:r w:rsidRPr="00921488">
        <w:rPr>
          <w:b/>
          <w:bCs/>
          <w:smallCaps/>
        </w:rPr>
        <w:t xml:space="preserve">The Center for Reproductive Rights’ submission for the </w:t>
      </w:r>
      <w:r>
        <w:rPr>
          <w:b/>
          <w:bCs/>
          <w:smallCaps/>
        </w:rPr>
        <w:t xml:space="preserve">United Nations </w:t>
      </w:r>
      <w:r w:rsidRPr="00921488">
        <w:rPr>
          <w:b/>
          <w:bCs/>
          <w:smallCaps/>
        </w:rPr>
        <w:t>Special Rapporteur on Privacy’s Call for contributions: Privacy and Children</w:t>
      </w:r>
    </w:p>
    <w:p w14:paraId="16C49D07" w14:textId="77777777" w:rsidR="00FD116E" w:rsidRDefault="00921488" w:rsidP="00921488">
      <w:pPr>
        <w:tabs>
          <w:tab w:val="left" w:pos="6495"/>
        </w:tabs>
        <w:jc w:val="both"/>
      </w:pPr>
      <w:r w:rsidRPr="00921488">
        <w:t>The Center for Reproductive Rights (</w:t>
      </w:r>
      <w:r w:rsidRPr="00921488">
        <w:rPr>
          <w:b/>
          <w:bCs/>
        </w:rPr>
        <w:t>the Center</w:t>
      </w:r>
      <w:r w:rsidRPr="00921488">
        <w:t>)</w:t>
      </w:r>
      <w:r>
        <w:t xml:space="preserve"> is </w:t>
      </w:r>
      <w:r w:rsidRPr="00921488">
        <w:t>a non-profit legal advocacy organization dedicated to promoting and defending reproductive rights worldwide. The Center uses the law at the national, regional, and international levels to advance reproductive freedom as a fundamental right that all governments are legally obligated to protect, respect and fulfil.</w:t>
      </w:r>
    </w:p>
    <w:p w14:paraId="6FC8C167" w14:textId="62D1D1A5" w:rsidR="00FD116E" w:rsidRPr="00D73EE6" w:rsidRDefault="00FD116E" w:rsidP="00D73EE6">
      <w:pPr>
        <w:tabs>
          <w:tab w:val="left" w:pos="6495"/>
        </w:tabs>
        <w:jc w:val="both"/>
      </w:pPr>
      <w:r>
        <w:t>The Center</w:t>
      </w:r>
      <w:r w:rsidR="00921488" w:rsidRPr="00921488">
        <w:t xml:space="preserve"> seeks to contribute to </w:t>
      </w:r>
      <w:r w:rsidR="00921488" w:rsidRPr="00FD116E">
        <w:rPr>
          <w:i/>
          <w:iCs/>
        </w:rPr>
        <w:t>United Nations the Special Rapporteur on Privacy</w:t>
      </w:r>
      <w:r w:rsidR="00921488">
        <w:t>’s call for submission on the</w:t>
      </w:r>
      <w:r w:rsidR="00921488" w:rsidRPr="00921488">
        <w:t xml:space="preserve"> </w:t>
      </w:r>
      <w:r w:rsidR="00921488">
        <w:t>“</w:t>
      </w:r>
      <w:r w:rsidR="00921488" w:rsidRPr="00921488">
        <w:t>privacy rights of children (under the age of 18) and issues relating to their independence and autonomy</w:t>
      </w:r>
      <w:r w:rsidR="00921488">
        <w:t>”</w:t>
      </w:r>
      <w:r>
        <w:t xml:space="preserve"> by</w:t>
      </w:r>
      <w:r w:rsidR="002C486D">
        <w:t xml:space="preserve"> highlighting</w:t>
      </w:r>
      <w:r w:rsidR="00140335">
        <w:t>:</w:t>
      </w:r>
      <w:r w:rsidR="00D73EE6">
        <w:t xml:space="preserve"> </w:t>
      </w:r>
      <w:proofErr w:type="spellStart"/>
      <w:r w:rsidR="00D73EE6">
        <w:t>i</w:t>
      </w:r>
      <w:proofErr w:type="spellEnd"/>
      <w:r w:rsidR="00D73EE6">
        <w:t xml:space="preserve">) </w:t>
      </w:r>
      <w:r w:rsidRPr="00AB5D9E">
        <w:t xml:space="preserve">the importance of </w:t>
      </w:r>
      <w:r w:rsidRPr="00AB5D9E">
        <w:rPr>
          <w:b/>
          <w:bCs/>
        </w:rPr>
        <w:t xml:space="preserve">respecting and ensuring the progressive autonomy of </w:t>
      </w:r>
      <w:r w:rsidR="008452F6">
        <w:rPr>
          <w:b/>
          <w:bCs/>
        </w:rPr>
        <w:t>girls</w:t>
      </w:r>
      <w:r w:rsidRPr="00AB5D9E">
        <w:t xml:space="preserve"> </w:t>
      </w:r>
      <w:r w:rsidRPr="0099753F">
        <w:rPr>
          <w:b/>
          <w:bCs/>
        </w:rPr>
        <w:t>to make informed decisions about their sexuality and reproduction,</w:t>
      </w:r>
      <w:r w:rsidRPr="00AB5D9E">
        <w:t xml:space="preserve"> particularly regarding access to sexual and reproductive health services</w:t>
      </w:r>
      <w:r w:rsidRPr="00FD116E">
        <w:t>, such as: contraception, emergency contraception, abortion, and others</w:t>
      </w:r>
      <w:r>
        <w:t xml:space="preserve">; and </w:t>
      </w:r>
      <w:r w:rsidR="00D73EE6">
        <w:t xml:space="preserve">ii) </w:t>
      </w:r>
      <w:r w:rsidRPr="00AB5D9E">
        <w:t>th</w:t>
      </w:r>
      <w:r w:rsidR="002C486D" w:rsidRPr="00AB5D9E">
        <w:t>a</w:t>
      </w:r>
      <w:r w:rsidR="007E7685" w:rsidRPr="00AB5D9E">
        <w:t xml:space="preserve">t </w:t>
      </w:r>
      <w:r w:rsidR="007E7685" w:rsidRPr="00AB5D9E">
        <w:rPr>
          <w:b/>
          <w:bCs/>
        </w:rPr>
        <w:t>th</w:t>
      </w:r>
      <w:r w:rsidRPr="00AB5D9E">
        <w:rPr>
          <w:b/>
          <w:bCs/>
        </w:rPr>
        <w:t xml:space="preserve">e right of </w:t>
      </w:r>
      <w:r w:rsidR="008452F6">
        <w:rPr>
          <w:b/>
          <w:bCs/>
        </w:rPr>
        <w:t>girls</w:t>
      </w:r>
      <w:r w:rsidRPr="00AB5D9E">
        <w:rPr>
          <w:b/>
          <w:bCs/>
        </w:rPr>
        <w:t xml:space="preserve"> to sexual and reproductive education and information</w:t>
      </w:r>
      <w:r w:rsidRPr="00AB5D9E">
        <w:t xml:space="preserve"> </w:t>
      </w:r>
      <w:r w:rsidR="007E7685" w:rsidRPr="00AB5D9E">
        <w:t>i</w:t>
      </w:r>
      <w:r w:rsidRPr="00AB5D9E">
        <w:t xml:space="preserve">s </w:t>
      </w:r>
      <w:r w:rsidR="007E7685" w:rsidRPr="00AB5D9E">
        <w:t>the</w:t>
      </w:r>
      <w:r w:rsidR="001B6BF0" w:rsidRPr="00AB5D9E">
        <w:t xml:space="preserve"> necessary</w:t>
      </w:r>
      <w:r w:rsidR="007E7685" w:rsidRPr="00AB5D9E">
        <w:t xml:space="preserve"> </w:t>
      </w:r>
      <w:r w:rsidRPr="00AB5D9E">
        <w:t xml:space="preserve">basis for ensuring </w:t>
      </w:r>
      <w:r w:rsidR="00B57358">
        <w:t>girls</w:t>
      </w:r>
      <w:r w:rsidR="008452F6">
        <w:t xml:space="preserve"> ca</w:t>
      </w:r>
      <w:r w:rsidRPr="00AB5D9E">
        <w:t>n make autonomous and informed decisions about their sexuality</w:t>
      </w:r>
      <w:r w:rsidR="007E7685" w:rsidRPr="00AB5D9E">
        <w:t xml:space="preserve"> and </w:t>
      </w:r>
      <w:r w:rsidRPr="00AB5D9E">
        <w:t>their reproductive functions</w:t>
      </w:r>
      <w:r w:rsidR="00D73EE6" w:rsidRPr="00AB5D9E">
        <w:t>, al</w:t>
      </w:r>
      <w:r w:rsidR="007E7685" w:rsidRPr="00AB5D9E">
        <w:t>l of which</w:t>
      </w:r>
      <w:r w:rsidR="00D73EE6" w:rsidRPr="00AB5D9E">
        <w:t>,</w:t>
      </w:r>
      <w:r w:rsidR="007E7685" w:rsidRPr="00AB5D9E">
        <w:t xml:space="preserve"> is encompassed within the rights to privacy, </w:t>
      </w:r>
      <w:r w:rsidR="00D73EE6" w:rsidRPr="00AB5D9E">
        <w:t>autonomy,</w:t>
      </w:r>
      <w:r w:rsidR="007E7685" w:rsidRPr="00AB5D9E">
        <w:t xml:space="preserve"> and integrity, among others</w:t>
      </w:r>
      <w:r w:rsidRPr="00D73EE6">
        <w:rPr>
          <w:b/>
          <w:bCs/>
        </w:rPr>
        <w:t xml:space="preserve">. </w:t>
      </w:r>
    </w:p>
    <w:p w14:paraId="5755E27E" w14:textId="16481A43" w:rsidR="00C93177" w:rsidRDefault="00FD116E" w:rsidP="00921488">
      <w:pPr>
        <w:tabs>
          <w:tab w:val="left" w:pos="6495"/>
        </w:tabs>
        <w:jc w:val="both"/>
      </w:pPr>
      <w:r>
        <w:t xml:space="preserve">For this, </w:t>
      </w:r>
      <w:r w:rsidR="003B20F5">
        <w:t>we</w:t>
      </w:r>
      <w:r w:rsidR="007E7685">
        <w:t xml:space="preserve"> want to</w:t>
      </w:r>
      <w:r>
        <w:t xml:space="preserve"> referrer</w:t>
      </w:r>
      <w:r w:rsidR="003B20F5">
        <w:t xml:space="preserve"> specifically</w:t>
      </w:r>
      <w:r>
        <w:t xml:space="preserve"> to the recent judgment of the </w:t>
      </w:r>
      <w:r w:rsidR="00921488" w:rsidRPr="00921488">
        <w:t>Inter-American Court of Human Rights (“</w:t>
      </w:r>
      <w:proofErr w:type="spellStart"/>
      <w:r w:rsidR="00921488" w:rsidRPr="00921488">
        <w:t>IACtHR</w:t>
      </w:r>
      <w:proofErr w:type="spellEnd"/>
      <w:r w:rsidR="00921488" w:rsidRPr="00921488">
        <w:t xml:space="preserve">” or “the Court”) </w:t>
      </w:r>
      <w:r>
        <w:t xml:space="preserve">on the case of </w:t>
      </w:r>
      <w:r w:rsidR="00921488" w:rsidRPr="00FD116E">
        <w:rPr>
          <w:i/>
          <w:iCs/>
        </w:rPr>
        <w:t xml:space="preserve">Paola Guzmán </w:t>
      </w:r>
      <w:proofErr w:type="spellStart"/>
      <w:r w:rsidR="00921488" w:rsidRPr="00FD116E">
        <w:rPr>
          <w:i/>
          <w:iCs/>
        </w:rPr>
        <w:t>Albarracín</w:t>
      </w:r>
      <w:proofErr w:type="spellEnd"/>
      <w:r w:rsidRPr="00FD116E">
        <w:rPr>
          <w:i/>
          <w:iCs/>
        </w:rPr>
        <w:t xml:space="preserve"> &amp; others vs. Ecuador</w:t>
      </w:r>
      <w:r w:rsidRPr="00921488">
        <w:rPr>
          <w:b/>
          <w:bCs/>
          <w:vertAlign w:val="superscript"/>
        </w:rPr>
        <w:footnoteReference w:id="1"/>
      </w:r>
      <w:r>
        <w:t xml:space="preserve"> where by the Court </w:t>
      </w:r>
      <w:r w:rsidRPr="00FD116E">
        <w:t>unanimously</w:t>
      </w:r>
      <w:r w:rsidRPr="00921488">
        <w:t xml:space="preserve"> ruled</w:t>
      </w:r>
      <w:r>
        <w:t xml:space="preserve">, </w:t>
      </w:r>
      <w:r>
        <w:rPr>
          <w:i/>
          <w:iCs/>
        </w:rPr>
        <w:t>inter alia,</w:t>
      </w:r>
      <w:r w:rsidRPr="00921488">
        <w:t xml:space="preserve"> that the State</w:t>
      </w:r>
      <w:r>
        <w:t xml:space="preserve"> of Ecuador</w:t>
      </w:r>
      <w:r w:rsidRPr="00921488">
        <w:t xml:space="preserve"> was responsible for the violation of the </w:t>
      </w:r>
      <w:r w:rsidRPr="00921488">
        <w:rPr>
          <w:b/>
          <w:bCs/>
        </w:rPr>
        <w:t>right to life, personal integrity, privacy and education</w:t>
      </w:r>
      <w:r w:rsidRPr="00921488">
        <w:t xml:space="preserve"> of</w:t>
      </w:r>
      <w:r>
        <w:t xml:space="preserve"> Paola Guzman for the sexual </w:t>
      </w:r>
      <w:r w:rsidR="002862F2">
        <w:t>vi</w:t>
      </w:r>
      <w:r>
        <w:t>olence</w:t>
      </w:r>
      <w:r w:rsidR="002862F2">
        <w:t xml:space="preserve">, harassment and abuse </w:t>
      </w:r>
      <w:r w:rsidR="002862F2" w:rsidRPr="002862F2">
        <w:t xml:space="preserve">that Paola suffered </w:t>
      </w:r>
      <w:r w:rsidR="002862F2">
        <w:t>at the hands of t</w:t>
      </w:r>
      <w:r w:rsidR="002862F2" w:rsidRPr="002862F2">
        <w:t>he Vice</w:t>
      </w:r>
      <w:r w:rsidR="002862F2">
        <w:t>-</w:t>
      </w:r>
      <w:r w:rsidR="002862F2" w:rsidRPr="002862F2">
        <w:t xml:space="preserve">Principal of </w:t>
      </w:r>
      <w:r w:rsidR="002862F2">
        <w:t xml:space="preserve">her </w:t>
      </w:r>
      <w:r w:rsidR="002862F2" w:rsidRPr="002862F2">
        <w:t>school she attended, which led to her suicide.</w:t>
      </w:r>
      <w:r w:rsidR="00C93177">
        <w:t xml:space="preserve"> </w:t>
      </w:r>
    </w:p>
    <w:p w14:paraId="0381636D" w14:textId="2701639B" w:rsidR="00C93177" w:rsidRDefault="00C93177" w:rsidP="00C93177">
      <w:pPr>
        <w:tabs>
          <w:tab w:val="left" w:pos="6495"/>
        </w:tabs>
        <w:jc w:val="both"/>
      </w:pPr>
      <w:r>
        <w:t xml:space="preserve">Particularly, we wish to emphasize that in </w:t>
      </w:r>
      <w:r w:rsidR="005307B4">
        <w:t xml:space="preserve">a </w:t>
      </w:r>
      <w:r>
        <w:t xml:space="preserve">first-ever, the </w:t>
      </w:r>
      <w:proofErr w:type="spellStart"/>
      <w:r>
        <w:t>IACtHR</w:t>
      </w:r>
      <w:proofErr w:type="spellEnd"/>
      <w:r>
        <w:t xml:space="preserve"> held that the</w:t>
      </w:r>
      <w:r w:rsidRPr="00921488">
        <w:rPr>
          <w:b/>
          <w:bCs/>
        </w:rPr>
        <w:t xml:space="preserve"> rights to personal integrity and privacy entail certain freedoms, including</w:t>
      </w:r>
      <w:r>
        <w:rPr>
          <w:b/>
          <w:bCs/>
        </w:rPr>
        <w:t xml:space="preserve"> the freedom to take decisions about one’s own</w:t>
      </w:r>
      <w:r w:rsidRPr="00921488">
        <w:rPr>
          <w:b/>
          <w:bCs/>
        </w:rPr>
        <w:t xml:space="preserve"> sexual</w:t>
      </w:r>
      <w:r>
        <w:rPr>
          <w:b/>
          <w:bCs/>
        </w:rPr>
        <w:t>ity</w:t>
      </w:r>
      <w:r w:rsidRPr="00921488">
        <w:rPr>
          <w:b/>
          <w:bCs/>
        </w:rPr>
        <w:t xml:space="preserve"> and to control one's own body</w:t>
      </w:r>
      <w:r>
        <w:rPr>
          <w:b/>
          <w:bCs/>
        </w:rPr>
        <w:t>. S</w:t>
      </w:r>
      <w:r w:rsidRPr="00921488">
        <w:rPr>
          <w:b/>
          <w:bCs/>
        </w:rPr>
        <w:t>uch freedoms</w:t>
      </w:r>
      <w:r>
        <w:rPr>
          <w:b/>
          <w:bCs/>
        </w:rPr>
        <w:t>, according to the Court,</w:t>
      </w:r>
      <w:r w:rsidRPr="00921488">
        <w:rPr>
          <w:b/>
          <w:bCs/>
        </w:rPr>
        <w:t xml:space="preserve"> </w:t>
      </w:r>
      <w:r w:rsidRPr="00921488">
        <w:rPr>
          <w:b/>
          <w:bCs/>
          <w:u w:val="single"/>
        </w:rPr>
        <w:t xml:space="preserve">can be exercised by </w:t>
      </w:r>
      <w:r w:rsidR="0078525D">
        <w:rPr>
          <w:b/>
          <w:bCs/>
          <w:u w:val="single"/>
        </w:rPr>
        <w:t>girls</w:t>
      </w:r>
      <w:r w:rsidRPr="00921488">
        <w:rPr>
          <w:b/>
          <w:bCs/>
          <w:u w:val="single"/>
        </w:rPr>
        <w:t>, to the extent that they develop the capacity and maturity to do so</w:t>
      </w:r>
      <w:r w:rsidRPr="00921488">
        <w:rPr>
          <w:b/>
          <w:bCs/>
          <w:vertAlign w:val="superscript"/>
        </w:rPr>
        <w:footnoteReference w:id="2"/>
      </w:r>
      <w:r w:rsidRPr="00921488">
        <w:t>.</w:t>
      </w:r>
      <w:r>
        <w:t xml:space="preserve"> </w:t>
      </w:r>
    </w:p>
    <w:p w14:paraId="4A18A60A" w14:textId="53177C36" w:rsidR="003B20F5" w:rsidRPr="00C93177" w:rsidRDefault="00C93177" w:rsidP="000844F8">
      <w:pPr>
        <w:shd w:val="clear" w:color="auto" w:fill="D9E2F3" w:themeFill="accent1" w:themeFillTint="33"/>
        <w:tabs>
          <w:tab w:val="left" w:pos="6495"/>
        </w:tabs>
        <w:ind w:left="720"/>
        <w:jc w:val="both"/>
        <w:rPr>
          <w:b/>
          <w:bCs/>
          <w:i/>
          <w:iCs/>
        </w:rPr>
      </w:pPr>
      <w:r w:rsidRPr="00C93177">
        <w:rPr>
          <w:b/>
          <w:bCs/>
          <w:i/>
          <w:iCs/>
        </w:rPr>
        <w:t>In this sense, g</w:t>
      </w:r>
      <w:r w:rsidR="003B20F5" w:rsidRPr="00C93177">
        <w:rPr>
          <w:b/>
          <w:bCs/>
          <w:i/>
          <w:iCs/>
        </w:rPr>
        <w:t>irls’ evolving capacities to make informed decisions regarding the sexuality is an integral part of the right to privacy</w:t>
      </w:r>
      <w:r w:rsidR="007E7685" w:rsidRPr="00C93177">
        <w:rPr>
          <w:b/>
          <w:bCs/>
          <w:i/>
          <w:iCs/>
        </w:rPr>
        <w:t xml:space="preserve"> and integrity</w:t>
      </w:r>
      <w:r w:rsidR="00AB5D9E">
        <w:rPr>
          <w:b/>
          <w:bCs/>
          <w:i/>
          <w:iCs/>
        </w:rPr>
        <w:t>, among others,</w:t>
      </w:r>
      <w:r w:rsidR="002914B9">
        <w:rPr>
          <w:b/>
          <w:bCs/>
          <w:i/>
          <w:iCs/>
        </w:rPr>
        <w:t xml:space="preserve"> and States must guarantee and respect </w:t>
      </w:r>
      <w:r w:rsidR="002914B9" w:rsidRPr="002914B9">
        <w:rPr>
          <w:b/>
          <w:bCs/>
          <w:i/>
          <w:iCs/>
        </w:rPr>
        <w:t>girls’ ability</w:t>
      </w:r>
      <w:r w:rsidR="002914B9">
        <w:t xml:space="preserve"> </w:t>
      </w:r>
      <w:r w:rsidR="002914B9" w:rsidRPr="002914B9">
        <w:rPr>
          <w:b/>
          <w:bCs/>
          <w:i/>
          <w:iCs/>
        </w:rPr>
        <w:t xml:space="preserve">to </w:t>
      </w:r>
      <w:r w:rsidR="002914B9">
        <w:rPr>
          <w:b/>
          <w:bCs/>
          <w:i/>
          <w:iCs/>
        </w:rPr>
        <w:t>decide over matters that concern their sexuality, bodies and reproductive autonomy</w:t>
      </w:r>
      <w:r w:rsidR="005307B4">
        <w:rPr>
          <w:b/>
          <w:bCs/>
          <w:i/>
          <w:iCs/>
        </w:rPr>
        <w:t xml:space="preserve"> in order to truly ensure the respect of their privacy and integrity</w:t>
      </w:r>
      <w:r w:rsidR="002914B9">
        <w:rPr>
          <w:b/>
          <w:bCs/>
          <w:i/>
          <w:iCs/>
        </w:rPr>
        <w:t xml:space="preserve">. </w:t>
      </w:r>
    </w:p>
    <w:p w14:paraId="2F90E031" w14:textId="7E40B504" w:rsidR="00FD116E" w:rsidRDefault="002914B9" w:rsidP="00921488">
      <w:pPr>
        <w:tabs>
          <w:tab w:val="left" w:pos="6495"/>
        </w:tabs>
        <w:jc w:val="both"/>
      </w:pPr>
      <w:r w:rsidRPr="002914B9">
        <w:t xml:space="preserve">Additionally, </w:t>
      </w:r>
      <w:r w:rsidR="00D07068">
        <w:t>and as a first</w:t>
      </w:r>
      <w:r w:rsidR="005307B4">
        <w:t>-ever a</w:t>
      </w:r>
      <w:r w:rsidR="00AB5D9E">
        <w:t>s well</w:t>
      </w:r>
      <w:r w:rsidRPr="002914B9">
        <w:t xml:space="preserve">, the </w:t>
      </w:r>
      <w:proofErr w:type="spellStart"/>
      <w:r w:rsidRPr="002914B9">
        <w:t>IACtHR</w:t>
      </w:r>
      <w:proofErr w:type="spellEnd"/>
      <w:r w:rsidRPr="002914B9">
        <w:t xml:space="preserve"> held</w:t>
      </w:r>
      <w:r w:rsidR="00A74B6F" w:rsidRPr="002914B9">
        <w:t xml:space="preserve"> that t</w:t>
      </w:r>
      <w:r w:rsidR="00921488" w:rsidRPr="00921488">
        <w:t>he right to sex and reproductive education is an integral part of the right to education</w:t>
      </w:r>
      <w:r w:rsidR="00FD116E" w:rsidRPr="00921488">
        <w:rPr>
          <w:b/>
          <w:bCs/>
          <w:vertAlign w:val="superscript"/>
        </w:rPr>
        <w:footnoteReference w:id="3"/>
      </w:r>
      <w:r w:rsidR="00D07068">
        <w:t xml:space="preserve">, which, </w:t>
      </w:r>
      <w:r w:rsidR="00D07068">
        <w:rPr>
          <w:i/>
          <w:iCs/>
        </w:rPr>
        <w:t xml:space="preserve">inter alia, </w:t>
      </w:r>
      <w:r w:rsidR="00FD116E" w:rsidRPr="00921488">
        <w:t xml:space="preserve">must enable </w:t>
      </w:r>
      <w:r w:rsidR="0078525D">
        <w:t>children</w:t>
      </w:r>
      <w:r w:rsidR="00FD116E" w:rsidRPr="00921488">
        <w:t xml:space="preserve"> to have an adequate understanding of the implications of sexual and emotional relationships, particularly in relation to their ability </w:t>
      </w:r>
      <w:r w:rsidR="00FD116E" w:rsidRPr="00921488">
        <w:rPr>
          <w:b/>
          <w:bCs/>
          <w:u w:val="single"/>
        </w:rPr>
        <w:t>to consent to such relationships, and the exercise of freedoms in respect of their sexual and</w:t>
      </w:r>
      <w:r w:rsidR="00FD116E" w:rsidRPr="00921488">
        <w:t xml:space="preserve"> </w:t>
      </w:r>
      <w:r w:rsidR="00FD116E" w:rsidRPr="00921488">
        <w:rPr>
          <w:b/>
          <w:bCs/>
          <w:u w:val="single"/>
        </w:rPr>
        <w:lastRenderedPageBreak/>
        <w:t>reproductive rights</w:t>
      </w:r>
      <w:r w:rsidR="00FD116E" w:rsidRPr="00921488">
        <w:t>.</w:t>
      </w:r>
      <w:r w:rsidR="00A74B6F">
        <w:t xml:space="preserve"> </w:t>
      </w:r>
      <w:r w:rsidR="00A74B6F" w:rsidRPr="00D07068">
        <w:t xml:space="preserve">For this, </w:t>
      </w:r>
      <w:r w:rsidR="00D07068">
        <w:t xml:space="preserve">the Court held that </w:t>
      </w:r>
      <w:r w:rsidR="00A74B6F" w:rsidRPr="00D07068">
        <w:t>s</w:t>
      </w:r>
      <w:r w:rsidR="00A74B6F" w:rsidRPr="00921488">
        <w:t>exuality education must be comprehensive, non-discriminatory, evidence-based, scientifically rigorous, and age-appropriate.</w:t>
      </w:r>
    </w:p>
    <w:p w14:paraId="2652420B" w14:textId="136D4335" w:rsidR="005566A0" w:rsidRPr="005566A0" w:rsidRDefault="00AB5D9E" w:rsidP="005566A0">
      <w:pPr>
        <w:tabs>
          <w:tab w:val="left" w:pos="6495"/>
        </w:tabs>
        <w:jc w:val="both"/>
      </w:pPr>
      <w:r w:rsidRPr="005566A0">
        <w:t xml:space="preserve">Indeed, </w:t>
      </w:r>
      <w:r w:rsidR="00ED0C57" w:rsidRPr="005566A0">
        <w:t>w</w:t>
      </w:r>
      <w:r w:rsidR="0042695F" w:rsidRPr="005566A0">
        <w:t>ithout access to</w:t>
      </w:r>
      <w:r w:rsidR="00FD116E" w:rsidRPr="00921488">
        <w:t xml:space="preserve"> </w:t>
      </w:r>
      <w:r w:rsidR="0042695F" w:rsidRPr="005566A0">
        <w:t xml:space="preserve">integral sexuality </w:t>
      </w:r>
      <w:r w:rsidR="00FD116E" w:rsidRPr="00921488">
        <w:t xml:space="preserve">education </w:t>
      </w:r>
      <w:r w:rsidR="0042695F" w:rsidRPr="005566A0">
        <w:t xml:space="preserve">girls </w:t>
      </w:r>
      <w:r w:rsidR="00187723" w:rsidRPr="005566A0">
        <w:t xml:space="preserve">are </w:t>
      </w:r>
      <w:r w:rsidR="00E4784E" w:rsidRPr="005566A0">
        <w:t xml:space="preserve">not </w:t>
      </w:r>
      <w:r w:rsidR="000844F8" w:rsidRPr="005566A0">
        <w:t>equipped</w:t>
      </w:r>
      <w:r w:rsidR="00187723" w:rsidRPr="005566A0">
        <w:t xml:space="preserve"> with the tools to </w:t>
      </w:r>
      <w:r w:rsidR="00FD116E" w:rsidRPr="00921488">
        <w:t>understand</w:t>
      </w:r>
      <w:r w:rsidR="00187723" w:rsidRPr="005566A0">
        <w:t>, denounce</w:t>
      </w:r>
      <w:r w:rsidR="00562D65" w:rsidRPr="005566A0">
        <w:t>,</w:t>
      </w:r>
      <w:r w:rsidR="00187723" w:rsidRPr="005566A0">
        <w:t xml:space="preserve"> and receive support in situations of </w:t>
      </w:r>
      <w:r w:rsidR="00FD116E" w:rsidRPr="00921488">
        <w:t xml:space="preserve">sexual violence, nor </w:t>
      </w:r>
      <w:r w:rsidR="00187723" w:rsidRPr="005566A0">
        <w:t xml:space="preserve">to make informed decisions about their sexuality and exercise their reproductive autonomy freely. </w:t>
      </w:r>
    </w:p>
    <w:p w14:paraId="3A4F3802" w14:textId="61B7F955" w:rsidR="00525286" w:rsidRPr="00A30A7A" w:rsidRDefault="00AB5D9E" w:rsidP="00A30A7A">
      <w:pPr>
        <w:shd w:val="clear" w:color="auto" w:fill="D9E2F3" w:themeFill="accent1" w:themeFillTint="33"/>
        <w:tabs>
          <w:tab w:val="left" w:pos="6495"/>
        </w:tabs>
        <w:ind w:left="720"/>
        <w:jc w:val="both"/>
        <w:rPr>
          <w:b/>
          <w:bCs/>
        </w:rPr>
      </w:pPr>
      <w:r w:rsidRPr="000844F8">
        <w:rPr>
          <w:b/>
          <w:bCs/>
        </w:rPr>
        <w:t xml:space="preserve">As such, </w:t>
      </w:r>
      <w:r w:rsidR="000005B8" w:rsidRPr="000844F8">
        <w:rPr>
          <w:b/>
          <w:bCs/>
        </w:rPr>
        <w:t>t</w:t>
      </w:r>
      <w:r w:rsidRPr="000844F8">
        <w:rPr>
          <w:b/>
          <w:bCs/>
        </w:rPr>
        <w:t>he right to sex</w:t>
      </w:r>
      <w:r w:rsidR="000844F8">
        <w:rPr>
          <w:b/>
          <w:bCs/>
        </w:rPr>
        <w:t>uality</w:t>
      </w:r>
      <w:r w:rsidRPr="000844F8">
        <w:rPr>
          <w:b/>
          <w:bCs/>
        </w:rPr>
        <w:t xml:space="preserve"> and reproductive education</w:t>
      </w:r>
      <w:r w:rsidR="000005B8" w:rsidRPr="000844F8">
        <w:rPr>
          <w:b/>
          <w:bCs/>
        </w:rPr>
        <w:t xml:space="preserve">, not only is </w:t>
      </w:r>
      <w:r w:rsidRPr="000844F8">
        <w:rPr>
          <w:b/>
          <w:bCs/>
        </w:rPr>
        <w:t>an integral part of the right to education</w:t>
      </w:r>
      <w:r w:rsidR="000005B8" w:rsidRPr="000844F8">
        <w:rPr>
          <w:b/>
          <w:bCs/>
        </w:rPr>
        <w:t>, but is</w:t>
      </w:r>
      <w:r w:rsidRPr="000844F8">
        <w:rPr>
          <w:b/>
          <w:bCs/>
        </w:rPr>
        <w:t xml:space="preserve"> necessary to </w:t>
      </w:r>
      <w:r w:rsidR="000005B8" w:rsidRPr="000844F8">
        <w:rPr>
          <w:b/>
          <w:bCs/>
        </w:rPr>
        <w:t xml:space="preserve">guarantee </w:t>
      </w:r>
      <w:r w:rsidRPr="000844F8">
        <w:rPr>
          <w:b/>
          <w:bCs/>
        </w:rPr>
        <w:t>girls</w:t>
      </w:r>
      <w:r w:rsidR="000005B8" w:rsidRPr="000844F8">
        <w:rPr>
          <w:b/>
          <w:bCs/>
        </w:rPr>
        <w:t xml:space="preserve">’ </w:t>
      </w:r>
      <w:r w:rsidRPr="000844F8">
        <w:rPr>
          <w:b/>
          <w:bCs/>
        </w:rPr>
        <w:t>rights to integrity, autonomy, and privacy</w:t>
      </w:r>
      <w:r w:rsidR="000005B8" w:rsidRPr="000844F8">
        <w:rPr>
          <w:b/>
          <w:bCs/>
        </w:rPr>
        <w:t>, constituting as well a means to empower girls to (re)claim their rights to reproductive and sexual health.</w:t>
      </w:r>
    </w:p>
    <w:p w14:paraId="012DBC15" w14:textId="69E50ABE" w:rsidR="00921488" w:rsidRPr="00A30A7A" w:rsidRDefault="007F6A6E">
      <w:pPr>
        <w:tabs>
          <w:tab w:val="left" w:pos="6495"/>
        </w:tabs>
        <w:jc w:val="both"/>
        <w:rPr>
          <w:b/>
          <w:bCs/>
        </w:rPr>
      </w:pPr>
      <w:r w:rsidRPr="00A30A7A">
        <w:rPr>
          <w:b/>
          <w:bCs/>
        </w:rPr>
        <w:t>Given the above, we respectfully submit that</w:t>
      </w:r>
      <w:r w:rsidR="00926B98" w:rsidRPr="00A30A7A">
        <w:rPr>
          <w:b/>
          <w:bCs/>
        </w:rPr>
        <w:t xml:space="preserve"> in understanding and developing the privacy rights of children in relation to their</w:t>
      </w:r>
      <w:r w:rsidR="008A07B0" w:rsidRPr="00A30A7A">
        <w:rPr>
          <w:b/>
          <w:bCs/>
        </w:rPr>
        <w:t xml:space="preserve"> sexual development, their </w:t>
      </w:r>
      <w:r w:rsidR="00926B98" w:rsidRPr="00A30A7A">
        <w:rPr>
          <w:b/>
          <w:bCs/>
        </w:rPr>
        <w:t xml:space="preserve">independence and </w:t>
      </w:r>
      <w:r w:rsidR="008A07B0" w:rsidRPr="00A30A7A">
        <w:rPr>
          <w:b/>
          <w:bCs/>
        </w:rPr>
        <w:t xml:space="preserve">their </w:t>
      </w:r>
      <w:r w:rsidR="00926B98" w:rsidRPr="00A30A7A">
        <w:rPr>
          <w:b/>
          <w:bCs/>
        </w:rPr>
        <w:t>autonomy</w:t>
      </w:r>
      <w:r w:rsidR="008A07B0" w:rsidRPr="00A30A7A">
        <w:rPr>
          <w:b/>
          <w:bCs/>
        </w:rPr>
        <w:t>,</w:t>
      </w:r>
      <w:r w:rsidR="00294C42" w:rsidRPr="00A30A7A">
        <w:rPr>
          <w:b/>
          <w:bCs/>
        </w:rPr>
        <w:t xml:space="preserve"> girls’ right to </w:t>
      </w:r>
      <w:r w:rsidR="00A30A7A" w:rsidRPr="00A30A7A">
        <w:rPr>
          <w:b/>
          <w:bCs/>
        </w:rPr>
        <w:t xml:space="preserve">make informed and autonomous decisions, in accordance with their evolving capacities and maturity, over their sexuality, bodies and reproduction, must be ensured, though, </w:t>
      </w:r>
      <w:r w:rsidR="00A30A7A" w:rsidRPr="00A30A7A">
        <w:rPr>
          <w:b/>
          <w:bCs/>
          <w:i/>
          <w:iCs/>
        </w:rPr>
        <w:t xml:space="preserve">inter alia, </w:t>
      </w:r>
      <w:r w:rsidR="00A30A7A" w:rsidRPr="00A30A7A">
        <w:rPr>
          <w:b/>
          <w:bCs/>
        </w:rPr>
        <w:t>access to integral sexuality education, in order to effectively protect and guarantee their human rights.</w:t>
      </w:r>
    </w:p>
    <w:sectPr w:rsidR="00921488" w:rsidRPr="00A30A7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55C2F" w14:textId="77777777" w:rsidR="001B57A4" w:rsidRDefault="001B57A4" w:rsidP="00921488">
      <w:pPr>
        <w:spacing w:after="0" w:line="240" w:lineRule="auto"/>
      </w:pPr>
      <w:r>
        <w:separator/>
      </w:r>
    </w:p>
  </w:endnote>
  <w:endnote w:type="continuationSeparator" w:id="0">
    <w:p w14:paraId="16672255" w14:textId="77777777" w:rsidR="001B57A4" w:rsidRDefault="001B57A4" w:rsidP="00921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97936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77614758" w14:textId="586C47CE" w:rsidR="000844F8" w:rsidRPr="000844F8" w:rsidRDefault="000844F8">
        <w:pPr>
          <w:pStyle w:val="Footer"/>
          <w:jc w:val="center"/>
          <w:rPr>
            <w:sz w:val="20"/>
            <w:szCs w:val="20"/>
          </w:rPr>
        </w:pPr>
        <w:r w:rsidRPr="000844F8">
          <w:rPr>
            <w:sz w:val="20"/>
            <w:szCs w:val="20"/>
          </w:rPr>
          <w:fldChar w:fldCharType="begin"/>
        </w:r>
        <w:r w:rsidRPr="000844F8">
          <w:rPr>
            <w:sz w:val="20"/>
            <w:szCs w:val="20"/>
          </w:rPr>
          <w:instrText xml:space="preserve"> PAGE   \* MERGEFORMAT </w:instrText>
        </w:r>
        <w:r w:rsidRPr="000844F8">
          <w:rPr>
            <w:sz w:val="20"/>
            <w:szCs w:val="20"/>
          </w:rPr>
          <w:fldChar w:fldCharType="separate"/>
        </w:r>
        <w:r w:rsidRPr="000844F8">
          <w:rPr>
            <w:noProof/>
            <w:sz w:val="20"/>
            <w:szCs w:val="20"/>
          </w:rPr>
          <w:t>2</w:t>
        </w:r>
        <w:r w:rsidRPr="000844F8">
          <w:rPr>
            <w:noProof/>
            <w:sz w:val="20"/>
            <w:szCs w:val="20"/>
          </w:rPr>
          <w:fldChar w:fldCharType="end"/>
        </w:r>
      </w:p>
    </w:sdtContent>
  </w:sdt>
  <w:p w14:paraId="6E9601D2" w14:textId="77777777" w:rsidR="000844F8" w:rsidRDefault="000844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C3AE3" w14:textId="77777777" w:rsidR="001B57A4" w:rsidRDefault="001B57A4" w:rsidP="00921488">
      <w:pPr>
        <w:spacing w:after="0" w:line="240" w:lineRule="auto"/>
      </w:pPr>
      <w:r>
        <w:separator/>
      </w:r>
    </w:p>
  </w:footnote>
  <w:footnote w:type="continuationSeparator" w:id="0">
    <w:p w14:paraId="1BCD9A0B" w14:textId="77777777" w:rsidR="001B57A4" w:rsidRDefault="001B57A4" w:rsidP="00921488">
      <w:pPr>
        <w:spacing w:after="0" w:line="240" w:lineRule="auto"/>
      </w:pPr>
      <w:r>
        <w:continuationSeparator/>
      </w:r>
    </w:p>
  </w:footnote>
  <w:footnote w:id="1">
    <w:p w14:paraId="22D7EB4E" w14:textId="296C197F" w:rsidR="00FD116E" w:rsidRPr="00615630" w:rsidRDefault="00FD116E" w:rsidP="00615630">
      <w:pPr>
        <w:pStyle w:val="FootnoteText"/>
        <w:jc w:val="both"/>
        <w:rPr>
          <w:sz w:val="16"/>
          <w:szCs w:val="16"/>
        </w:rPr>
      </w:pPr>
      <w:r w:rsidRPr="00615630">
        <w:rPr>
          <w:rStyle w:val="FootnoteReference"/>
          <w:sz w:val="16"/>
          <w:szCs w:val="16"/>
        </w:rPr>
        <w:footnoteRef/>
      </w:r>
      <w:r w:rsidRPr="00615630">
        <w:rPr>
          <w:sz w:val="16"/>
          <w:szCs w:val="16"/>
        </w:rPr>
        <w:t xml:space="preserve"> Inter-American Court of Human Rights, </w:t>
      </w:r>
      <w:r w:rsidRPr="00615630">
        <w:rPr>
          <w:i/>
          <w:iCs/>
          <w:sz w:val="16"/>
          <w:szCs w:val="16"/>
        </w:rPr>
        <w:t xml:space="preserve">Case of Guzmán </w:t>
      </w:r>
      <w:proofErr w:type="spellStart"/>
      <w:r w:rsidRPr="00615630">
        <w:rPr>
          <w:i/>
          <w:iCs/>
          <w:sz w:val="16"/>
          <w:szCs w:val="16"/>
        </w:rPr>
        <w:t>Albarracín</w:t>
      </w:r>
      <w:proofErr w:type="spellEnd"/>
      <w:r w:rsidRPr="00615630">
        <w:rPr>
          <w:i/>
          <w:iCs/>
          <w:sz w:val="16"/>
          <w:szCs w:val="16"/>
        </w:rPr>
        <w:t xml:space="preserve"> and Others v. Ecuador, </w:t>
      </w:r>
      <w:r w:rsidRPr="00615630">
        <w:rPr>
          <w:sz w:val="16"/>
          <w:szCs w:val="16"/>
        </w:rPr>
        <w:t>Judgement June 24, 2020 (Merits, Reparations and Costs)</w:t>
      </w:r>
      <w:r w:rsidR="00615630" w:rsidRPr="00615630">
        <w:rPr>
          <w:sz w:val="16"/>
          <w:szCs w:val="16"/>
        </w:rPr>
        <w:t>.</w:t>
      </w:r>
      <w:r w:rsidRPr="00615630">
        <w:rPr>
          <w:sz w:val="16"/>
          <w:szCs w:val="16"/>
        </w:rPr>
        <w:t xml:space="preserve"> Available: </w:t>
      </w:r>
      <w:hyperlink r:id="rId1" w:history="1">
        <w:r w:rsidRPr="00615630">
          <w:rPr>
            <w:rStyle w:val="Hyperlink"/>
            <w:sz w:val="16"/>
            <w:szCs w:val="16"/>
          </w:rPr>
          <w:t>https://www.corteidh.or.cr/docs/casos/articulos/seriec_405_esp.pdf</w:t>
        </w:r>
      </w:hyperlink>
      <w:r w:rsidRPr="00615630">
        <w:rPr>
          <w:sz w:val="16"/>
          <w:szCs w:val="16"/>
        </w:rPr>
        <w:t xml:space="preserve"> [</w:t>
      </w:r>
      <w:r w:rsidRPr="00615630">
        <w:rPr>
          <w:b/>
          <w:bCs/>
          <w:sz w:val="16"/>
          <w:szCs w:val="16"/>
        </w:rPr>
        <w:t xml:space="preserve">Hereinafter: Inter-American Court of Human Rights, </w:t>
      </w:r>
      <w:r w:rsidRPr="00615630">
        <w:rPr>
          <w:b/>
          <w:bCs/>
          <w:i/>
          <w:iCs/>
          <w:sz w:val="16"/>
          <w:szCs w:val="16"/>
        </w:rPr>
        <w:t xml:space="preserve">Case of Guzmán </w:t>
      </w:r>
      <w:proofErr w:type="spellStart"/>
      <w:r w:rsidRPr="00615630">
        <w:rPr>
          <w:b/>
          <w:bCs/>
          <w:i/>
          <w:iCs/>
          <w:sz w:val="16"/>
          <w:szCs w:val="16"/>
        </w:rPr>
        <w:t>Albarracín</w:t>
      </w:r>
      <w:proofErr w:type="spellEnd"/>
      <w:r w:rsidRPr="00615630">
        <w:rPr>
          <w:b/>
          <w:bCs/>
          <w:i/>
          <w:iCs/>
          <w:sz w:val="16"/>
          <w:szCs w:val="16"/>
        </w:rPr>
        <w:t xml:space="preserve"> and Others v. Ecuador]</w:t>
      </w:r>
      <w:r w:rsidRPr="00615630">
        <w:rPr>
          <w:b/>
          <w:bCs/>
          <w:sz w:val="16"/>
          <w:szCs w:val="16"/>
        </w:rPr>
        <w:t>.</w:t>
      </w:r>
    </w:p>
  </w:footnote>
  <w:footnote w:id="2">
    <w:p w14:paraId="5EB82313" w14:textId="77777777" w:rsidR="00C93177" w:rsidRPr="00615630" w:rsidRDefault="00C93177" w:rsidP="00615630">
      <w:pPr>
        <w:pStyle w:val="FootnoteText"/>
        <w:jc w:val="both"/>
        <w:rPr>
          <w:sz w:val="16"/>
          <w:szCs w:val="16"/>
        </w:rPr>
      </w:pPr>
      <w:r w:rsidRPr="00615630">
        <w:rPr>
          <w:rStyle w:val="FootnoteReference"/>
          <w:sz w:val="16"/>
          <w:szCs w:val="16"/>
        </w:rPr>
        <w:footnoteRef/>
      </w:r>
      <w:r w:rsidRPr="00615630">
        <w:rPr>
          <w:sz w:val="16"/>
          <w:szCs w:val="16"/>
        </w:rPr>
        <w:t xml:space="preserve"> Inter-American Court of Human Rights, </w:t>
      </w:r>
      <w:r w:rsidRPr="00615630">
        <w:rPr>
          <w:i/>
          <w:iCs/>
          <w:sz w:val="16"/>
          <w:szCs w:val="16"/>
        </w:rPr>
        <w:t xml:space="preserve">Case of Guzmán </w:t>
      </w:r>
      <w:proofErr w:type="spellStart"/>
      <w:r w:rsidRPr="00615630">
        <w:rPr>
          <w:i/>
          <w:iCs/>
          <w:sz w:val="16"/>
          <w:szCs w:val="16"/>
        </w:rPr>
        <w:t>Albarracín</w:t>
      </w:r>
      <w:proofErr w:type="spellEnd"/>
      <w:r w:rsidRPr="00615630">
        <w:rPr>
          <w:i/>
          <w:iCs/>
          <w:sz w:val="16"/>
          <w:szCs w:val="16"/>
        </w:rPr>
        <w:t xml:space="preserve"> and Others v. Ecuador, supra </w:t>
      </w:r>
      <w:r w:rsidRPr="00615630">
        <w:rPr>
          <w:sz w:val="16"/>
          <w:szCs w:val="16"/>
        </w:rPr>
        <w:t>note 1, para. 109</w:t>
      </w:r>
    </w:p>
  </w:footnote>
  <w:footnote w:id="3">
    <w:p w14:paraId="1F7A9D39" w14:textId="11B1BF3C" w:rsidR="00FD116E" w:rsidRPr="00FD116E" w:rsidRDefault="00FD116E" w:rsidP="00615630">
      <w:pPr>
        <w:pStyle w:val="FootnoteText"/>
        <w:jc w:val="both"/>
      </w:pPr>
      <w:r w:rsidRPr="00615630">
        <w:rPr>
          <w:rStyle w:val="FootnoteReference"/>
          <w:sz w:val="16"/>
          <w:szCs w:val="16"/>
        </w:rPr>
        <w:footnoteRef/>
      </w:r>
      <w:r w:rsidRPr="00615630">
        <w:rPr>
          <w:sz w:val="16"/>
          <w:szCs w:val="16"/>
        </w:rPr>
        <w:t xml:space="preserve"> Inter-American Court of Human Rights, </w:t>
      </w:r>
      <w:r w:rsidRPr="00615630">
        <w:rPr>
          <w:i/>
          <w:iCs/>
          <w:sz w:val="16"/>
          <w:szCs w:val="16"/>
        </w:rPr>
        <w:t xml:space="preserve">Case of Guzmán </w:t>
      </w:r>
      <w:proofErr w:type="spellStart"/>
      <w:r w:rsidRPr="00615630">
        <w:rPr>
          <w:i/>
          <w:iCs/>
          <w:sz w:val="16"/>
          <w:szCs w:val="16"/>
        </w:rPr>
        <w:t>Albarracín</w:t>
      </w:r>
      <w:proofErr w:type="spellEnd"/>
      <w:r w:rsidRPr="00615630">
        <w:rPr>
          <w:i/>
          <w:iCs/>
          <w:sz w:val="16"/>
          <w:szCs w:val="16"/>
        </w:rPr>
        <w:t xml:space="preserve"> and Others v. Ecuador, </w:t>
      </w:r>
      <w:r w:rsidRPr="00615630">
        <w:rPr>
          <w:sz w:val="16"/>
          <w:szCs w:val="16"/>
        </w:rPr>
        <w:t>para. 139.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1C75F" w14:textId="0628B59E" w:rsidR="00921488" w:rsidRDefault="00921488">
    <w:pPr>
      <w:pStyle w:val="Header"/>
    </w:pPr>
    <w:r>
      <w:rPr>
        <w:noProof/>
      </w:rPr>
      <w:drawing>
        <wp:inline distT="0" distB="0" distL="0" distR="0" wp14:anchorId="045073F4" wp14:editId="41AE0BBB">
          <wp:extent cx="1660591" cy="609600"/>
          <wp:effectExtent l="0" t="0" r="0" b="0"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481" cy="611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CC23AC" w14:textId="77777777" w:rsidR="00921488" w:rsidRDefault="009214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5B36DC"/>
    <w:multiLevelType w:val="hybridMultilevel"/>
    <w:tmpl w:val="D8B8925A"/>
    <w:lvl w:ilvl="0" w:tplc="A4829E6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4D65E5"/>
    <w:multiLevelType w:val="hybridMultilevel"/>
    <w:tmpl w:val="242E6C1A"/>
    <w:lvl w:ilvl="0" w:tplc="AA0C17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B6627"/>
    <w:multiLevelType w:val="multilevel"/>
    <w:tmpl w:val="4CBACDF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E460DB3"/>
    <w:multiLevelType w:val="hybridMultilevel"/>
    <w:tmpl w:val="0EDA35FA"/>
    <w:lvl w:ilvl="0" w:tplc="9D60015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488"/>
    <w:rsid w:val="000005B8"/>
    <w:rsid w:val="000844F8"/>
    <w:rsid w:val="00117D7E"/>
    <w:rsid w:val="00140335"/>
    <w:rsid w:val="00187723"/>
    <w:rsid w:val="001B57A4"/>
    <w:rsid w:val="001B6BF0"/>
    <w:rsid w:val="00284E1A"/>
    <w:rsid w:val="002862F2"/>
    <w:rsid w:val="002914B9"/>
    <w:rsid w:val="00294C42"/>
    <w:rsid w:val="002C486D"/>
    <w:rsid w:val="003B20F5"/>
    <w:rsid w:val="0042695F"/>
    <w:rsid w:val="00525286"/>
    <w:rsid w:val="005307B4"/>
    <w:rsid w:val="005566A0"/>
    <w:rsid w:val="00562D65"/>
    <w:rsid w:val="00615630"/>
    <w:rsid w:val="0078525D"/>
    <w:rsid w:val="007E7685"/>
    <w:rsid w:val="007F6A6E"/>
    <w:rsid w:val="008452F6"/>
    <w:rsid w:val="008A07B0"/>
    <w:rsid w:val="008C68FC"/>
    <w:rsid w:val="008F2EE3"/>
    <w:rsid w:val="00917C05"/>
    <w:rsid w:val="00921488"/>
    <w:rsid w:val="00926B98"/>
    <w:rsid w:val="0099753F"/>
    <w:rsid w:val="00A30A7A"/>
    <w:rsid w:val="00A74B6F"/>
    <w:rsid w:val="00AB5D9E"/>
    <w:rsid w:val="00AD745C"/>
    <w:rsid w:val="00AE28CE"/>
    <w:rsid w:val="00B52B8B"/>
    <w:rsid w:val="00B57358"/>
    <w:rsid w:val="00B92D89"/>
    <w:rsid w:val="00C05F71"/>
    <w:rsid w:val="00C82996"/>
    <w:rsid w:val="00C83D98"/>
    <w:rsid w:val="00C93177"/>
    <w:rsid w:val="00D07068"/>
    <w:rsid w:val="00D73EE6"/>
    <w:rsid w:val="00E10A41"/>
    <w:rsid w:val="00E4784E"/>
    <w:rsid w:val="00E770B6"/>
    <w:rsid w:val="00ED0C57"/>
    <w:rsid w:val="00F545C4"/>
    <w:rsid w:val="00FD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A39E00"/>
  <w15:chartTrackingRefBased/>
  <w15:docId w15:val="{9A271F1D-5720-458C-9B56-9FD847A8B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488"/>
  </w:style>
  <w:style w:type="paragraph" w:styleId="Footer">
    <w:name w:val="footer"/>
    <w:basedOn w:val="Normal"/>
    <w:link w:val="FooterChar"/>
    <w:uiPriority w:val="99"/>
    <w:unhideWhenUsed/>
    <w:rsid w:val="00921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488"/>
  </w:style>
  <w:style w:type="paragraph" w:styleId="EndnoteText">
    <w:name w:val="endnote text"/>
    <w:basedOn w:val="Normal"/>
    <w:link w:val="EndnoteTextChar"/>
    <w:uiPriority w:val="99"/>
    <w:semiHidden/>
    <w:unhideWhenUsed/>
    <w:rsid w:val="00921488"/>
    <w:pPr>
      <w:spacing w:after="0" w:line="240" w:lineRule="auto"/>
    </w:pPr>
    <w:rPr>
      <w:sz w:val="20"/>
      <w:szCs w:val="20"/>
      <w:lang w:val="es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1488"/>
    <w:rPr>
      <w:sz w:val="20"/>
      <w:szCs w:val="20"/>
      <w:lang w:val="es-US"/>
    </w:rPr>
  </w:style>
  <w:style w:type="character" w:styleId="EndnoteReference">
    <w:name w:val="endnote reference"/>
    <w:basedOn w:val="DefaultParagraphFont"/>
    <w:uiPriority w:val="99"/>
    <w:semiHidden/>
    <w:unhideWhenUsed/>
    <w:rsid w:val="0092148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11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11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116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D11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116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B20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2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E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5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rteidh.or.cr/docs/casos/articulos/seriec_405_esp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6A359DD-4575-4281-BA5A-0473522D33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3B5024-D219-4D48-9F8C-2ECD1DE4683D}"/>
</file>

<file path=customXml/itemProps3.xml><?xml version="1.0" encoding="utf-8"?>
<ds:datastoreItem xmlns:ds="http://schemas.openxmlformats.org/officeDocument/2006/customXml" ds:itemID="{DF44A1BE-1D6A-4B8B-A2AF-C4A6E57FFB45}"/>
</file>

<file path=customXml/itemProps4.xml><?xml version="1.0" encoding="utf-8"?>
<ds:datastoreItem xmlns:ds="http://schemas.openxmlformats.org/officeDocument/2006/customXml" ds:itemID="{132A1F97-D919-4E89-9F3F-283E134C24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Rodriguez</dc:creator>
  <cp:keywords/>
  <dc:description/>
  <cp:lastModifiedBy>E Coombs</cp:lastModifiedBy>
  <cp:revision>2</cp:revision>
  <dcterms:created xsi:type="dcterms:W3CDTF">2021-01-19T16:08:00Z</dcterms:created>
  <dcterms:modified xsi:type="dcterms:W3CDTF">2021-01-19T16:08:00Z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