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299721"/>
    <w:p w14:paraId="13182AB3" w14:textId="77777777" w:rsidR="00DF3C36" w:rsidRDefault="009C026D">
      <w:pPr>
        <w:rPr>
          <w:rFonts w:ascii="Arial" w:eastAsia="Calibri" w:hAnsi="Arial" w:cs="Arial"/>
          <w:b/>
          <w:sz w:val="24"/>
          <w:szCs w:val="24"/>
          <w:lang w:val="en-US"/>
        </w:rPr>
      </w:pPr>
      <w:r>
        <w:rPr>
          <w:noProof/>
          <w:lang w:eastAsia="en-CA"/>
        </w:rPr>
        <mc:AlternateContent>
          <mc:Choice Requires="wps">
            <w:drawing>
              <wp:anchor distT="0" distB="0" distL="114300" distR="114300" simplePos="0" relativeHeight="251659264" behindDoc="0" locked="0" layoutInCell="1" allowOverlap="1" wp14:anchorId="25C8103D" wp14:editId="0723CBC1">
                <wp:simplePos x="0" y="0"/>
                <wp:positionH relativeFrom="margin">
                  <wp:align>left</wp:align>
                </wp:positionH>
                <wp:positionV relativeFrom="paragraph">
                  <wp:posOffset>1859280</wp:posOffset>
                </wp:positionV>
                <wp:extent cx="6008370" cy="9683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968375"/>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525660F5" w14:textId="77777777" w:rsidR="00DF3C36" w:rsidRPr="005343D6" w:rsidRDefault="00DF3C36" w:rsidP="00DF3C36">
                            <w:pPr>
                              <w:spacing w:after="0" w:line="240" w:lineRule="auto"/>
                              <w:jc w:val="center"/>
                              <w:rPr>
                                <w:rFonts w:ascii="Arial" w:hAnsi="Arial" w:cs="Arial"/>
                                <w:b/>
                                <w:sz w:val="56"/>
                                <w:szCs w:val="56"/>
                              </w:rPr>
                            </w:pPr>
                            <w:r w:rsidRPr="005343D6">
                              <w:rPr>
                                <w:rFonts w:ascii="Arial" w:hAnsi="Arial" w:cs="Arial"/>
                                <w:b/>
                                <w:smallCaps/>
                                <w:sz w:val="56"/>
                                <w:szCs w:val="56"/>
                              </w:rPr>
                              <w:t xml:space="preserve">Canadian Human Rights Commission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1D9D1" id="_x0000_t202" coordsize="21600,21600" o:spt="202" path="m,l,21600r21600,l21600,xe">
                <v:stroke joinstyle="miter"/>
                <v:path gradientshapeok="t" o:connecttype="rect"/>
              </v:shapetype>
              <v:shape id="Text Box 7" o:spid="_x0000_s1026" type="#_x0000_t202" style="position:absolute;margin-left:0;margin-top:146.4pt;width:473.1pt;height:7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ijAIAACkFAAAOAAAAZHJzL2Uyb0RvYy54bWysVF1v2yAUfZ+0/4B4T21nbhJbdaomXaZJ&#10;3YfU7gcQwDEaBgYkdlftv+8CTZtuD5um+QEDF869595zubgce4kO3DqhVYOLsxwjrqhmQu0a/OVu&#10;M1lg5DxRjEiteIPvucOXy9evLgZT86nutGTcIgBRrh5MgzvvTZ1ljna8J+5MG67A2GrbEw9Lu8uY&#10;JQOg9zKb5vksG7RlxmrKnYPd62TEy4jftpz6T23ruEeywRCbj6ON4zaM2fKC1DtLTCfoYxjkH6Lo&#10;iVDg9AnqmniC9lb8BtULarXTrT+jus902wrKIwdgU+S/sLntiOGRCyTHmac0uf8HSz8ePlskWIPn&#10;GCnSQ4nu+OjRSo9oHrIzGFfDoVsDx/wI21DlyNSZG02/OqT0uiNqx6+s1UPHCYPoinAzO7macFwA&#10;2Q4fNAM3ZO91BBpb24fUQTIQoEOV7p8qE0KhsDnL88WbOZgo2KoZzM+jC1Ifbxvr/DuuexQmDbZQ&#10;+YhODjfOh2hIfTwSnDktBdsIKePC7rZradGBgEo28Ut3pelI2o1KAQyXjka8FxhSBSSlA2Zyl3aA&#10;AQQQbIFLlMRDVUzLfDWtJpvZYj4pN+X5pJrni0leVKtqlpdVeb35ESIoyroTjHF1IxQ/yrMo/678&#10;j42ShBUFioaQ2Mj4T/QThRcMe+GhVaXoG7zIw5eaJ5T8rWJwgdSeCJnm2cvYY74gAcd/TEkUSNBE&#10;UocftyOgBNVsNbsHqVgNlYSiw/sCk07b7xgN0KsNdt/2xHKM5HsFcquKsgzNHRfl+XwKC3tq2Z5a&#10;iKIA1WCPUZqufXoQ9saKXQeeksCVvgKJtiKq5zkqoBAW0I+RzOPbERr+dB1PPb9wy58AAAD//wMA&#10;UEsDBBQABgAIAAAAIQBXKHQw4QAAAAgBAAAPAAAAZHJzL2Rvd25yZXYueG1sTI/LTsMwEEX3SPyD&#10;NUhsEHUIoWpDnApVYlEeC0qFunTiIY4aj6PYadO/Z1jBcnRH955TrCbXiSMOofWk4G6WgECqvWmp&#10;UbD7fL5dgAhRk9GdJ1RwxgCr8vKi0LnxJ/rA4zY2gkso5FqBjbHPpQy1RafDzPdInH37wenI59BI&#10;M+gTl7tOpkkyl063xAtW97i2WB+2o1PwOr1/uZv1aKtDs99k+5fQnzdvSl1fTU+PICJO8e8ZfvEZ&#10;HUpmqvxIJohOAYtEBekyZQGOl9k8BVEpyLKHe5BlIf8LlD8AAAD//wMAUEsBAi0AFAAGAAgAAAAh&#10;ALaDOJL+AAAA4QEAABMAAAAAAAAAAAAAAAAAAAAAAFtDb250ZW50X1R5cGVzXS54bWxQSwECLQAU&#10;AAYACAAAACEAOP0h/9YAAACUAQAACwAAAAAAAAAAAAAAAAAvAQAAX3JlbHMvLnJlbHNQSwECLQAU&#10;AAYACAAAACEAbvEP4owCAAApBQAADgAAAAAAAAAAAAAAAAAuAgAAZHJzL2Uyb0RvYy54bWxQSwEC&#10;LQAUAAYACAAAACEAVyh0MOEAAAAIAQAADwAAAAAAAAAAAAAAAADmBAAAZHJzL2Rvd25yZXYueG1s&#10;UEsFBgAAAAAEAAQA8wAAAPQFAAAAAA==&#10;" stroked="f" strokecolor="white" strokeweight="0">
                <v:fill opacity="0"/>
                <v:textbox>
                  <w:txbxContent>
                    <w:p w:rsidR="00DF3C36" w:rsidRPr="005343D6" w:rsidRDefault="00DF3C36" w:rsidP="00DF3C36">
                      <w:pPr>
                        <w:spacing w:after="0" w:line="240" w:lineRule="auto"/>
                        <w:jc w:val="center"/>
                        <w:rPr>
                          <w:rFonts w:ascii="Arial" w:hAnsi="Arial" w:cs="Arial"/>
                          <w:b/>
                          <w:sz w:val="56"/>
                          <w:szCs w:val="56"/>
                        </w:rPr>
                      </w:pPr>
                      <w:r w:rsidRPr="005343D6">
                        <w:rPr>
                          <w:rFonts w:ascii="Arial" w:hAnsi="Arial" w:cs="Arial"/>
                          <w:b/>
                          <w:smallCaps/>
                          <w:sz w:val="56"/>
                          <w:szCs w:val="56"/>
                        </w:rPr>
                        <w:t xml:space="preserve">Canadian Human Rights Commission </w:t>
                      </w:r>
                    </w:p>
                  </w:txbxContent>
                </v:textbox>
                <w10:wrap anchorx="margin"/>
              </v:shape>
            </w:pict>
          </mc:Fallback>
        </mc:AlternateContent>
      </w:r>
      <w:r w:rsidR="00DF3C36">
        <w:rPr>
          <w:noProof/>
          <w:lang w:eastAsia="en-CA"/>
        </w:rPr>
        <mc:AlternateContent>
          <mc:Choice Requires="wps">
            <w:drawing>
              <wp:anchor distT="0" distB="0" distL="114300" distR="114300" simplePos="0" relativeHeight="251661312" behindDoc="0" locked="0" layoutInCell="1" allowOverlap="1" wp14:anchorId="034C6B8E" wp14:editId="25C6E228">
                <wp:simplePos x="0" y="0"/>
                <wp:positionH relativeFrom="margin">
                  <wp:align>left</wp:align>
                </wp:positionH>
                <wp:positionV relativeFrom="paragraph">
                  <wp:posOffset>5128260</wp:posOffset>
                </wp:positionV>
                <wp:extent cx="6009005" cy="2098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20980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6356B398" w14:textId="77777777" w:rsidR="00DF3C36" w:rsidRDefault="00DF3C36" w:rsidP="00DF3C36">
                            <w:pPr>
                              <w:spacing w:after="0" w:line="240" w:lineRule="auto"/>
                              <w:jc w:val="center"/>
                              <w:rPr>
                                <w:rFonts w:ascii="Arial" w:hAnsi="Arial" w:cs="Arial"/>
                                <w:b/>
                                <w:smallCaps/>
                                <w:sz w:val="36"/>
                                <w:szCs w:val="36"/>
                              </w:rPr>
                            </w:pPr>
                            <w:r w:rsidRPr="005343D6">
                              <w:rPr>
                                <w:rFonts w:ascii="Arial" w:hAnsi="Arial" w:cs="Arial"/>
                                <w:b/>
                                <w:smallCaps/>
                                <w:sz w:val="36"/>
                                <w:szCs w:val="36"/>
                              </w:rPr>
                              <w:t xml:space="preserve">Submission to the </w:t>
                            </w:r>
                          </w:p>
                          <w:p w14:paraId="1034BDDD" w14:textId="77777777" w:rsidR="00DF3C36" w:rsidRDefault="00221A5A" w:rsidP="00DF3C36">
                            <w:pPr>
                              <w:spacing w:after="0" w:line="240" w:lineRule="auto"/>
                              <w:jc w:val="center"/>
                              <w:rPr>
                                <w:rFonts w:ascii="Arial" w:hAnsi="Arial" w:cs="Arial"/>
                                <w:b/>
                                <w:smallCaps/>
                                <w:sz w:val="36"/>
                                <w:szCs w:val="36"/>
                              </w:rPr>
                            </w:pPr>
                            <w:r>
                              <w:rPr>
                                <w:rFonts w:ascii="Arial" w:hAnsi="Arial" w:cs="Arial"/>
                                <w:b/>
                                <w:smallCaps/>
                                <w:sz w:val="36"/>
                                <w:szCs w:val="36"/>
                              </w:rPr>
                              <w:t>Special Rapporteur on the right to privacy</w:t>
                            </w:r>
                          </w:p>
                          <w:p w14:paraId="5264937D" w14:textId="77777777" w:rsidR="00DF3C36" w:rsidRPr="005343D6" w:rsidRDefault="00221A5A" w:rsidP="00DF3C36">
                            <w:pPr>
                              <w:spacing w:after="0" w:line="240" w:lineRule="auto"/>
                              <w:jc w:val="center"/>
                              <w:rPr>
                                <w:rFonts w:ascii="Arial" w:hAnsi="Arial" w:cs="Arial"/>
                                <w:b/>
                                <w:smallCaps/>
                                <w:sz w:val="36"/>
                                <w:szCs w:val="36"/>
                              </w:rPr>
                            </w:pPr>
                            <w:r>
                              <w:rPr>
                                <w:rFonts w:ascii="Arial" w:hAnsi="Arial" w:cs="Arial"/>
                                <w:b/>
                                <w:smallCaps/>
                                <w:sz w:val="36"/>
                                <w:szCs w:val="36"/>
                              </w:rPr>
                              <w:t>to inform the Special Rapporteur’s report on privacy and the child</w:t>
                            </w:r>
                          </w:p>
                          <w:p w14:paraId="777AF1D5" w14:textId="77777777" w:rsidR="00DF3C36" w:rsidRDefault="00DF3C36" w:rsidP="00DF3C36">
                            <w:pPr>
                              <w:spacing w:after="0" w:line="240" w:lineRule="auto"/>
                              <w:jc w:val="center"/>
                              <w:rPr>
                                <w:rFonts w:ascii="Arial" w:hAnsi="Arial" w:cs="Arial"/>
                                <w:b/>
                                <w:smallCaps/>
                                <w:sz w:val="36"/>
                                <w:szCs w:val="36"/>
                              </w:rPr>
                            </w:pPr>
                          </w:p>
                          <w:p w14:paraId="429C66E6" w14:textId="77777777" w:rsidR="00DF3C36" w:rsidRPr="005343D6" w:rsidRDefault="00DF3C36" w:rsidP="00DF3C36">
                            <w:pPr>
                              <w:jc w:val="center"/>
                              <w:rPr>
                                <w:rFonts w:ascii="Arial" w:hAnsi="Arial" w:cs="Arial"/>
                                <w:b/>
                                <w:smallCaps/>
                                <w:sz w:val="36"/>
                                <w:szCs w:val="36"/>
                              </w:rPr>
                            </w:pPr>
                            <w:r>
                              <w:rPr>
                                <w:rFonts w:ascii="Arial" w:hAnsi="Arial" w:cs="Arial"/>
                                <w:b/>
                                <w:smallCaps/>
                                <w:sz w:val="36"/>
                                <w:szCs w:val="36"/>
                              </w:rPr>
                              <w:t xml:space="preserve">September 2020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DF41EF" id="Text Box 3" o:spid="_x0000_s1027" type="#_x0000_t202" style="position:absolute;margin-left:0;margin-top:403.8pt;width:473.15pt;height:165.2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SljgIAADEFAAAOAAAAZHJzL2Uyb0RvYy54bWysVNtu3CAQfa/Uf0C8b4w3zmZtxRvlUleV&#10;0ouU9ANYjNeoGCiwa6dV/70DZDeb9qFVVT9ghsuZOTNnuLicBol23DqhVY3zE4IRV0y3Qm1q/Pmh&#10;mS0xcp6qlkqteI0fucOXq9evLkZT8bnutWy5RQCiXDWaGvfemyrLHOv5QN2JNlzBZqftQD2YdpO1&#10;lo6APshsTsgiG7VtjdWMOwert2kTryJ+13HmP3ad4x7JGkNsPo42juswZqsLWm0sNb1gT2HQf4hi&#10;oEKB0wPULfUUba34DWoQzGqnO3/C9JDprhOMRw7AJie/sLnvqeGRCyTHmUOa3P+DZR92nywSbY1P&#10;MVJ0gBI98Mmjaz2h05Cd0bgKDt0bOOYnWIYqR6bO3Gn2xSGlb3qqNvzKWj32nLYQXR5uZkdXE44L&#10;IOvxvW7BDd16HYGmzg4hdZAMBOhQpcdDZUIoDBYXhJSEnGHEYG9OyiUpYu0yWu2vG+v8W64HFCY1&#10;tlD6CE93d86HcGi1PxK8OS1F2wgpo2E36xtp0Y6CTJr4pbvS9DSt7t25dDTivcCQKiApHTCTu7QC&#10;FCCAsBfIRE18L/N5Qa7n5axZLM9nRVOczcpzspyRvLwuF6Qoi9vmR4ggL6petC1Xd0LxvT7z4u/q&#10;/9QpSVlRoWgMmY2M/0Q/UXjBcBAeelWKocZLEr7UPaHmb1QLF2jlqZBpnr2MPeYLErD/x5REhQRR&#10;JHn4aT1FKUb5BPWsdfsIkrEaCgq6gHcGJr223zAaoWdr7L5uqeUYyXcKZFfmBcgC+WgUZ+dzMOzx&#10;zvp4hyoGUDX2GKXpjU8Pw9ZYsenB017oVyDVRkQRPUcFTIIBfRk5Pb0hofGP7Xjq+aVb/QQAAP//&#10;AwBQSwMEFAAGAAgAAAAhAG+cDYjeAAAACQEAAA8AAABkcnMvZG93bnJldi54bWxMj8tuwjAQRfeV&#10;+g/WIHVXbApKQ4iD2goqdclj0aWJhyTCL8UOpH/f6aosR/fqzLnlerSGXbGPnXcSZlMBDF3tdeca&#10;CcfD9jkHFpNyWhnvUMIPRlhXjw+lKrS/uR1e96lhBHGxUBLalELBeaxbtCpOfUBH2dn3ViU6+4br&#10;Xt0Ibg1/ESLjVnWOPrQq4EeL9WU/WAn54ftzE8xyK3Zf+eX9vBjC5jhI+TQZ31bAEo7pvwx/+qQO&#10;FTmd/OB0ZEYCDUlEEq8ZMIqXi2wO7ES92TwXwKuS3y+ofgEAAP//AwBQSwECLQAUAAYACAAAACEA&#10;toM4kv4AAADhAQAAEwAAAAAAAAAAAAAAAAAAAAAAW0NvbnRlbnRfVHlwZXNdLnhtbFBLAQItABQA&#10;BgAIAAAAIQA4/SH/1gAAAJQBAAALAAAAAAAAAAAAAAAAAC8BAABfcmVscy8ucmVsc1BLAQItABQA&#10;BgAIAAAAIQAb9zSljgIAADEFAAAOAAAAAAAAAAAAAAAAAC4CAABkcnMvZTJvRG9jLnhtbFBLAQIt&#10;ABQABgAIAAAAIQBvnA2I3gAAAAkBAAAPAAAAAAAAAAAAAAAAAOgEAABkcnMvZG93bnJldi54bWxQ&#10;SwUGAAAAAAQABADzAAAA8wUAAAAA&#10;" stroked="f" strokecolor="white" strokeweight="0">
                <v:fill opacity="0"/>
                <v:textbox style="mso-fit-shape-to-text:t">
                  <w:txbxContent>
                    <w:p w:rsidR="00DF3C36" w:rsidRDefault="00DF3C36" w:rsidP="00DF3C36">
                      <w:pPr>
                        <w:spacing w:after="0" w:line="240" w:lineRule="auto"/>
                        <w:jc w:val="center"/>
                        <w:rPr>
                          <w:rFonts w:ascii="Arial" w:hAnsi="Arial" w:cs="Arial"/>
                          <w:b/>
                          <w:smallCaps/>
                          <w:sz w:val="36"/>
                          <w:szCs w:val="36"/>
                        </w:rPr>
                      </w:pPr>
                      <w:r w:rsidRPr="005343D6">
                        <w:rPr>
                          <w:rFonts w:ascii="Arial" w:hAnsi="Arial" w:cs="Arial"/>
                          <w:b/>
                          <w:smallCaps/>
                          <w:sz w:val="36"/>
                          <w:szCs w:val="36"/>
                        </w:rPr>
                        <w:t xml:space="preserve">Submission to the </w:t>
                      </w:r>
                    </w:p>
                    <w:p w:rsidR="00DF3C36" w:rsidRDefault="00221A5A" w:rsidP="00DF3C36">
                      <w:pPr>
                        <w:spacing w:after="0" w:line="240" w:lineRule="auto"/>
                        <w:jc w:val="center"/>
                        <w:rPr>
                          <w:rFonts w:ascii="Arial" w:hAnsi="Arial" w:cs="Arial"/>
                          <w:b/>
                          <w:smallCaps/>
                          <w:sz w:val="36"/>
                          <w:szCs w:val="36"/>
                        </w:rPr>
                      </w:pPr>
                      <w:r>
                        <w:rPr>
                          <w:rFonts w:ascii="Arial" w:hAnsi="Arial" w:cs="Arial"/>
                          <w:b/>
                          <w:smallCaps/>
                          <w:sz w:val="36"/>
                          <w:szCs w:val="36"/>
                        </w:rPr>
                        <w:t>Special Rapporteur on the right to privacy</w:t>
                      </w:r>
                    </w:p>
                    <w:p w:rsidR="00DF3C36" w:rsidRPr="005343D6" w:rsidRDefault="00221A5A" w:rsidP="00DF3C36">
                      <w:pPr>
                        <w:spacing w:after="0" w:line="240" w:lineRule="auto"/>
                        <w:jc w:val="center"/>
                        <w:rPr>
                          <w:rFonts w:ascii="Arial" w:hAnsi="Arial" w:cs="Arial"/>
                          <w:b/>
                          <w:smallCaps/>
                          <w:sz w:val="36"/>
                          <w:szCs w:val="36"/>
                        </w:rPr>
                      </w:pPr>
                      <w:r>
                        <w:rPr>
                          <w:rFonts w:ascii="Arial" w:hAnsi="Arial" w:cs="Arial"/>
                          <w:b/>
                          <w:smallCaps/>
                          <w:sz w:val="36"/>
                          <w:szCs w:val="36"/>
                        </w:rPr>
                        <w:t>to inform the Special Rapporteur’s report on privacy and the child</w:t>
                      </w:r>
                    </w:p>
                    <w:p w:rsidR="00DF3C36" w:rsidRDefault="00DF3C36" w:rsidP="00DF3C36">
                      <w:pPr>
                        <w:spacing w:after="0" w:line="240" w:lineRule="auto"/>
                        <w:jc w:val="center"/>
                        <w:rPr>
                          <w:rFonts w:ascii="Arial" w:hAnsi="Arial" w:cs="Arial"/>
                          <w:b/>
                          <w:smallCaps/>
                          <w:sz w:val="36"/>
                          <w:szCs w:val="36"/>
                        </w:rPr>
                      </w:pPr>
                    </w:p>
                    <w:p w:rsidR="00DF3C36" w:rsidRPr="005343D6" w:rsidRDefault="00DF3C36" w:rsidP="00DF3C36">
                      <w:pPr>
                        <w:jc w:val="center"/>
                        <w:rPr>
                          <w:rFonts w:ascii="Arial" w:hAnsi="Arial" w:cs="Arial"/>
                          <w:b/>
                          <w:smallCaps/>
                          <w:sz w:val="36"/>
                          <w:szCs w:val="36"/>
                        </w:rPr>
                      </w:pPr>
                      <w:r>
                        <w:rPr>
                          <w:rFonts w:ascii="Arial" w:hAnsi="Arial" w:cs="Arial"/>
                          <w:b/>
                          <w:smallCaps/>
                          <w:sz w:val="36"/>
                          <w:szCs w:val="36"/>
                        </w:rPr>
                        <w:t>September</w:t>
                      </w:r>
                      <w:r>
                        <w:rPr>
                          <w:rFonts w:ascii="Arial" w:hAnsi="Arial" w:cs="Arial"/>
                          <w:b/>
                          <w:smallCaps/>
                          <w:sz w:val="36"/>
                          <w:szCs w:val="36"/>
                        </w:rPr>
                        <w:t xml:space="preserve"> 2020 </w:t>
                      </w:r>
                    </w:p>
                  </w:txbxContent>
                </v:textbox>
                <w10:wrap anchorx="margin"/>
              </v:shape>
            </w:pict>
          </mc:Fallback>
        </mc:AlternateContent>
      </w:r>
      <w:r w:rsidR="00DF3C36" w:rsidRPr="00C3682C">
        <w:rPr>
          <w:noProof/>
          <w:lang w:eastAsia="en-CA"/>
        </w:rPr>
        <w:drawing>
          <wp:inline distT="0" distB="0" distL="0" distR="0" wp14:anchorId="59DEDB85" wp14:editId="559856A1">
            <wp:extent cx="3306445" cy="1223010"/>
            <wp:effectExtent l="0" t="0" r="0" b="0"/>
            <wp:docPr id="5" name="Picture 5" descr="Canadian Human Rights Commission (C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Human Rights Commission (CHR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1223010"/>
                    </a:xfrm>
                    <a:prstGeom prst="rect">
                      <a:avLst/>
                    </a:prstGeom>
                    <a:noFill/>
                    <a:ln>
                      <a:noFill/>
                    </a:ln>
                  </pic:spPr>
                </pic:pic>
              </a:graphicData>
            </a:graphic>
          </wp:inline>
        </w:drawing>
      </w:r>
      <w:r w:rsidR="00DF3C36">
        <w:br w:type="page"/>
      </w:r>
    </w:p>
    <w:p w14:paraId="212AD0AC" w14:textId="77777777" w:rsidR="00DF3C36" w:rsidRDefault="00DF3C36" w:rsidP="00DF3C36">
      <w:pPr>
        <w:pStyle w:val="Heading2"/>
        <w:numPr>
          <w:ilvl w:val="0"/>
          <w:numId w:val="0"/>
        </w:numPr>
      </w:pPr>
      <w:r>
        <w:lastRenderedPageBreak/>
        <w:t xml:space="preserve">Children, Technology and Human Rights </w:t>
      </w:r>
      <w:bookmarkEnd w:id="0"/>
    </w:p>
    <w:p w14:paraId="02942071" w14:textId="77777777" w:rsidR="00DF3C36" w:rsidRDefault="00DF3C36" w:rsidP="00DF3C36">
      <w:pPr>
        <w:spacing w:before="240" w:line="240" w:lineRule="auto"/>
        <w:contextualSpacing/>
        <w:rPr>
          <w:rFonts w:ascii="Arial" w:hAnsi="Arial" w:cs="Arial"/>
          <w:sz w:val="24"/>
          <w:szCs w:val="24"/>
        </w:rPr>
      </w:pPr>
      <w:r>
        <w:rPr>
          <w:rFonts w:ascii="Arial" w:hAnsi="Arial" w:cs="Arial"/>
          <w:sz w:val="24"/>
          <w:szCs w:val="24"/>
        </w:rPr>
        <w:t>Today’s children and youth are the first generation to be born into a digital age and to live</w:t>
      </w:r>
      <w:r w:rsidRPr="0041666C">
        <w:rPr>
          <w:rFonts w:ascii="Arial" w:hAnsi="Arial" w:cs="Arial"/>
          <w:sz w:val="24"/>
          <w:szCs w:val="24"/>
        </w:rPr>
        <w:t xml:space="preserve"> their lives through technology</w:t>
      </w:r>
      <w:r>
        <w:rPr>
          <w:rFonts w:ascii="Arial" w:hAnsi="Arial" w:cs="Arial"/>
          <w:sz w:val="24"/>
          <w:szCs w:val="24"/>
        </w:rPr>
        <w:t>. C</w:t>
      </w:r>
      <w:r w:rsidRPr="0041666C">
        <w:rPr>
          <w:rFonts w:ascii="Arial" w:hAnsi="Arial" w:cs="Arial"/>
          <w:sz w:val="24"/>
          <w:szCs w:val="24"/>
        </w:rPr>
        <w:t xml:space="preserve">hildren </w:t>
      </w:r>
      <w:r>
        <w:rPr>
          <w:rFonts w:ascii="Arial" w:hAnsi="Arial" w:cs="Arial"/>
          <w:sz w:val="24"/>
          <w:szCs w:val="24"/>
        </w:rPr>
        <w:t xml:space="preserve">and youth </w:t>
      </w:r>
      <w:r w:rsidRPr="0041666C">
        <w:rPr>
          <w:rFonts w:ascii="Arial" w:hAnsi="Arial" w:cs="Arial"/>
          <w:sz w:val="24"/>
          <w:szCs w:val="24"/>
        </w:rPr>
        <w:t xml:space="preserve">have the right to </w:t>
      </w:r>
      <w:r>
        <w:rPr>
          <w:rFonts w:ascii="Arial" w:hAnsi="Arial" w:cs="Arial"/>
          <w:sz w:val="24"/>
          <w:szCs w:val="24"/>
        </w:rPr>
        <w:t xml:space="preserve">the benefits of technology and the digital environment, and to protection from human rights violations related to these. The </w:t>
      </w:r>
      <w:r w:rsidR="000768C5">
        <w:rPr>
          <w:rFonts w:ascii="Arial" w:hAnsi="Arial" w:cs="Arial"/>
          <w:sz w:val="24"/>
          <w:szCs w:val="24"/>
        </w:rPr>
        <w:t xml:space="preserve">Canadian Human Rights Commission </w:t>
      </w:r>
      <w:r>
        <w:rPr>
          <w:rFonts w:ascii="Arial" w:hAnsi="Arial" w:cs="Arial"/>
          <w:sz w:val="24"/>
          <w:szCs w:val="24"/>
        </w:rPr>
        <w:t xml:space="preserve">wishes to highlight that it is crucial for children’s online rights and protections to be consistent with their offline rights.  </w:t>
      </w:r>
    </w:p>
    <w:p w14:paraId="07AD4D3F" w14:textId="77777777" w:rsidR="00DF3C36" w:rsidRDefault="00DF3C36" w:rsidP="00DF3C36">
      <w:pPr>
        <w:spacing w:line="240" w:lineRule="auto"/>
        <w:contextualSpacing/>
        <w:rPr>
          <w:rFonts w:ascii="Arial" w:hAnsi="Arial" w:cs="Arial"/>
          <w:sz w:val="24"/>
          <w:szCs w:val="24"/>
        </w:rPr>
      </w:pPr>
    </w:p>
    <w:p w14:paraId="1E79143A" w14:textId="77777777" w:rsidR="00DF3C36" w:rsidRDefault="00DF3C36" w:rsidP="00DF3C36">
      <w:pPr>
        <w:spacing w:after="0" w:line="240" w:lineRule="auto"/>
        <w:contextualSpacing/>
        <w:rPr>
          <w:rFonts w:ascii="Arial" w:hAnsi="Arial" w:cs="Arial"/>
          <w:sz w:val="24"/>
          <w:szCs w:val="24"/>
        </w:rPr>
      </w:pPr>
      <w:r w:rsidRPr="000C732A">
        <w:rPr>
          <w:rFonts w:ascii="Arial" w:hAnsi="Arial" w:cs="Arial"/>
          <w:sz w:val="24"/>
          <w:szCs w:val="24"/>
        </w:rPr>
        <w:t xml:space="preserve">Children </w:t>
      </w:r>
      <w:r>
        <w:rPr>
          <w:rFonts w:ascii="Arial" w:hAnsi="Arial" w:cs="Arial"/>
          <w:sz w:val="24"/>
          <w:szCs w:val="24"/>
        </w:rPr>
        <w:t xml:space="preserve">and youth are increasingly subject to technological surveillance of their activities by both governments and the private sector. This is often done without children’s awareness or informed consent, and presents new and profound risks to privacy and, consequently, to other rights. This increasing surveillance, combined with other technologies such as big data, facial recognition, and AI can put children and youth at risk of having significant parts of their lives and decisions predicted, influenced, monetized and exploited in ways that are inconsistent with the best interests of the child. It can also normalize surveillance as children grow, </w:t>
      </w:r>
      <w:r w:rsidRPr="0041666C">
        <w:rPr>
          <w:rFonts w:ascii="Arial" w:hAnsi="Arial" w:cs="Arial"/>
          <w:sz w:val="24"/>
          <w:szCs w:val="24"/>
        </w:rPr>
        <w:t xml:space="preserve">leaving children </w:t>
      </w:r>
      <w:r>
        <w:rPr>
          <w:rFonts w:ascii="Arial" w:hAnsi="Arial" w:cs="Arial"/>
          <w:sz w:val="24"/>
          <w:szCs w:val="24"/>
        </w:rPr>
        <w:t xml:space="preserve">and youth increasingly </w:t>
      </w:r>
      <w:r w:rsidRPr="0041666C">
        <w:rPr>
          <w:rFonts w:ascii="Arial" w:hAnsi="Arial" w:cs="Arial"/>
          <w:sz w:val="24"/>
          <w:szCs w:val="24"/>
        </w:rPr>
        <w:t>at risk and vulnerab</w:t>
      </w:r>
      <w:r>
        <w:rPr>
          <w:rFonts w:ascii="Arial" w:hAnsi="Arial" w:cs="Arial"/>
          <w:sz w:val="24"/>
          <w:szCs w:val="24"/>
        </w:rPr>
        <w:t>le to violations of their right</w:t>
      </w:r>
      <w:r w:rsidRPr="0041666C">
        <w:rPr>
          <w:rFonts w:ascii="Arial" w:hAnsi="Arial" w:cs="Arial"/>
          <w:sz w:val="24"/>
          <w:szCs w:val="24"/>
        </w:rPr>
        <w:t xml:space="preserve"> to equality and to</w:t>
      </w:r>
      <w:r>
        <w:rPr>
          <w:rFonts w:ascii="Arial" w:hAnsi="Arial" w:cs="Arial"/>
          <w:sz w:val="24"/>
          <w:szCs w:val="24"/>
        </w:rPr>
        <w:t xml:space="preserve"> live free from discrimination.</w:t>
      </w:r>
      <w:r>
        <w:rPr>
          <w:rStyle w:val="FootnoteReference"/>
          <w:rFonts w:ascii="Arial" w:hAnsi="Arial" w:cs="Arial"/>
          <w:sz w:val="24"/>
          <w:szCs w:val="24"/>
        </w:rPr>
        <w:footnoteReference w:id="1"/>
      </w:r>
    </w:p>
    <w:p w14:paraId="2609B13B" w14:textId="77777777" w:rsidR="00DF3C36" w:rsidRDefault="00DF3C36" w:rsidP="00DF3C36">
      <w:pPr>
        <w:spacing w:after="0" w:line="240" w:lineRule="auto"/>
        <w:contextualSpacing/>
        <w:rPr>
          <w:rFonts w:ascii="Arial" w:hAnsi="Arial" w:cs="Arial"/>
          <w:sz w:val="24"/>
          <w:szCs w:val="24"/>
        </w:rPr>
      </w:pPr>
    </w:p>
    <w:p w14:paraId="5CE0E98E" w14:textId="77777777" w:rsidR="00DF3C36" w:rsidRPr="00DF0504" w:rsidRDefault="00DF3C36" w:rsidP="00DF3C36">
      <w:pPr>
        <w:spacing w:after="0" w:line="240" w:lineRule="auto"/>
        <w:contextualSpacing/>
        <w:rPr>
          <w:rFonts w:ascii="Arial" w:hAnsi="Arial" w:cs="Arial"/>
          <w:color w:val="211D1E"/>
          <w:sz w:val="24"/>
          <w:szCs w:val="24"/>
        </w:rPr>
      </w:pPr>
      <w:r w:rsidRPr="00DF0504">
        <w:rPr>
          <w:rFonts w:ascii="Arial" w:hAnsi="Arial" w:cs="Arial"/>
          <w:color w:val="211D1E"/>
          <w:sz w:val="24"/>
          <w:szCs w:val="24"/>
        </w:rPr>
        <w:t>Children are also victims of online</w:t>
      </w:r>
      <w:r>
        <w:rPr>
          <w:rFonts w:ascii="Arial" w:hAnsi="Arial" w:cs="Arial"/>
          <w:color w:val="211D1E"/>
          <w:sz w:val="24"/>
          <w:szCs w:val="24"/>
        </w:rPr>
        <w:t xml:space="preserve"> exploitation,</w:t>
      </w:r>
      <w:r w:rsidRPr="00DF0504">
        <w:rPr>
          <w:rFonts w:ascii="Arial" w:hAnsi="Arial" w:cs="Arial"/>
          <w:color w:val="211D1E"/>
          <w:sz w:val="24"/>
          <w:szCs w:val="24"/>
        </w:rPr>
        <w:t xml:space="preserve"> hate</w:t>
      </w:r>
      <w:r>
        <w:rPr>
          <w:rFonts w:ascii="Arial" w:hAnsi="Arial" w:cs="Arial"/>
          <w:color w:val="211D1E"/>
          <w:sz w:val="24"/>
          <w:szCs w:val="24"/>
        </w:rPr>
        <w:t>,</w:t>
      </w:r>
      <w:r w:rsidRPr="00DF0504">
        <w:rPr>
          <w:rFonts w:ascii="Arial" w:hAnsi="Arial" w:cs="Arial"/>
          <w:color w:val="211D1E"/>
          <w:sz w:val="24"/>
          <w:szCs w:val="24"/>
        </w:rPr>
        <w:t xml:space="preserve"> </w:t>
      </w:r>
      <w:r>
        <w:rPr>
          <w:rFonts w:ascii="Arial" w:hAnsi="Arial" w:cs="Arial"/>
          <w:color w:val="211D1E"/>
          <w:sz w:val="24"/>
          <w:szCs w:val="24"/>
        </w:rPr>
        <w:t xml:space="preserve">harassment, and abuse, often related to their sex, race, </w:t>
      </w:r>
      <w:r w:rsidRPr="00DF0504">
        <w:rPr>
          <w:rFonts w:ascii="Arial" w:hAnsi="Arial" w:cs="Arial"/>
          <w:color w:val="211D1E"/>
          <w:sz w:val="24"/>
          <w:szCs w:val="24"/>
        </w:rPr>
        <w:t>gender identity or expression</w:t>
      </w:r>
      <w:r>
        <w:rPr>
          <w:rFonts w:ascii="Arial" w:hAnsi="Arial" w:cs="Arial"/>
          <w:color w:val="211D1E"/>
          <w:sz w:val="24"/>
          <w:szCs w:val="24"/>
        </w:rPr>
        <w:t>,</w:t>
      </w:r>
      <w:r w:rsidRPr="00DF0504">
        <w:rPr>
          <w:rFonts w:ascii="Arial" w:hAnsi="Arial" w:cs="Arial"/>
          <w:color w:val="211D1E"/>
          <w:sz w:val="24"/>
          <w:szCs w:val="24"/>
        </w:rPr>
        <w:t xml:space="preserve"> </w:t>
      </w:r>
      <w:r>
        <w:rPr>
          <w:rFonts w:ascii="Arial" w:hAnsi="Arial" w:cs="Arial"/>
          <w:color w:val="211D1E"/>
          <w:sz w:val="24"/>
          <w:szCs w:val="24"/>
        </w:rPr>
        <w:t>or other characteristics</w:t>
      </w:r>
      <w:r w:rsidRPr="00DF0504">
        <w:rPr>
          <w:rFonts w:ascii="Arial" w:hAnsi="Arial" w:cs="Arial"/>
          <w:color w:val="211D1E"/>
          <w:sz w:val="24"/>
          <w:szCs w:val="24"/>
        </w:rPr>
        <w:t xml:space="preserve">. Cyber-bullying and the sharing of child abuse images online </w:t>
      </w:r>
      <w:r>
        <w:rPr>
          <w:rFonts w:ascii="Arial" w:hAnsi="Arial" w:cs="Arial"/>
          <w:color w:val="211D1E"/>
          <w:sz w:val="24"/>
          <w:szCs w:val="24"/>
        </w:rPr>
        <w:t xml:space="preserve">are </w:t>
      </w:r>
      <w:r w:rsidRPr="00DF0504">
        <w:rPr>
          <w:rFonts w:ascii="Arial" w:hAnsi="Arial" w:cs="Arial"/>
          <w:color w:val="211D1E"/>
          <w:sz w:val="24"/>
          <w:szCs w:val="24"/>
        </w:rPr>
        <w:t xml:space="preserve">examples of serious violations of children’s privacy rights that can have long-term ramifications due to </w:t>
      </w:r>
      <w:r>
        <w:rPr>
          <w:rFonts w:ascii="Arial" w:hAnsi="Arial" w:cs="Arial"/>
          <w:color w:val="211D1E"/>
          <w:sz w:val="24"/>
          <w:szCs w:val="24"/>
        </w:rPr>
        <w:t xml:space="preserve">the </w:t>
      </w:r>
      <w:r w:rsidRPr="00DF0504">
        <w:rPr>
          <w:rFonts w:ascii="Arial" w:hAnsi="Arial" w:cs="Arial"/>
          <w:color w:val="211D1E"/>
          <w:sz w:val="24"/>
          <w:szCs w:val="24"/>
        </w:rPr>
        <w:t>fa</w:t>
      </w:r>
      <w:r>
        <w:rPr>
          <w:rFonts w:ascii="Arial" w:hAnsi="Arial" w:cs="Arial"/>
          <w:color w:val="211D1E"/>
          <w:sz w:val="24"/>
          <w:szCs w:val="24"/>
        </w:rPr>
        <w:t>r reach and permanency of information online</w:t>
      </w:r>
      <w:r w:rsidRPr="00DF0504">
        <w:rPr>
          <w:rFonts w:ascii="Arial" w:hAnsi="Arial" w:cs="Arial"/>
          <w:color w:val="211D1E"/>
          <w:sz w:val="24"/>
          <w:szCs w:val="24"/>
        </w:rPr>
        <w:t>.</w:t>
      </w:r>
      <w:r>
        <w:rPr>
          <w:rStyle w:val="FootnoteReference"/>
          <w:rFonts w:ascii="Arial" w:hAnsi="Arial" w:cs="Arial"/>
          <w:color w:val="211D1E"/>
          <w:sz w:val="24"/>
          <w:szCs w:val="24"/>
        </w:rPr>
        <w:footnoteReference w:id="2"/>
      </w:r>
      <w:r>
        <w:rPr>
          <w:rFonts w:ascii="Arial" w:hAnsi="Arial" w:cs="Arial"/>
          <w:color w:val="211D1E"/>
          <w:sz w:val="24"/>
          <w:szCs w:val="24"/>
        </w:rPr>
        <w:t xml:space="preserve"> </w:t>
      </w:r>
    </w:p>
    <w:p w14:paraId="3B6CC8DC" w14:textId="77777777" w:rsidR="00DF3C36" w:rsidRDefault="00DF3C36" w:rsidP="00DF3C36">
      <w:pPr>
        <w:spacing w:after="0" w:line="240" w:lineRule="auto"/>
        <w:contextualSpacing/>
        <w:rPr>
          <w:rFonts w:ascii="Arial" w:hAnsi="Arial" w:cs="Arial"/>
          <w:sz w:val="24"/>
          <w:szCs w:val="24"/>
        </w:rPr>
      </w:pPr>
    </w:p>
    <w:p w14:paraId="57628107" w14:textId="77777777" w:rsidR="00DF3C36" w:rsidRDefault="00DF3C36" w:rsidP="00DF3C36">
      <w:pPr>
        <w:spacing w:after="0" w:line="240" w:lineRule="auto"/>
        <w:contextualSpacing/>
        <w:rPr>
          <w:rFonts w:ascii="Arial" w:hAnsi="Arial" w:cs="Arial"/>
          <w:sz w:val="24"/>
          <w:szCs w:val="24"/>
        </w:rPr>
      </w:pPr>
      <w:r>
        <w:rPr>
          <w:rFonts w:ascii="Arial" w:hAnsi="Arial" w:cs="Arial"/>
          <w:sz w:val="24"/>
          <w:szCs w:val="24"/>
        </w:rPr>
        <w:t>There have been few</w:t>
      </w:r>
      <w:r w:rsidRPr="00027191">
        <w:rPr>
          <w:rFonts w:ascii="Arial" w:hAnsi="Arial" w:cs="Arial"/>
          <w:sz w:val="24"/>
          <w:szCs w:val="24"/>
        </w:rPr>
        <w:t xml:space="preserve"> </w:t>
      </w:r>
      <w:r>
        <w:rPr>
          <w:rFonts w:ascii="Arial" w:hAnsi="Arial" w:cs="Arial"/>
          <w:sz w:val="24"/>
          <w:szCs w:val="24"/>
        </w:rPr>
        <w:t xml:space="preserve">detailed assessments </w:t>
      </w:r>
      <w:r w:rsidRPr="00027191">
        <w:rPr>
          <w:rFonts w:ascii="Arial" w:hAnsi="Arial" w:cs="Arial"/>
          <w:sz w:val="24"/>
          <w:szCs w:val="24"/>
        </w:rPr>
        <w:t>of wh</w:t>
      </w:r>
      <w:r>
        <w:rPr>
          <w:rFonts w:ascii="Arial" w:hAnsi="Arial" w:cs="Arial"/>
          <w:sz w:val="24"/>
          <w:szCs w:val="24"/>
        </w:rPr>
        <w:t xml:space="preserve">ether and how children’s rights – including the right to </w:t>
      </w:r>
      <w:r w:rsidRPr="00027191">
        <w:rPr>
          <w:rFonts w:ascii="Arial" w:hAnsi="Arial" w:cs="Arial"/>
          <w:sz w:val="24"/>
          <w:szCs w:val="24"/>
        </w:rPr>
        <w:t xml:space="preserve">privacy </w:t>
      </w:r>
      <w:r>
        <w:rPr>
          <w:rFonts w:ascii="Arial" w:hAnsi="Arial" w:cs="Arial"/>
          <w:sz w:val="24"/>
          <w:szCs w:val="24"/>
        </w:rPr>
        <w:t xml:space="preserve">– can be both realized and </w:t>
      </w:r>
      <w:r w:rsidRPr="00027191">
        <w:rPr>
          <w:rFonts w:ascii="Arial" w:hAnsi="Arial" w:cs="Arial"/>
          <w:sz w:val="24"/>
          <w:szCs w:val="24"/>
        </w:rPr>
        <w:t>protected in digital environments.</w:t>
      </w:r>
      <w:r>
        <w:rPr>
          <w:rStyle w:val="FootnoteReference"/>
          <w:rFonts w:ascii="Arial" w:hAnsi="Arial" w:cs="Arial"/>
          <w:sz w:val="24"/>
          <w:szCs w:val="24"/>
        </w:rPr>
        <w:footnoteReference w:id="3"/>
      </w:r>
      <w:r w:rsidRPr="0041666C">
        <w:rPr>
          <w:rFonts w:ascii="Arial" w:hAnsi="Arial" w:cs="Arial"/>
          <w:sz w:val="24"/>
          <w:szCs w:val="24"/>
        </w:rPr>
        <w:t xml:space="preserve"> </w:t>
      </w:r>
      <w:r>
        <w:rPr>
          <w:rFonts w:ascii="Arial" w:hAnsi="Arial" w:cs="Arial"/>
          <w:sz w:val="24"/>
          <w:szCs w:val="24"/>
        </w:rPr>
        <w:t>However, international frameworks and guidance for both governments and the private sector is growing. For example, in 2016, the UN Human Rights Council</w:t>
      </w:r>
      <w:r w:rsidRPr="002F3677">
        <w:rPr>
          <w:rFonts w:ascii="Arial" w:hAnsi="Arial" w:cs="Arial"/>
          <w:sz w:val="24"/>
          <w:szCs w:val="24"/>
        </w:rPr>
        <w:t xml:space="preserve"> </w:t>
      </w:r>
      <w:r>
        <w:rPr>
          <w:rFonts w:ascii="Arial" w:hAnsi="Arial" w:cs="Arial"/>
          <w:sz w:val="24"/>
          <w:szCs w:val="24"/>
        </w:rPr>
        <w:t>passed a r</w:t>
      </w:r>
      <w:r w:rsidRPr="002F3677">
        <w:rPr>
          <w:rFonts w:ascii="Arial" w:hAnsi="Arial" w:cs="Arial"/>
          <w:sz w:val="24"/>
          <w:szCs w:val="24"/>
        </w:rPr>
        <w:t>esolution</w:t>
      </w:r>
      <w:r>
        <w:rPr>
          <w:rFonts w:ascii="Arial" w:hAnsi="Arial" w:cs="Arial"/>
          <w:sz w:val="24"/>
          <w:szCs w:val="24"/>
        </w:rPr>
        <w:t xml:space="preserve"> </w:t>
      </w:r>
      <w:r w:rsidRPr="00964971">
        <w:rPr>
          <w:rFonts w:ascii="Arial" w:hAnsi="Arial" w:cs="Arial"/>
          <w:sz w:val="24"/>
          <w:szCs w:val="24"/>
        </w:rPr>
        <w:t>on the right to privacy in the digital age</w:t>
      </w:r>
      <w:r w:rsidRPr="002F3677">
        <w:rPr>
          <w:rFonts w:ascii="Arial" w:hAnsi="Arial" w:cs="Arial"/>
          <w:sz w:val="24"/>
          <w:szCs w:val="24"/>
        </w:rPr>
        <w:t xml:space="preserve"> that makes explicit reference to the </w:t>
      </w:r>
      <w:r>
        <w:rPr>
          <w:rFonts w:ascii="Arial" w:hAnsi="Arial" w:cs="Arial"/>
          <w:sz w:val="24"/>
          <w:szCs w:val="24"/>
        </w:rPr>
        <w:t>C</w:t>
      </w:r>
      <w:r w:rsidR="00221A5A">
        <w:rPr>
          <w:rFonts w:ascii="Arial" w:hAnsi="Arial" w:cs="Arial"/>
          <w:sz w:val="24"/>
          <w:szCs w:val="24"/>
        </w:rPr>
        <w:t>onvention on the Rights of the Child</w:t>
      </w:r>
      <w:r>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 xml:space="preserve"> As well, section </w:t>
      </w:r>
      <w:r w:rsidRPr="00AD12D3">
        <w:rPr>
          <w:rFonts w:ascii="Arial" w:hAnsi="Arial" w:cs="Arial"/>
          <w:sz w:val="24"/>
          <w:szCs w:val="24"/>
        </w:rPr>
        <w:t xml:space="preserve">38 </w:t>
      </w:r>
      <w:r>
        <w:rPr>
          <w:rFonts w:ascii="Arial" w:hAnsi="Arial" w:cs="Arial"/>
          <w:sz w:val="24"/>
          <w:szCs w:val="24"/>
        </w:rPr>
        <w:t xml:space="preserve">of the European Union’s </w:t>
      </w:r>
      <w:r w:rsidRPr="008C049E">
        <w:rPr>
          <w:rFonts w:ascii="Arial" w:hAnsi="Arial" w:cs="Arial"/>
          <w:sz w:val="24"/>
          <w:szCs w:val="24"/>
        </w:rPr>
        <w:t>General Data Protection Regulation</w:t>
      </w:r>
      <w:r>
        <w:rPr>
          <w:rFonts w:ascii="Arial" w:hAnsi="Arial" w:cs="Arial"/>
          <w:sz w:val="24"/>
          <w:szCs w:val="24"/>
        </w:rPr>
        <w:t xml:space="preserve"> recognises that “</w:t>
      </w:r>
      <w:r w:rsidRPr="00AD12D3">
        <w:rPr>
          <w:rFonts w:ascii="Arial" w:hAnsi="Arial" w:cs="Arial"/>
          <w:sz w:val="24"/>
          <w:szCs w:val="24"/>
        </w:rPr>
        <w:t>[c]</w:t>
      </w:r>
      <w:proofErr w:type="spellStart"/>
      <w:r w:rsidRPr="00AD12D3">
        <w:rPr>
          <w:rFonts w:ascii="Arial" w:hAnsi="Arial" w:cs="Arial"/>
          <w:sz w:val="24"/>
          <w:szCs w:val="24"/>
        </w:rPr>
        <w:t>hildren</w:t>
      </w:r>
      <w:proofErr w:type="spellEnd"/>
      <w:r w:rsidRPr="00AD12D3">
        <w:rPr>
          <w:rFonts w:ascii="Arial" w:hAnsi="Arial" w:cs="Arial"/>
          <w:sz w:val="24"/>
          <w:szCs w:val="24"/>
        </w:rPr>
        <w:t xml:space="preserve"> merit specific protection with regard to their personal data, as they may be less aware of the risks, consequences and safeguards concerned and their rights in relation to th</w:t>
      </w:r>
      <w:r>
        <w:rPr>
          <w:rFonts w:ascii="Arial" w:hAnsi="Arial" w:cs="Arial"/>
          <w:sz w:val="24"/>
          <w:szCs w:val="24"/>
        </w:rPr>
        <w:t>e processing of personal data”.</w:t>
      </w:r>
      <w:r>
        <w:rPr>
          <w:rStyle w:val="FootnoteReference"/>
          <w:rFonts w:ascii="Arial" w:hAnsi="Arial" w:cs="Arial"/>
          <w:sz w:val="24"/>
          <w:szCs w:val="24"/>
        </w:rPr>
        <w:footnoteReference w:id="5"/>
      </w:r>
      <w:r>
        <w:rPr>
          <w:rFonts w:ascii="Arial" w:hAnsi="Arial" w:cs="Arial"/>
          <w:sz w:val="24"/>
          <w:szCs w:val="24"/>
        </w:rPr>
        <w:t xml:space="preserve"> </w:t>
      </w:r>
    </w:p>
    <w:p w14:paraId="78FCD2F7" w14:textId="77777777" w:rsidR="00DF3C36" w:rsidRDefault="00DF3C36" w:rsidP="00DF3C36">
      <w:pPr>
        <w:spacing w:after="0" w:line="240" w:lineRule="auto"/>
        <w:contextualSpacing/>
        <w:rPr>
          <w:rFonts w:ascii="Arial" w:hAnsi="Arial" w:cs="Arial"/>
          <w:sz w:val="24"/>
          <w:szCs w:val="24"/>
        </w:rPr>
      </w:pPr>
    </w:p>
    <w:p w14:paraId="16363D60" w14:textId="77777777" w:rsidR="00DF3C36" w:rsidRDefault="00DF3C36" w:rsidP="00BF13C7">
      <w:pPr>
        <w:spacing w:after="0" w:line="240" w:lineRule="auto"/>
        <w:contextualSpacing/>
        <w:rPr>
          <w:rFonts w:ascii="Arial" w:hAnsi="Arial" w:cs="Arial"/>
          <w:sz w:val="24"/>
          <w:szCs w:val="24"/>
        </w:rPr>
      </w:pPr>
      <w:r>
        <w:rPr>
          <w:rFonts w:ascii="Arial" w:hAnsi="Arial" w:cs="Arial"/>
          <w:sz w:val="24"/>
          <w:szCs w:val="24"/>
        </w:rPr>
        <w:lastRenderedPageBreak/>
        <w:t>I</w:t>
      </w:r>
      <w:r w:rsidRPr="0041666C">
        <w:rPr>
          <w:rFonts w:ascii="Arial" w:hAnsi="Arial" w:cs="Arial"/>
          <w:sz w:val="24"/>
          <w:szCs w:val="24"/>
        </w:rPr>
        <w:t>n Canada</w:t>
      </w:r>
      <w:r>
        <w:rPr>
          <w:rFonts w:ascii="Arial" w:hAnsi="Arial" w:cs="Arial"/>
          <w:sz w:val="24"/>
          <w:szCs w:val="24"/>
        </w:rPr>
        <w:t>, there is ongoing work from governments and the private sector in this area, but</w:t>
      </w:r>
      <w:r w:rsidRPr="0041666C">
        <w:rPr>
          <w:rFonts w:ascii="Arial" w:hAnsi="Arial" w:cs="Arial"/>
          <w:sz w:val="24"/>
          <w:szCs w:val="24"/>
        </w:rPr>
        <w:t xml:space="preserve"> there is </w:t>
      </w:r>
      <w:r>
        <w:rPr>
          <w:rFonts w:ascii="Arial" w:hAnsi="Arial" w:cs="Arial"/>
          <w:sz w:val="24"/>
          <w:szCs w:val="24"/>
        </w:rPr>
        <w:t>little</w:t>
      </w:r>
      <w:r w:rsidRPr="0041666C">
        <w:rPr>
          <w:rFonts w:ascii="Arial" w:hAnsi="Arial" w:cs="Arial"/>
          <w:sz w:val="24"/>
          <w:szCs w:val="24"/>
        </w:rPr>
        <w:t xml:space="preserve"> </w:t>
      </w:r>
      <w:r>
        <w:rPr>
          <w:rFonts w:ascii="Arial" w:hAnsi="Arial" w:cs="Arial"/>
          <w:sz w:val="24"/>
          <w:szCs w:val="24"/>
        </w:rPr>
        <w:t>legislation or regulation</w:t>
      </w:r>
      <w:r w:rsidRPr="0041666C">
        <w:rPr>
          <w:rFonts w:ascii="Arial" w:hAnsi="Arial" w:cs="Arial"/>
          <w:sz w:val="24"/>
          <w:szCs w:val="24"/>
        </w:rPr>
        <w:t xml:space="preserve"> currently in place to identify, prevent,</w:t>
      </w:r>
      <w:r>
        <w:rPr>
          <w:rFonts w:ascii="Arial" w:hAnsi="Arial" w:cs="Arial"/>
          <w:sz w:val="24"/>
          <w:szCs w:val="24"/>
        </w:rPr>
        <w:t xml:space="preserve"> prohibit</w:t>
      </w:r>
      <w:r w:rsidRPr="0041666C">
        <w:rPr>
          <w:rFonts w:ascii="Arial" w:hAnsi="Arial" w:cs="Arial"/>
          <w:sz w:val="24"/>
          <w:szCs w:val="24"/>
        </w:rPr>
        <w:t xml:space="preserve"> or remedy</w:t>
      </w:r>
      <w:r>
        <w:rPr>
          <w:rFonts w:ascii="Arial" w:hAnsi="Arial" w:cs="Arial"/>
          <w:sz w:val="24"/>
          <w:szCs w:val="24"/>
        </w:rPr>
        <w:t xml:space="preserve"> individual or</w:t>
      </w:r>
      <w:r w:rsidRPr="0041666C">
        <w:rPr>
          <w:rFonts w:ascii="Arial" w:hAnsi="Arial" w:cs="Arial"/>
          <w:sz w:val="24"/>
          <w:szCs w:val="24"/>
        </w:rPr>
        <w:t xml:space="preserve"> systemic human rights violations </w:t>
      </w:r>
      <w:r>
        <w:rPr>
          <w:rFonts w:ascii="Arial" w:hAnsi="Arial" w:cs="Arial"/>
          <w:sz w:val="24"/>
          <w:szCs w:val="24"/>
        </w:rPr>
        <w:t xml:space="preserve">against children </w:t>
      </w:r>
      <w:r w:rsidRPr="0041666C">
        <w:rPr>
          <w:rFonts w:ascii="Arial" w:hAnsi="Arial" w:cs="Arial"/>
          <w:sz w:val="24"/>
          <w:szCs w:val="24"/>
        </w:rPr>
        <w:t xml:space="preserve">that are linked to </w:t>
      </w:r>
      <w:r>
        <w:rPr>
          <w:rFonts w:ascii="Arial" w:hAnsi="Arial" w:cs="Arial"/>
          <w:sz w:val="24"/>
          <w:szCs w:val="24"/>
        </w:rPr>
        <w:t>technology, human rights, and the digital environment</w:t>
      </w:r>
      <w:r w:rsidRPr="0041666C">
        <w:rPr>
          <w:rFonts w:ascii="Arial" w:hAnsi="Arial" w:cs="Arial"/>
          <w:sz w:val="24"/>
          <w:szCs w:val="24"/>
        </w:rPr>
        <w:t>.</w:t>
      </w:r>
      <w:r w:rsidR="00B626CB">
        <w:rPr>
          <w:rFonts w:ascii="Arial" w:hAnsi="Arial" w:cs="Arial"/>
          <w:sz w:val="24"/>
          <w:szCs w:val="24"/>
        </w:rPr>
        <w:t xml:space="preserve"> Therefore, in its most recent report to the Committee on the Rights of the Child – on the occasion of its consideration of Canada’s 5</w:t>
      </w:r>
      <w:r w:rsidR="00B626CB" w:rsidRPr="00B626CB">
        <w:rPr>
          <w:rFonts w:ascii="Arial" w:hAnsi="Arial" w:cs="Arial"/>
          <w:sz w:val="24"/>
          <w:szCs w:val="24"/>
          <w:vertAlign w:val="superscript"/>
        </w:rPr>
        <w:t>th</w:t>
      </w:r>
      <w:r w:rsidR="00B626CB">
        <w:rPr>
          <w:rFonts w:ascii="Arial" w:hAnsi="Arial" w:cs="Arial"/>
          <w:sz w:val="24"/>
          <w:szCs w:val="24"/>
        </w:rPr>
        <w:t xml:space="preserve"> and 6</w:t>
      </w:r>
      <w:r w:rsidR="00B626CB" w:rsidRPr="00B626CB">
        <w:rPr>
          <w:rFonts w:ascii="Arial" w:hAnsi="Arial" w:cs="Arial"/>
          <w:sz w:val="24"/>
          <w:szCs w:val="24"/>
          <w:vertAlign w:val="superscript"/>
        </w:rPr>
        <w:t>th</w:t>
      </w:r>
      <w:r w:rsidR="00B626CB">
        <w:rPr>
          <w:rFonts w:ascii="Arial" w:hAnsi="Arial" w:cs="Arial"/>
          <w:sz w:val="24"/>
          <w:szCs w:val="24"/>
        </w:rPr>
        <w:t xml:space="preserve"> periodic reports – the Canadian Human Rights Commission recommended that the Committee ask Canada to provide details of the steps being taken to address the prevention, protection and access to remedies for the violation of rights against children in the digital environment, as well as what efforts are being made to ensure that children’s rights to equality in the digital environment are adequately protected by governments and within the private sector. </w:t>
      </w:r>
    </w:p>
    <w:p w14:paraId="39DD583A" w14:textId="77777777" w:rsidR="005042C5" w:rsidRDefault="005042C5" w:rsidP="00BF13C7">
      <w:pPr>
        <w:spacing w:after="0" w:line="240" w:lineRule="auto"/>
        <w:contextualSpacing/>
        <w:rPr>
          <w:rFonts w:ascii="Arial" w:hAnsi="Arial" w:cs="Arial"/>
          <w:sz w:val="24"/>
          <w:szCs w:val="24"/>
        </w:rPr>
      </w:pPr>
    </w:p>
    <w:p w14:paraId="7B8E866D" w14:textId="77777777" w:rsidR="00DA0B73" w:rsidRDefault="00DA0B73"/>
    <w:sectPr w:rsidR="00DA0B73" w:rsidSect="00312A92">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AC6D" w14:textId="77777777" w:rsidR="000054B5" w:rsidRDefault="000054B5" w:rsidP="00DF3C36">
      <w:pPr>
        <w:spacing w:after="0" w:line="240" w:lineRule="auto"/>
      </w:pPr>
      <w:r>
        <w:separator/>
      </w:r>
    </w:p>
  </w:endnote>
  <w:endnote w:type="continuationSeparator" w:id="0">
    <w:p w14:paraId="1C5F20FE" w14:textId="77777777" w:rsidR="000054B5" w:rsidRDefault="000054B5" w:rsidP="00DF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78602457"/>
      <w:docPartObj>
        <w:docPartGallery w:val="Page Numbers (Bottom of Page)"/>
        <w:docPartUnique/>
      </w:docPartObj>
    </w:sdtPr>
    <w:sdtEndPr>
      <w:rPr>
        <w:noProof/>
      </w:rPr>
    </w:sdtEndPr>
    <w:sdtContent>
      <w:p w14:paraId="76F60BE0" w14:textId="77777777" w:rsidR="00312A92" w:rsidRPr="00312A92" w:rsidRDefault="00312A92">
        <w:pPr>
          <w:pStyle w:val="Footer"/>
          <w:jc w:val="right"/>
          <w:rPr>
            <w:rFonts w:ascii="Arial" w:hAnsi="Arial" w:cs="Arial"/>
            <w:sz w:val="24"/>
            <w:szCs w:val="24"/>
          </w:rPr>
        </w:pPr>
        <w:r w:rsidRPr="00312A92">
          <w:rPr>
            <w:rFonts w:ascii="Arial" w:hAnsi="Arial" w:cs="Arial"/>
            <w:sz w:val="24"/>
            <w:szCs w:val="24"/>
          </w:rPr>
          <w:fldChar w:fldCharType="begin"/>
        </w:r>
        <w:r w:rsidRPr="00312A92">
          <w:rPr>
            <w:rFonts w:ascii="Arial" w:hAnsi="Arial" w:cs="Arial"/>
            <w:sz w:val="24"/>
            <w:szCs w:val="24"/>
          </w:rPr>
          <w:instrText xml:space="preserve"> PAGE   \* MERGEFORMAT </w:instrText>
        </w:r>
        <w:r w:rsidRPr="00312A92">
          <w:rPr>
            <w:rFonts w:ascii="Arial" w:hAnsi="Arial" w:cs="Arial"/>
            <w:sz w:val="24"/>
            <w:szCs w:val="24"/>
          </w:rPr>
          <w:fldChar w:fldCharType="separate"/>
        </w:r>
        <w:r w:rsidR="00B626CB">
          <w:rPr>
            <w:rFonts w:ascii="Arial" w:hAnsi="Arial" w:cs="Arial"/>
            <w:noProof/>
            <w:sz w:val="24"/>
            <w:szCs w:val="24"/>
          </w:rPr>
          <w:t>2</w:t>
        </w:r>
        <w:r w:rsidRPr="00312A92">
          <w:rPr>
            <w:rFonts w:ascii="Arial" w:hAnsi="Arial" w:cs="Arial"/>
            <w:noProof/>
            <w:sz w:val="24"/>
            <w:szCs w:val="24"/>
          </w:rPr>
          <w:fldChar w:fldCharType="end"/>
        </w:r>
      </w:p>
    </w:sdtContent>
  </w:sdt>
  <w:p w14:paraId="58329333" w14:textId="77777777" w:rsidR="00312A92" w:rsidRDefault="0031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ED3C" w14:textId="77777777" w:rsidR="000054B5" w:rsidRDefault="000054B5" w:rsidP="00DF3C36">
      <w:pPr>
        <w:spacing w:after="0" w:line="240" w:lineRule="auto"/>
      </w:pPr>
      <w:r>
        <w:separator/>
      </w:r>
    </w:p>
  </w:footnote>
  <w:footnote w:type="continuationSeparator" w:id="0">
    <w:p w14:paraId="7902010C" w14:textId="77777777" w:rsidR="000054B5" w:rsidRDefault="000054B5" w:rsidP="00DF3C36">
      <w:pPr>
        <w:spacing w:after="0" w:line="240" w:lineRule="auto"/>
      </w:pPr>
      <w:r>
        <w:continuationSeparator/>
      </w:r>
    </w:p>
  </w:footnote>
  <w:footnote w:id="1">
    <w:p w14:paraId="7A15795E" w14:textId="77777777" w:rsidR="00DF3C36" w:rsidRDefault="00DF3C36" w:rsidP="00DF3C36">
      <w:pPr>
        <w:pStyle w:val="FootnoteText"/>
      </w:pPr>
      <w:r w:rsidRPr="00D51E76">
        <w:rPr>
          <w:rStyle w:val="FootnoteReference"/>
          <w:rFonts w:ascii="Arial" w:hAnsi="Arial" w:cs="Arial"/>
          <w:sz w:val="20"/>
          <w:szCs w:val="20"/>
        </w:rPr>
        <w:footnoteRef/>
      </w:r>
      <w:r w:rsidRPr="00D51E76">
        <w:rPr>
          <w:rFonts w:ascii="Arial" w:hAnsi="Arial" w:cs="Arial"/>
          <w:sz w:val="20"/>
          <w:szCs w:val="20"/>
        </w:rPr>
        <w:t xml:space="preserve"> See </w:t>
      </w:r>
      <w:hyperlink r:id="rId1" w:history="1">
        <w:r w:rsidRPr="00D51E76">
          <w:rPr>
            <w:rStyle w:val="Hyperlink"/>
            <w:rFonts w:ascii="Arial" w:hAnsi="Arial" w:cs="Arial"/>
            <w:sz w:val="20"/>
            <w:szCs w:val="20"/>
          </w:rPr>
          <w:t>https://www.ohchr.org/EN/Issues/DigitalAge/Pages/DigitalAgeIndex.aspx</w:t>
        </w:r>
      </w:hyperlink>
      <w:r>
        <w:rPr>
          <w:rFonts w:ascii="Arial" w:hAnsi="Arial" w:cs="Arial"/>
          <w:sz w:val="20"/>
          <w:szCs w:val="20"/>
        </w:rPr>
        <w:t>.</w:t>
      </w:r>
    </w:p>
  </w:footnote>
  <w:footnote w:id="2">
    <w:p w14:paraId="24DDF5D9" w14:textId="77777777" w:rsidR="00DF3C36" w:rsidRPr="00D51E76" w:rsidRDefault="00DF3C36" w:rsidP="00DF3C36">
      <w:pPr>
        <w:pStyle w:val="FootnoteText"/>
        <w:rPr>
          <w:rFonts w:ascii="Arial" w:hAnsi="Arial" w:cs="Arial"/>
          <w:sz w:val="20"/>
          <w:szCs w:val="20"/>
        </w:rPr>
      </w:pPr>
      <w:r w:rsidRPr="00D51E76">
        <w:rPr>
          <w:rStyle w:val="FootnoteReference"/>
          <w:rFonts w:ascii="Arial" w:hAnsi="Arial" w:cs="Arial"/>
          <w:sz w:val="20"/>
          <w:szCs w:val="20"/>
        </w:rPr>
        <w:footnoteRef/>
      </w:r>
      <w:r w:rsidRPr="00D51E76">
        <w:rPr>
          <w:rFonts w:ascii="Arial" w:hAnsi="Arial" w:cs="Arial"/>
          <w:sz w:val="20"/>
          <w:szCs w:val="20"/>
        </w:rPr>
        <w:t xml:space="preserve"> </w:t>
      </w:r>
      <w:r>
        <w:rPr>
          <w:rFonts w:ascii="Arial" w:hAnsi="Arial" w:cs="Arial"/>
          <w:sz w:val="20"/>
          <w:szCs w:val="20"/>
        </w:rPr>
        <w:t xml:space="preserve">See: </w:t>
      </w:r>
      <w:hyperlink r:id="rId2" w:history="1">
        <w:r w:rsidRPr="0023691F">
          <w:rPr>
            <w:rStyle w:val="Hyperlink"/>
            <w:rFonts w:ascii="Arial" w:hAnsi="Arial" w:cs="Arial"/>
            <w:sz w:val="20"/>
            <w:szCs w:val="20"/>
          </w:rPr>
          <w:t>https://www.unicef.ca/sites/default/files/imce_uploads/TAKE%20ACTION/ADVOCATE/DOCS/cyberbulling_submission_to_senate_committee.pdf</w:t>
        </w:r>
      </w:hyperlink>
      <w:r>
        <w:rPr>
          <w:rFonts w:ascii="Arial" w:hAnsi="Arial" w:cs="Arial"/>
          <w:sz w:val="20"/>
          <w:szCs w:val="20"/>
        </w:rPr>
        <w:t xml:space="preserve"> and</w:t>
      </w:r>
      <w:r w:rsidRPr="00D51E76">
        <w:rPr>
          <w:rFonts w:ascii="Arial" w:hAnsi="Arial" w:cs="Arial"/>
          <w:sz w:val="20"/>
          <w:szCs w:val="20"/>
        </w:rPr>
        <w:t xml:space="preserve"> </w:t>
      </w:r>
      <w:hyperlink r:id="rId3" w:history="1">
        <w:r w:rsidRPr="00D51E76">
          <w:rPr>
            <w:rStyle w:val="Hyperlink"/>
            <w:rFonts w:ascii="Arial" w:hAnsi="Arial" w:cs="Arial"/>
            <w:sz w:val="20"/>
            <w:szCs w:val="20"/>
          </w:rPr>
          <w:t>http://rightsofchildren.ca/wp-content/uploads/2016/01/CCRC-report-on-rights-of-children-in-Canada.pdf</w:t>
        </w:r>
      </w:hyperlink>
      <w:r>
        <w:rPr>
          <w:rStyle w:val="Hyperlink"/>
          <w:rFonts w:ascii="Arial" w:hAnsi="Arial" w:cs="Arial"/>
          <w:sz w:val="20"/>
          <w:szCs w:val="20"/>
        </w:rPr>
        <w:t>.</w:t>
      </w:r>
      <w:r w:rsidRPr="00D51E76">
        <w:rPr>
          <w:rFonts w:ascii="Arial" w:hAnsi="Arial" w:cs="Arial"/>
          <w:sz w:val="20"/>
          <w:szCs w:val="20"/>
        </w:rPr>
        <w:t xml:space="preserve"> </w:t>
      </w:r>
    </w:p>
  </w:footnote>
  <w:footnote w:id="3">
    <w:p w14:paraId="722D527B" w14:textId="77777777" w:rsidR="00DF3C36" w:rsidRPr="00D51E76" w:rsidRDefault="00DF3C36" w:rsidP="00DF3C36">
      <w:pPr>
        <w:spacing w:after="0" w:line="240" w:lineRule="auto"/>
        <w:contextualSpacing/>
        <w:rPr>
          <w:rFonts w:ascii="Arial" w:hAnsi="Arial" w:cs="Arial"/>
          <w:sz w:val="20"/>
          <w:szCs w:val="20"/>
        </w:rPr>
      </w:pPr>
      <w:r w:rsidRPr="00D51E76">
        <w:rPr>
          <w:rStyle w:val="FootnoteReference"/>
          <w:rFonts w:ascii="Arial" w:hAnsi="Arial" w:cs="Arial"/>
          <w:sz w:val="20"/>
          <w:szCs w:val="20"/>
        </w:rPr>
        <w:footnoteRef/>
      </w:r>
      <w:r w:rsidRPr="00D51E76">
        <w:rPr>
          <w:rFonts w:ascii="Arial" w:hAnsi="Arial" w:cs="Arial"/>
          <w:sz w:val="20"/>
          <w:szCs w:val="20"/>
        </w:rPr>
        <w:t xml:space="preserve"> See: </w:t>
      </w:r>
      <w:hyperlink r:id="rId4" w:history="1">
        <w:r w:rsidRPr="00D51E76">
          <w:rPr>
            <w:rStyle w:val="Hyperlink"/>
            <w:rFonts w:ascii="Arial" w:hAnsi="Arial" w:cs="Arial"/>
            <w:sz w:val="20"/>
            <w:szCs w:val="20"/>
          </w:rPr>
          <w:t>https://rm.coe.int/guidelines-to-respect-protect-and-fulfil-the-rights-of-the-child-in-th/16808d881a</w:t>
        </w:r>
      </w:hyperlink>
      <w:r w:rsidRPr="00D51E76">
        <w:rPr>
          <w:rFonts w:ascii="Arial" w:hAnsi="Arial" w:cs="Arial"/>
          <w:sz w:val="20"/>
          <w:szCs w:val="20"/>
        </w:rPr>
        <w:t xml:space="preserve"> and </w:t>
      </w:r>
      <w:hyperlink r:id="rId5" w:history="1">
        <w:r w:rsidRPr="00D51E76">
          <w:rPr>
            <w:rStyle w:val="Hyperlink"/>
            <w:rFonts w:ascii="Arial" w:hAnsi="Arial" w:cs="Arial"/>
            <w:sz w:val="20"/>
            <w:szCs w:val="20"/>
          </w:rPr>
          <w:t>https://rm.coe.int/it-guidelines-background-document-policy-guidance-on-empowering-protec/168093b644</w:t>
        </w:r>
      </w:hyperlink>
      <w:r>
        <w:rPr>
          <w:rStyle w:val="Hyperlink"/>
          <w:rFonts w:ascii="Arial" w:hAnsi="Arial" w:cs="Arial"/>
          <w:sz w:val="20"/>
          <w:szCs w:val="20"/>
        </w:rPr>
        <w:t>.</w:t>
      </w:r>
      <w:r w:rsidRPr="00D51E76">
        <w:rPr>
          <w:rFonts w:ascii="Arial" w:hAnsi="Arial" w:cs="Arial"/>
          <w:sz w:val="20"/>
          <w:szCs w:val="20"/>
        </w:rPr>
        <w:t xml:space="preserve"> </w:t>
      </w:r>
    </w:p>
  </w:footnote>
  <w:footnote w:id="4">
    <w:p w14:paraId="4FC231EB" w14:textId="77777777" w:rsidR="00DF3C36" w:rsidRPr="00D51E76" w:rsidRDefault="00DF3C36" w:rsidP="00DF3C36">
      <w:pPr>
        <w:pStyle w:val="FootnoteText"/>
        <w:rPr>
          <w:rFonts w:ascii="Arial" w:hAnsi="Arial" w:cs="Arial"/>
          <w:sz w:val="20"/>
          <w:szCs w:val="20"/>
        </w:rPr>
      </w:pPr>
      <w:r w:rsidRPr="00D51E76">
        <w:rPr>
          <w:rStyle w:val="FootnoteReference"/>
          <w:rFonts w:ascii="Arial" w:hAnsi="Arial" w:cs="Arial"/>
          <w:sz w:val="20"/>
          <w:szCs w:val="20"/>
        </w:rPr>
        <w:footnoteRef/>
      </w:r>
      <w:r w:rsidRPr="00D51E76">
        <w:rPr>
          <w:rFonts w:ascii="Arial" w:hAnsi="Arial" w:cs="Arial"/>
          <w:sz w:val="20"/>
          <w:szCs w:val="20"/>
        </w:rPr>
        <w:t xml:space="preserve"> See: </w:t>
      </w:r>
      <w:hyperlink r:id="rId6" w:history="1">
        <w:r w:rsidRPr="00D51E76">
          <w:rPr>
            <w:rStyle w:val="Hyperlink"/>
            <w:rFonts w:ascii="Arial" w:hAnsi="Arial" w:cs="Arial"/>
            <w:sz w:val="20"/>
            <w:szCs w:val="20"/>
          </w:rPr>
          <w:t>https://www.un.org/ga/search/view_doc.asp?symbol=A/C.3/71/L.39/Rev.1</w:t>
        </w:r>
      </w:hyperlink>
      <w:r>
        <w:rPr>
          <w:rFonts w:ascii="Arial" w:hAnsi="Arial" w:cs="Arial"/>
          <w:sz w:val="20"/>
          <w:szCs w:val="20"/>
        </w:rPr>
        <w:t xml:space="preserve">. </w:t>
      </w:r>
    </w:p>
  </w:footnote>
  <w:footnote w:id="5">
    <w:p w14:paraId="6801DA50" w14:textId="77777777" w:rsidR="00DF3C36" w:rsidRPr="00D51E76" w:rsidRDefault="00DF3C36" w:rsidP="00DF3C36">
      <w:pPr>
        <w:pStyle w:val="FootnoteText"/>
        <w:rPr>
          <w:rFonts w:ascii="Arial" w:hAnsi="Arial" w:cs="Arial"/>
          <w:sz w:val="20"/>
          <w:szCs w:val="20"/>
        </w:rPr>
      </w:pPr>
      <w:r w:rsidRPr="00D51E76">
        <w:rPr>
          <w:rStyle w:val="FootnoteReference"/>
          <w:rFonts w:ascii="Arial" w:hAnsi="Arial" w:cs="Arial"/>
          <w:sz w:val="20"/>
          <w:szCs w:val="20"/>
        </w:rPr>
        <w:footnoteRef/>
      </w:r>
      <w:r w:rsidRPr="00D51E76">
        <w:rPr>
          <w:rFonts w:ascii="Arial" w:hAnsi="Arial" w:cs="Arial"/>
          <w:sz w:val="20"/>
          <w:szCs w:val="20"/>
        </w:rPr>
        <w:t xml:space="preserve"> See </w:t>
      </w:r>
      <w:hyperlink r:id="rId7" w:history="1">
        <w:r w:rsidRPr="00D51E76">
          <w:rPr>
            <w:rStyle w:val="Hyperlink"/>
            <w:rFonts w:ascii="Arial" w:hAnsi="Arial" w:cs="Arial"/>
            <w:sz w:val="20"/>
            <w:szCs w:val="20"/>
          </w:rPr>
          <w:t>http://ejlt.org/article/view/674/912</w:t>
        </w:r>
      </w:hyperlink>
      <w:r>
        <w:rPr>
          <w:rStyle w:val="Hyperlink"/>
          <w:rFonts w:ascii="Arial" w:hAnsi="Arial" w:cs="Arial"/>
          <w:sz w:val="20"/>
          <w:szCs w:val="20"/>
        </w:rPr>
        <w:t>.</w:t>
      </w:r>
      <w:r w:rsidRPr="00D51E76">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1EF6"/>
    <w:multiLevelType w:val="hybridMultilevel"/>
    <w:tmpl w:val="FA982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9647E4"/>
    <w:multiLevelType w:val="multilevel"/>
    <w:tmpl w:val="13E0C41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Arial" w:hAnsi="Arial" w:cs="Arial" w:hint="default"/>
        <w:sz w:val="24"/>
        <w:szCs w:val="24"/>
      </w:rPr>
    </w:lvl>
    <w:lvl w:ilvl="2">
      <w:start w:val="1"/>
      <w:numFmt w:val="decimal"/>
      <w:pStyle w:val="Heading3"/>
      <w:lvlText w:val="%1.%2.%3."/>
      <w:lvlJc w:val="left"/>
      <w:pPr>
        <w:ind w:left="1224" w:hanging="504"/>
      </w:pPr>
      <w:rPr>
        <w:b w:val="0"/>
        <w:i w: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36"/>
    <w:rsid w:val="000054B5"/>
    <w:rsid w:val="000768C5"/>
    <w:rsid w:val="00221A5A"/>
    <w:rsid w:val="0030014C"/>
    <w:rsid w:val="00312A92"/>
    <w:rsid w:val="005042C5"/>
    <w:rsid w:val="00702AD3"/>
    <w:rsid w:val="009C026D"/>
    <w:rsid w:val="00B626CB"/>
    <w:rsid w:val="00BF13C7"/>
    <w:rsid w:val="00DA0B73"/>
    <w:rsid w:val="00DF3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877"/>
  <w15:chartTrackingRefBased/>
  <w15:docId w15:val="{1D33C293-241B-4208-BD73-0F35AF73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C36"/>
  </w:style>
  <w:style w:type="paragraph" w:styleId="Heading1">
    <w:name w:val="heading 1"/>
    <w:basedOn w:val="Normal"/>
    <w:next w:val="Normal"/>
    <w:link w:val="Heading1Char"/>
    <w:uiPriority w:val="9"/>
    <w:qFormat/>
    <w:rsid w:val="00DF3C3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C36"/>
    <w:pPr>
      <w:numPr>
        <w:ilvl w:val="1"/>
        <w:numId w:val="1"/>
      </w:numPr>
      <w:spacing w:line="240" w:lineRule="auto"/>
      <w:outlineLvl w:val="1"/>
    </w:pPr>
    <w:rPr>
      <w:rFonts w:ascii="Arial" w:eastAsia="Calibri" w:hAnsi="Arial" w:cs="Arial"/>
      <w:b/>
      <w:sz w:val="24"/>
      <w:szCs w:val="24"/>
      <w:lang w:val="en-US"/>
    </w:rPr>
  </w:style>
  <w:style w:type="paragraph" w:styleId="Heading3">
    <w:name w:val="heading 3"/>
    <w:basedOn w:val="NoSpacing"/>
    <w:next w:val="Normal"/>
    <w:link w:val="Heading3Char"/>
    <w:uiPriority w:val="9"/>
    <w:unhideWhenUsed/>
    <w:qFormat/>
    <w:rsid w:val="00DF3C36"/>
    <w:pPr>
      <w:numPr>
        <w:ilvl w:val="2"/>
        <w:numId w:val="1"/>
      </w:numPr>
      <w:outlineLvl w:val="2"/>
    </w:pPr>
    <w:rPr>
      <w:rFonts w:ascii="Arial" w:eastAsia="Calibri" w:hAnsi="Arial" w:cs="Arial"/>
      <w:sz w:val="24"/>
      <w:szCs w:val="24"/>
      <w:u w:val="single"/>
      <w:lang w:val="en-US"/>
    </w:rPr>
  </w:style>
  <w:style w:type="paragraph" w:styleId="Heading4">
    <w:name w:val="heading 4"/>
    <w:basedOn w:val="NoSpacing"/>
    <w:next w:val="Normal"/>
    <w:link w:val="Heading4Char"/>
    <w:uiPriority w:val="9"/>
    <w:unhideWhenUsed/>
    <w:qFormat/>
    <w:rsid w:val="00DF3C36"/>
    <w:pPr>
      <w:numPr>
        <w:ilvl w:val="3"/>
        <w:numId w:val="1"/>
      </w:numPr>
      <w:outlineLvl w:val="3"/>
    </w:pPr>
    <w:rPr>
      <w:rFonts w:ascii="Arial" w:eastAsia="Calibri" w:hAnsi="Arial" w:cs="Arial"/>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C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C36"/>
    <w:rPr>
      <w:rFonts w:ascii="Arial" w:eastAsia="Calibri" w:hAnsi="Arial" w:cs="Arial"/>
      <w:b/>
      <w:sz w:val="24"/>
      <w:szCs w:val="24"/>
      <w:lang w:val="en-US"/>
    </w:rPr>
  </w:style>
  <w:style w:type="character" w:customStyle="1" w:styleId="Heading3Char">
    <w:name w:val="Heading 3 Char"/>
    <w:basedOn w:val="DefaultParagraphFont"/>
    <w:link w:val="Heading3"/>
    <w:uiPriority w:val="9"/>
    <w:rsid w:val="00DF3C36"/>
    <w:rPr>
      <w:rFonts w:ascii="Arial" w:eastAsia="Calibri" w:hAnsi="Arial" w:cs="Arial"/>
      <w:sz w:val="24"/>
      <w:szCs w:val="24"/>
      <w:u w:val="single"/>
      <w:lang w:val="en-US"/>
    </w:rPr>
  </w:style>
  <w:style w:type="character" w:customStyle="1" w:styleId="Heading4Char">
    <w:name w:val="Heading 4 Char"/>
    <w:basedOn w:val="DefaultParagraphFont"/>
    <w:link w:val="Heading4"/>
    <w:uiPriority w:val="9"/>
    <w:rsid w:val="00DF3C36"/>
    <w:rPr>
      <w:rFonts w:ascii="Arial" w:eastAsia="Calibri" w:hAnsi="Arial" w:cs="Arial"/>
      <w:i/>
      <w:sz w:val="24"/>
      <w:szCs w:val="24"/>
      <w:lang w:val="en-US"/>
    </w:rPr>
  </w:style>
  <w:style w:type="character" w:styleId="Hyperlink">
    <w:name w:val="Hyperlink"/>
    <w:basedOn w:val="DefaultParagraphFont"/>
    <w:uiPriority w:val="99"/>
    <w:unhideWhenUsed/>
    <w:rsid w:val="00DF3C36"/>
    <w:rPr>
      <w:color w:val="0563C1" w:themeColor="hyperlink"/>
      <w:u w:val="single"/>
    </w:rPr>
  </w:style>
  <w:style w:type="paragraph" w:styleId="FootnoteText">
    <w:name w:val="footnote text"/>
    <w:aliases w:val="Carattere,Footnote Text Char1 Char,Footnote Text Char Char Char,Footnote Text Char1 Char Char Char,Footnote Text Char Char Char Char Char,Footnote Text Char2 Char Char Char Char Char,Footnote Text Char1,FA Fu,Char,FA"/>
    <w:basedOn w:val="Normal"/>
    <w:link w:val="FootnoteTextChar"/>
    <w:uiPriority w:val="99"/>
    <w:unhideWhenUsed/>
    <w:rsid w:val="00DF3C36"/>
    <w:pPr>
      <w:spacing w:after="0" w:line="240" w:lineRule="auto"/>
    </w:pPr>
    <w:rPr>
      <w:rFonts w:ascii="Cambria" w:eastAsia="Cambria" w:hAnsi="Cambria" w:cs="Times New Roman"/>
      <w:noProof/>
      <w:sz w:val="24"/>
      <w:szCs w:val="24"/>
      <w:lang w:val="en-US"/>
    </w:rPr>
  </w:style>
  <w:style w:type="character" w:customStyle="1" w:styleId="FootnoteTextChar">
    <w:name w:val="Footnote Text Char"/>
    <w:aliases w:val="Carattere Char,Footnote Text Char1 Char Char,Footnote Text Char Char Char Char,Footnote Text Char1 Char Char Char Char,Footnote Text Char Char Char Char Char Char,Footnote Text Char2 Char Char Char Char Char Char,FA Fu Char,Char Char"/>
    <w:basedOn w:val="DefaultParagraphFont"/>
    <w:link w:val="FootnoteText"/>
    <w:uiPriority w:val="99"/>
    <w:rsid w:val="00DF3C36"/>
    <w:rPr>
      <w:rFonts w:ascii="Cambria" w:eastAsia="Cambria" w:hAnsi="Cambria" w:cs="Times New Roman"/>
      <w:noProof/>
      <w:sz w:val="24"/>
      <w:szCs w:val="24"/>
      <w:lang w:val="en-US"/>
    </w:rPr>
  </w:style>
  <w:style w:type="character" w:styleId="FootnoteReference">
    <w:name w:val="footnote reference"/>
    <w:uiPriority w:val="99"/>
    <w:unhideWhenUsed/>
    <w:rsid w:val="00DF3C36"/>
    <w:rPr>
      <w:vertAlign w:val="superscript"/>
    </w:rPr>
  </w:style>
  <w:style w:type="paragraph" w:customStyle="1" w:styleId="Default">
    <w:name w:val="Default"/>
    <w:rsid w:val="00DF3C3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F3C36"/>
    <w:pPr>
      <w:spacing w:after="0" w:line="240" w:lineRule="auto"/>
    </w:pPr>
  </w:style>
  <w:style w:type="paragraph" w:styleId="Header">
    <w:name w:val="header"/>
    <w:basedOn w:val="Normal"/>
    <w:link w:val="HeaderChar"/>
    <w:uiPriority w:val="99"/>
    <w:unhideWhenUsed/>
    <w:rsid w:val="0031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92"/>
  </w:style>
  <w:style w:type="paragraph" w:styleId="Footer">
    <w:name w:val="footer"/>
    <w:basedOn w:val="Normal"/>
    <w:link w:val="FooterChar"/>
    <w:uiPriority w:val="99"/>
    <w:unhideWhenUsed/>
    <w:rsid w:val="0031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92"/>
  </w:style>
  <w:style w:type="paragraph" w:styleId="ListParagraph">
    <w:name w:val="List Paragraph"/>
    <w:basedOn w:val="Normal"/>
    <w:uiPriority w:val="34"/>
    <w:qFormat/>
    <w:rsid w:val="0030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ightsofchildren.ca/wp-content/uploads/2016/01/CCRC-report-on-rights-of-children-in-Canada.pdf" TargetMode="External"/><Relationship Id="rId7" Type="http://schemas.openxmlformats.org/officeDocument/2006/relationships/hyperlink" Target="http://ejlt.org/article/view/674/912" TargetMode="External"/><Relationship Id="rId2" Type="http://schemas.openxmlformats.org/officeDocument/2006/relationships/hyperlink" Target="https://www.unicef.ca/sites/default/files/imce_uploads/TAKE%20ACTION/ADVOCATE/DOCS/cyberbulling_submission_to_senate_committee.pdf" TargetMode="External"/><Relationship Id="rId1" Type="http://schemas.openxmlformats.org/officeDocument/2006/relationships/hyperlink" Target="https://www.ohchr.org/EN/Issues/DigitalAge/Pages/DigitalAgeIndex.aspx" TargetMode="External"/><Relationship Id="rId6" Type="http://schemas.openxmlformats.org/officeDocument/2006/relationships/hyperlink" Target="https://www.un.org/ga/search/view_doc.asp?symbol=A/C.3/71/L.39/Rev.1" TargetMode="External"/><Relationship Id="rId5" Type="http://schemas.openxmlformats.org/officeDocument/2006/relationships/hyperlink" Target="https://rm.coe.int/it-guidelines-background-document-policy-guidance-on-empowering-protec/168093b644" TargetMode="External"/><Relationship Id="rId4" Type="http://schemas.openxmlformats.org/officeDocument/2006/relationships/hyperlink" Target="https://rm.coe.int/guidelines-to-respect-protect-and-fulfil-the-rights-of-the-child-in-th/16808d8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945914-D689-4E44-9C56-58137C1C6D91}"/>
</file>

<file path=customXml/itemProps2.xml><?xml version="1.0" encoding="utf-8"?>
<ds:datastoreItem xmlns:ds="http://schemas.openxmlformats.org/officeDocument/2006/customXml" ds:itemID="{87CCC6F2-EF13-4F5F-BEC6-AD38D86C7D7E}"/>
</file>

<file path=customXml/itemProps3.xml><?xml version="1.0" encoding="utf-8"?>
<ds:datastoreItem xmlns:ds="http://schemas.openxmlformats.org/officeDocument/2006/customXml" ds:itemID="{0C3A946D-40AF-4E4C-9B92-61E2A0FE985D}"/>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Canadian Human Rights Commission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Dhaliwal</dc:creator>
  <cp:keywords/>
  <dc:description/>
  <cp:lastModifiedBy>E Coombs</cp:lastModifiedBy>
  <cp:revision>2</cp:revision>
  <dcterms:created xsi:type="dcterms:W3CDTF">2020-10-01T12:22:00Z</dcterms:created>
  <dcterms:modified xsi:type="dcterms:W3CDTF">2020-10-01T12:22:00Z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