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C2A8D" w14:textId="33F9AF1D" w:rsidR="00BF2292" w:rsidRDefault="00851485" w:rsidP="000D1F79">
      <w:pPr>
        <w:pStyle w:val="Heading1"/>
        <w:jc w:val="center"/>
      </w:pPr>
      <w:bookmarkStart w:id="0" w:name="_Hlk48893024"/>
      <w:r w:rsidRPr="00BB400D">
        <w:t xml:space="preserve">Online independence and </w:t>
      </w:r>
      <w:r w:rsidR="00980299" w:rsidRPr="00BB400D">
        <w:t xml:space="preserve">autonomy, and the privacy rights </w:t>
      </w:r>
      <w:r w:rsidRPr="00BB400D">
        <w:t>of children and adolescents</w:t>
      </w:r>
      <w:r w:rsidR="00980299" w:rsidRPr="00BB400D">
        <w:t xml:space="preserve"> in Latin America</w:t>
      </w:r>
      <w:r w:rsidR="000068C4">
        <w:rPr>
          <w:rStyle w:val="FootnoteReference"/>
        </w:rPr>
        <w:footnoteReference w:id="1"/>
      </w:r>
      <w:r w:rsidR="006836C2">
        <w:t xml:space="preserve"> </w:t>
      </w:r>
    </w:p>
    <w:p w14:paraId="407D582D" w14:textId="0BECC883" w:rsidR="002E07EA" w:rsidRDefault="002E07EA" w:rsidP="002E07EA"/>
    <w:p w14:paraId="15D4F726" w14:textId="3A04807A" w:rsidR="002E07EA" w:rsidRPr="00301CDE" w:rsidRDefault="002E07EA" w:rsidP="00301CDE">
      <w:pPr>
        <w:jc w:val="center"/>
        <w:rPr>
          <w:b/>
          <w:bCs/>
        </w:rPr>
      </w:pPr>
      <w:r w:rsidRPr="00301CDE">
        <w:rPr>
          <w:b/>
          <w:bCs/>
        </w:rPr>
        <w:t>Economic Commission for Latin America and the Caribbean (ECLAC)</w:t>
      </w:r>
      <w:r>
        <w:rPr>
          <w:b/>
          <w:bCs/>
        </w:rPr>
        <w:br/>
      </w:r>
      <w:r w:rsidRPr="00301CDE">
        <w:t>September 2020</w:t>
      </w:r>
    </w:p>
    <w:bookmarkEnd w:id="0"/>
    <w:p w14:paraId="758A2080" w14:textId="5FBCC41E" w:rsidR="00980299" w:rsidRPr="00BB400D" w:rsidRDefault="00980299" w:rsidP="00980299">
      <w:pPr>
        <w:pStyle w:val="WParrafonormal"/>
        <w:ind w:firstLine="0"/>
        <w:rPr>
          <w:spacing w:val="-2"/>
        </w:rPr>
      </w:pPr>
    </w:p>
    <w:p w14:paraId="62136EF4" w14:textId="70FDB593" w:rsidR="0076763F" w:rsidRDefault="00851485" w:rsidP="003D2CB2">
      <w:pPr>
        <w:pStyle w:val="WParrafonormal"/>
        <w:ind w:firstLine="0"/>
        <w:rPr>
          <w:color w:val="000000" w:themeColor="text1"/>
          <w:szCs w:val="24"/>
        </w:rPr>
      </w:pPr>
      <w:r w:rsidRPr="00BB400D">
        <w:rPr>
          <w:color w:val="000000" w:themeColor="text1"/>
          <w:szCs w:val="24"/>
        </w:rPr>
        <w:t>The global economy and society are becoming increasingly immersed in the digital era and Latin America has been part of this trend</w:t>
      </w:r>
      <w:r w:rsidR="006836C2">
        <w:rPr>
          <w:color w:val="000000" w:themeColor="text1"/>
          <w:szCs w:val="24"/>
        </w:rPr>
        <w:t xml:space="preserve">, which has been </w:t>
      </w:r>
      <w:r w:rsidR="006836C2" w:rsidRPr="00BB400D">
        <w:rPr>
          <w:color w:val="000000" w:themeColor="text1"/>
          <w:szCs w:val="24"/>
        </w:rPr>
        <w:t>accelerated</w:t>
      </w:r>
      <w:r w:rsidR="006836C2">
        <w:rPr>
          <w:color w:val="000000" w:themeColor="text1"/>
          <w:szCs w:val="24"/>
        </w:rPr>
        <w:t xml:space="preserve"> by</w:t>
      </w:r>
      <w:r w:rsidR="003F66B5" w:rsidRPr="00BB400D">
        <w:rPr>
          <w:color w:val="000000" w:themeColor="text1"/>
          <w:szCs w:val="24"/>
        </w:rPr>
        <w:t xml:space="preserve"> </w:t>
      </w:r>
      <w:r w:rsidR="006836C2">
        <w:rPr>
          <w:color w:val="000000" w:themeColor="text1"/>
          <w:szCs w:val="24"/>
        </w:rPr>
        <w:t>t</w:t>
      </w:r>
      <w:r w:rsidR="00A70570" w:rsidRPr="00BB400D">
        <w:rPr>
          <w:color w:val="000000" w:themeColor="text1"/>
          <w:szCs w:val="24"/>
        </w:rPr>
        <w:t>he COVID-19 pandemic.</w:t>
      </w:r>
      <w:r w:rsidRPr="00BB400D">
        <w:rPr>
          <w:color w:val="000000" w:themeColor="text1"/>
          <w:szCs w:val="24"/>
        </w:rPr>
        <w:t xml:space="preserve"> This new paradigm modifies activities and processes in most areas of life: it changes the ways of social relations, of acquiring information and knowledge, of doing politics and how we produce and commercialize goods and services (among others). Technology</w:t>
      </w:r>
      <w:r w:rsidR="0076763F">
        <w:rPr>
          <w:color w:val="000000" w:themeColor="text1"/>
          <w:szCs w:val="24"/>
        </w:rPr>
        <w:t>, however,</w:t>
      </w:r>
      <w:r w:rsidRPr="00BB400D">
        <w:rPr>
          <w:color w:val="000000" w:themeColor="text1"/>
          <w:szCs w:val="24"/>
        </w:rPr>
        <w:t xml:space="preserve"> is ambivalent, </w:t>
      </w:r>
      <w:r w:rsidR="0076763F">
        <w:rPr>
          <w:color w:val="000000" w:themeColor="text1"/>
          <w:szCs w:val="24"/>
        </w:rPr>
        <w:t xml:space="preserve">as </w:t>
      </w:r>
      <w:r w:rsidRPr="00BB400D">
        <w:rPr>
          <w:color w:val="000000" w:themeColor="text1"/>
          <w:szCs w:val="24"/>
        </w:rPr>
        <w:t>it brings opportunities as well as risks</w:t>
      </w:r>
      <w:r w:rsidR="0076763F">
        <w:rPr>
          <w:color w:val="000000" w:themeColor="text1"/>
          <w:szCs w:val="24"/>
        </w:rPr>
        <w:t>. Consequently</w:t>
      </w:r>
      <w:r w:rsidRPr="00BB400D">
        <w:rPr>
          <w:color w:val="000000" w:themeColor="text1"/>
          <w:szCs w:val="24"/>
        </w:rPr>
        <w:t xml:space="preserve">, promoting </w:t>
      </w:r>
      <w:r w:rsidR="0076763F">
        <w:rPr>
          <w:color w:val="000000" w:themeColor="text1"/>
          <w:szCs w:val="24"/>
        </w:rPr>
        <w:t>its</w:t>
      </w:r>
      <w:r w:rsidR="0076763F" w:rsidRPr="00BB400D">
        <w:rPr>
          <w:color w:val="000000" w:themeColor="text1"/>
          <w:szCs w:val="24"/>
        </w:rPr>
        <w:t xml:space="preserve"> </w:t>
      </w:r>
      <w:r w:rsidRPr="00BB400D">
        <w:rPr>
          <w:color w:val="000000" w:themeColor="text1"/>
          <w:szCs w:val="24"/>
        </w:rPr>
        <w:t xml:space="preserve">benefits should be intentioned by public policies that approach </w:t>
      </w:r>
      <w:r w:rsidR="0076763F">
        <w:rPr>
          <w:color w:val="000000" w:themeColor="text1"/>
          <w:szCs w:val="24"/>
        </w:rPr>
        <w:t>technology</w:t>
      </w:r>
      <w:r w:rsidRPr="00BB400D">
        <w:rPr>
          <w:color w:val="000000" w:themeColor="text1"/>
          <w:szCs w:val="24"/>
        </w:rPr>
        <w:t xml:space="preserve"> from a people's perspective, because it involves several dimensions of wellbeing</w:t>
      </w:r>
      <w:r w:rsidR="003526CB" w:rsidRPr="00BB400D">
        <w:rPr>
          <w:color w:val="000000" w:themeColor="text1"/>
          <w:szCs w:val="24"/>
        </w:rPr>
        <w:t xml:space="preserve"> (ECLAC, 2017)</w:t>
      </w:r>
      <w:r w:rsidRPr="00BB400D">
        <w:rPr>
          <w:color w:val="000000" w:themeColor="text1"/>
          <w:szCs w:val="24"/>
        </w:rPr>
        <w:t xml:space="preserve">. </w:t>
      </w:r>
    </w:p>
    <w:p w14:paraId="534EA764" w14:textId="25ED4262" w:rsidR="00A66D6B" w:rsidRDefault="00851485" w:rsidP="00A66D6B">
      <w:pPr>
        <w:pStyle w:val="WParrafonormal"/>
        <w:ind w:firstLine="720"/>
        <w:rPr>
          <w:color w:val="000000" w:themeColor="text1"/>
          <w:szCs w:val="24"/>
        </w:rPr>
      </w:pPr>
      <w:r w:rsidRPr="00BB400D">
        <w:rPr>
          <w:color w:val="000000" w:themeColor="text1"/>
          <w:szCs w:val="24"/>
        </w:rPr>
        <w:t xml:space="preserve">In Latin America, </w:t>
      </w:r>
      <w:r w:rsidR="006836C2">
        <w:rPr>
          <w:color w:val="000000" w:themeColor="text1"/>
          <w:szCs w:val="24"/>
        </w:rPr>
        <w:t xml:space="preserve">a region </w:t>
      </w:r>
      <w:r w:rsidRPr="00BB400D">
        <w:rPr>
          <w:color w:val="000000" w:themeColor="text1"/>
          <w:szCs w:val="24"/>
        </w:rPr>
        <w:t xml:space="preserve">characterized by high </w:t>
      </w:r>
      <w:r w:rsidR="006836C2" w:rsidRPr="00BB400D">
        <w:rPr>
          <w:color w:val="000000" w:themeColor="text1"/>
          <w:szCs w:val="24"/>
        </w:rPr>
        <w:t xml:space="preserve">levels </w:t>
      </w:r>
      <w:r w:rsidR="006836C2">
        <w:rPr>
          <w:color w:val="000000" w:themeColor="text1"/>
          <w:szCs w:val="24"/>
        </w:rPr>
        <w:t xml:space="preserve">of </w:t>
      </w:r>
      <w:r w:rsidRPr="00BB400D">
        <w:rPr>
          <w:color w:val="000000" w:themeColor="text1"/>
          <w:szCs w:val="24"/>
        </w:rPr>
        <w:t xml:space="preserve">inequality, how do we guarantee that no one is left </w:t>
      </w:r>
      <w:r w:rsidR="003D2CB2" w:rsidRPr="00BB400D">
        <w:rPr>
          <w:color w:val="000000" w:themeColor="text1"/>
          <w:szCs w:val="24"/>
        </w:rPr>
        <w:t>behind,</w:t>
      </w:r>
      <w:r w:rsidRPr="00BB400D">
        <w:rPr>
          <w:color w:val="000000" w:themeColor="text1"/>
          <w:szCs w:val="24"/>
        </w:rPr>
        <w:t xml:space="preserve"> and </w:t>
      </w:r>
      <w:r w:rsidR="006836C2">
        <w:rPr>
          <w:color w:val="000000" w:themeColor="text1"/>
          <w:szCs w:val="24"/>
        </w:rPr>
        <w:t xml:space="preserve">that </w:t>
      </w:r>
      <w:r w:rsidRPr="00BB400D">
        <w:rPr>
          <w:color w:val="000000" w:themeColor="text1"/>
          <w:szCs w:val="24"/>
        </w:rPr>
        <w:t xml:space="preserve">the opportunities brought by the digital era reach everyone? </w:t>
      </w:r>
      <w:r w:rsidR="0076763F">
        <w:rPr>
          <w:color w:val="000000" w:themeColor="text1"/>
          <w:szCs w:val="24"/>
        </w:rPr>
        <w:t>Digital</w:t>
      </w:r>
      <w:r w:rsidRPr="00BB400D">
        <w:rPr>
          <w:color w:val="000000" w:themeColor="text1"/>
          <w:szCs w:val="24"/>
        </w:rPr>
        <w:t xml:space="preserve"> transformations have the potential of reproducing and increasing existing inequalities</w:t>
      </w:r>
      <w:r w:rsidR="007E4CA0">
        <w:br/>
      </w:r>
      <w:r w:rsidR="00A66D6B">
        <w:rPr>
          <w:rFonts w:cs="Arial"/>
          <w:color w:val="222222"/>
          <w:szCs w:val="21"/>
          <w:shd w:val="clear" w:color="auto" w:fill="FFFFFF" w:themeFill="background1"/>
        </w:rPr>
        <w:t>T</w:t>
      </w:r>
      <w:r w:rsidR="007E4CA0" w:rsidRPr="003A569F">
        <w:rPr>
          <w:rFonts w:cs="Arial"/>
          <w:color w:val="222222"/>
          <w:szCs w:val="21"/>
          <w:shd w:val="clear" w:color="auto" w:fill="FFFFFF" w:themeFill="background1"/>
        </w:rPr>
        <w:t>he access gap</w:t>
      </w:r>
      <w:r w:rsidR="00A66D6B">
        <w:rPr>
          <w:rFonts w:cs="Arial"/>
          <w:color w:val="222222"/>
          <w:szCs w:val="21"/>
          <w:shd w:val="clear" w:color="auto" w:fill="FFFFFF" w:themeFill="background1"/>
        </w:rPr>
        <w:t xml:space="preserve"> is a clear example of </w:t>
      </w:r>
      <w:r w:rsidR="007E4CA0" w:rsidRPr="003A569F">
        <w:rPr>
          <w:rFonts w:cs="Arial"/>
          <w:color w:val="222222"/>
          <w:szCs w:val="21"/>
          <w:shd w:val="clear" w:color="auto" w:fill="FFFFFF" w:themeFill="background1"/>
        </w:rPr>
        <w:t>exacerbate</w:t>
      </w:r>
      <w:r w:rsidR="00A66D6B">
        <w:rPr>
          <w:rFonts w:cs="Arial"/>
          <w:color w:val="222222"/>
          <w:szCs w:val="21"/>
          <w:shd w:val="clear" w:color="auto" w:fill="FFFFFF" w:themeFill="background1"/>
        </w:rPr>
        <w:t>d</w:t>
      </w:r>
      <w:r w:rsidR="007E4CA0" w:rsidRPr="003A569F">
        <w:rPr>
          <w:rFonts w:cs="Arial"/>
          <w:color w:val="222222"/>
          <w:szCs w:val="21"/>
          <w:shd w:val="clear" w:color="auto" w:fill="FFFFFF" w:themeFill="background1"/>
        </w:rPr>
        <w:t xml:space="preserve"> inequalities, which is evidenced in income, area of </w:t>
      </w:r>
      <w:r w:rsidR="007E4CA0" w:rsidRPr="003A569F">
        <w:rPr>
          <w:rFonts w:ascii="Arial" w:hAnsi="Arial" w:cs="Arial"/>
          <w:color w:val="222222"/>
          <w:szCs w:val="21"/>
          <w:shd w:val="clear" w:color="auto" w:fill="FFFFFF" w:themeFill="background1"/>
        </w:rPr>
        <w:t>​​</w:t>
      </w:r>
      <w:r w:rsidR="007E4CA0" w:rsidRPr="003A569F">
        <w:rPr>
          <w:rFonts w:cs="Arial"/>
          <w:color w:val="222222"/>
          <w:szCs w:val="21"/>
          <w:shd w:val="clear" w:color="auto" w:fill="FFFFFF" w:themeFill="background1"/>
        </w:rPr>
        <w:t>residence and age. In relation to the first, in 2018 nearly 23 million households, half of the total number of households with no Internet connection, were in the two lowest income quintiles (I and II). In turn, in the region 67% of urban households are connected to the Internet, while in rural areas only 23% are. In terms of age groups, young people and older persons are the least connected: 42% of those younger than 25 years and 54% of those older than 66 are not connected to the Internet. The least connected groups are children aged between 5 and 12 and adults over the age of 65, while the most connected are people between the ages of 21 and25 and between the ages of 26 and 65</w:t>
      </w:r>
      <w:r w:rsidR="00B669DB">
        <w:rPr>
          <w:rFonts w:cs="Arial"/>
          <w:color w:val="222222"/>
          <w:szCs w:val="21"/>
          <w:shd w:val="clear" w:color="auto" w:fill="FFFFFF" w:themeFill="background1"/>
        </w:rPr>
        <w:t xml:space="preserve"> (ECLAC, 2020)</w:t>
      </w:r>
      <w:r w:rsidR="00A66D6B">
        <w:rPr>
          <w:rFonts w:cs="Arial"/>
          <w:color w:val="222222"/>
          <w:szCs w:val="21"/>
          <w:shd w:val="clear" w:color="auto" w:fill="FFFFFF" w:themeFill="background1"/>
        </w:rPr>
        <w:t xml:space="preserve"> </w:t>
      </w:r>
      <w:r w:rsidR="00A66D6B">
        <w:rPr>
          <w:color w:val="000000" w:themeColor="text1"/>
          <w:szCs w:val="24"/>
        </w:rPr>
        <w:t>Therefore, while is true that t</w:t>
      </w:r>
      <w:r w:rsidRPr="00BB400D">
        <w:rPr>
          <w:color w:val="000000" w:themeColor="text1"/>
          <w:szCs w:val="24"/>
        </w:rPr>
        <w:t>he ability to access the Internet from telephones, tablets and other devices has given rise to a generation for whom being connected is part of daily life</w:t>
      </w:r>
      <w:r w:rsidR="00A66D6B">
        <w:rPr>
          <w:color w:val="000000" w:themeColor="text1"/>
          <w:szCs w:val="24"/>
        </w:rPr>
        <w:t xml:space="preserve">, </w:t>
      </w:r>
      <w:r w:rsidR="00A66D6B" w:rsidRPr="003A569F">
        <w:rPr>
          <w:color w:val="000000" w:themeColor="text1"/>
          <w:szCs w:val="24"/>
        </w:rPr>
        <w:t>the structural conditions of the region should not be underestimated as they may reinforce exclusion</w:t>
      </w:r>
    </w:p>
    <w:p w14:paraId="06486D98" w14:textId="242C51E6" w:rsidR="003B49BB" w:rsidRPr="00BB400D" w:rsidRDefault="00851485" w:rsidP="00195E08">
      <w:pPr>
        <w:pStyle w:val="WParrafonormal"/>
        <w:ind w:firstLine="720"/>
        <w:rPr>
          <w:color w:val="000000" w:themeColor="text1"/>
          <w:szCs w:val="24"/>
        </w:rPr>
      </w:pPr>
      <w:r w:rsidRPr="00BB400D">
        <w:rPr>
          <w:color w:val="000000" w:themeColor="text1"/>
          <w:szCs w:val="24"/>
        </w:rPr>
        <w:t xml:space="preserve">Children and adolescents are protagonists of this connected era and are gaining access in increasingly diverse ways and at an earlier age, with mostly unknown consequences. These changes have an unquestionable impact on the forms of learning and challenge the educational system, as well as parenthood. The challenge lies in building digital </w:t>
      </w:r>
      <w:r w:rsidR="00B41099" w:rsidRPr="00BB400D">
        <w:rPr>
          <w:color w:val="000000" w:themeColor="text1"/>
          <w:szCs w:val="24"/>
        </w:rPr>
        <w:t>skills</w:t>
      </w:r>
      <w:r w:rsidRPr="00BB400D">
        <w:rPr>
          <w:color w:val="000000" w:themeColor="text1"/>
          <w:szCs w:val="24"/>
        </w:rPr>
        <w:t xml:space="preserve"> and strategies for social inclusion, online security and self-care.</w:t>
      </w:r>
    </w:p>
    <w:p w14:paraId="6457880C" w14:textId="018A79C9" w:rsidR="005A3BD0" w:rsidRPr="00BB400D" w:rsidRDefault="00851485" w:rsidP="00195E08">
      <w:pPr>
        <w:pStyle w:val="WParrafonormal"/>
        <w:ind w:firstLine="720"/>
        <w:rPr>
          <w:color w:val="000000" w:themeColor="text1"/>
          <w:szCs w:val="24"/>
          <w:lang w:val="en-US"/>
        </w:rPr>
      </w:pPr>
      <w:r w:rsidRPr="00BB400D">
        <w:rPr>
          <w:spacing w:val="-2"/>
        </w:rPr>
        <w:t>Digital technology can facilitate children’s ability to exercise their right to express opinions, promote their civic participation and provide a channel for their freedom of expression and information. It can also foster the development of social and communication skills, promoting creativity and interaction</w:t>
      </w:r>
      <w:r w:rsidRPr="00BB400D">
        <w:t>.</w:t>
      </w:r>
      <w:r w:rsidR="00B227CC" w:rsidRPr="00BB400D">
        <w:t xml:space="preserve"> </w:t>
      </w:r>
      <w:r w:rsidRPr="00BB400D">
        <w:rPr>
          <w:color w:val="000000" w:themeColor="text1"/>
          <w:szCs w:val="24"/>
        </w:rPr>
        <w:t>However, the use of the Internet during childhood</w:t>
      </w:r>
      <w:r w:rsidR="00556E2B" w:rsidRPr="00BB400D">
        <w:rPr>
          <w:color w:val="000000" w:themeColor="text1"/>
          <w:szCs w:val="24"/>
        </w:rPr>
        <w:t xml:space="preserve"> and adolescence</w:t>
      </w:r>
      <w:r w:rsidRPr="00BB400D">
        <w:rPr>
          <w:color w:val="000000" w:themeColor="text1"/>
          <w:szCs w:val="24"/>
        </w:rPr>
        <w:t xml:space="preserve"> also presents risks that should not be ignored, such as access to inappropriate or sensitive content</w:t>
      </w:r>
      <w:r w:rsidR="00556E2B" w:rsidRPr="00BB400D">
        <w:rPr>
          <w:color w:val="000000" w:themeColor="text1"/>
          <w:szCs w:val="24"/>
        </w:rPr>
        <w:t xml:space="preserve">, and </w:t>
      </w:r>
      <w:r w:rsidR="002E54D5">
        <w:rPr>
          <w:color w:val="000000" w:themeColor="text1"/>
          <w:szCs w:val="24"/>
        </w:rPr>
        <w:t xml:space="preserve">infringing </w:t>
      </w:r>
      <w:r w:rsidR="00556E2B" w:rsidRPr="00BB400D">
        <w:rPr>
          <w:color w:val="000000" w:themeColor="text1"/>
          <w:szCs w:val="24"/>
        </w:rPr>
        <w:t>their privacy rights</w:t>
      </w:r>
      <w:r w:rsidRPr="00BB400D">
        <w:rPr>
          <w:color w:val="000000" w:themeColor="text1"/>
          <w:szCs w:val="24"/>
        </w:rPr>
        <w:t>.</w:t>
      </w:r>
      <w:r w:rsidR="00556E2B" w:rsidRPr="00BB400D">
        <w:rPr>
          <w:color w:val="000000" w:themeColor="text1"/>
          <w:szCs w:val="24"/>
        </w:rPr>
        <w:t xml:space="preserve"> Also, </w:t>
      </w:r>
      <w:r w:rsidR="002E07EA">
        <w:rPr>
          <w:color w:val="000000" w:themeColor="text1"/>
          <w:szCs w:val="24"/>
        </w:rPr>
        <w:t>children and adolescents</w:t>
      </w:r>
      <w:r w:rsidR="002E07EA" w:rsidRPr="00BB400D">
        <w:rPr>
          <w:color w:val="000000" w:themeColor="text1"/>
          <w:szCs w:val="24"/>
        </w:rPr>
        <w:t xml:space="preserve"> </w:t>
      </w:r>
      <w:r w:rsidR="00556E2B" w:rsidRPr="00BB400D">
        <w:rPr>
          <w:color w:val="000000" w:themeColor="text1"/>
          <w:szCs w:val="24"/>
        </w:rPr>
        <w:t>need guidance</w:t>
      </w:r>
      <w:r w:rsidR="002E07EA">
        <w:rPr>
          <w:color w:val="000000" w:themeColor="text1"/>
          <w:szCs w:val="24"/>
        </w:rPr>
        <w:t>,</w:t>
      </w:r>
      <w:r w:rsidR="00556E2B" w:rsidRPr="00BB400D">
        <w:rPr>
          <w:color w:val="000000" w:themeColor="text1"/>
          <w:szCs w:val="24"/>
        </w:rPr>
        <w:t xml:space="preserve"> which may affect their independence and autonomy if the limits of parents</w:t>
      </w:r>
      <w:r w:rsidR="00BC26E9" w:rsidRPr="00BB400D">
        <w:rPr>
          <w:color w:val="000000" w:themeColor="text1"/>
          <w:szCs w:val="24"/>
        </w:rPr>
        <w:t>´</w:t>
      </w:r>
      <w:r w:rsidR="00556E2B" w:rsidRPr="00BB400D">
        <w:rPr>
          <w:color w:val="000000" w:themeColor="text1"/>
          <w:szCs w:val="24"/>
        </w:rPr>
        <w:t xml:space="preserve"> protections are not well defined. </w:t>
      </w:r>
      <w:r w:rsidRPr="00BB400D">
        <w:rPr>
          <w:color w:val="000000" w:themeColor="text1"/>
          <w:szCs w:val="24"/>
        </w:rPr>
        <w:t xml:space="preserve"> </w:t>
      </w:r>
    </w:p>
    <w:p w14:paraId="4A2990BD" w14:textId="4B023490" w:rsidR="00D86F04" w:rsidRPr="00BB400D" w:rsidRDefault="00851485" w:rsidP="00195E08">
      <w:pPr>
        <w:pStyle w:val="WParrafoprimero"/>
        <w:ind w:firstLine="720"/>
      </w:pPr>
      <w:r w:rsidRPr="00BB400D">
        <w:t xml:space="preserve">The Convention on the Rights of the Child (CRC), adopted in 1989, sets out the fundamental principles for promoting children’s rights. At the time, the Internet was virtually non-existent in everyday life and is not directly mentioned in the CRC, but the principle of guaranteeing the fundamental rights of children and adolescents also applies to the digital world. </w:t>
      </w:r>
      <w:r w:rsidRPr="00BB400D">
        <w:rPr>
          <w:color w:val="000000" w:themeColor="text1"/>
          <w:szCs w:val="24"/>
        </w:rPr>
        <w:t xml:space="preserve">Children must learn and develop skills to navigate the digital </w:t>
      </w:r>
      <w:r w:rsidRPr="00BB400D">
        <w:rPr>
          <w:color w:val="000000" w:themeColor="text1"/>
          <w:szCs w:val="24"/>
        </w:rPr>
        <w:lastRenderedPageBreak/>
        <w:t xml:space="preserve">world during this stage of life. </w:t>
      </w:r>
      <w:r w:rsidRPr="00BB400D">
        <w:t xml:space="preserve">These abilities go beyond learning operational skills and include cognitive and ethical capacities that will enable young people to build and fully participate in the society to which they belong (ECLAC/UNICEF, 2014). </w:t>
      </w:r>
    </w:p>
    <w:p w14:paraId="63E21585" w14:textId="404BA171" w:rsidR="00655842" w:rsidRPr="00BB400D" w:rsidRDefault="00851485" w:rsidP="00195E08">
      <w:pPr>
        <w:pStyle w:val="WParrafonormal"/>
        <w:ind w:firstLine="720"/>
      </w:pPr>
      <w:r w:rsidRPr="00BB400D">
        <w:t xml:space="preserve">In 2004, UNICEF presented a set of ten e-rights, including the right to free expression on the Internet, to online leisure activities and play, and to the educational opportunities that this environment offers. Based on these rights, it is argued that those who are not connected are missing out on educational resources and access to general information, as well as opportunities to learn digital skills, explore friendships and establish new forms of self-expression (UNICEF, 2017). </w:t>
      </w:r>
    </w:p>
    <w:p w14:paraId="0DD61C7B" w14:textId="27275684" w:rsidR="008579CD" w:rsidRPr="00BB400D" w:rsidRDefault="00851485" w:rsidP="00195E08">
      <w:pPr>
        <w:pStyle w:val="WParrafonormal"/>
        <w:ind w:firstLine="720"/>
      </w:pPr>
      <w:r w:rsidRPr="00BB400D">
        <w:t>Although the generational digital divide is clear in terms of younger generations’ proximity to and ease with using digital media and devices compared to the adults around them, adults still have a key role to play in helping them</w:t>
      </w:r>
      <w:r w:rsidR="005B3DBF">
        <w:t xml:space="preserve"> develop</w:t>
      </w:r>
      <w:r w:rsidRPr="00BB400D">
        <w:t xml:space="preserve"> the skills </w:t>
      </w:r>
      <w:r w:rsidR="005B3DBF">
        <w:t>required for digital inclusion</w:t>
      </w:r>
      <w:r w:rsidRPr="00BB400D">
        <w:t>. To reap the benefits of digital technologies and mitigate the risks, children and adolescents need skills that go beyond purely operational or instrumental abilities. They also need to develop the cognitive and social skills that will enable them to use these technologies in a thoughtful, ethical and safe way.</w:t>
      </w:r>
    </w:p>
    <w:p w14:paraId="1C2EFDB6" w14:textId="607D9963" w:rsidR="00B80A0B" w:rsidRPr="00BB400D" w:rsidRDefault="00051CF6" w:rsidP="00195E08">
      <w:pPr>
        <w:pStyle w:val="WParrafonormal"/>
        <w:ind w:firstLine="720"/>
      </w:pPr>
      <w:r w:rsidRPr="00BB400D">
        <w:t xml:space="preserve">The areas and types of online participation activities </w:t>
      </w:r>
      <w:r w:rsidR="00B258F8">
        <w:t xml:space="preserve">by children and adolescents </w:t>
      </w:r>
      <w:r w:rsidRPr="00BB400D">
        <w:t xml:space="preserve">are key in terms of their rights and autonomy to use digital space. </w:t>
      </w:r>
      <w:r w:rsidR="00851485" w:rsidRPr="00BB400D">
        <w:t>Table 1</w:t>
      </w:r>
      <w:r w:rsidR="0006231C" w:rsidRPr="00BB400D">
        <w:t xml:space="preserve"> shows the activities that are more or less widespread among children and adolescents</w:t>
      </w:r>
      <w:r w:rsidR="00851485" w:rsidRPr="00BB400D">
        <w:t xml:space="preserve"> in Brazil, Costa Rica, Chile and Uruguay according to the Kids Online Survey</w:t>
      </w:r>
      <w:r w:rsidR="00B258F8">
        <w:t xml:space="preserve">. The results </w:t>
      </w:r>
      <w:r w:rsidR="00CC108F" w:rsidRPr="00BB400D">
        <w:t xml:space="preserve">suggest a “ladder” from commonly practiced to rarely practiced </w:t>
      </w:r>
      <w:r w:rsidR="00B258F8">
        <w:t xml:space="preserve">online </w:t>
      </w:r>
      <w:r w:rsidR="00CC108F" w:rsidRPr="00BB400D">
        <w:t xml:space="preserve">activities. </w:t>
      </w:r>
      <w:r w:rsidR="000F57E4" w:rsidRPr="00BB400D">
        <w:t>M</w:t>
      </w:r>
      <w:r w:rsidR="00CC108F" w:rsidRPr="00BB400D">
        <w:t>ost children do not reach the point where they commonly undertake many of the civic, informational and creative activities that are indicated as opportunities of the digital age</w:t>
      </w:r>
      <w:r w:rsidR="00851485" w:rsidRPr="00BB400D">
        <w:t xml:space="preserve">. </w:t>
      </w:r>
      <w:r w:rsidR="00851485" w:rsidRPr="00BB400D">
        <w:rPr>
          <w:spacing w:val="-4"/>
        </w:rPr>
        <w:t xml:space="preserve">The age group analysis shows that, in general, as age increases, the percentage of those who engage in each of the activities also increases. </w:t>
      </w:r>
    </w:p>
    <w:p w14:paraId="6BFF1F87" w14:textId="77777777" w:rsidR="00B80A0B" w:rsidRPr="00BB400D" w:rsidRDefault="00B80A0B" w:rsidP="00051CF6">
      <w:pPr>
        <w:pStyle w:val="WCyG-Titulocuadro"/>
        <w:rPr>
          <w:lang w:val="en-US"/>
        </w:rPr>
      </w:pPr>
    </w:p>
    <w:p w14:paraId="015CA86F" w14:textId="4D693C4F" w:rsidR="00051CF6" w:rsidRPr="00BB400D" w:rsidRDefault="00851485" w:rsidP="00051CF6">
      <w:pPr>
        <w:pStyle w:val="WCyG-Titulocuadro"/>
      </w:pPr>
      <w:r w:rsidRPr="00BB400D">
        <w:t>Table 1:</w:t>
      </w:r>
      <w:r w:rsidR="0076763F">
        <w:t xml:space="preserve"> </w:t>
      </w:r>
      <w:r w:rsidR="003A569F">
        <w:t>Brazil</w:t>
      </w:r>
      <w:r w:rsidR="005D3EE0">
        <w:t>, Chile, Costa Rica and Uruguay</w:t>
      </w:r>
      <w:r w:rsidR="0076763F">
        <w:t>: Online</w:t>
      </w:r>
      <w:r w:rsidRPr="00BB400D">
        <w:t xml:space="preserve"> participation</w:t>
      </w:r>
      <w:r w:rsidR="0076763F">
        <w:t xml:space="preserve"> activities by 9-17 years </w:t>
      </w:r>
      <w:r w:rsidR="003A569F">
        <w:t>old</w:t>
      </w:r>
      <w:r w:rsidR="0076763F">
        <w:t>, by age group</w:t>
      </w:r>
      <w:r w:rsidR="00B258F8">
        <w:t>, 2016/2018</w:t>
      </w:r>
    </w:p>
    <w:p w14:paraId="5AB656C1" w14:textId="77777777" w:rsidR="00051CF6" w:rsidRPr="00BB400D" w:rsidRDefault="00851485" w:rsidP="00051CF6">
      <w:pPr>
        <w:pStyle w:val="WCyG-Unidaddemedida"/>
      </w:pPr>
      <w:r w:rsidRPr="00BB400D">
        <w:t>(Percentages)</w:t>
      </w:r>
    </w:p>
    <w:tbl>
      <w:tblPr>
        <w:tblW w:w="4919" w:type="pct"/>
        <w:tblInd w:w="360" w:type="dxa"/>
        <w:tblLayout w:type="fixed"/>
        <w:tblLook w:val="04A0" w:firstRow="1" w:lastRow="0" w:firstColumn="1" w:lastColumn="0" w:noHBand="0" w:noVBand="1"/>
      </w:tblPr>
      <w:tblGrid>
        <w:gridCol w:w="3526"/>
        <w:gridCol w:w="1136"/>
        <w:gridCol w:w="1136"/>
        <w:gridCol w:w="1136"/>
        <w:gridCol w:w="1136"/>
        <w:gridCol w:w="1138"/>
      </w:tblGrid>
      <w:tr w:rsidR="007055E5" w:rsidRPr="00BB400D" w14:paraId="02B4A024" w14:textId="77777777" w:rsidTr="00DC30CC">
        <w:trPr>
          <w:trHeight w:val="405"/>
        </w:trPr>
        <w:tc>
          <w:tcPr>
            <w:tcW w:w="1914" w:type="pct"/>
            <w:tcBorders>
              <w:top w:val="single" w:sz="4" w:space="0" w:color="auto"/>
              <w:left w:val="nil"/>
              <w:bottom w:val="single" w:sz="4" w:space="0" w:color="auto"/>
              <w:right w:val="nil"/>
            </w:tcBorders>
            <w:shd w:val="clear" w:color="auto" w:fill="auto"/>
            <w:noWrap/>
            <w:vAlign w:val="center"/>
            <w:hideMark/>
          </w:tcPr>
          <w:p w14:paraId="202B1F4E" w14:textId="77777777" w:rsidR="00051CF6" w:rsidRPr="00BB400D" w:rsidRDefault="00851485" w:rsidP="00DC30CC">
            <w:pPr>
              <w:pStyle w:val="WCyG-Cuadroscabezal"/>
              <w:jc w:val="left"/>
            </w:pPr>
            <w:r w:rsidRPr="00BB400D">
              <w:t>Activity</w:t>
            </w:r>
          </w:p>
        </w:tc>
        <w:tc>
          <w:tcPr>
            <w:tcW w:w="617" w:type="pct"/>
            <w:tcBorders>
              <w:top w:val="single" w:sz="4" w:space="0" w:color="auto"/>
              <w:left w:val="nil"/>
              <w:bottom w:val="single" w:sz="4" w:space="0" w:color="auto"/>
              <w:right w:val="nil"/>
            </w:tcBorders>
            <w:shd w:val="clear" w:color="auto" w:fill="auto"/>
            <w:noWrap/>
            <w:vAlign w:val="center"/>
            <w:hideMark/>
          </w:tcPr>
          <w:p w14:paraId="315CB593" w14:textId="77777777" w:rsidR="00051CF6" w:rsidRPr="00BB400D" w:rsidRDefault="00851485" w:rsidP="00DC30CC">
            <w:pPr>
              <w:pStyle w:val="WCyG-Cuadroscabezal"/>
            </w:pPr>
            <w:r w:rsidRPr="00BB400D">
              <w:t>9–10 years</w:t>
            </w:r>
          </w:p>
        </w:tc>
        <w:tc>
          <w:tcPr>
            <w:tcW w:w="617" w:type="pct"/>
            <w:tcBorders>
              <w:top w:val="single" w:sz="4" w:space="0" w:color="auto"/>
              <w:left w:val="nil"/>
              <w:bottom w:val="single" w:sz="4" w:space="0" w:color="auto"/>
              <w:right w:val="nil"/>
            </w:tcBorders>
            <w:shd w:val="clear" w:color="auto" w:fill="auto"/>
            <w:noWrap/>
            <w:vAlign w:val="center"/>
            <w:hideMark/>
          </w:tcPr>
          <w:p w14:paraId="4CAE91C2" w14:textId="77777777" w:rsidR="00051CF6" w:rsidRPr="00BB400D" w:rsidRDefault="00851485" w:rsidP="00DC30CC">
            <w:pPr>
              <w:pStyle w:val="WCyG-Cuadroscabezal"/>
            </w:pPr>
            <w:r w:rsidRPr="00BB400D">
              <w:t>11–12 years</w:t>
            </w:r>
          </w:p>
        </w:tc>
        <w:tc>
          <w:tcPr>
            <w:tcW w:w="617" w:type="pct"/>
            <w:tcBorders>
              <w:top w:val="single" w:sz="4" w:space="0" w:color="auto"/>
              <w:left w:val="nil"/>
              <w:bottom w:val="single" w:sz="4" w:space="0" w:color="auto"/>
              <w:right w:val="nil"/>
            </w:tcBorders>
            <w:shd w:val="clear" w:color="auto" w:fill="auto"/>
            <w:noWrap/>
            <w:vAlign w:val="center"/>
            <w:hideMark/>
          </w:tcPr>
          <w:p w14:paraId="601A92A5" w14:textId="77777777" w:rsidR="00051CF6" w:rsidRPr="00BB400D" w:rsidRDefault="00851485" w:rsidP="00DC30CC">
            <w:pPr>
              <w:pStyle w:val="WCyG-Cuadroscabezal"/>
            </w:pPr>
            <w:r w:rsidRPr="00BB400D">
              <w:t>13–14 years</w:t>
            </w:r>
          </w:p>
        </w:tc>
        <w:tc>
          <w:tcPr>
            <w:tcW w:w="617" w:type="pct"/>
            <w:tcBorders>
              <w:top w:val="single" w:sz="4" w:space="0" w:color="auto"/>
              <w:left w:val="nil"/>
              <w:bottom w:val="single" w:sz="4" w:space="0" w:color="auto"/>
              <w:right w:val="nil"/>
            </w:tcBorders>
            <w:shd w:val="clear" w:color="auto" w:fill="auto"/>
            <w:noWrap/>
            <w:vAlign w:val="center"/>
            <w:hideMark/>
          </w:tcPr>
          <w:p w14:paraId="7678B59B" w14:textId="77777777" w:rsidR="00051CF6" w:rsidRPr="00BB400D" w:rsidRDefault="00851485" w:rsidP="00DC30CC">
            <w:pPr>
              <w:pStyle w:val="WCyG-Cuadroscabezal"/>
            </w:pPr>
            <w:r w:rsidRPr="00BB400D">
              <w:t>15–17 years</w:t>
            </w:r>
          </w:p>
        </w:tc>
        <w:tc>
          <w:tcPr>
            <w:tcW w:w="618" w:type="pct"/>
            <w:tcBorders>
              <w:top w:val="single" w:sz="4" w:space="0" w:color="auto"/>
              <w:left w:val="nil"/>
              <w:bottom w:val="single" w:sz="4" w:space="0" w:color="auto"/>
              <w:right w:val="nil"/>
            </w:tcBorders>
            <w:shd w:val="clear" w:color="auto" w:fill="auto"/>
            <w:noWrap/>
            <w:vAlign w:val="center"/>
            <w:hideMark/>
          </w:tcPr>
          <w:p w14:paraId="0FDBEA35" w14:textId="77777777" w:rsidR="00051CF6" w:rsidRPr="00BB400D" w:rsidRDefault="00851485" w:rsidP="00DC30CC">
            <w:pPr>
              <w:pStyle w:val="WCyG-Cuadroscabezal"/>
            </w:pPr>
            <w:r w:rsidRPr="00BB400D">
              <w:t>Total</w:t>
            </w:r>
          </w:p>
        </w:tc>
      </w:tr>
      <w:tr w:rsidR="007055E5" w:rsidRPr="00BB400D" w14:paraId="4B8674BD" w14:textId="77777777" w:rsidTr="00DC30CC">
        <w:trPr>
          <w:trHeight w:val="314"/>
        </w:trPr>
        <w:tc>
          <w:tcPr>
            <w:tcW w:w="1914" w:type="pct"/>
            <w:tcBorders>
              <w:top w:val="nil"/>
              <w:left w:val="nil"/>
              <w:bottom w:val="nil"/>
              <w:right w:val="nil"/>
            </w:tcBorders>
            <w:shd w:val="clear" w:color="auto" w:fill="auto"/>
            <w:noWrap/>
            <w:vAlign w:val="center"/>
            <w:hideMark/>
          </w:tcPr>
          <w:p w14:paraId="667030FC" w14:textId="77777777" w:rsidR="00051CF6" w:rsidRPr="00BB400D" w:rsidRDefault="00851485" w:rsidP="00DC30CC">
            <w:pPr>
              <w:pStyle w:val="WCyG-CuadrosTexto"/>
            </w:pPr>
            <w:r w:rsidRPr="00BB400D">
              <w:t>Discuss social/political issues</w:t>
            </w:r>
          </w:p>
        </w:tc>
        <w:tc>
          <w:tcPr>
            <w:tcW w:w="617" w:type="pct"/>
            <w:tcBorders>
              <w:top w:val="nil"/>
              <w:left w:val="nil"/>
              <w:bottom w:val="nil"/>
              <w:right w:val="nil"/>
            </w:tcBorders>
            <w:shd w:val="clear" w:color="auto" w:fill="auto"/>
            <w:noWrap/>
            <w:vAlign w:val="center"/>
            <w:hideMark/>
          </w:tcPr>
          <w:p w14:paraId="79141E52" w14:textId="60B522E2" w:rsidR="00051CF6" w:rsidRPr="00BB400D" w:rsidRDefault="00851485" w:rsidP="00DC30CC">
            <w:pPr>
              <w:pStyle w:val="WCyG-Cuadroscifras"/>
              <w:jc w:val="center"/>
            </w:pPr>
            <w:r w:rsidRPr="00BB400D">
              <w:t>5.</w:t>
            </w:r>
            <w:r w:rsidR="00F775B8">
              <w:t>1</w:t>
            </w:r>
          </w:p>
        </w:tc>
        <w:tc>
          <w:tcPr>
            <w:tcW w:w="617" w:type="pct"/>
            <w:tcBorders>
              <w:top w:val="nil"/>
              <w:left w:val="nil"/>
              <w:bottom w:val="nil"/>
              <w:right w:val="nil"/>
            </w:tcBorders>
            <w:shd w:val="clear" w:color="auto" w:fill="auto"/>
            <w:noWrap/>
            <w:vAlign w:val="center"/>
            <w:hideMark/>
          </w:tcPr>
          <w:p w14:paraId="13DC1A6A" w14:textId="1C196E2E" w:rsidR="00051CF6" w:rsidRPr="00BB400D" w:rsidRDefault="00851485" w:rsidP="00DC30CC">
            <w:pPr>
              <w:pStyle w:val="WCyG-Cuadroscifras"/>
              <w:jc w:val="center"/>
            </w:pPr>
            <w:r w:rsidRPr="00BB400D">
              <w:t>9.9</w:t>
            </w:r>
          </w:p>
        </w:tc>
        <w:tc>
          <w:tcPr>
            <w:tcW w:w="617" w:type="pct"/>
            <w:tcBorders>
              <w:top w:val="nil"/>
              <w:left w:val="nil"/>
              <w:bottom w:val="nil"/>
              <w:right w:val="nil"/>
            </w:tcBorders>
            <w:shd w:val="clear" w:color="auto" w:fill="auto"/>
            <w:noWrap/>
            <w:vAlign w:val="center"/>
            <w:hideMark/>
          </w:tcPr>
          <w:p w14:paraId="7DEE1A43" w14:textId="0B575AA5" w:rsidR="00051CF6" w:rsidRPr="00BB400D" w:rsidRDefault="00851485" w:rsidP="00DC30CC">
            <w:pPr>
              <w:pStyle w:val="WCyG-Cuadroscifras"/>
              <w:jc w:val="center"/>
            </w:pPr>
            <w:r w:rsidRPr="00BB400D">
              <w:t>16.</w:t>
            </w:r>
            <w:r w:rsidR="00FC0D92">
              <w:t>9</w:t>
            </w:r>
          </w:p>
        </w:tc>
        <w:tc>
          <w:tcPr>
            <w:tcW w:w="617" w:type="pct"/>
            <w:tcBorders>
              <w:top w:val="nil"/>
              <w:left w:val="nil"/>
              <w:bottom w:val="nil"/>
              <w:right w:val="nil"/>
            </w:tcBorders>
            <w:shd w:val="clear" w:color="auto" w:fill="auto"/>
            <w:noWrap/>
            <w:vAlign w:val="center"/>
            <w:hideMark/>
          </w:tcPr>
          <w:p w14:paraId="327280AA" w14:textId="1A56B40F" w:rsidR="00051CF6" w:rsidRPr="00BB400D" w:rsidRDefault="00851485" w:rsidP="00DC30CC">
            <w:pPr>
              <w:pStyle w:val="WCyG-Cuadroscifras"/>
              <w:jc w:val="center"/>
            </w:pPr>
            <w:r w:rsidRPr="00BB400D">
              <w:t>21.6</w:t>
            </w:r>
          </w:p>
        </w:tc>
        <w:tc>
          <w:tcPr>
            <w:tcW w:w="618" w:type="pct"/>
            <w:tcBorders>
              <w:top w:val="nil"/>
              <w:left w:val="nil"/>
              <w:bottom w:val="nil"/>
              <w:right w:val="nil"/>
            </w:tcBorders>
            <w:shd w:val="clear" w:color="000000" w:fill="AEAAAA"/>
            <w:noWrap/>
            <w:vAlign w:val="center"/>
            <w:hideMark/>
          </w:tcPr>
          <w:p w14:paraId="6DBECB34" w14:textId="0B4655F4" w:rsidR="00051CF6" w:rsidRPr="00BB400D" w:rsidRDefault="00851485" w:rsidP="00DC30CC">
            <w:pPr>
              <w:pStyle w:val="WCyG-Cuadroscifras"/>
              <w:jc w:val="center"/>
            </w:pPr>
            <w:r w:rsidRPr="00BB400D">
              <w:t>15.6</w:t>
            </w:r>
          </w:p>
        </w:tc>
      </w:tr>
      <w:tr w:rsidR="007055E5" w:rsidRPr="00BB400D" w14:paraId="53890D88" w14:textId="77777777" w:rsidTr="00DC30CC">
        <w:trPr>
          <w:trHeight w:val="279"/>
        </w:trPr>
        <w:tc>
          <w:tcPr>
            <w:tcW w:w="1914" w:type="pct"/>
            <w:tcBorders>
              <w:top w:val="nil"/>
              <w:left w:val="nil"/>
              <w:bottom w:val="nil"/>
              <w:right w:val="nil"/>
            </w:tcBorders>
            <w:shd w:val="clear" w:color="auto" w:fill="auto"/>
            <w:noWrap/>
            <w:vAlign w:val="center"/>
            <w:hideMark/>
          </w:tcPr>
          <w:p w14:paraId="00395167" w14:textId="77777777" w:rsidR="00051CF6" w:rsidRPr="00BB400D" w:rsidRDefault="00851485" w:rsidP="00DC30CC">
            <w:pPr>
              <w:pStyle w:val="WCyG-CuadrosTexto"/>
            </w:pPr>
            <w:r w:rsidRPr="00BB400D">
              <w:t>Create and share your own video/music</w:t>
            </w:r>
          </w:p>
        </w:tc>
        <w:tc>
          <w:tcPr>
            <w:tcW w:w="617" w:type="pct"/>
            <w:tcBorders>
              <w:top w:val="nil"/>
              <w:left w:val="nil"/>
              <w:bottom w:val="nil"/>
              <w:right w:val="nil"/>
            </w:tcBorders>
            <w:shd w:val="clear" w:color="auto" w:fill="auto"/>
            <w:noWrap/>
            <w:vAlign w:val="center"/>
            <w:hideMark/>
          </w:tcPr>
          <w:p w14:paraId="31F48E9F" w14:textId="0C714AB0" w:rsidR="00051CF6" w:rsidRPr="00BB400D" w:rsidRDefault="00851485" w:rsidP="00DC30CC">
            <w:pPr>
              <w:pStyle w:val="WCyG-Cuadroscifras"/>
              <w:jc w:val="center"/>
            </w:pPr>
            <w:r w:rsidRPr="00BB400D">
              <w:t>1</w:t>
            </w:r>
            <w:r w:rsidR="00F775B8">
              <w:t>4</w:t>
            </w:r>
            <w:r w:rsidRPr="00BB400D">
              <w:t>.</w:t>
            </w:r>
            <w:r w:rsidR="00F775B8">
              <w:t>0</w:t>
            </w:r>
          </w:p>
        </w:tc>
        <w:tc>
          <w:tcPr>
            <w:tcW w:w="617" w:type="pct"/>
            <w:tcBorders>
              <w:top w:val="nil"/>
              <w:left w:val="nil"/>
              <w:bottom w:val="nil"/>
              <w:right w:val="nil"/>
            </w:tcBorders>
            <w:shd w:val="clear" w:color="auto" w:fill="auto"/>
            <w:noWrap/>
            <w:vAlign w:val="center"/>
            <w:hideMark/>
          </w:tcPr>
          <w:p w14:paraId="0E103811" w14:textId="48591222" w:rsidR="00051CF6" w:rsidRPr="00BB400D" w:rsidRDefault="00851485" w:rsidP="00DC30CC">
            <w:pPr>
              <w:pStyle w:val="WCyG-Cuadroscifras"/>
              <w:jc w:val="center"/>
            </w:pPr>
            <w:r w:rsidRPr="00BB400D">
              <w:t>15.9</w:t>
            </w:r>
          </w:p>
        </w:tc>
        <w:tc>
          <w:tcPr>
            <w:tcW w:w="617" w:type="pct"/>
            <w:tcBorders>
              <w:top w:val="nil"/>
              <w:left w:val="nil"/>
              <w:bottom w:val="nil"/>
              <w:right w:val="nil"/>
            </w:tcBorders>
            <w:shd w:val="clear" w:color="auto" w:fill="auto"/>
            <w:noWrap/>
            <w:vAlign w:val="center"/>
            <w:hideMark/>
          </w:tcPr>
          <w:p w14:paraId="1F439EEC" w14:textId="313D17B3" w:rsidR="00051CF6" w:rsidRPr="00BB400D" w:rsidRDefault="00851485" w:rsidP="00DC30CC">
            <w:pPr>
              <w:pStyle w:val="WCyG-Cuadroscifras"/>
              <w:jc w:val="center"/>
            </w:pPr>
            <w:r w:rsidRPr="00BB400D">
              <w:t>20.2</w:t>
            </w:r>
          </w:p>
        </w:tc>
        <w:tc>
          <w:tcPr>
            <w:tcW w:w="617" w:type="pct"/>
            <w:tcBorders>
              <w:top w:val="nil"/>
              <w:left w:val="nil"/>
              <w:bottom w:val="nil"/>
              <w:right w:val="nil"/>
            </w:tcBorders>
            <w:shd w:val="clear" w:color="auto" w:fill="auto"/>
            <w:noWrap/>
            <w:vAlign w:val="center"/>
            <w:hideMark/>
          </w:tcPr>
          <w:p w14:paraId="003486CD" w14:textId="6220AB40" w:rsidR="00051CF6" w:rsidRPr="00BB400D" w:rsidRDefault="00851485" w:rsidP="00DC30CC">
            <w:pPr>
              <w:pStyle w:val="WCyG-Cuadroscifras"/>
              <w:jc w:val="center"/>
            </w:pPr>
            <w:r w:rsidRPr="00BB400D">
              <w:t>23.</w:t>
            </w:r>
            <w:r w:rsidR="00FC0D92">
              <w:t>8</w:t>
            </w:r>
          </w:p>
        </w:tc>
        <w:tc>
          <w:tcPr>
            <w:tcW w:w="618" w:type="pct"/>
            <w:tcBorders>
              <w:top w:val="nil"/>
              <w:left w:val="nil"/>
              <w:bottom w:val="nil"/>
              <w:right w:val="nil"/>
            </w:tcBorders>
            <w:shd w:val="clear" w:color="000000" w:fill="AEAAAA"/>
            <w:noWrap/>
            <w:vAlign w:val="center"/>
            <w:hideMark/>
          </w:tcPr>
          <w:p w14:paraId="7A240963" w14:textId="18ED0399" w:rsidR="00051CF6" w:rsidRPr="00BB400D" w:rsidRDefault="00851485" w:rsidP="00DC30CC">
            <w:pPr>
              <w:pStyle w:val="WCyG-Cuadroscifras"/>
              <w:jc w:val="center"/>
            </w:pPr>
            <w:r w:rsidRPr="00BB400D">
              <w:t>19.</w:t>
            </w:r>
            <w:r w:rsidR="00FC0D92">
              <w:t>5</w:t>
            </w:r>
          </w:p>
        </w:tc>
      </w:tr>
      <w:tr w:rsidR="007055E5" w:rsidRPr="00BB400D" w14:paraId="69919ABD" w14:textId="77777777" w:rsidTr="00DC30CC">
        <w:trPr>
          <w:trHeight w:val="261"/>
        </w:trPr>
        <w:tc>
          <w:tcPr>
            <w:tcW w:w="1914" w:type="pct"/>
            <w:tcBorders>
              <w:top w:val="nil"/>
              <w:left w:val="nil"/>
              <w:bottom w:val="nil"/>
              <w:right w:val="nil"/>
            </w:tcBorders>
            <w:shd w:val="clear" w:color="auto" w:fill="auto"/>
            <w:noWrap/>
            <w:vAlign w:val="center"/>
            <w:hideMark/>
          </w:tcPr>
          <w:p w14:paraId="4BD8F84A" w14:textId="77777777" w:rsidR="00051CF6" w:rsidRPr="00BB400D" w:rsidRDefault="00851485" w:rsidP="00DC30CC">
            <w:pPr>
              <w:pStyle w:val="WCyG-CuadrosTexto"/>
            </w:pPr>
            <w:r w:rsidRPr="00BB400D">
              <w:t>Learn about activities in your community</w:t>
            </w:r>
          </w:p>
        </w:tc>
        <w:tc>
          <w:tcPr>
            <w:tcW w:w="617" w:type="pct"/>
            <w:tcBorders>
              <w:top w:val="nil"/>
              <w:left w:val="nil"/>
              <w:bottom w:val="nil"/>
              <w:right w:val="nil"/>
            </w:tcBorders>
            <w:shd w:val="clear" w:color="auto" w:fill="auto"/>
            <w:noWrap/>
            <w:vAlign w:val="center"/>
            <w:hideMark/>
          </w:tcPr>
          <w:p w14:paraId="5DBA1F93" w14:textId="72105551" w:rsidR="00051CF6" w:rsidRPr="00BB400D" w:rsidRDefault="00851485" w:rsidP="00DC30CC">
            <w:pPr>
              <w:pStyle w:val="WCyG-Cuadroscifras"/>
              <w:jc w:val="center"/>
            </w:pPr>
            <w:r w:rsidRPr="00BB400D">
              <w:t>12.</w:t>
            </w:r>
            <w:r w:rsidR="00F775B8">
              <w:t>2</w:t>
            </w:r>
          </w:p>
        </w:tc>
        <w:tc>
          <w:tcPr>
            <w:tcW w:w="617" w:type="pct"/>
            <w:tcBorders>
              <w:top w:val="nil"/>
              <w:left w:val="nil"/>
              <w:bottom w:val="nil"/>
              <w:right w:val="nil"/>
            </w:tcBorders>
            <w:shd w:val="clear" w:color="auto" w:fill="auto"/>
            <w:noWrap/>
            <w:vAlign w:val="center"/>
            <w:hideMark/>
          </w:tcPr>
          <w:p w14:paraId="485A2B6F" w14:textId="3AAE35F7" w:rsidR="00051CF6" w:rsidRPr="00BB400D" w:rsidRDefault="00851485" w:rsidP="00DC30CC">
            <w:pPr>
              <w:pStyle w:val="WCyG-Cuadroscifras"/>
              <w:jc w:val="center"/>
            </w:pPr>
            <w:r w:rsidRPr="00BB400D">
              <w:t>18.6</w:t>
            </w:r>
          </w:p>
        </w:tc>
        <w:tc>
          <w:tcPr>
            <w:tcW w:w="617" w:type="pct"/>
            <w:tcBorders>
              <w:top w:val="nil"/>
              <w:left w:val="nil"/>
              <w:bottom w:val="nil"/>
              <w:right w:val="nil"/>
            </w:tcBorders>
            <w:shd w:val="clear" w:color="auto" w:fill="auto"/>
            <w:noWrap/>
            <w:vAlign w:val="center"/>
            <w:hideMark/>
          </w:tcPr>
          <w:p w14:paraId="464123C8" w14:textId="22672BCF" w:rsidR="00051CF6" w:rsidRPr="00BB400D" w:rsidRDefault="00851485" w:rsidP="00DC30CC">
            <w:pPr>
              <w:pStyle w:val="WCyG-Cuadroscifras"/>
              <w:jc w:val="center"/>
            </w:pPr>
            <w:r w:rsidRPr="00BB400D">
              <w:t>21.</w:t>
            </w:r>
            <w:r w:rsidR="00FC0D92">
              <w:t>1</w:t>
            </w:r>
          </w:p>
        </w:tc>
        <w:tc>
          <w:tcPr>
            <w:tcW w:w="617" w:type="pct"/>
            <w:tcBorders>
              <w:top w:val="nil"/>
              <w:left w:val="nil"/>
              <w:bottom w:val="nil"/>
              <w:right w:val="nil"/>
            </w:tcBorders>
            <w:shd w:val="clear" w:color="auto" w:fill="auto"/>
            <w:noWrap/>
            <w:vAlign w:val="center"/>
            <w:hideMark/>
          </w:tcPr>
          <w:p w14:paraId="4C067D0F" w14:textId="0DEF4EB2" w:rsidR="00051CF6" w:rsidRPr="00BB400D" w:rsidRDefault="00851485" w:rsidP="00DC30CC">
            <w:pPr>
              <w:pStyle w:val="WCyG-Cuadroscifras"/>
              <w:jc w:val="center"/>
            </w:pPr>
            <w:r w:rsidRPr="00BB400D">
              <w:t>23.0</w:t>
            </w:r>
          </w:p>
        </w:tc>
        <w:tc>
          <w:tcPr>
            <w:tcW w:w="618" w:type="pct"/>
            <w:tcBorders>
              <w:top w:val="nil"/>
              <w:left w:val="nil"/>
              <w:bottom w:val="nil"/>
              <w:right w:val="nil"/>
            </w:tcBorders>
            <w:shd w:val="clear" w:color="000000" w:fill="AEAAAA"/>
            <w:noWrap/>
            <w:vAlign w:val="center"/>
            <w:hideMark/>
          </w:tcPr>
          <w:p w14:paraId="2FF87447" w14:textId="57AFB164" w:rsidR="00051CF6" w:rsidRPr="00BB400D" w:rsidRDefault="00851485" w:rsidP="00DC30CC">
            <w:pPr>
              <w:pStyle w:val="WCyG-Cuadroscifras"/>
              <w:jc w:val="center"/>
            </w:pPr>
            <w:r w:rsidRPr="00BB400D">
              <w:t>19.5</w:t>
            </w:r>
          </w:p>
        </w:tc>
      </w:tr>
      <w:tr w:rsidR="007055E5" w:rsidRPr="00BB400D" w14:paraId="3D2148C5" w14:textId="77777777" w:rsidTr="00DC30CC">
        <w:trPr>
          <w:trHeight w:val="549"/>
        </w:trPr>
        <w:tc>
          <w:tcPr>
            <w:tcW w:w="1914" w:type="pct"/>
            <w:tcBorders>
              <w:top w:val="nil"/>
              <w:left w:val="nil"/>
              <w:bottom w:val="nil"/>
              <w:right w:val="nil"/>
            </w:tcBorders>
            <w:shd w:val="clear" w:color="auto" w:fill="auto"/>
            <w:noWrap/>
            <w:vAlign w:val="center"/>
            <w:hideMark/>
          </w:tcPr>
          <w:p w14:paraId="11EA216D" w14:textId="77777777" w:rsidR="00051CF6" w:rsidRPr="00BB400D" w:rsidRDefault="00851485" w:rsidP="00DC30CC">
            <w:pPr>
              <w:pStyle w:val="WCyG-CuadrosTexto"/>
            </w:pPr>
            <w:r w:rsidRPr="00BB400D">
              <w:t>Participate on a website where people share their interests/hobbies</w:t>
            </w:r>
          </w:p>
        </w:tc>
        <w:tc>
          <w:tcPr>
            <w:tcW w:w="617" w:type="pct"/>
            <w:tcBorders>
              <w:top w:val="nil"/>
              <w:left w:val="nil"/>
              <w:bottom w:val="nil"/>
              <w:right w:val="nil"/>
            </w:tcBorders>
            <w:shd w:val="clear" w:color="auto" w:fill="auto"/>
            <w:noWrap/>
            <w:vAlign w:val="center"/>
            <w:hideMark/>
          </w:tcPr>
          <w:p w14:paraId="5E110120" w14:textId="77A5F7AA" w:rsidR="00051CF6" w:rsidRPr="00BB400D" w:rsidRDefault="00851485" w:rsidP="00DC30CC">
            <w:pPr>
              <w:pStyle w:val="WCyG-Cuadroscifras"/>
              <w:jc w:val="center"/>
            </w:pPr>
            <w:r w:rsidRPr="00BB400D">
              <w:t>9.0</w:t>
            </w:r>
          </w:p>
        </w:tc>
        <w:tc>
          <w:tcPr>
            <w:tcW w:w="617" w:type="pct"/>
            <w:tcBorders>
              <w:top w:val="nil"/>
              <w:left w:val="nil"/>
              <w:bottom w:val="nil"/>
              <w:right w:val="nil"/>
            </w:tcBorders>
            <w:shd w:val="clear" w:color="auto" w:fill="auto"/>
            <w:noWrap/>
            <w:vAlign w:val="center"/>
            <w:hideMark/>
          </w:tcPr>
          <w:p w14:paraId="4D65211C" w14:textId="7294347B" w:rsidR="00051CF6" w:rsidRPr="00BB400D" w:rsidRDefault="00851485" w:rsidP="00DC30CC">
            <w:pPr>
              <w:pStyle w:val="WCyG-Cuadroscifras"/>
              <w:jc w:val="center"/>
            </w:pPr>
            <w:r w:rsidRPr="00BB400D">
              <w:t>16.</w:t>
            </w:r>
            <w:r w:rsidR="00FC0D92">
              <w:t>3</w:t>
            </w:r>
          </w:p>
        </w:tc>
        <w:tc>
          <w:tcPr>
            <w:tcW w:w="617" w:type="pct"/>
            <w:tcBorders>
              <w:top w:val="nil"/>
              <w:left w:val="nil"/>
              <w:bottom w:val="nil"/>
              <w:right w:val="nil"/>
            </w:tcBorders>
            <w:shd w:val="clear" w:color="auto" w:fill="auto"/>
            <w:noWrap/>
            <w:vAlign w:val="center"/>
            <w:hideMark/>
          </w:tcPr>
          <w:p w14:paraId="3BB40C02" w14:textId="358FB9DD" w:rsidR="00051CF6" w:rsidRPr="00BB400D" w:rsidRDefault="00851485" w:rsidP="00DC30CC">
            <w:pPr>
              <w:pStyle w:val="WCyG-Cuadroscifras"/>
              <w:jc w:val="center"/>
            </w:pPr>
            <w:r w:rsidRPr="00BB400D">
              <w:t>24.</w:t>
            </w:r>
            <w:r w:rsidR="00FC0D92">
              <w:t>8</w:t>
            </w:r>
          </w:p>
        </w:tc>
        <w:tc>
          <w:tcPr>
            <w:tcW w:w="617" w:type="pct"/>
            <w:tcBorders>
              <w:top w:val="nil"/>
              <w:left w:val="nil"/>
              <w:bottom w:val="nil"/>
              <w:right w:val="nil"/>
            </w:tcBorders>
            <w:shd w:val="clear" w:color="auto" w:fill="auto"/>
            <w:noWrap/>
            <w:vAlign w:val="center"/>
            <w:hideMark/>
          </w:tcPr>
          <w:p w14:paraId="053D8498" w14:textId="3DDE22F1" w:rsidR="00051CF6" w:rsidRPr="00BB400D" w:rsidRDefault="00851485" w:rsidP="00DC30CC">
            <w:pPr>
              <w:pStyle w:val="WCyG-Cuadroscifras"/>
              <w:jc w:val="center"/>
            </w:pPr>
            <w:r w:rsidRPr="00BB400D">
              <w:t>35.</w:t>
            </w:r>
            <w:r w:rsidR="00FC0D92">
              <w:t>1</w:t>
            </w:r>
          </w:p>
        </w:tc>
        <w:tc>
          <w:tcPr>
            <w:tcW w:w="618" w:type="pct"/>
            <w:tcBorders>
              <w:top w:val="nil"/>
              <w:left w:val="nil"/>
              <w:bottom w:val="nil"/>
              <w:right w:val="nil"/>
            </w:tcBorders>
            <w:shd w:val="clear" w:color="000000" w:fill="AEAAAA"/>
            <w:noWrap/>
            <w:vAlign w:val="center"/>
            <w:hideMark/>
          </w:tcPr>
          <w:p w14:paraId="241462DC" w14:textId="0A352023" w:rsidR="00051CF6" w:rsidRPr="00BB400D" w:rsidRDefault="00851485" w:rsidP="00DC30CC">
            <w:pPr>
              <w:pStyle w:val="WCyG-Cuadroscifras"/>
              <w:jc w:val="center"/>
            </w:pPr>
            <w:r w:rsidRPr="00BB400D">
              <w:t>22.9</w:t>
            </w:r>
          </w:p>
        </w:tc>
      </w:tr>
      <w:tr w:rsidR="007055E5" w:rsidRPr="00BB400D" w14:paraId="5CD6BE50" w14:textId="77777777" w:rsidTr="00DC30CC">
        <w:trPr>
          <w:trHeight w:val="261"/>
        </w:trPr>
        <w:tc>
          <w:tcPr>
            <w:tcW w:w="1914" w:type="pct"/>
            <w:tcBorders>
              <w:top w:val="nil"/>
              <w:left w:val="nil"/>
              <w:bottom w:val="nil"/>
              <w:right w:val="nil"/>
            </w:tcBorders>
            <w:shd w:val="clear" w:color="auto" w:fill="auto"/>
            <w:noWrap/>
            <w:vAlign w:val="center"/>
            <w:hideMark/>
          </w:tcPr>
          <w:p w14:paraId="40F185E8" w14:textId="77777777" w:rsidR="00051CF6" w:rsidRPr="00BB400D" w:rsidRDefault="00851485" w:rsidP="00DC30CC">
            <w:pPr>
              <w:pStyle w:val="WCyG-CuadrosTexto"/>
            </w:pPr>
            <w:r w:rsidRPr="00BB400D">
              <w:t>Talk to people from other countries</w:t>
            </w:r>
          </w:p>
        </w:tc>
        <w:tc>
          <w:tcPr>
            <w:tcW w:w="617" w:type="pct"/>
            <w:tcBorders>
              <w:top w:val="nil"/>
              <w:left w:val="nil"/>
              <w:bottom w:val="nil"/>
              <w:right w:val="nil"/>
            </w:tcBorders>
            <w:shd w:val="clear" w:color="auto" w:fill="auto"/>
            <w:noWrap/>
            <w:vAlign w:val="center"/>
            <w:hideMark/>
          </w:tcPr>
          <w:p w14:paraId="0CAAF50B" w14:textId="5EB99B51" w:rsidR="00051CF6" w:rsidRPr="00BB400D" w:rsidRDefault="00851485" w:rsidP="00DC30CC">
            <w:pPr>
              <w:pStyle w:val="WCyG-Cuadroscifras"/>
              <w:jc w:val="center"/>
            </w:pPr>
            <w:r w:rsidRPr="00BB400D">
              <w:t>13.</w:t>
            </w:r>
            <w:r w:rsidR="00F775B8">
              <w:t>3</w:t>
            </w:r>
          </w:p>
        </w:tc>
        <w:tc>
          <w:tcPr>
            <w:tcW w:w="617" w:type="pct"/>
            <w:tcBorders>
              <w:top w:val="nil"/>
              <w:left w:val="nil"/>
              <w:bottom w:val="nil"/>
              <w:right w:val="nil"/>
            </w:tcBorders>
            <w:shd w:val="clear" w:color="auto" w:fill="auto"/>
            <w:noWrap/>
            <w:vAlign w:val="center"/>
            <w:hideMark/>
          </w:tcPr>
          <w:p w14:paraId="15875FB8" w14:textId="1836E5DF" w:rsidR="00051CF6" w:rsidRPr="00BB400D" w:rsidRDefault="00851485" w:rsidP="00DC30CC">
            <w:pPr>
              <w:pStyle w:val="WCyG-Cuadroscifras"/>
              <w:jc w:val="center"/>
            </w:pPr>
            <w:r w:rsidRPr="00BB400D">
              <w:t>19.</w:t>
            </w:r>
            <w:r w:rsidR="00FC0D92">
              <w:t>6</w:t>
            </w:r>
          </w:p>
        </w:tc>
        <w:tc>
          <w:tcPr>
            <w:tcW w:w="617" w:type="pct"/>
            <w:tcBorders>
              <w:top w:val="nil"/>
              <w:left w:val="nil"/>
              <w:bottom w:val="nil"/>
              <w:right w:val="nil"/>
            </w:tcBorders>
            <w:shd w:val="clear" w:color="auto" w:fill="auto"/>
            <w:noWrap/>
            <w:vAlign w:val="center"/>
            <w:hideMark/>
          </w:tcPr>
          <w:p w14:paraId="056FDC94" w14:textId="65DA12F9" w:rsidR="00051CF6" w:rsidRPr="00BB400D" w:rsidRDefault="00851485" w:rsidP="00DC30CC">
            <w:pPr>
              <w:pStyle w:val="WCyG-Cuadroscifras"/>
              <w:jc w:val="center"/>
            </w:pPr>
            <w:r w:rsidRPr="00BB400D">
              <w:t>28.0</w:t>
            </w:r>
          </w:p>
        </w:tc>
        <w:tc>
          <w:tcPr>
            <w:tcW w:w="617" w:type="pct"/>
            <w:tcBorders>
              <w:top w:val="nil"/>
              <w:left w:val="nil"/>
              <w:bottom w:val="nil"/>
              <w:right w:val="nil"/>
            </w:tcBorders>
            <w:shd w:val="clear" w:color="auto" w:fill="auto"/>
            <w:noWrap/>
            <w:vAlign w:val="center"/>
            <w:hideMark/>
          </w:tcPr>
          <w:p w14:paraId="2F6DDF3A" w14:textId="44662153" w:rsidR="00051CF6" w:rsidRPr="00BB400D" w:rsidRDefault="00851485" w:rsidP="00DC30CC">
            <w:pPr>
              <w:pStyle w:val="WCyG-Cuadroscifras"/>
              <w:jc w:val="center"/>
            </w:pPr>
            <w:r w:rsidRPr="00BB400D">
              <w:t>35.</w:t>
            </w:r>
            <w:r w:rsidR="00FC0D92">
              <w:t>3</w:t>
            </w:r>
          </w:p>
        </w:tc>
        <w:tc>
          <w:tcPr>
            <w:tcW w:w="618" w:type="pct"/>
            <w:tcBorders>
              <w:top w:val="nil"/>
              <w:left w:val="nil"/>
              <w:bottom w:val="nil"/>
              <w:right w:val="nil"/>
            </w:tcBorders>
            <w:shd w:val="clear" w:color="000000" w:fill="AEAAAA"/>
            <w:noWrap/>
            <w:vAlign w:val="center"/>
            <w:hideMark/>
          </w:tcPr>
          <w:p w14:paraId="25197629" w14:textId="331E8F92" w:rsidR="00051CF6" w:rsidRPr="00BB400D" w:rsidRDefault="00851485" w:rsidP="00DC30CC">
            <w:pPr>
              <w:pStyle w:val="WCyG-Cuadroscifras"/>
              <w:jc w:val="center"/>
            </w:pPr>
            <w:r w:rsidRPr="00BB400D">
              <w:t>25.4</w:t>
            </w:r>
          </w:p>
        </w:tc>
      </w:tr>
      <w:tr w:rsidR="007055E5" w:rsidRPr="00BB400D" w14:paraId="34D20E0C" w14:textId="77777777" w:rsidTr="00DC30CC">
        <w:trPr>
          <w:trHeight w:val="389"/>
        </w:trPr>
        <w:tc>
          <w:tcPr>
            <w:tcW w:w="1914" w:type="pct"/>
            <w:tcBorders>
              <w:top w:val="nil"/>
              <w:left w:val="nil"/>
              <w:bottom w:val="nil"/>
              <w:right w:val="nil"/>
            </w:tcBorders>
            <w:shd w:val="clear" w:color="auto" w:fill="auto"/>
            <w:noWrap/>
            <w:vAlign w:val="center"/>
            <w:hideMark/>
          </w:tcPr>
          <w:p w14:paraId="354FDE7A" w14:textId="77777777" w:rsidR="00051CF6" w:rsidRPr="00BB400D" w:rsidRDefault="00851485" w:rsidP="00DC30CC">
            <w:pPr>
              <w:pStyle w:val="WCyG-CuadrosTexto"/>
            </w:pPr>
            <w:r w:rsidRPr="00BB400D">
              <w:t>Look for work/study opportunities</w:t>
            </w:r>
          </w:p>
        </w:tc>
        <w:tc>
          <w:tcPr>
            <w:tcW w:w="617" w:type="pct"/>
            <w:tcBorders>
              <w:top w:val="nil"/>
              <w:left w:val="nil"/>
              <w:bottom w:val="nil"/>
              <w:right w:val="nil"/>
            </w:tcBorders>
            <w:shd w:val="clear" w:color="auto" w:fill="auto"/>
            <w:noWrap/>
            <w:vAlign w:val="center"/>
            <w:hideMark/>
          </w:tcPr>
          <w:p w14:paraId="5416B8E0" w14:textId="1E391FF2" w:rsidR="00051CF6" w:rsidRPr="00BB400D" w:rsidRDefault="00851485" w:rsidP="00DC30CC">
            <w:pPr>
              <w:pStyle w:val="WCyG-Cuadroscifras"/>
              <w:jc w:val="center"/>
            </w:pPr>
            <w:r w:rsidRPr="00BB400D">
              <w:t>15.9</w:t>
            </w:r>
          </w:p>
        </w:tc>
        <w:tc>
          <w:tcPr>
            <w:tcW w:w="617" w:type="pct"/>
            <w:tcBorders>
              <w:top w:val="nil"/>
              <w:left w:val="nil"/>
              <w:bottom w:val="nil"/>
              <w:right w:val="nil"/>
            </w:tcBorders>
            <w:shd w:val="clear" w:color="auto" w:fill="auto"/>
            <w:noWrap/>
            <w:vAlign w:val="center"/>
            <w:hideMark/>
          </w:tcPr>
          <w:p w14:paraId="06BF38F4" w14:textId="52051589" w:rsidR="00051CF6" w:rsidRPr="00BB400D" w:rsidRDefault="00851485" w:rsidP="00DC30CC">
            <w:pPr>
              <w:pStyle w:val="WCyG-Cuadroscifras"/>
              <w:jc w:val="center"/>
            </w:pPr>
            <w:r w:rsidRPr="00BB400D">
              <w:t>21.7</w:t>
            </w:r>
          </w:p>
        </w:tc>
        <w:tc>
          <w:tcPr>
            <w:tcW w:w="617" w:type="pct"/>
            <w:tcBorders>
              <w:top w:val="nil"/>
              <w:left w:val="nil"/>
              <w:bottom w:val="nil"/>
              <w:right w:val="nil"/>
            </w:tcBorders>
            <w:shd w:val="clear" w:color="auto" w:fill="auto"/>
            <w:noWrap/>
            <w:vAlign w:val="center"/>
            <w:hideMark/>
          </w:tcPr>
          <w:p w14:paraId="70F8985E" w14:textId="7907C675" w:rsidR="00051CF6" w:rsidRPr="00BB400D" w:rsidRDefault="00851485" w:rsidP="00DC30CC">
            <w:pPr>
              <w:pStyle w:val="WCyG-Cuadroscifras"/>
              <w:jc w:val="center"/>
            </w:pPr>
            <w:r w:rsidRPr="00BB400D">
              <w:t>31.</w:t>
            </w:r>
            <w:r w:rsidR="00FC0D92">
              <w:t>4</w:t>
            </w:r>
          </w:p>
        </w:tc>
        <w:tc>
          <w:tcPr>
            <w:tcW w:w="617" w:type="pct"/>
            <w:tcBorders>
              <w:top w:val="nil"/>
              <w:left w:val="nil"/>
              <w:bottom w:val="nil"/>
              <w:right w:val="nil"/>
            </w:tcBorders>
            <w:shd w:val="clear" w:color="auto" w:fill="auto"/>
            <w:noWrap/>
            <w:vAlign w:val="center"/>
            <w:hideMark/>
          </w:tcPr>
          <w:p w14:paraId="0BFA430A" w14:textId="41CE998A" w:rsidR="00051CF6" w:rsidRPr="00BB400D" w:rsidRDefault="00851485" w:rsidP="00DC30CC">
            <w:pPr>
              <w:pStyle w:val="WCyG-Cuadroscifras"/>
              <w:jc w:val="center"/>
            </w:pPr>
            <w:r w:rsidRPr="00BB400D">
              <w:t>45.3</w:t>
            </w:r>
          </w:p>
        </w:tc>
        <w:tc>
          <w:tcPr>
            <w:tcW w:w="618" w:type="pct"/>
            <w:tcBorders>
              <w:top w:val="nil"/>
              <w:left w:val="nil"/>
              <w:bottom w:val="nil"/>
              <w:right w:val="nil"/>
            </w:tcBorders>
            <w:shd w:val="clear" w:color="000000" w:fill="AEAAAA"/>
            <w:noWrap/>
            <w:vAlign w:val="center"/>
            <w:hideMark/>
          </w:tcPr>
          <w:p w14:paraId="1AEA97E6" w14:textId="36769800" w:rsidR="00051CF6" w:rsidRPr="00BB400D" w:rsidRDefault="00851485" w:rsidP="00DC30CC">
            <w:pPr>
              <w:pStyle w:val="WCyG-Cuadroscifras"/>
              <w:jc w:val="center"/>
            </w:pPr>
            <w:r w:rsidRPr="00BB400D">
              <w:t>30.8</w:t>
            </w:r>
          </w:p>
        </w:tc>
      </w:tr>
      <w:tr w:rsidR="007055E5" w:rsidRPr="00BB400D" w14:paraId="2A946AD6" w14:textId="77777777" w:rsidTr="00DC30CC">
        <w:trPr>
          <w:trHeight w:val="243"/>
        </w:trPr>
        <w:tc>
          <w:tcPr>
            <w:tcW w:w="1914" w:type="pct"/>
            <w:tcBorders>
              <w:top w:val="nil"/>
              <w:left w:val="nil"/>
              <w:bottom w:val="nil"/>
              <w:right w:val="nil"/>
            </w:tcBorders>
            <w:shd w:val="clear" w:color="auto" w:fill="auto"/>
            <w:noWrap/>
            <w:vAlign w:val="center"/>
            <w:hideMark/>
          </w:tcPr>
          <w:p w14:paraId="7971C4BD" w14:textId="77777777" w:rsidR="00051CF6" w:rsidRPr="00BB400D" w:rsidRDefault="00851485" w:rsidP="00DC30CC">
            <w:pPr>
              <w:pStyle w:val="WCyG-CuadrosTexto"/>
            </w:pPr>
            <w:r w:rsidRPr="00BB400D">
              <w:t>Look for information on health/diseases</w:t>
            </w:r>
          </w:p>
        </w:tc>
        <w:tc>
          <w:tcPr>
            <w:tcW w:w="617" w:type="pct"/>
            <w:tcBorders>
              <w:top w:val="nil"/>
              <w:left w:val="nil"/>
              <w:bottom w:val="nil"/>
              <w:right w:val="nil"/>
            </w:tcBorders>
            <w:shd w:val="clear" w:color="auto" w:fill="auto"/>
            <w:noWrap/>
            <w:vAlign w:val="center"/>
            <w:hideMark/>
          </w:tcPr>
          <w:p w14:paraId="1C957375" w14:textId="108B53DE" w:rsidR="00051CF6" w:rsidRPr="00BB400D" w:rsidRDefault="00851485" w:rsidP="00DC30CC">
            <w:pPr>
              <w:pStyle w:val="WCyG-Cuadroscifras"/>
              <w:jc w:val="center"/>
            </w:pPr>
            <w:r w:rsidRPr="00BB400D">
              <w:t>26.1</w:t>
            </w:r>
          </w:p>
        </w:tc>
        <w:tc>
          <w:tcPr>
            <w:tcW w:w="617" w:type="pct"/>
            <w:tcBorders>
              <w:top w:val="nil"/>
              <w:left w:val="nil"/>
              <w:bottom w:val="nil"/>
              <w:right w:val="nil"/>
            </w:tcBorders>
            <w:shd w:val="clear" w:color="auto" w:fill="auto"/>
            <w:noWrap/>
            <w:vAlign w:val="center"/>
            <w:hideMark/>
          </w:tcPr>
          <w:p w14:paraId="2C7B1F74" w14:textId="796C7D05" w:rsidR="00051CF6" w:rsidRPr="00BB400D" w:rsidRDefault="00851485" w:rsidP="00DC30CC">
            <w:pPr>
              <w:pStyle w:val="WCyG-Cuadroscifras"/>
              <w:jc w:val="center"/>
            </w:pPr>
            <w:r w:rsidRPr="00BB400D">
              <w:t>34.9</w:t>
            </w:r>
          </w:p>
        </w:tc>
        <w:tc>
          <w:tcPr>
            <w:tcW w:w="617" w:type="pct"/>
            <w:tcBorders>
              <w:top w:val="nil"/>
              <w:left w:val="nil"/>
              <w:bottom w:val="nil"/>
              <w:right w:val="nil"/>
            </w:tcBorders>
            <w:shd w:val="clear" w:color="auto" w:fill="auto"/>
            <w:noWrap/>
            <w:vAlign w:val="center"/>
            <w:hideMark/>
          </w:tcPr>
          <w:p w14:paraId="0A7277B7" w14:textId="3A556A0B" w:rsidR="00051CF6" w:rsidRPr="00BB400D" w:rsidRDefault="00851485" w:rsidP="00DC30CC">
            <w:pPr>
              <w:pStyle w:val="WCyG-Cuadroscifras"/>
              <w:jc w:val="center"/>
            </w:pPr>
            <w:r w:rsidRPr="00BB400D">
              <w:t>37.5</w:t>
            </w:r>
          </w:p>
        </w:tc>
        <w:tc>
          <w:tcPr>
            <w:tcW w:w="617" w:type="pct"/>
            <w:tcBorders>
              <w:top w:val="nil"/>
              <w:left w:val="nil"/>
              <w:bottom w:val="nil"/>
              <w:right w:val="nil"/>
            </w:tcBorders>
            <w:shd w:val="clear" w:color="auto" w:fill="auto"/>
            <w:noWrap/>
            <w:vAlign w:val="center"/>
            <w:hideMark/>
          </w:tcPr>
          <w:p w14:paraId="64676166" w14:textId="6CF9AF7F" w:rsidR="00051CF6" w:rsidRPr="00BB400D" w:rsidRDefault="00851485" w:rsidP="00DC30CC">
            <w:pPr>
              <w:pStyle w:val="WCyG-Cuadroscifras"/>
              <w:jc w:val="center"/>
            </w:pPr>
            <w:r w:rsidRPr="00BB400D">
              <w:t>46.1</w:t>
            </w:r>
          </w:p>
        </w:tc>
        <w:tc>
          <w:tcPr>
            <w:tcW w:w="618" w:type="pct"/>
            <w:tcBorders>
              <w:top w:val="nil"/>
              <w:left w:val="nil"/>
              <w:bottom w:val="nil"/>
              <w:right w:val="nil"/>
            </w:tcBorders>
            <w:shd w:val="clear" w:color="000000" w:fill="AEAAAA"/>
            <w:noWrap/>
            <w:vAlign w:val="center"/>
            <w:hideMark/>
          </w:tcPr>
          <w:p w14:paraId="6D106F8D" w14:textId="37BDEDDD" w:rsidR="00051CF6" w:rsidRPr="00BB400D" w:rsidRDefault="00851485" w:rsidP="00DC30CC">
            <w:pPr>
              <w:pStyle w:val="WCyG-Cuadroscifras"/>
              <w:jc w:val="center"/>
            </w:pPr>
            <w:r w:rsidRPr="00BB400D">
              <w:t>37.</w:t>
            </w:r>
            <w:r w:rsidR="00FC0D92">
              <w:t>5</w:t>
            </w:r>
          </w:p>
        </w:tc>
      </w:tr>
      <w:tr w:rsidR="007055E5" w:rsidRPr="00BB400D" w14:paraId="46C9A77F" w14:textId="77777777" w:rsidTr="00DC30CC">
        <w:trPr>
          <w:trHeight w:val="279"/>
        </w:trPr>
        <w:tc>
          <w:tcPr>
            <w:tcW w:w="1914" w:type="pct"/>
            <w:tcBorders>
              <w:top w:val="nil"/>
              <w:left w:val="nil"/>
              <w:bottom w:val="nil"/>
              <w:right w:val="nil"/>
            </w:tcBorders>
            <w:shd w:val="clear" w:color="auto" w:fill="auto"/>
            <w:noWrap/>
            <w:vAlign w:val="center"/>
            <w:hideMark/>
          </w:tcPr>
          <w:p w14:paraId="1AD35BE7" w14:textId="77777777" w:rsidR="00051CF6" w:rsidRPr="00BB400D" w:rsidRDefault="00851485" w:rsidP="00DC30CC">
            <w:pPr>
              <w:pStyle w:val="WCyG-CuadrosTexto"/>
            </w:pPr>
            <w:r w:rsidRPr="00BB400D">
              <w:t>Read/watch the news</w:t>
            </w:r>
          </w:p>
        </w:tc>
        <w:tc>
          <w:tcPr>
            <w:tcW w:w="617" w:type="pct"/>
            <w:tcBorders>
              <w:top w:val="nil"/>
              <w:left w:val="nil"/>
              <w:bottom w:val="nil"/>
              <w:right w:val="nil"/>
            </w:tcBorders>
            <w:shd w:val="clear" w:color="auto" w:fill="auto"/>
            <w:noWrap/>
            <w:vAlign w:val="center"/>
            <w:hideMark/>
          </w:tcPr>
          <w:p w14:paraId="39795D53" w14:textId="4C1D3407" w:rsidR="00051CF6" w:rsidRPr="00BB400D" w:rsidRDefault="00851485" w:rsidP="00DC30CC">
            <w:pPr>
              <w:pStyle w:val="WCyG-Cuadroscifras"/>
              <w:jc w:val="center"/>
            </w:pPr>
            <w:r w:rsidRPr="00BB400D">
              <w:t>26.0</w:t>
            </w:r>
          </w:p>
        </w:tc>
        <w:tc>
          <w:tcPr>
            <w:tcW w:w="617" w:type="pct"/>
            <w:tcBorders>
              <w:top w:val="nil"/>
              <w:left w:val="nil"/>
              <w:bottom w:val="nil"/>
              <w:right w:val="nil"/>
            </w:tcBorders>
            <w:shd w:val="clear" w:color="auto" w:fill="auto"/>
            <w:noWrap/>
            <w:vAlign w:val="center"/>
            <w:hideMark/>
          </w:tcPr>
          <w:p w14:paraId="7FFDF9A9" w14:textId="4CF8A205" w:rsidR="00051CF6" w:rsidRPr="00BB400D" w:rsidRDefault="00851485" w:rsidP="00DC30CC">
            <w:pPr>
              <w:pStyle w:val="WCyG-Cuadroscifras"/>
              <w:jc w:val="center"/>
            </w:pPr>
            <w:r w:rsidRPr="00BB400D">
              <w:t>35.3</w:t>
            </w:r>
          </w:p>
        </w:tc>
        <w:tc>
          <w:tcPr>
            <w:tcW w:w="617" w:type="pct"/>
            <w:tcBorders>
              <w:top w:val="nil"/>
              <w:left w:val="nil"/>
              <w:bottom w:val="nil"/>
              <w:right w:val="nil"/>
            </w:tcBorders>
            <w:shd w:val="clear" w:color="auto" w:fill="auto"/>
            <w:noWrap/>
            <w:vAlign w:val="center"/>
            <w:hideMark/>
          </w:tcPr>
          <w:p w14:paraId="4D5FD7A8" w14:textId="40F0D6CD" w:rsidR="00051CF6" w:rsidRPr="00BB400D" w:rsidRDefault="00851485" w:rsidP="00DC30CC">
            <w:pPr>
              <w:pStyle w:val="WCyG-Cuadroscifras"/>
              <w:jc w:val="center"/>
            </w:pPr>
            <w:r w:rsidRPr="00BB400D">
              <w:t>44.</w:t>
            </w:r>
            <w:r w:rsidR="00FC0D92">
              <w:t>1</w:t>
            </w:r>
          </w:p>
        </w:tc>
        <w:tc>
          <w:tcPr>
            <w:tcW w:w="617" w:type="pct"/>
            <w:tcBorders>
              <w:top w:val="nil"/>
              <w:left w:val="nil"/>
              <w:bottom w:val="nil"/>
              <w:right w:val="nil"/>
            </w:tcBorders>
            <w:shd w:val="clear" w:color="000000" w:fill="D0CECE"/>
            <w:noWrap/>
            <w:vAlign w:val="center"/>
            <w:hideMark/>
          </w:tcPr>
          <w:p w14:paraId="70E12D42" w14:textId="7A676E26" w:rsidR="00051CF6" w:rsidRPr="00BB400D" w:rsidRDefault="00851485" w:rsidP="00DC30CC">
            <w:pPr>
              <w:pStyle w:val="WCyG-Cuadroscifras"/>
              <w:jc w:val="center"/>
            </w:pPr>
            <w:r w:rsidRPr="00BB400D">
              <w:t>52.6</w:t>
            </w:r>
          </w:p>
        </w:tc>
        <w:tc>
          <w:tcPr>
            <w:tcW w:w="618" w:type="pct"/>
            <w:tcBorders>
              <w:top w:val="nil"/>
              <w:left w:val="nil"/>
              <w:bottom w:val="nil"/>
              <w:right w:val="nil"/>
            </w:tcBorders>
            <w:shd w:val="clear" w:color="000000" w:fill="AEAAAA"/>
            <w:noWrap/>
            <w:vAlign w:val="center"/>
            <w:hideMark/>
          </w:tcPr>
          <w:p w14:paraId="09922608" w14:textId="2C36F652" w:rsidR="00051CF6" w:rsidRPr="00BB400D" w:rsidRDefault="00851485" w:rsidP="00DC30CC">
            <w:pPr>
              <w:pStyle w:val="WCyG-Cuadroscifras"/>
              <w:jc w:val="center"/>
            </w:pPr>
            <w:r w:rsidRPr="00BB400D">
              <w:t>41.</w:t>
            </w:r>
            <w:r w:rsidR="00FC0D92">
              <w:t>5</w:t>
            </w:r>
          </w:p>
        </w:tc>
      </w:tr>
      <w:tr w:rsidR="007055E5" w:rsidRPr="00BB400D" w14:paraId="5B9E08AB" w14:textId="77777777" w:rsidTr="00DC30CC">
        <w:trPr>
          <w:trHeight w:val="261"/>
        </w:trPr>
        <w:tc>
          <w:tcPr>
            <w:tcW w:w="1914" w:type="pct"/>
            <w:tcBorders>
              <w:top w:val="nil"/>
              <w:left w:val="nil"/>
              <w:bottom w:val="nil"/>
              <w:right w:val="nil"/>
            </w:tcBorders>
            <w:shd w:val="clear" w:color="auto" w:fill="auto"/>
            <w:noWrap/>
            <w:vAlign w:val="center"/>
            <w:hideMark/>
          </w:tcPr>
          <w:p w14:paraId="412B7B85" w14:textId="77777777" w:rsidR="00051CF6" w:rsidRPr="00BB400D" w:rsidRDefault="00851485" w:rsidP="00DC30CC">
            <w:pPr>
              <w:pStyle w:val="WCyG-CuadrosTexto"/>
            </w:pPr>
            <w:r w:rsidRPr="00BB400D">
              <w:t>Learn something new</w:t>
            </w:r>
          </w:p>
        </w:tc>
        <w:tc>
          <w:tcPr>
            <w:tcW w:w="617" w:type="pct"/>
            <w:tcBorders>
              <w:top w:val="nil"/>
              <w:left w:val="nil"/>
              <w:bottom w:val="nil"/>
              <w:right w:val="nil"/>
            </w:tcBorders>
            <w:shd w:val="clear" w:color="000000" w:fill="D0CECE"/>
            <w:noWrap/>
            <w:vAlign w:val="center"/>
            <w:hideMark/>
          </w:tcPr>
          <w:p w14:paraId="3C2E62A0" w14:textId="1761DC38" w:rsidR="00051CF6" w:rsidRPr="00BB400D" w:rsidRDefault="00851485" w:rsidP="00DC30CC">
            <w:pPr>
              <w:pStyle w:val="WCyG-Cuadroscifras"/>
              <w:jc w:val="center"/>
            </w:pPr>
            <w:r w:rsidRPr="00BB400D">
              <w:t>54.2</w:t>
            </w:r>
          </w:p>
        </w:tc>
        <w:tc>
          <w:tcPr>
            <w:tcW w:w="617" w:type="pct"/>
            <w:tcBorders>
              <w:top w:val="nil"/>
              <w:left w:val="nil"/>
              <w:bottom w:val="nil"/>
              <w:right w:val="nil"/>
            </w:tcBorders>
            <w:shd w:val="clear" w:color="000000" w:fill="D0CECE"/>
            <w:noWrap/>
            <w:vAlign w:val="center"/>
            <w:hideMark/>
          </w:tcPr>
          <w:p w14:paraId="5A8A6EA3" w14:textId="513A8477" w:rsidR="00051CF6" w:rsidRPr="00BB400D" w:rsidRDefault="00851485" w:rsidP="00DC30CC">
            <w:pPr>
              <w:pStyle w:val="WCyG-Cuadroscifras"/>
              <w:jc w:val="center"/>
            </w:pPr>
            <w:r w:rsidRPr="00BB400D">
              <w:t>6</w:t>
            </w:r>
            <w:r w:rsidR="00FC0D92">
              <w:t>1</w:t>
            </w:r>
            <w:r w:rsidRPr="00BB400D">
              <w:t>.</w:t>
            </w:r>
            <w:r w:rsidR="00FC0D92">
              <w:t>0</w:t>
            </w:r>
          </w:p>
        </w:tc>
        <w:tc>
          <w:tcPr>
            <w:tcW w:w="617" w:type="pct"/>
            <w:tcBorders>
              <w:top w:val="nil"/>
              <w:left w:val="nil"/>
              <w:bottom w:val="nil"/>
              <w:right w:val="nil"/>
            </w:tcBorders>
            <w:shd w:val="clear" w:color="000000" w:fill="D0CECE"/>
            <w:noWrap/>
            <w:vAlign w:val="center"/>
            <w:hideMark/>
          </w:tcPr>
          <w:p w14:paraId="0BC34D3E" w14:textId="726D3E40" w:rsidR="00051CF6" w:rsidRPr="00BB400D" w:rsidRDefault="00851485" w:rsidP="00DC30CC">
            <w:pPr>
              <w:pStyle w:val="WCyG-Cuadroscifras"/>
              <w:jc w:val="center"/>
            </w:pPr>
            <w:r w:rsidRPr="00BB400D">
              <w:t>68.7</w:t>
            </w:r>
          </w:p>
        </w:tc>
        <w:tc>
          <w:tcPr>
            <w:tcW w:w="617" w:type="pct"/>
            <w:tcBorders>
              <w:top w:val="nil"/>
              <w:left w:val="nil"/>
              <w:bottom w:val="nil"/>
              <w:right w:val="nil"/>
            </w:tcBorders>
            <w:shd w:val="clear" w:color="000000" w:fill="D0CECE"/>
            <w:noWrap/>
            <w:vAlign w:val="center"/>
            <w:hideMark/>
          </w:tcPr>
          <w:p w14:paraId="5E76F7D2" w14:textId="7346B3AA" w:rsidR="00051CF6" w:rsidRPr="00BB400D" w:rsidRDefault="00851485" w:rsidP="00DC30CC">
            <w:pPr>
              <w:pStyle w:val="WCyG-Cuadroscifras"/>
              <w:jc w:val="center"/>
            </w:pPr>
            <w:r w:rsidRPr="00BB400D">
              <w:t>75.6</w:t>
            </w:r>
          </w:p>
        </w:tc>
        <w:tc>
          <w:tcPr>
            <w:tcW w:w="618" w:type="pct"/>
            <w:tcBorders>
              <w:top w:val="nil"/>
              <w:left w:val="nil"/>
              <w:bottom w:val="nil"/>
              <w:right w:val="nil"/>
            </w:tcBorders>
            <w:shd w:val="clear" w:color="000000" w:fill="AEAAAA"/>
            <w:noWrap/>
            <w:vAlign w:val="center"/>
            <w:hideMark/>
          </w:tcPr>
          <w:p w14:paraId="150E2B41" w14:textId="4C1958E0" w:rsidR="00051CF6" w:rsidRPr="00BB400D" w:rsidRDefault="00851485" w:rsidP="00DC30CC">
            <w:pPr>
              <w:pStyle w:val="WCyG-Cuadroscifras"/>
              <w:jc w:val="center"/>
            </w:pPr>
            <w:r w:rsidRPr="00BB400D">
              <w:t>66.</w:t>
            </w:r>
            <w:r w:rsidR="00FC0D92">
              <w:t>1</w:t>
            </w:r>
          </w:p>
        </w:tc>
      </w:tr>
      <w:tr w:rsidR="007055E5" w:rsidRPr="00BB400D" w14:paraId="584EB8E7" w14:textId="77777777" w:rsidTr="00DC30CC">
        <w:trPr>
          <w:trHeight w:val="279"/>
        </w:trPr>
        <w:tc>
          <w:tcPr>
            <w:tcW w:w="1914" w:type="pct"/>
            <w:tcBorders>
              <w:top w:val="nil"/>
              <w:left w:val="nil"/>
              <w:bottom w:val="nil"/>
              <w:right w:val="nil"/>
            </w:tcBorders>
            <w:shd w:val="clear" w:color="auto" w:fill="auto"/>
            <w:noWrap/>
            <w:vAlign w:val="center"/>
            <w:hideMark/>
          </w:tcPr>
          <w:p w14:paraId="58BF80D4" w14:textId="77777777" w:rsidR="00051CF6" w:rsidRPr="00BB400D" w:rsidRDefault="00851485" w:rsidP="00DC30CC">
            <w:pPr>
              <w:pStyle w:val="WCyG-CuadrosTexto"/>
            </w:pPr>
            <w:r w:rsidRPr="00BB400D">
              <w:t>Chat online</w:t>
            </w:r>
          </w:p>
        </w:tc>
        <w:tc>
          <w:tcPr>
            <w:tcW w:w="617" w:type="pct"/>
            <w:tcBorders>
              <w:top w:val="nil"/>
              <w:left w:val="nil"/>
              <w:bottom w:val="nil"/>
              <w:right w:val="nil"/>
            </w:tcBorders>
            <w:shd w:val="clear" w:color="auto" w:fill="auto"/>
            <w:noWrap/>
            <w:vAlign w:val="center"/>
            <w:hideMark/>
          </w:tcPr>
          <w:p w14:paraId="45BE36C2" w14:textId="204A047F" w:rsidR="00051CF6" w:rsidRPr="00BB400D" w:rsidRDefault="00851485" w:rsidP="00DC30CC">
            <w:pPr>
              <w:pStyle w:val="WCyG-Cuadroscifras"/>
              <w:jc w:val="center"/>
            </w:pPr>
            <w:r w:rsidRPr="00BB400D">
              <w:t>44.8</w:t>
            </w:r>
          </w:p>
        </w:tc>
        <w:tc>
          <w:tcPr>
            <w:tcW w:w="617" w:type="pct"/>
            <w:tcBorders>
              <w:top w:val="nil"/>
              <w:left w:val="nil"/>
              <w:bottom w:val="nil"/>
              <w:right w:val="nil"/>
            </w:tcBorders>
            <w:shd w:val="clear" w:color="000000" w:fill="D0CECE"/>
            <w:noWrap/>
            <w:vAlign w:val="center"/>
            <w:hideMark/>
          </w:tcPr>
          <w:p w14:paraId="2D477FFA" w14:textId="2A1E2499" w:rsidR="00051CF6" w:rsidRPr="00BB400D" w:rsidRDefault="00851485" w:rsidP="00DC30CC">
            <w:pPr>
              <w:pStyle w:val="WCyG-Cuadroscifras"/>
              <w:jc w:val="center"/>
            </w:pPr>
            <w:r w:rsidRPr="00BB400D">
              <w:t>60.8</w:t>
            </w:r>
          </w:p>
        </w:tc>
        <w:tc>
          <w:tcPr>
            <w:tcW w:w="617" w:type="pct"/>
            <w:tcBorders>
              <w:top w:val="nil"/>
              <w:left w:val="nil"/>
              <w:bottom w:val="nil"/>
              <w:right w:val="nil"/>
            </w:tcBorders>
            <w:shd w:val="clear" w:color="000000" w:fill="D0CECE"/>
            <w:noWrap/>
            <w:vAlign w:val="center"/>
            <w:hideMark/>
          </w:tcPr>
          <w:p w14:paraId="2B0568F2" w14:textId="63FA1DE6" w:rsidR="00051CF6" w:rsidRPr="00BB400D" w:rsidRDefault="00851485" w:rsidP="00DC30CC">
            <w:pPr>
              <w:pStyle w:val="WCyG-Cuadroscifras"/>
              <w:jc w:val="center"/>
            </w:pPr>
            <w:r w:rsidRPr="00BB400D">
              <w:t>75.1</w:t>
            </w:r>
          </w:p>
        </w:tc>
        <w:tc>
          <w:tcPr>
            <w:tcW w:w="617" w:type="pct"/>
            <w:tcBorders>
              <w:top w:val="nil"/>
              <w:left w:val="nil"/>
              <w:bottom w:val="nil"/>
              <w:right w:val="nil"/>
            </w:tcBorders>
            <w:shd w:val="clear" w:color="000000" w:fill="D0CECE"/>
            <w:noWrap/>
            <w:vAlign w:val="center"/>
            <w:hideMark/>
          </w:tcPr>
          <w:p w14:paraId="0997DE90" w14:textId="0E79D756" w:rsidR="00051CF6" w:rsidRPr="00BB400D" w:rsidRDefault="00851485" w:rsidP="00DC30CC">
            <w:pPr>
              <w:pStyle w:val="WCyG-Cuadroscifras"/>
              <w:jc w:val="center"/>
            </w:pPr>
            <w:r w:rsidRPr="00BB400D">
              <w:t>83.0</w:t>
            </w:r>
          </w:p>
        </w:tc>
        <w:tc>
          <w:tcPr>
            <w:tcW w:w="618" w:type="pct"/>
            <w:tcBorders>
              <w:top w:val="nil"/>
              <w:left w:val="nil"/>
              <w:bottom w:val="nil"/>
              <w:right w:val="nil"/>
            </w:tcBorders>
            <w:shd w:val="clear" w:color="000000" w:fill="AEAAAA"/>
            <w:noWrap/>
            <w:vAlign w:val="center"/>
            <w:hideMark/>
          </w:tcPr>
          <w:p w14:paraId="2241FB34" w14:textId="03735642" w:rsidR="00051CF6" w:rsidRPr="00BB400D" w:rsidRDefault="00851485" w:rsidP="00DC30CC">
            <w:pPr>
              <w:pStyle w:val="WCyG-Cuadroscifras"/>
              <w:jc w:val="center"/>
            </w:pPr>
            <w:r w:rsidRPr="00BB400D">
              <w:t>67.6</w:t>
            </w:r>
          </w:p>
        </w:tc>
      </w:tr>
      <w:tr w:rsidR="007055E5" w:rsidRPr="00BB400D" w14:paraId="44526E46" w14:textId="77777777" w:rsidTr="00DC30CC">
        <w:trPr>
          <w:trHeight w:val="261"/>
        </w:trPr>
        <w:tc>
          <w:tcPr>
            <w:tcW w:w="1914" w:type="pct"/>
            <w:tcBorders>
              <w:top w:val="nil"/>
              <w:left w:val="nil"/>
              <w:bottom w:val="nil"/>
              <w:right w:val="nil"/>
            </w:tcBorders>
            <w:shd w:val="clear" w:color="auto" w:fill="auto"/>
            <w:noWrap/>
            <w:vAlign w:val="center"/>
            <w:hideMark/>
          </w:tcPr>
          <w:p w14:paraId="5F186CE7" w14:textId="77777777" w:rsidR="00051CF6" w:rsidRPr="00BB400D" w:rsidRDefault="00851485" w:rsidP="00DC30CC">
            <w:pPr>
              <w:pStyle w:val="WCyG-CuadrosTexto"/>
            </w:pPr>
            <w:r w:rsidRPr="00BB400D">
              <w:t>Use a social networking site</w:t>
            </w:r>
          </w:p>
        </w:tc>
        <w:tc>
          <w:tcPr>
            <w:tcW w:w="617" w:type="pct"/>
            <w:tcBorders>
              <w:top w:val="nil"/>
              <w:left w:val="nil"/>
              <w:bottom w:val="nil"/>
              <w:right w:val="nil"/>
            </w:tcBorders>
            <w:shd w:val="clear" w:color="auto" w:fill="auto"/>
            <w:noWrap/>
            <w:vAlign w:val="center"/>
            <w:hideMark/>
          </w:tcPr>
          <w:p w14:paraId="4716C4D7" w14:textId="529B3FCC" w:rsidR="00051CF6" w:rsidRPr="00BB400D" w:rsidRDefault="00851485" w:rsidP="00DC30CC">
            <w:pPr>
              <w:pStyle w:val="WCyG-Cuadroscifras"/>
              <w:jc w:val="center"/>
            </w:pPr>
            <w:r w:rsidRPr="00BB400D">
              <w:t>34.0</w:t>
            </w:r>
          </w:p>
        </w:tc>
        <w:tc>
          <w:tcPr>
            <w:tcW w:w="617" w:type="pct"/>
            <w:tcBorders>
              <w:top w:val="nil"/>
              <w:left w:val="nil"/>
              <w:bottom w:val="nil"/>
              <w:right w:val="nil"/>
            </w:tcBorders>
            <w:shd w:val="clear" w:color="000000" w:fill="D0CECE"/>
            <w:noWrap/>
            <w:vAlign w:val="center"/>
            <w:hideMark/>
          </w:tcPr>
          <w:p w14:paraId="4F8A4DA9" w14:textId="08BF3342" w:rsidR="00051CF6" w:rsidRPr="00BB400D" w:rsidRDefault="00851485" w:rsidP="00DC30CC">
            <w:pPr>
              <w:pStyle w:val="WCyG-Cuadroscifras"/>
              <w:jc w:val="center"/>
            </w:pPr>
            <w:r w:rsidRPr="00BB400D">
              <w:t>68.8</w:t>
            </w:r>
          </w:p>
        </w:tc>
        <w:tc>
          <w:tcPr>
            <w:tcW w:w="617" w:type="pct"/>
            <w:tcBorders>
              <w:top w:val="nil"/>
              <w:left w:val="nil"/>
              <w:bottom w:val="nil"/>
              <w:right w:val="nil"/>
            </w:tcBorders>
            <w:shd w:val="clear" w:color="000000" w:fill="D0CECE"/>
            <w:noWrap/>
            <w:vAlign w:val="center"/>
            <w:hideMark/>
          </w:tcPr>
          <w:p w14:paraId="07D23945" w14:textId="69BEB9F9" w:rsidR="00051CF6" w:rsidRPr="00BB400D" w:rsidRDefault="00851485" w:rsidP="00DC30CC">
            <w:pPr>
              <w:pStyle w:val="WCyG-Cuadroscifras"/>
              <w:jc w:val="center"/>
            </w:pPr>
            <w:r w:rsidRPr="00BB400D">
              <w:t>82.</w:t>
            </w:r>
            <w:r w:rsidR="00FC0D92">
              <w:t>8</w:t>
            </w:r>
          </w:p>
        </w:tc>
        <w:tc>
          <w:tcPr>
            <w:tcW w:w="617" w:type="pct"/>
            <w:tcBorders>
              <w:top w:val="nil"/>
              <w:left w:val="nil"/>
              <w:bottom w:val="nil"/>
              <w:right w:val="nil"/>
            </w:tcBorders>
            <w:shd w:val="clear" w:color="000000" w:fill="D0CECE"/>
            <w:noWrap/>
            <w:vAlign w:val="center"/>
            <w:hideMark/>
          </w:tcPr>
          <w:p w14:paraId="26EBBC9F" w14:textId="3F006D9C" w:rsidR="00051CF6" w:rsidRPr="00BB400D" w:rsidRDefault="00851485" w:rsidP="00DC30CC">
            <w:pPr>
              <w:pStyle w:val="WCyG-Cuadroscifras"/>
              <w:jc w:val="center"/>
            </w:pPr>
            <w:r w:rsidRPr="00BB400D">
              <w:t>89.</w:t>
            </w:r>
            <w:r w:rsidR="00FC0D92">
              <w:t>9</w:t>
            </w:r>
          </w:p>
        </w:tc>
        <w:tc>
          <w:tcPr>
            <w:tcW w:w="618" w:type="pct"/>
            <w:tcBorders>
              <w:top w:val="nil"/>
              <w:left w:val="nil"/>
              <w:bottom w:val="nil"/>
              <w:right w:val="nil"/>
            </w:tcBorders>
            <w:shd w:val="clear" w:color="000000" w:fill="AEAAAA"/>
            <w:noWrap/>
            <w:vAlign w:val="center"/>
            <w:hideMark/>
          </w:tcPr>
          <w:p w14:paraId="3CAFEE36" w14:textId="7AC0D407" w:rsidR="00051CF6" w:rsidRPr="00BB400D" w:rsidRDefault="00851485" w:rsidP="00DC30CC">
            <w:pPr>
              <w:pStyle w:val="WCyG-Cuadroscifras"/>
              <w:jc w:val="center"/>
            </w:pPr>
            <w:r w:rsidRPr="00BB400D">
              <w:t>69.3</w:t>
            </w:r>
          </w:p>
        </w:tc>
      </w:tr>
      <w:tr w:rsidR="007055E5" w:rsidRPr="00BB400D" w14:paraId="7A44F719" w14:textId="77777777" w:rsidTr="00DC30CC">
        <w:trPr>
          <w:trHeight w:val="279"/>
        </w:trPr>
        <w:tc>
          <w:tcPr>
            <w:tcW w:w="1914" w:type="pct"/>
            <w:tcBorders>
              <w:top w:val="nil"/>
              <w:left w:val="nil"/>
              <w:bottom w:val="nil"/>
              <w:right w:val="nil"/>
            </w:tcBorders>
            <w:shd w:val="clear" w:color="auto" w:fill="auto"/>
            <w:noWrap/>
            <w:vAlign w:val="center"/>
            <w:hideMark/>
          </w:tcPr>
          <w:p w14:paraId="295D5969" w14:textId="77777777" w:rsidR="00051CF6" w:rsidRPr="00BB400D" w:rsidRDefault="00851485" w:rsidP="00DC30CC">
            <w:pPr>
              <w:pStyle w:val="WCyG-CuadrosTexto"/>
            </w:pPr>
            <w:r w:rsidRPr="00BB400D">
              <w:t>Play online games</w:t>
            </w:r>
          </w:p>
        </w:tc>
        <w:tc>
          <w:tcPr>
            <w:tcW w:w="617" w:type="pct"/>
            <w:tcBorders>
              <w:top w:val="nil"/>
              <w:left w:val="nil"/>
              <w:bottom w:val="nil"/>
              <w:right w:val="nil"/>
            </w:tcBorders>
            <w:shd w:val="clear" w:color="000000" w:fill="D0CECE"/>
            <w:noWrap/>
            <w:vAlign w:val="center"/>
            <w:hideMark/>
          </w:tcPr>
          <w:p w14:paraId="7D3BCCC9" w14:textId="13327D78" w:rsidR="00051CF6" w:rsidRPr="00BB400D" w:rsidRDefault="00851485" w:rsidP="00DC30CC">
            <w:pPr>
              <w:pStyle w:val="WCyG-Cuadroscifras"/>
              <w:jc w:val="center"/>
            </w:pPr>
            <w:r w:rsidRPr="00BB400D">
              <w:t>75.</w:t>
            </w:r>
            <w:r w:rsidR="0055794C">
              <w:t>3</w:t>
            </w:r>
          </w:p>
        </w:tc>
        <w:tc>
          <w:tcPr>
            <w:tcW w:w="617" w:type="pct"/>
            <w:tcBorders>
              <w:top w:val="nil"/>
              <w:left w:val="nil"/>
              <w:bottom w:val="nil"/>
              <w:right w:val="nil"/>
            </w:tcBorders>
            <w:shd w:val="clear" w:color="000000" w:fill="D0CECE"/>
            <w:noWrap/>
            <w:vAlign w:val="center"/>
            <w:hideMark/>
          </w:tcPr>
          <w:p w14:paraId="7A2C2B55" w14:textId="2354D6BF" w:rsidR="00051CF6" w:rsidRPr="00BB400D" w:rsidRDefault="00851485" w:rsidP="00DC30CC">
            <w:pPr>
              <w:pStyle w:val="WCyG-Cuadroscifras"/>
              <w:jc w:val="center"/>
            </w:pPr>
            <w:r w:rsidRPr="00BB400D">
              <w:t>7</w:t>
            </w:r>
            <w:r w:rsidR="00FC0D92">
              <w:t>4</w:t>
            </w:r>
            <w:r w:rsidRPr="00BB400D">
              <w:t>.</w:t>
            </w:r>
            <w:r w:rsidR="00FC0D92">
              <w:t>0</w:t>
            </w:r>
          </w:p>
        </w:tc>
        <w:tc>
          <w:tcPr>
            <w:tcW w:w="617" w:type="pct"/>
            <w:tcBorders>
              <w:top w:val="nil"/>
              <w:left w:val="nil"/>
              <w:bottom w:val="nil"/>
              <w:right w:val="nil"/>
            </w:tcBorders>
            <w:shd w:val="clear" w:color="000000" w:fill="D0CECE"/>
            <w:noWrap/>
            <w:vAlign w:val="center"/>
            <w:hideMark/>
          </w:tcPr>
          <w:p w14:paraId="0B8766E0" w14:textId="54F162D1" w:rsidR="00051CF6" w:rsidRPr="00BB400D" w:rsidRDefault="00851485" w:rsidP="00DC30CC">
            <w:pPr>
              <w:pStyle w:val="WCyG-Cuadroscifras"/>
              <w:jc w:val="center"/>
            </w:pPr>
            <w:r w:rsidRPr="00BB400D">
              <w:t>70.2</w:t>
            </w:r>
          </w:p>
        </w:tc>
        <w:tc>
          <w:tcPr>
            <w:tcW w:w="617" w:type="pct"/>
            <w:tcBorders>
              <w:top w:val="nil"/>
              <w:left w:val="nil"/>
              <w:bottom w:val="nil"/>
              <w:right w:val="nil"/>
            </w:tcBorders>
            <w:shd w:val="clear" w:color="000000" w:fill="D0CECE"/>
            <w:noWrap/>
            <w:vAlign w:val="center"/>
            <w:hideMark/>
          </w:tcPr>
          <w:p w14:paraId="648250C0" w14:textId="1F3B46F8" w:rsidR="00051CF6" w:rsidRPr="00BB400D" w:rsidRDefault="00851485" w:rsidP="00DC30CC">
            <w:pPr>
              <w:pStyle w:val="WCyG-Cuadroscifras"/>
              <w:jc w:val="center"/>
            </w:pPr>
            <w:r w:rsidRPr="00BB400D">
              <w:t>63.5</w:t>
            </w:r>
          </w:p>
        </w:tc>
        <w:tc>
          <w:tcPr>
            <w:tcW w:w="618" w:type="pct"/>
            <w:tcBorders>
              <w:top w:val="nil"/>
              <w:left w:val="nil"/>
              <w:bottom w:val="nil"/>
              <w:right w:val="nil"/>
            </w:tcBorders>
            <w:shd w:val="clear" w:color="000000" w:fill="AEAAAA"/>
            <w:noWrap/>
            <w:vAlign w:val="center"/>
            <w:hideMark/>
          </w:tcPr>
          <w:p w14:paraId="7660CA7C" w14:textId="5292F745" w:rsidR="00051CF6" w:rsidRPr="00BB400D" w:rsidRDefault="00851485" w:rsidP="00DC30CC">
            <w:pPr>
              <w:pStyle w:val="WCyG-Cuadroscifras"/>
              <w:jc w:val="center"/>
            </w:pPr>
            <w:r w:rsidRPr="00BB400D">
              <w:t>70.0</w:t>
            </w:r>
          </w:p>
        </w:tc>
      </w:tr>
      <w:tr w:rsidR="007055E5" w:rsidRPr="00BB400D" w14:paraId="3740DEF2" w14:textId="77777777" w:rsidTr="00DC30CC">
        <w:trPr>
          <w:trHeight w:val="389"/>
        </w:trPr>
        <w:tc>
          <w:tcPr>
            <w:tcW w:w="1914" w:type="pct"/>
            <w:tcBorders>
              <w:top w:val="nil"/>
              <w:left w:val="nil"/>
              <w:bottom w:val="single" w:sz="4" w:space="0" w:color="auto"/>
              <w:right w:val="nil"/>
            </w:tcBorders>
            <w:shd w:val="clear" w:color="auto" w:fill="auto"/>
            <w:noWrap/>
            <w:vAlign w:val="center"/>
            <w:hideMark/>
          </w:tcPr>
          <w:p w14:paraId="42C86441" w14:textId="77777777" w:rsidR="00051CF6" w:rsidRPr="00BB400D" w:rsidRDefault="00851485" w:rsidP="00DC30CC">
            <w:pPr>
              <w:pStyle w:val="WCyG-CuadrosTexto"/>
            </w:pPr>
            <w:r w:rsidRPr="00BB400D">
              <w:t>Watch videos</w:t>
            </w:r>
          </w:p>
        </w:tc>
        <w:tc>
          <w:tcPr>
            <w:tcW w:w="617" w:type="pct"/>
            <w:tcBorders>
              <w:top w:val="nil"/>
              <w:left w:val="nil"/>
              <w:bottom w:val="single" w:sz="4" w:space="0" w:color="auto"/>
              <w:right w:val="nil"/>
            </w:tcBorders>
            <w:shd w:val="clear" w:color="000000" w:fill="D0CECE"/>
            <w:noWrap/>
            <w:vAlign w:val="center"/>
            <w:hideMark/>
          </w:tcPr>
          <w:p w14:paraId="1CBAFA4A" w14:textId="05BD5FF2" w:rsidR="00051CF6" w:rsidRPr="00BB400D" w:rsidRDefault="00851485" w:rsidP="00DC30CC">
            <w:pPr>
              <w:pStyle w:val="WCyG-Cuadroscifras"/>
              <w:jc w:val="center"/>
            </w:pPr>
            <w:r w:rsidRPr="00BB400D">
              <w:t>73.</w:t>
            </w:r>
            <w:r w:rsidR="0055794C">
              <w:t>7</w:t>
            </w:r>
          </w:p>
        </w:tc>
        <w:tc>
          <w:tcPr>
            <w:tcW w:w="617" w:type="pct"/>
            <w:tcBorders>
              <w:top w:val="nil"/>
              <w:left w:val="nil"/>
              <w:bottom w:val="single" w:sz="4" w:space="0" w:color="auto"/>
              <w:right w:val="nil"/>
            </w:tcBorders>
            <w:shd w:val="clear" w:color="000000" w:fill="D0CECE"/>
            <w:noWrap/>
            <w:vAlign w:val="center"/>
            <w:hideMark/>
          </w:tcPr>
          <w:p w14:paraId="4C20B935" w14:textId="4C618734" w:rsidR="00051CF6" w:rsidRPr="00BB400D" w:rsidRDefault="00851485" w:rsidP="00DC30CC">
            <w:pPr>
              <w:pStyle w:val="WCyG-Cuadroscifras"/>
              <w:jc w:val="center"/>
            </w:pPr>
            <w:r w:rsidRPr="00BB400D">
              <w:t>78.0</w:t>
            </w:r>
          </w:p>
        </w:tc>
        <w:tc>
          <w:tcPr>
            <w:tcW w:w="617" w:type="pct"/>
            <w:tcBorders>
              <w:top w:val="nil"/>
              <w:left w:val="nil"/>
              <w:bottom w:val="single" w:sz="4" w:space="0" w:color="auto"/>
              <w:right w:val="nil"/>
            </w:tcBorders>
            <w:shd w:val="clear" w:color="000000" w:fill="D0CECE"/>
            <w:noWrap/>
            <w:vAlign w:val="center"/>
            <w:hideMark/>
          </w:tcPr>
          <w:p w14:paraId="1E6DF54E" w14:textId="4B68D234" w:rsidR="00051CF6" w:rsidRPr="00BB400D" w:rsidRDefault="00851485" w:rsidP="00DC30CC">
            <w:pPr>
              <w:pStyle w:val="WCyG-Cuadroscifras"/>
              <w:jc w:val="center"/>
            </w:pPr>
            <w:r w:rsidRPr="00BB400D">
              <w:t>86.4</w:t>
            </w:r>
          </w:p>
        </w:tc>
        <w:tc>
          <w:tcPr>
            <w:tcW w:w="617" w:type="pct"/>
            <w:tcBorders>
              <w:top w:val="nil"/>
              <w:left w:val="nil"/>
              <w:bottom w:val="single" w:sz="4" w:space="0" w:color="auto"/>
              <w:right w:val="nil"/>
            </w:tcBorders>
            <w:shd w:val="clear" w:color="000000" w:fill="D0CECE"/>
            <w:noWrap/>
            <w:vAlign w:val="center"/>
            <w:hideMark/>
          </w:tcPr>
          <w:p w14:paraId="7B687D03" w14:textId="7DC23A16" w:rsidR="00051CF6" w:rsidRPr="00BB400D" w:rsidRDefault="00851485" w:rsidP="00DC30CC">
            <w:pPr>
              <w:pStyle w:val="WCyG-Cuadroscifras"/>
              <w:jc w:val="center"/>
            </w:pPr>
            <w:r w:rsidRPr="00BB400D">
              <w:t>86.</w:t>
            </w:r>
            <w:r w:rsidR="00FC0D92">
              <w:t>5</w:t>
            </w:r>
          </w:p>
        </w:tc>
        <w:tc>
          <w:tcPr>
            <w:tcW w:w="618" w:type="pct"/>
            <w:tcBorders>
              <w:top w:val="nil"/>
              <w:left w:val="nil"/>
              <w:bottom w:val="single" w:sz="4" w:space="0" w:color="auto"/>
              <w:right w:val="nil"/>
            </w:tcBorders>
            <w:shd w:val="clear" w:color="000000" w:fill="AEAAAA"/>
            <w:noWrap/>
            <w:vAlign w:val="center"/>
            <w:hideMark/>
          </w:tcPr>
          <w:p w14:paraId="7290C776" w14:textId="6B24ED1A" w:rsidR="00051CF6" w:rsidRPr="00BB400D" w:rsidRDefault="00851485" w:rsidP="00DC30CC">
            <w:pPr>
              <w:pStyle w:val="WCyG-Cuadroscifras"/>
              <w:jc w:val="center"/>
            </w:pPr>
            <w:r w:rsidRPr="00BB400D">
              <w:t>81.4</w:t>
            </w:r>
          </w:p>
        </w:tc>
      </w:tr>
    </w:tbl>
    <w:p w14:paraId="4EB5C51A" w14:textId="40805188" w:rsidR="00051CF6" w:rsidRPr="00BB400D" w:rsidRDefault="00851485" w:rsidP="00051CF6">
      <w:pPr>
        <w:pStyle w:val="WCyG-Fuente"/>
      </w:pPr>
      <w:r w:rsidRPr="00C24936">
        <w:rPr>
          <w:lang w:val="en-US"/>
        </w:rPr>
        <w:t xml:space="preserve">Source: </w:t>
      </w:r>
      <w:r w:rsidR="0041531F" w:rsidRPr="00C24936">
        <w:rPr>
          <w:lang w:val="en-US"/>
        </w:rPr>
        <w:t>Claro</w:t>
      </w:r>
      <w:r w:rsidR="00C24936">
        <w:rPr>
          <w:lang w:val="en-US"/>
        </w:rPr>
        <w:t xml:space="preserve"> &amp; others</w:t>
      </w:r>
      <w:r w:rsidR="00681305">
        <w:rPr>
          <w:lang w:val="en-US"/>
        </w:rPr>
        <w:t xml:space="preserve"> i</w:t>
      </w:r>
      <w:r w:rsidR="0041531F" w:rsidRPr="00C24936">
        <w:rPr>
          <w:lang w:val="en-US"/>
        </w:rPr>
        <w:t xml:space="preserve">n Trucco &amp; Palma eds. </w:t>
      </w:r>
      <w:r w:rsidR="004643A1">
        <w:rPr>
          <w:lang w:val="en-US"/>
        </w:rPr>
        <w:t>(</w:t>
      </w:r>
      <w:r w:rsidR="0041531F" w:rsidRPr="00C24936">
        <w:rPr>
          <w:lang w:val="en-US"/>
        </w:rPr>
        <w:t>2020</w:t>
      </w:r>
      <w:r w:rsidR="004643A1">
        <w:rPr>
          <w:lang w:val="en-US"/>
        </w:rPr>
        <w:t>)</w:t>
      </w:r>
      <w:r w:rsidR="0076763F">
        <w:rPr>
          <w:lang w:val="en-US"/>
        </w:rPr>
        <w:t xml:space="preserve">, </w:t>
      </w:r>
      <w:r w:rsidRPr="00BB400D">
        <w:t>based on the Kids Online surveys for Brazil (2016), Chile (2016), Costa Rica (2018) and Uruguay (2017) and calculated using the simple average of the four countries.</w:t>
      </w:r>
    </w:p>
    <w:p w14:paraId="2E575275" w14:textId="423BA3D8" w:rsidR="00051CF6" w:rsidRPr="00BB400D" w:rsidRDefault="00851485" w:rsidP="00051CF6">
      <w:pPr>
        <w:pStyle w:val="WCyG-Notas"/>
      </w:pPr>
      <w:r w:rsidRPr="00BB400D">
        <w:t>Note: Percentage of children and adolescents who perform each activity at least weekly, by age and in order of frequency. The shaded cells indicate the activities performed by half of the age group or more.</w:t>
      </w:r>
    </w:p>
    <w:p w14:paraId="66E52F83" w14:textId="2F6CD95F" w:rsidR="00051CF6" w:rsidRPr="00BB400D" w:rsidRDefault="00051CF6" w:rsidP="00051CF6">
      <w:pPr>
        <w:pStyle w:val="WParrafonormal"/>
      </w:pPr>
    </w:p>
    <w:p w14:paraId="0EC5019E" w14:textId="5E8C307A" w:rsidR="00EF5E9C" w:rsidRPr="00BB400D" w:rsidRDefault="00851485" w:rsidP="00F63910">
      <w:pPr>
        <w:pStyle w:val="WParrafonormal"/>
      </w:pPr>
      <w:r w:rsidRPr="00BB400D">
        <w:t xml:space="preserve">While the idea “that the more online activities, the better” should be carefully considered, it is important to understand the gaps that exist within the activities with the greatest potential to benefit the </w:t>
      </w:r>
      <w:r w:rsidRPr="00BB400D">
        <w:lastRenderedPageBreak/>
        <w:t>development of children and adolescents and to define public policy priorities. Furthermore, there is still a need to better understand the specific ways in which different online activities benefit the development of children and adolescents. In terms of their digital rights, for example, the use of social network</w:t>
      </w:r>
      <w:r w:rsidR="008D627C" w:rsidRPr="00BB400D">
        <w:t>s is very high in this region and among adolescents, thus</w:t>
      </w:r>
      <w:r w:rsidRPr="00BB400D">
        <w:t xml:space="preserve"> it requires</w:t>
      </w:r>
      <w:r w:rsidR="008D627C" w:rsidRPr="00BB400D">
        <w:t xml:space="preserve"> </w:t>
      </w:r>
      <w:r w:rsidRPr="00BB400D">
        <w:t>more attention.</w:t>
      </w:r>
      <w:r w:rsidR="00D114D1" w:rsidRPr="00BB400D">
        <w:t xml:space="preserve"> Social network</w:t>
      </w:r>
      <w:r w:rsidR="00F91C82">
        <w:t>s</w:t>
      </w:r>
      <w:r w:rsidR="00D114D1" w:rsidRPr="00BB400D">
        <w:t xml:space="preserve"> use is more common in girls than boys, particularly those that </w:t>
      </w:r>
      <w:r w:rsidR="001343C4" w:rsidRPr="00BB400D">
        <w:t>have a stronger visual platform, such as Instagram</w:t>
      </w:r>
      <w:r w:rsidR="008B14E4" w:rsidRPr="00BB400D">
        <w:t xml:space="preserve"> (see chart 1)</w:t>
      </w:r>
      <w:r w:rsidR="004736E2" w:rsidRPr="00BB400D">
        <w:t>. Through these sites, new codes of communication between peers emerge, but also important risks of overexposure and vulnerabilities arise concerning the mental health of adolescents. On the other hand</w:t>
      </w:r>
      <w:r w:rsidR="001343C4" w:rsidRPr="00BB400D">
        <w:t>, playing online is more common in boys.</w:t>
      </w:r>
      <w:r w:rsidR="00F63910" w:rsidRPr="00BB400D">
        <w:t xml:space="preserve"> In these spaces, other types of practices and skills are developed in the digital world and many of these also involve sociability. This difference reflects </w:t>
      </w:r>
      <w:r w:rsidR="008B14E4" w:rsidRPr="00BB400D">
        <w:t>behavio</w:t>
      </w:r>
      <w:r w:rsidR="00D22344" w:rsidRPr="00BB400D">
        <w:t>u</w:t>
      </w:r>
      <w:r w:rsidR="008B14E4" w:rsidRPr="00BB400D">
        <w:t>rs</w:t>
      </w:r>
      <w:r w:rsidR="00F63910" w:rsidRPr="00BB400D">
        <w:t xml:space="preserve"> that reproduce traditional gender stereotypes, which become more accentuated in adolescence, where men give themselves more space for playing and women are more oriented towards aesthetics and self-image.</w:t>
      </w:r>
    </w:p>
    <w:p w14:paraId="31D5119F" w14:textId="77777777" w:rsidR="00F63910" w:rsidRPr="00BB400D" w:rsidRDefault="00F63910" w:rsidP="00537082">
      <w:pPr>
        <w:pStyle w:val="WParrafonormal"/>
        <w:spacing w:after="0"/>
        <w:jc w:val="center"/>
        <w:rPr>
          <w:b/>
          <w:bCs/>
        </w:rPr>
      </w:pPr>
    </w:p>
    <w:p w14:paraId="294C1250" w14:textId="323875B1" w:rsidR="00EF5E9C" w:rsidRPr="00BB400D" w:rsidRDefault="00851485" w:rsidP="00537082">
      <w:pPr>
        <w:pStyle w:val="WParrafonormal"/>
        <w:spacing w:after="0"/>
        <w:jc w:val="center"/>
        <w:rPr>
          <w:b/>
          <w:bCs/>
        </w:rPr>
      </w:pPr>
      <w:r w:rsidRPr="00BB400D">
        <w:rPr>
          <w:b/>
          <w:bCs/>
        </w:rPr>
        <w:t>Chart 1</w:t>
      </w:r>
    </w:p>
    <w:p w14:paraId="4A85B22C" w14:textId="0805C6A1" w:rsidR="00EF5E9C" w:rsidRPr="00BB400D" w:rsidRDefault="00851485" w:rsidP="00537082">
      <w:pPr>
        <w:pStyle w:val="WParrafonormal"/>
        <w:spacing w:after="0"/>
        <w:jc w:val="center"/>
        <w:rPr>
          <w:b/>
          <w:bCs/>
          <w:lang w:val="en-US"/>
        </w:rPr>
      </w:pPr>
      <w:r w:rsidRPr="00BB400D">
        <w:rPr>
          <w:b/>
          <w:bCs/>
          <w:lang w:val="en-US"/>
        </w:rPr>
        <w:t>Brazil, Chile, Costa Rica and Uruguay:</w:t>
      </w:r>
      <w:r w:rsidR="00537082" w:rsidRPr="00BB400D">
        <w:rPr>
          <w:b/>
          <w:bCs/>
          <w:lang w:val="en-US"/>
        </w:rPr>
        <w:t xml:space="preserve"> connected children and adolescents that have</w:t>
      </w:r>
      <w:r w:rsidRPr="00BB400D">
        <w:rPr>
          <w:b/>
          <w:bCs/>
          <w:lang w:val="en-US"/>
        </w:rPr>
        <w:t xml:space="preserve"> use</w:t>
      </w:r>
      <w:r w:rsidR="00B258F8">
        <w:rPr>
          <w:b/>
          <w:bCs/>
          <w:lang w:val="en-US"/>
        </w:rPr>
        <w:t>d</w:t>
      </w:r>
      <w:r w:rsidRPr="00BB400D">
        <w:rPr>
          <w:b/>
          <w:bCs/>
          <w:lang w:val="en-US"/>
        </w:rPr>
        <w:t xml:space="preserve"> social networks and</w:t>
      </w:r>
      <w:r w:rsidR="00537082" w:rsidRPr="00BB400D">
        <w:rPr>
          <w:b/>
          <w:bCs/>
          <w:lang w:val="en-US"/>
        </w:rPr>
        <w:t>-or</w:t>
      </w:r>
      <w:r w:rsidRPr="00BB400D">
        <w:rPr>
          <w:b/>
          <w:bCs/>
          <w:lang w:val="en-US"/>
        </w:rPr>
        <w:t xml:space="preserve"> </w:t>
      </w:r>
      <w:r w:rsidR="00537082" w:rsidRPr="00BB400D">
        <w:rPr>
          <w:b/>
          <w:bCs/>
          <w:lang w:val="en-US"/>
        </w:rPr>
        <w:t>played online in the last three months</w:t>
      </w:r>
      <w:r w:rsidR="00B258F8">
        <w:rPr>
          <w:b/>
          <w:bCs/>
          <w:lang w:val="en-US"/>
        </w:rPr>
        <w:t>, 2016/2018</w:t>
      </w:r>
      <w:r w:rsidR="00537082" w:rsidRPr="00BB400D">
        <w:rPr>
          <w:b/>
          <w:bCs/>
          <w:lang w:val="en-US"/>
        </w:rPr>
        <w:t xml:space="preserve"> (percentage)</w:t>
      </w:r>
    </w:p>
    <w:p w14:paraId="24C14954" w14:textId="77777777" w:rsidR="00EF5E9C" w:rsidRPr="00BB400D" w:rsidRDefault="00EF5E9C" w:rsidP="004D5110">
      <w:pPr>
        <w:pStyle w:val="WParrafonormal"/>
        <w:rPr>
          <w:lang w:val="en-US"/>
        </w:rPr>
      </w:pPr>
    </w:p>
    <w:p w14:paraId="3BF93FC3" w14:textId="30A148CA" w:rsidR="00EF5E9C" w:rsidRPr="00BB400D" w:rsidRDefault="00851485" w:rsidP="007A5894">
      <w:pPr>
        <w:pStyle w:val="WParrafonormal"/>
        <w:jc w:val="center"/>
        <w:rPr>
          <w:lang w:val="en-US"/>
        </w:rPr>
      </w:pPr>
      <w:r w:rsidRPr="00BB400D">
        <w:rPr>
          <w:noProof/>
          <w:lang w:val="en-US"/>
        </w:rPr>
        <w:drawing>
          <wp:inline distT="0" distB="0" distL="0" distR="0" wp14:anchorId="37D8F110" wp14:editId="18A4B8CC">
            <wp:extent cx="4579620" cy="27508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38396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79620" cy="2750820"/>
                    </a:xfrm>
                    <a:prstGeom prst="rect">
                      <a:avLst/>
                    </a:prstGeom>
                    <a:noFill/>
                  </pic:spPr>
                </pic:pic>
              </a:graphicData>
            </a:graphic>
          </wp:inline>
        </w:drawing>
      </w:r>
    </w:p>
    <w:p w14:paraId="3672323E" w14:textId="1617CD87" w:rsidR="0041531F" w:rsidRPr="006836C2" w:rsidRDefault="00851485" w:rsidP="0041531F">
      <w:pPr>
        <w:pStyle w:val="WParrafonormal"/>
        <w:ind w:firstLine="0"/>
        <w:rPr>
          <w:sz w:val="18"/>
          <w:szCs w:val="16"/>
          <w:lang w:val="en-US"/>
        </w:rPr>
      </w:pPr>
      <w:r w:rsidRPr="000624C4">
        <w:rPr>
          <w:sz w:val="18"/>
          <w:szCs w:val="16"/>
        </w:rPr>
        <w:t>Source: ECLAC, based on the Kids Online surveys for Brazil (2016), Chile (2016), Costa Rica (2018) and Uruguay (2017)</w:t>
      </w:r>
      <w:r w:rsidR="004B3488" w:rsidRPr="000624C4">
        <w:rPr>
          <w:sz w:val="18"/>
          <w:szCs w:val="16"/>
        </w:rPr>
        <w:t>.</w:t>
      </w:r>
    </w:p>
    <w:p w14:paraId="456E44D8" w14:textId="539474A3" w:rsidR="00051CF6" w:rsidRPr="00BB400D" w:rsidRDefault="00851485" w:rsidP="00051CF6">
      <w:pPr>
        <w:pStyle w:val="WParrafonormal"/>
      </w:pPr>
      <w:r w:rsidRPr="00BB400D">
        <w:rPr>
          <w:lang w:val="en-US"/>
        </w:rPr>
        <w:t xml:space="preserve"> </w:t>
      </w:r>
      <w:r w:rsidR="00832CC9" w:rsidRPr="00BB400D">
        <w:t>Not all</w:t>
      </w:r>
      <w:r w:rsidRPr="00BB400D">
        <w:t xml:space="preserve"> children</w:t>
      </w:r>
      <w:r w:rsidR="00832CC9" w:rsidRPr="00BB400D">
        <w:t xml:space="preserve"> adolescents</w:t>
      </w:r>
      <w:r w:rsidRPr="00BB400D">
        <w:t xml:space="preserve"> know</w:t>
      </w:r>
      <w:r w:rsidR="00832CC9" w:rsidRPr="00BB400D">
        <w:t xml:space="preserve"> the risks associate</w:t>
      </w:r>
      <w:r w:rsidR="00BB237A" w:rsidRPr="00BB400D">
        <w:t>d</w:t>
      </w:r>
      <w:r w:rsidR="00832CC9" w:rsidRPr="00BB400D">
        <w:t xml:space="preserve"> with</w:t>
      </w:r>
      <w:r w:rsidRPr="00BB400D">
        <w:t xml:space="preserve"> social networks</w:t>
      </w:r>
      <w:r w:rsidR="00832CC9" w:rsidRPr="00BB400D">
        <w:t xml:space="preserve"> use</w:t>
      </w:r>
      <w:r w:rsidR="005F622F" w:rsidRPr="00BB400D">
        <w:t xml:space="preserve">, and </w:t>
      </w:r>
      <w:r w:rsidR="004119AF" w:rsidRPr="00BB400D">
        <w:t xml:space="preserve">the harm it may cause </w:t>
      </w:r>
      <w:r w:rsidRPr="00BB400D">
        <w:t xml:space="preserve">other people to access </w:t>
      </w:r>
      <w:r w:rsidR="004119AF" w:rsidRPr="00BB400D">
        <w:t xml:space="preserve">their </w:t>
      </w:r>
      <w:r w:rsidRPr="00BB400D">
        <w:t xml:space="preserve">personal </w:t>
      </w:r>
      <w:r w:rsidR="004119AF" w:rsidRPr="00BB400D">
        <w:t>information</w:t>
      </w:r>
      <w:r w:rsidRPr="00BB400D">
        <w:t xml:space="preserve"> and </w:t>
      </w:r>
      <w:r w:rsidR="002211BD" w:rsidRPr="00BB400D">
        <w:t>use it for undesirable purposes, affecting their present and future experience</w:t>
      </w:r>
      <w:r w:rsidRPr="00BB400D">
        <w:t xml:space="preserve">. The consent for </w:t>
      </w:r>
      <w:r w:rsidR="00EB0E66" w:rsidRPr="00BB400D">
        <w:t>the use of personal</w:t>
      </w:r>
      <w:r w:rsidRPr="00BB400D">
        <w:t xml:space="preserve"> information in a digital network is usually granted —without knowing it—from the </w:t>
      </w:r>
      <w:r w:rsidR="00EB0E66" w:rsidRPr="00BB400D">
        <w:t>exact</w:t>
      </w:r>
      <w:r w:rsidRPr="00BB400D">
        <w:t xml:space="preserve"> moment in which </w:t>
      </w:r>
      <w:r w:rsidR="00EB0E66" w:rsidRPr="00BB400D">
        <w:t>one</w:t>
      </w:r>
      <w:r w:rsidRPr="00BB400D">
        <w:t xml:space="preserve"> accept</w:t>
      </w:r>
      <w:r w:rsidR="00EB0E66" w:rsidRPr="00BB400D">
        <w:t>s</w:t>
      </w:r>
      <w:r w:rsidRPr="00BB400D">
        <w:t xml:space="preserve"> the privacy policies (</w:t>
      </w:r>
      <w:proofErr w:type="spellStart"/>
      <w:r w:rsidRPr="00BB400D">
        <w:t>Acedo</w:t>
      </w:r>
      <w:proofErr w:type="spellEnd"/>
      <w:r w:rsidRPr="00BB400D">
        <w:t xml:space="preserve"> </w:t>
      </w:r>
      <w:r w:rsidR="00301CDE">
        <w:t>and</w:t>
      </w:r>
      <w:r w:rsidRPr="00BB400D">
        <w:t xml:space="preserve"> Platero, 20</w:t>
      </w:r>
      <w:r w:rsidR="00AF1E3B" w:rsidRPr="00BB400D">
        <w:t>1</w:t>
      </w:r>
      <w:r w:rsidRPr="00BB400D">
        <w:t>6; Cobo, 201</w:t>
      </w:r>
      <w:r w:rsidR="008921F4" w:rsidRPr="00BB400D">
        <w:t>9</w:t>
      </w:r>
      <w:r w:rsidRPr="00BB400D">
        <w:t xml:space="preserve">). </w:t>
      </w:r>
      <w:r w:rsidR="00B70867" w:rsidRPr="00BB400D">
        <w:t xml:space="preserve">On average in </w:t>
      </w:r>
      <w:r w:rsidR="00301CDE">
        <w:t xml:space="preserve">ten </w:t>
      </w:r>
      <w:r w:rsidR="00B70867" w:rsidRPr="00BB400D">
        <w:t>Latin American countries</w:t>
      </w:r>
      <w:r w:rsidRPr="00BB400D">
        <w:rPr>
          <w:rStyle w:val="FootnoteReference"/>
        </w:rPr>
        <w:footnoteReference w:id="2"/>
      </w:r>
      <w:r w:rsidR="00B70867" w:rsidRPr="00BB400D">
        <w:t>, 65% of 15-year-old students say they are taught at school about the consequences of posting information online such as Facebook or Instagram (PISA</w:t>
      </w:r>
      <w:r w:rsidR="00DC60F6" w:rsidRPr="00BB400D">
        <w:t>,</w:t>
      </w:r>
      <w:r w:rsidR="00B70867" w:rsidRPr="00BB400D">
        <w:t xml:space="preserve"> 2018).</w:t>
      </w:r>
      <w:r w:rsidR="008B74AF" w:rsidRPr="00BB400D">
        <w:t xml:space="preserve"> </w:t>
      </w:r>
      <w:r w:rsidR="006B643E" w:rsidRPr="00BB400D">
        <w:t>Also, a</w:t>
      </w:r>
      <w:r w:rsidRPr="00BB400D">
        <w:t xml:space="preserve">mong the most common risks that people are aware of and which are publicized by the media are harassment and cyberbullying, which infringe upon children's </w:t>
      </w:r>
      <w:r w:rsidR="003A569F" w:rsidRPr="00BB400D">
        <w:t>honour</w:t>
      </w:r>
      <w:r w:rsidRPr="00BB400D">
        <w:t xml:space="preserve"> and reputation, protected under articles 13 and 16 of the CRC</w:t>
      </w:r>
      <w:r w:rsidR="00301CDE">
        <w:t>,</w:t>
      </w:r>
      <w:r w:rsidRPr="00BB400D">
        <w:t xml:space="preserve"> as well as privacy.</w:t>
      </w:r>
    </w:p>
    <w:p w14:paraId="73380FD8" w14:textId="79CA2942" w:rsidR="0010114C" w:rsidRPr="00BB400D" w:rsidRDefault="00851485" w:rsidP="0010114C">
      <w:pPr>
        <w:pStyle w:val="WParrafonormal"/>
      </w:pPr>
      <w:r w:rsidRPr="00BB400D">
        <w:t>The findings of Kids online surveys in Latin America (Dodel</w:t>
      </w:r>
      <w:r w:rsidR="009A1B71" w:rsidRPr="00BB400D">
        <w:t xml:space="preserve"> and others in: Trucco and Palma, 2020) </w:t>
      </w:r>
      <w:r w:rsidRPr="00BB400D">
        <w:t xml:space="preserve">show that between 30% and 40% of children and adolescents were exposed to or accessed content that was distressing or upset them, but only half of them spoke to someone else about the incident; discussing it with </w:t>
      </w:r>
      <w:r w:rsidRPr="00BB400D">
        <w:lastRenderedPageBreak/>
        <w:t>someone else can be a protective factor in dealing with harm</w:t>
      </w:r>
      <w:r w:rsidR="000941E8" w:rsidRPr="00BB400D">
        <w:t xml:space="preserve">. </w:t>
      </w:r>
      <w:r w:rsidRPr="00BB400D">
        <w:t>Moreover, 10% to 40% of children have accessed or been exposed to sensitive content (e.g., content on suicide, anorexia, drugs, or violence)</w:t>
      </w:r>
      <w:r w:rsidR="000941E8" w:rsidRPr="00BB400D">
        <w:t>, which was more prevalent in girls than boys</w:t>
      </w:r>
      <w:r w:rsidRPr="00BB400D">
        <w:t xml:space="preserve">. Receiving and sending messages with sexual content is a somewhat more common practice, especially among older boys and adolescents. While the studies did not look at whether receiving or sending of these messages was consensual, </w:t>
      </w:r>
      <w:r w:rsidR="009930BC">
        <w:t xml:space="preserve">only </w:t>
      </w:r>
      <w:r w:rsidRPr="00BB400D">
        <w:t xml:space="preserve">10% of </w:t>
      </w:r>
      <w:r w:rsidR="009930BC" w:rsidRPr="009930BC">
        <w:t>children and adolescents</w:t>
      </w:r>
      <w:r w:rsidRPr="00BB400D">
        <w:t xml:space="preserve"> in Brazil, 4% in Chile, and 3% in Costa Rica felt uncomfortable or harmed by this type of content</w:t>
      </w:r>
      <w:r w:rsidR="009930BC">
        <w:t>, once they receive it</w:t>
      </w:r>
      <w:r w:rsidRPr="00BB400D">
        <w:t xml:space="preserve">. Among them, older girls and younger children were the groups that expressed the greatest discomfort. </w:t>
      </w:r>
      <w:r w:rsidR="00C41327" w:rsidRPr="00BB400D">
        <w:t>These highlights situations of harm</w:t>
      </w:r>
      <w:r w:rsidRPr="00BB400D">
        <w:t xml:space="preserve"> linked to cultural stereotypes and norms that are common in populations that are traditionally more vulnerable in this area.</w:t>
      </w:r>
      <w:r w:rsidR="00CA1086" w:rsidRPr="00BB400D">
        <w:t xml:space="preserve"> Finally, the d</w:t>
      </w:r>
      <w:r w:rsidRPr="00BB400D">
        <w:t>ifficulty</w:t>
      </w:r>
      <w:r w:rsidR="00222ECF">
        <w:t xml:space="preserve"> of</w:t>
      </w:r>
      <w:r w:rsidRPr="00BB400D">
        <w:t xml:space="preserve"> self-regulating the use of digital devices is one of the most prevalent problems. </w:t>
      </w:r>
    </w:p>
    <w:p w14:paraId="681621BB" w14:textId="7A915074" w:rsidR="000941E8" w:rsidRPr="00BB400D" w:rsidRDefault="00851485" w:rsidP="000941E8">
      <w:pPr>
        <w:pStyle w:val="WParrafonormal"/>
      </w:pPr>
      <w:r w:rsidRPr="00BB400D">
        <w:t xml:space="preserve"> All these phenomena require attention and new policies to provide children with the skills they need to exercise their rights and ensure their coping skills in an age where the Internet is a major part of their lives. Given that various groups of children and adolescents have very unequal starting points in terms of their skills, attitudes and coping strategies, the role of States,</w:t>
      </w:r>
      <w:r w:rsidR="00E235CE" w:rsidRPr="00BB400D">
        <w:t xml:space="preserve"> schools,</w:t>
      </w:r>
      <w:r w:rsidRPr="00BB400D">
        <w:t xml:space="preserve"> communities and public policies, in general, is key to guaranteeing their rights and ensuring their well-being.</w:t>
      </w:r>
      <w:r w:rsidR="00CA1086" w:rsidRPr="00BB400D">
        <w:t xml:space="preserve"> </w:t>
      </w:r>
      <w:r w:rsidRPr="00BB400D">
        <w:t>It would also be extremely helpful to provide safe spaces where children and adolescents feel they can talk about these issues with key individuals in their environment (e.g., family, teachers and professionals</w:t>
      </w:r>
      <w:r w:rsidR="005A4F25">
        <w:t>).</w:t>
      </w:r>
    </w:p>
    <w:p w14:paraId="45316239" w14:textId="397A2164" w:rsidR="00D11062" w:rsidRPr="00BB400D" w:rsidRDefault="00851485" w:rsidP="006B643E">
      <w:pPr>
        <w:pStyle w:val="WParrafonormal"/>
      </w:pPr>
      <w:r w:rsidRPr="00BB400D">
        <w:t xml:space="preserve">Children's and </w:t>
      </w:r>
      <w:r w:rsidR="002C4109" w:rsidRPr="00BB400D">
        <w:t>adolescents’</w:t>
      </w:r>
      <w:r w:rsidRPr="00BB400D">
        <w:t xml:space="preserve"> </w:t>
      </w:r>
      <w:r w:rsidR="006B643E" w:rsidRPr="00BB400D">
        <w:t xml:space="preserve">digital skills are key for managing their exposure on social networks, and in general for taking advantage of opportunities and reducing risks online (Livingstone &amp; </w:t>
      </w:r>
      <w:proofErr w:type="spellStart"/>
      <w:r w:rsidR="006B643E" w:rsidRPr="00BB400D">
        <w:t>Helsper</w:t>
      </w:r>
      <w:proofErr w:type="spellEnd"/>
      <w:r w:rsidR="006B643E" w:rsidRPr="00BB400D">
        <w:t xml:space="preserve">, 2010). Chart </w:t>
      </w:r>
      <w:r w:rsidR="00534B87" w:rsidRPr="00BB400D">
        <w:t>2</w:t>
      </w:r>
      <w:r w:rsidR="006B643E" w:rsidRPr="00BB400D">
        <w:t xml:space="preserve"> shows the results for skills related to critical evaluation and protecting privacy (UNICEF, 2019). Children had relatively high privacy skills, according to the data analy</w:t>
      </w:r>
      <w:r w:rsidR="00D22344" w:rsidRPr="00BB400D">
        <w:t>s</w:t>
      </w:r>
      <w:r w:rsidR="006B643E" w:rsidRPr="00BB400D">
        <w:t xml:space="preserve">ed. In the case of Brazil, Chile and Costa Rica, the skill that was mentioned in the lowest proportion was knowing how to change privacy settings, and children were most prepared </w:t>
      </w:r>
      <w:r w:rsidR="00C43629">
        <w:t>to</w:t>
      </w:r>
      <w:r w:rsidR="006B643E" w:rsidRPr="00BB400D">
        <w:t xml:space="preserve"> how to remove contacts. In contrast, in the case of Uruguay, the category in which the highest proportion of children said they </w:t>
      </w:r>
      <w:r w:rsidR="00CA4585">
        <w:t>were skilled</w:t>
      </w:r>
      <w:r w:rsidR="00AC7908" w:rsidRPr="00BB400D">
        <w:t>,</w:t>
      </w:r>
      <w:r w:rsidR="006B643E" w:rsidRPr="00BB400D">
        <w:t xml:space="preserve"> was knowing what information to share and which not to share, while the lowest proportion was in knowing how to remove contacts.</w:t>
      </w:r>
    </w:p>
    <w:p w14:paraId="6E094983" w14:textId="7FB3901C" w:rsidR="006B643E" w:rsidRPr="00BB400D" w:rsidRDefault="00851485" w:rsidP="006B643E">
      <w:pPr>
        <w:pStyle w:val="WCyG-Titulocuadro"/>
        <w:rPr>
          <w:lang w:val="en-US"/>
        </w:rPr>
      </w:pPr>
      <w:r w:rsidRPr="00BB400D">
        <w:rPr>
          <w:lang w:val="en-US"/>
        </w:rPr>
        <w:t xml:space="preserve">Chart 2: </w:t>
      </w:r>
      <w:r w:rsidR="00301CDE" w:rsidRPr="00BB400D">
        <w:rPr>
          <w:lang w:val="en-US"/>
        </w:rPr>
        <w:t>Brazil, Chile, Costa Rica and Uruguay</w:t>
      </w:r>
      <w:r w:rsidR="00301CDE">
        <w:rPr>
          <w:lang w:val="en-US"/>
        </w:rPr>
        <w:t>:</w:t>
      </w:r>
      <w:r w:rsidR="00301CDE" w:rsidRPr="00BB400D">
        <w:rPr>
          <w:lang w:val="en-US"/>
        </w:rPr>
        <w:t xml:space="preserve"> </w:t>
      </w:r>
      <w:r w:rsidRPr="00BB400D">
        <w:rPr>
          <w:lang w:val="en-US"/>
        </w:rPr>
        <w:t xml:space="preserve">Privacy and information skills among children and adolescents who used social networks </w:t>
      </w:r>
      <w:r w:rsidR="00D11062" w:rsidRPr="00BB400D">
        <w:rPr>
          <w:lang w:val="en-US"/>
        </w:rPr>
        <w:br/>
      </w:r>
    </w:p>
    <w:p w14:paraId="75562896" w14:textId="66C53C64" w:rsidR="006B643E" w:rsidRPr="00BB400D" w:rsidRDefault="00851485" w:rsidP="006B643E">
      <w:pPr>
        <w:pStyle w:val="WCyG-Titulocuadro"/>
        <w:rPr>
          <w:lang w:val="es-CL"/>
        </w:rPr>
      </w:pPr>
      <w:r w:rsidRPr="00BB400D">
        <w:rPr>
          <w:lang w:val="es-CL"/>
        </w:rPr>
        <w:t>(percent</w:t>
      </w:r>
      <w:r w:rsidR="008950C8" w:rsidRPr="00BB400D">
        <w:rPr>
          <w:lang w:val="es-CL"/>
        </w:rPr>
        <w:t>age</w:t>
      </w:r>
      <w:r w:rsidRPr="00BB400D">
        <w:rPr>
          <w:lang w:val="es-CL"/>
        </w:rPr>
        <w:t>)</w:t>
      </w:r>
    </w:p>
    <w:p w14:paraId="05600865" w14:textId="45880163" w:rsidR="006B643E" w:rsidRPr="00BB400D" w:rsidRDefault="00851485" w:rsidP="000624C4">
      <w:pPr>
        <w:spacing w:after="0" w:line="240" w:lineRule="auto"/>
        <w:jc w:val="center"/>
        <w:rPr>
          <w:rFonts w:ascii="Arial" w:hAnsi="Arial" w:cs="Arial"/>
          <w:sz w:val="20"/>
          <w:szCs w:val="20"/>
        </w:rPr>
      </w:pPr>
      <w:r w:rsidRPr="00BB400D">
        <w:rPr>
          <w:noProof/>
          <w:sz w:val="20"/>
          <w:szCs w:val="20"/>
        </w:rPr>
        <w:drawing>
          <wp:inline distT="0" distB="0" distL="0" distR="0" wp14:anchorId="0252369E" wp14:editId="37EDD0A6">
            <wp:extent cx="4810298" cy="2405149"/>
            <wp:effectExtent l="0" t="0" r="9525" b="14605"/>
            <wp:docPr id="2" name="Gráfico 2">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2EAE95" w14:textId="30E4DAEE" w:rsidR="006B643E" w:rsidRPr="000624C4" w:rsidRDefault="00851485" w:rsidP="000624C4">
      <w:pPr>
        <w:pStyle w:val="WParrafonormal"/>
        <w:ind w:firstLine="0"/>
        <w:rPr>
          <w:sz w:val="18"/>
          <w:szCs w:val="16"/>
        </w:rPr>
      </w:pPr>
      <w:r w:rsidRPr="000624C4">
        <w:rPr>
          <w:sz w:val="18"/>
          <w:szCs w:val="16"/>
        </w:rPr>
        <w:t>Source: Kids Online surveys (Brazil 2018, Chile 2016, Costa Rica 2018, Uruguay 2017).</w:t>
      </w:r>
    </w:p>
    <w:p w14:paraId="33F6EAB3" w14:textId="593B805C" w:rsidR="00AD6BDF" w:rsidRPr="006C7EDA" w:rsidRDefault="00851485" w:rsidP="009B68F5">
      <w:pPr>
        <w:pStyle w:val="WParrafoprimero"/>
        <w:ind w:firstLine="567"/>
        <w:rPr>
          <w:lang w:val="en-US"/>
        </w:rPr>
      </w:pPr>
      <w:r w:rsidRPr="00BB400D">
        <w:t>Digital skills development among parents and guardians is essential to promoting both safe use of the Internet and the opportunities it offers children and adolescents. It is important to understand the sources of information and support resources available to these adults, as well as to compare them to those they would like to have, to be able to better guide the development of relevant initiatives.</w:t>
      </w:r>
      <w:r w:rsidR="00FE3068" w:rsidRPr="00BB400D">
        <w:rPr>
          <w:spacing w:val="-4"/>
        </w:rPr>
        <w:t xml:space="preserve"> However, the digital inequalities </w:t>
      </w:r>
      <w:r w:rsidR="00FE3068" w:rsidRPr="00BB400D">
        <w:rPr>
          <w:spacing w:val="-4"/>
        </w:rPr>
        <w:lastRenderedPageBreak/>
        <w:t>that occur in the domestic sphere are offset to a certain extent in the school environment, within the broader and more disparate context of digital education policies in the region.</w:t>
      </w:r>
      <w:r w:rsidR="008C6622" w:rsidRPr="00BB400D">
        <w:t xml:space="preserve"> Efforts to address the digital divide must go beyond infrastructure availability, and this is even more true about children and adolescents, given that greater access occurs in contexts marked by socioeconomic</w:t>
      </w:r>
      <w:r w:rsidR="00B669DB">
        <w:t>,</w:t>
      </w:r>
      <w:r w:rsidR="003A569F">
        <w:t xml:space="preserve"> </w:t>
      </w:r>
      <w:r w:rsidR="008C6622" w:rsidRPr="00BB400D">
        <w:t>cultural</w:t>
      </w:r>
      <w:r w:rsidR="00B669DB">
        <w:t xml:space="preserve"> and territorial</w:t>
      </w:r>
      <w:r w:rsidR="008C6622" w:rsidRPr="00BB400D">
        <w:t xml:space="preserve"> inequalities.</w:t>
      </w:r>
      <w:r w:rsidR="006C7EDA" w:rsidRPr="006C7EDA">
        <w:t xml:space="preserve"> On average</w:t>
      </w:r>
      <w:r w:rsidR="00D1248B">
        <w:t>,</w:t>
      </w:r>
      <w:r w:rsidR="006C7EDA" w:rsidRPr="006C7EDA">
        <w:t xml:space="preserve"> in </w:t>
      </w:r>
      <w:r w:rsidR="00D1248B">
        <w:t>7</w:t>
      </w:r>
      <w:r w:rsidR="00040E0C">
        <w:t xml:space="preserve"> Latin American countries</w:t>
      </w:r>
      <w:r w:rsidR="00D1248B">
        <w:rPr>
          <w:rStyle w:val="FootnoteReference"/>
        </w:rPr>
        <w:footnoteReference w:id="3"/>
      </w:r>
      <w:r w:rsidR="00D1248B">
        <w:t>,</w:t>
      </w:r>
      <w:r w:rsidR="006C7EDA" w:rsidRPr="006C7EDA">
        <w:t>26% of 15-year-old students access the internet for more than one hour a day in school, while in OECD countries 40%</w:t>
      </w:r>
      <w:r w:rsidR="00C77F6E">
        <w:t xml:space="preserve"> of the students do</w:t>
      </w:r>
      <w:r w:rsidR="00D1248B">
        <w:t xml:space="preserve"> (PISA 2018)</w:t>
      </w:r>
      <w:r w:rsidR="00C77F6E">
        <w:t>.</w:t>
      </w:r>
      <w:r w:rsidR="00F6548C">
        <w:t xml:space="preserve"> There is </w:t>
      </w:r>
      <w:r w:rsidR="005F28B1">
        <w:t>a long way to go</w:t>
      </w:r>
      <w:r w:rsidR="00A73C14">
        <w:t xml:space="preserve"> in </w:t>
      </w:r>
      <w:r w:rsidR="00271A9B">
        <w:t>closi</w:t>
      </w:r>
      <w:r w:rsidR="00A73C14">
        <w:t>ng this gap</w:t>
      </w:r>
      <w:r w:rsidR="005F28B1">
        <w:t>.</w:t>
      </w:r>
      <w:r w:rsidR="00F6548C">
        <w:t xml:space="preserve"> </w:t>
      </w:r>
    </w:p>
    <w:p w14:paraId="1571E2D8" w14:textId="069F70E3" w:rsidR="00BD2537" w:rsidRPr="00BB400D" w:rsidRDefault="00851485" w:rsidP="00BD2537">
      <w:pPr>
        <w:pStyle w:val="WParrafonormal"/>
      </w:pPr>
      <w:r w:rsidRPr="00BB400D">
        <w:rPr>
          <w:spacing w:val="-4"/>
        </w:rPr>
        <w:t>Based on the available data</w:t>
      </w:r>
      <w:r w:rsidR="009B68F5" w:rsidRPr="00BB400D">
        <w:rPr>
          <w:spacing w:val="-4"/>
        </w:rPr>
        <w:t xml:space="preserve"> (</w:t>
      </w:r>
      <w:r w:rsidR="004B224F" w:rsidRPr="00BB400D">
        <w:rPr>
          <w:spacing w:val="-4"/>
        </w:rPr>
        <w:t>Martínez and others in Trucco and Palma, 2020)</w:t>
      </w:r>
      <w:r w:rsidRPr="00BB400D">
        <w:rPr>
          <w:spacing w:val="-4"/>
        </w:rPr>
        <w:t xml:space="preserve">, </w:t>
      </w:r>
      <w:r w:rsidR="00CA4585" w:rsidRPr="00BB400D">
        <w:rPr>
          <w:spacing w:val="-4"/>
        </w:rPr>
        <w:t xml:space="preserve">in Brazil, Chile, Costa Rica and Uruguay </w:t>
      </w:r>
      <w:r w:rsidRPr="00BB400D">
        <w:rPr>
          <w:spacing w:val="-4"/>
        </w:rPr>
        <w:t xml:space="preserve">teacher mediation focused on setting rules and limits for Internet use prevails </w:t>
      </w:r>
      <w:r w:rsidR="00261D22" w:rsidRPr="00BB400D">
        <w:rPr>
          <w:spacing w:val="-4"/>
        </w:rPr>
        <w:t>compared to other forms of guidance and monitoring</w:t>
      </w:r>
      <w:r w:rsidRPr="00BB400D">
        <w:rPr>
          <w:spacing w:val="-4"/>
        </w:rPr>
        <w:t>. Because the school environment is a strategic area that can be leveraged to democratize opportunities associated with online participation by children and adolescents, as well as to mitigate possible risks, it is essential to develop teaching skills for active mediation.</w:t>
      </w:r>
      <w:r w:rsidR="00261D22" w:rsidRPr="00BB400D">
        <w:rPr>
          <w:spacing w:val="-4"/>
        </w:rPr>
        <w:t xml:space="preserve"> </w:t>
      </w:r>
      <w:r w:rsidRPr="00BB400D">
        <w:t>In other words, teachers must be able to guide, expand and monitor Internet use by children and adolescents rather than simply limit it. To this end, in addition to addressing teachers' initial and continuing training needs, digital literacy will need to be well incorporated in schools, either as a specific subject or as a cross-cutting skill.  The data suggest the need to strengthen information and empowerment channels for families so they can be involved in mediating Internet use by children and adolescents. Among these channels, schools once again have a key role to play as they are identified by parents and guardians as a desirable and necessary point of reference. It is important to take this into account when developing campaigns or digital literacy programs.</w:t>
      </w:r>
    </w:p>
    <w:p w14:paraId="4E1DC833" w14:textId="77777777" w:rsidR="006B643E" w:rsidRPr="00BB400D" w:rsidRDefault="00851485" w:rsidP="006B643E">
      <w:pPr>
        <w:pStyle w:val="WParrafonormal"/>
      </w:pPr>
      <w:r w:rsidRPr="00BB400D">
        <w:t>To benefit from the opportunities made possible by these technologies to exercise their rights, children and adolescents must learn how to participate in the digital age by reducing risks and adopting coping strategies. Such skills go beyond learning operational skills and imply the cognitive and ethical capacities that will enable young people to build and fully participate in the society to which they belong (ECLAC/UNICEF, 2014). Furthermore, concerning the protection of these rights, public policies and regulations must hold the private sector – especially large virtual platforms – accountable.</w:t>
      </w:r>
    </w:p>
    <w:p w14:paraId="159CABA7" w14:textId="6B47301D" w:rsidR="00A742D9" w:rsidRPr="00BB400D" w:rsidRDefault="00CA4585" w:rsidP="004E2440">
      <w:pPr>
        <w:pStyle w:val="WParrafonormal"/>
      </w:pPr>
      <w:bookmarkStart w:id="1" w:name="_Hlk47595780"/>
      <w:r>
        <w:t>Finally, i</w:t>
      </w:r>
      <w:r w:rsidR="00851485" w:rsidRPr="00BB400D">
        <w:t xml:space="preserve">t is required to advance in generating joint digital, social and economic strategies so that barriers and gaps are addressed from different dimensions. This highlights the importance of intersectoral dialogue. As technology is a means and not an end, it is essential to create standards (privacy, rights, accessibility) for the creation of platforms, and everything related to the digital economy. </w:t>
      </w:r>
      <w:r w:rsidR="0055303D" w:rsidRPr="00BB400D">
        <w:t xml:space="preserve">To generate profits, many firms in the field of personal digital technologies push towards users' addiction to platforms, games, websites, etc., rather than promoting digital inclusion. In this sense, more efforts are needed to protect consumers (especially the youngest) and to foster digital inclusion </w:t>
      </w:r>
      <w:r w:rsidR="00851485" w:rsidRPr="00BB400D">
        <w:t>(</w:t>
      </w:r>
      <w:r w:rsidR="004E2440" w:rsidRPr="00BB400D">
        <w:t xml:space="preserve">for </w:t>
      </w:r>
      <w:r w:rsidR="00851485" w:rsidRPr="00BB400D">
        <w:t>older adults, disabled population, indigenous population, rural areas).</w:t>
      </w:r>
    </w:p>
    <w:bookmarkEnd w:id="1"/>
    <w:p w14:paraId="2B21395C" w14:textId="77777777" w:rsidR="0046255A" w:rsidRPr="00BB400D" w:rsidRDefault="0046255A" w:rsidP="004E2440">
      <w:pPr>
        <w:pStyle w:val="WParrafonormal"/>
      </w:pPr>
    </w:p>
    <w:p w14:paraId="382B9479" w14:textId="77777777" w:rsidR="00A56E93" w:rsidRDefault="00A56E93">
      <w:pPr>
        <w:rPr>
          <w:b/>
          <w:bCs/>
          <w:lang w:val="en-GB"/>
        </w:rPr>
      </w:pPr>
      <w:r>
        <w:rPr>
          <w:b/>
          <w:bCs/>
          <w:lang w:val="en-GB"/>
        </w:rPr>
        <w:br w:type="page"/>
      </w:r>
    </w:p>
    <w:p w14:paraId="133DFAAE" w14:textId="090FA4A2" w:rsidR="003566C7" w:rsidRPr="00BB400D" w:rsidRDefault="00851485">
      <w:pPr>
        <w:rPr>
          <w:b/>
          <w:bCs/>
          <w:lang w:val="en-GB"/>
        </w:rPr>
      </w:pPr>
      <w:r w:rsidRPr="00BB400D">
        <w:rPr>
          <w:b/>
          <w:bCs/>
          <w:lang w:val="en-GB"/>
        </w:rPr>
        <w:lastRenderedPageBreak/>
        <w:t>References</w:t>
      </w:r>
    </w:p>
    <w:p w14:paraId="53D9C7B4" w14:textId="7AEBB394" w:rsidR="00650BF4" w:rsidRPr="00A56E93" w:rsidRDefault="00650BF4" w:rsidP="00632C03">
      <w:pPr>
        <w:jc w:val="both"/>
        <w:rPr>
          <w:lang w:val="es-CL"/>
        </w:rPr>
      </w:pPr>
      <w:proofErr w:type="spellStart"/>
      <w:r w:rsidRPr="00BB400D">
        <w:t>Acedo</w:t>
      </w:r>
      <w:proofErr w:type="spellEnd"/>
      <w:r w:rsidRPr="00BB400D">
        <w:t xml:space="preserve"> A. and Platero A. (</w:t>
      </w:r>
      <w:r w:rsidR="00632C03" w:rsidRPr="00BB400D">
        <w:t>2016)</w:t>
      </w:r>
      <w:r w:rsidR="00A56E93">
        <w:t>,</w:t>
      </w:r>
      <w:r w:rsidR="00632C03" w:rsidRPr="00BB400D">
        <w:t xml:space="preserve"> </w:t>
      </w:r>
      <w:r w:rsidR="00632C03" w:rsidRPr="00A56E93">
        <w:rPr>
          <w:i/>
          <w:iCs/>
        </w:rPr>
        <w:t>The Privacy of Children and Adolescents in Social Networks: Special Reference to the European and Spanish Regulatory Regime, with some Considerations on the Chilean</w:t>
      </w:r>
      <w:r w:rsidR="00632C03" w:rsidRPr="00BB400D">
        <w:t xml:space="preserve">. </w:t>
      </w:r>
      <w:r w:rsidR="00632C03" w:rsidRPr="00A56E93">
        <w:rPr>
          <w:lang w:val="es-CL"/>
        </w:rPr>
        <w:t>R</w:t>
      </w:r>
      <w:r w:rsidR="00632C03" w:rsidRPr="00BB400D">
        <w:rPr>
          <w:lang w:val="es-CL"/>
        </w:rPr>
        <w:t xml:space="preserve">evista chilena de derecho y tecnología. Centro de estudios en derecho informático, Universidad de Chile. </w:t>
      </w:r>
      <w:r w:rsidR="00632C03" w:rsidRPr="00A56E93">
        <w:rPr>
          <w:lang w:val="es-CL"/>
        </w:rPr>
        <w:t>ISSN 0719-2584</w:t>
      </w:r>
      <w:r w:rsidR="00632C03" w:rsidRPr="00BB400D">
        <w:rPr>
          <w:lang w:val="es-CL"/>
        </w:rPr>
        <w:t>,</w:t>
      </w:r>
      <w:r w:rsidR="00632C03" w:rsidRPr="00A56E93">
        <w:rPr>
          <w:lang w:val="es-CL"/>
        </w:rPr>
        <w:t xml:space="preserve"> VOL. 5 NÚM. 1 (2016)</w:t>
      </w:r>
      <w:r w:rsidR="00632C03" w:rsidRPr="00BB400D">
        <w:rPr>
          <w:lang w:val="es-CL"/>
        </w:rPr>
        <w:t>,</w:t>
      </w:r>
      <w:r w:rsidR="00632C03" w:rsidRPr="00A56E93">
        <w:rPr>
          <w:lang w:val="es-CL"/>
        </w:rPr>
        <w:t xml:space="preserve"> PÁGS. 63-94</w:t>
      </w:r>
      <w:r w:rsidR="00632C03" w:rsidRPr="00BB400D">
        <w:rPr>
          <w:lang w:val="es-CL"/>
        </w:rPr>
        <w:t>.</w:t>
      </w:r>
    </w:p>
    <w:p w14:paraId="2C2269A8" w14:textId="5F3C66DF" w:rsidR="008921F4" w:rsidRPr="00BB400D" w:rsidRDefault="008921F4" w:rsidP="00CF3306">
      <w:pPr>
        <w:jc w:val="both"/>
      </w:pPr>
      <w:r w:rsidRPr="00A56E93">
        <w:rPr>
          <w:lang w:val="es-CL"/>
        </w:rPr>
        <w:t>Cobo C. (2019)</w:t>
      </w:r>
      <w:r w:rsidR="00DC60F6" w:rsidRPr="00A56E93">
        <w:rPr>
          <w:lang w:val="es-CL"/>
        </w:rPr>
        <w:t xml:space="preserve">, </w:t>
      </w:r>
      <w:r w:rsidR="00DC60F6" w:rsidRPr="00FD17A0">
        <w:rPr>
          <w:i/>
          <w:iCs/>
          <w:lang w:val="es-CL"/>
        </w:rPr>
        <w:t>Acepto las Condiciones. Usos y abusos de las tecnologías digitales</w:t>
      </w:r>
      <w:r w:rsidR="00DC60F6" w:rsidRPr="00BB400D">
        <w:rPr>
          <w:lang w:val="es-CL"/>
        </w:rPr>
        <w:t xml:space="preserve">. </w:t>
      </w:r>
      <w:r w:rsidR="00DC60F6" w:rsidRPr="00A56E93">
        <w:t>F</w:t>
      </w:r>
      <w:r w:rsidR="00DC60F6" w:rsidRPr="00BB400D">
        <w:t xml:space="preserve">undación </w:t>
      </w:r>
      <w:proofErr w:type="spellStart"/>
      <w:r w:rsidR="00DC60F6" w:rsidRPr="00BB400D">
        <w:t>Santillana</w:t>
      </w:r>
      <w:proofErr w:type="spellEnd"/>
      <w:r w:rsidR="00DC60F6" w:rsidRPr="00BB400D">
        <w:t>. Madrid</w:t>
      </w:r>
      <w:r w:rsidR="00301CDE">
        <w:t>.</w:t>
      </w:r>
    </w:p>
    <w:p w14:paraId="3D16755A" w14:textId="0C3BF856" w:rsidR="00B669DB" w:rsidRDefault="00B669DB" w:rsidP="00CF3306">
      <w:pPr>
        <w:jc w:val="both"/>
      </w:pPr>
      <w:proofErr w:type="spellStart"/>
      <w:r>
        <w:t>Ecomomic</w:t>
      </w:r>
      <w:proofErr w:type="spellEnd"/>
      <w:r>
        <w:t xml:space="preserve"> </w:t>
      </w:r>
      <w:proofErr w:type="spellStart"/>
      <w:r>
        <w:t>Commision</w:t>
      </w:r>
      <w:proofErr w:type="spellEnd"/>
      <w:r>
        <w:t xml:space="preserve"> of Latin America and the Caribbean (ECLAC) (2020), Universalizing access to digital technologies to address the consequences of COVID-19. Online at: </w:t>
      </w:r>
      <w:r w:rsidRPr="00B669DB">
        <w:t>https://repositorio.cepal.org/bitstream/handle/11362/45939/5/S2000549_en.pdf</w:t>
      </w:r>
    </w:p>
    <w:p w14:paraId="665D2C1D" w14:textId="7F4839EB" w:rsidR="00EC086F" w:rsidRPr="00BB400D" w:rsidRDefault="00851485" w:rsidP="00CF3306">
      <w:pPr>
        <w:jc w:val="both"/>
      </w:pPr>
      <w:r w:rsidRPr="00BB400D">
        <w:t xml:space="preserve">Economic Commission of Latin America and the Caribbean (ECLAC) </w:t>
      </w:r>
      <w:r w:rsidR="002432A3">
        <w:t>(</w:t>
      </w:r>
      <w:r w:rsidRPr="00BB400D">
        <w:t>2017</w:t>
      </w:r>
      <w:r w:rsidR="002432A3">
        <w:t>)</w:t>
      </w:r>
      <w:r w:rsidR="00FD17A0">
        <w:t>,</w:t>
      </w:r>
      <w:r w:rsidRPr="00BB400D">
        <w:t xml:space="preserve"> </w:t>
      </w:r>
      <w:r w:rsidRPr="002432A3">
        <w:rPr>
          <w:i/>
          <w:iCs/>
        </w:rPr>
        <w:t>Linkages between the social and production spheres. Gaps, pillars and challenges</w:t>
      </w:r>
      <w:r w:rsidRPr="00BB400D">
        <w:t xml:space="preserve">. Printed at United Nations, Santiago. LC/CDS.2/3. Online at: </w:t>
      </w:r>
      <w:hyperlink r:id="rId13" w:history="1">
        <w:r w:rsidRPr="00BB400D">
          <w:t>https://www.cepal.org/en/publications/42269-linkages-between-social-and-production-spheres-gaps-pillars-and-challenges</w:t>
        </w:r>
      </w:hyperlink>
      <w:r w:rsidR="00301CDE">
        <w:t>.</w:t>
      </w:r>
    </w:p>
    <w:p w14:paraId="30517B97" w14:textId="61BCE2F3" w:rsidR="009E449F" w:rsidRPr="00BB400D" w:rsidRDefault="00851485" w:rsidP="00CF3306">
      <w:pPr>
        <w:jc w:val="both"/>
      </w:pPr>
      <w:r w:rsidRPr="00BB400D">
        <w:t xml:space="preserve">ECLAC- United Nations Children’s Fund Latin America and Caribbean Regional Office (UNICEF LACRO) (2014). </w:t>
      </w:r>
      <w:r w:rsidRPr="002432A3">
        <w:rPr>
          <w:i/>
          <w:iCs/>
        </w:rPr>
        <w:t>Children’s rights in the digital age</w:t>
      </w:r>
      <w:r w:rsidRPr="00BB400D">
        <w:t xml:space="preserve">. Challenges: Newsletter on progress towards the </w:t>
      </w:r>
      <w:proofErr w:type="spellStart"/>
      <w:r w:rsidRPr="00BB400D">
        <w:t>Millenium</w:t>
      </w:r>
      <w:proofErr w:type="spellEnd"/>
      <w:r w:rsidRPr="00BB400D">
        <w:t xml:space="preserve"> Development Goals from a child rights perspective No.18. </w:t>
      </w:r>
    </w:p>
    <w:p w14:paraId="276AEBBC" w14:textId="78F65F24" w:rsidR="00A95F09" w:rsidRPr="006836C2" w:rsidRDefault="00A95F09" w:rsidP="002432A3">
      <w:pPr>
        <w:jc w:val="both"/>
        <w:rPr>
          <w:lang w:val="es-CL"/>
        </w:rPr>
      </w:pPr>
      <w:r w:rsidRPr="002432A3">
        <w:t xml:space="preserve">Livingstone, S., &amp; </w:t>
      </w:r>
      <w:proofErr w:type="spellStart"/>
      <w:r w:rsidRPr="002432A3">
        <w:t>Helsper</w:t>
      </w:r>
      <w:proofErr w:type="spellEnd"/>
      <w:r w:rsidRPr="002432A3">
        <w:t xml:space="preserve"> E. (2010)</w:t>
      </w:r>
      <w:r w:rsidR="002432A3" w:rsidRPr="002432A3">
        <w:t>,</w:t>
      </w:r>
      <w:r w:rsidRPr="002432A3">
        <w:t xml:space="preserve"> </w:t>
      </w:r>
      <w:r w:rsidRPr="002432A3">
        <w:rPr>
          <w:i/>
          <w:iCs/>
        </w:rPr>
        <w:t>Balancing opportunities and risks in teenagers' use of the internet: The role of online skills and internet self-efficacy</w:t>
      </w:r>
      <w:r w:rsidRPr="002432A3">
        <w:t xml:space="preserve">. </w:t>
      </w:r>
      <w:r w:rsidRPr="006836C2">
        <w:rPr>
          <w:lang w:val="es-CL"/>
        </w:rPr>
        <w:t>New Media &amp; Society, 12 (2). 309-329. ISSN 1461-4448</w:t>
      </w:r>
      <w:r w:rsidR="00301CDE">
        <w:rPr>
          <w:lang w:val="es-CL"/>
        </w:rPr>
        <w:t>.</w:t>
      </w:r>
      <w:r w:rsidRPr="006836C2">
        <w:rPr>
          <w:lang w:val="es-CL"/>
        </w:rPr>
        <w:t xml:space="preserve"> </w:t>
      </w:r>
    </w:p>
    <w:p w14:paraId="45858A9E" w14:textId="4012038D" w:rsidR="00CF3306" w:rsidRPr="00BB400D" w:rsidRDefault="00851485" w:rsidP="00CF3306">
      <w:pPr>
        <w:jc w:val="both"/>
      </w:pPr>
      <w:r w:rsidRPr="006836C2">
        <w:rPr>
          <w:lang w:val="es-CL"/>
        </w:rPr>
        <w:t xml:space="preserve">UNICEF (2017), </w:t>
      </w:r>
      <w:r w:rsidRPr="006836C2">
        <w:rPr>
          <w:i/>
          <w:iCs/>
          <w:lang w:val="es-CL"/>
        </w:rPr>
        <w:t>Estado Mundial de la Infancia 2017. Niños en un Mundo Digital</w:t>
      </w:r>
      <w:r w:rsidRPr="006836C2">
        <w:rPr>
          <w:lang w:val="es-CL"/>
        </w:rPr>
        <w:t xml:space="preserve">. </w:t>
      </w:r>
      <w:r w:rsidRPr="00BB400D">
        <w:t>[Online] www.unicef.org/SOWC2017</w:t>
      </w:r>
      <w:r w:rsidR="00301CDE">
        <w:t>.</w:t>
      </w:r>
      <w:r w:rsidRPr="00BB400D">
        <w:t xml:space="preserve"> </w:t>
      </w:r>
    </w:p>
    <w:p w14:paraId="54C85DF6" w14:textId="2F4B234E" w:rsidR="00733BB5" w:rsidRPr="00BB400D" w:rsidRDefault="00733BB5" w:rsidP="00CF3306">
      <w:pPr>
        <w:jc w:val="both"/>
      </w:pPr>
      <w:r w:rsidRPr="00BB400D">
        <w:t>United Nations Children’s Fund (UNICEF) (2019</w:t>
      </w:r>
      <w:r w:rsidRPr="002432A3">
        <w:rPr>
          <w:i/>
          <w:iCs/>
        </w:rPr>
        <w:t>). Global kids online comparative report</w:t>
      </w:r>
      <w:r w:rsidRPr="00BB400D">
        <w:t xml:space="preserve">. Florence, Italy: UNICEF Office of Research – </w:t>
      </w:r>
      <w:proofErr w:type="spellStart"/>
      <w:r w:rsidRPr="00BB400D">
        <w:t>Innocenti</w:t>
      </w:r>
      <w:proofErr w:type="spellEnd"/>
      <w:r w:rsidRPr="00BB400D">
        <w:t xml:space="preserve">. Available at: </w:t>
      </w:r>
      <w:hyperlink r:id="rId14" w:history="1">
        <w:r w:rsidRPr="002432A3">
          <w:t>https://www.unicef-irc.org/publications/pdf/GKO%20LAYOUT%20MAIN%20REPORT.pdf</w:t>
        </w:r>
      </w:hyperlink>
      <w:r w:rsidR="00301CDE">
        <w:t>.</w:t>
      </w:r>
    </w:p>
    <w:p w14:paraId="002D8069" w14:textId="462892AA" w:rsidR="00C840CD" w:rsidRDefault="00851485" w:rsidP="00CF3306">
      <w:pPr>
        <w:jc w:val="both"/>
      </w:pPr>
      <w:r w:rsidRPr="00BB400D">
        <w:t>Trucco</w:t>
      </w:r>
      <w:r w:rsidR="00301CDE">
        <w:t>, D.</w:t>
      </w:r>
      <w:r w:rsidRPr="00BB400D">
        <w:t xml:space="preserve"> and </w:t>
      </w:r>
      <w:r w:rsidR="00301CDE">
        <w:t xml:space="preserve">A. </w:t>
      </w:r>
      <w:r w:rsidRPr="00BB400D">
        <w:t xml:space="preserve">Palma </w:t>
      </w:r>
      <w:r w:rsidR="00301CDE">
        <w:t>(</w:t>
      </w:r>
      <w:r w:rsidRPr="00BB400D">
        <w:t>editors</w:t>
      </w:r>
      <w:r w:rsidR="00301CDE">
        <w:t>)</w:t>
      </w:r>
      <w:r w:rsidRPr="00BB400D">
        <w:t xml:space="preserve"> (2020</w:t>
      </w:r>
      <w:r w:rsidRPr="002432A3">
        <w:rPr>
          <w:i/>
          <w:iCs/>
        </w:rPr>
        <w:t xml:space="preserve">), </w:t>
      </w:r>
      <w:r w:rsidR="00970242" w:rsidRPr="002432A3">
        <w:rPr>
          <w:i/>
          <w:iCs/>
        </w:rPr>
        <w:t>Childhood and Adolescence in the Digital Age. A Comparative Report of the Kids Online Surveys on Brazil, Chile, Costa Rica and Uruguay</w:t>
      </w:r>
      <w:r w:rsidR="00970242" w:rsidRPr="00BB400D">
        <w:t>, Project Documents (LC/TS.20</w:t>
      </w:r>
      <w:r w:rsidR="003856D1">
        <w:t>20</w:t>
      </w:r>
      <w:r w:rsidR="00944F32">
        <w:t>/18</w:t>
      </w:r>
      <w:r w:rsidR="00BD3E3A">
        <w:t>.</w:t>
      </w:r>
      <w:r w:rsidR="00944F32">
        <w:t>REV.1</w:t>
      </w:r>
      <w:r w:rsidR="00970242" w:rsidRPr="00BB400D">
        <w:t>), Santiago, Economic Commission for Latin America and the Caribbean (ECLAC),2020.</w:t>
      </w:r>
      <w:r w:rsidR="00B25C90" w:rsidRPr="00BB400D">
        <w:t xml:space="preserve"> Online: </w:t>
      </w:r>
      <w:hyperlink r:id="rId15" w:history="1">
        <w:r w:rsidR="00B25C90" w:rsidRPr="002432A3">
          <w:t>https://www.cepal.org/en/publications/45835-childhood-and-adolescence-digital-age-comparative-report-kids-online-surveys</w:t>
        </w:r>
      </w:hyperlink>
      <w:r w:rsidR="00301CDE">
        <w:t>.</w:t>
      </w:r>
    </w:p>
    <w:p w14:paraId="5C5A7273" w14:textId="77777777" w:rsidR="00B25C90" w:rsidRPr="00AC5048" w:rsidRDefault="00B25C90" w:rsidP="00CF3306">
      <w:pPr>
        <w:jc w:val="both"/>
      </w:pPr>
    </w:p>
    <w:p w14:paraId="77A9BB5B" w14:textId="77777777" w:rsidR="00CF3306" w:rsidRPr="00CF3306" w:rsidRDefault="00CF3306" w:rsidP="00CF3306">
      <w:pPr>
        <w:jc w:val="both"/>
      </w:pPr>
    </w:p>
    <w:p w14:paraId="139E05CE" w14:textId="77777777" w:rsidR="009E449F" w:rsidRPr="00EC086F" w:rsidRDefault="009E449F" w:rsidP="00CF3306">
      <w:pPr>
        <w:jc w:val="both"/>
      </w:pPr>
    </w:p>
    <w:sectPr w:rsidR="009E449F" w:rsidRPr="00EC086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B459D" w14:textId="77777777" w:rsidR="005E3433" w:rsidRDefault="005E3433">
      <w:pPr>
        <w:spacing w:after="0" w:line="240" w:lineRule="auto"/>
      </w:pPr>
      <w:r>
        <w:separator/>
      </w:r>
    </w:p>
  </w:endnote>
  <w:endnote w:type="continuationSeparator" w:id="0">
    <w:p w14:paraId="1E9CD265" w14:textId="77777777" w:rsidR="005E3433" w:rsidRDefault="005E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969799"/>
      <w:docPartObj>
        <w:docPartGallery w:val="Page Numbers (Bottom of Page)"/>
        <w:docPartUnique/>
      </w:docPartObj>
    </w:sdtPr>
    <w:sdtEndPr/>
    <w:sdtContent>
      <w:p w14:paraId="345F6FD0" w14:textId="652136F6" w:rsidR="000C7977" w:rsidRDefault="00851485">
        <w:pPr>
          <w:pStyle w:val="Footer"/>
          <w:jc w:val="center"/>
        </w:pPr>
        <w:r>
          <w:fldChar w:fldCharType="begin"/>
        </w:r>
        <w:r>
          <w:instrText>PAGE   \* MERGEFORMAT</w:instrText>
        </w:r>
        <w:r>
          <w:fldChar w:fldCharType="separate"/>
        </w:r>
        <w:r>
          <w:rPr>
            <w:lang w:val="es-ES"/>
          </w:rPr>
          <w:t>2</w:t>
        </w:r>
        <w:r>
          <w:fldChar w:fldCharType="end"/>
        </w:r>
      </w:p>
    </w:sdtContent>
  </w:sdt>
  <w:p w14:paraId="34EF6471" w14:textId="77777777" w:rsidR="000C7977" w:rsidRDefault="000C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D2CC6" w14:textId="77777777" w:rsidR="005E3433" w:rsidRDefault="005E3433" w:rsidP="003566C7">
      <w:pPr>
        <w:spacing w:after="0" w:line="240" w:lineRule="auto"/>
      </w:pPr>
      <w:r>
        <w:separator/>
      </w:r>
    </w:p>
  </w:footnote>
  <w:footnote w:type="continuationSeparator" w:id="0">
    <w:p w14:paraId="0715B9FD" w14:textId="77777777" w:rsidR="005E3433" w:rsidRDefault="005E3433" w:rsidP="003566C7">
      <w:pPr>
        <w:spacing w:after="0" w:line="240" w:lineRule="auto"/>
      </w:pPr>
      <w:r>
        <w:continuationSeparator/>
      </w:r>
    </w:p>
  </w:footnote>
  <w:footnote w:id="1">
    <w:p w14:paraId="0CBFCBE5" w14:textId="77777777" w:rsidR="000068C4" w:rsidRPr="00E67462" w:rsidRDefault="000068C4" w:rsidP="000068C4">
      <w:pPr>
        <w:pStyle w:val="FootnoteText"/>
        <w:jc w:val="both"/>
        <w:rPr>
          <w:rFonts w:ascii="Corbel" w:hAnsi="Corbel"/>
          <w:sz w:val="19"/>
          <w:szCs w:val="19"/>
          <w:lang w:val="en-US"/>
        </w:rPr>
      </w:pPr>
      <w:r w:rsidRPr="00E67462">
        <w:rPr>
          <w:rStyle w:val="FootnoteReference"/>
          <w:rFonts w:ascii="Corbel" w:hAnsi="Corbel"/>
          <w:sz w:val="19"/>
          <w:szCs w:val="19"/>
        </w:rPr>
        <w:footnoteRef/>
      </w:r>
      <w:r w:rsidRPr="00E67462">
        <w:rPr>
          <w:rFonts w:ascii="Corbel" w:hAnsi="Corbel"/>
          <w:sz w:val="19"/>
          <w:szCs w:val="19"/>
          <w:lang w:val="en-US"/>
        </w:rPr>
        <w:t xml:space="preserve"> The analysis presented in this document is primarily based on the research findings of the Latin America Kids Online network (Trucco and Palma, 2020).</w:t>
      </w:r>
    </w:p>
  </w:footnote>
  <w:footnote w:id="2">
    <w:p w14:paraId="4690D80A" w14:textId="273369A0" w:rsidR="003D5929" w:rsidRPr="00BB400D" w:rsidRDefault="00851485">
      <w:pPr>
        <w:pStyle w:val="FootnoteText"/>
        <w:rPr>
          <w:rFonts w:ascii="Corbel" w:hAnsi="Corbel"/>
        </w:rPr>
      </w:pPr>
      <w:r>
        <w:rPr>
          <w:rStyle w:val="FootnoteReference"/>
        </w:rPr>
        <w:footnoteRef/>
      </w:r>
      <w:r>
        <w:t xml:space="preserve"> </w:t>
      </w:r>
      <w:r w:rsidRPr="00BB400D">
        <w:rPr>
          <w:rFonts w:ascii="Corbel" w:hAnsi="Corbel"/>
        </w:rPr>
        <w:t>Argentina, Brazil, Chile, Colombia, Costa Rica, Dominican Republic, Mexico, Panama, Peru and Uruguay.</w:t>
      </w:r>
    </w:p>
  </w:footnote>
  <w:footnote w:id="3">
    <w:p w14:paraId="53796E26" w14:textId="1D8F688A" w:rsidR="00D1248B" w:rsidRPr="00BB400D" w:rsidRDefault="00D1248B" w:rsidP="00D1248B">
      <w:pPr>
        <w:pStyle w:val="FootnoteText"/>
        <w:rPr>
          <w:rFonts w:ascii="Corbel" w:hAnsi="Corbel"/>
        </w:rPr>
      </w:pPr>
      <w:r>
        <w:rPr>
          <w:rStyle w:val="FootnoteReference"/>
        </w:rPr>
        <w:footnoteRef/>
      </w:r>
      <w:r>
        <w:t xml:space="preserve"> </w:t>
      </w:r>
      <w:r w:rsidRPr="00BB400D">
        <w:rPr>
          <w:rFonts w:ascii="Corbel" w:hAnsi="Corbel"/>
        </w:rPr>
        <w:t xml:space="preserve"> </w:t>
      </w:r>
      <w:r w:rsidRPr="00BB400D">
        <w:rPr>
          <w:rFonts w:ascii="Corbel" w:hAnsi="Corbel"/>
        </w:rPr>
        <w:t>Brazil, Chile, Costa Rica, Dominican Republic, Mexico, Panama, and Uruguay.</w:t>
      </w:r>
    </w:p>
    <w:p w14:paraId="6575630B" w14:textId="74838670" w:rsidR="00D1248B" w:rsidRDefault="00D124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323F5"/>
    <w:multiLevelType w:val="hybridMultilevel"/>
    <w:tmpl w:val="04407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91670"/>
    <w:multiLevelType w:val="hybridMultilevel"/>
    <w:tmpl w:val="FF20F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23526"/>
    <w:multiLevelType w:val="hybridMultilevel"/>
    <w:tmpl w:val="D2DE36BA"/>
    <w:lvl w:ilvl="0" w:tplc="46CEA354">
      <w:start w:val="1"/>
      <w:numFmt w:val="decimal"/>
      <w:lvlText w:val="%1."/>
      <w:lvlJc w:val="left"/>
      <w:pPr>
        <w:ind w:left="720" w:hanging="360"/>
      </w:pPr>
    </w:lvl>
    <w:lvl w:ilvl="1" w:tplc="513035AE" w:tentative="1">
      <w:start w:val="1"/>
      <w:numFmt w:val="lowerLetter"/>
      <w:lvlText w:val="%2."/>
      <w:lvlJc w:val="left"/>
      <w:pPr>
        <w:ind w:left="1440" w:hanging="360"/>
      </w:pPr>
    </w:lvl>
    <w:lvl w:ilvl="2" w:tplc="B2363634" w:tentative="1">
      <w:start w:val="1"/>
      <w:numFmt w:val="lowerRoman"/>
      <w:lvlText w:val="%3."/>
      <w:lvlJc w:val="right"/>
      <w:pPr>
        <w:ind w:left="2160" w:hanging="180"/>
      </w:pPr>
    </w:lvl>
    <w:lvl w:ilvl="3" w:tplc="DC4AB398" w:tentative="1">
      <w:start w:val="1"/>
      <w:numFmt w:val="decimal"/>
      <w:lvlText w:val="%4."/>
      <w:lvlJc w:val="left"/>
      <w:pPr>
        <w:ind w:left="2880" w:hanging="360"/>
      </w:pPr>
    </w:lvl>
    <w:lvl w:ilvl="4" w:tplc="8662BD4A" w:tentative="1">
      <w:start w:val="1"/>
      <w:numFmt w:val="lowerLetter"/>
      <w:lvlText w:val="%5."/>
      <w:lvlJc w:val="left"/>
      <w:pPr>
        <w:ind w:left="3600" w:hanging="360"/>
      </w:pPr>
    </w:lvl>
    <w:lvl w:ilvl="5" w:tplc="33EA10FA" w:tentative="1">
      <w:start w:val="1"/>
      <w:numFmt w:val="lowerRoman"/>
      <w:lvlText w:val="%6."/>
      <w:lvlJc w:val="right"/>
      <w:pPr>
        <w:ind w:left="4320" w:hanging="180"/>
      </w:pPr>
    </w:lvl>
    <w:lvl w:ilvl="6" w:tplc="9B209E8C" w:tentative="1">
      <w:start w:val="1"/>
      <w:numFmt w:val="decimal"/>
      <w:lvlText w:val="%7."/>
      <w:lvlJc w:val="left"/>
      <w:pPr>
        <w:ind w:left="5040" w:hanging="360"/>
      </w:pPr>
    </w:lvl>
    <w:lvl w:ilvl="7" w:tplc="F0465D74" w:tentative="1">
      <w:start w:val="1"/>
      <w:numFmt w:val="lowerLetter"/>
      <w:lvlText w:val="%8."/>
      <w:lvlJc w:val="left"/>
      <w:pPr>
        <w:ind w:left="5760" w:hanging="360"/>
      </w:pPr>
    </w:lvl>
    <w:lvl w:ilvl="8" w:tplc="B1269932"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04"/>
    <w:rsid w:val="00004BED"/>
    <w:rsid w:val="000068C4"/>
    <w:rsid w:val="00040E0C"/>
    <w:rsid w:val="000506EF"/>
    <w:rsid w:val="00051CF6"/>
    <w:rsid w:val="0005258F"/>
    <w:rsid w:val="00056BAE"/>
    <w:rsid w:val="0006231C"/>
    <w:rsid w:val="000624C4"/>
    <w:rsid w:val="000941E8"/>
    <w:rsid w:val="000C0785"/>
    <w:rsid w:val="000C7977"/>
    <w:rsid w:val="000D1F79"/>
    <w:rsid w:val="000D2362"/>
    <w:rsid w:val="000D2CBF"/>
    <w:rsid w:val="000E4FCB"/>
    <w:rsid w:val="000F0CF5"/>
    <w:rsid w:val="000F57E4"/>
    <w:rsid w:val="0010114C"/>
    <w:rsid w:val="0010165B"/>
    <w:rsid w:val="00120C61"/>
    <w:rsid w:val="0013097E"/>
    <w:rsid w:val="00131DDC"/>
    <w:rsid w:val="001343C4"/>
    <w:rsid w:val="00181EAA"/>
    <w:rsid w:val="001824D7"/>
    <w:rsid w:val="00183BEE"/>
    <w:rsid w:val="00195E08"/>
    <w:rsid w:val="001B30BC"/>
    <w:rsid w:val="001D0207"/>
    <w:rsid w:val="001F15BF"/>
    <w:rsid w:val="001F43D1"/>
    <w:rsid w:val="002211BD"/>
    <w:rsid w:val="00222ECF"/>
    <w:rsid w:val="00223D6D"/>
    <w:rsid w:val="00225E57"/>
    <w:rsid w:val="00230FF3"/>
    <w:rsid w:val="002432A3"/>
    <w:rsid w:val="0024584B"/>
    <w:rsid w:val="00261D22"/>
    <w:rsid w:val="00271A9B"/>
    <w:rsid w:val="00287966"/>
    <w:rsid w:val="002C4109"/>
    <w:rsid w:val="002C7253"/>
    <w:rsid w:val="002D428E"/>
    <w:rsid w:val="002E07EA"/>
    <w:rsid w:val="002E54D5"/>
    <w:rsid w:val="002F2E28"/>
    <w:rsid w:val="002F411B"/>
    <w:rsid w:val="00301CDE"/>
    <w:rsid w:val="00336B09"/>
    <w:rsid w:val="00343EF6"/>
    <w:rsid w:val="00346FD4"/>
    <w:rsid w:val="003526CB"/>
    <w:rsid w:val="003566C7"/>
    <w:rsid w:val="00366E0A"/>
    <w:rsid w:val="003856D1"/>
    <w:rsid w:val="00385727"/>
    <w:rsid w:val="003A569F"/>
    <w:rsid w:val="003B0ACC"/>
    <w:rsid w:val="003B49BB"/>
    <w:rsid w:val="003D2CB2"/>
    <w:rsid w:val="003D5929"/>
    <w:rsid w:val="003F66B5"/>
    <w:rsid w:val="004119AF"/>
    <w:rsid w:val="0041531F"/>
    <w:rsid w:val="004306A5"/>
    <w:rsid w:val="00442244"/>
    <w:rsid w:val="00446A95"/>
    <w:rsid w:val="004517EE"/>
    <w:rsid w:val="00456A80"/>
    <w:rsid w:val="0046255A"/>
    <w:rsid w:val="004643A1"/>
    <w:rsid w:val="004736E2"/>
    <w:rsid w:val="0049768F"/>
    <w:rsid w:val="004B224F"/>
    <w:rsid w:val="004B3488"/>
    <w:rsid w:val="004C00CC"/>
    <w:rsid w:val="004D5110"/>
    <w:rsid w:val="004E2440"/>
    <w:rsid w:val="004E32C7"/>
    <w:rsid w:val="004F0562"/>
    <w:rsid w:val="00503706"/>
    <w:rsid w:val="005049ED"/>
    <w:rsid w:val="00512949"/>
    <w:rsid w:val="00534307"/>
    <w:rsid w:val="00534B87"/>
    <w:rsid w:val="00537082"/>
    <w:rsid w:val="005468B8"/>
    <w:rsid w:val="0055303D"/>
    <w:rsid w:val="00556E2B"/>
    <w:rsid w:val="0055794C"/>
    <w:rsid w:val="005739B9"/>
    <w:rsid w:val="005A37B4"/>
    <w:rsid w:val="005A3BD0"/>
    <w:rsid w:val="005A4F25"/>
    <w:rsid w:val="005A59C2"/>
    <w:rsid w:val="005B3DBF"/>
    <w:rsid w:val="005B6256"/>
    <w:rsid w:val="005C089F"/>
    <w:rsid w:val="005C11F3"/>
    <w:rsid w:val="005C1D2D"/>
    <w:rsid w:val="005D3EE0"/>
    <w:rsid w:val="005D46B3"/>
    <w:rsid w:val="005E055D"/>
    <w:rsid w:val="005E3433"/>
    <w:rsid w:val="005E5F68"/>
    <w:rsid w:val="005F1F4A"/>
    <w:rsid w:val="005F28B1"/>
    <w:rsid w:val="005F622F"/>
    <w:rsid w:val="006008DA"/>
    <w:rsid w:val="00604EEB"/>
    <w:rsid w:val="00611965"/>
    <w:rsid w:val="00617236"/>
    <w:rsid w:val="00626FA2"/>
    <w:rsid w:val="00632C03"/>
    <w:rsid w:val="006466C0"/>
    <w:rsid w:val="00650BF4"/>
    <w:rsid w:val="00652C12"/>
    <w:rsid w:val="00655842"/>
    <w:rsid w:val="00681305"/>
    <w:rsid w:val="0068289B"/>
    <w:rsid w:val="006836C2"/>
    <w:rsid w:val="006978EC"/>
    <w:rsid w:val="006B3A02"/>
    <w:rsid w:val="006B57ED"/>
    <w:rsid w:val="006B643E"/>
    <w:rsid w:val="006C7C05"/>
    <w:rsid w:val="006C7EDA"/>
    <w:rsid w:val="007055E5"/>
    <w:rsid w:val="00726190"/>
    <w:rsid w:val="00733BB5"/>
    <w:rsid w:val="007438E5"/>
    <w:rsid w:val="007633F4"/>
    <w:rsid w:val="00765744"/>
    <w:rsid w:val="0076763F"/>
    <w:rsid w:val="00770818"/>
    <w:rsid w:val="0078017F"/>
    <w:rsid w:val="007A3637"/>
    <w:rsid w:val="007A5894"/>
    <w:rsid w:val="007E4CA0"/>
    <w:rsid w:val="00832CC9"/>
    <w:rsid w:val="0083480E"/>
    <w:rsid w:val="00840301"/>
    <w:rsid w:val="008439DB"/>
    <w:rsid w:val="00851485"/>
    <w:rsid w:val="00851729"/>
    <w:rsid w:val="008579CD"/>
    <w:rsid w:val="008921F4"/>
    <w:rsid w:val="008950C8"/>
    <w:rsid w:val="008974F5"/>
    <w:rsid w:val="008A432F"/>
    <w:rsid w:val="008B14E4"/>
    <w:rsid w:val="008B6FB6"/>
    <w:rsid w:val="008B74AF"/>
    <w:rsid w:val="008C6622"/>
    <w:rsid w:val="008D627C"/>
    <w:rsid w:val="009209EB"/>
    <w:rsid w:val="009252D3"/>
    <w:rsid w:val="00944F32"/>
    <w:rsid w:val="00950C53"/>
    <w:rsid w:val="00970242"/>
    <w:rsid w:val="0097127F"/>
    <w:rsid w:val="0097678B"/>
    <w:rsid w:val="0097704A"/>
    <w:rsid w:val="00980299"/>
    <w:rsid w:val="00983B68"/>
    <w:rsid w:val="009930BC"/>
    <w:rsid w:val="009A1B71"/>
    <w:rsid w:val="009B68F5"/>
    <w:rsid w:val="009C6895"/>
    <w:rsid w:val="009D1D9A"/>
    <w:rsid w:val="009E449F"/>
    <w:rsid w:val="009E7276"/>
    <w:rsid w:val="009F420E"/>
    <w:rsid w:val="00A176EB"/>
    <w:rsid w:val="00A56E93"/>
    <w:rsid w:val="00A63138"/>
    <w:rsid w:val="00A66D6B"/>
    <w:rsid w:val="00A70570"/>
    <w:rsid w:val="00A73C14"/>
    <w:rsid w:val="00A742D9"/>
    <w:rsid w:val="00A743FB"/>
    <w:rsid w:val="00A8088C"/>
    <w:rsid w:val="00A95F09"/>
    <w:rsid w:val="00A960F6"/>
    <w:rsid w:val="00AC5048"/>
    <w:rsid w:val="00AC7908"/>
    <w:rsid w:val="00AC79E6"/>
    <w:rsid w:val="00AD6BDF"/>
    <w:rsid w:val="00AF1E3B"/>
    <w:rsid w:val="00AF33FD"/>
    <w:rsid w:val="00B12396"/>
    <w:rsid w:val="00B227CC"/>
    <w:rsid w:val="00B258F8"/>
    <w:rsid w:val="00B25C90"/>
    <w:rsid w:val="00B27C86"/>
    <w:rsid w:val="00B34D53"/>
    <w:rsid w:val="00B379FD"/>
    <w:rsid w:val="00B41099"/>
    <w:rsid w:val="00B436F5"/>
    <w:rsid w:val="00B669DB"/>
    <w:rsid w:val="00B70867"/>
    <w:rsid w:val="00B80A0B"/>
    <w:rsid w:val="00B843F3"/>
    <w:rsid w:val="00BA1062"/>
    <w:rsid w:val="00BA746D"/>
    <w:rsid w:val="00BB237A"/>
    <w:rsid w:val="00BB400D"/>
    <w:rsid w:val="00BC26E9"/>
    <w:rsid w:val="00BC2C86"/>
    <w:rsid w:val="00BD2537"/>
    <w:rsid w:val="00BD3E3A"/>
    <w:rsid w:val="00BD4EEA"/>
    <w:rsid w:val="00BD777C"/>
    <w:rsid w:val="00BF0841"/>
    <w:rsid w:val="00BF2292"/>
    <w:rsid w:val="00BF697F"/>
    <w:rsid w:val="00C05B5F"/>
    <w:rsid w:val="00C17411"/>
    <w:rsid w:val="00C23B95"/>
    <w:rsid w:val="00C23C78"/>
    <w:rsid w:val="00C24936"/>
    <w:rsid w:val="00C41327"/>
    <w:rsid w:val="00C43629"/>
    <w:rsid w:val="00C43FBD"/>
    <w:rsid w:val="00C45CC8"/>
    <w:rsid w:val="00C603D8"/>
    <w:rsid w:val="00C65267"/>
    <w:rsid w:val="00C77F6E"/>
    <w:rsid w:val="00C840CD"/>
    <w:rsid w:val="00C92D02"/>
    <w:rsid w:val="00CA1086"/>
    <w:rsid w:val="00CA1E02"/>
    <w:rsid w:val="00CA4585"/>
    <w:rsid w:val="00CC108F"/>
    <w:rsid w:val="00CF0043"/>
    <w:rsid w:val="00CF3306"/>
    <w:rsid w:val="00D11062"/>
    <w:rsid w:val="00D114D1"/>
    <w:rsid w:val="00D1248B"/>
    <w:rsid w:val="00D22344"/>
    <w:rsid w:val="00D25E99"/>
    <w:rsid w:val="00D26AC9"/>
    <w:rsid w:val="00D274C0"/>
    <w:rsid w:val="00D46D19"/>
    <w:rsid w:val="00D7079C"/>
    <w:rsid w:val="00D74823"/>
    <w:rsid w:val="00D8390F"/>
    <w:rsid w:val="00D86F04"/>
    <w:rsid w:val="00DB342F"/>
    <w:rsid w:val="00DB6CC8"/>
    <w:rsid w:val="00DC30CC"/>
    <w:rsid w:val="00DC60F6"/>
    <w:rsid w:val="00DD1400"/>
    <w:rsid w:val="00DE6A3B"/>
    <w:rsid w:val="00E07454"/>
    <w:rsid w:val="00E235CE"/>
    <w:rsid w:val="00E37218"/>
    <w:rsid w:val="00E428E6"/>
    <w:rsid w:val="00E436D7"/>
    <w:rsid w:val="00E452E4"/>
    <w:rsid w:val="00E566C7"/>
    <w:rsid w:val="00E61C9E"/>
    <w:rsid w:val="00E86DBF"/>
    <w:rsid w:val="00E9648A"/>
    <w:rsid w:val="00EB0E66"/>
    <w:rsid w:val="00EB1F67"/>
    <w:rsid w:val="00EC086F"/>
    <w:rsid w:val="00EC099A"/>
    <w:rsid w:val="00EE72DB"/>
    <w:rsid w:val="00EF4647"/>
    <w:rsid w:val="00EF5E9C"/>
    <w:rsid w:val="00EF67B6"/>
    <w:rsid w:val="00F01A1B"/>
    <w:rsid w:val="00F130CC"/>
    <w:rsid w:val="00F63910"/>
    <w:rsid w:val="00F6548C"/>
    <w:rsid w:val="00F775B8"/>
    <w:rsid w:val="00F77D47"/>
    <w:rsid w:val="00F91C82"/>
    <w:rsid w:val="00F970D0"/>
    <w:rsid w:val="00FB10D7"/>
    <w:rsid w:val="00FB3549"/>
    <w:rsid w:val="00FC0D92"/>
    <w:rsid w:val="00FD17A0"/>
    <w:rsid w:val="00FE3068"/>
    <w:rsid w:val="00FE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45B3"/>
  <w15:chartTrackingRefBased/>
  <w15:docId w15:val="{2859ED1F-CD1D-4589-B1C5-5E481092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10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04"/>
    <w:rPr>
      <w:rFonts w:ascii="Segoe UI" w:hAnsi="Segoe UI" w:cs="Segoe UI"/>
      <w:sz w:val="18"/>
      <w:szCs w:val="18"/>
    </w:rPr>
  </w:style>
  <w:style w:type="paragraph" w:customStyle="1" w:styleId="WParrafonormal">
    <w:name w:val="W Parrafo normal"/>
    <w:basedOn w:val="Normal"/>
    <w:link w:val="WParrafonormalChar"/>
    <w:qFormat/>
    <w:locked/>
    <w:rsid w:val="00D86F04"/>
    <w:pPr>
      <w:suppressAutoHyphens/>
      <w:spacing w:after="120" w:line="240" w:lineRule="auto"/>
      <w:ind w:firstLine="567"/>
      <w:jc w:val="both"/>
    </w:pPr>
    <w:rPr>
      <w:rFonts w:ascii="Corbel" w:eastAsia="Times New Roman" w:hAnsi="Corbel" w:cs="Times New Roman"/>
      <w:sz w:val="21"/>
      <w:szCs w:val="20"/>
      <w:lang w:val="en-GB"/>
    </w:rPr>
  </w:style>
  <w:style w:type="character" w:customStyle="1" w:styleId="WParrafonormalChar">
    <w:name w:val="W Parrafo normal Char"/>
    <w:basedOn w:val="DefaultParagraphFont"/>
    <w:link w:val="WParrafonormal"/>
    <w:rsid w:val="00D86F04"/>
    <w:rPr>
      <w:rFonts w:ascii="Corbel" w:eastAsia="Times New Roman" w:hAnsi="Corbel" w:cs="Times New Roman"/>
      <w:sz w:val="21"/>
      <w:szCs w:val="20"/>
      <w:lang w:val="en-GB"/>
    </w:rPr>
  </w:style>
  <w:style w:type="paragraph" w:styleId="FootnoteText">
    <w:name w:val="footnote text"/>
    <w:basedOn w:val="Normal"/>
    <w:link w:val="FootnoteTextChar"/>
    <w:uiPriority w:val="99"/>
    <w:semiHidden/>
    <w:unhideWhenUsed/>
    <w:rsid w:val="003566C7"/>
    <w:pPr>
      <w:spacing w:after="0" w:line="240" w:lineRule="auto"/>
    </w:pPr>
    <w:rPr>
      <w:sz w:val="20"/>
      <w:szCs w:val="20"/>
      <w:lang w:val="es-CL"/>
    </w:rPr>
  </w:style>
  <w:style w:type="character" w:customStyle="1" w:styleId="FootnoteTextChar">
    <w:name w:val="Footnote Text Char"/>
    <w:basedOn w:val="DefaultParagraphFont"/>
    <w:link w:val="FootnoteText"/>
    <w:uiPriority w:val="99"/>
    <w:semiHidden/>
    <w:rsid w:val="003566C7"/>
    <w:rPr>
      <w:sz w:val="20"/>
      <w:szCs w:val="20"/>
      <w:lang w:val="es-CL"/>
    </w:rPr>
  </w:style>
  <w:style w:type="character" w:styleId="FootnoteReference">
    <w:name w:val="footnote reference"/>
    <w:basedOn w:val="DefaultParagraphFont"/>
    <w:uiPriority w:val="99"/>
    <w:semiHidden/>
    <w:unhideWhenUsed/>
    <w:rsid w:val="003566C7"/>
    <w:rPr>
      <w:vertAlign w:val="superscript"/>
    </w:rPr>
  </w:style>
  <w:style w:type="paragraph" w:customStyle="1" w:styleId="WParrafoprimero">
    <w:name w:val="W Parrafo primero"/>
    <w:basedOn w:val="WParrafonormal"/>
    <w:next w:val="WParrafonormal"/>
    <w:link w:val="WParrafoprimeroChar"/>
    <w:locked/>
    <w:rsid w:val="00512949"/>
    <w:pPr>
      <w:ind w:firstLine="0"/>
    </w:pPr>
  </w:style>
  <w:style w:type="character" w:customStyle="1" w:styleId="WParrafoprimeroChar">
    <w:name w:val="W Parrafo primero Char"/>
    <w:basedOn w:val="WParrafonormalChar"/>
    <w:link w:val="WParrafoprimero"/>
    <w:rsid w:val="00512949"/>
    <w:rPr>
      <w:rFonts w:ascii="Corbel" w:eastAsia="Times New Roman" w:hAnsi="Corbel" w:cs="Times New Roman"/>
      <w:sz w:val="21"/>
      <w:szCs w:val="20"/>
      <w:lang w:val="en-GB"/>
    </w:rPr>
  </w:style>
  <w:style w:type="paragraph" w:customStyle="1" w:styleId="WCyG-Fuente">
    <w:name w:val="W C y G - Fuente"/>
    <w:locked/>
    <w:rsid w:val="00BD777C"/>
    <w:pPr>
      <w:spacing w:before="120" w:after="0" w:line="240" w:lineRule="auto"/>
      <w:jc w:val="both"/>
    </w:pPr>
    <w:rPr>
      <w:rFonts w:ascii="Corbel" w:eastAsia="Times New Roman" w:hAnsi="Corbel" w:cs="Times New Roman"/>
      <w:spacing w:val="-2"/>
      <w:sz w:val="16"/>
      <w:szCs w:val="16"/>
      <w:lang w:val="en-GB"/>
    </w:rPr>
  </w:style>
  <w:style w:type="paragraph" w:customStyle="1" w:styleId="WCyG-Unidaddemedida">
    <w:name w:val="W C y G - Unidad de medida"/>
    <w:locked/>
    <w:rsid w:val="00BD777C"/>
    <w:pPr>
      <w:spacing w:after="120" w:line="240" w:lineRule="auto"/>
      <w:jc w:val="center"/>
    </w:pPr>
    <w:rPr>
      <w:rFonts w:ascii="Corbel" w:eastAsia="Times New Roman" w:hAnsi="Corbel" w:cs="Times New Roman"/>
      <w:i/>
      <w:sz w:val="17"/>
      <w:szCs w:val="17"/>
      <w:lang w:val="en-GB"/>
    </w:rPr>
  </w:style>
  <w:style w:type="paragraph" w:customStyle="1" w:styleId="WCyG-Titulografico">
    <w:name w:val="W C y G - Titulo grafico"/>
    <w:locked/>
    <w:rsid w:val="00BD777C"/>
    <w:pPr>
      <w:spacing w:after="0" w:line="240" w:lineRule="auto"/>
      <w:jc w:val="center"/>
    </w:pPr>
    <w:rPr>
      <w:rFonts w:ascii="Corbel" w:eastAsia="Times New Roman" w:hAnsi="Corbel" w:cs="Times New Roman"/>
      <w:b/>
      <w:sz w:val="18"/>
      <w:szCs w:val="18"/>
      <w:lang w:val="en-GB"/>
    </w:rPr>
  </w:style>
  <w:style w:type="character" w:customStyle="1" w:styleId="Heading1Char">
    <w:name w:val="Heading 1 Char"/>
    <w:basedOn w:val="DefaultParagraphFont"/>
    <w:link w:val="Heading1"/>
    <w:uiPriority w:val="9"/>
    <w:rsid w:val="0098029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D4EEA"/>
    <w:rPr>
      <w:sz w:val="16"/>
      <w:szCs w:val="16"/>
    </w:rPr>
  </w:style>
  <w:style w:type="paragraph" w:styleId="CommentText">
    <w:name w:val="annotation text"/>
    <w:basedOn w:val="Normal"/>
    <w:link w:val="CommentTextChar"/>
    <w:uiPriority w:val="99"/>
    <w:semiHidden/>
    <w:unhideWhenUsed/>
    <w:rsid w:val="00BD4EEA"/>
    <w:pPr>
      <w:spacing w:line="240" w:lineRule="auto"/>
    </w:pPr>
    <w:rPr>
      <w:sz w:val="20"/>
      <w:szCs w:val="20"/>
    </w:rPr>
  </w:style>
  <w:style w:type="character" w:customStyle="1" w:styleId="CommentTextChar">
    <w:name w:val="Comment Text Char"/>
    <w:basedOn w:val="DefaultParagraphFont"/>
    <w:link w:val="CommentText"/>
    <w:uiPriority w:val="99"/>
    <w:semiHidden/>
    <w:rsid w:val="00BD4EEA"/>
    <w:rPr>
      <w:sz w:val="20"/>
      <w:szCs w:val="20"/>
    </w:rPr>
  </w:style>
  <w:style w:type="paragraph" w:styleId="CommentSubject">
    <w:name w:val="annotation subject"/>
    <w:basedOn w:val="CommentText"/>
    <w:next w:val="CommentText"/>
    <w:link w:val="CommentSubjectChar"/>
    <w:uiPriority w:val="99"/>
    <w:semiHidden/>
    <w:unhideWhenUsed/>
    <w:rsid w:val="00BD4EEA"/>
    <w:rPr>
      <w:b/>
      <w:bCs/>
    </w:rPr>
  </w:style>
  <w:style w:type="character" w:customStyle="1" w:styleId="CommentSubjectChar">
    <w:name w:val="Comment Subject Char"/>
    <w:basedOn w:val="CommentTextChar"/>
    <w:link w:val="CommentSubject"/>
    <w:uiPriority w:val="99"/>
    <w:semiHidden/>
    <w:rsid w:val="00BD4EEA"/>
    <w:rPr>
      <w:b/>
      <w:bCs/>
      <w:sz w:val="20"/>
      <w:szCs w:val="20"/>
    </w:rPr>
  </w:style>
  <w:style w:type="paragraph" w:customStyle="1" w:styleId="WCyG-Cuadroscabezal">
    <w:name w:val="W C y G - Cuadros cabezal"/>
    <w:locked/>
    <w:rsid w:val="00051CF6"/>
    <w:pPr>
      <w:suppressAutoHyphens/>
      <w:spacing w:after="0" w:line="240" w:lineRule="auto"/>
      <w:jc w:val="center"/>
    </w:pPr>
    <w:rPr>
      <w:rFonts w:ascii="Arial" w:eastAsia="Times New Roman" w:hAnsi="Arial" w:cs="Times New Roman"/>
      <w:sz w:val="15"/>
      <w:szCs w:val="16"/>
      <w:lang w:val="en-GB"/>
    </w:rPr>
  </w:style>
  <w:style w:type="paragraph" w:customStyle="1" w:styleId="WCyG-CuadrosTexto">
    <w:name w:val="W C y G - Cuadros Texto"/>
    <w:locked/>
    <w:rsid w:val="00051CF6"/>
    <w:pPr>
      <w:spacing w:after="0" w:line="240" w:lineRule="auto"/>
    </w:pPr>
    <w:rPr>
      <w:rFonts w:ascii="Arial" w:hAnsi="Arial"/>
      <w:sz w:val="15"/>
      <w:szCs w:val="16"/>
      <w:lang w:val="en-GB"/>
    </w:rPr>
  </w:style>
  <w:style w:type="paragraph" w:customStyle="1" w:styleId="WCyG-Titulocuadro">
    <w:name w:val="W C y G - Titulo cuadro"/>
    <w:next w:val="Normal"/>
    <w:locked/>
    <w:rsid w:val="00051CF6"/>
    <w:pPr>
      <w:spacing w:after="0" w:line="240" w:lineRule="auto"/>
      <w:jc w:val="center"/>
    </w:pPr>
    <w:rPr>
      <w:rFonts w:ascii="Corbel" w:eastAsia="Times New Roman" w:hAnsi="Corbel" w:cs="Times New Roman"/>
      <w:b/>
      <w:sz w:val="18"/>
      <w:szCs w:val="20"/>
      <w:lang w:val="en-GB"/>
    </w:rPr>
  </w:style>
  <w:style w:type="paragraph" w:customStyle="1" w:styleId="WCyG-Notas">
    <w:name w:val="W C y G - Notas"/>
    <w:basedOn w:val="WCyG-Fuente"/>
    <w:locked/>
    <w:rsid w:val="00051CF6"/>
    <w:pPr>
      <w:spacing w:before="0"/>
    </w:pPr>
  </w:style>
  <w:style w:type="paragraph" w:customStyle="1" w:styleId="WCyG-Cuadroscifras">
    <w:name w:val="W C y G - Cuadros cifras"/>
    <w:qFormat/>
    <w:rsid w:val="00051CF6"/>
    <w:pPr>
      <w:spacing w:after="0" w:line="240" w:lineRule="auto"/>
      <w:jc w:val="right"/>
    </w:pPr>
    <w:rPr>
      <w:rFonts w:ascii="Arial" w:hAnsi="Arial"/>
      <w:sz w:val="15"/>
      <w:szCs w:val="16"/>
      <w:lang w:val="en-GB"/>
    </w:rPr>
  </w:style>
  <w:style w:type="character" w:customStyle="1" w:styleId="Heading2Char">
    <w:name w:val="Heading 2 Char"/>
    <w:basedOn w:val="DefaultParagraphFont"/>
    <w:link w:val="Heading2"/>
    <w:uiPriority w:val="9"/>
    <w:rsid w:val="00D1106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42D9"/>
    <w:pPr>
      <w:ind w:left="720"/>
      <w:contextualSpacing/>
    </w:pPr>
    <w:rPr>
      <w:lang w:val="es-CL"/>
    </w:rPr>
  </w:style>
  <w:style w:type="character" w:styleId="Hyperlink">
    <w:name w:val="Hyperlink"/>
    <w:basedOn w:val="DefaultParagraphFont"/>
    <w:uiPriority w:val="99"/>
    <w:unhideWhenUsed/>
    <w:rsid w:val="00EC086F"/>
    <w:rPr>
      <w:color w:val="0000FF"/>
      <w:u w:val="single"/>
    </w:rPr>
  </w:style>
  <w:style w:type="paragraph" w:customStyle="1" w:styleId="WBibliografia">
    <w:name w:val="W Bibliografia"/>
    <w:locked/>
    <w:rsid w:val="00CF3306"/>
    <w:pPr>
      <w:spacing w:after="0" w:line="240" w:lineRule="auto"/>
      <w:ind w:left="567" w:hanging="567"/>
      <w:jc w:val="both"/>
    </w:pPr>
    <w:rPr>
      <w:rFonts w:ascii="Corbel" w:eastAsia="Times New Roman" w:hAnsi="Corbel" w:cs="Times New Roman"/>
      <w:sz w:val="20"/>
      <w:szCs w:val="20"/>
      <w:lang w:val="en-GB"/>
    </w:rPr>
  </w:style>
  <w:style w:type="character" w:customStyle="1" w:styleId="Mencinsinresolver1">
    <w:name w:val="Mención sin resolver1"/>
    <w:basedOn w:val="DefaultParagraphFont"/>
    <w:uiPriority w:val="99"/>
    <w:semiHidden/>
    <w:unhideWhenUsed/>
    <w:rsid w:val="00B25C90"/>
    <w:rPr>
      <w:color w:val="605E5C"/>
      <w:shd w:val="clear" w:color="auto" w:fill="E1DFDD"/>
    </w:rPr>
  </w:style>
  <w:style w:type="paragraph" w:styleId="Header">
    <w:name w:val="header"/>
    <w:basedOn w:val="Normal"/>
    <w:link w:val="HeaderChar"/>
    <w:uiPriority w:val="99"/>
    <w:unhideWhenUsed/>
    <w:rsid w:val="000C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977"/>
  </w:style>
  <w:style w:type="paragraph" w:styleId="Footer">
    <w:name w:val="footer"/>
    <w:basedOn w:val="Normal"/>
    <w:link w:val="FooterChar"/>
    <w:uiPriority w:val="99"/>
    <w:unhideWhenUsed/>
    <w:rsid w:val="000C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977"/>
  </w:style>
  <w:style w:type="character" w:styleId="UnresolvedMention">
    <w:name w:val="Unresolved Mention"/>
    <w:basedOn w:val="DefaultParagraphFont"/>
    <w:uiPriority w:val="99"/>
    <w:rsid w:val="00733BB5"/>
    <w:rPr>
      <w:color w:val="605E5C"/>
      <w:shd w:val="clear" w:color="auto" w:fill="E1DFDD"/>
    </w:rPr>
  </w:style>
  <w:style w:type="paragraph" w:styleId="EndnoteText">
    <w:name w:val="endnote text"/>
    <w:basedOn w:val="Normal"/>
    <w:link w:val="EndnoteTextChar"/>
    <w:uiPriority w:val="99"/>
    <w:semiHidden/>
    <w:unhideWhenUsed/>
    <w:rsid w:val="00120C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0C61"/>
    <w:rPr>
      <w:sz w:val="20"/>
      <w:szCs w:val="20"/>
    </w:rPr>
  </w:style>
  <w:style w:type="character" w:styleId="EndnoteReference">
    <w:name w:val="endnote reference"/>
    <w:basedOn w:val="DefaultParagraphFont"/>
    <w:uiPriority w:val="99"/>
    <w:semiHidden/>
    <w:unhideWhenUsed/>
    <w:rsid w:val="00120C61"/>
    <w:rPr>
      <w:vertAlign w:val="superscript"/>
    </w:rPr>
  </w:style>
  <w:style w:type="paragraph" w:styleId="Revision">
    <w:name w:val="Revision"/>
    <w:hidden/>
    <w:uiPriority w:val="99"/>
    <w:semiHidden/>
    <w:rsid w:val="00767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pal.org/en/publications/42269-linkages-between-social-and-production-spheres-gaps-pillars-and-challeng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epal.org/en/publications/45835-childhood-and-adolescence-digital-age-comparative-report-kids-online-survey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irc.org/publications/pdf/GKO%20LAYOUT%20MAIN%20REPOR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Ami\Documents\docto%20brasil\Cruces%20cap%20Bras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131607716211449"/>
          <c:y val="5.4624456859093729E-2"/>
          <c:w val="0.56086640137629629"/>
          <c:h val="0.81116907872549437"/>
        </c:manualLayout>
      </c:layout>
      <c:barChart>
        <c:barDir val="bar"/>
        <c:grouping val="clustered"/>
        <c:varyColors val="0"/>
        <c:ser>
          <c:idx val="0"/>
          <c:order val="0"/>
          <c:tx>
            <c:strRef>
              <c:f>'Habilidades y red social'!$B$2</c:f>
              <c:strCache>
                <c:ptCount val="1"/>
                <c:pt idx="0">
                  <c:v>Brazil</c:v>
                </c:pt>
              </c:strCache>
            </c:strRef>
          </c:tx>
          <c:spPr>
            <a:solidFill>
              <a:schemeClr val="tx2">
                <a:lumMod val="75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'Habilidades y red social'!$A$3:$A$6</c:f>
              <c:strCache>
                <c:ptCount val="4"/>
                <c:pt idx="0">
                  <c:v>Change privacy settings</c:v>
                </c:pt>
                <c:pt idx="1">
                  <c:v>Check if the information find online is true</c:v>
                </c:pt>
                <c:pt idx="2">
                  <c:v>Know which information should and shouldn’t share online</c:v>
                </c:pt>
                <c:pt idx="3">
                  <c:v>Know how to remove people from contact lists</c:v>
                </c:pt>
              </c:strCache>
            </c:strRef>
          </c:cat>
          <c:val>
            <c:numRef>
              <c:f>'Habilidades y red social'!$B$3:$B$6</c:f>
              <c:numCache>
                <c:formatCode>0</c:formatCode>
                <c:ptCount val="4"/>
                <c:pt idx="0">
                  <c:v>74.7</c:v>
                </c:pt>
                <c:pt idx="1">
                  <c:v>74.349999999999994</c:v>
                </c:pt>
                <c:pt idx="2">
                  <c:v>92.53</c:v>
                </c:pt>
                <c:pt idx="3">
                  <c:v>94.61</c:v>
                </c:pt>
              </c:numCache>
            </c:numRef>
          </c:val>
          <c:extLst>
            <c:ext xmlns:c16="http://schemas.microsoft.com/office/drawing/2014/chart" uri="{C3380CC4-5D6E-409C-BE32-E72D297353CC}">
              <c16:uniqueId val="{00000000-E5D0-4AE8-9CD2-AF69F5AE88EC}"/>
            </c:ext>
          </c:extLst>
        </c:ser>
        <c:ser>
          <c:idx val="1"/>
          <c:order val="1"/>
          <c:tx>
            <c:strRef>
              <c:f>'Habilidades y red social'!$C$2</c:f>
              <c:strCache>
                <c:ptCount val="1"/>
                <c:pt idx="0">
                  <c:v>Chile</c:v>
                </c:pt>
              </c:strCache>
            </c:strRef>
          </c:tx>
          <c:spPr>
            <a:solidFill>
              <a:schemeClr val="accent2">
                <a:lumMod val="60000"/>
                <a:lumOff val="40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'Habilidades y red social'!$A$3:$A$6</c:f>
              <c:strCache>
                <c:ptCount val="4"/>
                <c:pt idx="0">
                  <c:v>Change privacy settings</c:v>
                </c:pt>
                <c:pt idx="1">
                  <c:v>Check if the information find online is true</c:v>
                </c:pt>
                <c:pt idx="2">
                  <c:v>Know which information should and shouldn’t share online</c:v>
                </c:pt>
                <c:pt idx="3">
                  <c:v>Know how to remove people from contact lists</c:v>
                </c:pt>
              </c:strCache>
            </c:strRef>
          </c:cat>
          <c:val>
            <c:numRef>
              <c:f>'Habilidades y red social'!$C$3:$C$6</c:f>
              <c:numCache>
                <c:formatCode>0</c:formatCode>
                <c:ptCount val="4"/>
                <c:pt idx="0">
                  <c:v>61.94</c:v>
                </c:pt>
                <c:pt idx="1">
                  <c:v>63.93</c:v>
                </c:pt>
                <c:pt idx="2">
                  <c:v>75.55</c:v>
                </c:pt>
                <c:pt idx="3">
                  <c:v>82.25</c:v>
                </c:pt>
              </c:numCache>
            </c:numRef>
          </c:val>
          <c:extLst>
            <c:ext xmlns:c16="http://schemas.microsoft.com/office/drawing/2014/chart" uri="{C3380CC4-5D6E-409C-BE32-E72D297353CC}">
              <c16:uniqueId val="{00000001-E5D0-4AE8-9CD2-AF69F5AE88EC}"/>
            </c:ext>
          </c:extLst>
        </c:ser>
        <c:ser>
          <c:idx val="2"/>
          <c:order val="2"/>
          <c:tx>
            <c:strRef>
              <c:f>'Habilidades y red social'!$D$2</c:f>
              <c:strCache>
                <c:ptCount val="1"/>
                <c:pt idx="0">
                  <c:v>Costa Rica</c:v>
                </c:pt>
              </c:strCache>
            </c:strRef>
          </c:tx>
          <c:spPr>
            <a:solidFill>
              <a:schemeClr val="accent3"/>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'Habilidades y red social'!$A$3:$A$6</c:f>
              <c:strCache>
                <c:ptCount val="4"/>
                <c:pt idx="0">
                  <c:v>Change privacy settings</c:v>
                </c:pt>
                <c:pt idx="1">
                  <c:v>Check if the information find online is true</c:v>
                </c:pt>
                <c:pt idx="2">
                  <c:v>Know which information should and shouldn’t share online</c:v>
                </c:pt>
                <c:pt idx="3">
                  <c:v>Know how to remove people from contact lists</c:v>
                </c:pt>
              </c:strCache>
            </c:strRef>
          </c:cat>
          <c:val>
            <c:numRef>
              <c:f>'Habilidades y red social'!$D$3:$D$6</c:f>
              <c:numCache>
                <c:formatCode>0</c:formatCode>
                <c:ptCount val="4"/>
                <c:pt idx="0">
                  <c:v>69.31</c:v>
                </c:pt>
                <c:pt idx="1">
                  <c:v>55.09</c:v>
                </c:pt>
                <c:pt idx="2">
                  <c:v>72.55</c:v>
                </c:pt>
                <c:pt idx="3">
                  <c:v>86.01</c:v>
                </c:pt>
              </c:numCache>
            </c:numRef>
          </c:val>
          <c:extLst>
            <c:ext xmlns:c16="http://schemas.microsoft.com/office/drawing/2014/chart" uri="{C3380CC4-5D6E-409C-BE32-E72D297353CC}">
              <c16:uniqueId val="{00000002-E5D0-4AE8-9CD2-AF69F5AE88EC}"/>
            </c:ext>
          </c:extLst>
        </c:ser>
        <c:ser>
          <c:idx val="3"/>
          <c:order val="3"/>
          <c:tx>
            <c:strRef>
              <c:f>'Habilidades y red social'!$E$2</c:f>
              <c:strCache>
                <c:ptCount val="1"/>
                <c:pt idx="0">
                  <c:v>Uruguay</c:v>
                </c:pt>
              </c:strCache>
            </c:strRef>
          </c:tx>
          <c:spPr>
            <a:solidFill>
              <a:schemeClr val="accent4">
                <a:lumMod val="40000"/>
                <a:lumOff val="60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'Habilidades y red social'!$A$3:$A$6</c:f>
              <c:strCache>
                <c:ptCount val="4"/>
                <c:pt idx="0">
                  <c:v>Change privacy settings</c:v>
                </c:pt>
                <c:pt idx="1">
                  <c:v>Check if the information find online is true</c:v>
                </c:pt>
                <c:pt idx="2">
                  <c:v>Know which information should and shouldn’t share online</c:v>
                </c:pt>
                <c:pt idx="3">
                  <c:v>Know how to remove people from contact lists</c:v>
                </c:pt>
              </c:strCache>
            </c:strRef>
          </c:cat>
          <c:val>
            <c:numRef>
              <c:f>'Habilidades y red social'!$E$3:$E$6</c:f>
              <c:numCache>
                <c:formatCode>0</c:formatCode>
                <c:ptCount val="4"/>
                <c:pt idx="0">
                  <c:v>80.02</c:v>
                </c:pt>
                <c:pt idx="1">
                  <c:v>93.31</c:v>
                </c:pt>
                <c:pt idx="2">
                  <c:v>96.78</c:v>
                </c:pt>
                <c:pt idx="3">
                  <c:v>74.33</c:v>
                </c:pt>
              </c:numCache>
            </c:numRef>
          </c:val>
          <c:extLst>
            <c:ext xmlns:c16="http://schemas.microsoft.com/office/drawing/2014/chart" uri="{C3380CC4-5D6E-409C-BE32-E72D297353CC}">
              <c16:uniqueId val="{00000003-E5D0-4AE8-9CD2-AF69F5AE88EC}"/>
            </c:ext>
          </c:extLst>
        </c:ser>
        <c:dLbls>
          <c:dLblPos val="inEnd"/>
          <c:showLegendKey val="0"/>
          <c:showVal val="1"/>
          <c:showCatName val="0"/>
          <c:showSerName val="0"/>
          <c:showPercent val="0"/>
          <c:showBubbleSize val="0"/>
        </c:dLbls>
        <c:gapWidth val="150"/>
        <c:axId val="71648384"/>
        <c:axId val="71649920"/>
      </c:barChart>
      <c:catAx>
        <c:axId val="71648384"/>
        <c:scaling>
          <c:orientation val="minMax"/>
        </c:scaling>
        <c:delete val="0"/>
        <c:axPos val="l"/>
        <c:numFmt formatCode="General" sourceLinked="0"/>
        <c:majorTickMark val="out"/>
        <c:minorTickMark val="none"/>
        <c:tickLblPos val="nextTo"/>
        <c:crossAx val="71649920"/>
        <c:crosses val="autoZero"/>
        <c:auto val="1"/>
        <c:lblAlgn val="ctr"/>
        <c:lblOffset val="100"/>
        <c:noMultiLvlLbl val="0"/>
      </c:catAx>
      <c:valAx>
        <c:axId val="71649920"/>
        <c:scaling>
          <c:orientation val="minMax"/>
          <c:max val="100"/>
        </c:scaling>
        <c:delete val="0"/>
        <c:axPos val="b"/>
        <c:numFmt formatCode="0" sourceLinked="1"/>
        <c:majorTickMark val="out"/>
        <c:minorTickMark val="none"/>
        <c:tickLblPos val="nextTo"/>
        <c:crossAx val="71648384"/>
        <c:crosses val="autoZero"/>
        <c:crossBetween val="between"/>
      </c:valAx>
    </c:plotArea>
    <c:legend>
      <c:legendPos val="b"/>
      <c:layout>
        <c:manualLayout>
          <c:xMode val="edge"/>
          <c:yMode val="edge"/>
          <c:x val="3.6506447056812198E-2"/>
          <c:y val="0.89337987681117326"/>
          <c:w val="0.41378681291781533"/>
          <c:h val="6.6378674496673826E-2"/>
        </c:manualLayout>
      </c:layout>
      <c:overlay val="0"/>
    </c:legend>
    <c:plotVisOnly val="1"/>
    <c:dispBlanksAs val="gap"/>
    <c:showDLblsOverMax val="0"/>
  </c:chart>
  <c:txPr>
    <a:bodyPr/>
    <a:lstStyle/>
    <a:p>
      <a:pPr>
        <a:defRPr sz="900">
          <a:latin typeface="Corbel" panose="020B0503020204020204" pitchFamily="34" charset="0"/>
          <a:cs typeface="Arial" panose="020B0604020202020204" pitchFamily="34" charset="0"/>
        </a:defRPr>
      </a:pPr>
      <a:endParaRPr lang="en-M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C0FD3-68F2-4862-94C6-56CB1A48A53F}">
  <ds:schemaRefs>
    <ds:schemaRef ds:uri="http://schemas.openxmlformats.org/officeDocument/2006/bibliography"/>
  </ds:schemaRefs>
</ds:datastoreItem>
</file>

<file path=customXml/itemProps2.xml><?xml version="1.0" encoding="utf-8"?>
<ds:datastoreItem xmlns:ds="http://schemas.openxmlformats.org/officeDocument/2006/customXml" ds:itemID="{C31AEFB6-A28D-43FC-8FC5-2EFD6763FB6D}"/>
</file>

<file path=customXml/itemProps3.xml><?xml version="1.0" encoding="utf-8"?>
<ds:datastoreItem xmlns:ds="http://schemas.openxmlformats.org/officeDocument/2006/customXml" ds:itemID="{7CE1DDB1-4B06-4041-A5EB-C2F071FE30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30D2FD-22C8-4C46-8AAA-C63D629CF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2897</Words>
  <Characters>16516</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Amalia Palma Guajardo</dc:creator>
  <cp:lastModifiedBy>E Coombs</cp:lastModifiedBy>
  <cp:revision>2</cp:revision>
  <dcterms:created xsi:type="dcterms:W3CDTF">2020-10-01T11:57:00Z</dcterms:created>
  <dcterms:modified xsi:type="dcterms:W3CDTF">2020-10-01T11:57:00Z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