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63B" w:rsidRPr="0073363B" w:rsidRDefault="0073363B" w:rsidP="0073363B">
      <w:pPr>
        <w:tabs>
          <w:tab w:val="left" w:pos="585"/>
        </w:tabs>
        <w:jc w:val="center"/>
        <w:rPr>
          <w:b/>
          <w:caps/>
          <w:sz w:val="28"/>
          <w:szCs w:val="28"/>
        </w:rPr>
      </w:pPr>
      <w:r w:rsidRPr="0073363B">
        <w:rPr>
          <w:b/>
          <w:sz w:val="28"/>
          <w:szCs w:val="28"/>
        </w:rPr>
        <w:t>SUMMARY OF PRESENTATION SCHEDULED FOR THE</w:t>
      </w:r>
      <w:r w:rsidRPr="0073363B">
        <w:rPr>
          <w:sz w:val="28"/>
          <w:szCs w:val="28"/>
        </w:rPr>
        <w:t xml:space="preserve"> </w:t>
      </w:r>
      <w:r w:rsidRPr="0073363B">
        <w:rPr>
          <w:b/>
          <w:caps/>
          <w:sz w:val="28"/>
          <w:szCs w:val="28"/>
        </w:rPr>
        <w:t xml:space="preserve">10th session of the </w:t>
      </w:r>
      <w:r w:rsidR="00F078BA">
        <w:rPr>
          <w:b/>
          <w:caps/>
          <w:sz w:val="28"/>
          <w:szCs w:val="28"/>
        </w:rPr>
        <w:t xml:space="preserve">INTERGOVERNMENTAL </w:t>
      </w:r>
      <w:bookmarkStart w:id="0" w:name="_GoBack"/>
      <w:bookmarkEnd w:id="0"/>
      <w:r w:rsidRPr="0073363B">
        <w:rPr>
          <w:b/>
          <w:caps/>
          <w:sz w:val="28"/>
          <w:szCs w:val="28"/>
        </w:rPr>
        <w:t xml:space="preserve">Working Group on the Effective Implementation of the Durban Declaration and programme of Action </w:t>
      </w:r>
    </w:p>
    <w:p w:rsidR="0073363B" w:rsidRPr="0073363B" w:rsidRDefault="0073363B" w:rsidP="00E6619F">
      <w:pPr>
        <w:tabs>
          <w:tab w:val="left" w:pos="585"/>
        </w:tabs>
        <w:spacing w:after="0"/>
        <w:jc w:val="center"/>
        <w:rPr>
          <w:b/>
          <w:caps/>
          <w:sz w:val="28"/>
          <w:szCs w:val="28"/>
          <w:lang w:val="fr-CH"/>
        </w:rPr>
      </w:pPr>
      <w:r w:rsidRPr="0073363B">
        <w:rPr>
          <w:b/>
          <w:caps/>
          <w:sz w:val="28"/>
          <w:szCs w:val="28"/>
          <w:lang w:val="fr-CH"/>
        </w:rPr>
        <w:t>Palais des Nations,  8 – 19 October 2012</w:t>
      </w:r>
    </w:p>
    <w:p w:rsidR="0073363B" w:rsidRPr="00F078BA" w:rsidRDefault="0073363B" w:rsidP="0073363B">
      <w:pPr>
        <w:jc w:val="center"/>
        <w:rPr>
          <w:b/>
          <w:caps/>
          <w:sz w:val="32"/>
          <w:szCs w:val="32"/>
          <w:lang w:val="fr-CH"/>
        </w:rPr>
      </w:pPr>
      <w:r w:rsidRPr="00F078BA">
        <w:rPr>
          <w:b/>
          <w:caps/>
          <w:sz w:val="28"/>
          <w:szCs w:val="28"/>
          <w:lang w:val="fr-CH"/>
        </w:rPr>
        <w:t>geneva Switzerland</w:t>
      </w:r>
    </w:p>
    <w:p w:rsidR="0073363B" w:rsidRDefault="0073363B" w:rsidP="0073363B">
      <w:pPr>
        <w:jc w:val="center"/>
        <w:rPr>
          <w:b/>
          <w:caps/>
          <w:szCs w:val="24"/>
        </w:rPr>
      </w:pPr>
      <w:r>
        <w:rPr>
          <w:b/>
          <w:caps/>
          <w:szCs w:val="24"/>
        </w:rPr>
        <w:t>***</w:t>
      </w:r>
    </w:p>
    <w:p w:rsidR="00E6619F" w:rsidRDefault="00E6619F" w:rsidP="0073363B">
      <w:pPr>
        <w:jc w:val="center"/>
        <w:rPr>
          <w:sz w:val="36"/>
          <w:szCs w:val="36"/>
        </w:rPr>
      </w:pPr>
    </w:p>
    <w:p w:rsidR="00024FCE" w:rsidRPr="0073363B" w:rsidRDefault="0073363B" w:rsidP="0073363B">
      <w:pPr>
        <w:jc w:val="center"/>
        <w:rPr>
          <w:b/>
          <w:caps/>
          <w:szCs w:val="24"/>
        </w:rPr>
      </w:pPr>
      <w:r>
        <w:rPr>
          <w:sz w:val="36"/>
          <w:szCs w:val="36"/>
        </w:rPr>
        <w:t>“</w:t>
      </w:r>
      <w:r w:rsidR="00024FCE" w:rsidRPr="00556E76">
        <w:rPr>
          <w:sz w:val="36"/>
          <w:szCs w:val="36"/>
        </w:rPr>
        <w:t>Political Parties</w:t>
      </w:r>
      <w:r w:rsidR="00024FCE">
        <w:rPr>
          <w:sz w:val="36"/>
          <w:szCs w:val="36"/>
        </w:rPr>
        <w:t xml:space="preserve"> as</w:t>
      </w:r>
      <w:r w:rsidR="00F74557">
        <w:rPr>
          <w:sz w:val="36"/>
          <w:szCs w:val="36"/>
        </w:rPr>
        <w:t xml:space="preserve"> both</w:t>
      </w:r>
      <w:r w:rsidR="00024FCE">
        <w:rPr>
          <w:sz w:val="36"/>
          <w:szCs w:val="36"/>
        </w:rPr>
        <w:t xml:space="preserve"> “right-</w:t>
      </w:r>
      <w:proofErr w:type="spellStart"/>
      <w:r w:rsidR="00024FCE">
        <w:rPr>
          <w:sz w:val="36"/>
          <w:szCs w:val="36"/>
        </w:rPr>
        <w:t>regarders</w:t>
      </w:r>
      <w:proofErr w:type="spellEnd"/>
      <w:r w:rsidR="00024FCE">
        <w:rPr>
          <w:sz w:val="36"/>
          <w:szCs w:val="36"/>
        </w:rPr>
        <w:t xml:space="preserve">” and </w:t>
      </w:r>
      <w:r w:rsidR="00F74557">
        <w:rPr>
          <w:sz w:val="36"/>
          <w:szCs w:val="36"/>
        </w:rPr>
        <w:t xml:space="preserve">also </w:t>
      </w:r>
      <w:r w:rsidR="00024FCE">
        <w:rPr>
          <w:sz w:val="36"/>
          <w:szCs w:val="36"/>
        </w:rPr>
        <w:t>as</w:t>
      </w:r>
      <w:r>
        <w:rPr>
          <w:sz w:val="36"/>
          <w:szCs w:val="36"/>
        </w:rPr>
        <w:t xml:space="preserve"> </w:t>
      </w:r>
      <w:r w:rsidR="00024FCE">
        <w:rPr>
          <w:sz w:val="36"/>
          <w:szCs w:val="36"/>
        </w:rPr>
        <w:t xml:space="preserve">victims of corrupting tendencies of “others” </w:t>
      </w:r>
      <w:r>
        <w:rPr>
          <w:sz w:val="36"/>
          <w:szCs w:val="36"/>
        </w:rPr>
        <w:t>regarding</w:t>
      </w:r>
      <w:r w:rsidR="00024FCE">
        <w:rPr>
          <w:sz w:val="36"/>
          <w:szCs w:val="36"/>
        </w:rPr>
        <w:t xml:space="preserve"> the</w:t>
      </w:r>
      <w:r w:rsidR="00024FCE" w:rsidRPr="00556E76">
        <w:rPr>
          <w:sz w:val="36"/>
          <w:szCs w:val="36"/>
        </w:rPr>
        <w:t xml:space="preserve"> </w:t>
      </w:r>
      <w:r w:rsidR="00024FCE">
        <w:rPr>
          <w:sz w:val="36"/>
          <w:szCs w:val="36"/>
        </w:rPr>
        <w:t>prohibition against discrimination</w:t>
      </w:r>
      <w:r w:rsidR="00024FCE" w:rsidRPr="00556E76">
        <w:rPr>
          <w:sz w:val="36"/>
          <w:szCs w:val="36"/>
        </w:rPr>
        <w:t xml:space="preserve"> pursuant</w:t>
      </w:r>
      <w:r w:rsidR="00024FCE">
        <w:rPr>
          <w:sz w:val="36"/>
          <w:szCs w:val="36"/>
        </w:rPr>
        <w:t xml:space="preserve"> to the Durban Declaration 2001: The Challenge of Corruption</w:t>
      </w:r>
      <w:r>
        <w:rPr>
          <w:sz w:val="36"/>
          <w:szCs w:val="36"/>
        </w:rPr>
        <w:t>”</w:t>
      </w:r>
    </w:p>
    <w:p w:rsidR="0073363B" w:rsidRDefault="0073363B" w:rsidP="00024FCE">
      <w:pPr>
        <w:jc w:val="center"/>
        <w:rPr>
          <w:sz w:val="36"/>
          <w:szCs w:val="36"/>
        </w:rPr>
      </w:pPr>
      <w:proofErr w:type="gramStart"/>
      <w:r>
        <w:rPr>
          <w:sz w:val="36"/>
          <w:szCs w:val="36"/>
        </w:rPr>
        <w:t>by</w:t>
      </w:r>
      <w:proofErr w:type="gramEnd"/>
    </w:p>
    <w:p w:rsidR="00F74557" w:rsidRPr="00556E76" w:rsidRDefault="00F74557" w:rsidP="00024FCE">
      <w:pPr>
        <w:jc w:val="center"/>
        <w:rPr>
          <w:sz w:val="36"/>
          <w:szCs w:val="36"/>
        </w:rPr>
      </w:pPr>
      <w:r>
        <w:rPr>
          <w:sz w:val="36"/>
          <w:szCs w:val="36"/>
        </w:rPr>
        <w:t xml:space="preserve">Prof. </w:t>
      </w:r>
      <w:proofErr w:type="spellStart"/>
      <w:r>
        <w:rPr>
          <w:sz w:val="36"/>
          <w:szCs w:val="36"/>
        </w:rPr>
        <w:t>Dr.</w:t>
      </w:r>
      <w:proofErr w:type="spellEnd"/>
      <w:r>
        <w:rPr>
          <w:sz w:val="36"/>
          <w:szCs w:val="36"/>
        </w:rPr>
        <w:t xml:space="preserve"> Ben Chigara (Brunel University, London, UK)</w:t>
      </w:r>
    </w:p>
    <w:p w:rsidR="00E6619F" w:rsidRDefault="00E6619F" w:rsidP="00024FCE">
      <w:pPr>
        <w:jc w:val="both"/>
        <w:rPr>
          <w:b/>
        </w:rPr>
      </w:pPr>
    </w:p>
    <w:p w:rsidR="00E6619F" w:rsidRDefault="00E6619F" w:rsidP="00024FCE">
      <w:pPr>
        <w:jc w:val="both"/>
        <w:rPr>
          <w:b/>
        </w:rPr>
      </w:pPr>
    </w:p>
    <w:p w:rsidR="0073363B" w:rsidRPr="0073363B" w:rsidRDefault="0073363B" w:rsidP="00E6619F">
      <w:pPr>
        <w:spacing w:after="0"/>
        <w:jc w:val="both"/>
        <w:rPr>
          <w:b/>
        </w:rPr>
      </w:pPr>
      <w:r>
        <w:rPr>
          <w:b/>
        </w:rPr>
        <w:t>Summary:</w:t>
      </w:r>
    </w:p>
    <w:p w:rsidR="00024FCE" w:rsidRDefault="00024FCE" w:rsidP="00024FCE">
      <w:pPr>
        <w:jc w:val="both"/>
      </w:pPr>
      <w:r>
        <w:t>Continued interaction of numerous unintended consequences of States’ experiences in the evolution of inter-State, and inter-regional relations have over time created, and continue to weave, a complex web of challenges with capacities both to severely undermine efforts to combat discrimination of individuals across the spectrum of prejudices listed in the Durban Declaration 2001; and to undermine international peace and security.</w:t>
      </w:r>
      <w:r w:rsidR="00E6619F">
        <w:rPr>
          <w:rStyle w:val="FootnoteReference"/>
        </w:rPr>
        <w:footnoteReference w:id="1"/>
      </w:r>
      <w:r>
        <w:t xml:space="preserve"> </w:t>
      </w:r>
    </w:p>
    <w:p w:rsidR="00E6619F" w:rsidRDefault="00E6619F" w:rsidP="00E6619F">
      <w:pPr>
        <w:jc w:val="both"/>
      </w:pPr>
      <w:r>
        <w:t>This presentation seeks to assist the Working Group in its effort to examine the challenges posed by corruption of national political parties in the effort to ensure protection of individuals against discrimination.  I think that wherever power lies, corruption lurks! Implicit in the task set is the assumption that because of corruption, political parties within nation states could and sometimes become culpable of either harming/breaching the right of individuals on their territories to not be discriminated against. For this reason, political parties need to be listed among “right-</w:t>
      </w:r>
      <w:proofErr w:type="spellStart"/>
      <w:r>
        <w:t>regarders</w:t>
      </w:r>
      <w:proofErr w:type="spellEnd"/>
      <w:r>
        <w:t xml:space="preserve">” – </w:t>
      </w:r>
      <w:r>
        <w:lastRenderedPageBreak/>
        <w:t>i.e. class of persons against whom the “right holder” has a claim against;</w:t>
      </w:r>
      <w:r>
        <w:rPr>
          <w:rStyle w:val="FootnoteReference"/>
        </w:rPr>
        <w:footnoteReference w:id="2"/>
      </w:r>
      <w:r>
        <w:t xml:space="preserve"> and their activities checked against corruption to ensure that individuals do not suffer corruption engineered discrimination. </w:t>
      </w:r>
    </w:p>
    <w:p w:rsidR="00E6619F" w:rsidRPr="00E6619F" w:rsidRDefault="00E6619F" w:rsidP="00024FCE">
      <w:pPr>
        <w:jc w:val="both"/>
        <w:rPr>
          <w:b/>
        </w:rPr>
      </w:pPr>
      <w:r w:rsidRPr="00E6619F">
        <w:rPr>
          <w:b/>
        </w:rPr>
        <w:t>Figure1: Some experiences whose values have interacted to entrench discrimination globally.</w:t>
      </w:r>
    </w:p>
    <w:p w:rsidR="0012503C" w:rsidRDefault="004E551E" w:rsidP="0012503C">
      <w:pPr>
        <w:jc w:val="center"/>
      </w:pPr>
      <w:r>
        <w:rPr>
          <w:noProof/>
          <w:lang w:eastAsia="en-GB"/>
        </w:rPr>
        <mc:AlternateContent>
          <mc:Choice Requires="wps">
            <w:drawing>
              <wp:anchor distT="0" distB="0" distL="114300" distR="114300" simplePos="0" relativeHeight="251659264" behindDoc="0" locked="0" layoutInCell="1" allowOverlap="1" wp14:anchorId="2B02DE67" wp14:editId="281AE764">
                <wp:simplePos x="0" y="0"/>
                <wp:positionH relativeFrom="column">
                  <wp:posOffset>1256030</wp:posOffset>
                </wp:positionH>
                <wp:positionV relativeFrom="paragraph">
                  <wp:posOffset>158750</wp:posOffset>
                </wp:positionV>
                <wp:extent cx="1741170" cy="381000"/>
                <wp:effectExtent l="0" t="0" r="1143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170" cy="381000"/>
                        </a:xfrm>
                        <a:prstGeom prst="rect">
                          <a:avLst/>
                        </a:prstGeom>
                        <a:solidFill>
                          <a:srgbClr val="FFFFFF"/>
                        </a:solidFill>
                        <a:ln w="9525">
                          <a:solidFill>
                            <a:srgbClr val="000000"/>
                          </a:solidFill>
                          <a:miter lim="800000"/>
                          <a:headEnd/>
                          <a:tailEnd/>
                        </a:ln>
                      </wps:spPr>
                      <wps:txbx>
                        <w:txbxContent>
                          <w:p w:rsidR="00CD52BD" w:rsidRDefault="00CD52BD">
                            <w:r>
                              <w:t xml:space="preserve">Colonialism and Apartheid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8.9pt;margin-top:12.5pt;width:137.1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">
                <v:textbox>
                  <w:txbxContent>
                    <w:p w:rsidR="0073363B" w:rsidRDefault="0073363B">
                      <w:r>
                        <w:t xml:space="preserve">Colonialism and Apartheid  </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2B2BB63B" wp14:editId="46FAB32D">
                <wp:simplePos x="0" y="0"/>
                <wp:positionH relativeFrom="column">
                  <wp:posOffset>4062730</wp:posOffset>
                </wp:positionH>
                <wp:positionV relativeFrom="paragraph">
                  <wp:posOffset>-635</wp:posOffset>
                </wp:positionV>
                <wp:extent cx="1367155" cy="603885"/>
                <wp:effectExtent l="0" t="0" r="23495" b="247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603885"/>
                        </a:xfrm>
                        <a:prstGeom prst="rect">
                          <a:avLst/>
                        </a:prstGeom>
                        <a:solidFill>
                          <a:srgbClr val="FFFFFF"/>
                        </a:solidFill>
                        <a:ln w="9525">
                          <a:solidFill>
                            <a:srgbClr val="000000"/>
                          </a:solidFill>
                          <a:miter lim="800000"/>
                          <a:headEnd/>
                          <a:tailEnd/>
                        </a:ln>
                      </wps:spPr>
                      <wps:txbx>
                        <w:txbxContent>
                          <w:p w:rsidR="00CD52BD" w:rsidRDefault="00CD52BD" w:rsidP="007F4B68">
                            <w:r>
                              <w:t>Slavery and Forced Labour Practices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19.9pt;margin-top:-.05pt;width:107.65pt;height:4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">
                <v:textbox>
                  <w:txbxContent>
                    <w:p w:rsidR="0073363B" w:rsidRDefault="0073363B" w:rsidP="007F4B68">
                      <w:r>
                        <w:t>Slavery and Forced Labour Practices</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1AB8929A" wp14:editId="35DCDBD6">
                <wp:simplePos x="0" y="0"/>
                <wp:positionH relativeFrom="column">
                  <wp:posOffset>4548146</wp:posOffset>
                </wp:positionH>
                <wp:positionV relativeFrom="paragraph">
                  <wp:posOffset>1956159</wp:posOffset>
                </wp:positionV>
                <wp:extent cx="1089329" cy="882015"/>
                <wp:effectExtent l="0" t="0" r="15875" b="133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329" cy="882015"/>
                        </a:xfrm>
                        <a:prstGeom prst="rect">
                          <a:avLst/>
                        </a:prstGeom>
                        <a:solidFill>
                          <a:srgbClr val="FFFFFF"/>
                        </a:solidFill>
                        <a:ln w="9525">
                          <a:solidFill>
                            <a:srgbClr val="000000"/>
                          </a:solidFill>
                          <a:miter lim="800000"/>
                          <a:headEnd/>
                          <a:tailEnd/>
                        </a:ln>
                      </wps:spPr>
                      <wps:txbx>
                        <w:txbxContent>
                          <w:p w:rsidR="00CD52BD" w:rsidRDefault="00CD52BD" w:rsidP="007F4B68">
                            <w:r>
                              <w:t xml:space="preserve">Colonisation, Apartheid, Slavery, Forced Labour Practices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58.1pt;margin-top:154.05pt;width:85.75pt;height:6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">
                <v:textbox>
                  <w:txbxContent>
                    <w:p w:rsidR="0073363B" w:rsidRDefault="0073363B" w:rsidP="007F4B68">
                      <w:r>
                        <w:t xml:space="preserve">Colonisation, Apartheid, Slavery, Forced Labour Practices  </w:t>
                      </w: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74EA7BED" wp14:editId="62A13579">
                <wp:simplePos x="0" y="0"/>
                <wp:positionH relativeFrom="column">
                  <wp:posOffset>63610</wp:posOffset>
                </wp:positionH>
                <wp:positionV relativeFrom="paragraph">
                  <wp:posOffset>1033808</wp:posOffset>
                </wp:positionV>
                <wp:extent cx="1510224" cy="317500"/>
                <wp:effectExtent l="0" t="0" r="13970" b="254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224" cy="317500"/>
                        </a:xfrm>
                        <a:prstGeom prst="rect">
                          <a:avLst/>
                        </a:prstGeom>
                        <a:solidFill>
                          <a:srgbClr val="FFFFFF"/>
                        </a:solidFill>
                        <a:ln w="9525">
                          <a:solidFill>
                            <a:srgbClr val="000000"/>
                          </a:solidFill>
                          <a:miter lim="800000"/>
                          <a:headEnd/>
                          <a:tailEnd/>
                        </a:ln>
                      </wps:spPr>
                      <wps:txbx>
                        <w:txbxContent>
                          <w:p w:rsidR="00CD52BD" w:rsidRDefault="00CD52BD" w:rsidP="007F4B68">
                            <w:r>
                              <w:t>Cultural Discrimination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pt;margin-top:81.4pt;width:118.9pt;height: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">
                <v:textbox>
                  <w:txbxContent>
                    <w:p w:rsidR="0073363B" w:rsidRDefault="0073363B" w:rsidP="007F4B68">
                      <w:r>
                        <w:t>Cultural Discrimination</w:t>
                      </w:r>
                    </w:p>
                  </w:txbxContent>
                </v:textbox>
              </v:shape>
            </w:pict>
          </mc:Fallback>
        </mc:AlternateContent>
      </w:r>
      <w:r w:rsidR="007F4B68">
        <w:rPr>
          <w:noProof/>
          <w:lang w:eastAsia="en-GB"/>
        </w:rPr>
        <mc:AlternateContent>
          <mc:Choice Requires="wps">
            <w:drawing>
              <wp:anchor distT="0" distB="0" distL="114300" distR="114300" simplePos="0" relativeHeight="251663360" behindDoc="0" locked="0" layoutInCell="1" allowOverlap="1" wp14:anchorId="5D8D3EE4" wp14:editId="0EB2AC2A">
                <wp:simplePos x="0" y="0"/>
                <wp:positionH relativeFrom="column">
                  <wp:posOffset>2432685</wp:posOffset>
                </wp:positionH>
                <wp:positionV relativeFrom="paragraph">
                  <wp:posOffset>2838450</wp:posOffset>
                </wp:positionV>
                <wp:extent cx="1677670" cy="532130"/>
                <wp:effectExtent l="0" t="0" r="17780" b="203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532130"/>
                        </a:xfrm>
                        <a:prstGeom prst="rect">
                          <a:avLst/>
                        </a:prstGeom>
                        <a:solidFill>
                          <a:srgbClr val="FFFFFF"/>
                        </a:solidFill>
                        <a:ln w="9525">
                          <a:solidFill>
                            <a:srgbClr val="000000"/>
                          </a:solidFill>
                          <a:miter lim="800000"/>
                          <a:headEnd/>
                          <a:tailEnd/>
                        </a:ln>
                      </wps:spPr>
                      <wps:txbx>
                        <w:txbxContent>
                          <w:p w:rsidR="00CD52BD" w:rsidRDefault="00CD52BD" w:rsidP="007F4B68">
                            <w:r>
                              <w:t xml:space="preserve">Cultural Stereotypes and Discrimination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91.55pt;margin-top:223.5pt;width:132.1pt;height:4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">
                <v:textbox>
                  <w:txbxContent>
                    <w:p w:rsidR="0073363B" w:rsidRDefault="0073363B" w:rsidP="007F4B68">
                      <w:r>
                        <w:t xml:space="preserve">Cultural Stereotypes and Discrimination </w:t>
                      </w:r>
                    </w:p>
                  </w:txbxContent>
                </v:textbox>
              </v:shape>
            </w:pict>
          </mc:Fallback>
        </mc:AlternateContent>
      </w:r>
      <w:r w:rsidR="0012503C">
        <w:rPr>
          <w:rFonts w:ascii="Arial" w:hAnsi="Arial" w:cs="Arial"/>
          <w:noProof/>
          <w:sz w:val="20"/>
          <w:szCs w:val="20"/>
          <w:lang w:eastAsia="en-GB"/>
        </w:rPr>
        <w:drawing>
          <wp:inline distT="0" distB="0" distL="0" distR="0" wp14:anchorId="778379FB" wp14:editId="09EB9144">
            <wp:extent cx="5740842" cy="3570136"/>
            <wp:effectExtent l="0" t="0" r="0" b="0"/>
            <wp:docPr id="2" name="il_fi" descr="http://awkwardlistdotcom.files.wordpress.com/2011/06/spider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wkwardlistdotcom.files.wordpress.com/2011/06/spiderweb.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0453" cy="3569894"/>
                    </a:xfrm>
                    <a:prstGeom prst="rect">
                      <a:avLst/>
                    </a:prstGeom>
                    <a:noFill/>
                    <a:ln>
                      <a:noFill/>
                    </a:ln>
                  </pic:spPr>
                </pic:pic>
              </a:graphicData>
            </a:graphic>
          </wp:inline>
        </w:drawing>
      </w:r>
    </w:p>
    <w:p w:rsidR="0012503C" w:rsidRDefault="0012503C" w:rsidP="00024FCE">
      <w:pPr>
        <w:jc w:val="both"/>
      </w:pPr>
    </w:p>
    <w:p w:rsidR="00024FCE" w:rsidRDefault="00024FCE" w:rsidP="004C52D8">
      <w:pPr>
        <w:jc w:val="both"/>
      </w:pPr>
      <w:r>
        <w:t xml:space="preserve">This is </w:t>
      </w:r>
      <w:r w:rsidR="004C52D8">
        <w:t xml:space="preserve">mandated </w:t>
      </w:r>
      <w:r w:rsidR="00CD52BD">
        <w:t xml:space="preserve">on the one hand, </w:t>
      </w:r>
      <w:r w:rsidR="004C52D8">
        <w:t>by</w:t>
      </w:r>
      <w:r>
        <w:t xml:space="preserve"> the purposes and actual </w:t>
      </w:r>
      <w:r w:rsidR="004C52D8">
        <w:t>effect on individuals</w:t>
      </w:r>
      <w:r>
        <w:t xml:space="preserve"> of political processes in all States; and</w:t>
      </w:r>
      <w:r w:rsidR="004C52D8">
        <w:t xml:space="preserve"> on the other by</w:t>
      </w:r>
      <w:r>
        <w:t xml:space="preserve"> the susceptibility of all people to what </w:t>
      </w:r>
      <w:r w:rsidR="009A5C84">
        <w:t>George Stephanopoulos</w:t>
      </w:r>
      <w:r>
        <w:t xml:space="preserve"> has </w:t>
      </w:r>
      <w:r w:rsidR="009A5C84">
        <w:t>described as</w:t>
      </w:r>
      <w:r>
        <w:t xml:space="preserve"> the “Human condition”.</w:t>
      </w:r>
      <w:r w:rsidR="009A5C84">
        <w:rPr>
          <w:rStyle w:val="FootnoteReference"/>
        </w:rPr>
        <w:footnoteReference w:id="3"/>
      </w:r>
      <w:r>
        <w:t xml:space="preserve"> That is why the UN has made the rule of law and democratic governance premised on the separation of powers of the three main pillars of governmental authority the core principles of its mission.</w:t>
      </w:r>
      <w:r w:rsidR="004C52D8">
        <w:rPr>
          <w:rStyle w:val="FootnoteReference"/>
        </w:rPr>
        <w:footnoteReference w:id="4"/>
      </w:r>
      <w:r w:rsidR="004C52D8">
        <w:t xml:space="preserve"> And p</w:t>
      </w:r>
      <w:r>
        <w:t xml:space="preserve">ublic power/authority is not unlimited in any political entity/State. </w:t>
      </w:r>
      <w:r w:rsidR="004C52D8">
        <w:t>Consequently</w:t>
      </w:r>
      <w:r>
        <w:t xml:space="preserve">, those that hold it do </w:t>
      </w:r>
      <w:r w:rsidR="004C52D8">
        <w:t xml:space="preserve">so to the exclusion of others. </w:t>
      </w:r>
      <w:proofErr w:type="gramStart"/>
      <w:r w:rsidR="004C52D8">
        <w:t>Necessarily, t</w:t>
      </w:r>
      <w:r>
        <w:t xml:space="preserve">his </w:t>
      </w:r>
      <w:r w:rsidR="004C52D8">
        <w:t>results in the binary opposition of “have</w:t>
      </w:r>
      <w:r>
        <w:t xml:space="preserve"> and have not” with regard to possession of public authority</w:t>
      </w:r>
      <w:r w:rsidR="00697312">
        <w:t>.</w:t>
      </w:r>
      <w:proofErr w:type="gramEnd"/>
      <w:r w:rsidR="005636BD">
        <w:rPr>
          <w:rStyle w:val="FootnoteReference"/>
        </w:rPr>
        <w:footnoteReference w:id="5"/>
      </w:r>
    </w:p>
    <w:p w:rsidR="00024FCE" w:rsidRDefault="004C52D8" w:rsidP="004C52D8">
      <w:pPr>
        <w:jc w:val="both"/>
      </w:pPr>
      <w:r>
        <w:t>In this binary opposition t</w:t>
      </w:r>
      <w:r w:rsidR="00024FCE">
        <w:t xml:space="preserve">he </w:t>
      </w:r>
      <w:r>
        <w:t>“</w:t>
      </w:r>
      <w:r w:rsidR="00024FCE">
        <w:t>haves</w:t>
      </w:r>
      <w:r>
        <w:t>”</w:t>
      </w:r>
      <w:r w:rsidR="00024FCE">
        <w:t xml:space="preserve"> </w:t>
      </w:r>
      <w:r w:rsidR="00CD52BD">
        <w:t>retain</w:t>
      </w:r>
      <w:r>
        <w:t xml:space="preserve"> </w:t>
      </w:r>
      <w:r w:rsidR="00024FCE">
        <w:t xml:space="preserve">the potential to further their </w:t>
      </w:r>
      <w:r w:rsidR="00CD52BD">
        <w:t xml:space="preserve">own </w:t>
      </w:r>
      <w:r w:rsidR="00024FCE">
        <w:t xml:space="preserve">political goals and interests to the exclusion of the </w:t>
      </w:r>
      <w:r>
        <w:t>“</w:t>
      </w:r>
      <w:r w:rsidR="00255A35">
        <w:t>have not</w:t>
      </w:r>
      <w:r>
        <w:t>”</w:t>
      </w:r>
      <w:r w:rsidR="00024FCE">
        <w:t xml:space="preserve"> for as long as they remain in office. In fact that is the sole reason </w:t>
      </w:r>
      <w:r w:rsidR="00CD52BD">
        <w:t>why individuals and their political groupings seek</w:t>
      </w:r>
      <w:r w:rsidR="00024FCE">
        <w:t xml:space="preserve"> public office. It could be said that President Obama had aspired for, and pursued public office with the hope of transforming U.S. health care provision arrangements for a generation.</w:t>
      </w:r>
    </w:p>
    <w:p w:rsidR="00024FCE" w:rsidRDefault="00CD52BD" w:rsidP="004C52D8">
      <w:r>
        <w:lastRenderedPageBreak/>
        <w:t>The</w:t>
      </w:r>
      <w:r w:rsidR="00024FCE">
        <w:t xml:space="preserve"> </w:t>
      </w:r>
      <w:r w:rsidR="004C52D8">
        <w:t xml:space="preserve">foregoing </w:t>
      </w:r>
      <w:r w:rsidR="00024FCE">
        <w:t xml:space="preserve">observations make it plain why competition for public office anywhere you look is actually a matter of extreme rivalry between political </w:t>
      </w:r>
      <w:r>
        <w:t>groupings within</w:t>
      </w:r>
      <w:r w:rsidR="00024FCE">
        <w:t xml:space="preserve"> States. Not so long ago one </w:t>
      </w:r>
      <w:r>
        <w:t>British Prime minister</w:t>
      </w:r>
      <w:r w:rsidR="00024FCE">
        <w:t xml:space="preserve"> called the leader</w:t>
      </w:r>
      <w:r w:rsidR="005636BD">
        <w:t xml:space="preserve"> of the opposition party a “dim</w:t>
      </w:r>
      <w:r w:rsidR="00024FCE">
        <w:t>wit.”</w:t>
      </w:r>
      <w:r w:rsidR="005636BD">
        <w:rPr>
          <w:rStyle w:val="FootnoteReference"/>
        </w:rPr>
        <w:footnoteReference w:id="6"/>
      </w:r>
      <w:r w:rsidR="00024FCE">
        <w:t xml:space="preserve"> Both men were “honourable MPs!”</w:t>
      </w:r>
    </w:p>
    <w:p w:rsidR="00057C62" w:rsidRDefault="00024FCE" w:rsidP="004C52D8">
      <w:pPr>
        <w:jc w:val="both"/>
      </w:pPr>
      <w:r>
        <w:t>Mishandled, these rivalries can rapidly descend into intolerance, threatening whole sections of communities as recent experiences in the Balkans</w:t>
      </w:r>
      <w:r w:rsidR="00CD52BD">
        <w:t xml:space="preserve"> (1990s)</w:t>
      </w:r>
      <w:r>
        <w:t>, East Africa</w:t>
      </w:r>
      <w:r w:rsidR="00CD52BD">
        <w:t xml:space="preserve"> (2008)</w:t>
      </w:r>
      <w:r>
        <w:t xml:space="preserve">, Southern Africa </w:t>
      </w:r>
      <w:r w:rsidR="00697312">
        <w:t>(2008</w:t>
      </w:r>
      <w:r w:rsidR="00CD52BD">
        <w:t>)</w:t>
      </w:r>
      <w:r w:rsidR="00697312">
        <w:t xml:space="preserve"> </w:t>
      </w:r>
      <w:r>
        <w:t xml:space="preserve">and other places have shown. </w:t>
      </w:r>
      <w:r w:rsidR="00EF3490">
        <w:t xml:space="preserve">My point of departure in this brief presentation is the often unstressed observations of </w:t>
      </w:r>
      <w:r w:rsidR="00EF3490" w:rsidRPr="001405CF">
        <w:rPr>
          <w:rFonts w:cstheme="minorHAnsi"/>
          <w:sz w:val="24"/>
          <w:szCs w:val="24"/>
        </w:rPr>
        <w:t xml:space="preserve">the </w:t>
      </w:r>
      <w:r w:rsidR="001405CF" w:rsidRPr="00CE6FB0">
        <w:rPr>
          <w:rFonts w:cstheme="minorHAnsi"/>
          <w:b/>
          <w:bCs/>
          <w:sz w:val="24"/>
          <w:szCs w:val="24"/>
        </w:rPr>
        <w:t>World Conference against Racism, Racial Discrimination, Xenophobia and Related Intolerance</w:t>
      </w:r>
      <w:r w:rsidR="00EF3490" w:rsidRPr="00CE6FB0">
        <w:rPr>
          <w:rFonts w:cstheme="minorHAnsi"/>
          <w:b/>
          <w:sz w:val="24"/>
          <w:szCs w:val="24"/>
        </w:rPr>
        <w:t xml:space="preserve"> D</w:t>
      </w:r>
      <w:r w:rsidR="00EF3490" w:rsidRPr="00CE6FB0">
        <w:rPr>
          <w:b/>
        </w:rPr>
        <w:t>eclaration</w:t>
      </w:r>
      <w:r w:rsidR="001405CF" w:rsidRPr="00CE6FB0">
        <w:rPr>
          <w:b/>
        </w:rPr>
        <w:t xml:space="preserve"> (2001)</w:t>
      </w:r>
      <w:r w:rsidR="00EF3490">
        <w:t>.</w:t>
      </w:r>
      <w:r w:rsidR="001405CF">
        <w:rPr>
          <w:rStyle w:val="FootnoteReference"/>
        </w:rPr>
        <w:footnoteReference w:id="7"/>
      </w:r>
      <w:r w:rsidR="00EF3490">
        <w:t xml:space="preserve"> My aim is to explore what core elements should guide any new measures or strategies that may eventually be recommended to States for the meaningful prosecution of the </w:t>
      </w:r>
      <w:r w:rsidR="009A5C84">
        <w:t>program for ensuring against</w:t>
      </w:r>
      <w:r w:rsidR="00EF3490">
        <w:t xml:space="preserve"> political party fuelled </w:t>
      </w:r>
      <w:r w:rsidR="009A5C84">
        <w:t xml:space="preserve">corruption that results in </w:t>
      </w:r>
      <w:r w:rsidR="00EF3490">
        <w:t>discrimination against individuals whatever their status</w:t>
      </w:r>
      <w:r w:rsidR="009A5C84">
        <w:t>.</w:t>
      </w:r>
      <w:r w:rsidR="00EF3490">
        <w:t xml:space="preserve"> My recommendations are modest. </w:t>
      </w:r>
      <w:r w:rsidR="00367AB3">
        <w:t xml:space="preserve">They are </w:t>
      </w:r>
      <w:r w:rsidR="00057C62">
        <w:t>premised on</w:t>
      </w:r>
      <w:r w:rsidR="00367AB3">
        <w:t xml:space="preserve"> a necessary acknowledgment of </w:t>
      </w:r>
      <w:r w:rsidR="00057C62">
        <w:t xml:space="preserve">the complex nature of the challenge; a </w:t>
      </w:r>
      <w:r w:rsidR="00367AB3">
        <w:t xml:space="preserve">recognition </w:t>
      </w:r>
      <w:r w:rsidR="00057C62">
        <w:t xml:space="preserve">of the potential of the power of pedagogy to liberate; and confidence in the power of humans to </w:t>
      </w:r>
      <w:r w:rsidR="00F74557">
        <w:t>respond to reason’s call to positive reform.</w:t>
      </w:r>
    </w:p>
    <w:p w:rsidR="0073363B" w:rsidRPr="0073363B" w:rsidRDefault="0073363B" w:rsidP="0073363B">
      <w:pPr>
        <w:jc w:val="both"/>
        <w:rPr>
          <w:b/>
        </w:rPr>
      </w:pPr>
      <w:r w:rsidRPr="0073363B">
        <w:rPr>
          <w:b/>
        </w:rPr>
        <w:t>Recommendations:</w:t>
      </w:r>
    </w:p>
    <w:p w:rsidR="00F74557" w:rsidRDefault="00057C62" w:rsidP="00057C62">
      <w:pPr>
        <w:pStyle w:val="ListParagraph"/>
        <w:numPr>
          <w:ilvl w:val="0"/>
          <w:numId w:val="4"/>
        </w:numPr>
        <w:jc w:val="both"/>
      </w:pPr>
      <w:r>
        <w:t xml:space="preserve">Grasp </w:t>
      </w:r>
      <w:r w:rsidR="00EF3490">
        <w:t xml:space="preserve">the two sides of human nature: the </w:t>
      </w:r>
      <w:r w:rsidR="003526AD">
        <w:t>A</w:t>
      </w:r>
      <w:r w:rsidR="00EF3490">
        <w:t>dam – s</w:t>
      </w:r>
      <w:r w:rsidR="00F74557">
        <w:t>usceptible to corruption</w:t>
      </w:r>
      <w:r w:rsidR="003526AD">
        <w:t xml:space="preserve">; and the </w:t>
      </w:r>
      <w:proofErr w:type="spellStart"/>
      <w:r w:rsidR="003526AD">
        <w:t>B</w:t>
      </w:r>
      <w:r w:rsidR="00EF3490">
        <w:t>iko</w:t>
      </w:r>
      <w:proofErr w:type="spellEnd"/>
      <w:r w:rsidR="00160ABF">
        <w:rPr>
          <w:rStyle w:val="FootnoteReference"/>
        </w:rPr>
        <w:footnoteReference w:id="8"/>
      </w:r>
      <w:r w:rsidR="00EF3490">
        <w:t xml:space="preserve"> </w:t>
      </w:r>
      <w:r w:rsidR="003526AD">
        <w:t>–</w:t>
      </w:r>
      <w:r w:rsidR="00EF3490">
        <w:t xml:space="preserve"> </w:t>
      </w:r>
      <w:r w:rsidR="003526AD">
        <w:t>s</w:t>
      </w:r>
      <w:r w:rsidR="00F74557">
        <w:t>ensitive to his inherent dignity</w:t>
      </w:r>
      <w:r w:rsidR="003526AD">
        <w:t xml:space="preserve"> </w:t>
      </w:r>
      <w:r w:rsidR="00F74557">
        <w:t xml:space="preserve">as a human being </w:t>
      </w:r>
      <w:r w:rsidR="003526AD">
        <w:t>and resistant to unfairness, especially politically inspi</w:t>
      </w:r>
      <w:r w:rsidR="00F74557">
        <w:t>red prejudice and ostracis</w:t>
      </w:r>
      <w:r w:rsidR="009A5C84">
        <w:t>m</w:t>
      </w:r>
      <w:r w:rsidR="00F74557">
        <w:t>.</w:t>
      </w:r>
    </w:p>
    <w:p w:rsidR="00EF3490" w:rsidRDefault="00F74557" w:rsidP="00057C62">
      <w:pPr>
        <w:pStyle w:val="ListParagraph"/>
        <w:numPr>
          <w:ilvl w:val="0"/>
          <w:numId w:val="4"/>
        </w:numPr>
        <w:jc w:val="both"/>
      </w:pPr>
      <w:r>
        <w:t>E</w:t>
      </w:r>
      <w:r w:rsidR="003526AD">
        <w:t xml:space="preserve">xamine the </w:t>
      </w:r>
      <w:r>
        <w:t xml:space="preserve">potential </w:t>
      </w:r>
      <w:r w:rsidR="003526AD">
        <w:t>role of business interests in corrupting politics so that even as a bi-product of that effort to extract commercial advantages by appealing to the Adam nature of politicians, individuals’ recognized right to not to be discriminated becomes a bargain between</w:t>
      </w:r>
      <w:r w:rsidR="00697312">
        <w:t>,</w:t>
      </w:r>
      <w:r w:rsidR="003526AD">
        <w:t xml:space="preserve"> on the one hand</w:t>
      </w:r>
      <w:r w:rsidR="00697312">
        <w:t>,</w:t>
      </w:r>
      <w:r w:rsidR="003526AD">
        <w:t xml:space="preserve"> the politician’s Adam nature and the </w:t>
      </w:r>
      <w:r w:rsidR="00160ABF">
        <w:t>Tempter</w:t>
      </w:r>
      <w:r w:rsidR="00697312">
        <w:t xml:space="preserve"> business interest (t</w:t>
      </w:r>
      <w:r w:rsidR="003526AD">
        <w:t xml:space="preserve">he thick end of the wedge); and on the other, between the </w:t>
      </w:r>
      <w:r w:rsidR="00367AB3">
        <w:t xml:space="preserve">omniscient </w:t>
      </w:r>
      <w:proofErr w:type="spellStart"/>
      <w:r w:rsidR="00367AB3">
        <w:t>Biko</w:t>
      </w:r>
      <w:proofErr w:type="spellEnd"/>
      <w:r w:rsidR="00367AB3">
        <w:t xml:space="preserve"> nature of the individual that will not accept unfair corruption engineered discrimination.</w:t>
      </w:r>
    </w:p>
    <w:p w:rsidR="00EF3490" w:rsidRDefault="00F74557" w:rsidP="00EF3490">
      <w:pPr>
        <w:pStyle w:val="ListParagraph"/>
        <w:numPr>
          <w:ilvl w:val="0"/>
          <w:numId w:val="4"/>
        </w:numPr>
        <w:jc w:val="both"/>
      </w:pPr>
      <w:r>
        <w:t>Acknowledge</w:t>
      </w:r>
      <w:r w:rsidR="00EF3490">
        <w:t xml:space="preserve"> the power of </w:t>
      </w:r>
      <w:r w:rsidR="00E6619F">
        <w:t xml:space="preserve">the </w:t>
      </w:r>
      <w:r>
        <w:t>Adam</w:t>
      </w:r>
      <w:r w:rsidR="00EF3490">
        <w:t xml:space="preserve"> nature</w:t>
      </w:r>
      <w:r w:rsidR="003D4E5D">
        <w:t xml:space="preserve"> that is inherent in </w:t>
      </w:r>
      <w:proofErr w:type="gramStart"/>
      <w:r w:rsidR="003D4E5D">
        <w:t>humans,</w:t>
      </w:r>
      <w:proofErr w:type="gramEnd"/>
      <w:r w:rsidR="00EF3490">
        <w:t xml:space="preserve"> and of ignorance in particular </w:t>
      </w:r>
      <w:r>
        <w:t xml:space="preserve">to distort spaces of individual freedoms and rights </w:t>
      </w:r>
      <w:r w:rsidR="00EF3490">
        <w:t xml:space="preserve">and </w:t>
      </w:r>
      <w:r>
        <w:t>pedagogically campaign to</w:t>
      </w:r>
      <w:r w:rsidR="00EF3490">
        <w:t xml:space="preserve"> re-</w:t>
      </w:r>
      <w:proofErr w:type="spellStart"/>
      <w:r w:rsidR="00EF3490">
        <w:t>culturalise</w:t>
      </w:r>
      <w:proofErr w:type="spellEnd"/>
      <w:r w:rsidR="00EF3490">
        <w:t xml:space="preserve"> business, politics, and society in general regarding “the other side” of human nature</w:t>
      </w:r>
      <w:r>
        <w:t xml:space="preserve"> – the </w:t>
      </w:r>
      <w:proofErr w:type="spellStart"/>
      <w:r>
        <w:t>Biko</w:t>
      </w:r>
      <w:proofErr w:type="spellEnd"/>
      <w:r>
        <w:t xml:space="preserve"> nature.</w:t>
      </w:r>
      <w:r w:rsidR="001405CF">
        <w:rPr>
          <w:rStyle w:val="FootnoteReference"/>
        </w:rPr>
        <w:footnoteReference w:id="9"/>
      </w:r>
    </w:p>
    <w:p w:rsidR="00E6619F" w:rsidRDefault="00E6619F" w:rsidP="00EF3490">
      <w:pPr>
        <w:pStyle w:val="ListParagraph"/>
        <w:numPr>
          <w:ilvl w:val="0"/>
          <w:numId w:val="4"/>
        </w:numPr>
        <w:jc w:val="both"/>
      </w:pPr>
      <w:r>
        <w:t xml:space="preserve">Only by reconciling the </w:t>
      </w:r>
      <w:proofErr w:type="spellStart"/>
      <w:r>
        <w:t>Biko</w:t>
      </w:r>
      <w:proofErr w:type="spellEnd"/>
      <w:r>
        <w:t xml:space="preserve"> and the Adam natures inherent in us through pedagogy can the hope be sustained of combating political party corruption fuelled discrimination of individuals contrary to the object and purpose of the Durban Declaration </w:t>
      </w:r>
      <w:r w:rsidR="003D4E5D">
        <w:t>(2001).</w:t>
      </w:r>
    </w:p>
    <w:p w:rsidR="00F74557" w:rsidRDefault="00F74557" w:rsidP="00F74557">
      <w:pPr>
        <w:ind w:left="360"/>
        <w:jc w:val="center"/>
      </w:pPr>
      <w:r>
        <w:t>****</w:t>
      </w:r>
    </w:p>
    <w:p w:rsidR="00047E7D" w:rsidRDefault="00047E7D" w:rsidP="00047E7D">
      <w:pPr>
        <w:jc w:val="both"/>
      </w:pPr>
    </w:p>
    <w:sectPr w:rsidR="00047E7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2BD" w:rsidRDefault="00CD52BD" w:rsidP="00024FCE">
      <w:pPr>
        <w:spacing w:after="0" w:line="240" w:lineRule="auto"/>
      </w:pPr>
      <w:r>
        <w:separator/>
      </w:r>
    </w:p>
  </w:endnote>
  <w:endnote w:type="continuationSeparator" w:id="0">
    <w:p w:rsidR="00CD52BD" w:rsidRDefault="00CD52BD" w:rsidP="00024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2BD" w:rsidRDefault="00CD52BD" w:rsidP="00024FCE">
      <w:pPr>
        <w:spacing w:after="0" w:line="240" w:lineRule="auto"/>
      </w:pPr>
      <w:r>
        <w:separator/>
      </w:r>
    </w:p>
  </w:footnote>
  <w:footnote w:type="continuationSeparator" w:id="0">
    <w:p w:rsidR="00CD52BD" w:rsidRDefault="00CD52BD" w:rsidP="00024FCE">
      <w:pPr>
        <w:spacing w:after="0" w:line="240" w:lineRule="auto"/>
      </w:pPr>
      <w:r>
        <w:continuationSeparator/>
      </w:r>
    </w:p>
  </w:footnote>
  <w:footnote w:id="1">
    <w:p w:rsidR="00CD52BD" w:rsidRDefault="00CD52BD">
      <w:pPr>
        <w:pStyle w:val="FootnoteText"/>
      </w:pPr>
      <w:r>
        <w:rPr>
          <w:rStyle w:val="FootnoteReference"/>
        </w:rPr>
        <w:footnoteRef/>
      </w:r>
      <w:r>
        <w:t xml:space="preserve"> Figure 1 below illustrates of some of these experiences.</w:t>
      </w:r>
    </w:p>
  </w:footnote>
  <w:footnote w:id="2">
    <w:p w:rsidR="00CD52BD" w:rsidRDefault="00CD52BD" w:rsidP="00E6619F">
      <w:pPr>
        <w:pStyle w:val="FootnoteText"/>
      </w:pPr>
      <w:r>
        <w:rPr>
          <w:rStyle w:val="FootnoteReference"/>
        </w:rPr>
        <w:footnoteRef/>
      </w:r>
      <w:r>
        <w:t xml:space="preserve"> See also Becker, L.C. “Three types of Rights”, 13 Georgia Law Review p. 1197, 1198.</w:t>
      </w:r>
    </w:p>
  </w:footnote>
  <w:footnote w:id="3">
    <w:p w:rsidR="00CD52BD" w:rsidRDefault="00CD52BD">
      <w:pPr>
        <w:pStyle w:val="FootnoteText"/>
      </w:pPr>
      <w:r>
        <w:rPr>
          <w:rStyle w:val="FootnoteReference"/>
        </w:rPr>
        <w:footnoteRef/>
      </w:r>
      <w:r>
        <w:t xml:space="preserve"> </w:t>
      </w:r>
      <w:proofErr w:type="gramStart"/>
      <w:r>
        <w:t xml:space="preserve">(1999) </w:t>
      </w:r>
      <w:r w:rsidRPr="00047E7D">
        <w:rPr>
          <w:i/>
        </w:rPr>
        <w:t>All too human</w:t>
      </w:r>
      <w:r>
        <w:t>, Little, Brown and</w:t>
      </w:r>
      <w:r w:rsidR="00255A35">
        <w:t xml:space="preserve"> Company, Boston p.4.</w:t>
      </w:r>
      <w:proofErr w:type="gramEnd"/>
      <w:r w:rsidR="00255A35">
        <w:t xml:space="preserve"> “I’m still</w:t>
      </w:r>
      <w:r>
        <w:t xml:space="preserve"> mystified by the Clinton paradox: How could a president so intelligent, so compassionate, </w:t>
      </w:r>
      <w:proofErr w:type="gramStart"/>
      <w:r>
        <w:t>so</w:t>
      </w:r>
      <w:proofErr w:type="gramEnd"/>
      <w:r>
        <w:t xml:space="preserve"> public spirited, and so conscious of his place in history act in such a stupid, selfish, and self-destructive manner?”</w:t>
      </w:r>
    </w:p>
  </w:footnote>
  <w:footnote w:id="4">
    <w:p w:rsidR="00CD52BD" w:rsidRDefault="00CD52BD">
      <w:pPr>
        <w:pStyle w:val="FootnoteText"/>
      </w:pPr>
      <w:r>
        <w:rPr>
          <w:rStyle w:val="FootnoteReference"/>
        </w:rPr>
        <w:footnoteRef/>
      </w:r>
      <w:r>
        <w:t xml:space="preserve"> See for instance Article 25, ICCPR (1966)</w:t>
      </w:r>
    </w:p>
  </w:footnote>
  <w:footnote w:id="5">
    <w:p w:rsidR="00CD52BD" w:rsidRDefault="00CD52BD">
      <w:pPr>
        <w:pStyle w:val="FootnoteText"/>
      </w:pPr>
      <w:r>
        <w:rPr>
          <w:rStyle w:val="FootnoteReference"/>
        </w:rPr>
        <w:footnoteRef/>
      </w:r>
      <w:r>
        <w:t xml:space="preserve"> See also </w:t>
      </w:r>
      <w:proofErr w:type="spellStart"/>
      <w:r>
        <w:t>Haralambos</w:t>
      </w:r>
      <w:proofErr w:type="spellEnd"/>
      <w:r>
        <w:t xml:space="preserve"> and Holborn (7</w:t>
      </w:r>
      <w:r w:rsidRPr="005636BD">
        <w:rPr>
          <w:vertAlign w:val="superscript"/>
        </w:rPr>
        <w:t>th</w:t>
      </w:r>
      <w:r>
        <w:t xml:space="preserve"> ed. 2008) </w:t>
      </w:r>
      <w:r w:rsidRPr="00047E7D">
        <w:rPr>
          <w:i/>
        </w:rPr>
        <w:t>Sociology: Themes and Perspectives</w:t>
      </w:r>
      <w:r>
        <w:t>, Harper Collins Publishers, London, p.520</w:t>
      </w:r>
    </w:p>
  </w:footnote>
  <w:footnote w:id="6">
    <w:p w:rsidR="00CD52BD" w:rsidRDefault="00CD52BD">
      <w:pPr>
        <w:pStyle w:val="FootnoteText"/>
      </w:pPr>
      <w:r>
        <w:rPr>
          <w:rStyle w:val="FootnoteReference"/>
        </w:rPr>
        <w:footnoteRef/>
      </w:r>
      <w:r>
        <w:t xml:space="preserve"> See also The Telegraph: “</w:t>
      </w:r>
      <w:r w:rsidRPr="001405CF">
        <w:rPr>
          <w:rFonts w:eastAsia="Times New Roman" w:cstheme="minorHAnsi"/>
          <w:kern w:val="36"/>
          <w:lang w:val="en" w:eastAsia="en-GB"/>
        </w:rPr>
        <w:t>In praise of political insults and memorable rudeness</w:t>
      </w:r>
      <w:r>
        <w:rPr>
          <w:rFonts w:eastAsia="Times New Roman" w:cstheme="minorHAnsi"/>
          <w:kern w:val="36"/>
          <w:lang w:val="en" w:eastAsia="en-GB"/>
        </w:rPr>
        <w:t xml:space="preserve">”, </w:t>
      </w:r>
      <w:r w:rsidRPr="001405CF">
        <w:rPr>
          <w:rFonts w:eastAsia="Times New Roman" w:cstheme="minorHAnsi"/>
          <w:kern w:val="36"/>
          <w:lang w:val="en" w:eastAsia="en-GB"/>
        </w:rPr>
        <w:t>http://www.telegraph.co.uk/news/politics/7864333/In-praise-of-political-insults-and-memorable-rudeness.html</w:t>
      </w:r>
      <w:r>
        <w:rPr>
          <w:rFonts w:eastAsia="Times New Roman" w:cstheme="minorHAnsi"/>
          <w:kern w:val="36"/>
          <w:lang w:val="en" w:eastAsia="en-GB"/>
        </w:rPr>
        <w:t xml:space="preserve"> (visited 02 October 2012)</w:t>
      </w:r>
    </w:p>
  </w:footnote>
  <w:footnote w:id="7">
    <w:p w:rsidR="00CD52BD" w:rsidRPr="001405CF" w:rsidRDefault="00CD52BD">
      <w:pPr>
        <w:pStyle w:val="FootnoteText"/>
        <w:rPr>
          <w:rFonts w:cstheme="minorHAnsi"/>
          <w:i/>
        </w:rPr>
      </w:pPr>
      <w:r>
        <w:rPr>
          <w:rStyle w:val="FootnoteReference"/>
        </w:rPr>
        <w:footnoteRef/>
      </w:r>
      <w:r>
        <w:t xml:space="preserve"> See also UN website: </w:t>
      </w:r>
      <w:r w:rsidRPr="00047E7D">
        <w:rPr>
          <w:rStyle w:val="HTMLCite"/>
          <w:rFonts w:cstheme="minorHAnsi"/>
          <w:i w:val="0"/>
          <w:iCs w:val="0"/>
        </w:rPr>
        <w:t>www.un.org/WCAR/</w:t>
      </w:r>
      <w:r w:rsidRPr="00047E7D">
        <w:rPr>
          <w:rStyle w:val="HTMLCite"/>
          <w:rFonts w:cstheme="minorHAnsi"/>
          <w:b/>
          <w:bCs/>
          <w:i w:val="0"/>
          <w:iCs w:val="0"/>
        </w:rPr>
        <w:t>durban</w:t>
      </w:r>
      <w:r w:rsidRPr="00047E7D">
        <w:rPr>
          <w:rStyle w:val="HTMLCite"/>
          <w:rFonts w:cstheme="minorHAnsi"/>
          <w:i w:val="0"/>
          <w:iCs w:val="0"/>
        </w:rPr>
        <w:t>.pdf</w:t>
      </w:r>
      <w:r>
        <w:rPr>
          <w:rStyle w:val="HTMLCite"/>
          <w:rFonts w:cstheme="minorHAnsi"/>
          <w:i w:val="0"/>
        </w:rPr>
        <w:t xml:space="preserve"> (visited 02 October 2012)</w:t>
      </w:r>
    </w:p>
  </w:footnote>
  <w:footnote w:id="8">
    <w:p w:rsidR="00CD52BD" w:rsidRDefault="00CD52BD">
      <w:pPr>
        <w:pStyle w:val="FootnoteText"/>
      </w:pPr>
      <w:r>
        <w:rPr>
          <w:rStyle w:val="FootnoteReference"/>
        </w:rPr>
        <w:footnoteRef/>
      </w:r>
      <w:r>
        <w:t xml:space="preserve"> Steve </w:t>
      </w:r>
      <w:proofErr w:type="spellStart"/>
      <w:r>
        <w:t>Biko</w:t>
      </w:r>
      <w:proofErr w:type="spellEnd"/>
      <w:r>
        <w:t>, anti-apartheid activist, South Africa. He was assassinated on 12 September 1977.</w:t>
      </w:r>
    </w:p>
  </w:footnote>
  <w:footnote w:id="9">
    <w:p w:rsidR="00CD52BD" w:rsidRDefault="00CD52BD">
      <w:pPr>
        <w:pStyle w:val="FootnoteText"/>
      </w:pPr>
      <w:r>
        <w:rPr>
          <w:rStyle w:val="FootnoteReference"/>
        </w:rPr>
        <w:footnoteRef/>
      </w:r>
      <w:r>
        <w:t xml:space="preserve"> Discussion behavioural theory of motivation, see also Atkinson, R. et al. (10</w:t>
      </w:r>
      <w:r w:rsidRPr="00047E7D">
        <w:rPr>
          <w:vertAlign w:val="superscript"/>
        </w:rPr>
        <w:t>th</w:t>
      </w:r>
      <w:r>
        <w:t xml:space="preserve"> ed. 1990) </w:t>
      </w:r>
      <w:r w:rsidRPr="00047E7D">
        <w:rPr>
          <w:i/>
        </w:rPr>
        <w:t>Introduction to Psychology</w:t>
      </w:r>
      <w:r w:rsidR="00255A35">
        <w:t>, Harcourt Brace J</w:t>
      </w:r>
      <w:r>
        <w:t>ovanovich, London, 524.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77CD8"/>
    <w:multiLevelType w:val="hybridMultilevel"/>
    <w:tmpl w:val="45EA8D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3651C9"/>
    <w:multiLevelType w:val="hybridMultilevel"/>
    <w:tmpl w:val="B00E90A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D4C5FAD"/>
    <w:multiLevelType w:val="hybridMultilevel"/>
    <w:tmpl w:val="9948E1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65F77D4"/>
    <w:multiLevelType w:val="hybridMultilevel"/>
    <w:tmpl w:val="AF0AAE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FCE"/>
    <w:rsid w:val="00024FCE"/>
    <w:rsid w:val="00047E7D"/>
    <w:rsid w:val="00057C62"/>
    <w:rsid w:val="0012503C"/>
    <w:rsid w:val="001405CF"/>
    <w:rsid w:val="00160ABF"/>
    <w:rsid w:val="00255A35"/>
    <w:rsid w:val="003526AD"/>
    <w:rsid w:val="00367AB3"/>
    <w:rsid w:val="003A0836"/>
    <w:rsid w:val="003D4E5D"/>
    <w:rsid w:val="004C52D8"/>
    <w:rsid w:val="004E551E"/>
    <w:rsid w:val="005636BD"/>
    <w:rsid w:val="00697312"/>
    <w:rsid w:val="0073363B"/>
    <w:rsid w:val="007F4B68"/>
    <w:rsid w:val="009A5C84"/>
    <w:rsid w:val="00CD52BD"/>
    <w:rsid w:val="00CE6FB0"/>
    <w:rsid w:val="00E152CF"/>
    <w:rsid w:val="00E6619F"/>
    <w:rsid w:val="00EF3490"/>
    <w:rsid w:val="00F078BA"/>
    <w:rsid w:val="00F74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FCE"/>
    <w:pPr>
      <w:ind w:left="720"/>
      <w:contextualSpacing/>
    </w:pPr>
  </w:style>
  <w:style w:type="paragraph" w:styleId="FootnoteText">
    <w:name w:val="footnote text"/>
    <w:basedOn w:val="Normal"/>
    <w:link w:val="FootnoteTextChar"/>
    <w:uiPriority w:val="99"/>
    <w:semiHidden/>
    <w:unhideWhenUsed/>
    <w:rsid w:val="00024F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4FCE"/>
    <w:rPr>
      <w:sz w:val="20"/>
      <w:szCs w:val="20"/>
    </w:rPr>
  </w:style>
  <w:style w:type="character" w:styleId="FootnoteReference">
    <w:name w:val="footnote reference"/>
    <w:basedOn w:val="DefaultParagraphFont"/>
    <w:uiPriority w:val="99"/>
    <w:semiHidden/>
    <w:unhideWhenUsed/>
    <w:rsid w:val="00024FCE"/>
    <w:rPr>
      <w:vertAlign w:val="superscript"/>
    </w:rPr>
  </w:style>
  <w:style w:type="character" w:styleId="Hyperlink">
    <w:name w:val="Hyperlink"/>
    <w:basedOn w:val="DefaultParagraphFont"/>
    <w:uiPriority w:val="99"/>
    <w:unhideWhenUsed/>
    <w:rsid w:val="001405CF"/>
    <w:rPr>
      <w:color w:val="0000FF" w:themeColor="hyperlink"/>
      <w:u w:val="single"/>
    </w:rPr>
  </w:style>
  <w:style w:type="character" w:styleId="HTMLCite">
    <w:name w:val="HTML Cite"/>
    <w:basedOn w:val="DefaultParagraphFont"/>
    <w:uiPriority w:val="99"/>
    <w:semiHidden/>
    <w:unhideWhenUsed/>
    <w:rsid w:val="001405CF"/>
    <w:rPr>
      <w:i/>
      <w:iCs/>
    </w:rPr>
  </w:style>
  <w:style w:type="paragraph" w:styleId="BalloonText">
    <w:name w:val="Balloon Text"/>
    <w:basedOn w:val="Normal"/>
    <w:link w:val="BalloonTextChar"/>
    <w:uiPriority w:val="99"/>
    <w:semiHidden/>
    <w:unhideWhenUsed/>
    <w:rsid w:val="00125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0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FCE"/>
    <w:pPr>
      <w:ind w:left="720"/>
      <w:contextualSpacing/>
    </w:pPr>
  </w:style>
  <w:style w:type="paragraph" w:styleId="FootnoteText">
    <w:name w:val="footnote text"/>
    <w:basedOn w:val="Normal"/>
    <w:link w:val="FootnoteTextChar"/>
    <w:uiPriority w:val="99"/>
    <w:semiHidden/>
    <w:unhideWhenUsed/>
    <w:rsid w:val="00024F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4FCE"/>
    <w:rPr>
      <w:sz w:val="20"/>
      <w:szCs w:val="20"/>
    </w:rPr>
  </w:style>
  <w:style w:type="character" w:styleId="FootnoteReference">
    <w:name w:val="footnote reference"/>
    <w:basedOn w:val="DefaultParagraphFont"/>
    <w:uiPriority w:val="99"/>
    <w:semiHidden/>
    <w:unhideWhenUsed/>
    <w:rsid w:val="00024FCE"/>
    <w:rPr>
      <w:vertAlign w:val="superscript"/>
    </w:rPr>
  </w:style>
  <w:style w:type="character" w:styleId="Hyperlink">
    <w:name w:val="Hyperlink"/>
    <w:basedOn w:val="DefaultParagraphFont"/>
    <w:uiPriority w:val="99"/>
    <w:unhideWhenUsed/>
    <w:rsid w:val="001405CF"/>
    <w:rPr>
      <w:color w:val="0000FF" w:themeColor="hyperlink"/>
      <w:u w:val="single"/>
    </w:rPr>
  </w:style>
  <w:style w:type="character" w:styleId="HTMLCite">
    <w:name w:val="HTML Cite"/>
    <w:basedOn w:val="DefaultParagraphFont"/>
    <w:uiPriority w:val="99"/>
    <w:semiHidden/>
    <w:unhideWhenUsed/>
    <w:rsid w:val="001405CF"/>
    <w:rPr>
      <w:i/>
      <w:iCs/>
    </w:rPr>
  </w:style>
  <w:style w:type="paragraph" w:styleId="BalloonText">
    <w:name w:val="Balloon Text"/>
    <w:basedOn w:val="Normal"/>
    <w:link w:val="BalloonTextChar"/>
    <w:uiPriority w:val="99"/>
    <w:semiHidden/>
    <w:unhideWhenUsed/>
    <w:rsid w:val="00125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0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68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67F6FD-30FE-49EC-BF77-583D6B15774F}"/>
</file>

<file path=customXml/itemProps2.xml><?xml version="1.0" encoding="utf-8"?>
<ds:datastoreItem xmlns:ds="http://schemas.openxmlformats.org/officeDocument/2006/customXml" ds:itemID="{F8F4AF31-CC03-4EA5-ADF4-87D6BDFCBB3A}"/>
</file>

<file path=customXml/itemProps3.xml><?xml version="1.0" encoding="utf-8"?>
<ds:datastoreItem xmlns:ds="http://schemas.openxmlformats.org/officeDocument/2006/customXml" ds:itemID="{7E48C20F-D898-49A6-B22C-92B57424DB10}"/>
</file>

<file path=customXml/itemProps4.xml><?xml version="1.0" encoding="utf-8"?>
<ds:datastoreItem xmlns:ds="http://schemas.openxmlformats.org/officeDocument/2006/customXml" ds:itemID="{24EA0AB1-2D53-41D2-B68A-23EA35C919AA}"/>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Brunel University</Company>
  <LinksUpToDate>false</LinksUpToDate>
  <CharactersWithSpaces>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BuildUser</dc:creator>
  <cp:lastModifiedBy>Mactar NDOYE</cp:lastModifiedBy>
  <cp:revision>3</cp:revision>
  <dcterms:created xsi:type="dcterms:W3CDTF">2012-10-03T10:05:00Z</dcterms:created>
  <dcterms:modified xsi:type="dcterms:W3CDTF">2012-10-03T10:05:00Z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1013800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