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14D3B" w:rsidR="00A01190" w:rsidP="00C84A5D" w:rsidRDefault="00C84A5D" w14:paraId="3E54145F" w14:textId="372B22DC">
      <w:pPr>
        <w:pStyle w:val="Title"/>
        <w:rPr>
          <w:color w:val="4472C4" w:themeColor="accent1"/>
        </w:rPr>
      </w:pPr>
      <w:r w:rsidRPr="00014D3B">
        <w:rPr>
          <w:color w:val="4472C4" w:themeColor="accent1"/>
        </w:rPr>
        <w:t xml:space="preserve">Mapping entry points to the question of </w:t>
      </w:r>
      <w:r w:rsidRPr="00014D3B" w:rsidR="00D25B17">
        <w:rPr>
          <w:color w:val="4472C4" w:themeColor="accent1"/>
        </w:rPr>
        <w:t>racism</w:t>
      </w:r>
      <w:r w:rsidRPr="00014D3B">
        <w:rPr>
          <w:color w:val="4472C4" w:themeColor="accent1"/>
        </w:rPr>
        <w:t xml:space="preserve"> and technologies of border control </w:t>
      </w:r>
    </w:p>
    <w:p w:rsidRPr="00014D3B" w:rsidR="00C84A5D" w:rsidP="00C84A5D" w:rsidRDefault="00C84A5D" w14:paraId="1E39625F" w14:textId="77777777"/>
    <w:p w:rsidRPr="00014D3B" w:rsidR="0068314E" w:rsidP="00C84A5D" w:rsidRDefault="00C84A5D" w14:paraId="6F73692D" w14:textId="77777777">
      <w:pPr>
        <w:rPr>
          <w:color w:val="4472C4" w:themeColor="accent1"/>
          <w:sz w:val="28"/>
          <w:szCs w:val="28"/>
        </w:rPr>
      </w:pPr>
      <w:r w:rsidRPr="00014D3B">
        <w:rPr>
          <w:color w:val="4472C4" w:themeColor="accent1"/>
          <w:sz w:val="28"/>
          <w:szCs w:val="28"/>
        </w:rPr>
        <w:t>Amin Parsa</w:t>
      </w:r>
    </w:p>
    <w:p w:rsidRPr="00014D3B" w:rsidR="00C84A5D" w:rsidP="00C84A5D" w:rsidRDefault="00EB1A5A" w14:paraId="209A43EB" w14:textId="49C3968D">
      <w:pPr>
        <w:rPr>
          <w:color w:val="4472C4" w:themeColor="accent1"/>
          <w:sz w:val="20"/>
          <w:szCs w:val="20"/>
        </w:rPr>
      </w:pPr>
      <w:r w:rsidRPr="00014D3B">
        <w:rPr>
          <w:color w:val="4472C4" w:themeColor="accent1"/>
          <w:sz w:val="20"/>
          <w:szCs w:val="20"/>
        </w:rPr>
        <w:t>(Sociology of Law - Lund University)</w:t>
      </w:r>
    </w:p>
    <w:p w:rsidRPr="00014D3B" w:rsidR="00C84A5D" w:rsidRDefault="00C84A5D" w14:paraId="568D9498" w14:textId="77777777"/>
    <w:p w:rsidRPr="00014D3B" w:rsidR="00A01190" w:rsidRDefault="00BA7855" w14:paraId="664AF3E5" w14:textId="659B03D7">
      <w:r w:rsidRPr="00014D3B">
        <w:t>To the readers</w:t>
      </w:r>
      <w:r w:rsidRPr="00014D3B" w:rsidR="00613054">
        <w:t>:</w:t>
      </w:r>
      <w:r w:rsidRPr="00014D3B">
        <w:t xml:space="preserve"> </w:t>
      </w:r>
      <w:r w:rsidRPr="00014D3B" w:rsidR="00613054">
        <w:t>H</w:t>
      </w:r>
      <w:r w:rsidRPr="00014D3B" w:rsidR="00A01190">
        <w:t xml:space="preserve">ere is a </w:t>
      </w:r>
      <w:r w:rsidRPr="00014D3B" w:rsidR="00EA5A30">
        <w:t>much</w:t>
      </w:r>
      <w:r w:rsidRPr="00014D3B" w:rsidR="00A01190">
        <w:t xml:space="preserve"> </w:t>
      </w:r>
      <w:r w:rsidRPr="00014D3B" w:rsidR="00EA5A30">
        <w:t>delayed</w:t>
      </w:r>
      <w:r w:rsidRPr="00014D3B" w:rsidR="00A01190">
        <w:t xml:space="preserve"> and informal text</w:t>
      </w:r>
      <w:r w:rsidRPr="00014D3B" w:rsidR="00EA5A30">
        <w:t xml:space="preserve"> for our online workshop meeting</w:t>
      </w:r>
      <w:r w:rsidRPr="00014D3B" w:rsidR="00A01190">
        <w:t>. It reads as</w:t>
      </w:r>
      <w:r w:rsidRPr="00014D3B" w:rsidR="00D25B17">
        <w:t xml:space="preserve"> a</w:t>
      </w:r>
      <w:r w:rsidRPr="00014D3B" w:rsidR="00A01190">
        <w:t xml:space="preserve"> list of possible entry points rather than anything </w:t>
      </w:r>
      <w:r w:rsidRPr="00014D3B">
        <w:t xml:space="preserve">meaningful in </w:t>
      </w:r>
      <w:r w:rsidRPr="00014D3B" w:rsidR="00EA5A30">
        <w:t xml:space="preserve">and </w:t>
      </w:r>
      <w:r w:rsidRPr="00014D3B">
        <w:t xml:space="preserve">of itself. It is also quite thin without a comprehensive and detailed reading list and examples to support it. I am working on such a reading list and hopefully will share it when it is finished. For </w:t>
      </w:r>
      <w:r w:rsidRPr="00014D3B" w:rsidR="00700586">
        <w:t>now,</w:t>
      </w:r>
      <w:r w:rsidRPr="00014D3B">
        <w:t xml:space="preserve"> take this</w:t>
      </w:r>
      <w:r w:rsidRPr="00014D3B" w:rsidR="00EA5A30">
        <w:t xml:space="preserve"> submission in its particular form as </w:t>
      </w:r>
      <w:r w:rsidRPr="00014D3B">
        <w:t>organisation of thoughts</w:t>
      </w:r>
      <w:r w:rsidRPr="00014D3B" w:rsidR="00EA5A30">
        <w:t xml:space="preserve"> and ideas. R</w:t>
      </w:r>
      <w:r w:rsidRPr="00014D3B">
        <w:t>ead it</w:t>
      </w:r>
      <w:r w:rsidRPr="00014D3B" w:rsidR="00EA5A30">
        <w:t xml:space="preserve"> lightly and generously – especially when it comes to typo</w:t>
      </w:r>
      <w:r w:rsidRPr="00014D3B" w:rsidR="00D25B17">
        <w:t>s</w:t>
      </w:r>
      <w:r w:rsidRPr="00014D3B" w:rsidR="00EA5A30">
        <w:t xml:space="preserve"> and language errors.</w:t>
      </w:r>
    </w:p>
    <w:p w:rsidRPr="00014D3B" w:rsidR="00A01190" w:rsidRDefault="00A01190" w14:paraId="4F2CCAAD" w14:textId="58E23147">
      <w:pPr>
        <w:pBdr>
          <w:bottom w:val="single" w:color="auto" w:sz="6" w:space="1"/>
        </w:pBdr>
      </w:pPr>
    </w:p>
    <w:p w:rsidRPr="00014D3B" w:rsidR="00700586" w:rsidRDefault="00700586" w14:paraId="10FC7481" w14:textId="77777777"/>
    <w:p w:rsidRPr="00014D3B" w:rsidR="00647A83" w:rsidP="00014D3B" w:rsidRDefault="00E922DF" w14:paraId="4DC61AE0" w14:textId="525A20CD">
      <w:r w:rsidRPr="00014D3B">
        <w:t>The violation and exploitation of bodies in the context of technological control of border</w:t>
      </w:r>
      <w:r w:rsidRPr="00014D3B" w:rsidR="00144BBB">
        <w:t>s</w:t>
      </w:r>
      <w:r w:rsidRPr="00014D3B">
        <w:t xml:space="preserve"> </w:t>
      </w:r>
      <w:r w:rsidRPr="00014D3B" w:rsidR="00647A83">
        <w:t>is not a new phenomenon</w:t>
      </w:r>
      <w:r w:rsidRPr="00014D3B">
        <w:t>.</w:t>
      </w:r>
      <w:r w:rsidRPr="00014D3B" w:rsidR="00647A83">
        <w:t xml:space="preserve"> Nor the overwhelming raciali</w:t>
      </w:r>
      <w:r w:rsidRPr="00014D3B" w:rsidR="00D25B17">
        <w:t>s</w:t>
      </w:r>
      <w:r w:rsidRPr="00014D3B" w:rsidR="00647A83">
        <w:t>ed status of those bodies. Depending on what we consider as technology and how we conceptuali</w:t>
      </w:r>
      <w:r w:rsidR="00014D3B">
        <w:t>s</w:t>
      </w:r>
      <w:r w:rsidRPr="00014D3B" w:rsidR="00647A83">
        <w:t xml:space="preserve">e </w:t>
      </w:r>
      <w:r w:rsidRPr="00014D3B" w:rsidR="00144BBB">
        <w:t>the</w:t>
      </w:r>
      <w:r w:rsidRPr="00014D3B" w:rsidR="00647A83">
        <w:t xml:space="preserve"> </w:t>
      </w:r>
      <w:r w:rsidRPr="00014D3B" w:rsidR="00144BBB">
        <w:t>Nation-</w:t>
      </w:r>
      <w:r w:rsidRPr="00014D3B" w:rsidR="00647A83">
        <w:t xml:space="preserve">State, one can argue </w:t>
      </w:r>
      <w:r w:rsidR="00014D3B">
        <w:t xml:space="preserve">that </w:t>
      </w:r>
      <w:r w:rsidRPr="00014D3B" w:rsidR="00647A83">
        <w:t xml:space="preserve">laws of border control in themselves are racial technologies. Here an example can be the well documented case of </w:t>
      </w:r>
      <w:proofErr w:type="spellStart"/>
      <w:r w:rsidRPr="00014D3B" w:rsidR="00647A83">
        <w:rPr>
          <w:i/>
          <w:iCs/>
        </w:rPr>
        <w:t>Komagata</w:t>
      </w:r>
      <w:proofErr w:type="spellEnd"/>
      <w:r w:rsidRPr="00014D3B" w:rsidR="00647A83">
        <w:rPr>
          <w:i/>
          <w:iCs/>
        </w:rPr>
        <w:t xml:space="preserve"> Maru </w:t>
      </w:r>
      <w:r w:rsidRPr="00014D3B" w:rsidR="00647A83">
        <w:t xml:space="preserve">and the ‘creative’ use of legal instruments by the Canadian government as a means of re-routing and rejecting </w:t>
      </w:r>
      <w:r w:rsidRPr="00014D3B" w:rsidR="00144BBB">
        <w:t xml:space="preserve">the legitimate entry of </w:t>
      </w:r>
      <w:r w:rsidRPr="00014D3B" w:rsidR="00647A83">
        <w:t>Indian Sikhs to Vancouver</w:t>
      </w:r>
      <w:r w:rsidR="00014D3B">
        <w:t>.</w:t>
      </w:r>
    </w:p>
    <w:p w:rsidRPr="00014D3B" w:rsidR="00EA5A30" w:rsidRDefault="00EA5A30" w14:paraId="75244B0A" w14:textId="77777777"/>
    <w:p w:rsidRPr="00014D3B" w:rsidR="00144BBB" w:rsidP="00144BBB" w:rsidRDefault="00144BBB" w14:paraId="375B487F" w14:textId="0AFD49DE">
      <w:r w:rsidRPr="00014D3B">
        <w:t>But d</w:t>
      </w:r>
      <w:r w:rsidRPr="00014D3B" w:rsidR="00B84061">
        <w:t xml:space="preserve">istancing from an expansive use of the term technology and </w:t>
      </w:r>
      <w:r w:rsidRPr="00014D3B">
        <w:t xml:space="preserve">temporarily </w:t>
      </w:r>
      <w:r w:rsidRPr="00014D3B" w:rsidR="00B84061">
        <w:t xml:space="preserve">taking the right of </w:t>
      </w:r>
      <w:r w:rsidRPr="00014D3B">
        <w:t>a</w:t>
      </w:r>
      <w:r w:rsidRPr="00014D3B" w:rsidR="00B84061">
        <w:t xml:space="preserve"> sovereign over </w:t>
      </w:r>
      <w:r w:rsidRPr="00014D3B">
        <w:t>its</w:t>
      </w:r>
      <w:r w:rsidRPr="00014D3B" w:rsidR="00B84061">
        <w:t xml:space="preserve"> border</w:t>
      </w:r>
      <w:r w:rsidRPr="00014D3B">
        <w:t xml:space="preserve">s </w:t>
      </w:r>
      <w:r w:rsidRPr="00014D3B" w:rsidR="00EA5A30">
        <w:t>with a grain of salt</w:t>
      </w:r>
      <w:r w:rsidRPr="00014D3B">
        <w:t xml:space="preserve">, </w:t>
      </w:r>
      <w:r w:rsidRPr="00014D3B" w:rsidR="00B84061">
        <w:t>then</w:t>
      </w:r>
      <w:r w:rsidRPr="00014D3B">
        <w:t xml:space="preserve"> we can at least have two ways of organising </w:t>
      </w:r>
      <w:r w:rsidRPr="00014D3B" w:rsidR="00B84061">
        <w:t>an overview of</w:t>
      </w:r>
      <w:r w:rsidRPr="00014D3B">
        <w:t xml:space="preserve"> the</w:t>
      </w:r>
      <w:r w:rsidRPr="00014D3B" w:rsidR="00B84061">
        <w:t xml:space="preserve"> racial</w:t>
      </w:r>
      <w:r w:rsidRPr="00014D3B">
        <w:t>ised</w:t>
      </w:r>
      <w:r w:rsidRPr="00014D3B" w:rsidR="00B84061">
        <w:t xml:space="preserve"> </w:t>
      </w:r>
      <w:r w:rsidRPr="00014D3B">
        <w:t>ground</w:t>
      </w:r>
      <w:r w:rsidRPr="00014D3B" w:rsidR="00B84061">
        <w:t xml:space="preserve"> upon which border technologies are </w:t>
      </w:r>
      <w:r w:rsidRPr="00014D3B" w:rsidR="00EA5A30">
        <w:t>developed and deployed</w:t>
      </w:r>
      <w:r w:rsidRPr="00014D3B">
        <w:t>.</w:t>
      </w:r>
    </w:p>
    <w:p w:rsidRPr="00014D3B" w:rsidR="00144BBB" w:rsidRDefault="00144BBB" w14:paraId="43AA515F" w14:textId="77777777"/>
    <w:p w:rsidRPr="00014D3B" w:rsidR="000F3B37" w:rsidRDefault="00B84061" w14:paraId="1C8F848E" w14:textId="70DFE154">
      <w:r w:rsidRPr="00014D3B">
        <w:t>First would be organizing</w:t>
      </w:r>
      <w:r w:rsidRPr="00014D3B" w:rsidR="00144BBB">
        <w:t xml:space="preserve"> these technologies</w:t>
      </w:r>
      <w:r w:rsidRPr="00014D3B">
        <w:t xml:space="preserve"> </w:t>
      </w:r>
      <w:r w:rsidRPr="00014D3B" w:rsidR="000F3B37">
        <w:t xml:space="preserve">according to </w:t>
      </w:r>
      <w:r w:rsidRPr="00014D3B" w:rsidR="00EA5A30">
        <w:t xml:space="preserve">the </w:t>
      </w:r>
      <w:r w:rsidRPr="00014D3B" w:rsidR="000F3B37">
        <w:t>different</w:t>
      </w:r>
      <w:r w:rsidRPr="00014D3B" w:rsidR="00EA5A30">
        <w:t xml:space="preserve"> sites,</w:t>
      </w:r>
      <w:r w:rsidRPr="00014D3B" w:rsidR="000F3B37">
        <w:t xml:space="preserve"> in which </w:t>
      </w:r>
      <w:r w:rsidRPr="00014D3B" w:rsidR="00144BBB">
        <w:t>they are</w:t>
      </w:r>
      <w:r w:rsidRPr="00014D3B" w:rsidR="000F3B37">
        <w:t xml:space="preserve"> deployed:</w:t>
      </w:r>
    </w:p>
    <w:p w:rsidRPr="00014D3B" w:rsidR="000F3B37" w:rsidRDefault="000F3B37" w14:paraId="61DFA70C" w14:textId="149CFBC3"/>
    <w:p w:rsidRPr="00014D3B" w:rsidR="000F3B37" w:rsidP="000F3B37" w:rsidRDefault="000F3B37" w14:paraId="657329DA" w14:textId="29C6FFF6">
      <w:pPr>
        <w:pStyle w:val="ListParagraph"/>
        <w:numPr>
          <w:ilvl w:val="0"/>
          <w:numId w:val="3"/>
        </w:numPr>
      </w:pPr>
      <w:r w:rsidRPr="00014D3B">
        <w:t>Technologies of border production (Passporting, visa system, barbed wiring etc</w:t>
      </w:r>
      <w:r w:rsidRPr="00014D3B" w:rsidR="00B27BD3">
        <w:t>.)</w:t>
      </w:r>
    </w:p>
    <w:p w:rsidRPr="00014D3B" w:rsidR="000F3B37" w:rsidP="000F3B37" w:rsidRDefault="000F3B37" w14:paraId="03096DDF" w14:textId="7DAA9DD9">
      <w:pPr>
        <w:pStyle w:val="ListParagraph"/>
        <w:numPr>
          <w:ilvl w:val="0"/>
          <w:numId w:val="3"/>
        </w:numPr>
      </w:pPr>
      <w:r w:rsidRPr="00014D3B">
        <w:t>Technologies of tracing, surveillance and apprehension of people on the move (Here Eurosur as</w:t>
      </w:r>
      <w:r w:rsidRPr="00014D3B" w:rsidR="005C607B">
        <w:t xml:space="preserve"> </w:t>
      </w:r>
      <w:r w:rsidRPr="00014D3B">
        <w:t xml:space="preserve">the system of </w:t>
      </w:r>
      <w:r w:rsidRPr="00014D3B" w:rsidR="005C607B">
        <w:t>system</w:t>
      </w:r>
      <w:r w:rsidRPr="00014D3B" w:rsidR="00EA5A30">
        <w:t xml:space="preserve"> used</w:t>
      </w:r>
      <w:r w:rsidRPr="00014D3B" w:rsidR="005C607B">
        <w:t xml:space="preserve"> by Frontex is an example</w:t>
      </w:r>
      <w:r w:rsidRPr="00014D3B">
        <w:t>: the coming together of various surveillance, communication and intelligence technologies, with algorithmic decision making and an ambition for automation and pre-emption)</w:t>
      </w:r>
    </w:p>
    <w:p w:rsidRPr="00014D3B" w:rsidR="00F7352D" w:rsidP="00B27BD3" w:rsidRDefault="000F3B37" w14:paraId="677877D6" w14:textId="5A87E144">
      <w:pPr>
        <w:pStyle w:val="ListParagraph"/>
        <w:numPr>
          <w:ilvl w:val="0"/>
          <w:numId w:val="3"/>
        </w:numPr>
      </w:pPr>
      <w:r w:rsidRPr="00014D3B">
        <w:t>Technologies of registering</w:t>
      </w:r>
      <w:r w:rsidRPr="00014D3B" w:rsidR="00F7352D">
        <w:t xml:space="preserve"> </w:t>
      </w:r>
      <w:r w:rsidR="00014D3B">
        <w:t xml:space="preserve">the </w:t>
      </w:r>
      <w:r w:rsidRPr="00014D3B" w:rsidR="00EA5A30">
        <w:t xml:space="preserve">moving population </w:t>
      </w:r>
      <w:r w:rsidRPr="00014D3B" w:rsidR="00F7352D">
        <w:t>(Biometric</w:t>
      </w:r>
      <w:r w:rsidRPr="00014D3B" w:rsidR="00EA5A30">
        <w:t xml:space="preserve"> and fingerprinting</w:t>
      </w:r>
      <w:r w:rsidRPr="00014D3B" w:rsidR="00F7352D">
        <w:t xml:space="preserve"> technologies</w:t>
      </w:r>
      <w:r w:rsidRPr="00014D3B" w:rsidR="007A2327">
        <w:t>,</w:t>
      </w:r>
      <w:r w:rsidRPr="00014D3B" w:rsidR="00F7352D">
        <w:t xml:space="preserve"> facial recognition technologies</w:t>
      </w:r>
      <w:r w:rsidRPr="00014D3B" w:rsidR="007A2327">
        <w:t xml:space="preserve"> etc</w:t>
      </w:r>
      <w:r w:rsidRPr="00014D3B" w:rsidR="00F7352D">
        <w:t xml:space="preserve">. These technologies are perhaps the most </w:t>
      </w:r>
      <w:r w:rsidRPr="00014D3B" w:rsidR="00B27BD3">
        <w:t>investigated</w:t>
      </w:r>
      <w:r w:rsidRPr="00014D3B" w:rsidR="00F7352D">
        <w:t xml:space="preserve"> ones</w:t>
      </w:r>
      <w:r w:rsidRPr="00014D3B" w:rsidR="00B27BD3">
        <w:t xml:space="preserve">. Not a surprise considering their applicability across all </w:t>
      </w:r>
      <w:r w:rsidRPr="00014D3B" w:rsidR="00EA5A30">
        <w:t xml:space="preserve">levels of </w:t>
      </w:r>
      <w:r w:rsidRPr="00014D3B" w:rsidR="00B27BD3">
        <w:t>border operations)</w:t>
      </w:r>
    </w:p>
    <w:p w:rsidRPr="00014D3B" w:rsidR="000F3B37" w:rsidP="000F3B37" w:rsidRDefault="00F7352D" w14:paraId="43A09926" w14:textId="1848235E">
      <w:pPr>
        <w:pStyle w:val="ListParagraph"/>
        <w:numPr>
          <w:ilvl w:val="0"/>
          <w:numId w:val="3"/>
        </w:numPr>
      </w:pPr>
      <w:r w:rsidRPr="00014D3B">
        <w:t>Technologies of credibility assessment (automated lie detecting technologies based on biological and physiological reaction</w:t>
      </w:r>
      <w:r w:rsidRPr="00014D3B" w:rsidR="007A2327">
        <w:t>s</w:t>
      </w:r>
      <w:r w:rsidRPr="00014D3B">
        <w:t xml:space="preserve"> of an interviewee, age assessment medical technologies, accent and language analysis technologies)</w:t>
      </w:r>
    </w:p>
    <w:p w:rsidRPr="00014D3B" w:rsidR="000F3B37" w:rsidP="007A2327" w:rsidRDefault="000F3B37" w14:paraId="28ECC8C6" w14:textId="418B88BA">
      <w:pPr>
        <w:pStyle w:val="ListParagraph"/>
        <w:numPr>
          <w:ilvl w:val="0"/>
          <w:numId w:val="3"/>
        </w:numPr>
      </w:pPr>
      <w:r w:rsidRPr="00014D3B">
        <w:t>Technologies of decision making</w:t>
      </w:r>
      <w:r w:rsidRPr="00014D3B" w:rsidR="00F7352D">
        <w:t xml:space="preserve"> (these technologies are growing in different fields regarding sentencing</w:t>
      </w:r>
      <w:r w:rsidRPr="00014D3B" w:rsidR="00EA5A30">
        <w:t xml:space="preserve"> and</w:t>
      </w:r>
      <w:r w:rsidRPr="00014D3B" w:rsidR="00F7352D">
        <w:t xml:space="preserve"> pre</w:t>
      </w:r>
      <w:r w:rsidRPr="00014D3B" w:rsidR="00EA5A30">
        <w:t>-</w:t>
      </w:r>
      <w:r w:rsidRPr="00014D3B" w:rsidR="00F7352D">
        <w:t>trail decision</w:t>
      </w:r>
      <w:r w:rsidRPr="00014D3B" w:rsidR="00EA5A30">
        <w:t xml:space="preserve"> making,</w:t>
      </w:r>
      <w:r w:rsidRPr="00014D3B" w:rsidR="00F7352D">
        <w:t xml:space="preserve"> but also in migration asylum </w:t>
      </w:r>
      <w:r w:rsidRPr="00014D3B" w:rsidR="00D71D13">
        <w:lastRenderedPageBreak/>
        <w:t>cases</w:t>
      </w:r>
      <w:r w:rsidRPr="00014D3B" w:rsidR="007A2327">
        <w:t xml:space="preserve">, one pioneering State here is </w:t>
      </w:r>
      <w:r w:rsidRPr="00014D3B" w:rsidR="00D71D13">
        <w:t>Canada</w:t>
      </w:r>
      <w:r w:rsidR="00014D3B">
        <w:t xml:space="preserve"> –</w:t>
      </w:r>
      <w:r w:rsidRPr="00014D3B" w:rsidR="00EA5A30">
        <w:t xml:space="preserve"> Sweden and German</w:t>
      </w:r>
      <w:r w:rsidR="00014D3B">
        <w:t>y</w:t>
      </w:r>
      <w:r w:rsidRPr="00014D3B" w:rsidR="00EA5A30">
        <w:t xml:space="preserve"> are coming up in this field too</w:t>
      </w:r>
      <w:r w:rsidRPr="00014D3B" w:rsidR="00D71D13">
        <w:t>)</w:t>
      </w:r>
    </w:p>
    <w:p w:rsidRPr="00014D3B" w:rsidR="000F3B37" w:rsidP="000F3B37" w:rsidRDefault="000F3B37" w14:paraId="46467E78" w14:textId="0E5F7E69">
      <w:pPr>
        <w:pStyle w:val="ListParagraph"/>
        <w:numPr>
          <w:ilvl w:val="0"/>
          <w:numId w:val="3"/>
        </w:numPr>
      </w:pPr>
      <w:r w:rsidRPr="00014D3B">
        <w:t>Technologies of management</w:t>
      </w:r>
      <w:r w:rsidRPr="00014D3B" w:rsidR="005C607B">
        <w:t xml:space="preserve"> of the</w:t>
      </w:r>
      <w:r w:rsidRPr="00014D3B">
        <w:t xml:space="preserve"> </w:t>
      </w:r>
      <w:r w:rsidRPr="00014D3B" w:rsidR="00D71D13">
        <w:t xml:space="preserve">regularized movement </w:t>
      </w:r>
      <w:r w:rsidRPr="00014D3B">
        <w:t xml:space="preserve">(Frequent </w:t>
      </w:r>
      <w:r w:rsidRPr="00014D3B" w:rsidR="007D72C0">
        <w:t>traveller</w:t>
      </w:r>
      <w:r w:rsidRPr="00014D3B">
        <w:t xml:space="preserve"> data registry, smart bordering and smart passports</w:t>
      </w:r>
      <w:r w:rsidRPr="00014D3B" w:rsidR="00D71D13">
        <w:t>)</w:t>
      </w:r>
    </w:p>
    <w:p w:rsidRPr="00014D3B" w:rsidR="00D71D13" w:rsidRDefault="00D71D13" w14:paraId="1F092B22" w14:textId="77777777"/>
    <w:p w:rsidRPr="00014D3B" w:rsidR="00B84061" w:rsidRDefault="007A2327" w14:paraId="48BC5108" w14:textId="0CFB7632">
      <w:r w:rsidRPr="00014D3B">
        <w:t>The next step is to study how these technologies are contributing to a</w:t>
      </w:r>
      <w:r w:rsidRPr="00014D3B" w:rsidR="00D71D13">
        <w:t xml:space="preserve"> raciali</w:t>
      </w:r>
      <w:r w:rsidR="00014D3B">
        <w:t>s</w:t>
      </w:r>
      <w:r w:rsidRPr="00014D3B" w:rsidR="00D71D13">
        <w:t xml:space="preserve">ed construction of </w:t>
      </w:r>
      <w:r w:rsidR="00014D3B">
        <w:t xml:space="preserve">mobility </w:t>
      </w:r>
      <w:r w:rsidRPr="00014D3B" w:rsidR="00014D3B">
        <w:rPr>
          <w:i/>
          <w:iCs/>
        </w:rPr>
        <w:t>a.k.a</w:t>
      </w:r>
      <w:r w:rsidR="00014D3B">
        <w:rPr>
          <w:i/>
          <w:iCs/>
        </w:rPr>
        <w:t>.</w:t>
      </w:r>
      <w:r w:rsidR="00014D3B">
        <w:t xml:space="preserve"> the </w:t>
      </w:r>
      <w:r w:rsidRPr="00014D3B" w:rsidR="00D71D13">
        <w:t>border regime.</w:t>
      </w:r>
      <w:r w:rsidRPr="00014D3B">
        <w:t xml:space="preserve"> But I want to scarp this </w:t>
      </w:r>
      <w:r w:rsidRPr="00014D3B" w:rsidR="00EA5A30">
        <w:t>organisation</w:t>
      </w:r>
      <w:r w:rsidRPr="00014D3B">
        <w:t xml:space="preserve"> already.</w:t>
      </w:r>
      <w:r w:rsidRPr="00014D3B" w:rsidR="00D71D13">
        <w:t xml:space="preserve"> </w:t>
      </w:r>
      <w:r w:rsidRPr="00014D3B" w:rsidR="007D72C0">
        <w:t xml:space="preserve">I do not prefer this organisation </w:t>
      </w:r>
      <w:r w:rsidRPr="00014D3B">
        <w:t>because</w:t>
      </w:r>
      <w:r w:rsidRPr="00014D3B" w:rsidR="007D72C0">
        <w:t xml:space="preserve"> it </w:t>
      </w:r>
      <w:r w:rsidRPr="00014D3B">
        <w:t>takes</w:t>
      </w:r>
      <w:r w:rsidRPr="00014D3B" w:rsidR="007D72C0">
        <w:t xml:space="preserve"> </w:t>
      </w:r>
      <w:r w:rsidRPr="00014D3B">
        <w:t>a particular</w:t>
      </w:r>
      <w:r w:rsidRPr="00014D3B" w:rsidR="007D72C0">
        <w:t xml:space="preserve"> conceptualisation of </w:t>
      </w:r>
      <w:r w:rsidRPr="00014D3B">
        <w:t xml:space="preserve">State, </w:t>
      </w:r>
      <w:r w:rsidRPr="00014D3B" w:rsidR="007D72C0">
        <w:t>travel and movement</w:t>
      </w:r>
      <w:r w:rsidRPr="00014D3B">
        <w:t xml:space="preserve"> as natural and its racialised underpinnings as </w:t>
      </w:r>
      <w:r w:rsidRPr="00014D3B" w:rsidR="00FB725D">
        <w:t>a</w:t>
      </w:r>
      <w:r w:rsidR="00DE7E6C">
        <w:t>n</w:t>
      </w:r>
      <w:r w:rsidRPr="00014D3B" w:rsidR="00EA5A30">
        <w:t xml:space="preserve"> </w:t>
      </w:r>
      <w:r w:rsidRPr="00014D3B">
        <w:t xml:space="preserve">anomaly. </w:t>
      </w:r>
    </w:p>
    <w:p w:rsidRPr="00014D3B" w:rsidR="007D72C0" w:rsidRDefault="007D72C0" w14:paraId="68897AB8" w14:textId="77777777"/>
    <w:p w:rsidRPr="00014D3B" w:rsidR="007A2327" w:rsidP="007C5DEE" w:rsidRDefault="00D71D13" w14:paraId="5BA1E177" w14:textId="2B75569E">
      <w:r w:rsidRPr="00014D3B">
        <w:t>Another way of organi</w:t>
      </w:r>
      <w:r w:rsidR="00DE7E6C">
        <w:t>s</w:t>
      </w:r>
      <w:r w:rsidRPr="00014D3B">
        <w:t xml:space="preserve">ing this subject of study is to focus on </w:t>
      </w:r>
      <w:r w:rsidRPr="00014D3B" w:rsidR="007A2327">
        <w:t xml:space="preserve">the </w:t>
      </w:r>
      <w:r w:rsidRPr="00014D3B">
        <w:t>racial organi</w:t>
      </w:r>
      <w:r w:rsidR="00DE7E6C">
        <w:t>s</w:t>
      </w:r>
      <w:r w:rsidRPr="00014D3B">
        <w:t>ation of these technologies</w:t>
      </w:r>
      <w:r w:rsidRPr="00014D3B" w:rsidR="007A2327">
        <w:t xml:space="preserve"> in order to capture how bordering is a racial technology that deploys variety of technological ‘solutions’ or instruments to that end</w:t>
      </w:r>
      <w:r w:rsidRPr="00014D3B" w:rsidR="005327E7">
        <w:t>.</w:t>
      </w:r>
    </w:p>
    <w:p w:rsidRPr="00014D3B" w:rsidR="007C5DEE" w:rsidP="007C5DEE" w:rsidRDefault="007C5DEE" w14:paraId="50F34217" w14:textId="77777777"/>
    <w:p w:rsidRPr="00014D3B" w:rsidR="005327E7" w:rsidP="005327E7" w:rsidRDefault="007A2327" w14:paraId="76A1E5E3" w14:textId="28A02D90">
      <w:r w:rsidRPr="00014D3B">
        <w:t>This organisation would look something like this</w:t>
      </w:r>
      <w:r w:rsidRPr="00014D3B" w:rsidR="00FB725D">
        <w:t>, or at least I imagine it:</w:t>
      </w:r>
    </w:p>
    <w:p w:rsidRPr="00014D3B" w:rsidR="005327E7" w:rsidP="005327E7" w:rsidRDefault="005327E7" w14:paraId="78859AF5" w14:textId="77777777"/>
    <w:p w:rsidRPr="00014D3B" w:rsidR="005327E7" w:rsidP="00FB725D" w:rsidRDefault="005327E7" w14:paraId="0ECE5003" w14:textId="218F6691">
      <w:pPr>
        <w:pStyle w:val="ListParagraph"/>
        <w:numPr>
          <w:ilvl w:val="0"/>
          <w:numId w:val="6"/>
        </w:numPr>
      </w:pPr>
      <w:r w:rsidRPr="00014D3B">
        <w:t>Border technologies emerge from</w:t>
      </w:r>
      <w:r w:rsidRPr="00014D3B" w:rsidR="0055718B">
        <w:t xml:space="preserve"> racial histories </w:t>
      </w:r>
      <w:r w:rsidRPr="00014D3B">
        <w:t>- The presence of this</w:t>
      </w:r>
      <w:r w:rsidR="00DE7E6C">
        <w:t xml:space="preserve"> </w:t>
      </w:r>
      <w:r w:rsidRPr="00014D3B" w:rsidR="00FB725D">
        <w:t>historical</w:t>
      </w:r>
      <w:r w:rsidRPr="00014D3B">
        <w:t xml:space="preserve"> </w:t>
      </w:r>
      <w:r w:rsidRPr="00014D3B" w:rsidR="00FB725D">
        <w:t>‘</w:t>
      </w:r>
      <w:r w:rsidRPr="00014D3B">
        <w:t>past</w:t>
      </w:r>
      <w:r w:rsidRPr="00014D3B" w:rsidR="00FB725D">
        <w:t xml:space="preserve">’ </w:t>
      </w:r>
      <w:r w:rsidRPr="00014D3B">
        <w:t xml:space="preserve">continues in the type of knowledge and </w:t>
      </w:r>
      <w:r w:rsidRPr="00014D3B" w:rsidR="00D71D13">
        <w:t xml:space="preserve">epistemologies </w:t>
      </w:r>
      <w:r w:rsidRPr="00014D3B">
        <w:t xml:space="preserve">produced </w:t>
      </w:r>
      <w:r w:rsidRPr="00014D3B" w:rsidR="00FB725D">
        <w:t>for the technologies in their early emergences</w:t>
      </w:r>
      <w:r w:rsidR="00CD23F0">
        <w:t>:</w:t>
      </w:r>
    </w:p>
    <w:p w:rsidRPr="00014D3B" w:rsidR="00FB725D" w:rsidP="00FB725D" w:rsidRDefault="00FB725D" w14:paraId="2F997235" w14:textId="77777777">
      <w:pPr>
        <w:pStyle w:val="ListParagraph"/>
      </w:pPr>
    </w:p>
    <w:p w:rsidRPr="00014D3B" w:rsidR="00D71D13" w:rsidP="00D71D13" w:rsidRDefault="00D71D13" w14:paraId="6F0997F2" w14:textId="46EA8207">
      <w:pPr>
        <w:pStyle w:val="ListParagraph"/>
        <w:numPr>
          <w:ilvl w:val="0"/>
          <w:numId w:val="3"/>
        </w:numPr>
      </w:pPr>
      <w:r w:rsidRPr="00014D3B">
        <w:t>Visual technologies such as photography has been built on raciali</w:t>
      </w:r>
      <w:r w:rsidR="00DE7E6C">
        <w:t>s</w:t>
      </w:r>
      <w:r w:rsidRPr="00014D3B">
        <w:t>ed assumption of their users</w:t>
      </w:r>
      <w:r w:rsidRPr="00014D3B" w:rsidR="00FB725D">
        <w:t xml:space="preserve">. A </w:t>
      </w:r>
      <w:r w:rsidRPr="00014D3B">
        <w:t>technological logic that remains operative</w:t>
      </w:r>
      <w:r w:rsidRPr="00014D3B" w:rsidR="00FB725D">
        <w:t xml:space="preserve"> and is reproduced in the </w:t>
      </w:r>
      <w:r w:rsidRPr="00014D3B">
        <w:t>digital technologies of visuali</w:t>
      </w:r>
      <w:r w:rsidR="00DE7E6C">
        <w:t>s</w:t>
      </w:r>
      <w:r w:rsidRPr="00014D3B">
        <w:t>ation</w:t>
      </w:r>
      <w:r w:rsidRPr="00014D3B" w:rsidR="005327E7">
        <w:t>.</w:t>
      </w:r>
    </w:p>
    <w:p w:rsidRPr="00014D3B" w:rsidR="007C5DEE" w:rsidP="007C5DEE" w:rsidRDefault="007C5DEE" w14:paraId="61A4631A" w14:textId="77777777">
      <w:pPr>
        <w:pStyle w:val="ListParagraph"/>
      </w:pPr>
    </w:p>
    <w:p w:rsidRPr="00014D3B" w:rsidR="00D71D13" w:rsidP="00D71D13" w:rsidRDefault="00D71D13" w14:paraId="0975E9E8" w14:textId="1A3928C5">
      <w:pPr>
        <w:pStyle w:val="ListParagraph"/>
        <w:numPr>
          <w:ilvl w:val="0"/>
          <w:numId w:val="3"/>
        </w:numPr>
      </w:pPr>
      <w:r w:rsidRPr="00014D3B">
        <w:t xml:space="preserve">Biometric technologies and population registry as a means of management of movement </w:t>
      </w:r>
      <w:r w:rsidR="00DE7E6C">
        <w:t>developed and expanded</w:t>
      </w:r>
      <w:r w:rsidRPr="00014D3B">
        <w:t xml:space="preserve"> in the </w:t>
      </w:r>
      <w:r w:rsidRPr="00014D3B" w:rsidR="00FB725D">
        <w:t>c</w:t>
      </w:r>
      <w:r w:rsidRPr="00014D3B">
        <w:t xml:space="preserve">olonial India and </w:t>
      </w:r>
      <w:r w:rsidRPr="00014D3B" w:rsidR="00FB725D">
        <w:t>a</w:t>
      </w:r>
      <w:r w:rsidRPr="00014D3B">
        <w:t>partheid South Africa</w:t>
      </w:r>
      <w:r w:rsidRPr="00014D3B" w:rsidR="005327E7">
        <w:t>.</w:t>
      </w:r>
      <w:r w:rsidRPr="00014D3B" w:rsidR="005710BD">
        <w:rPr>
          <w:rStyle w:val="FootnoteReference"/>
        </w:rPr>
        <w:footnoteReference w:id="1"/>
      </w:r>
      <w:r w:rsidR="00CD23F0">
        <w:t xml:space="preserve"> </w:t>
      </w:r>
    </w:p>
    <w:p w:rsidRPr="00014D3B" w:rsidR="007C5DEE" w:rsidP="007C5DEE" w:rsidRDefault="007C5DEE" w14:paraId="529E49F2" w14:textId="77777777"/>
    <w:p w:rsidR="005710BD" w:rsidP="00D71D13" w:rsidRDefault="005710BD" w14:paraId="08A30BCA" w14:textId="69F7FA59">
      <w:pPr>
        <w:pStyle w:val="ListParagraph"/>
        <w:numPr>
          <w:ilvl w:val="0"/>
          <w:numId w:val="3"/>
        </w:numPr>
      </w:pPr>
      <w:r w:rsidRPr="00014D3B">
        <w:t>Similar history can be told for passporting, visa issuing, and barbed wiring</w:t>
      </w:r>
      <w:r w:rsidR="00DE7E6C">
        <w:t xml:space="preserve"> – as a technology of </w:t>
      </w:r>
      <w:r w:rsidRPr="00014D3B" w:rsidR="005327E7">
        <w:t>encamping</w:t>
      </w:r>
      <w:r w:rsidRPr="00014D3B">
        <w:t xml:space="preserve">. Each of these technologies emerged or became widespread in use, as means of either management of the movement of </w:t>
      </w:r>
      <w:r w:rsidRPr="00014D3B" w:rsidR="005327E7">
        <w:t xml:space="preserve">the </w:t>
      </w:r>
      <w:r w:rsidRPr="00014D3B">
        <w:t>undesirable population (the poor, the racialized and the gendered</w:t>
      </w:r>
      <w:r w:rsidR="00DE7E6C">
        <w:t>:</w:t>
      </w:r>
      <w:r w:rsidRPr="00014D3B" w:rsidR="005723B1">
        <w:t xml:space="preserve"> through forgoing </w:t>
      </w:r>
      <w:r w:rsidR="00DE7E6C">
        <w:t xml:space="preserve">a readable, archive-able and </w:t>
      </w:r>
      <w:r w:rsidRPr="00014D3B" w:rsidR="005723B1">
        <w:t>an unchangeable bond between body and document. Pedigree</w:t>
      </w:r>
      <w:r w:rsidR="00DE7E6C">
        <w:t>s</w:t>
      </w:r>
      <w:r w:rsidRPr="00014D3B" w:rsidR="005723B1">
        <w:t xml:space="preserve"> of which, is in branding and mutilating bodies by the Western colonisers and enslavers</w:t>
      </w:r>
      <w:r w:rsidRPr="00014D3B">
        <w:t xml:space="preserve">) or by </w:t>
      </w:r>
      <w:r w:rsidRPr="00014D3B" w:rsidR="005327E7">
        <w:t xml:space="preserve">a </w:t>
      </w:r>
      <w:r w:rsidRPr="00014D3B">
        <w:t>way of animali</w:t>
      </w:r>
      <w:r w:rsidR="00DE7E6C">
        <w:t>s</w:t>
      </w:r>
      <w:r w:rsidRPr="00014D3B">
        <w:t>ed containment of the said undesirable population.</w:t>
      </w:r>
      <w:r w:rsidRPr="00014D3B">
        <w:rPr>
          <w:rStyle w:val="FootnoteReference"/>
        </w:rPr>
        <w:footnoteReference w:id="2"/>
      </w:r>
    </w:p>
    <w:p w:rsidR="00CD23F0" w:rsidP="00CD23F0" w:rsidRDefault="00CD23F0" w14:paraId="27493DA3" w14:textId="77777777">
      <w:pPr>
        <w:pStyle w:val="ListParagraph"/>
      </w:pPr>
    </w:p>
    <w:p w:rsidRPr="00014D3B" w:rsidR="00CD23F0" w:rsidP="00D71D13" w:rsidRDefault="00CD23F0" w14:paraId="694C1833" w14:textId="36C46B12">
      <w:pPr>
        <w:pStyle w:val="ListParagraph"/>
        <w:numPr>
          <w:ilvl w:val="0"/>
          <w:numId w:val="3"/>
        </w:numPr>
      </w:pPr>
      <w:r>
        <w:t>Generally</w:t>
      </w:r>
      <w:r>
        <w:t xml:space="preserve">, </w:t>
      </w:r>
      <w:r>
        <w:t xml:space="preserve">for the whole section, Simone Browne’s book: </w:t>
      </w:r>
      <w:r>
        <w:rPr>
          <w:i/>
          <w:iCs/>
        </w:rPr>
        <w:t xml:space="preserve">Dark Matters: On Surveillance of Blackness </w:t>
      </w:r>
      <w:r>
        <w:t>(Duke university Press 2015) is central resource.</w:t>
      </w:r>
    </w:p>
    <w:p w:rsidRPr="00014D3B" w:rsidR="005327E7" w:rsidP="005327E7" w:rsidRDefault="005327E7" w14:paraId="249BEA61" w14:textId="77777777">
      <w:pPr>
        <w:pStyle w:val="ListParagraph"/>
      </w:pPr>
    </w:p>
    <w:p w:rsidRPr="00014D3B" w:rsidR="00D71D13" w:rsidP="005327E7" w:rsidRDefault="005327E7" w14:paraId="75F1CC72" w14:textId="6C028985">
      <w:pPr>
        <w:pStyle w:val="ListParagraph"/>
        <w:numPr>
          <w:ilvl w:val="0"/>
          <w:numId w:val="6"/>
        </w:numPr>
      </w:pPr>
      <w:r w:rsidRPr="00014D3B">
        <w:lastRenderedPageBreak/>
        <w:t>Border technologies o</w:t>
      </w:r>
      <w:r w:rsidRPr="00014D3B" w:rsidR="005710BD">
        <w:t>perate on racial assumptions or reproduce and maintain such categories</w:t>
      </w:r>
      <w:r w:rsidRPr="00014D3B">
        <w:t>:</w:t>
      </w:r>
    </w:p>
    <w:p w:rsidRPr="00014D3B" w:rsidR="007C5DEE" w:rsidP="007C5DEE" w:rsidRDefault="007C5DEE" w14:paraId="42EEFC15" w14:textId="77777777"/>
    <w:p w:rsidRPr="00014D3B" w:rsidR="0091750C" w:rsidP="005710BD" w:rsidRDefault="005710BD" w14:paraId="073E1286" w14:textId="3A61F5DC">
      <w:pPr>
        <w:pStyle w:val="ListParagraph"/>
        <w:numPr>
          <w:ilvl w:val="0"/>
          <w:numId w:val="3"/>
        </w:numPr>
      </w:pPr>
      <w:r w:rsidRPr="00014D3B">
        <w:t>Language and accent analysis technologies are used in order to determine the origin of an asylum applicant</w:t>
      </w:r>
      <w:r w:rsidR="00DE7E6C">
        <w:t>s</w:t>
      </w:r>
      <w:r w:rsidRPr="00014D3B">
        <w:t xml:space="preserve"> by comparing </w:t>
      </w:r>
      <w:r w:rsidR="00DE7E6C">
        <w:t>their</w:t>
      </w:r>
      <w:r w:rsidRPr="00014D3B">
        <w:t xml:space="preserve"> accent and depth of</w:t>
      </w:r>
      <w:r w:rsidRPr="00014D3B" w:rsidR="00A062AD">
        <w:t xml:space="preserve"> </w:t>
      </w:r>
      <w:r w:rsidR="00DE7E6C">
        <w:t>their</w:t>
      </w:r>
      <w:r w:rsidRPr="00014D3B">
        <w:t xml:space="preserve"> vocabulary against data bases of pre-recorded speeches. </w:t>
      </w:r>
      <w:r w:rsidRPr="00014D3B" w:rsidR="0091750C">
        <w:t>The</w:t>
      </w:r>
      <w:r w:rsidRPr="00014D3B">
        <w:t xml:space="preserve"> obvious</w:t>
      </w:r>
      <w:r w:rsidRPr="00014D3B" w:rsidR="0091750C">
        <w:t xml:space="preserve"> problems are the</w:t>
      </w:r>
      <w:r w:rsidRPr="00014D3B">
        <w:t xml:space="preserve"> generalization of </w:t>
      </w:r>
      <w:r w:rsidRPr="00014D3B" w:rsidR="0091750C">
        <w:t>belonging and origin (</w:t>
      </w:r>
      <w:r w:rsidRPr="00014D3B" w:rsidR="005327E7">
        <w:t xml:space="preserve">e.g. </w:t>
      </w:r>
      <w:r w:rsidRPr="00014D3B" w:rsidR="0091750C">
        <w:t>all Syrian’s must speak and sound the same way)</w:t>
      </w:r>
      <w:r w:rsidRPr="00014D3B" w:rsidR="005327E7">
        <w:t>,</w:t>
      </w:r>
      <w:r w:rsidRPr="00014D3B" w:rsidR="0091750C">
        <w:t xml:space="preserve"> and the deterministic idea that one’s way of talking can conclusively reveal one’s origin </w:t>
      </w:r>
      <w:r w:rsidRPr="00014D3B" w:rsidR="00A062AD">
        <w:t>(</w:t>
      </w:r>
      <w:r w:rsidRPr="00014D3B" w:rsidR="0091750C">
        <w:t>and not</w:t>
      </w:r>
      <w:r w:rsidRPr="00014D3B" w:rsidR="005327E7">
        <w:t xml:space="preserve"> just being a </w:t>
      </w:r>
      <w:r w:rsidRPr="00014D3B" w:rsidR="0091750C">
        <w:t xml:space="preserve">feature of one’s specific </w:t>
      </w:r>
      <w:r w:rsidRPr="00014D3B" w:rsidR="00A062AD">
        <w:t xml:space="preserve">level of </w:t>
      </w:r>
      <w:r w:rsidRPr="00014D3B" w:rsidR="0091750C">
        <w:t>education or wealth). However,</w:t>
      </w:r>
      <w:r w:rsidRPr="00014D3B" w:rsidR="005327E7">
        <w:t xml:space="preserve"> </w:t>
      </w:r>
      <w:r w:rsidRPr="00014D3B" w:rsidR="0091750C">
        <w:t>research</w:t>
      </w:r>
      <w:r w:rsidRPr="00014D3B" w:rsidR="005327E7">
        <w:t xml:space="preserve"> has also</w:t>
      </w:r>
      <w:r w:rsidRPr="00014D3B" w:rsidR="0091750C">
        <w:t xml:space="preserve"> shown that the said trusted data bases of speech are often outdated and corrupt. These data bases are often originally gathered for a different purpose by linguists </w:t>
      </w:r>
      <w:r w:rsidRPr="00014D3B" w:rsidR="005327E7">
        <w:t xml:space="preserve">and </w:t>
      </w:r>
      <w:r w:rsidRPr="00014D3B" w:rsidR="00A062AD">
        <w:t>later</w:t>
      </w:r>
      <w:r w:rsidRPr="00014D3B" w:rsidR="005327E7">
        <w:t xml:space="preserve"> are </w:t>
      </w:r>
      <w:r w:rsidRPr="00014D3B" w:rsidR="00C75007">
        <w:t>repurposed</w:t>
      </w:r>
      <w:r w:rsidRPr="00014D3B" w:rsidR="005327E7">
        <w:t xml:space="preserve"> for migratory </w:t>
      </w:r>
      <w:r w:rsidRPr="00717C59" w:rsidR="005327E7">
        <w:t>functions</w:t>
      </w:r>
      <w:r w:rsidRPr="00717C59" w:rsidR="00C75007">
        <w:t>, e.g. A</w:t>
      </w:r>
      <w:r w:rsidRPr="00717C59" w:rsidR="0091750C">
        <w:t xml:space="preserve"> study of pattern of change</w:t>
      </w:r>
      <w:r w:rsidRPr="00717C59" w:rsidR="00C75007">
        <w:t>s</w:t>
      </w:r>
      <w:r w:rsidRPr="00717C59" w:rsidR="0091750C">
        <w:t xml:space="preserve"> in</w:t>
      </w:r>
      <w:r w:rsidRPr="00717C59" w:rsidR="00DE7E6C">
        <w:t xml:space="preserve"> the</w:t>
      </w:r>
      <w:r w:rsidRPr="00717C59" w:rsidR="00C75007">
        <w:t xml:space="preserve"> spoken</w:t>
      </w:r>
      <w:r w:rsidRPr="00717C59" w:rsidR="0091750C">
        <w:t xml:space="preserve"> Arabic of </w:t>
      </w:r>
      <w:r w:rsidRPr="00717C59" w:rsidR="00C75007">
        <w:t xml:space="preserve">the </w:t>
      </w:r>
      <w:r w:rsidRPr="00717C59" w:rsidR="0091750C">
        <w:t>second-generation</w:t>
      </w:r>
      <w:r w:rsidR="00717C59">
        <w:t>s</w:t>
      </w:r>
      <w:r w:rsidRPr="00717C59" w:rsidR="0091750C">
        <w:t xml:space="preserve"> living in the USA</w:t>
      </w:r>
      <w:r w:rsidRPr="00717C59" w:rsidR="00C75007">
        <w:t xml:space="preserve">, gathered </w:t>
      </w:r>
      <w:r w:rsidR="00717C59">
        <w:t xml:space="preserve">by a university </w:t>
      </w:r>
      <w:r w:rsidRPr="00717C59" w:rsidR="00DE7E6C">
        <w:t>would be</w:t>
      </w:r>
      <w:r w:rsidRPr="00717C59" w:rsidR="00C75007">
        <w:t xml:space="preserve"> repurposed for examination of origin of an asylum seeker in 2020, say in Germany</w:t>
      </w:r>
      <w:r w:rsidRPr="00717C59" w:rsidR="0091750C">
        <w:t>.</w:t>
      </w:r>
      <w:r w:rsidRPr="00717C59" w:rsidR="005327E7">
        <w:rPr>
          <w:rStyle w:val="FootnoteReference"/>
        </w:rPr>
        <w:footnoteReference w:id="3"/>
      </w:r>
    </w:p>
    <w:p w:rsidRPr="00014D3B" w:rsidR="007C5DEE" w:rsidP="007C5DEE" w:rsidRDefault="007C5DEE" w14:paraId="4BD22655" w14:textId="77777777">
      <w:pPr>
        <w:pStyle w:val="ListParagraph"/>
      </w:pPr>
    </w:p>
    <w:p w:rsidRPr="00014D3B" w:rsidR="0091750C" w:rsidP="005710BD" w:rsidRDefault="00C75007" w14:paraId="67D92DC5" w14:textId="392A7655">
      <w:pPr>
        <w:pStyle w:val="ListParagraph"/>
        <w:numPr>
          <w:ilvl w:val="0"/>
          <w:numId w:val="3"/>
        </w:numPr>
      </w:pPr>
      <w:r w:rsidRPr="00014D3B">
        <w:t xml:space="preserve">Biases of technologies </w:t>
      </w:r>
      <w:r w:rsidRPr="00014D3B" w:rsidR="0091750C">
        <w:t>in</w:t>
      </w:r>
      <w:r w:rsidRPr="00014D3B">
        <w:t xml:space="preserve"> </w:t>
      </w:r>
      <w:r w:rsidRPr="00014D3B" w:rsidR="0091750C">
        <w:t>negatively categorizing racialized population</w:t>
      </w:r>
      <w:r w:rsidRPr="00014D3B">
        <w:t>: This</w:t>
      </w:r>
      <w:r w:rsidRPr="00014D3B" w:rsidR="0091750C">
        <w:t xml:space="preserve"> appears to be well-established</w:t>
      </w:r>
      <w:r w:rsidRPr="00014D3B">
        <w:t xml:space="preserve"> in literature. It </w:t>
      </w:r>
      <w:r w:rsidRPr="00014D3B" w:rsidR="00A062AD">
        <w:t>appears</w:t>
      </w:r>
      <w:r w:rsidRPr="00014D3B">
        <w:t xml:space="preserve"> to be a</w:t>
      </w:r>
      <w:r w:rsidRPr="00014D3B" w:rsidR="0091750C">
        <w:t xml:space="preserve"> feature in various decision-making technologies used for law and order purposes</w:t>
      </w:r>
      <w:r w:rsidRPr="00014D3B" w:rsidR="00A062AD">
        <w:t>;</w:t>
      </w:r>
      <w:r w:rsidRPr="00014D3B">
        <w:t xml:space="preserve"> from predictive policing to court room sentencing, and pre-trial detention decisions.</w:t>
      </w:r>
    </w:p>
    <w:p w:rsidRPr="00014D3B" w:rsidR="007C5DEE" w:rsidP="007C5DEE" w:rsidRDefault="007C5DEE" w14:paraId="45DA2EA1" w14:textId="77777777"/>
    <w:p w:rsidRPr="00014D3B" w:rsidR="0091750C" w:rsidP="005710BD" w:rsidRDefault="0091750C" w14:paraId="2B895816" w14:textId="58E69519">
      <w:pPr>
        <w:pStyle w:val="ListParagraph"/>
        <w:numPr>
          <w:ilvl w:val="0"/>
          <w:numId w:val="3"/>
        </w:numPr>
      </w:pPr>
      <w:r w:rsidRPr="00014D3B">
        <w:t>Age assessment technologies</w:t>
      </w:r>
      <w:r w:rsidRPr="00014D3B" w:rsidR="00C75007">
        <w:t>: Similar</w:t>
      </w:r>
      <w:r w:rsidRPr="00014D3B" w:rsidR="00A062AD">
        <w:t xml:space="preserve"> </w:t>
      </w:r>
      <w:r w:rsidRPr="00014D3B">
        <w:t xml:space="preserve">to the other examples, </w:t>
      </w:r>
      <w:r w:rsidRPr="00014D3B" w:rsidR="0065598B">
        <w:t>technologies</w:t>
      </w:r>
      <w:r w:rsidRPr="00014D3B">
        <w:t xml:space="preserve"> and medical knowledge produced in this field has </w:t>
      </w:r>
      <w:r w:rsidRPr="00014D3B" w:rsidR="0065598B">
        <w:t>raciali</w:t>
      </w:r>
      <w:r w:rsidRPr="00014D3B" w:rsidR="00A062AD">
        <w:t>s</w:t>
      </w:r>
      <w:r w:rsidRPr="00014D3B" w:rsidR="0065598B">
        <w:t>ed</w:t>
      </w:r>
      <w:r w:rsidRPr="00014D3B">
        <w:t xml:space="preserve"> </w:t>
      </w:r>
      <w:r w:rsidR="00BC274F">
        <w:t>biases</w:t>
      </w:r>
      <w:r w:rsidRPr="00014D3B">
        <w:t xml:space="preserve">. The </w:t>
      </w:r>
      <w:r w:rsidRPr="00014D3B" w:rsidR="0065598B">
        <w:t>standard</w:t>
      </w:r>
      <w:r w:rsidRPr="00014D3B">
        <w:t xml:space="preserve"> </w:t>
      </w:r>
      <w:r w:rsidRPr="00014D3B" w:rsidR="0065598B">
        <w:t>body</w:t>
      </w:r>
      <w:r w:rsidRPr="00014D3B">
        <w:t xml:space="preserve"> upon which the dental</w:t>
      </w:r>
      <w:r w:rsidRPr="00014D3B" w:rsidR="00C75007">
        <w:t xml:space="preserve">, </w:t>
      </w:r>
      <w:r w:rsidRPr="00014D3B">
        <w:t xml:space="preserve">knee </w:t>
      </w:r>
      <w:r w:rsidRPr="00014D3B" w:rsidR="00C75007">
        <w:t xml:space="preserve">and </w:t>
      </w:r>
      <w:r w:rsidRPr="00014D3B">
        <w:t xml:space="preserve">bone </w:t>
      </w:r>
      <w:r w:rsidRPr="00014D3B" w:rsidR="0065598B">
        <w:t>x-rays</w:t>
      </w:r>
      <w:r w:rsidRPr="00014D3B">
        <w:t xml:space="preserve"> are </w:t>
      </w:r>
      <w:r w:rsidRPr="00014D3B" w:rsidR="0065598B">
        <w:t>juxtaposed</w:t>
      </w:r>
      <w:r w:rsidRPr="00014D3B">
        <w:t xml:space="preserve"> to determine </w:t>
      </w:r>
      <w:r w:rsidRPr="00014D3B" w:rsidR="00C75007">
        <w:t xml:space="preserve">the </w:t>
      </w:r>
      <w:r w:rsidRPr="00014D3B">
        <w:t>biological age</w:t>
      </w:r>
      <w:r w:rsidRPr="00014D3B" w:rsidR="00C75007">
        <w:t xml:space="preserve"> of asylum seekers</w:t>
      </w:r>
      <w:r w:rsidRPr="00014D3B">
        <w:t xml:space="preserve"> is </w:t>
      </w:r>
      <w:r w:rsidRPr="00014D3B" w:rsidR="00A062AD">
        <w:t>W</w:t>
      </w:r>
      <w:r w:rsidRPr="00014D3B">
        <w:t xml:space="preserve">hite </w:t>
      </w:r>
      <w:r w:rsidRPr="00014D3B" w:rsidR="0065598B">
        <w:t>European</w:t>
      </w:r>
      <w:r w:rsidRPr="00014D3B">
        <w:t xml:space="preserve"> body. What </w:t>
      </w:r>
      <w:r w:rsidRPr="00014D3B" w:rsidR="0065598B">
        <w:t xml:space="preserve">these </w:t>
      </w:r>
      <w:r w:rsidRPr="00014D3B" w:rsidR="00A062AD">
        <w:t>technologies</w:t>
      </w:r>
      <w:r w:rsidRPr="00014D3B">
        <w:t xml:space="preserve"> can do is </w:t>
      </w:r>
      <w:r w:rsidRPr="00014D3B" w:rsidR="00C75007">
        <w:t xml:space="preserve">to </w:t>
      </w:r>
      <w:r w:rsidRPr="00014D3B">
        <w:t>determine</w:t>
      </w:r>
      <w:r w:rsidRPr="00014D3B" w:rsidR="00C75007">
        <w:t>, with a</w:t>
      </w:r>
      <w:r w:rsidRPr="00014D3B">
        <w:t xml:space="preserve"> low level of certainty</w:t>
      </w:r>
      <w:r w:rsidRPr="00014D3B" w:rsidR="00C75007">
        <w:t>, the</w:t>
      </w:r>
      <w:r w:rsidRPr="00014D3B">
        <w:t xml:space="preserve"> biological age and not biographical age</w:t>
      </w:r>
      <w:r w:rsidRPr="00014D3B" w:rsidR="0065598B">
        <w:t>: excluding</w:t>
      </w:r>
      <w:r w:rsidRPr="00014D3B" w:rsidR="00C75007">
        <w:t xml:space="preserve"> different</w:t>
      </w:r>
      <w:r w:rsidRPr="00014D3B" w:rsidR="0065598B">
        <w:t xml:space="preserve"> factors</w:t>
      </w:r>
      <w:r w:rsidRPr="00014D3B" w:rsidR="00C75007">
        <w:t xml:space="preserve">, </w:t>
      </w:r>
      <w:r w:rsidRPr="00014D3B" w:rsidR="0065598B">
        <w:t>other than basic biology</w:t>
      </w:r>
      <w:r w:rsidRPr="00014D3B" w:rsidR="00C75007">
        <w:t>,</w:t>
      </w:r>
      <w:r w:rsidRPr="00014D3B" w:rsidR="0065598B">
        <w:t xml:space="preserve"> that affects growth.</w:t>
      </w:r>
      <w:r w:rsidRPr="00014D3B" w:rsidR="0065598B">
        <w:rPr>
          <w:rStyle w:val="FootnoteReference"/>
        </w:rPr>
        <w:footnoteReference w:id="4"/>
      </w:r>
    </w:p>
    <w:p w:rsidRPr="00014D3B" w:rsidR="007C5DEE" w:rsidP="007C5DEE" w:rsidRDefault="007C5DEE" w14:paraId="0827F9E5" w14:textId="77777777"/>
    <w:p w:rsidRPr="00014D3B" w:rsidR="0065598B" w:rsidP="005710BD" w:rsidRDefault="0065598B" w14:paraId="15FE751C" w14:textId="3E9483AC">
      <w:pPr>
        <w:pStyle w:val="ListParagraph"/>
        <w:numPr>
          <w:ilvl w:val="0"/>
          <w:numId w:val="3"/>
        </w:numPr>
      </w:pPr>
      <w:r w:rsidRPr="00014D3B">
        <w:t xml:space="preserve">Lie detecting technologies also falls in </w:t>
      </w:r>
      <w:r w:rsidRPr="00014D3B" w:rsidR="004F5E62">
        <w:t>a</w:t>
      </w:r>
      <w:r w:rsidRPr="00014D3B" w:rsidR="00C75007">
        <w:t xml:space="preserve"> similar</w:t>
      </w:r>
      <w:r w:rsidRPr="00014D3B">
        <w:t xml:space="preserve"> category. </w:t>
      </w:r>
      <w:r w:rsidRPr="00014D3B" w:rsidR="00C75007">
        <w:t>Can be l</w:t>
      </w:r>
      <w:r w:rsidRPr="00014D3B">
        <w:t>inked to the history and operation of other visual and facial recognition technologies</w:t>
      </w:r>
      <w:r w:rsidRPr="00014D3B" w:rsidR="004F5E62">
        <w:t>.</w:t>
      </w:r>
    </w:p>
    <w:p w:rsidRPr="00014D3B" w:rsidR="00C75007" w:rsidP="00C75007" w:rsidRDefault="00C75007" w14:paraId="15F58474" w14:textId="77777777">
      <w:pPr>
        <w:pStyle w:val="ListParagraph"/>
      </w:pPr>
    </w:p>
    <w:p w:rsidRPr="00014D3B" w:rsidR="0065598B" w:rsidP="00C75007" w:rsidRDefault="00C75007" w14:paraId="515225B5" w14:textId="1AAE0617">
      <w:pPr>
        <w:pStyle w:val="ListParagraph"/>
        <w:numPr>
          <w:ilvl w:val="0"/>
          <w:numId w:val="6"/>
        </w:numPr>
      </w:pPr>
      <w:r w:rsidRPr="00014D3B">
        <w:t>Beyond their operation and history</w:t>
      </w:r>
      <w:r w:rsidRPr="00014D3B" w:rsidR="004F5E62">
        <w:t xml:space="preserve"> </w:t>
      </w:r>
      <w:r w:rsidRPr="00014D3B">
        <w:t>technologies</w:t>
      </w:r>
      <w:r w:rsidRPr="00014D3B" w:rsidR="0065598B">
        <w:t xml:space="preserve"> are producing racial </w:t>
      </w:r>
      <w:r w:rsidRPr="00014D3B" w:rsidR="004F5E62">
        <w:t>hierarchies</w:t>
      </w:r>
      <w:r w:rsidRPr="00014D3B">
        <w:t xml:space="preserve"> in their outcomes</w:t>
      </w:r>
      <w:r w:rsidR="00BC274F">
        <w:t>.</w:t>
      </w:r>
      <w:r w:rsidRPr="00014D3B">
        <w:t xml:space="preserve"> </w:t>
      </w:r>
      <w:r w:rsidRPr="00014D3B" w:rsidR="004F5E62">
        <w:t>I</w:t>
      </w:r>
      <w:r w:rsidRPr="00014D3B">
        <w:t>n their world</w:t>
      </w:r>
      <w:r w:rsidRPr="00014D3B" w:rsidR="004F5E62">
        <w:t>-</w:t>
      </w:r>
      <w:r w:rsidRPr="00014D3B">
        <w:t xml:space="preserve">making </w:t>
      </w:r>
      <w:r w:rsidRPr="00014D3B" w:rsidR="004F5E62">
        <w:t>ability</w:t>
      </w:r>
      <w:r w:rsidRPr="00014D3B">
        <w:t xml:space="preserve">, technologies of border are racist: </w:t>
      </w:r>
    </w:p>
    <w:p w:rsidRPr="00014D3B" w:rsidR="00C75007" w:rsidP="00C75007" w:rsidRDefault="00C75007" w14:paraId="650423B3" w14:textId="77777777">
      <w:pPr>
        <w:ind w:left="360"/>
      </w:pPr>
    </w:p>
    <w:p w:rsidRPr="00014D3B" w:rsidR="007D72C0" w:rsidP="007C5DEE" w:rsidRDefault="007D72C0" w14:paraId="0BF41FA3" w14:textId="67BEAC53">
      <w:pPr>
        <w:pStyle w:val="ListParagraph"/>
      </w:pPr>
      <w:r w:rsidRPr="00014D3B">
        <w:t>Border regime, in exposing</w:t>
      </w:r>
      <w:r w:rsidRPr="00014D3B" w:rsidR="004F5E62">
        <w:t xml:space="preserve"> the</w:t>
      </w:r>
      <w:r w:rsidRPr="00014D3B">
        <w:t xml:space="preserve"> racialised</w:t>
      </w:r>
      <w:r w:rsidRPr="00014D3B" w:rsidR="004F5E62">
        <w:t xml:space="preserve"> </w:t>
      </w:r>
      <w:r w:rsidRPr="00014D3B" w:rsidR="00C75007">
        <w:t>travelling bodies</w:t>
      </w:r>
      <w:r w:rsidRPr="00014D3B">
        <w:t xml:space="preserve"> to digital technologies devalue their life and </w:t>
      </w:r>
      <w:r w:rsidRPr="00014D3B" w:rsidR="00C75007">
        <w:t xml:space="preserve">physical </w:t>
      </w:r>
      <w:r w:rsidRPr="00014D3B">
        <w:t>integrity</w:t>
      </w:r>
      <w:r w:rsidRPr="00014D3B" w:rsidR="00C75007">
        <w:t xml:space="preserve"> and categorise them as violable.</w:t>
      </w:r>
    </w:p>
    <w:p w:rsidRPr="00014D3B" w:rsidR="00B67581" w:rsidP="00B67581" w:rsidRDefault="00CF7E42" w14:paraId="0E679D71" w14:textId="6AFFAA5B">
      <w:pPr>
        <w:pStyle w:val="ListParagraph"/>
      </w:pPr>
      <w:r w:rsidRPr="00014D3B">
        <w:t xml:space="preserve">Much of the technologies of border control are operating through devaluation of </w:t>
      </w:r>
      <w:r w:rsidRPr="00014D3B" w:rsidR="00B67581">
        <w:t xml:space="preserve">the </w:t>
      </w:r>
      <w:r w:rsidRPr="00014D3B">
        <w:t>li</w:t>
      </w:r>
      <w:r w:rsidRPr="00014D3B" w:rsidR="00B67581">
        <w:t>ves</w:t>
      </w:r>
      <w:r w:rsidRPr="00014D3B">
        <w:t xml:space="preserve"> and bod</w:t>
      </w:r>
      <w:r w:rsidRPr="00014D3B" w:rsidR="00B67581">
        <w:t>ies</w:t>
      </w:r>
      <w:r w:rsidRPr="00014D3B">
        <w:t xml:space="preserve"> of </w:t>
      </w:r>
      <w:r w:rsidR="00BC274F">
        <w:t xml:space="preserve">the racialised </w:t>
      </w:r>
      <w:r w:rsidRPr="00014D3B" w:rsidR="00C75007">
        <w:t>travelling</w:t>
      </w:r>
      <w:r w:rsidRPr="00014D3B">
        <w:t xml:space="preserve"> bodies. These technologies </w:t>
      </w:r>
      <w:r w:rsidRPr="00014D3B" w:rsidR="00B67581">
        <w:t>reduce human</w:t>
      </w:r>
      <w:r w:rsidRPr="00014D3B">
        <w:t xml:space="preserve"> bodies into evidence</w:t>
      </w:r>
      <w:r w:rsidRPr="00014D3B" w:rsidR="00B67581">
        <w:t xml:space="preserve"> – </w:t>
      </w:r>
      <w:r w:rsidRPr="00014D3B" w:rsidR="00C75007">
        <w:t xml:space="preserve">sites </w:t>
      </w:r>
      <w:r w:rsidRPr="00014D3B" w:rsidR="00B67581">
        <w:t>of data extraction</w:t>
      </w:r>
      <w:r w:rsidRPr="00014D3B">
        <w:t xml:space="preserve">, </w:t>
      </w:r>
      <w:r w:rsidRPr="00014D3B" w:rsidR="00B67581">
        <w:t>surveillance</w:t>
      </w:r>
      <w:r w:rsidRPr="00014D3B">
        <w:t xml:space="preserve"> and trac</w:t>
      </w:r>
      <w:r w:rsidRPr="00014D3B" w:rsidR="00B67581">
        <w:t xml:space="preserve">ing – </w:t>
      </w:r>
      <w:r w:rsidRPr="00014D3B">
        <w:t xml:space="preserve">to be </w:t>
      </w:r>
      <w:r w:rsidRPr="00014D3B" w:rsidR="00B67581">
        <w:t xml:space="preserve">used against the </w:t>
      </w:r>
      <w:r w:rsidRPr="00014D3B" w:rsidR="004F5E62">
        <w:t>subject herself</w:t>
      </w:r>
      <w:r w:rsidRPr="00014D3B" w:rsidR="00B67581">
        <w:t>. T</w:t>
      </w:r>
      <w:r w:rsidRPr="00014D3B">
        <w:t>he circle of devaluation and violence over bodies of the raciali</w:t>
      </w:r>
      <w:r w:rsidRPr="00014D3B" w:rsidR="004F5E62">
        <w:t>s</w:t>
      </w:r>
      <w:r w:rsidRPr="00014D3B">
        <w:t xml:space="preserve">ed people are </w:t>
      </w:r>
      <w:r w:rsidRPr="00014D3B" w:rsidR="007D72C0">
        <w:t>completed</w:t>
      </w:r>
      <w:r w:rsidRPr="00014D3B">
        <w:t xml:space="preserve"> when </w:t>
      </w:r>
      <w:r w:rsidRPr="00014D3B" w:rsidR="007D72C0">
        <w:t>self-harm</w:t>
      </w:r>
      <w:r w:rsidRPr="00014D3B">
        <w:t xml:space="preserve"> becomes a </w:t>
      </w:r>
      <w:r w:rsidRPr="00014D3B" w:rsidR="007D72C0">
        <w:t>permeant</w:t>
      </w:r>
      <w:r w:rsidRPr="00014D3B">
        <w:t xml:space="preserve"> </w:t>
      </w:r>
      <w:r w:rsidRPr="00014D3B" w:rsidR="004F5E62">
        <w:t xml:space="preserve">and </w:t>
      </w:r>
      <w:r w:rsidRPr="00014D3B" w:rsidR="004F5E62">
        <w:lastRenderedPageBreak/>
        <w:t xml:space="preserve">developing </w:t>
      </w:r>
      <w:r w:rsidRPr="00014D3B">
        <w:t>feature of border transgression.</w:t>
      </w:r>
      <w:r w:rsidRPr="00014D3B" w:rsidR="00C1171E">
        <w:t xml:space="preserve"> </w:t>
      </w:r>
      <w:r w:rsidRPr="00014D3B">
        <w:t>Be</w:t>
      </w:r>
      <w:r w:rsidRPr="00014D3B" w:rsidR="00C1171E">
        <w:t xml:space="preserve"> it by limiting </w:t>
      </w:r>
      <w:r w:rsidRPr="00014D3B" w:rsidR="004F5E62">
        <w:t xml:space="preserve">the possibility of </w:t>
      </w:r>
      <w:r w:rsidRPr="00014D3B" w:rsidR="00C1171E">
        <w:t>movement</w:t>
      </w:r>
      <w:r w:rsidRPr="00014D3B">
        <w:t xml:space="preserve"> </w:t>
      </w:r>
      <w:r w:rsidRPr="00014D3B" w:rsidR="00C1171E">
        <w:t>to the risk</w:t>
      </w:r>
      <w:r w:rsidRPr="00014D3B" w:rsidR="004F5E62">
        <w:t>s</w:t>
      </w:r>
      <w:r w:rsidRPr="00014D3B" w:rsidR="00C1171E">
        <w:t xml:space="preserve"> of the </w:t>
      </w:r>
      <w:r w:rsidRPr="00014D3B">
        <w:t>sea, be it</w:t>
      </w:r>
      <w:r w:rsidRPr="00014D3B" w:rsidR="004F5E62">
        <w:t xml:space="preserve"> by </w:t>
      </w:r>
      <w:r w:rsidRPr="00014D3B" w:rsidR="00B67581">
        <w:t>directing the movement towards rough terrain and geography</w:t>
      </w:r>
      <w:r w:rsidRPr="00014D3B">
        <w:t xml:space="preserve">, be it the harm that people on the move inflict on </w:t>
      </w:r>
      <w:r w:rsidR="00BC274F">
        <w:t>themselves</w:t>
      </w:r>
      <w:r w:rsidRPr="00014D3B">
        <w:t xml:space="preserve"> in order to prevent </w:t>
      </w:r>
      <w:r w:rsidRPr="00014D3B" w:rsidR="00B67581">
        <w:t>their body</w:t>
      </w:r>
      <w:r w:rsidRPr="00014D3B">
        <w:t xml:space="preserve"> to be used as </w:t>
      </w:r>
      <w:r w:rsidRPr="00014D3B" w:rsidR="007D72C0">
        <w:t>evidence</w:t>
      </w:r>
      <w:r w:rsidRPr="00014D3B">
        <w:t xml:space="preserve"> against them</w:t>
      </w:r>
      <w:r w:rsidRPr="00014D3B" w:rsidR="00D37EA5">
        <w:t xml:space="preserve"> (think of </w:t>
      </w:r>
      <w:proofErr w:type="spellStart"/>
      <w:r w:rsidRPr="00014D3B" w:rsidR="00D37EA5">
        <w:rPr>
          <w:i/>
          <w:iCs/>
        </w:rPr>
        <w:t>harraga</w:t>
      </w:r>
      <w:proofErr w:type="spellEnd"/>
      <w:r w:rsidRPr="00014D3B" w:rsidR="00D37EA5">
        <w:rPr>
          <w:i/>
          <w:iCs/>
        </w:rPr>
        <w:t xml:space="preserve"> here</w:t>
      </w:r>
      <w:r w:rsidRPr="00014D3B" w:rsidR="00D37EA5">
        <w:t>)</w:t>
      </w:r>
      <w:r w:rsidR="00BC274F">
        <w:t>,</w:t>
      </w:r>
      <w:r w:rsidRPr="00014D3B" w:rsidR="00B67581">
        <w:t xml:space="preserve"> all of these are the world</w:t>
      </w:r>
      <w:r w:rsidRPr="00014D3B" w:rsidR="004F5E62">
        <w:t>-</w:t>
      </w:r>
      <w:r w:rsidRPr="00014D3B" w:rsidR="00B67581">
        <w:t>making feature of the above mentioned technologies that tend to</w:t>
      </w:r>
      <w:r w:rsidRPr="00014D3B" w:rsidR="004F5E62">
        <w:t xml:space="preserve"> create an order of</w:t>
      </w:r>
      <w:r w:rsidRPr="00014D3B" w:rsidR="00B67581">
        <w:t xml:space="preserve"> value </w:t>
      </w:r>
      <w:r w:rsidRPr="00014D3B" w:rsidR="004F5E62">
        <w:t xml:space="preserve">for </w:t>
      </w:r>
      <w:r w:rsidRPr="00014D3B" w:rsidR="00B67581">
        <w:t>li</w:t>
      </w:r>
      <w:r w:rsidRPr="00014D3B" w:rsidR="004F5E62">
        <w:t>ves and bodies.</w:t>
      </w:r>
    </w:p>
    <w:p w:rsidRPr="00014D3B" w:rsidR="00C1171E" w:rsidP="00C1171E" w:rsidRDefault="00C1171E" w14:paraId="5A35025C" w14:textId="3A506C31">
      <w:pPr>
        <w:pStyle w:val="ListParagraph"/>
      </w:pPr>
      <w:r w:rsidRPr="00014D3B">
        <w:t xml:space="preserve">There are variety of examples to be shared about </w:t>
      </w:r>
      <w:r w:rsidRPr="00014D3B" w:rsidR="00CF7E42">
        <w:t>the</w:t>
      </w:r>
      <w:r w:rsidRPr="00014D3B">
        <w:t xml:space="preserve"> link between </w:t>
      </w:r>
      <w:r w:rsidRPr="00014D3B" w:rsidR="00D37EA5">
        <w:t>turning</w:t>
      </w:r>
      <w:r w:rsidRPr="00014D3B">
        <w:t xml:space="preserve"> bodies into migratory evidence and </w:t>
      </w:r>
      <w:r w:rsidRPr="00014D3B" w:rsidR="004F5E62">
        <w:t xml:space="preserve">the </w:t>
      </w:r>
      <w:r w:rsidRPr="00014D3B">
        <w:t>subsequent violence and devaluation of life.</w:t>
      </w:r>
    </w:p>
    <w:p w:rsidRPr="00014D3B" w:rsidR="00C1171E" w:rsidP="00C1171E" w:rsidRDefault="00CF7E42" w14:paraId="4E386F6C" w14:textId="51467A8B">
      <w:pPr>
        <w:pStyle w:val="ListParagraph"/>
      </w:pPr>
      <w:r w:rsidRPr="00014D3B">
        <w:t xml:space="preserve">Each technology of border control produced its own means of circumvention: </w:t>
      </w:r>
      <w:r w:rsidRPr="00014D3B" w:rsidR="00C1171E">
        <w:t>Self-mutilation or b</w:t>
      </w:r>
      <w:r w:rsidRPr="00014D3B">
        <w:t xml:space="preserve">urning fingertips </w:t>
      </w:r>
      <w:r w:rsidRPr="00014D3B" w:rsidR="00C1171E">
        <w:t xml:space="preserve">with fire, acid or razors </w:t>
      </w:r>
      <w:r w:rsidRPr="00014D3B">
        <w:t>to reduce their machine</w:t>
      </w:r>
      <w:r w:rsidRPr="00014D3B" w:rsidR="00C1171E">
        <w:t>-</w:t>
      </w:r>
      <w:r w:rsidRPr="00014D3B">
        <w:t xml:space="preserve">readability, hiding amongst cargo in cold </w:t>
      </w:r>
      <w:r w:rsidRPr="00014D3B" w:rsidR="007D72C0">
        <w:t>fridge</w:t>
      </w:r>
      <w:r w:rsidRPr="00014D3B" w:rsidR="00C1171E">
        <w:t xml:space="preserve">s </w:t>
      </w:r>
      <w:r w:rsidRPr="00014D3B">
        <w:t xml:space="preserve">to reduce thermal detectability, hiding inside cars under </w:t>
      </w:r>
      <w:r w:rsidRPr="00014D3B" w:rsidR="007D72C0">
        <w:t>scorching s</w:t>
      </w:r>
      <w:r w:rsidRPr="00014D3B">
        <w:t xml:space="preserve">un to reduce heartbeat rate in order to hide from heartbeat detector technologies, injecting </w:t>
      </w:r>
      <w:r w:rsidRPr="00014D3B" w:rsidR="007D72C0">
        <w:t>oneself</w:t>
      </w:r>
      <w:r w:rsidRPr="00014D3B">
        <w:t xml:space="preserve"> with </w:t>
      </w:r>
      <w:r w:rsidRPr="00014D3B" w:rsidR="00C1171E">
        <w:t>virus such as HIV</w:t>
      </w:r>
      <w:r w:rsidRPr="00014D3B">
        <w:t xml:space="preserve"> </w:t>
      </w:r>
      <w:r w:rsidRPr="00014D3B" w:rsidR="00C1171E">
        <w:t>in order</w:t>
      </w:r>
      <w:r w:rsidRPr="00014D3B">
        <w:t xml:space="preserve"> to increase chance of admission</w:t>
      </w:r>
      <w:r w:rsidRPr="00014D3B" w:rsidR="004F5E62">
        <w:rPr>
          <w:rStyle w:val="FootnoteReference"/>
        </w:rPr>
        <w:footnoteReference w:id="5"/>
      </w:r>
      <w:r w:rsidRPr="00014D3B">
        <w:t xml:space="preserve">, etc. </w:t>
      </w:r>
      <w:r w:rsidRPr="00014D3B" w:rsidR="00C1171E">
        <w:t>All</w:t>
      </w:r>
      <w:r w:rsidRPr="00014D3B">
        <w:t xml:space="preserve"> are </w:t>
      </w:r>
      <w:r w:rsidRPr="00014D3B" w:rsidR="004F5E62">
        <w:t>violence</w:t>
      </w:r>
      <w:r w:rsidRPr="00014D3B">
        <w:t xml:space="preserve"> that technologies of border control impose on</w:t>
      </w:r>
      <w:r w:rsidRPr="00014D3B" w:rsidR="00C1171E">
        <w:t xml:space="preserve"> the</w:t>
      </w:r>
      <w:r w:rsidRPr="00014D3B">
        <w:t xml:space="preserve"> raciali</w:t>
      </w:r>
      <w:r w:rsidRPr="00014D3B" w:rsidR="004F5E62">
        <w:t>s</w:t>
      </w:r>
      <w:r w:rsidRPr="00014D3B">
        <w:t xml:space="preserve">ed </w:t>
      </w:r>
      <w:r w:rsidRPr="00014D3B" w:rsidR="00C1171E">
        <w:t xml:space="preserve">traveling population by treating their bodies, not in their integrity, but as a set of loosely gathered and </w:t>
      </w:r>
      <w:r w:rsidRPr="00014D3B" w:rsidR="004F5E62">
        <w:t>inter</w:t>
      </w:r>
      <w:r w:rsidRPr="00014D3B" w:rsidR="00C1171E">
        <w:t>linked pieces of evidence</w:t>
      </w:r>
      <w:r w:rsidR="00BC274F">
        <w:t xml:space="preserve"> readable to machine</w:t>
      </w:r>
      <w:r w:rsidRPr="00014D3B" w:rsidR="004F5E62">
        <w:t>.</w:t>
      </w:r>
    </w:p>
    <w:p w:rsidRPr="00014D3B" w:rsidR="00B67581" w:rsidP="00C1171E" w:rsidRDefault="00C1171E" w14:paraId="344CE4E8" w14:textId="5F5B1798">
      <w:pPr>
        <w:pStyle w:val="ListParagraph"/>
      </w:pPr>
      <w:r w:rsidRPr="00014D3B">
        <w:t>Quite literally</w:t>
      </w:r>
      <w:r w:rsidR="00BC274F">
        <w:t xml:space="preserve"> then</w:t>
      </w:r>
      <w:r w:rsidRPr="00014D3B">
        <w:t xml:space="preserve"> as Anzaldúa has put it, borderland is </w:t>
      </w:r>
      <w:r w:rsidRPr="00014D3B">
        <w:rPr>
          <w:i/>
          <w:iCs/>
        </w:rPr>
        <w:t xml:space="preserve">‘es una </w:t>
      </w:r>
      <w:proofErr w:type="spellStart"/>
      <w:r w:rsidRPr="00014D3B">
        <w:rPr>
          <w:i/>
          <w:iCs/>
        </w:rPr>
        <w:t>herida</w:t>
      </w:r>
      <w:proofErr w:type="spellEnd"/>
      <w:r w:rsidRPr="00014D3B">
        <w:rPr>
          <w:i/>
          <w:iCs/>
        </w:rPr>
        <w:t xml:space="preserve"> where the Third World grates against the first and bleeds.’</w:t>
      </w:r>
      <w:r w:rsidRPr="00014D3B">
        <w:rPr>
          <w:rStyle w:val="FootnoteReference"/>
          <w:i/>
          <w:iCs/>
        </w:rPr>
        <w:footnoteReference w:id="6"/>
      </w:r>
    </w:p>
    <w:p w:rsidRPr="00014D3B" w:rsidR="00B67581" w:rsidP="00CF7E42" w:rsidRDefault="00B67581" w14:paraId="36896013" w14:textId="77777777">
      <w:pPr>
        <w:pStyle w:val="ListParagraph"/>
      </w:pPr>
    </w:p>
    <w:p w:rsidRPr="00014D3B" w:rsidR="00D71D13" w:rsidP="004F5E62" w:rsidRDefault="0065598B" w14:paraId="4468B0CE" w14:textId="552E351A">
      <w:pPr>
        <w:pStyle w:val="ListParagraph"/>
        <w:numPr>
          <w:ilvl w:val="0"/>
          <w:numId w:val="6"/>
        </w:numPr>
      </w:pPr>
      <w:r w:rsidRPr="00014D3B">
        <w:t xml:space="preserve">In their </w:t>
      </w:r>
      <w:r w:rsidRPr="00014D3B" w:rsidR="00C1171E">
        <w:t xml:space="preserve">production and </w:t>
      </w:r>
      <w:r w:rsidRPr="00014D3B">
        <w:t xml:space="preserve">development </w:t>
      </w:r>
      <w:r w:rsidRPr="00014D3B" w:rsidR="00C1171E">
        <w:t xml:space="preserve">current technological practices </w:t>
      </w:r>
      <w:r w:rsidRPr="00014D3B">
        <w:t xml:space="preserve">are based on </w:t>
      </w:r>
      <w:r w:rsidRPr="00014D3B" w:rsidR="004F5E62">
        <w:t xml:space="preserve">a </w:t>
      </w:r>
      <w:r w:rsidRPr="00014D3B">
        <w:t xml:space="preserve">racial </w:t>
      </w:r>
      <w:r w:rsidRPr="00014D3B" w:rsidR="004F5E62">
        <w:t>order</w:t>
      </w:r>
      <w:r w:rsidRPr="00014D3B">
        <w:t xml:space="preserve"> of the world</w:t>
      </w:r>
      <w:r w:rsidRPr="00014D3B" w:rsidR="004F5E62">
        <w:t>; labour and exploitation in one side, benefits and prosperity on the other side.</w:t>
      </w:r>
      <w:r w:rsidR="00BC274F">
        <w:t xml:space="preserve"> </w:t>
      </w:r>
      <w:r w:rsidRPr="00014D3B" w:rsidR="00CF7E42">
        <w:t xml:space="preserve">It must not be forgotten </w:t>
      </w:r>
      <w:r w:rsidRPr="00014D3B" w:rsidR="004F5E62">
        <w:t xml:space="preserve">or undermined </w:t>
      </w:r>
      <w:r w:rsidRPr="00014D3B" w:rsidR="00CF7E42">
        <w:t xml:space="preserve">that much of what is framed as advanced digital technologies, artificial intelligence, machine learning, automated decision making </w:t>
      </w:r>
      <w:r w:rsidRPr="00014D3B" w:rsidR="007D72C0">
        <w:t>is</w:t>
      </w:r>
      <w:r w:rsidRPr="00014D3B" w:rsidR="00CF7E42">
        <w:t xml:space="preserve"> produced in a process of labour and land exploitation</w:t>
      </w:r>
      <w:r w:rsidRPr="00014D3B" w:rsidR="00E14734">
        <w:t>.</w:t>
      </w:r>
    </w:p>
    <w:p w:rsidRPr="00014D3B" w:rsidR="00D71D13" w:rsidP="007D72C0" w:rsidRDefault="00D71D13" w14:paraId="3FB72919" w14:textId="77777777"/>
    <w:p w:rsidRPr="00014D3B" w:rsidR="0055718B" w:rsidP="0055718B" w:rsidRDefault="0055718B" w14:paraId="685C6C42" w14:textId="447CE9D8">
      <w:pPr>
        <w:ind w:left="360"/>
      </w:pPr>
      <w:r w:rsidRPr="00014D3B">
        <w:t xml:space="preserve">So to say border technologies are racial </w:t>
      </w:r>
      <w:r w:rsidRPr="00014D3B" w:rsidR="00827D9B">
        <w:t>i</w:t>
      </w:r>
      <w:r w:rsidRPr="00014D3B">
        <w:t xml:space="preserve">n their context (preserving a particular conception of </w:t>
      </w:r>
      <w:r w:rsidRPr="00014D3B" w:rsidR="00827D9B">
        <w:t xml:space="preserve">the </w:t>
      </w:r>
      <w:r w:rsidRPr="00014D3B">
        <w:t>Nation-State, a.k.a. migration law</w:t>
      </w:r>
      <w:r w:rsidRPr="00014D3B" w:rsidR="00827D9B">
        <w:t>s</w:t>
      </w:r>
      <w:r w:rsidRPr="00014D3B">
        <w:t xml:space="preserve"> and policies</w:t>
      </w:r>
      <w:r w:rsidRPr="00014D3B" w:rsidR="00827D9B">
        <w:t xml:space="preserve">, </w:t>
      </w:r>
      <w:r w:rsidRPr="00014D3B">
        <w:t>to begin with), but also in their origin and history (</w:t>
      </w:r>
      <w:r w:rsidRPr="00014D3B" w:rsidR="00827D9B">
        <w:t>f</w:t>
      </w:r>
      <w:r w:rsidRPr="00014D3B">
        <w:t>ingerprinting, biometric, photography and digital visual technologies), in their actual production and development (labour exploitation and land extraction), in their assumptions and the actual operation (age assessment, language and accent analysis etc.), in their outcome and their world-making function (reducing bodies to disintegrated bunch of evidence, maintaining the racial hierarchies of movement</w:t>
      </w:r>
      <w:r w:rsidRPr="00014D3B" w:rsidR="00827D9B">
        <w:t xml:space="preserve"> and labour.</w:t>
      </w:r>
    </w:p>
    <w:p w:rsidRPr="00014D3B" w:rsidR="0055718B" w:rsidP="00BA0155" w:rsidRDefault="0055718B" w14:paraId="17F3DD1C" w14:textId="6D4CEC7B"/>
    <w:p w:rsidRPr="00014D3B" w:rsidR="004302A7" w:rsidP="00BA0155" w:rsidRDefault="004302A7" w14:paraId="3B192A24" w14:textId="2CC3E4CA">
      <w:r w:rsidRPr="00014D3B">
        <w:t>25</w:t>
      </w:r>
      <w:r w:rsidRPr="00014D3B">
        <w:rPr>
          <w:vertAlign w:val="superscript"/>
        </w:rPr>
        <w:t>th</w:t>
      </w:r>
      <w:r w:rsidRPr="00014D3B">
        <w:t xml:space="preserve"> May 2020</w:t>
      </w:r>
    </w:p>
    <w:p w:rsidRPr="00014D3B" w:rsidR="004302A7" w:rsidP="00BA0155" w:rsidRDefault="004302A7" w14:paraId="722CE67C" w14:textId="4B5600CF">
      <w:r w:rsidRPr="00014D3B">
        <w:t>Malmö</w:t>
      </w:r>
    </w:p>
    <w:sectPr w:rsidRPr="00014D3B" w:rsidR="004302A7" w:rsidSect="00AA693D">
      <w:footerReference w:type="even" r:id="rId8"/>
      <w:footerReference w:type="default" r:id="rId9"/>
      <w:pgSz w:w="11900" w:h="16840" w:orient="portrait"/>
      <w:pgMar w:top="1440" w:right="1440" w:bottom="1440" w:left="1440" w:header="708" w:footer="708" w:gutter="0"/>
      <w:cols w:space="708"/>
      <w:docGrid w:linePitch="360"/>
      <w:headerReference w:type="default" r:id="R88f920dbe41a44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82F53" w:rsidP="0022779C" w:rsidRDefault="00982F53" w14:paraId="752D8AF5" w14:textId="77777777">
      <w:r>
        <w:separator/>
      </w:r>
    </w:p>
  </w:endnote>
  <w:endnote w:type="continuationSeparator" w:id="0">
    <w:p w:rsidR="00982F53" w:rsidP="0022779C" w:rsidRDefault="00982F53" w14:paraId="70E38F9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3646161"/>
      <w:docPartObj>
        <w:docPartGallery w:val="Page Numbers (Bottom of Page)"/>
        <w:docPartUnique/>
      </w:docPartObj>
    </w:sdtPr>
    <w:sdtContent>
      <w:p w:rsidR="004F5E62" w:rsidP="004F5E62" w:rsidRDefault="004F5E62" w14:paraId="36FCA2CB" w14:textId="712EB045">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F5E62" w:rsidP="0022779C" w:rsidRDefault="004F5E62" w14:paraId="46549C4A"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5475311"/>
      <w:docPartObj>
        <w:docPartGallery w:val="Page Numbers (Bottom of Page)"/>
        <w:docPartUnique/>
      </w:docPartObj>
    </w:sdtPr>
    <w:sdtContent>
      <w:p w:rsidR="004F5E62" w:rsidP="004F5E62" w:rsidRDefault="004F5E62" w14:paraId="2AB24401" w14:textId="0BCF6518">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F5E62" w:rsidP="0022779C" w:rsidRDefault="004F5E62" w14:paraId="198F54BB"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82F53" w:rsidP="0022779C" w:rsidRDefault="00982F53" w14:paraId="4A6FBF24" w14:textId="77777777">
      <w:r>
        <w:separator/>
      </w:r>
    </w:p>
  </w:footnote>
  <w:footnote w:type="continuationSeparator" w:id="0">
    <w:p w:rsidR="00982F53" w:rsidP="0022779C" w:rsidRDefault="00982F53" w14:paraId="18A4E778" w14:textId="77777777">
      <w:r>
        <w:continuationSeparator/>
      </w:r>
    </w:p>
  </w:footnote>
  <w:footnote w:id="1">
    <w:p w:rsidRPr="00AA5FF1" w:rsidR="004F5E62" w:rsidP="002729F4" w:rsidRDefault="004F5E62" w14:paraId="3BA23B4C" w14:textId="3BB0DFDF">
      <w:pPr>
        <w:pStyle w:val="FootnoteText"/>
        <w:rPr>
          <w:i/>
          <w:iCs/>
          <w:lang w:val="en-US"/>
        </w:rPr>
      </w:pPr>
      <w:r w:rsidRPr="00AA5FF1">
        <w:rPr>
          <w:rStyle w:val="FootnoteReference"/>
        </w:rPr>
        <w:footnoteRef/>
      </w:r>
      <w:r w:rsidRPr="00AA5FF1">
        <w:t xml:space="preserve"> See: Keith Breckenridge, </w:t>
      </w:r>
      <w:r w:rsidRPr="00AA5FF1">
        <w:rPr>
          <w:i/>
          <w:iCs/>
          <w:lang w:val="en-US"/>
        </w:rPr>
        <w:t>Biometric State: The global politics of identification and surveillance in South Africa</w:t>
      </w:r>
      <w:r w:rsidRPr="00AA5FF1">
        <w:rPr>
          <w:lang w:val="en-US"/>
        </w:rPr>
        <w:t xml:space="preserve"> </w:t>
      </w:r>
      <w:r w:rsidRPr="00AA5FF1">
        <w:rPr>
          <w:i/>
          <w:iCs/>
          <w:lang w:val="en-US"/>
        </w:rPr>
        <w:t>1850 to the Present</w:t>
      </w:r>
      <w:r w:rsidRPr="00AA5FF1">
        <w:rPr>
          <w:lang w:val="en-US"/>
        </w:rPr>
        <w:t xml:space="preserve"> (Cambridge university Press 2014) and </w:t>
      </w:r>
      <w:proofErr w:type="spellStart"/>
      <w:r w:rsidRPr="00AA5FF1">
        <w:rPr>
          <w:lang w:val="en-US"/>
        </w:rPr>
        <w:t>Chandak</w:t>
      </w:r>
      <w:proofErr w:type="spellEnd"/>
      <w:r w:rsidRPr="00AA5FF1">
        <w:rPr>
          <w:lang w:val="en-US"/>
        </w:rPr>
        <w:t xml:space="preserve"> </w:t>
      </w:r>
      <w:proofErr w:type="spellStart"/>
      <w:r w:rsidRPr="00AA5FF1">
        <w:rPr>
          <w:lang w:val="en-US"/>
        </w:rPr>
        <w:t>Sengoopta</w:t>
      </w:r>
      <w:proofErr w:type="spellEnd"/>
      <w:r w:rsidRPr="00AA5FF1">
        <w:rPr>
          <w:lang w:val="en-US"/>
        </w:rPr>
        <w:t xml:space="preserve">, </w:t>
      </w:r>
      <w:r w:rsidRPr="00AA5FF1">
        <w:rPr>
          <w:i/>
          <w:iCs/>
          <w:lang w:val="en-US"/>
        </w:rPr>
        <w:t>Imprint of the Raj: How fingerprinting was born in Colonial India</w:t>
      </w:r>
      <w:r w:rsidRPr="00AA5FF1">
        <w:rPr>
          <w:lang w:val="en-US"/>
        </w:rPr>
        <w:t xml:space="preserve"> (Pan Macmillan 2013). </w:t>
      </w:r>
      <w:r w:rsidRPr="00AA5FF1">
        <w:rPr>
          <w:i/>
          <w:iCs/>
          <w:lang w:val="en-US"/>
        </w:rPr>
        <w:t xml:space="preserve"> </w:t>
      </w:r>
    </w:p>
  </w:footnote>
  <w:footnote w:id="2">
    <w:p w:rsidRPr="00AA5FF1" w:rsidR="004F5E62" w:rsidRDefault="004F5E62" w14:paraId="0D6BA017" w14:textId="204AAE04">
      <w:pPr>
        <w:pStyle w:val="FootnoteText"/>
        <w:rPr>
          <w:lang w:val="en-US"/>
        </w:rPr>
      </w:pPr>
      <w:r w:rsidRPr="00AA5FF1">
        <w:rPr>
          <w:rStyle w:val="FootnoteReference"/>
        </w:rPr>
        <w:footnoteRef/>
      </w:r>
      <w:r w:rsidRPr="00AA5FF1">
        <w:t xml:space="preserve"> See: Mahmoud Keshavarz, </w:t>
      </w:r>
      <w:r w:rsidRPr="00AA5FF1">
        <w:rPr>
          <w:i/>
          <w:iCs/>
          <w:lang w:val="en-US"/>
        </w:rPr>
        <w:t xml:space="preserve">The Design Politics of the Passport: Materiality, immobility, and dissent </w:t>
      </w:r>
      <w:r w:rsidRPr="00AA5FF1">
        <w:rPr>
          <w:lang w:val="en-US"/>
        </w:rPr>
        <w:t>(Bloomsbury Visual 208)</w:t>
      </w:r>
      <w:r w:rsidRPr="00AA5FF1">
        <w:rPr>
          <w:i/>
          <w:iCs/>
          <w:lang w:val="en-US"/>
        </w:rPr>
        <w:t xml:space="preserve">, </w:t>
      </w:r>
      <w:r w:rsidRPr="00AA5FF1">
        <w:rPr>
          <w:lang w:val="en-US"/>
        </w:rPr>
        <w:t>and</w:t>
      </w:r>
      <w:r w:rsidRPr="00AA5FF1">
        <w:rPr>
          <w:i/>
          <w:iCs/>
          <w:lang w:val="en-US"/>
        </w:rPr>
        <w:t xml:space="preserve"> </w:t>
      </w:r>
      <w:proofErr w:type="spellStart"/>
      <w:r w:rsidRPr="00AA5FF1">
        <w:rPr>
          <w:lang w:val="en-US"/>
        </w:rPr>
        <w:t>Reviel</w:t>
      </w:r>
      <w:proofErr w:type="spellEnd"/>
      <w:r w:rsidRPr="00AA5FF1">
        <w:rPr>
          <w:lang w:val="en-US"/>
        </w:rPr>
        <w:t xml:space="preserve"> </w:t>
      </w:r>
      <w:proofErr w:type="spellStart"/>
      <w:r w:rsidRPr="00AA5FF1">
        <w:rPr>
          <w:lang w:val="en-US"/>
        </w:rPr>
        <w:t>Netz</w:t>
      </w:r>
      <w:proofErr w:type="spellEnd"/>
      <w:r w:rsidRPr="00AA5FF1">
        <w:rPr>
          <w:lang w:val="en-US"/>
        </w:rPr>
        <w:t xml:space="preserve">, </w:t>
      </w:r>
      <w:r w:rsidRPr="00AA5FF1">
        <w:rPr>
          <w:i/>
          <w:iCs/>
          <w:lang w:val="en-US"/>
        </w:rPr>
        <w:t>Barbed Wire: An ecology of modernity</w:t>
      </w:r>
      <w:r w:rsidRPr="00AA5FF1">
        <w:rPr>
          <w:lang w:val="en-US"/>
        </w:rPr>
        <w:t xml:space="preserve"> (Wesleyan University Press 2004).</w:t>
      </w:r>
      <w:r>
        <w:rPr>
          <w:lang w:val="en-US"/>
        </w:rPr>
        <w:t xml:space="preserve"> In this example technology is used both meanings of the word.</w:t>
      </w:r>
    </w:p>
  </w:footnote>
  <w:footnote w:id="3">
    <w:p w:rsidRPr="00AA5FF1" w:rsidR="004F5E62" w:rsidRDefault="004F5E62" w14:paraId="1DA7C988" w14:textId="447AF2C5">
      <w:pPr>
        <w:pStyle w:val="FootnoteText"/>
        <w:rPr>
          <w:lang w:val="en-US"/>
        </w:rPr>
      </w:pPr>
      <w:r w:rsidRPr="00AA5FF1">
        <w:rPr>
          <w:rStyle w:val="FootnoteReference"/>
        </w:rPr>
        <w:footnoteRef/>
      </w:r>
      <w:r w:rsidRPr="00AA5FF1">
        <w:t xml:space="preserve"> See Pedro Oliveira, ‘On the Endless Infrastructural Reach of a Phoneme’ </w:t>
      </w:r>
      <w:proofErr w:type="spellStart"/>
      <w:r w:rsidRPr="00AA5FF1">
        <w:t>Transmediale</w:t>
      </w:r>
      <w:proofErr w:type="spellEnd"/>
      <w:r w:rsidRPr="00AA5FF1">
        <w:t xml:space="preserve">/Art &amp; </w:t>
      </w:r>
      <w:proofErr w:type="spellStart"/>
      <w:r w:rsidRPr="00AA5FF1">
        <w:t>digitalculture</w:t>
      </w:r>
      <w:proofErr w:type="spellEnd"/>
      <w:r w:rsidRPr="00AA5FF1">
        <w:t>, Issue #3, 2019. I also suspect similar findings can be explored in rather well-known works of Lawrence Abu Hamdan on politics of listening.</w:t>
      </w:r>
      <w:r>
        <w:t xml:space="preserve"> This example was not literal</w:t>
      </w:r>
      <w:r w:rsidR="00717C59">
        <w:t xml:space="preserve"> but drawn from Oliveira’s work.</w:t>
      </w:r>
    </w:p>
  </w:footnote>
  <w:footnote w:id="4">
    <w:p w:rsidRPr="00AA5FF1" w:rsidR="004F5E62" w:rsidRDefault="004F5E62" w14:paraId="4C106404" w14:textId="7E1FA17A">
      <w:pPr>
        <w:pStyle w:val="FootnoteText"/>
        <w:rPr>
          <w:lang w:val="en-US"/>
        </w:rPr>
      </w:pPr>
      <w:r w:rsidRPr="00AA5FF1">
        <w:rPr>
          <w:rStyle w:val="FootnoteReference"/>
        </w:rPr>
        <w:footnoteRef/>
      </w:r>
      <w:r w:rsidRPr="00AA5FF1">
        <w:t xml:space="preserve"> </w:t>
      </w:r>
      <w:r w:rsidRPr="00AA5FF1">
        <w:rPr>
          <w:lang w:val="en-US"/>
        </w:rPr>
        <w:t xml:space="preserve">Gregor Noll, ‘Junk Science? Four arguments against the radiological age assessment of unaccompanied minors seeking asylum’, </w:t>
      </w:r>
      <w:r w:rsidRPr="00AA5FF1">
        <w:rPr>
          <w:i/>
          <w:iCs/>
          <w:lang w:val="en-US"/>
        </w:rPr>
        <w:t>International Journal of Refugee Law,</w:t>
      </w:r>
      <w:r w:rsidRPr="00AA5FF1">
        <w:rPr>
          <w:lang w:val="en-US"/>
        </w:rPr>
        <w:t xml:space="preserve"> 28:2 2016.</w:t>
      </w:r>
    </w:p>
  </w:footnote>
  <w:footnote w:id="5">
    <w:p w:rsidRPr="004F5E62" w:rsidR="004F5E62" w:rsidRDefault="004F5E62" w14:paraId="762D1B60" w14:textId="4114CBF9">
      <w:pPr>
        <w:pStyle w:val="FootnoteText"/>
      </w:pPr>
      <w:r>
        <w:rPr>
          <w:rStyle w:val="FootnoteReference"/>
        </w:rPr>
        <w:footnoteRef/>
      </w:r>
      <w:r>
        <w:t xml:space="preserve"> This source is limited to the last example: </w:t>
      </w:r>
      <w:r w:rsidRPr="004F5E62">
        <w:t xml:space="preserve">Miriam </w:t>
      </w:r>
      <w:proofErr w:type="spellStart"/>
      <w:r w:rsidRPr="004F5E62">
        <w:t>Ticktin</w:t>
      </w:r>
      <w:proofErr w:type="spellEnd"/>
      <w:r w:rsidRPr="004F5E62">
        <w:t xml:space="preserve">, </w:t>
      </w:r>
      <w:r w:rsidRPr="004F5E62">
        <w:rPr>
          <w:i/>
          <w:iCs/>
        </w:rPr>
        <w:t>Casualties of Care</w:t>
      </w:r>
      <w:r>
        <w:rPr>
          <w:i/>
          <w:iCs/>
        </w:rPr>
        <w:t xml:space="preserve">: Immigration and the politics of humanitarianism in France </w:t>
      </w:r>
      <w:r>
        <w:t>(University of California Press 2011).</w:t>
      </w:r>
    </w:p>
  </w:footnote>
  <w:footnote w:id="6">
    <w:p w:rsidRPr="00AA5FF1" w:rsidR="004F5E62" w:rsidP="00C1171E" w:rsidRDefault="004F5E62" w14:paraId="72972C4C" w14:textId="47EFA837">
      <w:pPr>
        <w:pStyle w:val="FootnoteText"/>
        <w:rPr>
          <w:lang w:val="en-US"/>
        </w:rPr>
      </w:pPr>
      <w:r w:rsidRPr="00AA5FF1">
        <w:rPr>
          <w:rStyle w:val="FootnoteReference"/>
        </w:rPr>
        <w:footnoteRef/>
      </w:r>
      <w:r w:rsidRPr="00AA5FF1">
        <w:rPr>
          <w:lang w:val="en-US"/>
        </w:rPr>
        <w:t xml:space="preserve"> Gloria Anzaldúa, </w:t>
      </w:r>
      <w:r w:rsidRPr="00AA5FF1">
        <w:rPr>
          <w:i/>
          <w:iCs/>
          <w:lang w:val="en-US"/>
        </w:rPr>
        <w:t xml:space="preserve">Borderlands: La Frontera: The new mestiza </w:t>
      </w:r>
      <w:r w:rsidRPr="00AA5FF1">
        <w:rPr>
          <w:lang w:val="en-US"/>
        </w:rPr>
        <w:t>(Aunt Lute books, Fourth edition 2012) p. 25.</w:t>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7"/>
      <w:gridCol w:w="3007"/>
      <w:gridCol w:w="3007"/>
    </w:tblGrid>
    <w:tr w:rsidR="2F1AC33B" w:rsidTr="2F1AC33B" w14:paraId="73A59555">
      <w:tc>
        <w:tcPr>
          <w:tcW w:w="3007" w:type="dxa"/>
          <w:tcMar/>
        </w:tcPr>
        <w:p w:rsidR="2F1AC33B" w:rsidP="2F1AC33B" w:rsidRDefault="2F1AC33B" w14:paraId="15EF2C1A" w14:textId="3FF56145">
          <w:pPr>
            <w:pStyle w:val="Header"/>
            <w:bidi w:val="0"/>
            <w:ind w:left="-115"/>
            <w:jc w:val="left"/>
          </w:pPr>
        </w:p>
      </w:tc>
      <w:tc>
        <w:tcPr>
          <w:tcW w:w="3007" w:type="dxa"/>
          <w:tcMar/>
        </w:tcPr>
        <w:p w:rsidR="2F1AC33B" w:rsidP="2F1AC33B" w:rsidRDefault="2F1AC33B" w14:paraId="4C336B45" w14:textId="2640B095">
          <w:pPr>
            <w:pStyle w:val="Header"/>
            <w:bidi w:val="0"/>
            <w:jc w:val="center"/>
          </w:pPr>
        </w:p>
      </w:tc>
      <w:tc>
        <w:tcPr>
          <w:tcW w:w="3007" w:type="dxa"/>
          <w:tcMar/>
        </w:tcPr>
        <w:p w:rsidR="2F1AC33B" w:rsidP="2F1AC33B" w:rsidRDefault="2F1AC33B" w14:paraId="057D69CE" w14:textId="46209386">
          <w:pPr>
            <w:pStyle w:val="Header"/>
            <w:bidi w:val="0"/>
            <w:ind w:right="-115"/>
            <w:jc w:val="right"/>
          </w:pPr>
        </w:p>
      </w:tc>
    </w:tr>
  </w:tbl>
  <w:p w:rsidR="2F1AC33B" w:rsidP="2F1AC33B" w:rsidRDefault="2F1AC33B" w14:paraId="347BD9B0" w14:textId="1271321B">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D43DA"/>
    <w:multiLevelType w:val="hybridMultilevel"/>
    <w:tmpl w:val="BFDE39A6"/>
    <w:lvl w:ilvl="0" w:tplc="105E5C5C">
      <w:start w:val="13"/>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20FB7F91"/>
    <w:multiLevelType w:val="hybridMultilevel"/>
    <w:tmpl w:val="B28ACF3A"/>
    <w:lvl w:ilvl="0" w:tplc="B3B6D2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6E21A1"/>
    <w:multiLevelType w:val="hybridMultilevel"/>
    <w:tmpl w:val="87C042EE"/>
    <w:lvl w:ilvl="0" w:tplc="105E5C5C">
      <w:start w:val="13"/>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64437DE"/>
    <w:multiLevelType w:val="hybridMultilevel"/>
    <w:tmpl w:val="872882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F314AE"/>
    <w:multiLevelType w:val="hybridMultilevel"/>
    <w:tmpl w:val="B3241EB4"/>
    <w:lvl w:ilvl="0" w:tplc="A80C41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3C06706"/>
    <w:multiLevelType w:val="hybridMultilevel"/>
    <w:tmpl w:val="0BA401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70"/>
  <w:displayBackgroundShape/>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81"/>
    <w:rsid w:val="00014D3B"/>
    <w:rsid w:val="000F3B37"/>
    <w:rsid w:val="00144BBB"/>
    <w:rsid w:val="001832A9"/>
    <w:rsid w:val="0022779C"/>
    <w:rsid w:val="00232625"/>
    <w:rsid w:val="00253F24"/>
    <w:rsid w:val="002729F4"/>
    <w:rsid w:val="002C2663"/>
    <w:rsid w:val="00397B9C"/>
    <w:rsid w:val="003B09B3"/>
    <w:rsid w:val="003D3DEE"/>
    <w:rsid w:val="004302A7"/>
    <w:rsid w:val="004F5E62"/>
    <w:rsid w:val="005327E7"/>
    <w:rsid w:val="0055718B"/>
    <w:rsid w:val="005710BD"/>
    <w:rsid w:val="005723B1"/>
    <w:rsid w:val="005B7DBC"/>
    <w:rsid w:val="005C607B"/>
    <w:rsid w:val="00613054"/>
    <w:rsid w:val="006428AC"/>
    <w:rsid w:val="00647A83"/>
    <w:rsid w:val="0065598B"/>
    <w:rsid w:val="0068314E"/>
    <w:rsid w:val="00700586"/>
    <w:rsid w:val="00710460"/>
    <w:rsid w:val="00717C59"/>
    <w:rsid w:val="00734D74"/>
    <w:rsid w:val="007A2327"/>
    <w:rsid w:val="007C5DEE"/>
    <w:rsid w:val="007D72C0"/>
    <w:rsid w:val="00827D9B"/>
    <w:rsid w:val="0091750C"/>
    <w:rsid w:val="00982F53"/>
    <w:rsid w:val="009D0476"/>
    <w:rsid w:val="00A01190"/>
    <w:rsid w:val="00A062AD"/>
    <w:rsid w:val="00A3673D"/>
    <w:rsid w:val="00A46076"/>
    <w:rsid w:val="00A71C91"/>
    <w:rsid w:val="00AA5FF1"/>
    <w:rsid w:val="00AA693D"/>
    <w:rsid w:val="00AE76DC"/>
    <w:rsid w:val="00B27BD3"/>
    <w:rsid w:val="00B32697"/>
    <w:rsid w:val="00B36408"/>
    <w:rsid w:val="00B43D81"/>
    <w:rsid w:val="00B67581"/>
    <w:rsid w:val="00B84061"/>
    <w:rsid w:val="00BA0155"/>
    <w:rsid w:val="00BA7855"/>
    <w:rsid w:val="00BC274F"/>
    <w:rsid w:val="00C1171E"/>
    <w:rsid w:val="00C75007"/>
    <w:rsid w:val="00C84A5D"/>
    <w:rsid w:val="00CD23F0"/>
    <w:rsid w:val="00CF3ECC"/>
    <w:rsid w:val="00CF7E42"/>
    <w:rsid w:val="00D16161"/>
    <w:rsid w:val="00D24084"/>
    <w:rsid w:val="00D25B17"/>
    <w:rsid w:val="00D37EA5"/>
    <w:rsid w:val="00D71D13"/>
    <w:rsid w:val="00DE7E6C"/>
    <w:rsid w:val="00DF4C87"/>
    <w:rsid w:val="00E14734"/>
    <w:rsid w:val="00E922DF"/>
    <w:rsid w:val="00EA5A30"/>
    <w:rsid w:val="00EB1A5A"/>
    <w:rsid w:val="00F7352D"/>
    <w:rsid w:val="00FB725D"/>
    <w:rsid w:val="2F1AC33B"/>
  </w:rsids>
  <m:mathPr>
    <m:mathFont m:val="Cambria Math"/>
    <m:brkBin m:val="before"/>
    <m:brkBinSub m:val="--"/>
    <m:smallFrac m:val="0"/>
    <m:dispDef/>
    <m:lMargin m:val="0"/>
    <m:rMargin m:val="0"/>
    <m:defJc m:val="centerGroup"/>
    <m:wrapIndent m:val="1440"/>
    <m:intLim m:val="subSup"/>
    <m:naryLim m:val="undOvr"/>
  </m:mathPr>
  <w:themeFontLang w:val="en-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58547"/>
  <w15:chartTrackingRefBased/>
  <w15:docId w15:val="{A82C3FCC-2D21-C345-B339-9411F7D0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43D81"/>
    <w:pPr>
      <w:ind w:left="720"/>
      <w:contextualSpacing/>
    </w:pPr>
  </w:style>
  <w:style w:type="paragraph" w:styleId="BalloonText">
    <w:name w:val="Balloon Text"/>
    <w:basedOn w:val="Normal"/>
    <w:link w:val="BalloonTextChar"/>
    <w:uiPriority w:val="99"/>
    <w:semiHidden/>
    <w:unhideWhenUsed/>
    <w:rsid w:val="00B43D81"/>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B43D81"/>
    <w:rPr>
      <w:rFonts w:ascii="Times New Roman" w:hAnsi="Times New Roman" w:cs="Times New Roman"/>
      <w:sz w:val="18"/>
      <w:szCs w:val="18"/>
      <w:lang w:val="en-GB"/>
    </w:rPr>
  </w:style>
  <w:style w:type="paragraph" w:styleId="Footer">
    <w:name w:val="footer"/>
    <w:basedOn w:val="Normal"/>
    <w:link w:val="FooterChar"/>
    <w:uiPriority w:val="99"/>
    <w:unhideWhenUsed/>
    <w:rsid w:val="0022779C"/>
    <w:pPr>
      <w:tabs>
        <w:tab w:val="center" w:pos="4513"/>
        <w:tab w:val="right" w:pos="9026"/>
      </w:tabs>
    </w:pPr>
  </w:style>
  <w:style w:type="character" w:styleId="FooterChar" w:customStyle="1">
    <w:name w:val="Footer Char"/>
    <w:basedOn w:val="DefaultParagraphFont"/>
    <w:link w:val="Footer"/>
    <w:uiPriority w:val="99"/>
    <w:rsid w:val="0022779C"/>
    <w:rPr>
      <w:lang w:val="en-GB"/>
    </w:rPr>
  </w:style>
  <w:style w:type="character" w:styleId="PageNumber">
    <w:name w:val="page number"/>
    <w:basedOn w:val="DefaultParagraphFont"/>
    <w:uiPriority w:val="99"/>
    <w:semiHidden/>
    <w:unhideWhenUsed/>
    <w:rsid w:val="0022779C"/>
  </w:style>
  <w:style w:type="paragraph" w:styleId="FootnoteText">
    <w:name w:val="footnote text"/>
    <w:basedOn w:val="Normal"/>
    <w:link w:val="FootnoteTextChar"/>
    <w:uiPriority w:val="99"/>
    <w:semiHidden/>
    <w:unhideWhenUsed/>
    <w:rsid w:val="005710BD"/>
    <w:rPr>
      <w:sz w:val="20"/>
      <w:szCs w:val="20"/>
    </w:rPr>
  </w:style>
  <w:style w:type="character" w:styleId="FootnoteTextChar" w:customStyle="1">
    <w:name w:val="Footnote Text Char"/>
    <w:basedOn w:val="DefaultParagraphFont"/>
    <w:link w:val="FootnoteText"/>
    <w:uiPriority w:val="99"/>
    <w:semiHidden/>
    <w:rsid w:val="005710BD"/>
    <w:rPr>
      <w:sz w:val="20"/>
      <w:szCs w:val="20"/>
      <w:lang w:val="en-GB"/>
    </w:rPr>
  </w:style>
  <w:style w:type="character" w:styleId="FootnoteReference">
    <w:name w:val="footnote reference"/>
    <w:basedOn w:val="DefaultParagraphFont"/>
    <w:uiPriority w:val="99"/>
    <w:semiHidden/>
    <w:unhideWhenUsed/>
    <w:rsid w:val="005710BD"/>
    <w:rPr>
      <w:vertAlign w:val="superscript"/>
    </w:rPr>
  </w:style>
  <w:style w:type="paragraph" w:styleId="Title">
    <w:name w:val="Title"/>
    <w:basedOn w:val="Normal"/>
    <w:next w:val="Normal"/>
    <w:link w:val="TitleChar"/>
    <w:uiPriority w:val="10"/>
    <w:qFormat/>
    <w:rsid w:val="00C84A5D"/>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C84A5D"/>
    <w:rPr>
      <w:rFonts w:asciiTheme="majorHAnsi" w:hAnsiTheme="majorHAnsi" w:eastAsiaTheme="majorEastAsia" w:cstheme="majorBidi"/>
      <w:spacing w:val="-10"/>
      <w:kern w:val="28"/>
      <w:sz w:val="56"/>
      <w:szCs w:val="56"/>
      <w:lang w:val="en-GB"/>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 Type="http://schemas.openxmlformats.org/officeDocument/2006/relationships/customXml" Target="../customXml/item4.xml" Id="rId14" /><Relationship Type="http://schemas.openxmlformats.org/officeDocument/2006/relationships/glossaryDocument" Target="/word/glossary/document.xml" Id="R2ed0620eb76a4ffc" /><Relationship Type="http://schemas.openxmlformats.org/officeDocument/2006/relationships/header" Target="/word/header.xml" Id="R88f920dbe41a444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9f3b090-05d3-433d-a590-99c3be7b42d4}"/>
      </w:docPartPr>
      <w:docPartBody>
        <w:p w14:paraId="2F1AC33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897F71-089E-6D4C-AD6A-BC5BCB59C9CD}">
  <ds:schemaRefs>
    <ds:schemaRef ds:uri="http://schemas.openxmlformats.org/officeDocument/2006/bibliography"/>
  </ds:schemaRefs>
</ds:datastoreItem>
</file>

<file path=customXml/itemProps2.xml><?xml version="1.0" encoding="utf-8"?>
<ds:datastoreItem xmlns:ds="http://schemas.openxmlformats.org/officeDocument/2006/customXml" ds:itemID="{ED169FAE-1FCD-4A01-883B-F2D01B9121B7}"/>
</file>

<file path=customXml/itemProps3.xml><?xml version="1.0" encoding="utf-8"?>
<ds:datastoreItem xmlns:ds="http://schemas.openxmlformats.org/officeDocument/2006/customXml" ds:itemID="{44455D6E-A247-4B4E-BCE5-56C4B9859005}"/>
</file>

<file path=customXml/itemProps4.xml><?xml version="1.0" encoding="utf-8"?>
<ds:datastoreItem xmlns:ds="http://schemas.openxmlformats.org/officeDocument/2006/customXml" ds:itemID="{66C25C7A-778A-47EF-8BBF-12C4876293D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Parsa</dc:creator>
  <cp:keywords/>
  <dc:description/>
  <cp:lastModifiedBy>Jung, Seulgee (IHRC)</cp:lastModifiedBy>
  <cp:revision>42</cp:revision>
  <dcterms:created xsi:type="dcterms:W3CDTF">2020-04-08T10:04:00Z</dcterms:created>
  <dcterms:modified xsi:type="dcterms:W3CDTF">2020-10-29T03:30:54Z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