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trPr>
          <w:trHeight w:val="851"/>
        </w:trPr>
        <w:tc>
          <w:tcPr>
            <w:tcW w:w="1259" w:type="dxa"/>
            <w:tcBorders>
              <w:top w:val="nil"/>
              <w:left w:val="nil"/>
              <w:bottom w:val="single" w:sz="4" w:space="0" w:color="auto"/>
              <w:right w:val="nil"/>
            </w:tcBorders>
          </w:tcPr>
          <w:p w:rsidR="00B4698C" w:rsidRDefault="00B4698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B4698C" w:rsidRDefault="00B4698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B4698C" w:rsidRDefault="00B4698C" w:rsidP="002379D6">
            <w:pPr>
              <w:jc w:val="right"/>
            </w:pPr>
            <w:r>
              <w:rPr>
                <w:sz w:val="40"/>
              </w:rPr>
              <w:t>A</w:t>
            </w:r>
            <w:r>
              <w:t>/</w:t>
            </w:r>
            <w:r w:rsidR="00D37EA6">
              <w:t>73/45410</w:t>
            </w:r>
          </w:p>
        </w:tc>
      </w:tr>
      <w:tr w:rsidR="00B4698C">
        <w:trPr>
          <w:trHeight w:val="2835"/>
        </w:trPr>
        <w:tc>
          <w:tcPr>
            <w:tcW w:w="1259" w:type="dxa"/>
            <w:tcBorders>
              <w:top w:val="single" w:sz="4" w:space="0" w:color="auto"/>
              <w:left w:val="nil"/>
              <w:bottom w:val="single" w:sz="12" w:space="0" w:color="auto"/>
              <w:right w:val="nil"/>
            </w:tcBorders>
          </w:tcPr>
          <w:p w:rsidR="00B4698C" w:rsidRDefault="000B34E5">
            <w:pPr>
              <w:spacing w:before="120"/>
              <w:jc w:val="center"/>
            </w:pPr>
            <w:r>
              <w:rPr>
                <w:noProof/>
                <w:lang w:eastAsia="en-GB"/>
              </w:rPr>
              <w:drawing>
                <wp:inline distT="0" distB="0" distL="0" distR="0" wp14:anchorId="410E69C7" wp14:editId="60FCD2EE">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B4698C" w:rsidRDefault="00B4698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B4698C" w:rsidRDefault="00B4698C">
            <w:pPr>
              <w:spacing w:before="240" w:line="240" w:lineRule="exact"/>
            </w:pPr>
            <w:r>
              <w:t>Distr.: General</w:t>
            </w:r>
          </w:p>
          <w:p w:rsidR="00B4698C" w:rsidRDefault="003C1B34">
            <w:pPr>
              <w:spacing w:line="240" w:lineRule="exact"/>
            </w:pPr>
            <w:r>
              <w:t>4</w:t>
            </w:r>
            <w:r w:rsidR="009E1BCE">
              <w:t xml:space="preserve"> September </w:t>
            </w:r>
            <w:r w:rsidR="00D37EA6">
              <w:t>2018</w:t>
            </w:r>
          </w:p>
          <w:p w:rsidR="00B4698C" w:rsidRDefault="00B4698C">
            <w:pPr>
              <w:spacing w:line="240" w:lineRule="exact"/>
            </w:pPr>
          </w:p>
          <w:p w:rsidR="00B4698C" w:rsidRDefault="00B4698C">
            <w:pPr>
              <w:spacing w:line="240" w:lineRule="exact"/>
            </w:pPr>
            <w:r>
              <w:t>Original: English</w:t>
            </w:r>
          </w:p>
        </w:tc>
      </w:tr>
    </w:tbl>
    <w:p w:rsidR="00B4698C" w:rsidRDefault="002D682A">
      <w:pPr>
        <w:spacing w:before="120"/>
        <w:rPr>
          <w:b/>
          <w:bCs/>
          <w:color w:val="3366FF"/>
          <w:sz w:val="24"/>
          <w:szCs w:val="24"/>
        </w:rPr>
      </w:pPr>
      <w:r>
        <w:rPr>
          <w:b/>
          <w:bCs/>
          <w:sz w:val="24"/>
          <w:szCs w:val="24"/>
        </w:rPr>
        <w:t>Seventy-third</w:t>
      </w:r>
      <w:r w:rsidR="00257175">
        <w:rPr>
          <w:b/>
          <w:bCs/>
          <w:sz w:val="24"/>
          <w:szCs w:val="24"/>
        </w:rPr>
        <w:t xml:space="preserve"> </w:t>
      </w:r>
      <w:r w:rsidR="00CC0DC5">
        <w:rPr>
          <w:b/>
          <w:bCs/>
          <w:sz w:val="24"/>
          <w:szCs w:val="24"/>
        </w:rPr>
        <w:t>session</w:t>
      </w:r>
    </w:p>
    <w:p w:rsidR="00B4698C" w:rsidRDefault="008C1F0E">
      <w:pPr>
        <w:rPr>
          <w:color w:val="3366FF"/>
        </w:rPr>
      </w:pPr>
      <w:r>
        <w:rPr>
          <w:color w:val="000000"/>
        </w:rPr>
        <w:t>Item 74(b</w:t>
      </w:r>
      <w:r w:rsidR="002D682A">
        <w:rPr>
          <w:color w:val="000000"/>
        </w:rPr>
        <w:t xml:space="preserve">) </w:t>
      </w:r>
      <w:r w:rsidR="00B4698C">
        <w:rPr>
          <w:color w:val="000000"/>
        </w:rPr>
        <w:t>of the provisional agenda</w:t>
      </w:r>
      <w:r w:rsidR="00B4698C" w:rsidRPr="00257175">
        <w:rPr>
          <w:rStyle w:val="FootnoteReference"/>
          <w:sz w:val="20"/>
          <w:vertAlign w:val="baseline"/>
        </w:rPr>
        <w:footnoteReference w:customMarkFollows="1" w:id="2"/>
        <w:t>*</w:t>
      </w:r>
      <w:r w:rsidR="002D682A">
        <w:rPr>
          <w:color w:val="000000"/>
        </w:rPr>
        <w:t xml:space="preserve"> </w:t>
      </w:r>
    </w:p>
    <w:p w:rsidR="0033430B" w:rsidRPr="0033430B" w:rsidRDefault="0033430B">
      <w:pPr>
        <w:rPr>
          <w:b/>
          <w:bCs/>
        </w:rPr>
      </w:pPr>
      <w:r>
        <w:rPr>
          <w:b/>
          <w:bCs/>
        </w:rPr>
        <w:t xml:space="preserve">Human rights questions, including alternative approaches </w:t>
      </w:r>
      <w:r>
        <w:rPr>
          <w:b/>
          <w:bCs/>
        </w:rPr>
        <w:br/>
        <w:t>for improving the effective enjoyment of human rights</w:t>
      </w:r>
      <w:r>
        <w:rPr>
          <w:b/>
          <w:bCs/>
        </w:rPr>
        <w:br/>
        <w:t>and fundamental freedoms</w:t>
      </w:r>
    </w:p>
    <w:p w:rsidR="002D682A" w:rsidRDefault="002D682A">
      <w:pPr>
        <w:pStyle w:val="HChG"/>
      </w:pPr>
      <w:r>
        <w:tab/>
      </w:r>
      <w:r>
        <w:tab/>
      </w:r>
      <w:r w:rsidR="005C035E">
        <w:rPr>
          <w:lang w:eastAsia="en-GB"/>
        </w:rPr>
        <w:t>R</w:t>
      </w:r>
      <w:r>
        <w:rPr>
          <w:lang w:eastAsia="en-GB"/>
        </w:rPr>
        <w:t xml:space="preserve">eport of the Special Rapporteur on </w:t>
      </w:r>
      <w:r w:rsidR="008C1F0E">
        <w:rPr>
          <w:lang w:eastAsia="en-GB"/>
        </w:rPr>
        <w:t>freedom of religion or belief</w:t>
      </w:r>
      <w:r w:rsidR="00AB7C67" w:rsidRPr="00AB7C67">
        <w:rPr>
          <w:rStyle w:val="FootnoteReference"/>
          <w:sz w:val="20"/>
          <w:vertAlign w:val="baseline"/>
          <w:lang w:eastAsia="en-GB"/>
        </w:rPr>
        <w:footnoteReference w:customMarkFollows="1" w:id="3"/>
        <w:t>*</w:t>
      </w:r>
    </w:p>
    <w:p w:rsidR="00B4698C" w:rsidRDefault="002D682A">
      <w:pPr>
        <w:pStyle w:val="HChG"/>
      </w:pPr>
      <w:r>
        <w:tab/>
      </w:r>
      <w:r>
        <w:tab/>
        <w:t xml:space="preserve">Note by </w:t>
      </w:r>
      <w:r w:rsidR="00B4698C">
        <w:t xml:space="preserve">the Secretary-General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B4698C" w:rsidTr="002D682A">
        <w:trPr>
          <w:jc w:val="center"/>
        </w:trPr>
        <w:tc>
          <w:tcPr>
            <w:tcW w:w="9629" w:type="dxa"/>
            <w:shd w:val="clear" w:color="auto" w:fill="auto"/>
          </w:tcPr>
          <w:p w:rsidR="00B4698C" w:rsidRPr="00843433" w:rsidRDefault="002D682A" w:rsidP="005A5A3D">
            <w:pPr>
              <w:spacing w:before="240" w:after="120"/>
              <w:ind w:left="255"/>
              <w:rPr>
                <w:i/>
                <w:color w:val="0000FF"/>
                <w:sz w:val="24"/>
              </w:rPr>
            </w:pPr>
            <w:r w:rsidRPr="00843433">
              <w:tab/>
            </w:r>
            <w:r w:rsidR="00B4698C" w:rsidRPr="00843433">
              <w:rPr>
                <w:i/>
                <w:sz w:val="24"/>
              </w:rPr>
              <w:t>Summary</w:t>
            </w:r>
            <w:r w:rsidR="00B4698C" w:rsidRPr="00843433">
              <w:rPr>
                <w:i/>
                <w:sz w:val="24"/>
              </w:rPr>
              <w:tab/>
            </w:r>
          </w:p>
        </w:tc>
      </w:tr>
      <w:tr w:rsidR="00B4698C" w:rsidTr="002D682A">
        <w:trPr>
          <w:jc w:val="center"/>
        </w:trPr>
        <w:tc>
          <w:tcPr>
            <w:tcW w:w="9629" w:type="dxa"/>
            <w:shd w:val="clear" w:color="auto" w:fill="auto"/>
          </w:tcPr>
          <w:p w:rsidR="00B4698C" w:rsidRPr="00CC0DC5" w:rsidRDefault="00F64C58" w:rsidP="00CC0DC5">
            <w:pPr>
              <w:pStyle w:val="SingleTxtG"/>
              <w:ind w:firstLine="567"/>
            </w:pPr>
            <w:r w:rsidRPr="00843433">
              <w:tab/>
            </w:r>
            <w:r w:rsidR="005A5A3D" w:rsidRPr="004C6753">
              <w:t>In the present report, the Special Rapporteur on fr</w:t>
            </w:r>
            <w:r w:rsidR="005C035E" w:rsidRPr="004C6753">
              <w:t>eedom of religion or belief, Ah</w:t>
            </w:r>
            <w:r w:rsidR="005A5A3D" w:rsidRPr="004C6753">
              <w:t xml:space="preserve">med Shaheed, </w:t>
            </w:r>
            <w:r w:rsidR="00725172" w:rsidRPr="004C6753">
              <w:t>highlights</w:t>
            </w:r>
            <w:r w:rsidR="005A5A3D" w:rsidRPr="004C6753">
              <w:t xml:space="preserve"> the interrelationship between freedom of religion or belief and </w:t>
            </w:r>
            <w:r w:rsidR="00B8680D" w:rsidRPr="004C6753">
              <w:t>violent extremism</w:t>
            </w:r>
            <w:r w:rsidR="005A5A3D" w:rsidRPr="004C6753">
              <w:t>.</w:t>
            </w:r>
            <w:r w:rsidR="00725172" w:rsidRPr="004C6753">
              <w:t xml:space="preserve"> He stresses the duty upon States to ensure that any</w:t>
            </w:r>
            <w:r w:rsidR="005A5A3D" w:rsidRPr="004C6753">
              <w:t xml:space="preserve"> restriction imposed on the right</w:t>
            </w:r>
            <w:r w:rsidR="00725172" w:rsidRPr="004C6753">
              <w:t xml:space="preserve"> </w:t>
            </w:r>
            <w:r w:rsidR="005A5A3D" w:rsidRPr="004C6753">
              <w:t>to freedom of religion or belief</w:t>
            </w:r>
            <w:r w:rsidR="00725172" w:rsidRPr="004C6753">
              <w:t xml:space="preserve"> must strictly comply with the limitations regime stipulated by international human rights law</w:t>
            </w:r>
            <w:r w:rsidR="004278CD" w:rsidRPr="004C6753">
              <w:t xml:space="preserve">. </w:t>
            </w:r>
            <w:r w:rsidR="00725172" w:rsidRPr="004C6753">
              <w:t>He</w:t>
            </w:r>
            <w:r w:rsidR="005A5A3D" w:rsidRPr="004C6753">
              <w:t xml:space="preserve"> argues that ensuring</w:t>
            </w:r>
            <w:r w:rsidR="00793D99" w:rsidRPr="004C6753">
              <w:t xml:space="preserve"> the rights of</w:t>
            </w:r>
            <w:r w:rsidR="005A5A3D" w:rsidRPr="004C6753">
              <w:t xml:space="preserve"> all persons reduces conflict involving religion or belief, thereby better facilitating human security</w:t>
            </w:r>
            <w:r w:rsidR="004F2E2F" w:rsidRPr="004C6753">
              <w:t>.</w:t>
            </w:r>
            <w:r w:rsidR="000C4311" w:rsidRPr="004C6753">
              <w:t xml:space="preserve"> </w:t>
            </w:r>
          </w:p>
        </w:tc>
      </w:tr>
      <w:tr w:rsidR="00CC0DC5" w:rsidTr="002D682A">
        <w:trPr>
          <w:jc w:val="center"/>
        </w:trPr>
        <w:tc>
          <w:tcPr>
            <w:tcW w:w="9629" w:type="dxa"/>
            <w:shd w:val="clear" w:color="auto" w:fill="auto"/>
          </w:tcPr>
          <w:p w:rsidR="00CC0DC5" w:rsidRPr="00843433" w:rsidRDefault="00CC0DC5" w:rsidP="00CC0DC5">
            <w:pPr>
              <w:pStyle w:val="SingleTxtG"/>
              <w:ind w:firstLine="567"/>
            </w:pPr>
            <w:r w:rsidRPr="004C6753">
              <w:t>While cautioning against securitising religion</w:t>
            </w:r>
            <w:r>
              <w:t xml:space="preserve"> or belief, the Special Rapport</w:t>
            </w:r>
            <w:r w:rsidRPr="004C6753">
              <w:t>e</w:t>
            </w:r>
            <w:r>
              <w:t>u</w:t>
            </w:r>
            <w:r w:rsidRPr="004C6753">
              <w:t>r</w:t>
            </w:r>
            <w:r>
              <w:t xml:space="preserve"> urges S</w:t>
            </w:r>
            <w:r w:rsidRPr="004C6753">
              <w:t xml:space="preserve">tates to operationalise various tools developed by the United Nations system in the context of freedom of religion or belief </w:t>
            </w:r>
            <w:r>
              <w:t xml:space="preserve">and mass atrocity prevention, and which are grounded in the human rights framework, </w:t>
            </w:r>
            <w:r w:rsidRPr="004C6753">
              <w:t>to build societal resilience against violent extremism</w:t>
            </w:r>
            <w:r>
              <w:t>.</w:t>
            </w:r>
            <w:r w:rsidRPr="004C6753">
              <w:t xml:space="preserve"> </w:t>
            </w:r>
            <w:r>
              <w:t>He encourages</w:t>
            </w:r>
            <w:r w:rsidRPr="004C6753">
              <w:t xml:space="preserve"> States to </w:t>
            </w:r>
            <w:r w:rsidRPr="004C6753">
              <w:rPr>
                <w:lang w:val="en-US"/>
              </w:rPr>
              <w:t xml:space="preserve">develop national action plans, with the participation of national human rights institutions, civil society organisations, and development partners to facilitate the implementation of specific roles contained in these tools, for national and international actors, including the mass media, judicial authorities, oversight bodies, civil society, religious leaders and faith-based actors.  He </w:t>
            </w:r>
            <w:r>
              <w:rPr>
                <w:lang w:val="en-US"/>
              </w:rPr>
              <w:t>further</w:t>
            </w:r>
            <w:r w:rsidRPr="004C6753">
              <w:rPr>
                <w:lang w:val="en-US"/>
              </w:rPr>
              <w:t xml:space="preserve"> calls on the relevant UN mechanisms to encourage the formulation of these plans and increase tran</w:t>
            </w:r>
            <w:r>
              <w:rPr>
                <w:lang w:val="en-US"/>
              </w:rPr>
              <w:t>sparency on their implementation</w:t>
            </w:r>
            <w:r w:rsidRPr="004C6753">
              <w:rPr>
                <w:lang w:val="en-US"/>
              </w:rPr>
              <w:t>; and, in particular, to support the convening of the 7</w:t>
            </w:r>
            <w:r w:rsidRPr="004C6753">
              <w:rPr>
                <w:vertAlign w:val="superscript"/>
                <w:lang w:val="en-US"/>
              </w:rPr>
              <w:t>th</w:t>
            </w:r>
            <w:r w:rsidRPr="004C6753">
              <w:rPr>
                <w:lang w:val="en-US"/>
              </w:rPr>
              <w:t xml:space="preserve"> meeting of the Istanbul Process.</w:t>
            </w:r>
          </w:p>
        </w:tc>
      </w:tr>
      <w:tr w:rsidR="005A5A3D" w:rsidTr="002D682A">
        <w:trPr>
          <w:jc w:val="center"/>
        </w:trPr>
        <w:tc>
          <w:tcPr>
            <w:tcW w:w="9629" w:type="dxa"/>
            <w:shd w:val="clear" w:color="auto" w:fill="auto"/>
          </w:tcPr>
          <w:p w:rsidR="005A5A3D" w:rsidRPr="00B4698C" w:rsidRDefault="005A5A3D">
            <w:pPr>
              <w:rPr>
                <w:color w:val="0000FF"/>
              </w:rPr>
            </w:pPr>
          </w:p>
        </w:tc>
      </w:tr>
    </w:tbl>
    <w:p w:rsidR="00CC0DC5" w:rsidRDefault="00CC0DC5"/>
    <w:p w:rsidR="00CC0DC5" w:rsidRDefault="00CC0DC5">
      <w:pPr>
        <w:suppressAutoHyphens w:val="0"/>
        <w:spacing w:line="240" w:lineRule="auto"/>
      </w:pPr>
      <w:r>
        <w:br w:type="page"/>
      </w:r>
    </w:p>
    <w:p w:rsidR="00F64C58" w:rsidRPr="00C65931" w:rsidRDefault="009E1BCE" w:rsidP="009E1BCE">
      <w:pPr>
        <w:pStyle w:val="HChG"/>
        <w:ind w:left="0" w:firstLine="0"/>
      </w:pPr>
      <w:r>
        <w:lastRenderedPageBreak/>
        <w:tab/>
      </w:r>
      <w:r w:rsidR="00C65931">
        <w:t>I.</w:t>
      </w:r>
      <w:r w:rsidR="00C65931">
        <w:tab/>
        <w:t>Activities of the special Rapporteur</w:t>
      </w:r>
    </w:p>
    <w:p w:rsidR="00F64C58" w:rsidRPr="00F64C58" w:rsidRDefault="00B8680D" w:rsidP="00C65931">
      <w:pPr>
        <w:pStyle w:val="SingleTxtG"/>
        <w:numPr>
          <w:ilvl w:val="0"/>
          <w:numId w:val="7"/>
        </w:numPr>
        <w:ind w:left="1134" w:firstLine="0"/>
        <w:rPr>
          <w:lang w:val="en-US"/>
        </w:rPr>
      </w:pPr>
      <w:r>
        <w:rPr>
          <w:lang w:val="en-US"/>
        </w:rPr>
        <w:t xml:space="preserve">The </w:t>
      </w:r>
      <w:r w:rsidR="00F64C58" w:rsidRPr="00F64C58">
        <w:rPr>
          <w:lang w:val="en-US"/>
        </w:rPr>
        <w:t>Special Rapporteur</w:t>
      </w:r>
      <w:r>
        <w:rPr>
          <w:lang w:val="en-US"/>
        </w:rPr>
        <w:t xml:space="preserve"> </w:t>
      </w:r>
      <w:r w:rsidR="00F64C58" w:rsidRPr="00F64C58">
        <w:rPr>
          <w:lang w:val="en-US"/>
        </w:rPr>
        <w:t xml:space="preserve">undertook a country visit to Tunisia, from 9 to 19 April 2018. He will present the report on that mission to the Human Rights Council at its fortieth session, in March 2019. </w:t>
      </w:r>
      <w:r w:rsidR="009F4F6F">
        <w:rPr>
          <w:lang w:val="en-US"/>
        </w:rPr>
        <w:t>He</w:t>
      </w:r>
      <w:r w:rsidR="00F64C58" w:rsidRPr="00F64C58">
        <w:rPr>
          <w:lang w:val="en-US"/>
        </w:rPr>
        <w:t xml:space="preserve"> has also accepted an invitation from the Government of Sri Lanka to visit the country in December 2018. </w:t>
      </w:r>
    </w:p>
    <w:p w:rsidR="00F64C58" w:rsidRPr="00F64C58" w:rsidRDefault="00F64C58" w:rsidP="00C65931">
      <w:pPr>
        <w:pStyle w:val="SingleTxtG"/>
        <w:numPr>
          <w:ilvl w:val="0"/>
          <w:numId w:val="7"/>
        </w:numPr>
        <w:ind w:left="1134" w:firstLine="0"/>
        <w:rPr>
          <w:lang w:val="en-US"/>
        </w:rPr>
      </w:pPr>
      <w:r w:rsidRPr="00F64C58">
        <w:rPr>
          <w:lang w:val="en-US"/>
        </w:rPr>
        <w:t xml:space="preserve">During the reporting period, the Special Rapporteur continued to participate in international </w:t>
      </w:r>
      <w:r w:rsidR="009F4F6F">
        <w:rPr>
          <w:lang w:val="en-US"/>
        </w:rPr>
        <w:t>gatherings</w:t>
      </w:r>
      <w:r w:rsidRPr="00F64C58">
        <w:rPr>
          <w:lang w:val="en-US"/>
        </w:rPr>
        <w:t xml:space="preserve"> relating to the right to freedom of religion or belief. He participated in a meeting of the International Contact Group on Freedom of Religion or Belief held in Geneva on 6 March 2018, and attended a Workshop on Inter-Religious Dialogue held in Sudan from 8-9 May 2018. On 23 May 2018, he attended a Symposium on Freedom of Religion or Belief, Cultural Rights and Women, held in Geneva. On 5 June 2018, in Vienna, the Special Rapporteur addressed the Human Dimension Committee of the Organization for Security and Co-operation in Europe and on 12 June he participated in the Global Media Forum held in Bonn. He also took part in discussions with Human Rights and the Fundamental Rights, Citizens Rights and Free Movement of Persons working groups of the Council of the European Union on 13 June 2018 in Brussels. On 28 June 2018, he attended a consultation in Geneva on how to improve the engagement of the mandate with monitors of anti-Semitism. He participated in a consultation on the Rabat Plan of Action and Asia held in Geneva on 29 June 2018 and attended the ‘Ministerial to Advance Religious Freedom’ in Washington, DC from 25-26 July. </w:t>
      </w:r>
    </w:p>
    <w:p w:rsidR="00F64C58" w:rsidRPr="00C65931" w:rsidRDefault="00C65931" w:rsidP="00C65931">
      <w:pPr>
        <w:pStyle w:val="HChG"/>
      </w:pPr>
      <w:r>
        <w:tab/>
        <w:t>II.</w:t>
      </w:r>
      <w:r>
        <w:tab/>
        <w:t>R</w:t>
      </w:r>
      <w:r w:rsidRPr="00C65931">
        <w:t xml:space="preserve">elationship between freedom of religion or belief and </w:t>
      </w:r>
      <w:r w:rsidR="00B62F47">
        <w:t xml:space="preserve">national </w:t>
      </w:r>
      <w:r w:rsidRPr="00C65931">
        <w:t>security</w:t>
      </w:r>
    </w:p>
    <w:p w:rsidR="00F64C58" w:rsidRPr="00F64C58" w:rsidRDefault="00F64C58" w:rsidP="00154CFF">
      <w:pPr>
        <w:pStyle w:val="SingleTxtG"/>
        <w:numPr>
          <w:ilvl w:val="0"/>
          <w:numId w:val="7"/>
        </w:numPr>
        <w:ind w:left="1134" w:firstLine="0"/>
        <w:rPr>
          <w:lang w:val="en-US"/>
        </w:rPr>
      </w:pPr>
      <w:r w:rsidRPr="00F64C58">
        <w:rPr>
          <w:lang w:val="en-US"/>
        </w:rPr>
        <w:t xml:space="preserve">The </w:t>
      </w:r>
      <w:r w:rsidR="007C67A8">
        <w:rPr>
          <w:lang w:val="en-US"/>
        </w:rPr>
        <w:t>‘</w:t>
      </w:r>
      <w:r w:rsidRPr="00F64C58">
        <w:rPr>
          <w:lang w:val="en-US"/>
        </w:rPr>
        <w:t>war on terrorism</w:t>
      </w:r>
      <w:r w:rsidR="007C67A8">
        <w:rPr>
          <w:lang w:val="en-US"/>
        </w:rPr>
        <w:t>’</w:t>
      </w:r>
      <w:r w:rsidRPr="00F64C58">
        <w:rPr>
          <w:lang w:val="en-US"/>
        </w:rPr>
        <w:t xml:space="preserve"> since the </w:t>
      </w:r>
      <w:r w:rsidR="009D4A1B">
        <w:rPr>
          <w:lang w:val="en-US"/>
        </w:rPr>
        <w:t xml:space="preserve">beginning </w:t>
      </w:r>
      <w:r w:rsidRPr="00F64C58">
        <w:rPr>
          <w:lang w:val="en-US"/>
        </w:rPr>
        <w:t>of the 21</w:t>
      </w:r>
      <w:r w:rsidRPr="00F64C58">
        <w:rPr>
          <w:vertAlign w:val="superscript"/>
          <w:lang w:val="en-US"/>
        </w:rPr>
        <w:t>st</w:t>
      </w:r>
      <w:r w:rsidRPr="00F64C58">
        <w:rPr>
          <w:lang w:val="en-US"/>
        </w:rPr>
        <w:t xml:space="preserve"> century has been marked by extraordinary </w:t>
      </w:r>
      <w:r w:rsidR="00B62F47">
        <w:rPr>
          <w:lang w:val="en-US"/>
        </w:rPr>
        <w:t xml:space="preserve">national </w:t>
      </w:r>
      <w:r w:rsidRPr="00F64C58">
        <w:rPr>
          <w:lang w:val="en-US"/>
        </w:rPr>
        <w:t>security measures which have resulted in myriad violations and abuses of</w:t>
      </w:r>
      <w:r w:rsidR="00276556">
        <w:rPr>
          <w:lang w:val="en-US"/>
        </w:rPr>
        <w:t xml:space="preserve"> fundamental </w:t>
      </w:r>
      <w:r w:rsidRPr="00F64C58">
        <w:rPr>
          <w:lang w:val="en-US"/>
        </w:rPr>
        <w:t>human rights and principles, including the right to freedom of religion or belief. Amid legitimate demands to ensure</w:t>
      </w:r>
      <w:r w:rsidR="00B62F47">
        <w:rPr>
          <w:lang w:val="en-US"/>
        </w:rPr>
        <w:t xml:space="preserve"> </w:t>
      </w:r>
      <w:r w:rsidRPr="00F64C58">
        <w:rPr>
          <w:lang w:val="en-US"/>
        </w:rPr>
        <w:t xml:space="preserve">public safety and national security, Governments have instituted stricter regulations on religious expression and the role of religion or belief in the public sphere, both online and offline.  Some states </w:t>
      </w:r>
      <w:r w:rsidR="00D268DE">
        <w:rPr>
          <w:lang w:val="en-US"/>
        </w:rPr>
        <w:t xml:space="preserve">have </w:t>
      </w:r>
      <w:r w:rsidRPr="00F64C58">
        <w:rPr>
          <w:lang w:val="en-US"/>
        </w:rPr>
        <w:t xml:space="preserve">instituted discriminatory practices that intentionally or unintentionally target individual adherents, or groups of persons of a particular faith they perceive to be predisposed to terrorist or other violent acts.  Others have adopted </w:t>
      </w:r>
      <w:r w:rsidR="000D27B3" w:rsidRPr="00F64C58">
        <w:rPr>
          <w:lang w:val="en-US"/>
        </w:rPr>
        <w:t>measures</w:t>
      </w:r>
      <w:r w:rsidR="000D27B3">
        <w:rPr>
          <w:lang w:val="en-US"/>
        </w:rPr>
        <w:t xml:space="preserve"> which </w:t>
      </w:r>
      <w:r w:rsidRPr="00F64C58">
        <w:rPr>
          <w:lang w:val="en-US"/>
        </w:rPr>
        <w:t>violate the right to form and hold opinions based on conscience, especially those beliefs deemed objectionable or offensive to others, or</w:t>
      </w:r>
      <w:r w:rsidR="009D4A1B">
        <w:rPr>
          <w:lang w:val="en-US"/>
        </w:rPr>
        <w:t xml:space="preserve"> that</w:t>
      </w:r>
      <w:r w:rsidR="00A528CE">
        <w:rPr>
          <w:lang w:val="en-US"/>
        </w:rPr>
        <w:t xml:space="preserve"> </w:t>
      </w:r>
      <w:r w:rsidR="006B6C89">
        <w:rPr>
          <w:lang w:val="en-US"/>
        </w:rPr>
        <w:t xml:space="preserve">infringe on </w:t>
      </w:r>
      <w:r w:rsidRPr="00F64C58">
        <w:rPr>
          <w:lang w:val="en-US"/>
        </w:rPr>
        <w:t xml:space="preserve">the </w:t>
      </w:r>
      <w:r w:rsidRPr="00F64C58">
        <w:rPr>
          <w:i/>
          <w:lang w:val="en-US"/>
        </w:rPr>
        <w:t xml:space="preserve">forum internum </w:t>
      </w:r>
      <w:r w:rsidRPr="00F64C58">
        <w:rPr>
          <w:lang w:val="en-US"/>
        </w:rPr>
        <w:t>of the right to freedom of religion or belief.</w:t>
      </w:r>
    </w:p>
    <w:p w:rsidR="00F64C58" w:rsidRPr="00FF5FDE" w:rsidRDefault="009D4A1B" w:rsidP="00850278">
      <w:pPr>
        <w:pStyle w:val="SingleTxtG"/>
        <w:numPr>
          <w:ilvl w:val="0"/>
          <w:numId w:val="7"/>
        </w:numPr>
        <w:ind w:left="1134" w:firstLine="0"/>
        <w:rPr>
          <w:lang w:val="en-US"/>
        </w:rPr>
      </w:pPr>
      <w:r>
        <w:rPr>
          <w:lang w:val="en-US"/>
        </w:rPr>
        <w:t xml:space="preserve">In </w:t>
      </w:r>
      <w:r w:rsidR="00866F93">
        <w:rPr>
          <w:lang w:val="en-US"/>
        </w:rPr>
        <w:t>less than a decade</w:t>
      </w:r>
      <w:r>
        <w:rPr>
          <w:lang w:val="en-US"/>
        </w:rPr>
        <w:t>,</w:t>
      </w:r>
      <w:r w:rsidR="00F64C58" w:rsidRPr="00F64C58">
        <w:rPr>
          <w:lang w:val="en-US"/>
        </w:rPr>
        <w:t xml:space="preserve"> stakeholders began to recognize the complexities of the challenges posed by this type of violence and acknowledged the need for a more comprehensive approach which encompasses not only ongoing, essential security-based counter-terrorism measures, but also systematic preventive measures which directly address the drivers of violent extremism</w:t>
      </w:r>
      <w:r w:rsidR="00F61F54">
        <w:rPr>
          <w:lang w:val="en-US"/>
        </w:rPr>
        <w:t xml:space="preserve"> </w:t>
      </w:r>
      <w:r w:rsidR="00F932C8">
        <w:rPr>
          <w:lang w:val="en-US"/>
        </w:rPr>
        <w:t>and</w:t>
      </w:r>
      <w:r w:rsidR="00F61F54">
        <w:rPr>
          <w:lang w:val="en-US"/>
        </w:rPr>
        <w:t xml:space="preserve"> </w:t>
      </w:r>
      <w:r w:rsidR="00F932C8">
        <w:rPr>
          <w:lang w:val="en-US"/>
        </w:rPr>
        <w:t>terroristic acts</w:t>
      </w:r>
      <w:r w:rsidR="00F61F54">
        <w:rPr>
          <w:lang w:val="en-US"/>
        </w:rPr>
        <w:t>.</w:t>
      </w:r>
      <w:r w:rsidR="00F64C58" w:rsidRPr="00F64C58">
        <w:rPr>
          <w:vertAlign w:val="superscript"/>
          <w:lang w:val="en-US"/>
        </w:rPr>
        <w:footnoteReference w:id="4"/>
      </w:r>
      <w:r w:rsidR="00F64C58" w:rsidRPr="00F64C58">
        <w:rPr>
          <w:lang w:val="en-US"/>
        </w:rPr>
        <w:t xml:space="preserve"> </w:t>
      </w:r>
      <w:r w:rsidR="00F64C58" w:rsidRPr="00FF5FDE">
        <w:rPr>
          <w:lang w:val="en-US"/>
        </w:rPr>
        <w:t>Th</w:t>
      </w:r>
      <w:r w:rsidR="002A138E" w:rsidRPr="002A138E">
        <w:rPr>
          <w:lang w:val="en-US"/>
        </w:rPr>
        <w:t>is</w:t>
      </w:r>
      <w:r w:rsidR="00F64C58" w:rsidRPr="002A138E">
        <w:rPr>
          <w:lang w:val="en-US"/>
        </w:rPr>
        <w:t xml:space="preserve"> new approach recognized the</w:t>
      </w:r>
      <w:r w:rsidR="00F64C58" w:rsidRPr="00850278">
        <w:rPr>
          <w:lang w:val="en-US"/>
        </w:rPr>
        <w:t xml:space="preserve"> importance of countering both </w:t>
      </w:r>
      <w:r w:rsidR="00F64C58" w:rsidRPr="00FF5FDE">
        <w:rPr>
          <w:lang w:val="en-US"/>
        </w:rPr>
        <w:t xml:space="preserve">the </w:t>
      </w:r>
      <w:r w:rsidR="00A31FF0" w:rsidRPr="002A138E">
        <w:rPr>
          <w:lang w:val="en-US"/>
        </w:rPr>
        <w:t>‘</w:t>
      </w:r>
      <w:r w:rsidR="00F64C58" w:rsidRPr="002A138E">
        <w:rPr>
          <w:lang w:val="en-US"/>
        </w:rPr>
        <w:t>immediate triggers</w:t>
      </w:r>
      <w:r w:rsidR="00A31FF0" w:rsidRPr="002A138E">
        <w:rPr>
          <w:lang w:val="en-US"/>
        </w:rPr>
        <w:t>’</w:t>
      </w:r>
      <w:r w:rsidR="00F64C58" w:rsidRPr="002A138E">
        <w:rPr>
          <w:lang w:val="en-US"/>
        </w:rPr>
        <w:t xml:space="preserve"> of terrorism and the ‘root </w:t>
      </w:r>
      <w:r w:rsidR="00F64C58" w:rsidRPr="00850278">
        <w:rPr>
          <w:lang w:val="en-US"/>
        </w:rPr>
        <w:t>causes’</w:t>
      </w:r>
      <w:r w:rsidR="005F7625">
        <w:rPr>
          <w:lang w:val="en-US"/>
        </w:rPr>
        <w:t xml:space="preserve"> </w:t>
      </w:r>
      <w:r w:rsidR="00D842D3">
        <w:rPr>
          <w:lang w:val="en-US"/>
        </w:rPr>
        <w:t>which</w:t>
      </w:r>
      <w:r w:rsidR="00850278">
        <w:rPr>
          <w:lang w:val="en-US"/>
        </w:rPr>
        <w:t xml:space="preserve"> foster </w:t>
      </w:r>
      <w:r w:rsidR="00F64C58" w:rsidRPr="002A138E">
        <w:rPr>
          <w:lang w:val="en-US"/>
        </w:rPr>
        <w:t xml:space="preserve">conditions conducive for </w:t>
      </w:r>
      <w:r w:rsidR="00A31FF0" w:rsidRPr="002A138E">
        <w:rPr>
          <w:lang w:val="en-US"/>
        </w:rPr>
        <w:t xml:space="preserve">the spread of </w:t>
      </w:r>
      <w:r w:rsidR="00F64C58" w:rsidRPr="002A138E">
        <w:rPr>
          <w:lang w:val="en-US"/>
        </w:rPr>
        <w:t>terroris</w:t>
      </w:r>
      <w:r w:rsidR="00A31FF0" w:rsidRPr="002A138E">
        <w:rPr>
          <w:lang w:val="en-US"/>
        </w:rPr>
        <w:t>m.</w:t>
      </w:r>
      <w:r w:rsidR="00F64C58" w:rsidRPr="002A138E">
        <w:rPr>
          <w:lang w:val="en-US"/>
        </w:rPr>
        <w:t xml:space="preserve"> </w:t>
      </w:r>
      <w:r w:rsidR="0012276C">
        <w:rPr>
          <w:lang w:val="en-US"/>
        </w:rPr>
        <w:t>The new strategy</w:t>
      </w:r>
      <w:r w:rsidR="00F64C58" w:rsidRPr="002A138E">
        <w:rPr>
          <w:lang w:val="en-US"/>
        </w:rPr>
        <w:t xml:space="preserve"> also stressed </w:t>
      </w:r>
      <w:r w:rsidR="00F64C58" w:rsidRPr="002A138E">
        <w:rPr>
          <w:lang w:val="en-US"/>
        </w:rPr>
        <w:lastRenderedPageBreak/>
        <w:t xml:space="preserve">the importance of addressing the rights of </w:t>
      </w:r>
      <w:r w:rsidR="0012276C">
        <w:rPr>
          <w:lang w:val="en-US"/>
        </w:rPr>
        <w:t xml:space="preserve">the </w:t>
      </w:r>
      <w:r w:rsidR="00F64C58" w:rsidRPr="00FF5FDE">
        <w:rPr>
          <w:lang w:val="en-US"/>
        </w:rPr>
        <w:t xml:space="preserve">victims of </w:t>
      </w:r>
      <w:r w:rsidR="00F64C58" w:rsidRPr="002A138E">
        <w:rPr>
          <w:lang w:val="en-US"/>
        </w:rPr>
        <w:t>violent extremism</w:t>
      </w:r>
      <w:r w:rsidR="00855D2C">
        <w:rPr>
          <w:lang w:val="en-US"/>
        </w:rPr>
        <w:t xml:space="preserve"> and terrorism</w:t>
      </w:r>
      <w:r w:rsidR="00F64C58" w:rsidRPr="00FF5FDE">
        <w:rPr>
          <w:lang w:val="en-US"/>
        </w:rPr>
        <w:t xml:space="preserve"> as well as those</w:t>
      </w:r>
      <w:r w:rsidR="00F64C58" w:rsidRPr="002A138E">
        <w:rPr>
          <w:lang w:val="en-US"/>
        </w:rPr>
        <w:t xml:space="preserve"> whose right</w:t>
      </w:r>
      <w:r w:rsidR="00F64C58" w:rsidRPr="00FF5FDE">
        <w:rPr>
          <w:lang w:val="en-US"/>
        </w:rPr>
        <w:t xml:space="preserve"> have been violated by counter-terrorism law and practice</w:t>
      </w:r>
      <w:r w:rsidR="00A8576A">
        <w:rPr>
          <w:lang w:val="en-US"/>
        </w:rPr>
        <w:t>s</w:t>
      </w:r>
      <w:r w:rsidR="00F64C58" w:rsidRPr="00FF5FDE">
        <w:rPr>
          <w:lang w:val="en-US"/>
        </w:rPr>
        <w:t>.</w:t>
      </w:r>
      <w:r w:rsidR="00F64C58" w:rsidRPr="00F64C58">
        <w:rPr>
          <w:vertAlign w:val="superscript"/>
          <w:lang w:val="en-US"/>
        </w:rPr>
        <w:footnoteReference w:id="5"/>
      </w:r>
    </w:p>
    <w:p w:rsidR="00F64C58" w:rsidRPr="00F64C58" w:rsidRDefault="00F64C58" w:rsidP="00154CFF">
      <w:pPr>
        <w:pStyle w:val="SingleTxtG"/>
        <w:numPr>
          <w:ilvl w:val="0"/>
          <w:numId w:val="7"/>
        </w:numPr>
        <w:ind w:left="1134" w:firstLine="0"/>
        <w:rPr>
          <w:lang w:val="en-US"/>
        </w:rPr>
      </w:pPr>
      <w:r w:rsidRPr="00F64C58">
        <w:rPr>
          <w:lang w:val="en-US"/>
        </w:rPr>
        <w:t>In 2006, the Global Counter Terrorism Strategy adopted by the United Nations General Assembly established respect for human rights and the rule of law as one of its four pillars</w:t>
      </w:r>
      <w:r w:rsidR="003108AB">
        <w:rPr>
          <w:lang w:val="en-US"/>
        </w:rPr>
        <w:t xml:space="preserve">; </w:t>
      </w:r>
      <w:r w:rsidRPr="00F64C58">
        <w:rPr>
          <w:lang w:val="en-US"/>
        </w:rPr>
        <w:t>recognizing a human rights-based approach as key to global efforts.</w:t>
      </w:r>
      <w:r w:rsidRPr="00F64C58">
        <w:rPr>
          <w:vertAlign w:val="superscript"/>
          <w:lang w:val="en-US"/>
        </w:rPr>
        <w:footnoteReference w:id="6"/>
      </w:r>
      <w:r w:rsidRPr="00F64C58">
        <w:rPr>
          <w:vertAlign w:val="superscript"/>
          <w:lang w:val="en-US"/>
        </w:rPr>
        <w:t xml:space="preserve">  </w:t>
      </w:r>
      <w:r w:rsidRPr="00F64C58">
        <w:rPr>
          <w:lang w:val="en-US"/>
        </w:rPr>
        <w:t xml:space="preserve">Notwithstanding this recognition, measures that have since been adopted by states continue to erode respect for civil liberties. Various measures have expanded the ambit of </w:t>
      </w:r>
      <w:r w:rsidR="00A31FF0">
        <w:rPr>
          <w:lang w:val="en-US"/>
        </w:rPr>
        <w:t>criminalized activity</w:t>
      </w:r>
      <w:r w:rsidRPr="00F64C58">
        <w:rPr>
          <w:lang w:val="en-US"/>
        </w:rPr>
        <w:t xml:space="preserve">, with ever increasing attention being paid to </w:t>
      </w:r>
      <w:r w:rsidR="00C70FF9">
        <w:rPr>
          <w:lang w:val="en-US"/>
        </w:rPr>
        <w:t xml:space="preserve">early </w:t>
      </w:r>
      <w:r w:rsidRPr="00F64C58">
        <w:rPr>
          <w:lang w:val="en-US"/>
        </w:rPr>
        <w:t>intervention tactics</w:t>
      </w:r>
      <w:r w:rsidR="00210619">
        <w:rPr>
          <w:lang w:val="en-US"/>
        </w:rPr>
        <w:t xml:space="preserve"> </w:t>
      </w:r>
      <w:r w:rsidR="00687B58">
        <w:rPr>
          <w:lang w:val="en-US"/>
        </w:rPr>
        <w:t>intend</w:t>
      </w:r>
      <w:r w:rsidR="00210619">
        <w:rPr>
          <w:lang w:val="en-US"/>
        </w:rPr>
        <w:t xml:space="preserve">ed </w:t>
      </w:r>
      <w:r w:rsidR="00687B58">
        <w:rPr>
          <w:lang w:val="en-US"/>
        </w:rPr>
        <w:t xml:space="preserve">to </w:t>
      </w:r>
      <w:r w:rsidRPr="00F64C58">
        <w:rPr>
          <w:lang w:val="en-US"/>
        </w:rPr>
        <w:t>dis</w:t>
      </w:r>
      <w:r w:rsidR="002B5265">
        <w:rPr>
          <w:lang w:val="en-US"/>
        </w:rPr>
        <w:t>suade</w:t>
      </w:r>
      <w:r w:rsidR="00CC0DC5">
        <w:rPr>
          <w:lang w:val="en-US"/>
        </w:rPr>
        <w:t xml:space="preserve"> </w:t>
      </w:r>
      <w:r w:rsidRPr="00F64C58">
        <w:rPr>
          <w:lang w:val="en-US"/>
        </w:rPr>
        <w:t>individual</w:t>
      </w:r>
      <w:r w:rsidR="00682448">
        <w:rPr>
          <w:lang w:val="en-US"/>
        </w:rPr>
        <w:t>s</w:t>
      </w:r>
      <w:r w:rsidRPr="00F64C58">
        <w:rPr>
          <w:lang w:val="en-US"/>
        </w:rPr>
        <w:t xml:space="preserve"> </w:t>
      </w:r>
      <w:r w:rsidR="00682448">
        <w:rPr>
          <w:lang w:val="en-US"/>
        </w:rPr>
        <w:t>potentiall</w:t>
      </w:r>
      <w:r w:rsidR="0033182A">
        <w:rPr>
          <w:lang w:val="en-US"/>
        </w:rPr>
        <w:t xml:space="preserve">y on a </w:t>
      </w:r>
      <w:r w:rsidRPr="00F64C58">
        <w:rPr>
          <w:lang w:val="en-US"/>
        </w:rPr>
        <w:t>path towards supporting or committing violent extremist acts</w:t>
      </w:r>
      <w:r w:rsidR="003852F5">
        <w:rPr>
          <w:lang w:val="en-US"/>
        </w:rPr>
        <w:t xml:space="preserve">. </w:t>
      </w:r>
      <w:r w:rsidR="00EE0EB3">
        <w:rPr>
          <w:lang w:val="en-US"/>
        </w:rPr>
        <w:t xml:space="preserve">However, </w:t>
      </w:r>
      <w:r w:rsidR="009C7CA3">
        <w:rPr>
          <w:lang w:val="en-US"/>
        </w:rPr>
        <w:t>a</w:t>
      </w:r>
      <w:r w:rsidR="00645466">
        <w:rPr>
          <w:lang w:val="en-US"/>
        </w:rPr>
        <w:t xml:space="preserve"> </w:t>
      </w:r>
      <w:r w:rsidR="00C207FD">
        <w:rPr>
          <w:lang w:val="en-US"/>
        </w:rPr>
        <w:t xml:space="preserve">lack of </w:t>
      </w:r>
      <w:r w:rsidR="00645466">
        <w:rPr>
          <w:lang w:val="en-US"/>
        </w:rPr>
        <w:t>consensus definition</w:t>
      </w:r>
      <w:r w:rsidR="009C7CA3">
        <w:rPr>
          <w:lang w:val="en-US"/>
        </w:rPr>
        <w:t xml:space="preserve">s for </w:t>
      </w:r>
      <w:r w:rsidR="00EE0EB3">
        <w:rPr>
          <w:lang w:val="en-US"/>
        </w:rPr>
        <w:t xml:space="preserve">key concepts, such as </w:t>
      </w:r>
      <w:r w:rsidR="0076153C">
        <w:rPr>
          <w:lang w:val="en-US"/>
        </w:rPr>
        <w:t>‘radicaliz</w:t>
      </w:r>
      <w:r w:rsidR="00EE0EB3">
        <w:rPr>
          <w:lang w:val="en-US"/>
        </w:rPr>
        <w:t>ation’</w:t>
      </w:r>
      <w:r w:rsidR="00FC0192">
        <w:rPr>
          <w:lang w:val="en-US"/>
        </w:rPr>
        <w:t xml:space="preserve">, </w:t>
      </w:r>
      <w:r w:rsidR="00EE0EB3">
        <w:rPr>
          <w:lang w:val="en-US"/>
        </w:rPr>
        <w:t xml:space="preserve">or ‘violent extremism’ </w:t>
      </w:r>
      <w:r w:rsidR="00F61F54">
        <w:rPr>
          <w:lang w:val="en-US"/>
        </w:rPr>
        <w:t>has undermined both the effectiveness o</w:t>
      </w:r>
      <w:r w:rsidR="00080CCE">
        <w:rPr>
          <w:lang w:val="en-US"/>
        </w:rPr>
        <w:t xml:space="preserve">f various </w:t>
      </w:r>
      <w:r w:rsidR="00F61F54">
        <w:rPr>
          <w:lang w:val="en-US"/>
        </w:rPr>
        <w:t>measures and the ability to asses</w:t>
      </w:r>
      <w:r w:rsidR="00080CCE">
        <w:rPr>
          <w:lang w:val="en-US"/>
        </w:rPr>
        <w:t>s</w:t>
      </w:r>
      <w:r w:rsidR="00F61F54">
        <w:rPr>
          <w:lang w:val="en-US"/>
        </w:rPr>
        <w:t xml:space="preserve"> their compliance with state obligations under international human rights law.</w:t>
      </w:r>
    </w:p>
    <w:p w:rsidR="00F64C58" w:rsidRPr="00F64C58" w:rsidRDefault="00F64C58" w:rsidP="00154CFF">
      <w:pPr>
        <w:pStyle w:val="SingleTxtG"/>
        <w:numPr>
          <w:ilvl w:val="0"/>
          <w:numId w:val="7"/>
        </w:numPr>
        <w:ind w:left="1134" w:firstLine="0"/>
      </w:pPr>
      <w:r w:rsidRPr="00F64C58">
        <w:rPr>
          <w:lang w:val="en-US"/>
        </w:rPr>
        <w:t xml:space="preserve">Human rights monitors have criticized </w:t>
      </w:r>
      <w:r w:rsidR="00464AFD">
        <w:rPr>
          <w:lang w:val="en-US"/>
        </w:rPr>
        <w:t>initiatives to</w:t>
      </w:r>
      <w:r w:rsidRPr="00F64C58">
        <w:rPr>
          <w:lang w:val="en-US"/>
        </w:rPr>
        <w:t xml:space="preserve"> prevent/counter violent extremism (P/CVE) for their erosion of civil liberties</w:t>
      </w:r>
      <w:r w:rsidR="00E9283C">
        <w:rPr>
          <w:lang w:val="en-US"/>
        </w:rPr>
        <w:t>,</w:t>
      </w:r>
      <w:r w:rsidR="00853EF9">
        <w:rPr>
          <w:lang w:val="en-US"/>
        </w:rPr>
        <w:t xml:space="preserve"> their </w:t>
      </w:r>
      <w:r w:rsidR="000A0AA7">
        <w:rPr>
          <w:lang w:val="en-US"/>
        </w:rPr>
        <w:t>propensity</w:t>
      </w:r>
      <w:r w:rsidR="005F129B">
        <w:rPr>
          <w:lang w:val="en-US"/>
        </w:rPr>
        <w:t xml:space="preserve"> </w:t>
      </w:r>
      <w:r w:rsidR="000A0AA7">
        <w:rPr>
          <w:lang w:val="en-US"/>
        </w:rPr>
        <w:t xml:space="preserve">for </w:t>
      </w:r>
      <w:r w:rsidR="00220244">
        <w:rPr>
          <w:lang w:val="en-US"/>
        </w:rPr>
        <w:t>perpetuat</w:t>
      </w:r>
      <w:r w:rsidR="00C36751">
        <w:rPr>
          <w:lang w:val="en-US"/>
        </w:rPr>
        <w:t>ing</w:t>
      </w:r>
      <w:r w:rsidR="00A31FF0">
        <w:rPr>
          <w:lang w:val="en-US"/>
        </w:rPr>
        <w:t xml:space="preserve"> discrimination against </w:t>
      </w:r>
      <w:r w:rsidR="00276556">
        <w:rPr>
          <w:lang w:val="en-US"/>
        </w:rPr>
        <w:t xml:space="preserve">several </w:t>
      </w:r>
      <w:r w:rsidRPr="00F64C58">
        <w:rPr>
          <w:lang w:val="en-US"/>
        </w:rPr>
        <w:t>religious or belief communities</w:t>
      </w:r>
      <w:r w:rsidR="00E9283C">
        <w:rPr>
          <w:lang w:val="en-US"/>
        </w:rPr>
        <w:t xml:space="preserve">, </w:t>
      </w:r>
      <w:r w:rsidRPr="00F64C58">
        <w:rPr>
          <w:lang w:val="en-US"/>
        </w:rPr>
        <w:t>their lack of transparency and accountability and for</w:t>
      </w:r>
      <w:r w:rsidR="00232BDB">
        <w:rPr>
          <w:lang w:val="en-US"/>
        </w:rPr>
        <w:t xml:space="preserve"> </w:t>
      </w:r>
      <w:r w:rsidRPr="00F64C58">
        <w:rPr>
          <w:lang w:val="en-US"/>
        </w:rPr>
        <w:t>securitizing religion.</w:t>
      </w:r>
      <w:r w:rsidRPr="00F64C58">
        <w:rPr>
          <w:vertAlign w:val="superscript"/>
          <w:lang w:val="en-US"/>
        </w:rPr>
        <w:footnoteReference w:id="7"/>
      </w:r>
      <w:r w:rsidRPr="00F64C58">
        <w:rPr>
          <w:lang w:val="en-US"/>
        </w:rPr>
        <w:t xml:space="preserve"> In his 2016 report on the human rights impact of P/CVE programmes, former Special Rapporteur on the promotion and protection of human rights and fundamental freedoms while countering terrorism, Ben Emmerson, highlighted elements of P/CVE programs which continue to </w:t>
      </w:r>
      <w:r w:rsidR="00A31FF0">
        <w:rPr>
          <w:lang w:val="en-US"/>
        </w:rPr>
        <w:t>infringe</w:t>
      </w:r>
      <w:r w:rsidRPr="00F64C58">
        <w:rPr>
          <w:lang w:val="en-US"/>
        </w:rPr>
        <w:t xml:space="preserve"> a range of human rights and fundamental freedoms, including freedom of religion or belief.  He concluded that </w:t>
      </w:r>
      <w:r w:rsidRPr="00F64C58">
        <w:rPr>
          <w:rFonts w:hint="eastAsia"/>
        </w:rPr>
        <w:t>‘</w:t>
      </w:r>
      <w:r w:rsidRPr="00F64C58">
        <w:t>a wide array of legislative, administrative and policy measures are pursued that can have a serious negative impact on manifold human rights</w:t>
      </w:r>
      <w:r w:rsidRPr="00F64C58">
        <w:rPr>
          <w:rFonts w:hint="eastAsia"/>
        </w:rPr>
        <w:t>…</w:t>
      </w:r>
      <w:r w:rsidRPr="00F64C58">
        <w:t xml:space="preserve"> [and] can stigmatize groups and communities, undermining the support that Governments need to successfully implement their programmes, and having a counter-productive effect.</w:t>
      </w:r>
      <w:r w:rsidRPr="00F64C58">
        <w:rPr>
          <w:rFonts w:hint="eastAsia"/>
        </w:rPr>
        <w:t>’</w:t>
      </w:r>
      <w:r w:rsidRPr="00F64C58">
        <w:rPr>
          <w:vertAlign w:val="superscript"/>
        </w:rPr>
        <w:footnoteReference w:id="8"/>
      </w:r>
    </w:p>
    <w:p w:rsidR="00F64C58" w:rsidRDefault="00F64C58" w:rsidP="00154CFF">
      <w:pPr>
        <w:pStyle w:val="SingleTxtG"/>
        <w:numPr>
          <w:ilvl w:val="0"/>
          <w:numId w:val="7"/>
        </w:numPr>
        <w:ind w:left="1134" w:firstLine="0"/>
        <w:rPr>
          <w:lang w:val="en-US"/>
        </w:rPr>
      </w:pPr>
      <w:r w:rsidRPr="00F64C58">
        <w:rPr>
          <w:lang w:val="en-US"/>
        </w:rPr>
        <w:t xml:space="preserve">The question of how to effectively address </w:t>
      </w:r>
      <w:r w:rsidR="004C6753">
        <w:rPr>
          <w:lang w:val="en-US"/>
        </w:rPr>
        <w:t xml:space="preserve">national </w:t>
      </w:r>
      <w:r w:rsidRPr="00F64C58">
        <w:rPr>
          <w:lang w:val="en-US"/>
        </w:rPr>
        <w:t xml:space="preserve">security exigencies while respecting human rights constitutes a pivotal challenge to human security today. Contrary to the discourse which posits freedom of religion or belief (and other human rights) and </w:t>
      </w:r>
      <w:r w:rsidR="004C6753">
        <w:rPr>
          <w:lang w:val="en-US"/>
        </w:rPr>
        <w:t xml:space="preserve">national </w:t>
      </w:r>
      <w:r w:rsidRPr="00F64C58">
        <w:rPr>
          <w:lang w:val="en-US"/>
        </w:rPr>
        <w:t xml:space="preserve">security to be competing and mutually exclusive values that have to be “balanced” against each other, </w:t>
      </w:r>
      <w:r w:rsidR="00C1677A">
        <w:rPr>
          <w:lang w:val="en-US"/>
        </w:rPr>
        <w:t xml:space="preserve">various </w:t>
      </w:r>
      <w:r w:rsidRPr="00F64C58">
        <w:rPr>
          <w:lang w:val="en-US"/>
        </w:rPr>
        <w:t xml:space="preserve">mandate-holders </w:t>
      </w:r>
      <w:r w:rsidR="00C1677A">
        <w:rPr>
          <w:lang w:val="en-US"/>
        </w:rPr>
        <w:t>including the</w:t>
      </w:r>
      <w:r w:rsidRPr="00F64C58">
        <w:rPr>
          <w:lang w:val="en-US"/>
        </w:rPr>
        <w:t xml:space="preserve"> Special Rapporteur on freedom of religion or belief have over the past three decades recognized the complementary, interdependent and mutually reinforcing relationship between the promotion and protection of human rights, including freedom of religion or belief, and </w:t>
      </w:r>
      <w:r w:rsidR="004C6753">
        <w:rPr>
          <w:lang w:val="en-US"/>
        </w:rPr>
        <w:t xml:space="preserve">national </w:t>
      </w:r>
      <w:r w:rsidRPr="00F64C58">
        <w:rPr>
          <w:lang w:val="en-US"/>
        </w:rPr>
        <w:t xml:space="preserve">security. </w:t>
      </w:r>
    </w:p>
    <w:p w:rsidR="00CA3877" w:rsidRPr="00CC0DC5" w:rsidRDefault="00CA3877" w:rsidP="00202755">
      <w:pPr>
        <w:pStyle w:val="SingleTxtG"/>
        <w:numPr>
          <w:ilvl w:val="0"/>
          <w:numId w:val="7"/>
        </w:numPr>
        <w:ind w:left="1134" w:firstLine="0"/>
        <w:rPr>
          <w:lang w:val="en-US"/>
        </w:rPr>
      </w:pPr>
      <w:r w:rsidRPr="00CA3877">
        <w:rPr>
          <w:lang w:val="en-US"/>
        </w:rPr>
        <w:t xml:space="preserve">Moreover, it should be noted that </w:t>
      </w:r>
      <w:r w:rsidRPr="00D81834">
        <w:rPr>
          <w:lang w:val="en-US"/>
        </w:rPr>
        <w:t xml:space="preserve">“national security” is not a permissible ground for restricting manifestations of religion or belief under Article 18(3) of the International Covenant on Civil and Political Rights. However, restrictions on a number of rights that are related to the enjoyment of the right to freedom of religion or belief, such as freedom of expression or association, are permissible to ensure national security if the further conditions of the related limitation clauses are also met. Regardless, the right to freely manifest religion or belief can only be limited if the following five conditions are strictly met: (1) the measure in question is prescribed by law, i.e. accessible, foreseeable and drafted with sufficient precision to </w:t>
      </w:r>
      <w:r w:rsidRPr="00D81834">
        <w:rPr>
          <w:lang w:val="en-US"/>
        </w:rPr>
        <w:lastRenderedPageBreak/>
        <w:t>enable a rational person to regulate his or her conduct; (2) it is necessary for the purposes of protecting public safety, order, health or morals, or the fundamental rights and freedoms of others; (3) it conforms to the principle of proportionality; (4) it is applied in a way that does not vitiate the rights guaranteed under freedom of religion or belief; and (5) it is not discriminatory in purpose or effect</w:t>
      </w:r>
      <w:r w:rsidR="00054F37">
        <w:rPr>
          <w:lang w:val="en-US"/>
        </w:rPr>
        <w:t>.</w:t>
      </w:r>
    </w:p>
    <w:p w:rsidR="00F64C58" w:rsidRPr="00EE0EB3" w:rsidRDefault="00F64C58" w:rsidP="00154CFF">
      <w:pPr>
        <w:pStyle w:val="SingleTxtG"/>
        <w:numPr>
          <w:ilvl w:val="0"/>
          <w:numId w:val="7"/>
        </w:numPr>
        <w:ind w:left="1134" w:firstLine="0"/>
        <w:rPr>
          <w:lang w:val="en-US"/>
        </w:rPr>
      </w:pPr>
      <w:r w:rsidRPr="00F64C58">
        <w:rPr>
          <w:lang w:val="en-US"/>
        </w:rPr>
        <w:t>Further</w:t>
      </w:r>
      <w:r w:rsidR="00CA3877">
        <w:rPr>
          <w:lang w:val="en-US"/>
        </w:rPr>
        <w:t>more</w:t>
      </w:r>
      <w:r w:rsidRPr="00F64C58">
        <w:rPr>
          <w:lang w:val="en-US"/>
        </w:rPr>
        <w:t>, empirical research shows that increased respect for freedom of religion or belief for all is associated with lower levels of religious persecution and conflicts based on religion.</w:t>
      </w:r>
      <w:r w:rsidRPr="00F64C58">
        <w:rPr>
          <w:vertAlign w:val="superscript"/>
          <w:lang w:val="en-US"/>
        </w:rPr>
        <w:footnoteReference w:id="9"/>
      </w:r>
      <w:r w:rsidRPr="00F64C58">
        <w:rPr>
          <w:vertAlign w:val="superscript"/>
          <w:lang w:val="en-US"/>
        </w:rPr>
        <w:t xml:space="preserve"> </w:t>
      </w:r>
      <w:r w:rsidRPr="00F64C58">
        <w:rPr>
          <w:lang w:val="en-US"/>
        </w:rPr>
        <w:t>Studies on ‘horizontal inequalities’ also demonstrate that inequality and discrimination on the basis of religious identity are also likely to increase the occurrence of conflicts.</w:t>
      </w:r>
      <w:r w:rsidRPr="00F64C58">
        <w:rPr>
          <w:vertAlign w:val="superscript"/>
          <w:lang w:val="en-US"/>
        </w:rPr>
        <w:footnoteReference w:id="10"/>
      </w:r>
      <w:r w:rsidRPr="00F64C58">
        <w:rPr>
          <w:vertAlign w:val="superscript"/>
          <w:lang w:val="en-US"/>
        </w:rPr>
        <w:t xml:space="preserve"> </w:t>
      </w:r>
      <w:r w:rsidRPr="00F64C58">
        <w:rPr>
          <w:lang w:val="en-US"/>
        </w:rPr>
        <w:t xml:space="preserve">As such, it is essential that the authorities responsible for meeting security needs engage with, and listen to, those who exercise agency in regard to freedom of religion or </w:t>
      </w:r>
      <w:r w:rsidRPr="00EE0EB3">
        <w:rPr>
          <w:lang w:val="en-US"/>
        </w:rPr>
        <w:t>bel</w:t>
      </w:r>
      <w:r w:rsidRPr="00FC0192">
        <w:rPr>
          <w:lang w:val="en-US"/>
        </w:rPr>
        <w:t>ief,</w:t>
      </w:r>
      <w:r w:rsidR="00C1677A" w:rsidRPr="00EE0EB3">
        <w:rPr>
          <w:rStyle w:val="FootnoteReference"/>
          <w:lang w:val="en-US"/>
        </w:rPr>
        <w:footnoteReference w:id="11"/>
      </w:r>
      <w:r w:rsidRPr="00EE0EB3">
        <w:rPr>
          <w:lang w:val="en-US"/>
        </w:rPr>
        <w:t xml:space="preserve"> as well as actors involved with promoting civil liberties.  </w:t>
      </w:r>
    </w:p>
    <w:p w:rsidR="00F64C58" w:rsidRPr="00FC0192" w:rsidRDefault="00F64C58" w:rsidP="00154CFF">
      <w:pPr>
        <w:pStyle w:val="SingleTxtG"/>
        <w:numPr>
          <w:ilvl w:val="0"/>
          <w:numId w:val="7"/>
        </w:numPr>
        <w:ind w:left="1134" w:firstLine="0"/>
        <w:rPr>
          <w:lang w:val="en-US"/>
        </w:rPr>
      </w:pPr>
      <w:r w:rsidRPr="00FC0192">
        <w:rPr>
          <w:lang w:val="en-US"/>
        </w:rPr>
        <w:t xml:space="preserve">The present report briefly explores how violence in the name of religion or belief has affected </w:t>
      </w:r>
      <w:r w:rsidR="00636391">
        <w:rPr>
          <w:lang w:val="en-US"/>
        </w:rPr>
        <w:t>perceptions</w:t>
      </w:r>
      <w:r w:rsidR="00A31FF0" w:rsidRPr="00FC0192">
        <w:rPr>
          <w:lang w:val="en-US"/>
        </w:rPr>
        <w:t xml:space="preserve"> </w:t>
      </w:r>
      <w:r w:rsidR="00C809DB">
        <w:rPr>
          <w:lang w:val="en-US"/>
        </w:rPr>
        <w:t>about</w:t>
      </w:r>
      <w:r w:rsidR="00A31FF0" w:rsidRPr="00FC0192">
        <w:rPr>
          <w:lang w:val="en-US"/>
        </w:rPr>
        <w:t xml:space="preserve"> the relationship</w:t>
      </w:r>
      <w:r w:rsidRPr="00EE0EB3">
        <w:rPr>
          <w:lang w:val="en-US"/>
        </w:rPr>
        <w:t xml:space="preserve"> between human rights and national security. It contends that strategies to prevent </w:t>
      </w:r>
      <w:r w:rsidRPr="00FC0192">
        <w:rPr>
          <w:lang w:val="en-US"/>
        </w:rPr>
        <w:t>violent extremism</w:t>
      </w:r>
      <w:r w:rsidR="00FC0192">
        <w:rPr>
          <w:lang w:val="en-US"/>
        </w:rPr>
        <w:t xml:space="preserve"> </w:t>
      </w:r>
      <w:r w:rsidRPr="00FC0192">
        <w:rPr>
          <w:lang w:val="en-US"/>
        </w:rPr>
        <w:t>have tended to alienate a range of religious or belief communities, undermining the enjoyment of</w:t>
      </w:r>
      <w:r w:rsidR="00276556" w:rsidRPr="00FC0192">
        <w:rPr>
          <w:lang w:val="en-US"/>
        </w:rPr>
        <w:t xml:space="preserve"> several </w:t>
      </w:r>
      <w:r w:rsidRPr="00EE0EB3">
        <w:rPr>
          <w:lang w:val="en-US"/>
        </w:rPr>
        <w:t>fundamental freedoms and defeating the ultimate objectives of enhancing public safe</w:t>
      </w:r>
      <w:r w:rsidRPr="00FC0192">
        <w:rPr>
          <w:lang w:val="en-US"/>
        </w:rPr>
        <w:t>ty, tolerance and mutual understanding.</w:t>
      </w:r>
      <w:r w:rsidRPr="00EE0EB3">
        <w:rPr>
          <w:vertAlign w:val="superscript"/>
          <w:lang w:val="en-US"/>
        </w:rPr>
        <w:footnoteReference w:id="12"/>
      </w:r>
      <w:r w:rsidRPr="00EE0EB3">
        <w:rPr>
          <w:vertAlign w:val="superscript"/>
          <w:lang w:val="en-US"/>
        </w:rPr>
        <w:t xml:space="preserve">  </w:t>
      </w:r>
      <w:r w:rsidR="00A71CC9">
        <w:rPr>
          <w:lang w:val="en-US"/>
        </w:rPr>
        <w:t xml:space="preserve">Consequently, the report </w:t>
      </w:r>
      <w:r w:rsidR="00C85080">
        <w:rPr>
          <w:lang w:val="en-US"/>
        </w:rPr>
        <w:t xml:space="preserve">asserts that </w:t>
      </w:r>
      <w:r w:rsidRPr="00EE0EB3">
        <w:rPr>
          <w:lang w:val="en-US"/>
        </w:rPr>
        <w:t>in certain ways, some policy practices for countering violent extremism have ‘securitized’ religion or belief, wherein religion is perceived as a threat requiring extraordinary, punitive legal and pol</w:t>
      </w:r>
      <w:r w:rsidR="00432336" w:rsidRPr="00D81834">
        <w:rPr>
          <w:lang w:val="en-US"/>
        </w:rPr>
        <w:t>icy</w:t>
      </w:r>
      <w:r w:rsidRPr="00FC0192">
        <w:rPr>
          <w:lang w:val="en-US"/>
        </w:rPr>
        <w:t xml:space="preserve"> measures.</w:t>
      </w:r>
      <w:r w:rsidRPr="00EE0EB3">
        <w:rPr>
          <w:vertAlign w:val="superscript"/>
          <w:lang w:val="en-US"/>
        </w:rPr>
        <w:footnoteReference w:id="13"/>
      </w:r>
      <w:r w:rsidRPr="00EE0EB3">
        <w:rPr>
          <w:vertAlign w:val="superscript"/>
          <w:lang w:val="en-US"/>
        </w:rPr>
        <w:t xml:space="preserve"> </w:t>
      </w:r>
    </w:p>
    <w:p w:rsidR="00F64C58" w:rsidRPr="00F64C58" w:rsidRDefault="00F64C58" w:rsidP="00154CFF">
      <w:pPr>
        <w:pStyle w:val="SingleTxtG"/>
        <w:numPr>
          <w:ilvl w:val="0"/>
          <w:numId w:val="7"/>
        </w:numPr>
        <w:ind w:left="1134" w:firstLine="0"/>
        <w:rPr>
          <w:lang w:val="en-US"/>
        </w:rPr>
      </w:pPr>
      <w:r w:rsidRPr="00F64C58">
        <w:rPr>
          <w:lang w:val="en-US"/>
        </w:rPr>
        <w:t xml:space="preserve">As a </w:t>
      </w:r>
      <w:r w:rsidR="00C85080">
        <w:rPr>
          <w:lang w:val="en-US"/>
        </w:rPr>
        <w:t>result</w:t>
      </w:r>
      <w:r w:rsidRPr="00F64C58">
        <w:rPr>
          <w:lang w:val="en-US"/>
        </w:rPr>
        <w:t xml:space="preserve">, freedom of religion or belief and the range of rights on which it depends, are being undermined or violated, public trust and societal resilience is being enfeebled, and efforts to prevent violent extremism have been undercut. Hence, this report also argues that ensuring the right to freedom of religion or belief for all persons reduces conflict involving religion or belief, thereby better facilitating social cohesion and human security. </w:t>
      </w:r>
    </w:p>
    <w:p w:rsidR="00F64C58" w:rsidRPr="00F64C58" w:rsidRDefault="00124817" w:rsidP="00154CFF">
      <w:pPr>
        <w:pStyle w:val="SingleTxtG"/>
        <w:numPr>
          <w:ilvl w:val="0"/>
          <w:numId w:val="7"/>
        </w:numPr>
        <w:ind w:left="1134" w:firstLine="0"/>
        <w:rPr>
          <w:lang w:val="en-US"/>
        </w:rPr>
      </w:pPr>
      <w:r>
        <w:rPr>
          <w:lang w:val="en-US"/>
        </w:rPr>
        <w:t xml:space="preserve">Lastly, </w:t>
      </w:r>
      <w:r w:rsidR="00F64C58" w:rsidRPr="00F64C58">
        <w:rPr>
          <w:lang w:val="en-US"/>
        </w:rPr>
        <w:t xml:space="preserve">the present report also surveys some of the initiatives undertaken within the UN human rights framework to mobilize respect for freedom of religion or belief as a positive resource for strengthening societal cohesion, reinforcing public trust </w:t>
      </w:r>
      <w:r w:rsidR="00931DC7">
        <w:rPr>
          <w:lang w:val="en-US"/>
        </w:rPr>
        <w:t xml:space="preserve">and </w:t>
      </w:r>
      <w:r w:rsidR="00F64C58" w:rsidRPr="00F64C58">
        <w:rPr>
          <w:lang w:val="en-US"/>
        </w:rPr>
        <w:t xml:space="preserve">enhancing </w:t>
      </w:r>
      <w:r w:rsidR="00931DC7">
        <w:rPr>
          <w:lang w:val="en-US"/>
        </w:rPr>
        <w:t>resilience against violent extremism</w:t>
      </w:r>
      <w:r w:rsidR="00054F37">
        <w:rPr>
          <w:lang w:val="en-US"/>
        </w:rPr>
        <w:t xml:space="preserve">; </w:t>
      </w:r>
      <w:r w:rsidR="00141930">
        <w:rPr>
          <w:lang w:val="en-US"/>
        </w:rPr>
        <w:t>in</w:t>
      </w:r>
      <w:r w:rsidR="00141930" w:rsidRPr="00FF5FDE">
        <w:rPr>
          <w:lang w:val="en-US"/>
        </w:rPr>
        <w:t xml:space="preserve"> line with the agenda for implementation outlined by the Special Rapporteur in his first report to the Human Rights Council</w:t>
      </w:r>
      <w:r w:rsidR="00141930">
        <w:rPr>
          <w:lang w:val="en-US"/>
        </w:rPr>
        <w:t>.</w:t>
      </w:r>
      <w:r w:rsidR="00141930" w:rsidRPr="00FF5FDE">
        <w:rPr>
          <w:vertAlign w:val="superscript"/>
          <w:lang w:val="en-US"/>
        </w:rPr>
        <w:footnoteReference w:id="14"/>
      </w:r>
    </w:p>
    <w:p w:rsidR="00F64C58" w:rsidRPr="00242060" w:rsidRDefault="00242060" w:rsidP="00242060">
      <w:pPr>
        <w:pStyle w:val="HChG"/>
      </w:pPr>
      <w:r>
        <w:lastRenderedPageBreak/>
        <w:tab/>
        <w:t>III.</w:t>
      </w:r>
      <w:r>
        <w:tab/>
        <w:t>A</w:t>
      </w:r>
      <w:r w:rsidRPr="00242060">
        <w:t xml:space="preserve"> broad spectrum of national laws and practices</w:t>
      </w:r>
    </w:p>
    <w:p w:rsidR="00F64C58" w:rsidRPr="00F64C58" w:rsidRDefault="00562738" w:rsidP="00154CFF">
      <w:pPr>
        <w:pStyle w:val="SingleTxtG"/>
        <w:numPr>
          <w:ilvl w:val="0"/>
          <w:numId w:val="7"/>
        </w:numPr>
        <w:ind w:left="1134" w:firstLine="0"/>
        <w:rPr>
          <w:lang w:val="en-US"/>
        </w:rPr>
      </w:pPr>
      <w:r>
        <w:rPr>
          <w:lang w:val="en-US"/>
        </w:rPr>
        <w:t xml:space="preserve">States </w:t>
      </w:r>
      <w:r w:rsidR="00F64C58" w:rsidRPr="00F64C58">
        <w:rPr>
          <w:lang w:val="en-US"/>
        </w:rPr>
        <w:t xml:space="preserve">have responded to violent extremism with a rapid proliferation in legislative, administrative and policy measures, which target a range of activities carried out by both individuals and communities. This includes legislation which criminalizes the presumed </w:t>
      </w:r>
      <w:r>
        <w:rPr>
          <w:lang w:val="en-US"/>
        </w:rPr>
        <w:t>‘</w:t>
      </w:r>
      <w:r w:rsidR="00F64C58" w:rsidRPr="00F64C58">
        <w:rPr>
          <w:lang w:val="en-US"/>
        </w:rPr>
        <w:t>precursors</w:t>
      </w:r>
      <w:r>
        <w:rPr>
          <w:lang w:val="en-US"/>
        </w:rPr>
        <w:t>’</w:t>
      </w:r>
      <w:r w:rsidR="00F64C58" w:rsidRPr="00F64C58">
        <w:rPr>
          <w:lang w:val="en-US"/>
        </w:rPr>
        <w:t xml:space="preserve"> to terrorism (i.e. speech deemed to be “extremist”, racist, xenophobic or discriminatory, etc.) and measures that focus on countering the recruitment strategies advanced by terrorist groups. Some States have supported programs that focus on the so-called </w:t>
      </w:r>
      <w:r>
        <w:rPr>
          <w:lang w:val="en-US"/>
        </w:rPr>
        <w:t>‘</w:t>
      </w:r>
      <w:r w:rsidR="009B003B">
        <w:rPr>
          <w:lang w:val="en-US"/>
        </w:rPr>
        <w:t>triggers</w:t>
      </w:r>
      <w:r>
        <w:rPr>
          <w:lang w:val="en-US"/>
        </w:rPr>
        <w:t>’</w:t>
      </w:r>
      <w:r w:rsidR="00F64C58" w:rsidRPr="00F64C58">
        <w:rPr>
          <w:lang w:val="en-US"/>
        </w:rPr>
        <w:t xml:space="preserve"> for violent extremist behavior by promoting civil society interventions or fostering the capacity of certain communities to advance detection and counseling programs.  Others have adopted measures that focus on the underlying conditions</w:t>
      </w:r>
      <w:r w:rsidR="003F2287">
        <w:rPr>
          <w:lang w:val="en-US"/>
        </w:rPr>
        <w:t>, or ‘drivers’, of violent</w:t>
      </w:r>
      <w:r w:rsidR="00F64C58" w:rsidRPr="00F64C58">
        <w:rPr>
          <w:lang w:val="en-US"/>
        </w:rPr>
        <w:t xml:space="preserve"> extremism. </w:t>
      </w:r>
    </w:p>
    <w:p w:rsidR="00F64C58" w:rsidRPr="00F64C58" w:rsidRDefault="00F64C58" w:rsidP="00154CFF">
      <w:pPr>
        <w:pStyle w:val="SingleTxtG"/>
        <w:numPr>
          <w:ilvl w:val="0"/>
          <w:numId w:val="7"/>
        </w:numPr>
        <w:ind w:left="1134" w:firstLine="0"/>
        <w:rPr>
          <w:lang w:val="en-US"/>
        </w:rPr>
      </w:pPr>
      <w:r w:rsidRPr="00F64C58">
        <w:rPr>
          <w:lang w:val="en-US"/>
        </w:rPr>
        <w:t xml:space="preserve">Still, in many cases, State responses to violent extremism, pose serious challenges to the defence of freedom of religion or belief. They have responded to violent extremism by (1) enacting new laws and policies which directly restrict freedom of religion or belief; (2) curtailing its enjoyment as a consequence of limitations on other fundamental rights; or (3) scrutinizing religious organizations and intruding into the religious affairs of religious communities. A number of communications have been issued to States by the Special Procedures mandate holders jointly with the Special Rapporteur on freedom of religion or belief in recent years concerning direct discriminatory practices and heavy-handed </w:t>
      </w:r>
      <w:r w:rsidR="008D4E62">
        <w:rPr>
          <w:lang w:val="en-US"/>
        </w:rPr>
        <w:t xml:space="preserve">state </w:t>
      </w:r>
      <w:r w:rsidRPr="00F64C58">
        <w:rPr>
          <w:lang w:val="en-US"/>
        </w:rPr>
        <w:t>restrictions imposed on persons belonging to religious or belief minorities</w:t>
      </w:r>
      <w:r w:rsidR="004412E0">
        <w:rPr>
          <w:lang w:val="en-US"/>
        </w:rPr>
        <w:t xml:space="preserve"> alleg</w:t>
      </w:r>
      <w:r w:rsidR="008F624A">
        <w:rPr>
          <w:lang w:val="en-US"/>
        </w:rPr>
        <w:t xml:space="preserve">ed to be </w:t>
      </w:r>
      <w:r w:rsidRPr="00F64C58">
        <w:rPr>
          <w:lang w:val="en-US"/>
        </w:rPr>
        <w:t xml:space="preserve">public order threats. </w:t>
      </w:r>
    </w:p>
    <w:p w:rsidR="00F64C58" w:rsidRPr="000932BE" w:rsidRDefault="000932BE" w:rsidP="000932BE">
      <w:pPr>
        <w:pStyle w:val="H1G"/>
      </w:pPr>
      <w:r>
        <w:tab/>
        <w:t>A.</w:t>
      </w:r>
      <w:r>
        <w:tab/>
      </w:r>
      <w:r w:rsidR="00F64C58" w:rsidRPr="000932BE">
        <w:t xml:space="preserve">Registration Requirements </w:t>
      </w:r>
    </w:p>
    <w:p w:rsidR="00F64C58" w:rsidRPr="00F64C58" w:rsidRDefault="00F64C58" w:rsidP="00154CFF">
      <w:pPr>
        <w:pStyle w:val="SingleTxtG"/>
        <w:numPr>
          <w:ilvl w:val="0"/>
          <w:numId w:val="7"/>
        </w:numPr>
        <w:ind w:left="1134" w:firstLine="0"/>
        <w:rPr>
          <w:lang w:val="en-US"/>
        </w:rPr>
      </w:pPr>
      <w:r w:rsidRPr="00F64C58">
        <w:rPr>
          <w:lang w:val="en-US"/>
        </w:rPr>
        <w:t>Many governments have become concerned about groups viewed to be “extremist” or deemed to be threats to national identity or public order acquiring legal personality, thereby gaining benefits, exemptions and other entitlements. Some of them have addressed these concerns by erecting mandatory registration systems, denying or revoking the registration of certain communities, enacting more restrictive registration laws or requiring formerly registered communities to re-register.</w:t>
      </w:r>
      <w:r w:rsidRPr="00F64C58">
        <w:rPr>
          <w:vertAlign w:val="superscript"/>
          <w:lang w:val="en-US"/>
        </w:rPr>
        <w:footnoteReference w:id="15"/>
      </w:r>
    </w:p>
    <w:p w:rsidR="00F64C58" w:rsidRPr="004C6753" w:rsidRDefault="00F64C58" w:rsidP="00154CFF">
      <w:pPr>
        <w:pStyle w:val="SingleTxtG"/>
        <w:numPr>
          <w:ilvl w:val="0"/>
          <w:numId w:val="7"/>
        </w:numPr>
        <w:ind w:left="1134" w:firstLine="0"/>
        <w:rPr>
          <w:lang w:val="en-US"/>
        </w:rPr>
      </w:pPr>
      <w:r w:rsidRPr="00F64C58">
        <w:rPr>
          <w:lang w:val="en-US"/>
        </w:rPr>
        <w:t xml:space="preserve">As a consequence of such measures, some religious or belief communities have been unable to gain access to or maintain legal personality status. Access to legal personality falls within the scope of the right to freedom of religion or belief. It is essential for the day-to-day operations of many religious or belief communities. However, under international human rights law, religious or belief communities are not obliged to seek legal personality if they do not wish to do so. Individual believers and non-believers and religious or belief communities still hold rights under international human rights law even if </w:t>
      </w:r>
      <w:r w:rsidR="00B033D6">
        <w:rPr>
          <w:lang w:val="en-US"/>
        </w:rPr>
        <w:t xml:space="preserve">formal recognition for their faith </w:t>
      </w:r>
      <w:r w:rsidRPr="004C6753">
        <w:rPr>
          <w:lang w:val="en-US"/>
        </w:rPr>
        <w:t>is not provided for or not granted by a State or authority, or even if it is revoked</w:t>
      </w:r>
      <w:r w:rsidR="00B033D6" w:rsidRPr="004C6753">
        <w:rPr>
          <w:lang w:val="en-US"/>
        </w:rPr>
        <w:t>.</w:t>
      </w:r>
    </w:p>
    <w:p w:rsidR="00B94668" w:rsidRPr="00CC0DC5" w:rsidRDefault="00F64C58" w:rsidP="00D81834">
      <w:pPr>
        <w:pStyle w:val="SingleTxtG"/>
        <w:numPr>
          <w:ilvl w:val="0"/>
          <w:numId w:val="7"/>
        </w:numPr>
        <w:ind w:left="1134" w:firstLine="0"/>
        <w:rPr>
          <w:i/>
          <w:lang w:val="en-US"/>
        </w:rPr>
      </w:pPr>
      <w:r w:rsidRPr="004C6753">
        <w:rPr>
          <w:lang w:val="en-US"/>
        </w:rPr>
        <w:t xml:space="preserve">Regardless, depriving a religious or belief community of legal </w:t>
      </w:r>
      <w:r w:rsidR="00846486" w:rsidRPr="004C6753">
        <w:rPr>
          <w:lang w:val="en-US"/>
        </w:rPr>
        <w:t>status</w:t>
      </w:r>
      <w:r w:rsidRPr="004C6753">
        <w:rPr>
          <w:lang w:val="en-US"/>
        </w:rPr>
        <w:t xml:space="preserve"> can have a tremendous</w:t>
      </w:r>
      <w:r w:rsidRPr="00F64C58">
        <w:rPr>
          <w:lang w:val="en-US"/>
        </w:rPr>
        <w:t xml:space="preserve"> impact upon </w:t>
      </w:r>
      <w:r w:rsidR="00CD39A9">
        <w:rPr>
          <w:lang w:val="en-US"/>
        </w:rPr>
        <w:t>the</w:t>
      </w:r>
      <w:r w:rsidRPr="00F64C58">
        <w:rPr>
          <w:lang w:val="en-US"/>
        </w:rPr>
        <w:t xml:space="preserve"> collective aspects of the right to freedom of religion or belief, including the ability of </w:t>
      </w:r>
      <w:r w:rsidR="000C4311">
        <w:rPr>
          <w:lang w:val="en-US"/>
        </w:rPr>
        <w:t>adherents</w:t>
      </w:r>
      <w:r w:rsidRPr="00F64C58">
        <w:rPr>
          <w:lang w:val="en-US"/>
        </w:rPr>
        <w:t xml:space="preserve"> to practice their faith together with others</w:t>
      </w:r>
      <w:r w:rsidR="00CD39A9">
        <w:rPr>
          <w:lang w:val="en-US"/>
        </w:rPr>
        <w:t xml:space="preserve"> –– </w:t>
      </w:r>
      <w:r w:rsidRPr="00F64C58">
        <w:rPr>
          <w:lang w:val="en-US"/>
        </w:rPr>
        <w:t>jeopardizing the viability of the community itself. Absence of legal personality also raises question</w:t>
      </w:r>
      <w:r w:rsidR="00F61697">
        <w:rPr>
          <w:lang w:val="en-US"/>
        </w:rPr>
        <w:t>s</w:t>
      </w:r>
      <w:r w:rsidRPr="00F64C58">
        <w:rPr>
          <w:lang w:val="en-US"/>
        </w:rPr>
        <w:t xml:space="preserve"> of property</w:t>
      </w:r>
      <w:r w:rsidR="003C7445">
        <w:rPr>
          <w:lang w:val="en-US"/>
        </w:rPr>
        <w:t xml:space="preserve"> ownership for these communities</w:t>
      </w:r>
      <w:r w:rsidRPr="00F64C58">
        <w:rPr>
          <w:lang w:val="en-US"/>
        </w:rPr>
        <w:t xml:space="preserve">, including </w:t>
      </w:r>
      <w:r w:rsidR="003C7445">
        <w:rPr>
          <w:lang w:val="en-US"/>
        </w:rPr>
        <w:t xml:space="preserve">those which function as </w:t>
      </w:r>
      <w:r w:rsidRPr="00F64C58">
        <w:rPr>
          <w:lang w:val="en-US"/>
        </w:rPr>
        <w:t xml:space="preserve">places of worship and </w:t>
      </w:r>
      <w:r w:rsidR="003C7445">
        <w:rPr>
          <w:lang w:val="en-US"/>
        </w:rPr>
        <w:t>education</w:t>
      </w:r>
      <w:r w:rsidRPr="00F64C58">
        <w:rPr>
          <w:lang w:val="en-US"/>
        </w:rPr>
        <w:t>. Again, this can directly affect the collective dimension of the human right to freedom of religion or belief.</w:t>
      </w:r>
      <w:r w:rsidR="004412E0">
        <w:rPr>
          <w:rStyle w:val="FootnoteReference"/>
          <w:lang w:val="en-US"/>
        </w:rPr>
        <w:footnoteReference w:id="16"/>
      </w:r>
      <w:r w:rsidRPr="00F64C58">
        <w:rPr>
          <w:lang w:val="en-US"/>
        </w:rPr>
        <w:t xml:space="preserve"> </w:t>
      </w:r>
    </w:p>
    <w:p w:rsidR="00F64C58" w:rsidRPr="000932BE" w:rsidRDefault="000932BE" w:rsidP="000932BE">
      <w:pPr>
        <w:pStyle w:val="H1G"/>
      </w:pPr>
      <w:r>
        <w:lastRenderedPageBreak/>
        <w:tab/>
        <w:t>B.</w:t>
      </w:r>
      <w:r>
        <w:tab/>
      </w:r>
      <w:r w:rsidR="00F64C58" w:rsidRPr="000932BE">
        <w:t xml:space="preserve">Freedom of movement </w:t>
      </w:r>
    </w:p>
    <w:p w:rsidR="00F64C58" w:rsidRPr="00F64C58" w:rsidRDefault="00F64C58" w:rsidP="00154CFF">
      <w:pPr>
        <w:pStyle w:val="SingleTxtG"/>
        <w:numPr>
          <w:ilvl w:val="0"/>
          <w:numId w:val="7"/>
        </w:numPr>
        <w:ind w:left="1134" w:firstLine="0"/>
        <w:rPr>
          <w:lang w:val="en-US"/>
        </w:rPr>
      </w:pPr>
      <w:r w:rsidRPr="00F64C58">
        <w:rPr>
          <w:lang w:val="en-US"/>
        </w:rPr>
        <w:t>Some States have modified various aspects of their legislation to prevent the internal movement of individuals considered to be “extremists”</w:t>
      </w:r>
      <w:r w:rsidR="00F72C60">
        <w:rPr>
          <w:lang w:val="en-US"/>
        </w:rPr>
        <w:t xml:space="preserve">, which </w:t>
      </w:r>
      <w:r w:rsidR="0072715D">
        <w:rPr>
          <w:lang w:val="en-US"/>
        </w:rPr>
        <w:t>can</w:t>
      </w:r>
      <w:r w:rsidR="006E6DD0">
        <w:rPr>
          <w:lang w:val="en-US"/>
        </w:rPr>
        <w:t xml:space="preserve"> </w:t>
      </w:r>
      <w:r w:rsidR="00EC329D">
        <w:rPr>
          <w:lang w:val="en-US"/>
        </w:rPr>
        <w:t>result in</w:t>
      </w:r>
      <w:r w:rsidR="0072715D">
        <w:rPr>
          <w:lang w:val="en-US"/>
        </w:rPr>
        <w:t xml:space="preserve"> </w:t>
      </w:r>
      <w:r w:rsidR="006E6DD0">
        <w:rPr>
          <w:lang w:val="en-US"/>
        </w:rPr>
        <w:t>discriminat</w:t>
      </w:r>
      <w:r w:rsidR="0072715D">
        <w:rPr>
          <w:lang w:val="en-US"/>
        </w:rPr>
        <w:t>ory practices</w:t>
      </w:r>
      <w:r w:rsidR="006E6DD0">
        <w:rPr>
          <w:lang w:val="en-US"/>
        </w:rPr>
        <w:t xml:space="preserve"> </w:t>
      </w:r>
      <w:r w:rsidR="0072715D">
        <w:rPr>
          <w:lang w:val="en-US"/>
        </w:rPr>
        <w:t>involving</w:t>
      </w:r>
      <w:r w:rsidR="006E6DD0">
        <w:rPr>
          <w:lang w:val="en-US"/>
        </w:rPr>
        <w:t xml:space="preserve"> religion or belief</w:t>
      </w:r>
      <w:r w:rsidRPr="00F64C58">
        <w:rPr>
          <w:lang w:val="en-US"/>
        </w:rPr>
        <w:t xml:space="preserve">. Contrary </w:t>
      </w:r>
      <w:r w:rsidR="00215352">
        <w:rPr>
          <w:lang w:val="en-US"/>
        </w:rPr>
        <w:t xml:space="preserve">to </w:t>
      </w:r>
      <w:r w:rsidRPr="00F64C58">
        <w:rPr>
          <w:lang w:val="en-US"/>
        </w:rPr>
        <w:t>international human rights</w:t>
      </w:r>
      <w:r w:rsidR="00714619">
        <w:rPr>
          <w:lang w:val="en-US"/>
        </w:rPr>
        <w:t xml:space="preserve"> norms</w:t>
      </w:r>
      <w:r w:rsidRPr="00F64C58">
        <w:rPr>
          <w:lang w:val="en-US"/>
        </w:rPr>
        <w:t xml:space="preserve">, these include </w:t>
      </w:r>
      <w:r w:rsidR="00D3101A">
        <w:rPr>
          <w:lang w:val="en-US"/>
        </w:rPr>
        <w:t>initiatives</w:t>
      </w:r>
      <w:r w:rsidRPr="00F64C58">
        <w:rPr>
          <w:lang w:val="en-US"/>
        </w:rPr>
        <w:t xml:space="preserve"> t</w:t>
      </w:r>
      <w:r w:rsidR="00D3101A">
        <w:rPr>
          <w:lang w:val="en-US"/>
        </w:rPr>
        <w:t xml:space="preserve">o </w:t>
      </w:r>
      <w:r w:rsidRPr="00F64C58">
        <w:rPr>
          <w:lang w:val="en-US"/>
        </w:rPr>
        <w:t>relocate individuals within their country of residence or nationality, measures that amend the rules applicable to asylum seekers or migrants and steps to review citizenship rules</w:t>
      </w:r>
      <w:r w:rsidR="004412E0">
        <w:rPr>
          <w:lang w:val="en-US"/>
        </w:rPr>
        <w:t xml:space="preserve"> and even revoke citizenship</w:t>
      </w:r>
      <w:r w:rsidRPr="00F64C58">
        <w:rPr>
          <w:lang w:val="en-US"/>
        </w:rPr>
        <w:t xml:space="preserve">. Such measures can obviously have a serious impact on freedom of movement. They also negatively affect the right to the presumption of innocence and the right to due process; the right to be protected against the arbitrary deprivation of nationality; the right to liberty and security; and the right to freedom of religion or belief. </w:t>
      </w:r>
      <w:r w:rsidR="00FC0192">
        <w:rPr>
          <w:rStyle w:val="FootnoteReference"/>
          <w:lang w:val="en-US"/>
        </w:rPr>
        <w:footnoteReference w:id="17"/>
      </w:r>
    </w:p>
    <w:p w:rsidR="00F64C58" w:rsidRPr="000932BE" w:rsidRDefault="000932BE" w:rsidP="000932BE">
      <w:pPr>
        <w:pStyle w:val="H1G"/>
      </w:pPr>
      <w:r>
        <w:tab/>
        <w:t>C.</w:t>
      </w:r>
      <w:r>
        <w:tab/>
      </w:r>
      <w:r w:rsidR="00F64C58" w:rsidRPr="000932BE">
        <w:t xml:space="preserve">Profiling, Surveillance and Harassment </w:t>
      </w:r>
    </w:p>
    <w:p w:rsidR="00F64C58" w:rsidRPr="00F64C58" w:rsidRDefault="00F64C58" w:rsidP="00154CFF">
      <w:pPr>
        <w:pStyle w:val="SingleTxtG"/>
        <w:numPr>
          <w:ilvl w:val="0"/>
          <w:numId w:val="7"/>
        </w:numPr>
        <w:ind w:left="1134" w:firstLine="0"/>
        <w:rPr>
          <w:lang w:val="en-US"/>
        </w:rPr>
      </w:pPr>
      <w:r w:rsidRPr="00F64C58">
        <w:rPr>
          <w:lang w:val="en-US"/>
        </w:rPr>
        <w:t>States also continue to adopt legislation and policies</w:t>
      </w:r>
      <w:r w:rsidR="00035217">
        <w:rPr>
          <w:lang w:val="en-US"/>
        </w:rPr>
        <w:t xml:space="preserve"> within a P/CVE framework</w:t>
      </w:r>
      <w:r w:rsidRPr="00F64C58">
        <w:rPr>
          <w:lang w:val="en-US"/>
        </w:rPr>
        <w:t xml:space="preserve"> which profile members of certain religion or belief groups ostensibly deemed inclined toward “radicalization”, “extremism”, or criminality based on stereotype</w:t>
      </w:r>
      <w:r w:rsidR="008C1A68">
        <w:rPr>
          <w:lang w:val="en-US"/>
        </w:rPr>
        <w:t>s</w:t>
      </w:r>
      <w:r w:rsidR="00441EBA">
        <w:rPr>
          <w:lang w:val="en-US"/>
        </w:rPr>
        <w:t xml:space="preserve">, </w:t>
      </w:r>
      <w:r w:rsidR="00035217">
        <w:rPr>
          <w:lang w:val="en-US"/>
        </w:rPr>
        <w:t>includ</w:t>
      </w:r>
      <w:r w:rsidR="008C1A68">
        <w:rPr>
          <w:lang w:val="en-US"/>
        </w:rPr>
        <w:t>ing</w:t>
      </w:r>
      <w:r w:rsidR="00441EBA">
        <w:rPr>
          <w:lang w:val="en-US"/>
        </w:rPr>
        <w:t xml:space="preserve"> policies which</w:t>
      </w:r>
      <w:r w:rsidR="008C1A68">
        <w:rPr>
          <w:lang w:val="en-US"/>
        </w:rPr>
        <w:t xml:space="preserve"> </w:t>
      </w:r>
      <w:r w:rsidR="00AB0A2D">
        <w:rPr>
          <w:lang w:val="en-US"/>
        </w:rPr>
        <w:t xml:space="preserve">classify </w:t>
      </w:r>
      <w:r w:rsidR="00035217">
        <w:rPr>
          <w:lang w:val="en-US"/>
        </w:rPr>
        <w:t>peaceful</w:t>
      </w:r>
      <w:r w:rsidR="00802F74">
        <w:rPr>
          <w:lang w:val="en-US"/>
        </w:rPr>
        <w:t xml:space="preserve"> manifestations </w:t>
      </w:r>
      <w:r w:rsidR="00BD08E1">
        <w:rPr>
          <w:lang w:val="en-US"/>
        </w:rPr>
        <w:t>o</w:t>
      </w:r>
      <w:r w:rsidR="00802F74">
        <w:rPr>
          <w:lang w:val="en-US"/>
        </w:rPr>
        <w:t>f</w:t>
      </w:r>
      <w:r w:rsidR="00035217">
        <w:rPr>
          <w:lang w:val="en-US"/>
        </w:rPr>
        <w:t xml:space="preserve"> religious</w:t>
      </w:r>
      <w:r w:rsidR="00802F74">
        <w:rPr>
          <w:lang w:val="en-US"/>
        </w:rPr>
        <w:t xml:space="preserve"> belief </w:t>
      </w:r>
      <w:r w:rsidR="00035217">
        <w:rPr>
          <w:lang w:val="en-US"/>
        </w:rPr>
        <w:t>as indictors of support for violent extremism</w:t>
      </w:r>
      <w:r w:rsidRPr="00F64C58">
        <w:rPr>
          <w:lang w:val="en-US"/>
        </w:rPr>
        <w:t xml:space="preserve">. Others are increasingly misusing vaguely worded </w:t>
      </w:r>
      <w:r w:rsidR="00035217">
        <w:rPr>
          <w:lang w:val="en-US"/>
        </w:rPr>
        <w:t xml:space="preserve">national </w:t>
      </w:r>
      <w:r w:rsidRPr="00F64C58">
        <w:rPr>
          <w:lang w:val="en-US"/>
        </w:rPr>
        <w:t>security measures to target political opponents, human rights defenders, journalists, environmental activists, artists and labor leaders. Many others have concerns that some places of worship are environments for radicalization that lead to terrorism and recruitment to groups that espouse violence and have responded by reviewing sermons, screening</w:t>
      </w:r>
      <w:r w:rsidR="00202754">
        <w:rPr>
          <w:lang w:val="en-US"/>
        </w:rPr>
        <w:t xml:space="preserve"> and </w:t>
      </w:r>
      <w:r w:rsidR="00202754" w:rsidRPr="00F64C58">
        <w:rPr>
          <w:lang w:val="en-US"/>
        </w:rPr>
        <w:t xml:space="preserve">interrogating </w:t>
      </w:r>
      <w:r w:rsidR="00202754">
        <w:rPr>
          <w:lang w:val="en-US"/>
        </w:rPr>
        <w:t>t</w:t>
      </w:r>
      <w:r w:rsidRPr="00F64C58">
        <w:rPr>
          <w:lang w:val="en-US"/>
        </w:rPr>
        <w:t>hose who enter and leave places of worship</w:t>
      </w:r>
      <w:r w:rsidR="00D8211C">
        <w:rPr>
          <w:lang w:val="en-US"/>
        </w:rPr>
        <w:t xml:space="preserve"> </w:t>
      </w:r>
      <w:r w:rsidRPr="00F64C58">
        <w:rPr>
          <w:lang w:val="en-US"/>
        </w:rPr>
        <w:t xml:space="preserve">and other monitoring activities. Occasionally, governments have </w:t>
      </w:r>
      <w:r w:rsidR="003E3543">
        <w:rPr>
          <w:lang w:val="en-US"/>
        </w:rPr>
        <w:t>shuttered places</w:t>
      </w:r>
      <w:r w:rsidRPr="00F64C58">
        <w:rPr>
          <w:lang w:val="en-US"/>
        </w:rPr>
        <w:t xml:space="preserve"> of worship</w:t>
      </w:r>
      <w:r w:rsidR="005A628A">
        <w:rPr>
          <w:lang w:val="en-US"/>
        </w:rPr>
        <w:t xml:space="preserve"> and prohibit</w:t>
      </w:r>
      <w:r w:rsidR="00791E69">
        <w:rPr>
          <w:lang w:val="en-US"/>
        </w:rPr>
        <w:t xml:space="preserve">ed </w:t>
      </w:r>
      <w:r w:rsidR="005A628A">
        <w:rPr>
          <w:lang w:val="en-US"/>
        </w:rPr>
        <w:t xml:space="preserve">certain religious leaders </w:t>
      </w:r>
      <w:r w:rsidR="00E73FE6">
        <w:rPr>
          <w:lang w:val="en-US"/>
        </w:rPr>
        <w:t xml:space="preserve">from </w:t>
      </w:r>
      <w:r w:rsidR="004F76A2">
        <w:rPr>
          <w:lang w:val="en-US"/>
        </w:rPr>
        <w:t xml:space="preserve">maintaining or </w:t>
      </w:r>
      <w:r w:rsidR="00E73FE6">
        <w:rPr>
          <w:lang w:val="en-US"/>
        </w:rPr>
        <w:t>being appointed t</w:t>
      </w:r>
      <w:r w:rsidR="004F76A2">
        <w:rPr>
          <w:lang w:val="en-US"/>
        </w:rPr>
        <w:t>o</w:t>
      </w:r>
      <w:r w:rsidR="00426C9A">
        <w:rPr>
          <w:lang w:val="en-US"/>
        </w:rPr>
        <w:t xml:space="preserve"> </w:t>
      </w:r>
      <w:r w:rsidR="006827EA">
        <w:rPr>
          <w:lang w:val="en-US"/>
        </w:rPr>
        <w:t xml:space="preserve">certain </w:t>
      </w:r>
      <w:r w:rsidR="005A628A">
        <w:rPr>
          <w:lang w:val="en-US"/>
        </w:rPr>
        <w:t>positions in the community.</w:t>
      </w:r>
      <w:r w:rsidRPr="00F64C58">
        <w:rPr>
          <w:lang w:val="en-US"/>
        </w:rPr>
        <w:t xml:space="preserve"> </w:t>
      </w:r>
    </w:p>
    <w:p w:rsidR="00F64C58" w:rsidRPr="00F64C58" w:rsidRDefault="00F64C58" w:rsidP="00154CFF">
      <w:pPr>
        <w:pStyle w:val="SingleTxtG"/>
        <w:numPr>
          <w:ilvl w:val="0"/>
          <w:numId w:val="7"/>
        </w:numPr>
        <w:ind w:left="1134" w:firstLine="0"/>
      </w:pPr>
      <w:r w:rsidRPr="00F64C58">
        <w:rPr>
          <w:lang w:val="en-US"/>
        </w:rPr>
        <w:t>Moreover, according to a study, there are still governments who</w:t>
      </w:r>
      <w:r w:rsidR="00E45F20">
        <w:rPr>
          <w:lang w:val="en-US"/>
        </w:rPr>
        <w:t xml:space="preserve"> use security reasons to </w:t>
      </w:r>
      <w:r w:rsidRPr="00F64C58">
        <w:rPr>
          <w:lang w:val="en-US"/>
        </w:rPr>
        <w:t xml:space="preserve">formally ban religious or belief </w:t>
      </w:r>
      <w:r w:rsidR="00E45F20">
        <w:rPr>
          <w:lang w:val="en-US"/>
        </w:rPr>
        <w:t>groups</w:t>
      </w:r>
      <w:r w:rsidR="003D190E" w:rsidRPr="00FF5FDE">
        <w:t xml:space="preserve"> </w:t>
      </w:r>
      <w:r w:rsidR="003D190E">
        <w:t>and render membership in these groups a criminal offence.</w:t>
      </w:r>
      <w:r w:rsidR="003D190E">
        <w:rPr>
          <w:lang w:val="en-US"/>
        </w:rPr>
        <w:t xml:space="preserve"> </w:t>
      </w:r>
      <w:r w:rsidRPr="00F64C58">
        <w:rPr>
          <w:vertAlign w:val="superscript"/>
          <w:lang w:val="en-US"/>
        </w:rPr>
        <w:footnoteReference w:id="18"/>
      </w:r>
      <w:r w:rsidR="007F0779">
        <w:t xml:space="preserve"> </w:t>
      </w:r>
      <w:r w:rsidR="00D02C86">
        <w:t>The criteria for this do not always appear to be clear, or closely connected to proof of th</w:t>
      </w:r>
      <w:r w:rsidR="00D23255">
        <w:t>e</w:t>
      </w:r>
      <w:r w:rsidR="00D02C86">
        <w:t xml:space="preserve"> group’s engagement in or material support for violence or its incitement. </w:t>
      </w:r>
      <w:r w:rsidR="00D02C86">
        <w:rPr>
          <w:lang w:val="en-US"/>
        </w:rPr>
        <w:t>Some</w:t>
      </w:r>
      <w:r w:rsidRPr="00F64C58">
        <w:rPr>
          <w:lang w:val="en-US"/>
        </w:rPr>
        <w:t xml:space="preserve"> States only recognize (a) specific religion(s), restrict the practice of other religions or beliefs, and invoke so-called security measures to</w:t>
      </w:r>
      <w:r w:rsidR="008B2A51">
        <w:rPr>
          <w:lang w:val="en-US"/>
        </w:rPr>
        <w:t xml:space="preserve"> inhibit the</w:t>
      </w:r>
      <w:r w:rsidRPr="00F64C58">
        <w:rPr>
          <w:lang w:val="en-US"/>
        </w:rPr>
        <w:t xml:space="preserve"> promo</w:t>
      </w:r>
      <w:r w:rsidR="008B2A51">
        <w:rPr>
          <w:lang w:val="en-US"/>
        </w:rPr>
        <w:t xml:space="preserve">tion of </w:t>
      </w:r>
      <w:r w:rsidRPr="00F64C58">
        <w:rPr>
          <w:lang w:val="en-US"/>
        </w:rPr>
        <w:t xml:space="preserve">those religions, often contending that </w:t>
      </w:r>
      <w:r w:rsidR="0051717A">
        <w:rPr>
          <w:lang w:val="en-US"/>
        </w:rPr>
        <w:t xml:space="preserve">allowing </w:t>
      </w:r>
      <w:r w:rsidR="007F0779">
        <w:rPr>
          <w:lang w:val="en-US"/>
        </w:rPr>
        <w:t>for</w:t>
      </w:r>
      <w:r w:rsidR="00FA72A4">
        <w:rPr>
          <w:lang w:val="en-US"/>
        </w:rPr>
        <w:t xml:space="preserve"> the practices of</w:t>
      </w:r>
      <w:r w:rsidR="007F0779">
        <w:rPr>
          <w:lang w:val="en-US"/>
        </w:rPr>
        <w:t xml:space="preserve"> </w:t>
      </w:r>
      <w:r w:rsidRPr="00F64C58">
        <w:rPr>
          <w:lang w:val="en-US"/>
        </w:rPr>
        <w:t xml:space="preserve">different religions or beliefs would increase social hostilities.  In many cases, </w:t>
      </w:r>
      <w:r w:rsidR="00D70FC6">
        <w:rPr>
          <w:lang w:val="en-US"/>
        </w:rPr>
        <w:t>persons</w:t>
      </w:r>
      <w:r w:rsidR="007113DA">
        <w:rPr>
          <w:lang w:val="en-US"/>
        </w:rPr>
        <w:t xml:space="preserve"> prosecuted</w:t>
      </w:r>
      <w:r w:rsidR="00DE2296">
        <w:rPr>
          <w:lang w:val="en-US"/>
        </w:rPr>
        <w:t xml:space="preserve"> under these laws are deemed to be </w:t>
      </w:r>
      <w:r w:rsidR="00DA7739">
        <w:rPr>
          <w:lang w:val="en-US"/>
        </w:rPr>
        <w:t>members of</w:t>
      </w:r>
      <w:r w:rsidR="000C5DEA">
        <w:rPr>
          <w:lang w:val="en-US"/>
        </w:rPr>
        <w:t xml:space="preserve"> a</w:t>
      </w:r>
      <w:r w:rsidR="00DE2296">
        <w:rPr>
          <w:lang w:val="en-US"/>
        </w:rPr>
        <w:t xml:space="preserve"> </w:t>
      </w:r>
      <w:r w:rsidR="00DA7739">
        <w:rPr>
          <w:lang w:val="en-US"/>
        </w:rPr>
        <w:t xml:space="preserve">faith or belief community </w:t>
      </w:r>
      <w:r w:rsidR="000C5DEA">
        <w:rPr>
          <w:lang w:val="en-US"/>
        </w:rPr>
        <w:t>which</w:t>
      </w:r>
      <w:r w:rsidR="00DA7739">
        <w:rPr>
          <w:lang w:val="en-US"/>
        </w:rPr>
        <w:t xml:space="preserve"> </w:t>
      </w:r>
      <w:r w:rsidRPr="00F64C58">
        <w:rPr>
          <w:lang w:val="en-US"/>
        </w:rPr>
        <w:t xml:space="preserve">“distort” the interpretations of ‘recognized’ religions. </w:t>
      </w:r>
    </w:p>
    <w:p w:rsidR="00D2489F" w:rsidRDefault="000516E6" w:rsidP="00D81834">
      <w:pPr>
        <w:pStyle w:val="SingleTxtG"/>
        <w:numPr>
          <w:ilvl w:val="0"/>
          <w:numId w:val="7"/>
        </w:numPr>
        <w:ind w:left="1134" w:firstLine="0"/>
      </w:pPr>
      <w:r>
        <w:t xml:space="preserve">In a similar vein, </w:t>
      </w:r>
      <w:r w:rsidR="002E55BD">
        <w:t>f</w:t>
      </w:r>
      <w:r>
        <w:t>or some States</w:t>
      </w:r>
      <w:r w:rsidR="002E55BD">
        <w:t xml:space="preserve">, </w:t>
      </w:r>
      <w:r w:rsidR="002E55BD" w:rsidRPr="00FF5FDE">
        <w:t>the promotion of (a) specific religion(s) is, in fact, a matter of national identity and therefore, its protection is</w:t>
      </w:r>
      <w:r w:rsidR="00067C60">
        <w:t>,</w:t>
      </w:r>
      <w:r w:rsidR="00FF5FDE">
        <w:t xml:space="preserve"> in itself</w:t>
      </w:r>
      <w:r w:rsidR="00067C60">
        <w:t>,</w:t>
      </w:r>
      <w:r w:rsidR="002E55BD" w:rsidRPr="00FF5FDE">
        <w:t xml:space="preserve"> treated as a national security imperative.</w:t>
      </w:r>
      <w:r w:rsidR="002E55BD" w:rsidRPr="00FF5FDE">
        <w:rPr>
          <w:vertAlign w:val="superscript"/>
        </w:rPr>
        <w:footnoteReference w:id="19"/>
      </w:r>
      <w:r w:rsidR="002E55BD" w:rsidRPr="00FF5FDE">
        <w:rPr>
          <w:vertAlign w:val="superscript"/>
        </w:rPr>
        <w:t xml:space="preserve"> </w:t>
      </w:r>
      <w:r w:rsidR="00623E50">
        <w:rPr>
          <w:vertAlign w:val="superscript"/>
        </w:rPr>
        <w:t xml:space="preserve"> </w:t>
      </w:r>
      <w:r w:rsidR="00623E50" w:rsidRPr="00623E50">
        <w:t>The</w:t>
      </w:r>
      <w:r w:rsidR="004C4351">
        <w:t>se</w:t>
      </w:r>
      <w:r w:rsidR="00163EBC">
        <w:t xml:space="preserve"> States may</w:t>
      </w:r>
      <w:r w:rsidR="004D62FC">
        <w:t>, therefore,</w:t>
      </w:r>
      <w:r w:rsidR="00163EBC">
        <w:t xml:space="preserve"> </w:t>
      </w:r>
      <w:r w:rsidR="00623E50" w:rsidRPr="00623E50">
        <w:t>promot</w:t>
      </w:r>
      <w:r w:rsidR="004D62FC">
        <w:t>e</w:t>
      </w:r>
      <w:r w:rsidR="00623E50" w:rsidRPr="00623E50">
        <w:t xml:space="preserve"> (a) specific religion(s)</w:t>
      </w:r>
      <w:r w:rsidR="004D62FC">
        <w:t xml:space="preserve"> </w:t>
      </w:r>
      <w:r w:rsidR="00623E50" w:rsidRPr="00623E50">
        <w:t xml:space="preserve">through indirect means, as opposed to official legislation. For example, States may promote a particular religion, or an interpretation of a religion, through social media and official government statements, whilst simultaneously securitising </w:t>
      </w:r>
      <w:r w:rsidR="00623E50" w:rsidRPr="00623E50">
        <w:rPr>
          <w:lang w:val="en-US"/>
        </w:rPr>
        <w:t>other</w:t>
      </w:r>
      <w:r w:rsidR="00623E50" w:rsidRPr="00623E50">
        <w:t xml:space="preserve"> religions or beliefs, in order to </w:t>
      </w:r>
      <w:r w:rsidR="00D2489F">
        <w:t xml:space="preserve">limit </w:t>
      </w:r>
      <w:r w:rsidR="00D81834">
        <w:t>proselytiz</w:t>
      </w:r>
      <w:r w:rsidR="009B3FC3">
        <w:t>ation</w:t>
      </w:r>
      <w:r w:rsidR="008A4708">
        <w:t xml:space="preserve"> </w:t>
      </w:r>
      <w:r w:rsidR="00D2489F">
        <w:t>amongst</w:t>
      </w:r>
      <w:r w:rsidR="00623E50" w:rsidRPr="00623E50">
        <w:t xml:space="preserve"> domestic population</w:t>
      </w:r>
      <w:r w:rsidR="00D2489F">
        <w:t>s</w:t>
      </w:r>
      <w:r w:rsidR="00623E50" w:rsidRPr="00623E50">
        <w:t>.</w:t>
      </w:r>
      <w:r w:rsidR="00623E50" w:rsidRPr="00623E50">
        <w:rPr>
          <w:vertAlign w:val="superscript"/>
        </w:rPr>
        <w:footnoteReference w:id="20"/>
      </w:r>
      <w:r w:rsidR="00623E50" w:rsidRPr="00623E50">
        <w:t xml:space="preserve"> </w:t>
      </w:r>
    </w:p>
    <w:p w:rsidR="002E55BD" w:rsidRPr="00CC0DC5" w:rsidRDefault="00CC0DC5" w:rsidP="00CC0DC5">
      <w:pPr>
        <w:pStyle w:val="HChG"/>
      </w:pPr>
      <w:r>
        <w:lastRenderedPageBreak/>
        <w:tab/>
      </w:r>
      <w:r w:rsidR="00623E50" w:rsidRPr="00D81834">
        <w:t>IV.</w:t>
      </w:r>
      <w:r w:rsidR="00623E50" w:rsidRPr="00D81834">
        <w:tab/>
        <w:t xml:space="preserve">Key challenges to preventing or countering violent extremism and protecting freedom of religion or belief </w:t>
      </w:r>
    </w:p>
    <w:p w:rsidR="00F64C58" w:rsidRPr="00F64C58" w:rsidRDefault="00F64C58" w:rsidP="00154CFF">
      <w:pPr>
        <w:pStyle w:val="SingleTxtG"/>
        <w:numPr>
          <w:ilvl w:val="0"/>
          <w:numId w:val="7"/>
        </w:numPr>
        <w:ind w:left="1134" w:firstLine="0"/>
        <w:rPr>
          <w:lang w:val="en-US"/>
        </w:rPr>
      </w:pPr>
      <w:r w:rsidRPr="00F64C58">
        <w:rPr>
          <w:lang w:val="en-US"/>
        </w:rPr>
        <w:t>The protection of the right to freedom of religion or belief while countering violent extremism is complicated for a number of reasons. First, the lack of a consensus definition as to what constitutes ‘violent extremism’ undercuts the development of a cogent global strategy for countering terrorism and preventing violent extremism</w:t>
      </w:r>
      <w:r w:rsidR="007B3998">
        <w:rPr>
          <w:lang w:val="en-US"/>
        </w:rPr>
        <w:t xml:space="preserve"> and contributes to abusive prac</w:t>
      </w:r>
      <w:r w:rsidR="00D81834">
        <w:rPr>
          <w:lang w:val="en-US"/>
        </w:rPr>
        <w:t>tices such as the conflation of</w:t>
      </w:r>
      <w:r w:rsidR="00DE6969">
        <w:rPr>
          <w:lang w:val="en-US"/>
        </w:rPr>
        <w:t xml:space="preserve"> beliefs </w:t>
      </w:r>
      <w:r w:rsidR="000F2676">
        <w:rPr>
          <w:lang w:val="en-US"/>
        </w:rPr>
        <w:t>and practices believed to be extreme</w:t>
      </w:r>
      <w:r w:rsidR="007B3998">
        <w:rPr>
          <w:lang w:val="en-US"/>
        </w:rPr>
        <w:t xml:space="preserve"> with ‘violent extremism’.</w:t>
      </w:r>
      <w:r w:rsidRPr="00F64C58">
        <w:rPr>
          <w:lang w:val="en-US"/>
        </w:rPr>
        <w:t xml:space="preserve"> Second, </w:t>
      </w:r>
      <w:r w:rsidR="007B3998">
        <w:rPr>
          <w:lang w:val="en-US"/>
        </w:rPr>
        <w:t xml:space="preserve">the use of violence in the name of </w:t>
      </w:r>
      <w:r w:rsidRPr="00F64C58">
        <w:rPr>
          <w:lang w:val="en-US"/>
        </w:rPr>
        <w:t xml:space="preserve">religion or belief </w:t>
      </w:r>
      <w:r w:rsidR="007B3998">
        <w:rPr>
          <w:lang w:val="en-US"/>
        </w:rPr>
        <w:t>by some tends to stigmatize othe</w:t>
      </w:r>
      <w:r w:rsidR="00C71151">
        <w:rPr>
          <w:lang w:val="en-US"/>
        </w:rPr>
        <w:t>r members of thei</w:t>
      </w:r>
      <w:r w:rsidR="00016554">
        <w:rPr>
          <w:lang w:val="en-US"/>
        </w:rPr>
        <w:t>r</w:t>
      </w:r>
      <w:r w:rsidR="00C71151">
        <w:rPr>
          <w:lang w:val="en-US"/>
        </w:rPr>
        <w:t xml:space="preserve"> </w:t>
      </w:r>
      <w:r w:rsidR="007B3998">
        <w:rPr>
          <w:lang w:val="en-US"/>
        </w:rPr>
        <w:t xml:space="preserve">religion </w:t>
      </w:r>
      <w:r w:rsidR="0065050D">
        <w:rPr>
          <w:lang w:val="en-US"/>
        </w:rPr>
        <w:t>or belief community</w:t>
      </w:r>
      <w:r w:rsidR="00016554">
        <w:rPr>
          <w:lang w:val="en-US"/>
        </w:rPr>
        <w:t xml:space="preserve">, </w:t>
      </w:r>
      <w:r w:rsidR="007B3998">
        <w:rPr>
          <w:lang w:val="en-US"/>
        </w:rPr>
        <w:t xml:space="preserve">regardless of their conduct. </w:t>
      </w:r>
      <w:r w:rsidRPr="00F64C58">
        <w:rPr>
          <w:lang w:val="en-US"/>
        </w:rPr>
        <w:t xml:space="preserve">Third, </w:t>
      </w:r>
      <w:r w:rsidR="007B3998">
        <w:rPr>
          <w:lang w:val="en-US"/>
        </w:rPr>
        <w:t>although what one believes or does not believe is absolutely inviolable, the public manifestation of religion or belief may be restricted</w:t>
      </w:r>
      <w:r w:rsidR="00215352">
        <w:rPr>
          <w:lang w:val="en-US"/>
        </w:rPr>
        <w:t xml:space="preserve"> in exceptional circumstances and in strict compliance with the limitations regime prescribed by </w:t>
      </w:r>
      <w:r w:rsidR="005C56B7">
        <w:rPr>
          <w:lang w:val="en-US"/>
        </w:rPr>
        <w:t>international</w:t>
      </w:r>
      <w:r w:rsidR="007B3998">
        <w:rPr>
          <w:lang w:val="en-US"/>
        </w:rPr>
        <w:t xml:space="preserve"> l</w:t>
      </w:r>
      <w:r w:rsidR="005C56B7">
        <w:rPr>
          <w:lang w:val="en-US"/>
        </w:rPr>
        <w:t>aw</w:t>
      </w:r>
      <w:r w:rsidR="007B3998">
        <w:rPr>
          <w:lang w:val="en-US"/>
        </w:rPr>
        <w:t>.</w:t>
      </w:r>
      <w:r w:rsidR="007B3998">
        <w:rPr>
          <w:rStyle w:val="FootnoteReference"/>
          <w:lang w:val="en-US"/>
        </w:rPr>
        <w:footnoteReference w:id="21"/>
      </w:r>
      <w:r w:rsidR="007B3998">
        <w:rPr>
          <w:lang w:val="en-US"/>
        </w:rPr>
        <w:t xml:space="preserve"> </w:t>
      </w:r>
      <w:r w:rsidRPr="00F64C58">
        <w:rPr>
          <w:lang w:val="en-US"/>
        </w:rPr>
        <w:t>And lastly, the right to freedom of religion or belief is both reinforced and challenged by other human rights, such as freedom of expression.</w:t>
      </w:r>
    </w:p>
    <w:p w:rsidR="00F64C58" w:rsidRPr="00F64C58" w:rsidRDefault="00225A9E" w:rsidP="00225A9E">
      <w:pPr>
        <w:pStyle w:val="H1G"/>
        <w:rPr>
          <w:lang w:val="en-US"/>
        </w:rPr>
      </w:pPr>
      <w:r>
        <w:rPr>
          <w:lang w:val="en-US"/>
        </w:rPr>
        <w:tab/>
        <w:t>A.</w:t>
      </w:r>
      <w:r>
        <w:rPr>
          <w:lang w:val="en-US"/>
        </w:rPr>
        <w:tab/>
      </w:r>
      <w:r w:rsidR="00F64C58" w:rsidRPr="00F64C58">
        <w:rPr>
          <w:lang w:val="en-US"/>
        </w:rPr>
        <w:t>Defining ‘violent extremism’</w:t>
      </w:r>
    </w:p>
    <w:p w:rsidR="00F64C58" w:rsidRPr="00F64C58" w:rsidRDefault="00F64C58" w:rsidP="00154CFF">
      <w:pPr>
        <w:pStyle w:val="SingleTxtG"/>
        <w:numPr>
          <w:ilvl w:val="0"/>
          <w:numId w:val="7"/>
        </w:numPr>
        <w:ind w:left="1134" w:firstLine="0"/>
        <w:rPr>
          <w:lang w:val="en-US"/>
        </w:rPr>
      </w:pPr>
      <w:r w:rsidRPr="00F64C58">
        <w:rPr>
          <w:lang w:val="en-US"/>
        </w:rPr>
        <w:t xml:space="preserve">Former Special Rapporteur </w:t>
      </w:r>
      <w:r w:rsidRPr="00F64C58">
        <w:rPr>
          <w:bCs/>
          <w:lang w:val="en-US"/>
        </w:rPr>
        <w:t xml:space="preserve">Emmerson noted </w:t>
      </w:r>
      <w:r w:rsidRPr="00F64C58">
        <w:rPr>
          <w:lang w:val="en-US"/>
        </w:rPr>
        <w:t xml:space="preserve">in his 2016 report to the Human Rights Council that a </w:t>
      </w:r>
      <w:r w:rsidRPr="00F64C58">
        <w:rPr>
          <w:bCs/>
          <w:lang w:val="en-US"/>
        </w:rPr>
        <w:t>most consequential challenge to countering violent extremism is the lack of a universally accepted comprehensive definition for identifying instances of such acts.</w:t>
      </w:r>
      <w:r w:rsidRPr="00F64C58">
        <w:rPr>
          <w:bCs/>
          <w:vertAlign w:val="superscript"/>
          <w:lang w:val="en-US"/>
        </w:rPr>
        <w:footnoteReference w:id="22"/>
      </w:r>
      <w:r w:rsidRPr="00F64C58">
        <w:rPr>
          <w:bCs/>
          <w:lang w:val="en-US"/>
        </w:rPr>
        <w:t xml:space="preserve">  </w:t>
      </w:r>
      <w:r w:rsidRPr="00F64C58">
        <w:rPr>
          <w:lang w:val="en-US"/>
        </w:rPr>
        <w:t>Moreover, the existing international legal framework on counter-terrorism stipulates obligations in relation to terrorism and violent extremism without providing a comprehensive definition of these terms.</w:t>
      </w:r>
      <w:r w:rsidRPr="00843433">
        <w:rPr>
          <w:vertAlign w:val="superscript"/>
          <w:lang w:val="en-US"/>
        </w:rPr>
        <w:footnoteReference w:id="23"/>
      </w:r>
      <w:r w:rsidRPr="00F64C58">
        <w:rPr>
          <w:lang w:val="en-US"/>
        </w:rPr>
        <w:t xml:space="preserve"> This has led UN entities engaged in preventing or countering violent extremism and many States to adopt overly broad definitions that are prone to unintended human rights abuses and even the deliberate misuse of the term.</w:t>
      </w:r>
      <w:r w:rsidRPr="00F64C58">
        <w:rPr>
          <w:vertAlign w:val="superscript"/>
          <w:lang w:val="en-US"/>
        </w:rPr>
        <w:footnoteReference w:id="24"/>
      </w:r>
    </w:p>
    <w:p w:rsidR="00F64C58" w:rsidRPr="00F64C58" w:rsidRDefault="00F64C58" w:rsidP="00154CFF">
      <w:pPr>
        <w:pStyle w:val="SingleTxtG"/>
        <w:numPr>
          <w:ilvl w:val="0"/>
          <w:numId w:val="7"/>
        </w:numPr>
        <w:ind w:left="1134" w:firstLine="0"/>
        <w:rPr>
          <w:lang w:val="en-US"/>
        </w:rPr>
      </w:pPr>
      <w:r w:rsidRPr="00F64C58">
        <w:rPr>
          <w:lang w:val="en-US"/>
        </w:rPr>
        <w:t xml:space="preserve">Former Special Rapporteur </w:t>
      </w:r>
      <w:r w:rsidR="00742889">
        <w:rPr>
          <w:lang w:val="en-US"/>
        </w:rPr>
        <w:t xml:space="preserve">on </w:t>
      </w:r>
      <w:r w:rsidR="005A628A">
        <w:rPr>
          <w:lang w:val="en-US"/>
        </w:rPr>
        <w:t xml:space="preserve">the promotion and protection of human rights and fundamental freedoms while </w:t>
      </w:r>
      <w:r w:rsidR="00742889">
        <w:rPr>
          <w:lang w:val="en-US"/>
        </w:rPr>
        <w:t>countering terrorism</w:t>
      </w:r>
      <w:r w:rsidR="005A628A">
        <w:rPr>
          <w:lang w:val="en-US"/>
        </w:rPr>
        <w:t>, Martin</w:t>
      </w:r>
      <w:r w:rsidR="00742889">
        <w:rPr>
          <w:lang w:val="en-US"/>
        </w:rPr>
        <w:t xml:space="preserve"> </w:t>
      </w:r>
      <w:r w:rsidRPr="00F64C58">
        <w:rPr>
          <w:lang w:val="en-US"/>
        </w:rPr>
        <w:t>Scheinin, warned, “there is a risk that the international community’s use of the notion of ‘terrorism’, without defining the term, results in the unintentional international legitimization of conduct undertaken by oppressive regimes, through delivering the message that the international community wants strong action against ‘terrorism’ however defined.”</w:t>
      </w:r>
      <w:r w:rsidRPr="00F64C58">
        <w:rPr>
          <w:vertAlign w:val="superscript"/>
          <w:lang w:val="en-US"/>
        </w:rPr>
        <w:footnoteReference w:id="25"/>
      </w:r>
      <w:r w:rsidRPr="00F64C58">
        <w:rPr>
          <w:vertAlign w:val="superscript"/>
          <w:lang w:val="en-US"/>
        </w:rPr>
        <w:t xml:space="preserve"> </w:t>
      </w:r>
    </w:p>
    <w:p w:rsidR="00F64C58" w:rsidRPr="00F64C58" w:rsidRDefault="00BF2541" w:rsidP="00154CFF">
      <w:pPr>
        <w:pStyle w:val="SingleTxtG"/>
        <w:numPr>
          <w:ilvl w:val="0"/>
          <w:numId w:val="7"/>
        </w:numPr>
        <w:ind w:left="1134" w:firstLine="0"/>
        <w:rPr>
          <w:lang w:val="en-US"/>
        </w:rPr>
      </w:pPr>
      <w:r>
        <w:rPr>
          <w:lang w:val="en-US"/>
        </w:rPr>
        <w:t>I</w:t>
      </w:r>
      <w:r w:rsidR="00F64C58" w:rsidRPr="00F64C58">
        <w:rPr>
          <w:lang w:val="en-US"/>
        </w:rPr>
        <w:t xml:space="preserve">t should be noted in this context that radical </w:t>
      </w:r>
      <w:r w:rsidR="002F1650">
        <w:rPr>
          <w:lang w:val="en-US"/>
        </w:rPr>
        <w:t xml:space="preserve">or extreme </w:t>
      </w:r>
      <w:r w:rsidR="00F64C58" w:rsidRPr="00F64C58">
        <w:rPr>
          <w:lang w:val="en-US"/>
        </w:rPr>
        <w:t xml:space="preserve">views in and of themselves, are not a threat to society if they are unconnected to violence or other unlawful acts, such as incitement to violence or discrimination, as legally defined in </w:t>
      </w:r>
      <w:r w:rsidR="00F64C58" w:rsidRPr="00F64C58">
        <w:rPr>
          <w:lang w:val="en-US"/>
        </w:rPr>
        <w:lastRenderedPageBreak/>
        <w:t xml:space="preserve">compliance with international human rights law. </w:t>
      </w:r>
      <w:r w:rsidR="00ED776A">
        <w:rPr>
          <w:lang w:val="en-US"/>
        </w:rPr>
        <w:t xml:space="preserve">Moreover, the term ‘radical’ has no clear meaning and as such the presumption </w:t>
      </w:r>
      <w:r w:rsidR="00E36B93">
        <w:rPr>
          <w:lang w:val="en-US"/>
        </w:rPr>
        <w:t>should be that the right to hold and express such views and opinions are protected as a matter of international human rights law.</w:t>
      </w:r>
      <w:r w:rsidR="00ED776A">
        <w:rPr>
          <w:lang w:val="en-US"/>
        </w:rPr>
        <w:t xml:space="preserve"> </w:t>
      </w:r>
      <w:r w:rsidR="00E36B93">
        <w:rPr>
          <w:lang w:val="en-US"/>
        </w:rPr>
        <w:t>Furthermore</w:t>
      </w:r>
      <w:r w:rsidR="00F64C58" w:rsidRPr="00F64C58">
        <w:rPr>
          <w:lang w:val="en-US"/>
        </w:rPr>
        <w:t>, there is no clear-cut pathway toward terrorism and no consistent set of factors driving terrorist radicalization. Profiles built on stereotypical assumptions based on religion, race, ethnicity, gender, socio-economic status, etc. are not only discriminatory but also ineffective.</w:t>
      </w:r>
      <w:r w:rsidR="00F64C58" w:rsidRPr="00F64C58">
        <w:rPr>
          <w:vertAlign w:val="superscript"/>
          <w:lang w:val="en-US"/>
        </w:rPr>
        <w:footnoteReference w:id="26"/>
      </w:r>
    </w:p>
    <w:p w:rsidR="00F64C58" w:rsidRPr="00F64C58" w:rsidRDefault="00F64C58" w:rsidP="00154CFF">
      <w:pPr>
        <w:pStyle w:val="SingleTxtG"/>
        <w:numPr>
          <w:ilvl w:val="0"/>
          <w:numId w:val="7"/>
        </w:numPr>
        <w:ind w:left="1134" w:firstLine="0"/>
        <w:rPr>
          <w:lang w:val="en-US"/>
        </w:rPr>
      </w:pPr>
      <w:r w:rsidRPr="00F64C58">
        <w:rPr>
          <w:lang w:val="en-US"/>
        </w:rPr>
        <w:t>The High Commissioner for Human Rights and regional bodies have criticized laws that criminalize ‘extremism’</w:t>
      </w:r>
      <w:r w:rsidR="00A863AE">
        <w:rPr>
          <w:lang w:val="en-US"/>
        </w:rPr>
        <w:t xml:space="preserve"> for</w:t>
      </w:r>
      <w:r w:rsidRPr="00F64C58">
        <w:rPr>
          <w:lang w:val="en-US"/>
        </w:rPr>
        <w:t xml:space="preserve"> </w:t>
      </w:r>
      <w:r w:rsidR="00555FBE">
        <w:rPr>
          <w:lang w:val="en-US"/>
        </w:rPr>
        <w:t xml:space="preserve">their targeting of </w:t>
      </w:r>
      <w:r w:rsidRPr="00F64C58">
        <w:rPr>
          <w:lang w:val="en-US"/>
        </w:rPr>
        <w:t xml:space="preserve">non-violent conduct </w:t>
      </w:r>
      <w:r w:rsidR="00504C6F">
        <w:rPr>
          <w:lang w:val="en-US"/>
        </w:rPr>
        <w:t>and</w:t>
      </w:r>
      <w:r w:rsidRPr="00F64C58">
        <w:rPr>
          <w:lang w:val="en-US"/>
        </w:rPr>
        <w:t xml:space="preserve"> </w:t>
      </w:r>
      <w:r w:rsidR="00555FBE">
        <w:rPr>
          <w:lang w:val="en-US"/>
        </w:rPr>
        <w:t xml:space="preserve">their </w:t>
      </w:r>
      <w:r w:rsidRPr="00F64C58">
        <w:rPr>
          <w:lang w:val="en-US"/>
        </w:rPr>
        <w:t>us</w:t>
      </w:r>
      <w:r w:rsidR="00555FBE">
        <w:rPr>
          <w:lang w:val="en-US"/>
        </w:rPr>
        <w:t xml:space="preserve">e of </w:t>
      </w:r>
      <w:r w:rsidRPr="00F64C58">
        <w:rPr>
          <w:lang w:val="en-US"/>
        </w:rPr>
        <w:t>broad and imprecise definitions.</w:t>
      </w:r>
      <w:r w:rsidRPr="00F64C58">
        <w:rPr>
          <w:vertAlign w:val="superscript"/>
          <w:lang w:val="en-US"/>
        </w:rPr>
        <w:footnoteReference w:id="27"/>
      </w:r>
      <w:r w:rsidRPr="00F64C58">
        <w:rPr>
          <w:lang w:val="en-US"/>
        </w:rPr>
        <w:t xml:space="preserve">  Pursuant to articles 18 and 19 of the International Covenant on Civil and Political Rights (ICCPR), the right to hold an opinion and the freedom to have or adopt a religion or belief of one’s choice (</w:t>
      </w:r>
      <w:r w:rsidRPr="00F64C58">
        <w:rPr>
          <w:i/>
          <w:lang w:val="en-US"/>
        </w:rPr>
        <w:t>forum internum</w:t>
      </w:r>
      <w:r w:rsidRPr="00F64C58">
        <w:rPr>
          <w:lang w:val="en-US"/>
        </w:rPr>
        <w:t>) cannot be subject to any restriction.</w:t>
      </w:r>
      <w:r w:rsidRPr="00F64C58">
        <w:rPr>
          <w:vertAlign w:val="superscript"/>
          <w:lang w:val="en-US"/>
        </w:rPr>
        <w:footnoteReference w:id="28"/>
      </w:r>
      <w:r w:rsidRPr="00F64C58">
        <w:rPr>
          <w:lang w:val="en-US"/>
        </w:rPr>
        <w:t xml:space="preserve"> States often conflate ‘extremism’ and ‘radicalization’ with violence which is problematic since there is no empirical evidence to suggest a predictable link or linear progression from ‘extremist’ thinking to violent acts. Moreover, alleging that a</w:t>
      </w:r>
      <w:r w:rsidR="00BF2541">
        <w:rPr>
          <w:lang w:val="en-US"/>
        </w:rPr>
        <w:t xml:space="preserve"> person or group of persons </w:t>
      </w:r>
      <w:r w:rsidRPr="00F64C58">
        <w:rPr>
          <w:lang w:val="en-US"/>
        </w:rPr>
        <w:t xml:space="preserve">is ‘extremist’ is not tantamount to proving that </w:t>
      </w:r>
      <w:r w:rsidR="00BF2541">
        <w:rPr>
          <w:lang w:val="en-US"/>
        </w:rPr>
        <w:t xml:space="preserve">they are </w:t>
      </w:r>
      <w:r w:rsidRPr="00F64C58">
        <w:rPr>
          <w:lang w:val="en-US"/>
        </w:rPr>
        <w:t>violent</w:t>
      </w:r>
      <w:r w:rsidR="00BF2541">
        <w:rPr>
          <w:lang w:val="en-US"/>
        </w:rPr>
        <w:t xml:space="preserve">. Only those who have been ascertained as planning to carry out </w:t>
      </w:r>
      <w:r w:rsidR="00215A82">
        <w:rPr>
          <w:lang w:val="en-US"/>
        </w:rPr>
        <w:t xml:space="preserve">or perpetuating </w:t>
      </w:r>
      <w:r w:rsidR="00BF2541">
        <w:rPr>
          <w:lang w:val="en-US"/>
        </w:rPr>
        <w:t xml:space="preserve">violent extremist acts can be deemed so. </w:t>
      </w:r>
    </w:p>
    <w:p w:rsidR="00F64C58" w:rsidRPr="00F64C58" w:rsidRDefault="00F64C58" w:rsidP="00154CFF">
      <w:pPr>
        <w:pStyle w:val="SingleTxtG"/>
        <w:numPr>
          <w:ilvl w:val="0"/>
          <w:numId w:val="7"/>
        </w:numPr>
        <w:ind w:left="1134" w:firstLine="0"/>
        <w:rPr>
          <w:lang w:val="en-US"/>
        </w:rPr>
      </w:pPr>
      <w:r w:rsidRPr="00F64C58">
        <w:rPr>
          <w:lang w:val="en-US"/>
        </w:rPr>
        <w:t>States should</w:t>
      </w:r>
      <w:r w:rsidR="00D56418">
        <w:rPr>
          <w:lang w:val="en-US"/>
        </w:rPr>
        <w:t xml:space="preserve">, therefore, </w:t>
      </w:r>
      <w:r w:rsidRPr="00F64C58">
        <w:rPr>
          <w:lang w:val="en-US"/>
        </w:rPr>
        <w:t xml:space="preserve">ensure that the focus of their security-oriented P/CVE measures is on actual conduct, rather than opinions or beliefs if they are to be both efficient and effective. </w:t>
      </w:r>
      <w:r w:rsidR="00E36B93">
        <w:rPr>
          <w:lang w:val="en-US"/>
        </w:rPr>
        <w:t xml:space="preserve">States </w:t>
      </w:r>
      <w:r w:rsidRPr="00F64C58">
        <w:rPr>
          <w:lang w:val="en-US"/>
        </w:rPr>
        <w:t xml:space="preserve">must demonstrate </w:t>
      </w:r>
      <w:r w:rsidR="00BF2541">
        <w:rPr>
          <w:lang w:val="en-US"/>
        </w:rPr>
        <w:t xml:space="preserve">with clear evidence </w:t>
      </w:r>
      <w:r w:rsidRPr="00F64C58">
        <w:rPr>
          <w:lang w:val="en-US"/>
        </w:rPr>
        <w:t xml:space="preserve">that individuals or groups of individuals have been involved in activities </w:t>
      </w:r>
      <w:r w:rsidR="00CC0DC5">
        <w:rPr>
          <w:lang w:val="en-US"/>
        </w:rPr>
        <w:t xml:space="preserve">that incite to discrimination, </w:t>
      </w:r>
      <w:r w:rsidRPr="00F64C58">
        <w:rPr>
          <w:lang w:val="en-US"/>
        </w:rPr>
        <w:t xml:space="preserve">or violence, or that they are undermining the rights and freedoms of others in other tangible ways, before any punitive </w:t>
      </w:r>
      <w:r w:rsidR="00BF2541">
        <w:rPr>
          <w:lang w:val="en-US"/>
        </w:rPr>
        <w:t>steps</w:t>
      </w:r>
      <w:r w:rsidRPr="00F64C58">
        <w:rPr>
          <w:lang w:val="en-US"/>
        </w:rPr>
        <w:t xml:space="preserve"> are taken. These measures must be prescribed by law, and be necessary, proportionate and non-discriminatory. That said, States must also foster the conditions under which extremist narratives that fall short of</w:t>
      </w:r>
      <w:r w:rsidR="00366F0A">
        <w:rPr>
          <w:lang w:val="en-US"/>
        </w:rPr>
        <w:t>, or indeed cross,</w:t>
      </w:r>
      <w:r w:rsidRPr="00F64C58">
        <w:rPr>
          <w:lang w:val="en-US"/>
        </w:rPr>
        <w:t xml:space="preserve"> the threshold of incitement to violence are challenged, exposed and discredited, without hollowing out the space for the exercise of the rights to freedoms of thought, conscience, religion or belief and of opinion and expression.</w:t>
      </w:r>
    </w:p>
    <w:p w:rsidR="00F64C58" w:rsidRPr="00F64C58" w:rsidRDefault="00225A9E" w:rsidP="00225A9E">
      <w:pPr>
        <w:pStyle w:val="H1G"/>
        <w:rPr>
          <w:lang w:val="en-US"/>
        </w:rPr>
      </w:pPr>
      <w:r>
        <w:rPr>
          <w:lang w:val="en-US"/>
        </w:rPr>
        <w:tab/>
        <w:t>B.</w:t>
      </w:r>
      <w:r>
        <w:rPr>
          <w:lang w:val="en-US"/>
        </w:rPr>
        <w:tab/>
      </w:r>
      <w:r w:rsidR="00F64C58" w:rsidRPr="00F64C58">
        <w:rPr>
          <w:lang w:val="en-US"/>
        </w:rPr>
        <w:t xml:space="preserve">Misinterpretations of Radicalization </w:t>
      </w:r>
    </w:p>
    <w:p w:rsidR="00F64C58" w:rsidRPr="00F64C58" w:rsidRDefault="00F64C58" w:rsidP="00154CFF">
      <w:pPr>
        <w:pStyle w:val="SingleTxtG"/>
        <w:numPr>
          <w:ilvl w:val="0"/>
          <w:numId w:val="7"/>
        </w:numPr>
        <w:ind w:left="1134" w:firstLine="0"/>
        <w:rPr>
          <w:lang w:val="en-US"/>
        </w:rPr>
      </w:pPr>
      <w:r w:rsidRPr="00F64C58">
        <w:rPr>
          <w:lang w:val="en-US"/>
        </w:rPr>
        <w:t xml:space="preserve">History is replete with examples of religion or belief, or interpretations of religion or belief, being used to support or justify heinous acts of violence and </w:t>
      </w:r>
      <w:r w:rsidR="00366F0A">
        <w:rPr>
          <w:lang w:val="en-US"/>
        </w:rPr>
        <w:t>discrimination</w:t>
      </w:r>
      <w:r w:rsidRPr="00F64C58">
        <w:rPr>
          <w:lang w:val="en-US"/>
        </w:rPr>
        <w:t>.  It has been identified as a source of sectarian conflict, used to legitimize wars of conquest and to perpetuate deplorable acts of disregard for equality and basic respect for human dignity. Most recently, massacres, ethnic cleansing and acts of genocide have been carried out either in the name of religion or on account of the victims’ religious identity.</w:t>
      </w:r>
    </w:p>
    <w:p w:rsidR="00F64C58" w:rsidRPr="00F64C58" w:rsidRDefault="00F64C58" w:rsidP="00154CFF">
      <w:pPr>
        <w:pStyle w:val="SingleTxtG"/>
        <w:numPr>
          <w:ilvl w:val="0"/>
          <w:numId w:val="7"/>
        </w:numPr>
        <w:ind w:left="1134" w:firstLine="0"/>
        <w:rPr>
          <w:lang w:val="en-US"/>
        </w:rPr>
      </w:pPr>
      <w:r w:rsidRPr="00F64C58">
        <w:rPr>
          <w:lang w:val="en-US"/>
        </w:rPr>
        <w:t xml:space="preserve">Religion or belief can be generally implicated in violent extremism in two ways. First, </w:t>
      </w:r>
      <w:r w:rsidR="00BF2541">
        <w:rPr>
          <w:lang w:val="en-US"/>
        </w:rPr>
        <w:t xml:space="preserve">the use of violence in the name of religion </w:t>
      </w:r>
      <w:r w:rsidRPr="00F64C58">
        <w:rPr>
          <w:lang w:val="en-US"/>
        </w:rPr>
        <w:t xml:space="preserve">either </w:t>
      </w:r>
      <w:r w:rsidR="00BF2541">
        <w:rPr>
          <w:lang w:val="en-US"/>
        </w:rPr>
        <w:t xml:space="preserve">in a </w:t>
      </w:r>
      <w:r w:rsidRPr="00F64C58">
        <w:rPr>
          <w:lang w:val="en-US"/>
        </w:rPr>
        <w:t>targeted or indiscriminate</w:t>
      </w:r>
      <w:r w:rsidR="00BF2541">
        <w:rPr>
          <w:lang w:val="en-US"/>
        </w:rPr>
        <w:t xml:space="preserve"> manner.</w:t>
      </w:r>
      <w:r w:rsidRPr="00F64C58">
        <w:rPr>
          <w:lang w:val="en-US"/>
        </w:rPr>
        <w:t xml:space="preserve"> This may include coercive acts in, or related to, the private sphere, </w:t>
      </w:r>
      <w:r w:rsidRPr="00F64C58">
        <w:rPr>
          <w:lang w:val="en-US"/>
        </w:rPr>
        <w:lastRenderedPageBreak/>
        <w:t xml:space="preserve">such as ‘honour’ killings. </w:t>
      </w:r>
      <w:r w:rsidR="00BF2541">
        <w:rPr>
          <w:lang w:val="en-US"/>
        </w:rPr>
        <w:t>Second</w:t>
      </w:r>
      <w:r w:rsidRPr="00F64C58">
        <w:rPr>
          <w:lang w:val="en-US"/>
        </w:rPr>
        <w:t xml:space="preserve">, </w:t>
      </w:r>
      <w:r w:rsidR="00BF2541">
        <w:rPr>
          <w:lang w:val="en-US"/>
        </w:rPr>
        <w:t xml:space="preserve">recourse to </w:t>
      </w:r>
      <w:r w:rsidRPr="00F64C58">
        <w:rPr>
          <w:lang w:val="en-US"/>
        </w:rPr>
        <w:t xml:space="preserve">violence </w:t>
      </w:r>
      <w:r w:rsidR="00BF2541">
        <w:rPr>
          <w:lang w:val="en-US"/>
        </w:rPr>
        <w:t xml:space="preserve">as </w:t>
      </w:r>
      <w:r w:rsidRPr="00F64C58">
        <w:rPr>
          <w:lang w:val="en-US"/>
        </w:rPr>
        <w:t>a manifestation of collective religious hatred against persons targeted on account of their religious or belief identity. In practice, the two kinds of violence frequently overlap.</w:t>
      </w:r>
    </w:p>
    <w:p w:rsidR="00F64C58" w:rsidRPr="00F64C58" w:rsidRDefault="00F64C58" w:rsidP="00154CFF">
      <w:pPr>
        <w:pStyle w:val="SingleTxtG"/>
        <w:numPr>
          <w:ilvl w:val="0"/>
          <w:numId w:val="7"/>
        </w:numPr>
        <w:ind w:left="1134" w:firstLine="0"/>
      </w:pPr>
      <w:r w:rsidRPr="00F64C58">
        <w:t xml:space="preserve">Violence in the name of religion or </w:t>
      </w:r>
      <w:r w:rsidRPr="00154CFF">
        <w:rPr>
          <w:lang w:val="en-US"/>
        </w:rPr>
        <w:t>belief</w:t>
      </w:r>
      <w:r w:rsidRPr="00F64C58">
        <w:t xml:space="preserve"> is perpetrated by way of indiscriminate or targeted attacks on individuals or communities. They involve suicide attacks, repression and other forms of institutional and structural violence. The preponderance</w:t>
      </w:r>
      <w:r w:rsidRPr="00F64C58">
        <w:rPr>
          <w:lang w:val="en-US"/>
        </w:rPr>
        <w:t xml:space="preserve"> of these acts targets local persons or institutions</w:t>
      </w:r>
      <w:r w:rsidR="00CC0DC5">
        <w:rPr>
          <w:lang w:val="en-US"/>
        </w:rPr>
        <w:t xml:space="preserve">, </w:t>
      </w:r>
      <w:r w:rsidR="005D5EC0">
        <w:rPr>
          <w:lang w:val="en-US"/>
        </w:rPr>
        <w:t xml:space="preserve">but it </w:t>
      </w:r>
      <w:r w:rsidRPr="00F64C58">
        <w:rPr>
          <w:lang w:val="en-US"/>
        </w:rPr>
        <w:t xml:space="preserve">has become increasingly commonplace in recent years to use violence in the name of religion or belief in </w:t>
      </w:r>
      <w:r w:rsidRPr="00F64C58">
        <w:t>local, everyday places of daily life to send messages around the world.</w:t>
      </w:r>
      <w:r w:rsidRPr="00F64C58">
        <w:rPr>
          <w:vertAlign w:val="superscript"/>
        </w:rPr>
        <w:footnoteReference w:id="29"/>
      </w:r>
      <w:r w:rsidRPr="00F64C58">
        <w:rPr>
          <w:vertAlign w:val="superscript"/>
        </w:rPr>
        <w:t xml:space="preserve"> </w:t>
      </w:r>
      <w:r w:rsidRPr="00F64C58">
        <w:rPr>
          <w:lang w:val="en-US"/>
        </w:rPr>
        <w:t xml:space="preserve"> </w:t>
      </w:r>
    </w:p>
    <w:p w:rsidR="00F64C58" w:rsidRPr="00F64C58" w:rsidRDefault="00F64C58" w:rsidP="00154CFF">
      <w:pPr>
        <w:pStyle w:val="SingleTxtG"/>
        <w:numPr>
          <w:ilvl w:val="0"/>
          <w:numId w:val="7"/>
        </w:numPr>
        <w:ind w:left="1134" w:firstLine="0"/>
        <w:rPr>
          <w:lang w:val="en-US"/>
        </w:rPr>
      </w:pPr>
      <w:r w:rsidRPr="00F64C58">
        <w:t xml:space="preserve">In some countries, armed groups invoke religion to justify atrocities such as targeted mass killings, extrajudicial and summary executions, enforced disappearances, torture, sexual violence, indiscriminate </w:t>
      </w:r>
      <w:r w:rsidRPr="00154CFF">
        <w:rPr>
          <w:lang w:val="en-US"/>
        </w:rPr>
        <w:t>attacks</w:t>
      </w:r>
      <w:r w:rsidRPr="00F64C58">
        <w:t xml:space="preserve"> against civilians, mass expulsions, enslavement or systematic destruction of certain communities. In other countries, vigilante groups harass religious or belief minorities by vandalising cemeteries and places of worship, grabbing lands or properties and threatening their security.</w:t>
      </w:r>
      <w:r w:rsidR="00C31F45">
        <w:rPr>
          <w:rStyle w:val="FootnoteReference"/>
        </w:rPr>
        <w:footnoteReference w:id="30"/>
      </w:r>
      <w:r w:rsidRPr="00F64C58">
        <w:t xml:space="preserve"> </w:t>
      </w:r>
    </w:p>
    <w:p w:rsidR="00F64C58" w:rsidRPr="00F64C58" w:rsidRDefault="00F64C58" w:rsidP="00154CFF">
      <w:pPr>
        <w:pStyle w:val="SingleTxtG"/>
        <w:numPr>
          <w:ilvl w:val="0"/>
          <w:numId w:val="7"/>
        </w:numPr>
        <w:ind w:left="1134" w:firstLine="0"/>
      </w:pPr>
      <w:r w:rsidRPr="00F64C58">
        <w:t>To be clear, violent extremism</w:t>
      </w:r>
      <w:r w:rsidR="00366F0A">
        <w:t xml:space="preserve"> is </w:t>
      </w:r>
      <w:r w:rsidRPr="00F64C58">
        <w:t xml:space="preserve">not confined to any particular religion or region; many religions have been invoked by State and non-State actors, in both the global north and the global south, to justify violence in its various forms. Acts of violent extremism might also be carried out in the name of left- </w:t>
      </w:r>
      <w:r w:rsidRPr="00154CFF">
        <w:rPr>
          <w:lang w:val="en-US"/>
        </w:rPr>
        <w:t>and</w:t>
      </w:r>
      <w:r w:rsidRPr="00F64C58">
        <w:t xml:space="preserve"> right-wing or other political ideologies whose followers steadfastly adhere to extremist violence to advance non-religious, atheist and secular political agendas with equal vigour. These actors have historically sought to exploit weak governments and fractious conditions by capitalizing on people’s sense of grievance – real or perceived – to galvanize them toward supporting or perpetrating violent acts. </w:t>
      </w:r>
    </w:p>
    <w:p w:rsidR="00F64C58" w:rsidRPr="00F64C58" w:rsidRDefault="00F64C58" w:rsidP="00154CFF">
      <w:pPr>
        <w:pStyle w:val="SingleTxtG"/>
        <w:numPr>
          <w:ilvl w:val="0"/>
          <w:numId w:val="7"/>
        </w:numPr>
        <w:ind w:left="1134" w:firstLine="0"/>
        <w:rPr>
          <w:lang w:val="en-US"/>
        </w:rPr>
      </w:pPr>
      <w:r w:rsidRPr="00F64C58">
        <w:rPr>
          <w:lang w:val="en-US"/>
        </w:rPr>
        <w:t xml:space="preserve">Those targeted by advocates of violence see violent extremism as a means to better address their grievances or meet other needs based on their formative and everyday experiences. However, </w:t>
      </w:r>
      <w:r w:rsidRPr="00F64C58">
        <w:t xml:space="preserve">the path whereby an individual </w:t>
      </w:r>
      <w:r w:rsidRPr="00F64C58">
        <w:rPr>
          <w:lang w:val="en-US"/>
        </w:rPr>
        <w:t>comes to perceive terrorist violence as a possible course of action is unclear. Studies undertaken so far demonstrate that, despite an identifiable set of common ‘push’ and ‘pull’ factors, the pathways from holding extreme views that lead to carrying out acts of terrorism are non-linear and unpredictable, and that ‘triggers’ of violent action are individualized.</w:t>
      </w:r>
      <w:r w:rsidRPr="00F64C58">
        <w:rPr>
          <w:vertAlign w:val="superscript"/>
          <w:lang w:val="en-US"/>
        </w:rPr>
        <w:footnoteReference w:id="31"/>
      </w:r>
    </w:p>
    <w:p w:rsidR="00F64C58" w:rsidRPr="00F64C58" w:rsidRDefault="00F64C58" w:rsidP="00154CFF">
      <w:pPr>
        <w:pStyle w:val="SingleTxtG"/>
        <w:numPr>
          <w:ilvl w:val="0"/>
          <w:numId w:val="7"/>
        </w:numPr>
        <w:ind w:left="1134" w:firstLine="0"/>
        <w:rPr>
          <w:lang w:val="en-US"/>
        </w:rPr>
      </w:pPr>
      <w:r w:rsidRPr="00F64C58">
        <w:rPr>
          <w:lang w:val="en-US"/>
        </w:rPr>
        <w:t>Moreover, the</w:t>
      </w:r>
      <w:r w:rsidRPr="00F64C58">
        <w:t xml:space="preserve"> particular identity of these actors is neither emblematic of violent extremism, nor does it define the nature of the ideology these perpetrators claim to espouse, even if that ideology may be considered radical. </w:t>
      </w:r>
      <w:r w:rsidRPr="00F64C58">
        <w:rPr>
          <w:lang w:val="en-US"/>
        </w:rPr>
        <w:t xml:space="preserve">Additionally, the fact that some individuals incite discrimination, hostility or violence is not an indication that a religious or belief community shares these views or condones violent activities.  In this regard, </w:t>
      </w:r>
      <w:r w:rsidR="00AC7486">
        <w:rPr>
          <w:lang w:val="en-US"/>
        </w:rPr>
        <w:t xml:space="preserve">as already noted, </w:t>
      </w:r>
      <w:r w:rsidRPr="00F64C58">
        <w:rPr>
          <w:lang w:val="en-US"/>
        </w:rPr>
        <w:t>the acts of individual members of religious communities should be associated to the person in question rather than to the community and other members, generally.</w:t>
      </w:r>
    </w:p>
    <w:p w:rsidR="00F64C58" w:rsidRPr="00F64C58" w:rsidRDefault="00F64C58" w:rsidP="00154CFF">
      <w:pPr>
        <w:pStyle w:val="SingleTxtG"/>
        <w:numPr>
          <w:ilvl w:val="0"/>
          <w:numId w:val="7"/>
        </w:numPr>
        <w:ind w:left="1134" w:firstLine="0"/>
      </w:pPr>
      <w:r w:rsidRPr="00F64C58">
        <w:t xml:space="preserve">Violence in the name of religion or belief </w:t>
      </w:r>
      <w:r w:rsidR="005A628A">
        <w:t>predominantly</w:t>
      </w:r>
      <w:r w:rsidRPr="00F64C58">
        <w:t xml:space="preserve"> targets persons belonging to religious or belief minorities, including converts</w:t>
      </w:r>
      <w:r w:rsidR="00366F0A">
        <w:t>,</w:t>
      </w:r>
      <w:r w:rsidRPr="00F64C58">
        <w:t xml:space="preserve"> humanists</w:t>
      </w:r>
      <w:r w:rsidR="00366F0A">
        <w:t xml:space="preserve">, atheists, </w:t>
      </w:r>
      <w:r w:rsidR="006844F9">
        <w:t xml:space="preserve">and </w:t>
      </w:r>
      <w:r w:rsidR="00366F0A">
        <w:t xml:space="preserve">agnostics </w:t>
      </w:r>
      <w:r w:rsidRPr="00F64C58">
        <w:t>who suffer from a climate of intimidation, repression or violence, globally.</w:t>
      </w:r>
      <w:r w:rsidRPr="00F64C58">
        <w:rPr>
          <w:vertAlign w:val="superscript"/>
        </w:rPr>
        <w:footnoteReference w:id="32"/>
      </w:r>
      <w:r w:rsidRPr="00F64C58">
        <w:rPr>
          <w:vertAlign w:val="superscript"/>
        </w:rPr>
        <w:t xml:space="preserve">  </w:t>
      </w:r>
      <w:r w:rsidRPr="00F64C58">
        <w:t xml:space="preserve">However, such violence can also affect the dissident followers of the </w:t>
      </w:r>
      <w:r w:rsidRPr="00154CFF">
        <w:rPr>
          <w:lang w:val="en-US"/>
        </w:rPr>
        <w:t>very</w:t>
      </w:r>
      <w:r w:rsidRPr="00F64C58">
        <w:t xml:space="preserve"> same religion or belief, which may also be the majority religion in whose name such acts are perpetrated. The victims of these violent acts </w:t>
      </w:r>
      <w:r w:rsidR="005A628A">
        <w:t>could</w:t>
      </w:r>
      <w:r w:rsidR="00C752DA">
        <w:t xml:space="preserve"> also</w:t>
      </w:r>
      <w:r w:rsidR="005A628A">
        <w:t xml:space="preserve"> include</w:t>
      </w:r>
      <w:r w:rsidRPr="00F64C58">
        <w:t xml:space="preserve"> </w:t>
      </w:r>
      <w:r w:rsidR="00C752DA">
        <w:t>a variety of other</w:t>
      </w:r>
      <w:r w:rsidRPr="00F64C58">
        <w:t xml:space="preserve"> </w:t>
      </w:r>
      <w:r w:rsidR="00C752DA">
        <w:t>groups</w:t>
      </w:r>
      <w:r w:rsidRPr="00F64C58">
        <w:t xml:space="preserve">, </w:t>
      </w:r>
      <w:r w:rsidR="00C752DA">
        <w:t xml:space="preserve">including </w:t>
      </w:r>
      <w:r w:rsidRPr="00F64C58">
        <w:t xml:space="preserve">adherents to different indigenous beliefs and the followers of small or new religious movements, which are often stigmatised as ‘sects’ or ‘cults’. People suspected of undermining “national cohesion” are also </w:t>
      </w:r>
      <w:r w:rsidRPr="00F64C58">
        <w:lastRenderedPageBreak/>
        <w:t>frequent targets of violent manifestations of intolerance, and unfortunately, the voices of moderation who actively oppose the abuse of their religion to justify violence and bigotry bear an increased risk of being accused of ‘betrayal’ or ‘</w:t>
      </w:r>
      <w:r w:rsidRPr="00154CFF">
        <w:rPr>
          <w:lang w:val="en-US"/>
        </w:rPr>
        <w:t>blasphemy’</w:t>
      </w:r>
      <w:r w:rsidRPr="00F64C58">
        <w:t xml:space="preserve"> which frequently incurs retaliatory penalties. Moreover, a climate of impunity </w:t>
      </w:r>
      <w:r w:rsidR="005A628A">
        <w:t xml:space="preserve">aggravates this further. </w:t>
      </w:r>
    </w:p>
    <w:p w:rsidR="00F64C58" w:rsidRPr="00F64C58" w:rsidRDefault="00F64C58" w:rsidP="00154CFF">
      <w:pPr>
        <w:pStyle w:val="SingleTxtG"/>
        <w:numPr>
          <w:ilvl w:val="0"/>
          <w:numId w:val="7"/>
        </w:numPr>
        <w:ind w:left="1134" w:firstLine="0"/>
      </w:pPr>
      <w:r w:rsidRPr="00F64C58">
        <w:t xml:space="preserve">Furthermore, the gender dimension in these violent acts is evident in the harmful practices that are carried out in the name of religion or belief or tradition against scores of women and girls who are the victims of “honour” killings, acid attacks, amputations, floggings, and </w:t>
      </w:r>
      <w:r w:rsidR="00701F3C">
        <w:t>other violent</w:t>
      </w:r>
      <w:r w:rsidRPr="00F64C58">
        <w:t xml:space="preserve"> practices. Women and girls also disproportionately suffer from sexual violence, such as rape, virginity testing, </w:t>
      </w:r>
      <w:r w:rsidRPr="00154CFF">
        <w:rPr>
          <w:lang w:val="en-US"/>
        </w:rPr>
        <w:t>sexual</w:t>
      </w:r>
      <w:r w:rsidRPr="00F64C58">
        <w:t xml:space="preserve"> enslavement, female genital mutilation, early and forced marriage, marriage by abduction, and widowhood rituals –– often in conjunction with forced conversion or other cruelties. Many of these acts of violence occur in the ‘private sphere’ and are not perceived through a lens security or public safety.</w:t>
      </w:r>
    </w:p>
    <w:p w:rsidR="00F64C58" w:rsidRPr="0023154E" w:rsidRDefault="00F64C58" w:rsidP="00D81834">
      <w:pPr>
        <w:pStyle w:val="SingleTxtG"/>
        <w:numPr>
          <w:ilvl w:val="0"/>
          <w:numId w:val="7"/>
        </w:numPr>
        <w:ind w:left="1134" w:firstLine="0"/>
        <w:rPr>
          <w:lang w:val="en-US"/>
        </w:rPr>
      </w:pPr>
      <w:r w:rsidRPr="00F64C58">
        <w:t>Homophobic and transphobic violence against persons on the basis of their sexual orientation and gender identity are also being perpetrated in the name of religion</w:t>
      </w:r>
      <w:r w:rsidR="00676044">
        <w:t>, both by private actors and State agents</w:t>
      </w:r>
      <w:r w:rsidRPr="00F64C58">
        <w:t xml:space="preserve">. Those perceived to be lesbian, gay, bisexual, </w:t>
      </w:r>
      <w:r w:rsidR="00676044">
        <w:t xml:space="preserve">or </w:t>
      </w:r>
      <w:r w:rsidRPr="00F64C58">
        <w:t xml:space="preserve">transgender have been subjected to brutal actions following discovery or acknowledgement of their sexual orientation and gender identity, including gang rapes, so-called “curative” </w:t>
      </w:r>
      <w:r w:rsidRPr="00154CFF">
        <w:rPr>
          <w:lang w:val="en-US"/>
        </w:rPr>
        <w:t>rapes</w:t>
      </w:r>
      <w:r w:rsidR="00676044">
        <w:t>,</w:t>
      </w:r>
      <w:r w:rsidRPr="00F64C58">
        <w:t xml:space="preserve"> </w:t>
      </w:r>
      <w:r w:rsidR="00676044">
        <w:t xml:space="preserve">and </w:t>
      </w:r>
      <w:r w:rsidRPr="00F64C58">
        <w:t>family violence.</w:t>
      </w:r>
      <w:r w:rsidRPr="00F64C58">
        <w:rPr>
          <w:vertAlign w:val="superscript"/>
        </w:rPr>
        <w:footnoteReference w:id="33"/>
      </w:r>
      <w:r w:rsidRPr="00F64C58">
        <w:rPr>
          <w:vertAlign w:val="superscript"/>
        </w:rPr>
        <w:t xml:space="preserve"> </w:t>
      </w:r>
      <w:r w:rsidRPr="00F64C58">
        <w:rPr>
          <w:lang w:val="en-US"/>
        </w:rPr>
        <w:t xml:space="preserve"> The gender dimension of violent extremism can also manifest itself in other ways, such as</w:t>
      </w:r>
      <w:r w:rsidR="0023154E">
        <w:rPr>
          <w:lang w:val="en-US"/>
        </w:rPr>
        <w:t xml:space="preserve"> </w:t>
      </w:r>
      <w:r w:rsidR="001278D3">
        <w:rPr>
          <w:lang w:val="en-US"/>
        </w:rPr>
        <w:t xml:space="preserve">when violent groups leverage </w:t>
      </w:r>
      <w:r w:rsidR="00ED1841">
        <w:rPr>
          <w:lang w:val="en-US"/>
        </w:rPr>
        <w:t>the</w:t>
      </w:r>
      <w:r w:rsidR="00CC1F6E">
        <w:rPr>
          <w:lang w:val="en-US"/>
        </w:rPr>
        <w:t xml:space="preserve"> stereotype that women and girls are unlikely to carry out violent acts </w:t>
      </w:r>
      <w:r w:rsidR="0023154E">
        <w:rPr>
          <w:lang w:val="en-US"/>
        </w:rPr>
        <w:t xml:space="preserve">as a tactic for </w:t>
      </w:r>
      <w:r w:rsidR="00A5753F">
        <w:rPr>
          <w:lang w:val="en-US"/>
        </w:rPr>
        <w:t xml:space="preserve">better ensuring that </w:t>
      </w:r>
      <w:r w:rsidR="001278D3">
        <w:rPr>
          <w:lang w:val="en-US"/>
        </w:rPr>
        <w:t>t</w:t>
      </w:r>
      <w:r w:rsidR="00ED1841">
        <w:rPr>
          <w:lang w:val="en-US"/>
        </w:rPr>
        <w:t>heir plans</w:t>
      </w:r>
      <w:r w:rsidR="000B116F">
        <w:rPr>
          <w:lang w:val="en-US"/>
        </w:rPr>
        <w:t xml:space="preserve"> go</w:t>
      </w:r>
      <w:r w:rsidR="00ED1841">
        <w:rPr>
          <w:lang w:val="en-US"/>
        </w:rPr>
        <w:t xml:space="preserve"> </w:t>
      </w:r>
      <w:r w:rsidR="00880561">
        <w:rPr>
          <w:lang w:val="en-US"/>
        </w:rPr>
        <w:t>unhindered</w:t>
      </w:r>
      <w:r w:rsidR="00E4020F">
        <w:rPr>
          <w:lang w:val="en-US"/>
        </w:rPr>
        <w:t xml:space="preserve"> or</w:t>
      </w:r>
      <w:r w:rsidR="003C5081">
        <w:rPr>
          <w:lang w:val="en-US"/>
        </w:rPr>
        <w:t xml:space="preserve"> when</w:t>
      </w:r>
      <w:r w:rsidR="00ED1841">
        <w:rPr>
          <w:lang w:val="en-US"/>
        </w:rPr>
        <w:t xml:space="preserve"> </w:t>
      </w:r>
      <w:r w:rsidR="00A5302A">
        <w:rPr>
          <w:lang w:val="en-US"/>
        </w:rPr>
        <w:t xml:space="preserve">women and girls </w:t>
      </w:r>
      <w:r w:rsidR="00F63303">
        <w:rPr>
          <w:lang w:val="en-US"/>
        </w:rPr>
        <w:t>are forced into sexual slavery.</w:t>
      </w:r>
    </w:p>
    <w:p w:rsidR="00F64C58" w:rsidRPr="00F64C58" w:rsidRDefault="00F64C58" w:rsidP="00154CFF">
      <w:pPr>
        <w:pStyle w:val="SingleTxtG"/>
        <w:numPr>
          <w:ilvl w:val="0"/>
          <w:numId w:val="7"/>
        </w:numPr>
        <w:ind w:left="1134" w:firstLine="0"/>
        <w:rPr>
          <w:lang w:val="en-US"/>
        </w:rPr>
      </w:pPr>
      <w:r w:rsidRPr="00F64C58">
        <w:rPr>
          <w:lang w:val="en-US"/>
        </w:rPr>
        <w:t xml:space="preserve">The </w:t>
      </w:r>
      <w:r w:rsidR="00AC7486">
        <w:rPr>
          <w:lang w:val="en-US"/>
        </w:rPr>
        <w:t xml:space="preserve">use of violence in the name of </w:t>
      </w:r>
      <w:r w:rsidRPr="00F64C58">
        <w:rPr>
          <w:lang w:val="en-US"/>
        </w:rPr>
        <w:t xml:space="preserve">religion has led many to be suspicious of all or certain religions, and to view </w:t>
      </w:r>
      <w:r w:rsidR="00AC7486">
        <w:rPr>
          <w:lang w:val="en-US"/>
        </w:rPr>
        <w:t>religion</w:t>
      </w:r>
      <w:r w:rsidRPr="00F64C58">
        <w:rPr>
          <w:lang w:val="en-US"/>
        </w:rPr>
        <w:t xml:space="preserve"> as a threat to peace and harmony; arguing that religion unconfined to private life results in religiously motivated political struggles, conflict and violence, which are a source from which </w:t>
      </w:r>
      <w:r w:rsidR="00AC7486">
        <w:rPr>
          <w:lang w:val="en-US"/>
        </w:rPr>
        <w:t xml:space="preserve">certain forms of </w:t>
      </w:r>
      <w:r w:rsidRPr="00F64C58">
        <w:rPr>
          <w:lang w:val="en-US"/>
        </w:rPr>
        <w:t xml:space="preserve">terrorism draw </w:t>
      </w:r>
      <w:r w:rsidR="00AC7486">
        <w:rPr>
          <w:lang w:val="en-US"/>
        </w:rPr>
        <w:t>their</w:t>
      </w:r>
      <w:r w:rsidRPr="00F64C58">
        <w:rPr>
          <w:lang w:val="en-US"/>
        </w:rPr>
        <w:t xml:space="preserve"> motivation.</w:t>
      </w:r>
      <w:r w:rsidRPr="00F64C58">
        <w:rPr>
          <w:vertAlign w:val="superscript"/>
          <w:lang w:val="en-US"/>
        </w:rPr>
        <w:t xml:space="preserve"> </w:t>
      </w:r>
      <w:r w:rsidRPr="00F64C58">
        <w:rPr>
          <w:lang w:val="en-US"/>
        </w:rPr>
        <w:t xml:space="preserve">Others have argued that there is an actual link between some religious doctrines and acts of terrorism. Regrettably, the aggravating factor remains that even </w:t>
      </w:r>
      <w:r w:rsidR="005A628A">
        <w:rPr>
          <w:lang w:val="en-US"/>
        </w:rPr>
        <w:t xml:space="preserve">though </w:t>
      </w:r>
      <w:r w:rsidRPr="00F64C58">
        <w:rPr>
          <w:lang w:val="en-US"/>
        </w:rPr>
        <w:t>religion or belief does not explicitly incite terrorism, there are people who are convinced it is legitimate, even necessary, to kill in the name of their faith or beliefs.</w:t>
      </w:r>
    </w:p>
    <w:p w:rsidR="00F64C58" w:rsidRPr="00F64C58" w:rsidRDefault="00225A9E" w:rsidP="00225A9E">
      <w:pPr>
        <w:pStyle w:val="H1G"/>
        <w:rPr>
          <w:lang w:val="en-US"/>
        </w:rPr>
      </w:pPr>
      <w:r>
        <w:rPr>
          <w:lang w:val="en-US"/>
        </w:rPr>
        <w:tab/>
        <w:t>C.</w:t>
      </w:r>
      <w:r>
        <w:rPr>
          <w:lang w:val="en-US"/>
        </w:rPr>
        <w:tab/>
      </w:r>
      <w:r w:rsidR="00F64C58" w:rsidRPr="00F64C58">
        <w:rPr>
          <w:lang w:val="en-US"/>
        </w:rPr>
        <w:t>Reconciling the public and private dimensions of religion or belief</w:t>
      </w:r>
    </w:p>
    <w:p w:rsidR="00F64C58" w:rsidRPr="00F64C58" w:rsidRDefault="0085753C" w:rsidP="00154CFF">
      <w:pPr>
        <w:pStyle w:val="SingleTxtG"/>
        <w:numPr>
          <w:ilvl w:val="0"/>
          <w:numId w:val="7"/>
        </w:numPr>
        <w:ind w:left="1134" w:firstLine="0"/>
        <w:rPr>
          <w:lang w:val="en-US"/>
        </w:rPr>
      </w:pPr>
      <w:r>
        <w:rPr>
          <w:lang w:val="en-US"/>
        </w:rPr>
        <w:t xml:space="preserve">Although </w:t>
      </w:r>
      <w:r w:rsidR="00F64C58" w:rsidRPr="00F64C58">
        <w:rPr>
          <w:lang w:val="en-US"/>
        </w:rPr>
        <w:t>States may support</w:t>
      </w:r>
      <w:r w:rsidR="00AC7486">
        <w:rPr>
          <w:lang w:val="en-US"/>
        </w:rPr>
        <w:t>, as obligated under international law,</w:t>
      </w:r>
      <w:r w:rsidR="00F64C58" w:rsidRPr="00F64C58">
        <w:rPr>
          <w:lang w:val="en-US"/>
        </w:rPr>
        <w:t xml:space="preserve"> the right of everyone to hold a religion or belief, difficulties often arise when individuals choose to express their convictions, whether by organizing themselves as a religious </w:t>
      </w:r>
      <w:r w:rsidR="00AC7486">
        <w:rPr>
          <w:lang w:val="en-US"/>
        </w:rPr>
        <w:t xml:space="preserve">or belief </w:t>
      </w:r>
      <w:r w:rsidR="00F64C58" w:rsidRPr="00F64C58">
        <w:rPr>
          <w:lang w:val="en-US"/>
        </w:rPr>
        <w:t xml:space="preserve">group, or acting in accordance with the precepts of their religion or belief. </w:t>
      </w:r>
      <w:r w:rsidR="00AC7486" w:rsidRPr="00D81834">
        <w:rPr>
          <w:lang w:val="en-US"/>
        </w:rPr>
        <w:t>While</w:t>
      </w:r>
      <w:r w:rsidR="00C911ED" w:rsidRPr="00D81834">
        <w:rPr>
          <w:lang w:val="en-US"/>
        </w:rPr>
        <w:t xml:space="preserve"> it is </w:t>
      </w:r>
      <w:r w:rsidR="00A7669C" w:rsidRPr="00D81834">
        <w:rPr>
          <w:lang w:val="en-US"/>
        </w:rPr>
        <w:t>established</w:t>
      </w:r>
      <w:r w:rsidR="00C911ED" w:rsidRPr="00D81834">
        <w:rPr>
          <w:lang w:val="en-US"/>
        </w:rPr>
        <w:t xml:space="preserve"> that</w:t>
      </w:r>
      <w:r w:rsidR="00AC7486" w:rsidRPr="00D81834">
        <w:rPr>
          <w:lang w:val="en-US"/>
        </w:rPr>
        <w:t xml:space="preserve"> any restriction of the manifestation of religion or belief </w:t>
      </w:r>
      <w:r w:rsidR="00F63303" w:rsidRPr="00D81834">
        <w:rPr>
          <w:lang w:val="en-US"/>
        </w:rPr>
        <w:t>must</w:t>
      </w:r>
      <w:r w:rsidR="00AC7486" w:rsidRPr="00D81834">
        <w:rPr>
          <w:lang w:val="en-US"/>
        </w:rPr>
        <w:t xml:space="preserve"> </w:t>
      </w:r>
      <w:r w:rsidR="00F63303" w:rsidRPr="00D81834">
        <w:rPr>
          <w:lang w:val="en-US"/>
        </w:rPr>
        <w:t xml:space="preserve">strictly </w:t>
      </w:r>
      <w:r w:rsidR="00AC7486" w:rsidRPr="00D81834">
        <w:rPr>
          <w:lang w:val="en-US"/>
        </w:rPr>
        <w:t>meet</w:t>
      </w:r>
      <w:r w:rsidR="002672AC" w:rsidRPr="00D81834">
        <w:rPr>
          <w:lang w:val="en-US"/>
        </w:rPr>
        <w:t xml:space="preserve"> the </w:t>
      </w:r>
      <w:r w:rsidR="00D81834" w:rsidRPr="00D81834">
        <w:rPr>
          <w:lang w:val="en-US"/>
        </w:rPr>
        <w:t>limitations regime prescribed by</w:t>
      </w:r>
      <w:r w:rsidR="00F63303" w:rsidRPr="00D81834">
        <w:rPr>
          <w:lang w:val="en-US"/>
        </w:rPr>
        <w:t xml:space="preserve"> international law,</w:t>
      </w:r>
      <w:r w:rsidR="002672AC" w:rsidRPr="00D81834">
        <w:rPr>
          <w:lang w:val="en-US"/>
        </w:rPr>
        <w:t xml:space="preserve"> </w:t>
      </w:r>
      <w:r w:rsidR="00AC7486" w:rsidRPr="00D81834">
        <w:rPr>
          <w:lang w:val="en-US"/>
        </w:rPr>
        <w:t>the precise extent of such limitations in specific circumstances has</w:t>
      </w:r>
      <w:r w:rsidR="003261EA" w:rsidRPr="00D81834">
        <w:rPr>
          <w:lang w:val="en-US"/>
        </w:rPr>
        <w:t xml:space="preserve"> </w:t>
      </w:r>
      <w:r w:rsidR="00F64C58" w:rsidRPr="00D81834">
        <w:rPr>
          <w:lang w:val="en-US"/>
        </w:rPr>
        <w:t>become a salient topic in many countries.</w:t>
      </w:r>
      <w:r w:rsidR="00F64C58" w:rsidRPr="00F64C58">
        <w:rPr>
          <w:lang w:val="en-US"/>
        </w:rPr>
        <w:t xml:space="preserve"> </w:t>
      </w:r>
    </w:p>
    <w:p w:rsidR="00F64C58" w:rsidRPr="00F64C58" w:rsidRDefault="00F64C58" w:rsidP="00154CFF">
      <w:pPr>
        <w:pStyle w:val="SingleTxtG"/>
        <w:numPr>
          <w:ilvl w:val="0"/>
          <w:numId w:val="7"/>
        </w:numPr>
        <w:ind w:left="1134" w:firstLine="0"/>
        <w:rPr>
          <w:lang w:val="en-US"/>
        </w:rPr>
      </w:pPr>
      <w:r w:rsidRPr="00F64C58">
        <w:rPr>
          <w:lang w:val="en-US"/>
        </w:rPr>
        <w:t>Controversies following the debates around whether</w:t>
      </w:r>
      <w:r w:rsidR="00EE749B">
        <w:rPr>
          <w:lang w:val="en-US"/>
        </w:rPr>
        <w:t xml:space="preserve"> the</w:t>
      </w:r>
      <w:r w:rsidRPr="00F64C58">
        <w:rPr>
          <w:lang w:val="en-US"/>
        </w:rPr>
        <w:t xml:space="preserve"> construction of minarets could be banned and ongoing conversations in numerous countries about whether people should be allowed to wear religious symbols in their place of education or work, or indeed in public places, illustrate the complexities and pressing nature of questions over the scope and limitations of freedom of religion or belief. On the one hand, some secularists have strongly advocated that manifestations of religion should be restricted to the private sphere in order to maintain a ‘neutral’ space in which all persons, of all origins and beliefs, can be treated equally. Others argue that everyone should be allowed to manifest their </w:t>
      </w:r>
      <w:r w:rsidRPr="00F64C58">
        <w:rPr>
          <w:lang w:val="en-US"/>
        </w:rPr>
        <w:lastRenderedPageBreak/>
        <w:t>religion or belief freely, in accordance with their rights as enshrined in international human rights norms and standards, and highlight the uneven impacts of facially neutral laws on different faith-based communities.</w:t>
      </w:r>
      <w:r w:rsidR="008A0D91">
        <w:rPr>
          <w:lang w:val="en-US"/>
        </w:rPr>
        <w:t xml:space="preserve"> </w:t>
      </w:r>
      <w:r w:rsidR="00D118C2">
        <w:rPr>
          <w:lang w:val="en-US"/>
        </w:rPr>
        <w:t>The Special Rapporteur reiterates that a</w:t>
      </w:r>
      <w:r w:rsidR="008A0D91">
        <w:rPr>
          <w:lang w:val="en-US"/>
        </w:rPr>
        <w:t>ny and all such restrictions on the manifestation of religion or belief must strictly comply with the limitations regime specified under international human rights law</w:t>
      </w:r>
      <w:r w:rsidR="00D118C2">
        <w:rPr>
          <w:lang w:val="en-US"/>
        </w:rPr>
        <w:t>, and must be based on clear evidence.</w:t>
      </w:r>
    </w:p>
    <w:p w:rsidR="00F64C58" w:rsidRPr="00F64C58" w:rsidRDefault="00F64C58" w:rsidP="00154CFF">
      <w:pPr>
        <w:pStyle w:val="SingleTxtG"/>
        <w:numPr>
          <w:ilvl w:val="0"/>
          <w:numId w:val="7"/>
        </w:numPr>
        <w:ind w:left="1134" w:firstLine="0"/>
        <w:rPr>
          <w:lang w:val="en-US"/>
        </w:rPr>
      </w:pPr>
      <w:r w:rsidRPr="00F64C58">
        <w:rPr>
          <w:lang w:val="en-US"/>
        </w:rPr>
        <w:t xml:space="preserve">The need to protect public safety and public order is </w:t>
      </w:r>
      <w:r w:rsidR="00D118C2">
        <w:rPr>
          <w:lang w:val="en-US"/>
        </w:rPr>
        <w:t xml:space="preserve">of course </w:t>
      </w:r>
      <w:r w:rsidRPr="00F64C58">
        <w:rPr>
          <w:lang w:val="en-US"/>
        </w:rPr>
        <w:t xml:space="preserve">clear. The danger, however, is that a State may use such an excuse to limit the rights of </w:t>
      </w:r>
      <w:r w:rsidR="00B56945">
        <w:rPr>
          <w:lang w:val="en-US"/>
        </w:rPr>
        <w:t xml:space="preserve">persons belonging to a religion or belief </w:t>
      </w:r>
      <w:r w:rsidRPr="00F64C58">
        <w:rPr>
          <w:lang w:val="en-US"/>
        </w:rPr>
        <w:t xml:space="preserve">community that it finds inconvenient, and some have taken the public safety and order limitation to mean ‘public interest restrictions’. In many cases, such limitations in the public’s interest have been extended to promoting a restrictive form of secularism.   </w:t>
      </w:r>
    </w:p>
    <w:p w:rsidR="00F64C58" w:rsidRPr="00F64C58" w:rsidRDefault="00F64C58" w:rsidP="00154CFF">
      <w:pPr>
        <w:pStyle w:val="SingleTxtG"/>
        <w:numPr>
          <w:ilvl w:val="0"/>
          <w:numId w:val="7"/>
        </w:numPr>
        <w:ind w:left="1134" w:firstLine="0"/>
        <w:rPr>
          <w:lang w:val="en-US"/>
        </w:rPr>
      </w:pPr>
      <w:r w:rsidRPr="00F64C58">
        <w:rPr>
          <w:lang w:val="en-US"/>
        </w:rPr>
        <w:t xml:space="preserve">Moreover, it is not always possible to separate conscience-based commitments and acts of religious or belief manifestation </w:t>
      </w:r>
      <w:r w:rsidR="00543E49">
        <w:rPr>
          <w:lang w:val="en-US"/>
        </w:rPr>
        <w:t xml:space="preserve">from </w:t>
      </w:r>
      <w:r w:rsidR="00C57B40">
        <w:rPr>
          <w:lang w:val="en-US"/>
        </w:rPr>
        <w:t xml:space="preserve">faith or internal belief systems, </w:t>
      </w:r>
      <w:r w:rsidRPr="00F64C58">
        <w:rPr>
          <w:lang w:val="en-US"/>
        </w:rPr>
        <w:t xml:space="preserve">particularly when deciding on issues concerning the right to “act” in accordance with one’s religion or belief. That is, faith-based commitments cannot always be contained within the private sphere. For some, their religion or belief is a way of life, and certain precepts are understood to be enjoinments to public expression of religion or belief. Further to this, values based on religion or belief often dictate standards of social conduct and responsibility that require individuals to act accordingly. In other words, for many, there is strong interrelationship </w:t>
      </w:r>
      <w:r w:rsidR="00991A07">
        <w:rPr>
          <w:lang w:val="en-US"/>
        </w:rPr>
        <w:t xml:space="preserve">between their </w:t>
      </w:r>
      <w:r w:rsidRPr="00F64C58">
        <w:rPr>
          <w:lang w:val="en-US"/>
        </w:rPr>
        <w:t>belief with their way of life.</w:t>
      </w:r>
    </w:p>
    <w:p w:rsidR="00F64C58" w:rsidRPr="00D81834" w:rsidRDefault="00F64C58" w:rsidP="00154CFF">
      <w:pPr>
        <w:pStyle w:val="SingleTxtG"/>
        <w:numPr>
          <w:ilvl w:val="0"/>
          <w:numId w:val="7"/>
        </w:numPr>
        <w:ind w:left="1134" w:firstLine="0"/>
        <w:rPr>
          <w:color w:val="000000" w:themeColor="text1"/>
          <w:lang w:val="en-US"/>
        </w:rPr>
      </w:pPr>
      <w:r w:rsidRPr="00D81834">
        <w:rPr>
          <w:color w:val="000000" w:themeColor="text1"/>
          <w:lang w:val="en-US"/>
        </w:rPr>
        <w:t xml:space="preserve">In recognition of this premise, the </w:t>
      </w:r>
      <w:r w:rsidRPr="00D81834">
        <w:rPr>
          <w:i/>
          <w:color w:val="000000" w:themeColor="text1"/>
          <w:lang w:val="en-US"/>
        </w:rPr>
        <w:t>forum internum</w:t>
      </w:r>
      <w:r w:rsidRPr="00D81834">
        <w:rPr>
          <w:color w:val="000000" w:themeColor="text1"/>
          <w:lang w:val="en-US"/>
        </w:rPr>
        <w:t xml:space="preserve"> enjoys unqualified protection under international law. However, the underlying philosophy of</w:t>
      </w:r>
      <w:r w:rsidR="00991A07">
        <w:rPr>
          <w:color w:val="000000" w:themeColor="text1"/>
          <w:lang w:val="en-US"/>
        </w:rPr>
        <w:t xml:space="preserve"> several</w:t>
      </w:r>
      <w:r w:rsidRPr="00D81834">
        <w:rPr>
          <w:color w:val="000000" w:themeColor="text1"/>
          <w:lang w:val="en-US"/>
        </w:rPr>
        <w:t xml:space="preserve"> P/CVE programs attempt to place limitations on</w:t>
      </w:r>
      <w:r w:rsidRPr="00D81834">
        <w:rPr>
          <w:i/>
          <w:color w:val="000000" w:themeColor="text1"/>
          <w:lang w:val="en-US"/>
        </w:rPr>
        <w:t xml:space="preserve"> forum internum</w:t>
      </w:r>
      <w:r w:rsidRPr="00D81834">
        <w:rPr>
          <w:color w:val="000000" w:themeColor="text1"/>
          <w:lang w:val="en-US"/>
        </w:rPr>
        <w:t xml:space="preserve"> (which is an absolute, non-derogable right) vis-à-vis religious expression (which is not an absolute right). The Special Rapporteur notes that attempts to ‘police’ the internal sphere may amount to indirect coercion in matters of religion or belief and may violate the absolute prohibition against intrusion in the </w:t>
      </w:r>
      <w:r w:rsidRPr="00D81834">
        <w:rPr>
          <w:i/>
          <w:color w:val="000000" w:themeColor="text1"/>
          <w:lang w:val="en-US"/>
        </w:rPr>
        <w:t>forum internum.</w:t>
      </w:r>
      <w:r w:rsidRPr="00D81834">
        <w:rPr>
          <w:color w:val="000000" w:themeColor="text1"/>
          <w:lang w:val="en-US"/>
        </w:rPr>
        <w:t xml:space="preserve"> </w:t>
      </w:r>
    </w:p>
    <w:p w:rsidR="00F64C58" w:rsidRPr="00F64C58" w:rsidRDefault="00225A9E" w:rsidP="00225A9E">
      <w:pPr>
        <w:pStyle w:val="H1G"/>
        <w:rPr>
          <w:lang w:val="en-US"/>
        </w:rPr>
      </w:pPr>
      <w:r>
        <w:rPr>
          <w:lang w:val="en-US"/>
        </w:rPr>
        <w:tab/>
        <w:t>D.</w:t>
      </w:r>
      <w:r>
        <w:rPr>
          <w:lang w:val="en-US"/>
        </w:rPr>
        <w:tab/>
      </w:r>
      <w:r w:rsidR="00F64C58" w:rsidRPr="00F64C58">
        <w:rPr>
          <w:lang w:val="en-US"/>
        </w:rPr>
        <w:t xml:space="preserve">Reconciling freedom of religion or belief and other rights </w:t>
      </w:r>
    </w:p>
    <w:p w:rsidR="00F64C58" w:rsidRPr="00D81834" w:rsidRDefault="00855E2F" w:rsidP="00154CFF">
      <w:pPr>
        <w:pStyle w:val="SingleTxtG"/>
        <w:numPr>
          <w:ilvl w:val="0"/>
          <w:numId w:val="7"/>
        </w:numPr>
        <w:ind w:left="1134" w:firstLine="0"/>
        <w:rPr>
          <w:lang w:val="en-US"/>
        </w:rPr>
      </w:pPr>
      <w:r w:rsidRPr="00D81834">
        <w:rPr>
          <w:lang w:val="en-US"/>
        </w:rPr>
        <w:t xml:space="preserve">The exercise of freedom of religion or </w:t>
      </w:r>
      <w:r w:rsidR="00F64C58" w:rsidRPr="00D81834">
        <w:rPr>
          <w:lang w:val="en-US"/>
        </w:rPr>
        <w:t xml:space="preserve">belief </w:t>
      </w:r>
      <w:r w:rsidRPr="00D81834">
        <w:rPr>
          <w:lang w:val="en-US"/>
        </w:rPr>
        <w:t>is dependent on</w:t>
      </w:r>
      <w:r w:rsidR="00D70E38" w:rsidRPr="00D81834">
        <w:rPr>
          <w:lang w:val="en-US"/>
        </w:rPr>
        <w:t xml:space="preserve"> the enjoyment of</w:t>
      </w:r>
      <w:r w:rsidRPr="00D81834">
        <w:rPr>
          <w:lang w:val="en-US"/>
        </w:rPr>
        <w:t xml:space="preserve"> </w:t>
      </w:r>
      <w:r w:rsidR="00D70E38" w:rsidRPr="00D81834">
        <w:rPr>
          <w:lang w:val="en-US"/>
        </w:rPr>
        <w:t xml:space="preserve">other </w:t>
      </w:r>
      <w:r w:rsidR="00F64C58" w:rsidRPr="00D81834">
        <w:rPr>
          <w:lang w:val="en-US"/>
        </w:rPr>
        <w:t xml:space="preserve">human rights. These include freedoms of expression, peaceful assembly, association and movement, the rights to privacy and equality before the law, education, the highest attainable standard of health, and many more. Freedom of religion or belief gets its full meaning only in the broad context of human rights. Indeed, many aspects of freedom or religion or belief have little or no meaning if other human rights are not effectively secured. At times, this can result in competing claims between </w:t>
      </w:r>
      <w:r w:rsidR="00081BAD" w:rsidRPr="00D81834">
        <w:rPr>
          <w:lang w:val="en-US"/>
        </w:rPr>
        <w:t xml:space="preserve">the right to freedom of religion or belief and other human rights, or between </w:t>
      </w:r>
      <w:r w:rsidR="00F64C58" w:rsidRPr="00D81834">
        <w:rPr>
          <w:lang w:val="en-US"/>
        </w:rPr>
        <w:t>religious and secular interests.</w:t>
      </w:r>
      <w:r w:rsidR="00D118C2" w:rsidRPr="00D81834">
        <w:rPr>
          <w:lang w:val="en-US"/>
        </w:rPr>
        <w:t xml:space="preserve"> </w:t>
      </w:r>
    </w:p>
    <w:p w:rsidR="00F64C58" w:rsidRPr="00F64C58" w:rsidRDefault="00F64C58" w:rsidP="00154CFF">
      <w:pPr>
        <w:pStyle w:val="SingleTxtG"/>
        <w:numPr>
          <w:ilvl w:val="0"/>
          <w:numId w:val="7"/>
        </w:numPr>
        <w:ind w:left="1134" w:firstLine="0"/>
      </w:pPr>
      <w:r w:rsidRPr="00F64C58">
        <w:t>While national security is not</w:t>
      </w:r>
      <w:r w:rsidR="00A7669C">
        <w:t>, as already noted,</w:t>
      </w:r>
      <w:r w:rsidRPr="00F64C58">
        <w:t xml:space="preserve"> included in Article 18(3) of the ICCPR as a legitimate ground for limiting the manifestation of religion or belief, public safety is, and, given the broad scope of activities that could be </w:t>
      </w:r>
      <w:r w:rsidRPr="00154CFF">
        <w:rPr>
          <w:lang w:val="en-US"/>
        </w:rPr>
        <w:t>perceived</w:t>
      </w:r>
      <w:r w:rsidRPr="00F64C58">
        <w:t xml:space="preserve"> to act as a threat to public safety, ‘there is a risk that states will cite them to justify restrictions on [freedom of religion or belief] imposed for reasons tantamount to national security interests, by arguing that a [religious or belief] group is engaged in political activities that endanger public safety and order.’</w:t>
      </w:r>
      <w:r w:rsidRPr="00F64C58">
        <w:rPr>
          <w:vertAlign w:val="superscript"/>
        </w:rPr>
        <w:footnoteReference w:id="34"/>
      </w:r>
    </w:p>
    <w:p w:rsidR="00F64C58" w:rsidRPr="00F64C58" w:rsidRDefault="00F64C58" w:rsidP="00154CFF">
      <w:pPr>
        <w:pStyle w:val="SingleTxtG"/>
        <w:numPr>
          <w:ilvl w:val="0"/>
          <w:numId w:val="7"/>
        </w:numPr>
        <w:ind w:left="1134" w:firstLine="0"/>
      </w:pPr>
      <w:r w:rsidRPr="00F64C58">
        <w:lastRenderedPageBreak/>
        <w:t>Moreover, specific limitations based on national security concerns are permissible in relation to freedom of expression</w:t>
      </w:r>
      <w:r w:rsidR="00B56945">
        <w:t>, subject to their compliance with the</w:t>
      </w:r>
      <w:r w:rsidR="001F37F0">
        <w:t xml:space="preserve"> </w:t>
      </w:r>
      <w:r w:rsidR="00B56945">
        <w:t>limitations regime</w:t>
      </w:r>
      <w:r w:rsidR="008F26DE">
        <w:t xml:space="preserve"> stipulated by international human rights law</w:t>
      </w:r>
      <w:r w:rsidRPr="00F64C58">
        <w:t>.</w:t>
      </w:r>
      <w:r w:rsidR="00B56945">
        <w:rPr>
          <w:rStyle w:val="FootnoteReference"/>
        </w:rPr>
        <w:footnoteReference w:id="35"/>
      </w:r>
      <w:r w:rsidRPr="00F64C58">
        <w:t xml:space="preserve"> Such restrictions have also been used to indirectly restrict freedom of religion or belief, trying to circumvent the safeguards that exist for the latter. For instance, the criminalisation of vaguely defined types of speech as ‘hate speech’,</w:t>
      </w:r>
      <w:r w:rsidR="00AC7486">
        <w:rPr>
          <w:rStyle w:val="FootnoteReference"/>
        </w:rPr>
        <w:footnoteReference w:id="36"/>
      </w:r>
      <w:r w:rsidRPr="00F64C58">
        <w:t xml:space="preserve"> risks the arbitrary application of such laws to </w:t>
      </w:r>
      <w:r w:rsidRPr="00154CFF">
        <w:rPr>
          <w:lang w:val="en-US"/>
        </w:rPr>
        <w:t>issues</w:t>
      </w:r>
      <w:r w:rsidRPr="00F64C58">
        <w:t xml:space="preserve"> related to religion or belief. The consequences of arbitrarily criminalizing some forms of speech with a religious element as ‘hate speech’ can result in severe consequences, even potentially resulting in imprisonment for non-violent </w:t>
      </w:r>
      <w:r w:rsidR="001F37F0">
        <w:t>acts</w:t>
      </w:r>
      <w:r w:rsidRPr="00F64C58">
        <w:t xml:space="preserve">.  Application of the law in this way, therefore, results in an indirect discrimination </w:t>
      </w:r>
      <w:r w:rsidR="00487758">
        <w:t xml:space="preserve">against </w:t>
      </w:r>
      <w:r w:rsidRPr="00F64C58">
        <w:t>one’s right to freedom of religion or belief.  This includes laws criminalising apostasy and blasphemy, which may not only constitute restrictions to freedom of religion or belief, but also infringe upon the right to freedom of expression.</w:t>
      </w:r>
      <w:r w:rsidRPr="00F64C58">
        <w:rPr>
          <w:vertAlign w:val="superscript"/>
        </w:rPr>
        <w:footnoteReference w:id="37"/>
      </w:r>
      <w:r w:rsidRPr="00F64C58">
        <w:rPr>
          <w:vertAlign w:val="superscript"/>
        </w:rPr>
        <w:t xml:space="preserve"> </w:t>
      </w:r>
    </w:p>
    <w:p w:rsidR="00F64C58" w:rsidRPr="00F64C58" w:rsidRDefault="00F64C58" w:rsidP="00154CFF">
      <w:pPr>
        <w:pStyle w:val="SingleTxtG"/>
        <w:numPr>
          <w:ilvl w:val="0"/>
          <w:numId w:val="7"/>
        </w:numPr>
        <w:ind w:left="1134" w:firstLine="0"/>
      </w:pPr>
      <w:r w:rsidRPr="00F64C58">
        <w:rPr>
          <w:b/>
        </w:rPr>
        <w:t>Anti-apostasy/anti-blasphemy laws</w:t>
      </w:r>
      <w:r w:rsidRPr="00F64C58">
        <w:t xml:space="preserve">: Shorn of direct links to acts of violence, the tendency to characterise certain manifestations of religion or belief as ‘extremist’ or a ‘threat to public order’ include the activities of missionaries or others who seek new converts to their faith. Laws on apostasy or blasphemy which are often framed as, ‘anti-incitement legislation’, exist in at least sixty-nine States globally, and reflect the idea that the expression of certain views within a </w:t>
      </w:r>
      <w:r w:rsidRPr="00154CFF">
        <w:rPr>
          <w:lang w:val="en-US"/>
        </w:rPr>
        <w:t>society</w:t>
      </w:r>
      <w:r w:rsidRPr="00F64C58">
        <w:t xml:space="preserve"> may create ‘discontent’, subvert ‘national unity’ or undermine public order and public safety.</w:t>
      </w:r>
      <w:r w:rsidRPr="00F64C58">
        <w:rPr>
          <w:vertAlign w:val="superscript"/>
        </w:rPr>
        <w:footnoteReference w:id="38"/>
      </w:r>
      <w:r w:rsidRPr="00F64C58">
        <w:t xml:space="preserve"> In some jurisdictions, anti-terrorism legislation targets newer religious communities and is being used to generate cases of alleged blasphemy offenses in counter-terrorism courts.  </w:t>
      </w:r>
    </w:p>
    <w:p w:rsidR="00F64C58" w:rsidRPr="00F64C58" w:rsidRDefault="00F64C58" w:rsidP="00154CFF">
      <w:pPr>
        <w:pStyle w:val="SingleTxtG"/>
        <w:numPr>
          <w:ilvl w:val="0"/>
          <w:numId w:val="7"/>
        </w:numPr>
        <w:ind w:left="1134" w:firstLine="0"/>
      </w:pPr>
      <w:r w:rsidRPr="00F64C58">
        <w:t>The role that the Internet has played in the recruitment or radicalization of individuals has led many States to adopt a combination of repressive legislative measures to block, filter and ban specific content or entire websites. Security considerations are often claimed as the legal basis for the existence and implementation of such laws and actions. Despite the argument of some  States that the intended goal of such laws is the improvement of ‘social harmony’ as well as safeguarding security, in actual fact such measures often undermine the safety and equality of individuals adhering to different faiths.</w:t>
      </w:r>
      <w:r w:rsidRPr="00F64C58">
        <w:rPr>
          <w:vertAlign w:val="superscript"/>
        </w:rPr>
        <w:footnoteReference w:id="39"/>
      </w:r>
      <w:r w:rsidRPr="00F64C58">
        <w:t xml:space="preserve"> In some cases, mechanisms have been set up to identify and refer content to Internet and social media companies for removal.</w:t>
      </w:r>
      <w:r w:rsidRPr="00F64C58">
        <w:rPr>
          <w:vertAlign w:val="superscript"/>
        </w:rPr>
        <w:footnoteReference w:id="40"/>
      </w:r>
      <w:r w:rsidRPr="00F64C58">
        <w:t xml:space="preserve"> In other cases, anti-blasphemy</w:t>
      </w:r>
      <w:r w:rsidR="00E61CD8">
        <w:t xml:space="preserve"> and </w:t>
      </w:r>
      <w:r w:rsidRPr="00F64C58">
        <w:t>anti-apostasy</w:t>
      </w:r>
      <w:r w:rsidR="00E61CD8">
        <w:t xml:space="preserve"> </w:t>
      </w:r>
      <w:r w:rsidRPr="00F64C58">
        <w:t xml:space="preserve">are used to prosecute opinions or beliefs expressed in online forums. </w:t>
      </w:r>
    </w:p>
    <w:p w:rsidR="00F64C58" w:rsidRPr="00F64C58" w:rsidRDefault="00F64C58" w:rsidP="00154CFF">
      <w:pPr>
        <w:pStyle w:val="SingleTxtG"/>
        <w:numPr>
          <w:ilvl w:val="0"/>
          <w:numId w:val="7"/>
        </w:numPr>
        <w:ind w:left="1134" w:firstLine="0"/>
      </w:pPr>
      <w:r w:rsidRPr="00F64C58">
        <w:t>Since 2012, accusations of online blasphemy have risen, and new threats and patterns of violence have emerged.</w:t>
      </w:r>
      <w:r w:rsidRPr="00F64C58">
        <w:rPr>
          <w:vertAlign w:val="superscript"/>
        </w:rPr>
        <w:footnoteReference w:id="41"/>
      </w:r>
      <w:r w:rsidRPr="00F64C58">
        <w:t xml:space="preserve"> Individuals using the Internet to disseminate views considered blasphemous are increasingly facing arrest and prosecution. The arrests are often capricious, creating an atmosphere of fear in which the Internet users are unsure of the boundaries within which their rights can be exercised. Alarmingly, online speech, usually expressed through social media websites, can </w:t>
      </w:r>
      <w:r w:rsidRPr="00F64C58">
        <w:lastRenderedPageBreak/>
        <w:t>also lead to offline mob violence.</w:t>
      </w:r>
      <w:r w:rsidRPr="00F64C58">
        <w:rPr>
          <w:vertAlign w:val="superscript"/>
        </w:rPr>
        <w:footnoteReference w:id="42"/>
      </w:r>
      <w:r w:rsidRPr="00F64C58">
        <w:t xml:space="preserve"> The securitisation of online activity has provided a wide margin of operation for national authorities without proper scrutiny.</w:t>
      </w:r>
    </w:p>
    <w:p w:rsidR="00F64C58" w:rsidRPr="00F64C58" w:rsidRDefault="00F64C58" w:rsidP="00154CFF">
      <w:pPr>
        <w:pStyle w:val="SingleTxtG"/>
        <w:numPr>
          <w:ilvl w:val="0"/>
          <w:numId w:val="7"/>
        </w:numPr>
        <w:ind w:left="1134" w:firstLine="0"/>
      </w:pPr>
      <w:r w:rsidRPr="00F64C58">
        <w:t>One particular case is that of a blogger who has been imprisoned since January 2014 after being convicted of apostasy for criticising caste-based discrimination.</w:t>
      </w:r>
      <w:r w:rsidRPr="00F64C58">
        <w:rPr>
          <w:vertAlign w:val="superscript"/>
        </w:rPr>
        <w:footnoteReference w:id="43"/>
      </w:r>
      <w:r w:rsidRPr="00F64C58">
        <w:t xml:space="preserve"> Similarly, in 2015 a court sentenced a poet to death for apostasy stemming from his reportedly obscene comments about religious figures and the State, but also for passing around a book he wrote that promoted atheism and unbelief.</w:t>
      </w:r>
      <w:r w:rsidRPr="00F64C58">
        <w:rPr>
          <w:vertAlign w:val="superscript"/>
        </w:rPr>
        <w:footnoteReference w:id="44"/>
      </w:r>
      <w:r w:rsidRPr="00F64C58">
        <w:t xml:space="preserve"> There is also an intrusion of national security concerns into this specific field, which is illustrated by some apostasy trials which are conducted in the same manner as threats to national security would be treated.</w:t>
      </w:r>
      <w:r w:rsidRPr="00F64C58">
        <w:rPr>
          <w:vertAlign w:val="superscript"/>
        </w:rPr>
        <w:footnoteReference w:id="45"/>
      </w:r>
      <w:r w:rsidRPr="00F64C58">
        <w:rPr>
          <w:vertAlign w:val="superscript"/>
        </w:rPr>
        <w:t xml:space="preserve"> </w:t>
      </w:r>
      <w:r w:rsidR="009D0720">
        <w:rPr>
          <w:vertAlign w:val="superscript"/>
        </w:rPr>
        <w:t xml:space="preserve"> </w:t>
      </w:r>
      <w:r w:rsidR="009D0720">
        <w:t>Similarly, t</w:t>
      </w:r>
      <w:r w:rsidRPr="00F64C58">
        <w:t>here are also cases where people are charged under anti-blasphemy laws (even for act</w:t>
      </w:r>
      <w:r w:rsidR="00C61B59">
        <w:t>ivities</w:t>
      </w:r>
      <w:r w:rsidRPr="00F64C58">
        <w:t xml:space="preserve"> on social media and/or for engagement in conversation on social network) and such trials are conducted in counter-terrorism courts.</w:t>
      </w:r>
    </w:p>
    <w:p w:rsidR="00F64C58" w:rsidRPr="00F64C58" w:rsidRDefault="00F64C58" w:rsidP="00154CFF">
      <w:pPr>
        <w:pStyle w:val="SingleTxtG"/>
        <w:numPr>
          <w:ilvl w:val="0"/>
          <w:numId w:val="7"/>
        </w:numPr>
        <w:ind w:left="1134" w:firstLine="0"/>
      </w:pPr>
      <w:r w:rsidRPr="00F64C58">
        <w:t>The Special Rapporteur notes that any effort to prevent terrorist radicalization on the Internet (such as regu</w:t>
      </w:r>
      <w:r w:rsidRPr="00F64C58">
        <w:softHyphen/>
        <w:t>lating, filtering or blocking online content deemed to be illegal under inter</w:t>
      </w:r>
      <w:r w:rsidRPr="00F64C58">
        <w:softHyphen/>
        <w:t xml:space="preserve">national law) should follow international human rights standards so as to avoid </w:t>
      </w:r>
      <w:r w:rsidRPr="00154CFF">
        <w:rPr>
          <w:lang w:val="en-US"/>
        </w:rPr>
        <w:t>unlaw</w:t>
      </w:r>
      <w:r w:rsidRPr="00154CFF">
        <w:rPr>
          <w:lang w:val="en-US"/>
        </w:rPr>
        <w:softHyphen/>
        <w:t>fully</w:t>
      </w:r>
      <w:r w:rsidRPr="00F64C58">
        <w:t xml:space="preserve"> impacting on the freedom of expression and the free flow of information. </w:t>
      </w:r>
      <w:r w:rsidR="007E520D">
        <w:t xml:space="preserve">As stressed by the UN Special Rapporteur on the promotion and protection of the right to freedom of opinion and expression, David Kaye, </w:t>
      </w:r>
      <w:r w:rsidR="00D7537B">
        <w:t xml:space="preserve">content </w:t>
      </w:r>
      <w:r w:rsidR="007E520D">
        <w:t>r</w:t>
      </w:r>
      <w:r w:rsidR="00E61CD8">
        <w:t xml:space="preserve">estrictions </w:t>
      </w:r>
      <w:r w:rsidR="00D7537B">
        <w:t>must always</w:t>
      </w:r>
      <w:r w:rsidR="00987440">
        <w:t xml:space="preserve"> </w:t>
      </w:r>
      <w:r w:rsidR="00D7537B">
        <w:t>meet the tests</w:t>
      </w:r>
      <w:r w:rsidR="00987440">
        <w:t xml:space="preserve"> of legality, necessity, </w:t>
      </w:r>
      <w:r w:rsidR="006757DC">
        <w:t>legitimacy,</w:t>
      </w:r>
      <w:r w:rsidR="00987440">
        <w:t xml:space="preserve"> proportionality and </w:t>
      </w:r>
      <w:r w:rsidR="006757DC">
        <w:t>non-discrimi</w:t>
      </w:r>
      <w:r w:rsidR="007E520D">
        <w:t>nation, and must be subject to</w:t>
      </w:r>
      <w:r w:rsidR="006757DC">
        <w:t xml:space="preserve"> due process.</w:t>
      </w:r>
      <w:r w:rsidR="00D7537B">
        <w:t xml:space="preserve"> </w:t>
      </w:r>
      <w:r w:rsidR="00D7537B">
        <w:rPr>
          <w:rStyle w:val="FootnoteReference"/>
        </w:rPr>
        <w:footnoteReference w:id="46"/>
      </w:r>
      <w:r w:rsidR="006757DC">
        <w:t xml:space="preserve"> </w:t>
      </w:r>
      <w:r w:rsidRPr="00F64C58">
        <w:t xml:space="preserve">These measures should not be used to target dissent and critical speech. </w:t>
      </w:r>
    </w:p>
    <w:p w:rsidR="00F64C58" w:rsidRPr="00F64C58" w:rsidRDefault="00F64C58" w:rsidP="00154CFF">
      <w:pPr>
        <w:pStyle w:val="SingleTxtG"/>
        <w:numPr>
          <w:ilvl w:val="0"/>
          <w:numId w:val="7"/>
        </w:numPr>
        <w:ind w:left="1134" w:firstLine="0"/>
      </w:pPr>
      <w:r w:rsidRPr="00F64C58">
        <w:t xml:space="preserve">Governments have also focused on groups and individuals that exploit freedom of expression by </w:t>
      </w:r>
      <w:r w:rsidR="00737879" w:rsidRPr="00D81834">
        <w:t>spreading</w:t>
      </w:r>
      <w:r w:rsidR="00987440" w:rsidRPr="007E43CF">
        <w:t xml:space="preserve"> messages</w:t>
      </w:r>
      <w:r w:rsidR="00737879" w:rsidRPr="007E43CF">
        <w:t xml:space="preserve"> of intolerance</w:t>
      </w:r>
      <w:r w:rsidRPr="00F64C58">
        <w:t xml:space="preserve"> that do not meet the </w:t>
      </w:r>
      <w:r w:rsidR="00AC7486">
        <w:t xml:space="preserve">ICCPR Article 20(2) </w:t>
      </w:r>
      <w:r w:rsidRPr="00F64C58">
        <w:t>threshold of incitement to discrimination</w:t>
      </w:r>
      <w:r w:rsidR="00AC7486">
        <w:t xml:space="preserve"> or violence</w:t>
      </w:r>
      <w:r w:rsidRPr="00F64C58">
        <w:t>, but that do merit condemnation.</w:t>
      </w:r>
      <w:r w:rsidR="00737879">
        <w:rPr>
          <w:rStyle w:val="FootnoteReference"/>
        </w:rPr>
        <w:footnoteReference w:id="47"/>
      </w:r>
      <w:r w:rsidRPr="00F64C58">
        <w:t xml:space="preserve"> This includes speech that is not a direct call for action but establishes the ideological basis for violent action. These States have sought to adopt new legislation to criminalize “extremist” speech that does not amount to incitement by creating offences such as “advocating” terrorism, the direct or indirect “inducement”, “encouragement” or “glorification” of terrorism, or lending material support to terrorism. Others have converted previously civil offences into criminal ones.</w:t>
      </w:r>
      <w:r w:rsidRPr="00F64C58">
        <w:rPr>
          <w:vertAlign w:val="superscript"/>
        </w:rPr>
        <w:footnoteReference w:id="48"/>
      </w:r>
      <w:r w:rsidRPr="00F64C58">
        <w:t xml:space="preserve"> </w:t>
      </w:r>
      <w:r w:rsidR="004D7CA3">
        <w:t>What these</w:t>
      </w:r>
      <w:r w:rsidRPr="00F64C58">
        <w:t xml:space="preserve"> new offences have i</w:t>
      </w:r>
      <w:r w:rsidR="004D7CA3">
        <w:t xml:space="preserve">n common are their </w:t>
      </w:r>
      <w:r w:rsidR="00531D77">
        <w:t xml:space="preserve"> prop</w:t>
      </w:r>
      <w:r w:rsidR="000F0AB3">
        <w:t xml:space="preserve">ensity for deeming </w:t>
      </w:r>
      <w:r w:rsidR="004D7CA3">
        <w:t xml:space="preserve">criminal </w:t>
      </w:r>
      <w:r w:rsidRPr="00F64C58">
        <w:t xml:space="preserve"> liability </w:t>
      </w:r>
      <w:r w:rsidR="000F0AB3">
        <w:t xml:space="preserve">on the </w:t>
      </w:r>
      <w:r w:rsidRPr="00F64C58">
        <w:t>bas</w:t>
      </w:r>
      <w:r w:rsidR="000F0AB3">
        <w:t>is</w:t>
      </w:r>
      <w:r w:rsidRPr="00F64C58">
        <w:t xml:space="preserve"> on the content of the speech, rather than the speaker’s intention</w:t>
      </w:r>
      <w:r w:rsidR="006C7539">
        <w:t>s</w:t>
      </w:r>
      <w:r w:rsidRPr="00F64C58">
        <w:t xml:space="preserve"> </w:t>
      </w:r>
      <w:r w:rsidR="00EC3DBE">
        <w:t>or contextual assessments of the likelihood or occurrence of violence.</w:t>
      </w:r>
      <w:r w:rsidRPr="00F64C58">
        <w:t xml:space="preserve"> </w:t>
      </w:r>
      <w:r w:rsidR="006C7539">
        <w:t>The</w:t>
      </w:r>
      <w:r w:rsidRPr="00F64C58">
        <w:t xml:space="preserve"> Human Rights Committee has highlighted that offences of “praising”, “glorifying” or “justifying” terrorism must be clearly defined to ensure that they do not lead to unnecessary or disproportionate interferences with freedom of expression.</w:t>
      </w:r>
      <w:r w:rsidRPr="00F64C58">
        <w:rPr>
          <w:vertAlign w:val="superscript"/>
        </w:rPr>
        <w:footnoteReference w:id="49"/>
      </w:r>
      <w:r w:rsidRPr="00F64C58">
        <w:t xml:space="preserve"> </w:t>
      </w:r>
    </w:p>
    <w:p w:rsidR="00F64C58" w:rsidRPr="00F64C58" w:rsidRDefault="00F64C58" w:rsidP="00154CFF">
      <w:pPr>
        <w:pStyle w:val="SingleTxtG"/>
        <w:numPr>
          <w:ilvl w:val="0"/>
          <w:numId w:val="7"/>
        </w:numPr>
        <w:ind w:left="1134" w:firstLine="0"/>
        <w:rPr>
          <w:lang w:val="en-US"/>
        </w:rPr>
      </w:pPr>
      <w:r w:rsidRPr="00F64C58">
        <w:rPr>
          <w:b/>
          <w:i/>
          <w:lang w:val="en-US"/>
        </w:rPr>
        <w:t>Policing religious literature</w:t>
      </w:r>
      <w:r w:rsidRPr="00F64C58">
        <w:rPr>
          <w:lang w:val="en-US"/>
        </w:rPr>
        <w:t xml:space="preserve">: Some States have also adopted measures to address concerns that some forms of religious publication (both online and offline), including sacred texts, may constitute a threat to peace and security. Some of these States rely on the assessments of government-appointed “experts” to review religious literature </w:t>
      </w:r>
      <w:r w:rsidR="00B0113E">
        <w:rPr>
          <w:lang w:val="en-US"/>
        </w:rPr>
        <w:t>and</w:t>
      </w:r>
      <w:r w:rsidRPr="00F64C58">
        <w:rPr>
          <w:lang w:val="en-US"/>
        </w:rPr>
        <w:t xml:space="preserve"> determine whether or </w:t>
      </w:r>
      <w:r w:rsidRPr="00F64C58">
        <w:rPr>
          <w:lang w:val="en-US"/>
        </w:rPr>
        <w:lastRenderedPageBreak/>
        <w:t xml:space="preserve">not such material promotes “extremist” or doctrinally unsound views. In light of such evaluations, States may decide to ban or censor certain religious materials or prohibit their distribution. </w:t>
      </w:r>
    </w:p>
    <w:p w:rsidR="00F64C58" w:rsidRPr="00F64C58" w:rsidRDefault="00F64C58" w:rsidP="00154CFF">
      <w:pPr>
        <w:pStyle w:val="SingleTxtG"/>
        <w:numPr>
          <w:ilvl w:val="0"/>
          <w:numId w:val="7"/>
        </w:numPr>
        <w:ind w:left="1134" w:firstLine="0"/>
        <w:rPr>
          <w:lang w:val="en-US"/>
        </w:rPr>
      </w:pPr>
      <w:r w:rsidRPr="00F64C58">
        <w:rPr>
          <w:lang w:val="en-US"/>
        </w:rPr>
        <w:t xml:space="preserve">Justifications for such measures might argue that the text incites violence or contains violent imagery or language, or that the religious or belief community in question claims that their faith is the only path to salvation and truth, which can pose a threat to public order. Religious literature is an aspect of religious expression and </w:t>
      </w:r>
      <w:r w:rsidR="001A47B8">
        <w:rPr>
          <w:lang w:val="en-US"/>
        </w:rPr>
        <w:t>therefore</w:t>
      </w:r>
      <w:r w:rsidRPr="00F64C58">
        <w:rPr>
          <w:lang w:val="en-US"/>
        </w:rPr>
        <w:t xml:space="preserve"> equally protected both by freedom of opinion and expression as well as by freedom of religion or belief; any interference with their production or dissemination can constitute a violation of these fundamental freedoms and must be strictly justified in line with the criteria set out in articles 18(3) and 19(3) of the ICCPR. </w:t>
      </w:r>
    </w:p>
    <w:p w:rsidR="00F64C58" w:rsidRPr="00F64C58" w:rsidRDefault="00F64C58" w:rsidP="00154CFF">
      <w:pPr>
        <w:pStyle w:val="SingleTxtG"/>
        <w:numPr>
          <w:ilvl w:val="0"/>
          <w:numId w:val="7"/>
        </w:numPr>
        <w:ind w:left="1134" w:firstLine="0"/>
        <w:rPr>
          <w:lang w:val="en-US"/>
        </w:rPr>
      </w:pPr>
      <w:r w:rsidRPr="00F64C58">
        <w:rPr>
          <w:lang w:val="en-US"/>
        </w:rPr>
        <w:t xml:space="preserve">Moreover, the appointment of State ‘experts’ to determine ‘authentic’ interpretations of foundational texts of religions of beliefs can be problematic for several reasons. It may amount to a paternalistic interference in the right of individuals to determine for themselves how to engage peacefully with religious and philosophical beliefs; and </w:t>
      </w:r>
      <w:r w:rsidR="001A47B8">
        <w:rPr>
          <w:lang w:val="en-US"/>
        </w:rPr>
        <w:t>is</w:t>
      </w:r>
      <w:r w:rsidRPr="00F64C58">
        <w:rPr>
          <w:lang w:val="en-US"/>
        </w:rPr>
        <w:t xml:space="preserve"> contrary to the obligation upon States to be an impartial guarantor of the rights to freedom of religion or belief of all persons within their jurisdiction. It may also violate the collective dimension of freedom of religion or belief which includes doctrinal autonomy. State-sponsored interpretations of religion or belief are frequently associated with acts of intolerance.</w:t>
      </w:r>
    </w:p>
    <w:p w:rsidR="00F64C58" w:rsidRPr="007633DE" w:rsidRDefault="007633DE" w:rsidP="007633DE">
      <w:pPr>
        <w:pStyle w:val="HChG"/>
      </w:pPr>
      <w:r>
        <w:tab/>
        <w:t>V.</w:t>
      </w:r>
      <w:r>
        <w:tab/>
        <w:t>M</w:t>
      </w:r>
      <w:r w:rsidRPr="007633DE">
        <w:t xml:space="preserve">obilising freedom of religion or belief to promote societal resilience against violent extremism </w:t>
      </w:r>
    </w:p>
    <w:p w:rsidR="00F64C58" w:rsidRPr="00F64C58" w:rsidRDefault="00F64C58" w:rsidP="00154CFF">
      <w:pPr>
        <w:pStyle w:val="SingleTxtG"/>
        <w:numPr>
          <w:ilvl w:val="0"/>
          <w:numId w:val="7"/>
        </w:numPr>
        <w:ind w:left="1134" w:firstLine="0"/>
        <w:rPr>
          <w:lang w:val="en-US"/>
        </w:rPr>
      </w:pPr>
      <w:r w:rsidRPr="00F64C58">
        <w:rPr>
          <w:lang w:val="en-US"/>
        </w:rPr>
        <w:t xml:space="preserve">A growing body of scholarship highlights the role of freedom of religion or belief in </w:t>
      </w:r>
      <w:r w:rsidR="00731005">
        <w:rPr>
          <w:lang w:val="en-US"/>
        </w:rPr>
        <w:t>promoting</w:t>
      </w:r>
      <w:r w:rsidRPr="00F64C58">
        <w:rPr>
          <w:lang w:val="en-US"/>
        </w:rPr>
        <w:t xml:space="preserve"> pluralistic societies which can sustain democratic governance based on the rule of law and respect for human rights;  and its contribution to creating environments of mutual respect, tolerance and understanding among people of different religions, beliefs and cultures.</w:t>
      </w:r>
      <w:r w:rsidRPr="00F64C58">
        <w:rPr>
          <w:vertAlign w:val="superscript"/>
          <w:lang w:val="en-US"/>
        </w:rPr>
        <w:footnoteReference w:id="50"/>
      </w:r>
      <w:r w:rsidRPr="00F64C58">
        <w:rPr>
          <w:vertAlign w:val="superscript"/>
          <w:lang w:val="en-US"/>
        </w:rPr>
        <w:t xml:space="preserve"> </w:t>
      </w:r>
      <w:r w:rsidRPr="00F64C58">
        <w:rPr>
          <w:lang w:val="en-US"/>
        </w:rPr>
        <w:t xml:space="preserve"> Environments where the right to freedom of religion or belief is promoted and protected often foster safe spaces wherein hateful, violent narratives can be openly challenged. Moreover, freedom of religion or belief can advance peaceful co-existence and sustain societal cohesion which are essential to public order, safety and long-term security.  As such, individuals responsible for meeting security needs should engage with, and listen to, those who exercise agency in regard to freedom of religion or belief, as well as actors involved with promoting civil liberties. </w:t>
      </w:r>
    </w:p>
    <w:p w:rsidR="00F64C58" w:rsidRPr="006E1EFA" w:rsidRDefault="00F64C58" w:rsidP="00D81834">
      <w:pPr>
        <w:pStyle w:val="SingleTxtG"/>
        <w:numPr>
          <w:ilvl w:val="0"/>
          <w:numId w:val="7"/>
        </w:numPr>
        <w:ind w:left="1134" w:firstLine="0"/>
        <w:rPr>
          <w:lang w:val="en-US"/>
        </w:rPr>
      </w:pPr>
      <w:r w:rsidRPr="00F64C58">
        <w:rPr>
          <w:lang w:val="en-US"/>
        </w:rPr>
        <w:t>In this spirit, the UN’s engagement on promoting respect for freedom of religion or belief has focused on eliminating intolerance and discrimination based on religion or belief,</w:t>
      </w:r>
      <w:r w:rsidRPr="00F64C58">
        <w:rPr>
          <w:vertAlign w:val="superscript"/>
          <w:lang w:val="en-US"/>
        </w:rPr>
        <w:footnoteReference w:id="51"/>
      </w:r>
      <w:r w:rsidRPr="00F64C58">
        <w:rPr>
          <w:lang w:val="en-US"/>
        </w:rPr>
        <w:t xml:space="preserve"> and spawned a number of initiatives</w:t>
      </w:r>
      <w:r w:rsidR="00731005">
        <w:rPr>
          <w:lang w:val="en-US"/>
        </w:rPr>
        <w:t xml:space="preserve"> that</w:t>
      </w:r>
      <w:r w:rsidRPr="00F64C58">
        <w:rPr>
          <w:lang w:val="en-US"/>
        </w:rPr>
        <w:t xml:space="preserve"> address</w:t>
      </w:r>
      <w:r w:rsidR="00C6255E">
        <w:rPr>
          <w:lang w:val="en-US"/>
        </w:rPr>
        <w:t xml:space="preserve"> concerns related to</w:t>
      </w:r>
      <w:r w:rsidRPr="00F64C58">
        <w:rPr>
          <w:lang w:val="en-US"/>
        </w:rPr>
        <w:t xml:space="preserve"> </w:t>
      </w:r>
      <w:r w:rsidR="00ED668B">
        <w:rPr>
          <w:lang w:val="en-US"/>
        </w:rPr>
        <w:t xml:space="preserve">the </w:t>
      </w:r>
      <w:r w:rsidRPr="00F64C58">
        <w:rPr>
          <w:lang w:val="en-US"/>
        </w:rPr>
        <w:t>advocacy of religious hatred and mass atrocit</w:t>
      </w:r>
      <w:r w:rsidR="00DC6591">
        <w:rPr>
          <w:lang w:val="en-US"/>
        </w:rPr>
        <w:t>ies</w:t>
      </w:r>
      <w:r w:rsidRPr="00F64C58">
        <w:rPr>
          <w:lang w:val="en-US"/>
        </w:rPr>
        <w:t>. Of particular relevance are measures to combat intolerance, negative stereotyping</w:t>
      </w:r>
      <w:r w:rsidR="005D092B">
        <w:rPr>
          <w:lang w:val="en-US"/>
        </w:rPr>
        <w:t xml:space="preserve">, </w:t>
      </w:r>
      <w:r w:rsidRPr="00F64C58">
        <w:rPr>
          <w:lang w:val="en-US"/>
        </w:rPr>
        <w:t>stigmatization</w:t>
      </w:r>
      <w:r w:rsidR="00385EFB">
        <w:rPr>
          <w:lang w:val="en-US"/>
        </w:rPr>
        <w:t>,</w:t>
      </w:r>
      <w:r w:rsidRPr="00F64C58">
        <w:rPr>
          <w:lang w:val="en-US"/>
        </w:rPr>
        <w:t xml:space="preserve"> discrimination, incitement to violence and violence against persons based on religion or belief.</w:t>
      </w:r>
      <w:r w:rsidRPr="00F64C58">
        <w:rPr>
          <w:vertAlign w:val="superscript"/>
          <w:lang w:val="en-US"/>
        </w:rPr>
        <w:footnoteReference w:id="52"/>
      </w:r>
      <w:r w:rsidRPr="00F64C58">
        <w:rPr>
          <w:lang w:val="en-US"/>
        </w:rPr>
        <w:t xml:space="preserve"> </w:t>
      </w:r>
      <w:r w:rsidRPr="00F64C58">
        <w:rPr>
          <w:lang w:val="en-US"/>
        </w:rPr>
        <w:lastRenderedPageBreak/>
        <w:t>Likewise, initiatives developed in the context of mass atrocity prevention</w:t>
      </w:r>
      <w:r w:rsidR="003219F6">
        <w:rPr>
          <w:lang w:val="en-US"/>
        </w:rPr>
        <w:t>,</w:t>
      </w:r>
      <w:r w:rsidR="000117A7">
        <w:rPr>
          <w:lang w:val="en-US"/>
        </w:rPr>
        <w:t xml:space="preserve"> and which are grounded in international human rights law,</w:t>
      </w:r>
      <w:r w:rsidRPr="00F64C58">
        <w:rPr>
          <w:lang w:val="en-US"/>
        </w:rPr>
        <w:t xml:space="preserve"> </w:t>
      </w:r>
      <w:r w:rsidR="008F26DE">
        <w:rPr>
          <w:lang w:val="en-US"/>
        </w:rPr>
        <w:t xml:space="preserve">can </w:t>
      </w:r>
      <w:r w:rsidRPr="00F64C58">
        <w:rPr>
          <w:lang w:val="en-US"/>
        </w:rPr>
        <w:t>also play</w:t>
      </w:r>
      <w:r w:rsidR="008F26DE">
        <w:rPr>
          <w:lang w:val="en-US"/>
        </w:rPr>
        <w:t xml:space="preserve"> </w:t>
      </w:r>
      <w:r w:rsidRPr="00F64C58">
        <w:rPr>
          <w:lang w:val="en-US"/>
        </w:rPr>
        <w:t>a useful role in strengthening societal resilience against violent extremism. These</w:t>
      </w:r>
      <w:r w:rsidR="007809D3">
        <w:rPr>
          <w:lang w:val="en-US"/>
        </w:rPr>
        <w:t xml:space="preserve"> activities </w:t>
      </w:r>
      <w:r w:rsidRPr="00F64C58">
        <w:rPr>
          <w:lang w:val="en-US"/>
        </w:rPr>
        <w:t xml:space="preserve">identify specific roles and practical measures not just for governments but also for civil society and faith-based actors. </w:t>
      </w:r>
      <w:r w:rsidR="002F73D2" w:rsidRPr="00D81834">
        <w:rPr>
          <w:lang w:val="en-US"/>
        </w:rPr>
        <w:t>However,</w:t>
      </w:r>
      <w:r w:rsidR="00343F2D" w:rsidRPr="00D81834">
        <w:rPr>
          <w:lang w:val="en-US"/>
        </w:rPr>
        <w:t xml:space="preserve"> while</w:t>
      </w:r>
      <w:r w:rsidR="002F73D2" w:rsidRPr="00D81834">
        <w:rPr>
          <w:lang w:val="en-US"/>
        </w:rPr>
        <w:t xml:space="preserve"> </w:t>
      </w:r>
      <w:r w:rsidR="00343F2D" w:rsidRPr="00D81834">
        <w:rPr>
          <w:lang w:val="en-US"/>
        </w:rPr>
        <w:t>their</w:t>
      </w:r>
      <w:r w:rsidR="00BA788A" w:rsidRPr="00D81834">
        <w:rPr>
          <w:lang w:val="en-US"/>
        </w:rPr>
        <w:t xml:space="preserve"> relevance to the wider </w:t>
      </w:r>
      <w:r w:rsidR="00EC32FE" w:rsidRPr="00D81834">
        <w:rPr>
          <w:lang w:val="en-US"/>
        </w:rPr>
        <w:t xml:space="preserve">international </w:t>
      </w:r>
      <w:r w:rsidR="00BA788A" w:rsidRPr="00D81834">
        <w:rPr>
          <w:lang w:val="en-US"/>
        </w:rPr>
        <w:t xml:space="preserve">strategies </w:t>
      </w:r>
      <w:r w:rsidR="00EC32FE" w:rsidRPr="00D81834">
        <w:rPr>
          <w:lang w:val="en-US"/>
        </w:rPr>
        <w:t>for</w:t>
      </w:r>
      <w:r w:rsidR="00BA788A" w:rsidRPr="00D81834">
        <w:rPr>
          <w:lang w:val="en-US"/>
        </w:rPr>
        <w:t xml:space="preserve"> counter</w:t>
      </w:r>
      <w:r w:rsidR="00EC32FE" w:rsidRPr="00D81834">
        <w:rPr>
          <w:lang w:val="en-US"/>
        </w:rPr>
        <w:t xml:space="preserve">ing </w:t>
      </w:r>
      <w:r w:rsidR="00D81834" w:rsidRPr="00D81834">
        <w:rPr>
          <w:lang w:val="en-US"/>
        </w:rPr>
        <w:t xml:space="preserve">terrorism has been recognized </w:t>
      </w:r>
      <w:r w:rsidR="00BA788A" w:rsidRPr="00D81834">
        <w:rPr>
          <w:lang w:val="en-US"/>
        </w:rPr>
        <w:t>by the Secretary-General’s Plan of Action to Prevent Violent Extremism</w:t>
      </w:r>
      <w:r w:rsidR="00BA788A" w:rsidRPr="00D81834">
        <w:rPr>
          <w:vertAlign w:val="superscript"/>
          <w:lang w:val="en-US"/>
        </w:rPr>
        <w:footnoteReference w:id="53"/>
      </w:r>
      <w:r w:rsidR="00BA788A" w:rsidRPr="00D81834">
        <w:rPr>
          <w:vertAlign w:val="superscript"/>
          <w:lang w:val="en-US"/>
        </w:rPr>
        <w:t xml:space="preserve"> </w:t>
      </w:r>
      <w:r w:rsidRPr="00D81834">
        <w:rPr>
          <w:lang w:val="en-US"/>
        </w:rPr>
        <w:t>care must be taken not to securitize dialogue and engagement with religious or belief actors</w:t>
      </w:r>
      <w:r w:rsidR="008A3979" w:rsidRPr="00D81834">
        <w:rPr>
          <w:lang w:val="en-US"/>
        </w:rPr>
        <w:t xml:space="preserve"> or to instrumentalise these initiatives for P/CVE objectives</w:t>
      </w:r>
      <w:r w:rsidR="008A3979">
        <w:rPr>
          <w:lang w:val="en-US"/>
        </w:rPr>
        <w:t>.</w:t>
      </w:r>
    </w:p>
    <w:p w:rsidR="00F64C58" w:rsidRPr="00F64C58" w:rsidRDefault="00F64C58" w:rsidP="00154CFF">
      <w:pPr>
        <w:pStyle w:val="SingleTxtG"/>
        <w:numPr>
          <w:ilvl w:val="0"/>
          <w:numId w:val="7"/>
        </w:numPr>
        <w:ind w:left="1134" w:firstLine="0"/>
        <w:rPr>
          <w:lang w:val="en-US"/>
        </w:rPr>
      </w:pPr>
      <w:r w:rsidRPr="00F64C58">
        <w:rPr>
          <w:lang w:val="en-US"/>
        </w:rPr>
        <w:t>Developing collaborative networks of faith-based actors to promote human rights is clearly a worthy goal</w:t>
      </w:r>
      <w:r w:rsidR="008A3979">
        <w:rPr>
          <w:lang w:val="en-US"/>
        </w:rPr>
        <w:t>, especially in fostering respect for pluralism</w:t>
      </w:r>
      <w:r w:rsidRPr="00F64C58">
        <w:rPr>
          <w:lang w:val="en-US"/>
        </w:rPr>
        <w:t xml:space="preserve">. In many cases, religious organizations themselves provide the best hope of spreading the message of tolerance and reconciliation that will help ensure an individual’s right to practice his or her religion in peace in whatever country he or she resides. However, care must be taken to ensure that such approaches are inclusive and accessible to all without discrimination with regard to any protected characteristic. It is also important to ensure that such collaborative networks commit to the rights and freedoms enshrined in </w:t>
      </w:r>
      <w:r w:rsidR="0014194A">
        <w:rPr>
          <w:lang w:val="en-US"/>
        </w:rPr>
        <w:t xml:space="preserve">international human rights law. </w:t>
      </w:r>
      <w:r w:rsidRPr="00F64C58">
        <w:rPr>
          <w:lang w:val="en-US"/>
        </w:rPr>
        <w:t>Failure to do so might contribute to reinforcing various stereot</w:t>
      </w:r>
      <w:r w:rsidR="0014194A">
        <w:rPr>
          <w:lang w:val="en-US"/>
        </w:rPr>
        <w:t>ypes and forms of intolerance.</w:t>
      </w:r>
    </w:p>
    <w:p w:rsidR="00F64C58" w:rsidRPr="0014194A" w:rsidRDefault="0014194A" w:rsidP="0014194A">
      <w:pPr>
        <w:pStyle w:val="H1G"/>
      </w:pPr>
      <w:r>
        <w:tab/>
        <w:t>A.</w:t>
      </w:r>
      <w:r>
        <w:tab/>
      </w:r>
      <w:r w:rsidR="00F64C58" w:rsidRPr="0014194A">
        <w:t xml:space="preserve">Human Rights Council resolution 16/18 and </w:t>
      </w:r>
      <w:r w:rsidR="00C20A9E">
        <w:t xml:space="preserve">the </w:t>
      </w:r>
      <w:r w:rsidR="00F64C58" w:rsidRPr="0014194A">
        <w:t>Istanbul Process</w:t>
      </w:r>
    </w:p>
    <w:p w:rsidR="00F64C58" w:rsidRPr="00F64C58" w:rsidRDefault="00F64C58" w:rsidP="00154CFF">
      <w:pPr>
        <w:pStyle w:val="SingleTxtG"/>
        <w:numPr>
          <w:ilvl w:val="0"/>
          <w:numId w:val="7"/>
        </w:numPr>
        <w:ind w:left="1134" w:firstLine="0"/>
      </w:pPr>
      <w:r w:rsidRPr="00F64C58">
        <w:t>The Istanbul Process</w:t>
      </w:r>
      <w:r w:rsidR="00303510">
        <w:t xml:space="preserve"> for Combatting Intolerance, Discrimination and Incitement to Hatred and/or Violence on the Basis of Religion or Belief</w:t>
      </w:r>
      <w:r w:rsidR="00FA605B">
        <w:t>,</w:t>
      </w:r>
      <w:r w:rsidRPr="00F64C58">
        <w:t xml:space="preserve"> which has been facilitating</w:t>
      </w:r>
      <w:r w:rsidR="00343F2D">
        <w:t>,</w:t>
      </w:r>
      <w:r w:rsidRPr="00F64C58">
        <w:t xml:space="preserve"> since 2011</w:t>
      </w:r>
      <w:r w:rsidR="002C69B1">
        <w:t>,</w:t>
      </w:r>
      <w:r w:rsidRPr="00F64C58">
        <w:t xml:space="preserve"> the implementation of the agenda identified in Human Rights Council resolution 16/18, </w:t>
      </w:r>
      <w:r w:rsidR="00FA605B">
        <w:t>has been endorsed by human rights experts as ‘</w:t>
      </w:r>
      <w:r w:rsidRPr="00F64C58">
        <w:t>a p</w:t>
      </w:r>
      <w:r w:rsidR="00FA605B">
        <w:t>romising</w:t>
      </w:r>
      <w:r w:rsidRPr="00F64C58">
        <w:t xml:space="preserve"> platform</w:t>
      </w:r>
      <w:r w:rsidR="00303510">
        <w:t xml:space="preserve"> for effective, integrated and inclusive action by the international community</w:t>
      </w:r>
      <w:r w:rsidR="00FA605B">
        <w:t>’</w:t>
      </w:r>
      <w:r w:rsidR="00FA605B">
        <w:rPr>
          <w:rStyle w:val="FootnoteReference"/>
        </w:rPr>
        <w:footnoteReference w:id="54"/>
      </w:r>
      <w:r w:rsidR="00303510">
        <w:t xml:space="preserve">. </w:t>
      </w:r>
      <w:r w:rsidRPr="00F64C58">
        <w:t xml:space="preserve">The resolution identifies a comprehensive, action-oriented strategy that comprises a mix of legal, policy and administrative measures as well as outreach programmes to promote equality, pluralism, participation, understanding and community cohesion and resilience. </w:t>
      </w:r>
    </w:p>
    <w:p w:rsidR="00F64C58" w:rsidRPr="00F64C58" w:rsidRDefault="00F64C58" w:rsidP="00154CFF">
      <w:pPr>
        <w:pStyle w:val="SingleTxtG"/>
        <w:numPr>
          <w:ilvl w:val="0"/>
          <w:numId w:val="7"/>
        </w:numPr>
        <w:ind w:left="1134" w:firstLine="0"/>
      </w:pPr>
      <w:r w:rsidRPr="00F64C58">
        <w:t xml:space="preserve">Although the Istanbul Process is not generally regarded as a P/CVE tool, some of the early activities that were implemented under its framework, particularly the training of law enforcement officials in detecting and responding to incitement, clearly bear out the relevance of the Istanbul Process for P/CVE efforts. Likewise, the latest Istanbul Process meeting, held in Singapore in July 2016, identified practical community-based projects that fostered societal cohesion and resilience against advocacy of hatred. However, most of the other meetings held under the auspices of the Istanbul Process were focused more on normative contestation and politicization and externalization of concerns, rather than a practitioner-focused, introspective engagement across a wide range of stakeholders. </w:t>
      </w:r>
    </w:p>
    <w:p w:rsidR="00F64C58" w:rsidRPr="00F64C58" w:rsidRDefault="00F64C58" w:rsidP="00154CFF">
      <w:pPr>
        <w:pStyle w:val="SingleTxtG"/>
        <w:numPr>
          <w:ilvl w:val="0"/>
          <w:numId w:val="7"/>
        </w:numPr>
        <w:ind w:left="1134" w:firstLine="0"/>
      </w:pPr>
      <w:r w:rsidRPr="00F64C58">
        <w:t>Amidst rising intolerance and concerns about negative impacts of some P/CVE activities, the Special Rapporteur recommends that States revitaliz</w:t>
      </w:r>
      <w:r w:rsidR="00FA605B">
        <w:t>e</w:t>
      </w:r>
      <w:r w:rsidRPr="00F64C58">
        <w:t xml:space="preserve"> the Istanbul Process at a practitioner level, aimed at learning from best practices, fostering introspection and collaboration on capacity-building. The added value of the Istanbul Process is its usefulness as a guide for States to both promote religious pluralism, while mitigating some of the negative side-effects of P/CVE policies and fostering long-term cohesion. </w:t>
      </w:r>
    </w:p>
    <w:p w:rsidR="00F64C58" w:rsidRPr="00F64C58" w:rsidRDefault="0014194A" w:rsidP="0014194A">
      <w:pPr>
        <w:pStyle w:val="H1G"/>
      </w:pPr>
      <w:r>
        <w:lastRenderedPageBreak/>
        <w:tab/>
      </w:r>
      <w:r w:rsidR="001B7615">
        <w:t>B.</w:t>
      </w:r>
      <w:r>
        <w:tab/>
      </w:r>
      <w:r w:rsidR="00F64C58" w:rsidRPr="00F64C58">
        <w:t xml:space="preserve">Rabat Plan of Action </w:t>
      </w:r>
    </w:p>
    <w:p w:rsidR="00F64C58" w:rsidRPr="00F64C58" w:rsidRDefault="00F64C58" w:rsidP="00154CFF">
      <w:pPr>
        <w:pStyle w:val="SingleTxtG"/>
        <w:numPr>
          <w:ilvl w:val="0"/>
          <w:numId w:val="7"/>
        </w:numPr>
        <w:ind w:left="1134" w:firstLine="0"/>
        <w:rPr>
          <w:lang w:val="en-US"/>
        </w:rPr>
      </w:pPr>
      <w:r w:rsidRPr="00F64C58">
        <w:rPr>
          <w:lang w:val="en-US"/>
        </w:rPr>
        <w:t>Another related</w:t>
      </w:r>
      <w:r w:rsidR="008A3979">
        <w:rPr>
          <w:lang w:val="en-US"/>
        </w:rPr>
        <w:t>, and important</w:t>
      </w:r>
      <w:r w:rsidRPr="00F64C58">
        <w:rPr>
          <w:lang w:val="en-US"/>
        </w:rPr>
        <w:t xml:space="preserve"> soft law standard is the Rabat Plan of Action on the prohibition of advocacy of national, racial or religious hatred that constitutes incitement to discrimination, hostility or violence</w:t>
      </w:r>
      <w:r w:rsidRPr="00F64C58">
        <w:rPr>
          <w:vertAlign w:val="superscript"/>
          <w:lang w:val="en-US"/>
        </w:rPr>
        <w:footnoteReference w:id="55"/>
      </w:r>
      <w:r w:rsidRPr="00F64C58">
        <w:rPr>
          <w:lang w:val="en-US"/>
        </w:rPr>
        <w:t xml:space="preserve"> , which was adopted by experts at the meeting in Rabat in October 2012. The Special Rapporteur and his predecessor have outlined the importance of the Rabat Plan of Action in addressing advocacy of religious hatred that constitutes incitement to violence, discrimination and hostility.</w:t>
      </w:r>
      <w:r w:rsidRPr="00F64C58">
        <w:rPr>
          <w:vertAlign w:val="superscript"/>
          <w:lang w:val="en-US"/>
        </w:rPr>
        <w:footnoteReference w:id="56"/>
      </w:r>
      <w:r w:rsidRPr="00F64C58">
        <w:rPr>
          <w:lang w:val="en-US"/>
        </w:rPr>
        <w:t xml:space="preserve"> It provides practical guidance through a six-part test that takes into account the context of the statement, the speaker’s position and intent, the content and extent of the speech as well as the likelihood that the speech would incite action against the target group.</w:t>
      </w:r>
      <w:r w:rsidRPr="00F64C58">
        <w:rPr>
          <w:vertAlign w:val="superscript"/>
          <w:lang w:val="en-US"/>
        </w:rPr>
        <w:footnoteReference w:id="57"/>
      </w:r>
      <w:r w:rsidRPr="00F64C58">
        <w:rPr>
          <w:lang w:val="en-US"/>
        </w:rPr>
        <w:t xml:space="preserve"> This test is being used by the national authorities for audio-visual communication in Côte d’Ivoire, Morocco and Tunisia,</w:t>
      </w:r>
      <w:r w:rsidRPr="00F64C58">
        <w:rPr>
          <w:vertAlign w:val="superscript"/>
          <w:lang w:val="en-US"/>
        </w:rPr>
        <w:footnoteReference w:id="58"/>
      </w:r>
      <w:r w:rsidRPr="00F64C58">
        <w:rPr>
          <w:lang w:val="en-US"/>
        </w:rPr>
        <w:t xml:space="preserve"> and the European Court of Human Rights also referred to the Rabat Plan of Action in a recent judgment.</w:t>
      </w:r>
      <w:r w:rsidRPr="00F64C58">
        <w:rPr>
          <w:vertAlign w:val="superscript"/>
          <w:lang w:val="en-US"/>
        </w:rPr>
        <w:footnoteReference w:id="59"/>
      </w:r>
    </w:p>
    <w:p w:rsidR="00F64C58" w:rsidRPr="00F64C58" w:rsidRDefault="00F64C58" w:rsidP="00154CFF">
      <w:pPr>
        <w:pStyle w:val="SingleTxtG"/>
        <w:numPr>
          <w:ilvl w:val="0"/>
          <w:numId w:val="7"/>
        </w:numPr>
        <w:ind w:left="1134" w:firstLine="0"/>
        <w:rPr>
          <w:lang w:val="en-US"/>
        </w:rPr>
      </w:pPr>
      <w:r w:rsidRPr="00F64C58">
        <w:rPr>
          <w:lang w:val="en-US"/>
        </w:rPr>
        <w:t xml:space="preserve">In a thematic resolution, the Human Rights Council called for the </w:t>
      </w:r>
      <w:r w:rsidR="000065D5">
        <w:rPr>
          <w:lang w:val="en-US"/>
        </w:rPr>
        <w:t xml:space="preserve">international community’s </w:t>
      </w:r>
      <w:r w:rsidRPr="00F64C58">
        <w:rPr>
          <w:lang w:val="en-US"/>
        </w:rPr>
        <w:t>effective implementatio</w:t>
      </w:r>
      <w:r w:rsidR="000065D5">
        <w:rPr>
          <w:lang w:val="en-US"/>
        </w:rPr>
        <w:t>n</w:t>
      </w:r>
      <w:r w:rsidRPr="00F64C58">
        <w:rPr>
          <w:lang w:val="en-US"/>
        </w:rPr>
        <w:t xml:space="preserve"> of resolution 16/18, the Istanbul Process and the Rabat Plan of Action </w:t>
      </w:r>
      <w:r w:rsidR="00303510">
        <w:rPr>
          <w:lang w:val="en-US"/>
        </w:rPr>
        <w:t>‘</w:t>
      </w:r>
      <w:r w:rsidRPr="00F64C58">
        <w:rPr>
          <w:lang w:val="en-US"/>
        </w:rPr>
        <w:t>in order to contribute to a more conducive environment to countering hate speech and violence</w:t>
      </w:r>
      <w:r w:rsidR="00303510">
        <w:rPr>
          <w:lang w:val="en-US"/>
        </w:rPr>
        <w:t>’</w:t>
      </w:r>
      <w:r w:rsidRPr="00F64C58">
        <w:rPr>
          <w:lang w:val="en-US"/>
        </w:rPr>
        <w:t>.</w:t>
      </w:r>
      <w:r w:rsidRPr="00F64C58">
        <w:rPr>
          <w:vertAlign w:val="superscript"/>
          <w:lang w:val="en-US"/>
        </w:rPr>
        <w:footnoteReference w:id="60"/>
      </w:r>
      <w:r w:rsidRPr="00F64C58">
        <w:rPr>
          <w:lang w:val="en-US"/>
        </w:rPr>
        <w:t xml:space="preserve"> Similarly, in a country-specific resolution, the Human Rights Council encouraged the Government of Myanmar to increase </w:t>
      </w:r>
      <w:r w:rsidR="007031F0">
        <w:rPr>
          <w:lang w:val="en-US"/>
        </w:rPr>
        <w:t xml:space="preserve">further </w:t>
      </w:r>
      <w:r w:rsidRPr="00F64C58">
        <w:rPr>
          <w:lang w:val="en-US"/>
        </w:rPr>
        <w:t>efforts to promote tolerance and peaceful coexistence in all sectors of society in accordance with Council resolution 16/18 and the Rabat Plan of Action.</w:t>
      </w:r>
      <w:r w:rsidRPr="00F64C58">
        <w:rPr>
          <w:vertAlign w:val="superscript"/>
          <w:lang w:val="en-US"/>
        </w:rPr>
        <w:footnoteReference w:id="61"/>
      </w:r>
      <w:r w:rsidRPr="00F64C58">
        <w:rPr>
          <w:lang w:val="en-US"/>
        </w:rPr>
        <w:t xml:space="preserve"> In his July 2018 </w:t>
      </w:r>
      <w:r w:rsidR="00D7137E">
        <w:rPr>
          <w:lang w:val="en-US"/>
        </w:rPr>
        <w:t xml:space="preserve">update </w:t>
      </w:r>
      <w:r w:rsidRPr="00F64C58">
        <w:rPr>
          <w:lang w:val="en-US"/>
        </w:rPr>
        <w:t>on the situation of human rights of Rohingya people, the High Commissioner referred to Council resolution 16/18, the Rabat Plan of Action as well as the Beirut Declaration and its 18 commitments on “Faith for Rights” (see below) in order to address advocacy of hatred that incites to violence, discrimination or hostility, particularly when it is conducted in the name of religion or belief.</w:t>
      </w:r>
      <w:r w:rsidRPr="00F64C58">
        <w:rPr>
          <w:vertAlign w:val="superscript"/>
          <w:lang w:val="en-US"/>
        </w:rPr>
        <w:footnoteReference w:id="62"/>
      </w:r>
      <w:r w:rsidRPr="00F64C58">
        <w:rPr>
          <w:lang w:val="en-US"/>
        </w:rPr>
        <w:t xml:space="preserve"> This illustrates the complementarity and practical usefulness of these soft law standards.</w:t>
      </w:r>
    </w:p>
    <w:p w:rsidR="00F64C58" w:rsidRPr="0014194A" w:rsidRDefault="0014194A" w:rsidP="0014194A">
      <w:pPr>
        <w:pStyle w:val="H1G"/>
      </w:pPr>
      <w:r>
        <w:tab/>
      </w:r>
      <w:r w:rsidR="001B7615">
        <w:t>C</w:t>
      </w:r>
      <w:r>
        <w:t>.</w:t>
      </w:r>
      <w:r>
        <w:tab/>
      </w:r>
      <w:r w:rsidR="00F64C58" w:rsidRPr="0014194A">
        <w:t xml:space="preserve">Plan of Action for Religious Leaders and Actors to Prevent Incitement that Could Lead to Atrocity Crimes </w:t>
      </w:r>
    </w:p>
    <w:p w:rsidR="008977E6" w:rsidRDefault="00F64C58" w:rsidP="00D81834">
      <w:pPr>
        <w:pStyle w:val="SingleTxtG"/>
        <w:rPr>
          <w:lang w:val="en-US"/>
        </w:rPr>
      </w:pPr>
      <w:r w:rsidRPr="00F64C58">
        <w:rPr>
          <w:lang w:val="en-US"/>
        </w:rPr>
        <w:t>Building on the Rabat Plan of Action, the Fez Process was initiated in April 2015 to assess the specific role that religious leaders and actors</w:t>
      </w:r>
      <w:r w:rsidR="00BF67AC">
        <w:rPr>
          <w:lang w:val="en-US"/>
        </w:rPr>
        <w:t xml:space="preserve"> can</w:t>
      </w:r>
      <w:r w:rsidRPr="00F64C58">
        <w:rPr>
          <w:lang w:val="en-US"/>
        </w:rPr>
        <w:t xml:space="preserve"> play in preventing incitement to violence that could lead to atrocity crimes, i.e. genocide, war crimes and crimes against humanity. In July 2017, the Plan of Action for Religious Leaders and Actors to Prevent Incitement to Violence that Could Lead to Atrocity Crimes </w:t>
      </w:r>
      <w:r w:rsidR="009A5AD5">
        <w:rPr>
          <w:lang w:val="en-US"/>
        </w:rPr>
        <w:t xml:space="preserve">(Fez Plan of Action) </w:t>
      </w:r>
      <w:r w:rsidRPr="00F64C58">
        <w:rPr>
          <w:lang w:val="en-US"/>
        </w:rPr>
        <w:t xml:space="preserve">was launched with recommendations that </w:t>
      </w:r>
      <w:r w:rsidR="00872745">
        <w:rPr>
          <w:lang w:val="en-US"/>
        </w:rPr>
        <w:t xml:space="preserve">address three broad themes; including those which (1) </w:t>
      </w:r>
      <w:r w:rsidRPr="00F64C58">
        <w:rPr>
          <w:lang w:val="en-US"/>
        </w:rPr>
        <w:t>aim to prevent incitement to violence, including violent extremism and gender</w:t>
      </w:r>
      <w:r w:rsidR="00AA60AC">
        <w:rPr>
          <w:lang w:val="en-US"/>
        </w:rPr>
        <w:t>-</w:t>
      </w:r>
      <w:r w:rsidRPr="00F64C58">
        <w:rPr>
          <w:lang w:val="en-US"/>
        </w:rPr>
        <w:t xml:space="preserve">based </w:t>
      </w:r>
      <w:r w:rsidRPr="00F64C58">
        <w:rPr>
          <w:lang w:val="en-US"/>
        </w:rPr>
        <w:lastRenderedPageBreak/>
        <w:t xml:space="preserve">violence; </w:t>
      </w:r>
      <w:r w:rsidR="00872745">
        <w:rPr>
          <w:lang w:val="en-US"/>
        </w:rPr>
        <w:t xml:space="preserve">(2) </w:t>
      </w:r>
      <w:r w:rsidRPr="00F64C58">
        <w:rPr>
          <w:lang w:val="en-US"/>
        </w:rPr>
        <w:t xml:space="preserve">strengthen tools to prevent such incitement; and </w:t>
      </w:r>
      <w:r w:rsidR="00F1151B">
        <w:rPr>
          <w:lang w:val="en-US"/>
        </w:rPr>
        <w:t xml:space="preserve">(3) </w:t>
      </w:r>
      <w:r w:rsidR="00334DBC">
        <w:rPr>
          <w:lang w:val="en-US"/>
        </w:rPr>
        <w:t xml:space="preserve">reinforce </w:t>
      </w:r>
      <w:r w:rsidRPr="00F64C58">
        <w:rPr>
          <w:lang w:val="en-US"/>
        </w:rPr>
        <w:t>the conditions conducive to prevent</w:t>
      </w:r>
      <w:r w:rsidR="00334DBC">
        <w:rPr>
          <w:lang w:val="en-US"/>
        </w:rPr>
        <w:t>ing</w:t>
      </w:r>
      <w:r w:rsidRPr="00F64C58">
        <w:rPr>
          <w:lang w:val="en-US"/>
        </w:rPr>
        <w:t xml:space="preserve"> incitement to violence by fostering peaceful, inclusive and fair societies and </w:t>
      </w:r>
      <w:r w:rsidR="00401CB0">
        <w:rPr>
          <w:lang w:val="en-US"/>
        </w:rPr>
        <w:t xml:space="preserve">by </w:t>
      </w:r>
      <w:r w:rsidRPr="00F64C58">
        <w:rPr>
          <w:lang w:val="en-US"/>
        </w:rPr>
        <w:t>implement</w:t>
      </w:r>
      <w:r w:rsidR="00401CB0">
        <w:rPr>
          <w:lang w:val="en-US"/>
        </w:rPr>
        <w:t>ing</w:t>
      </w:r>
      <w:r w:rsidRPr="00F64C58">
        <w:rPr>
          <w:lang w:val="en-US"/>
        </w:rPr>
        <w:t xml:space="preserve"> international human rights standards.</w:t>
      </w:r>
      <w:r w:rsidRPr="00F64C58">
        <w:rPr>
          <w:vertAlign w:val="superscript"/>
          <w:lang w:val="en-US"/>
        </w:rPr>
        <w:footnoteReference w:id="63"/>
      </w:r>
      <w:r w:rsidR="008977E6">
        <w:rPr>
          <w:lang w:val="en-US"/>
        </w:rPr>
        <w:t xml:space="preserve">  </w:t>
      </w:r>
      <w:r w:rsidR="00D3009A">
        <w:rPr>
          <w:lang w:val="en-US"/>
        </w:rPr>
        <w:t>Recommendations offered</w:t>
      </w:r>
      <w:r w:rsidR="00881418">
        <w:rPr>
          <w:lang w:val="en-US"/>
        </w:rPr>
        <w:t xml:space="preserve"> </w:t>
      </w:r>
      <w:r w:rsidR="00881418" w:rsidRPr="00AD6EDF">
        <w:rPr>
          <w:lang w:val="en-US"/>
        </w:rPr>
        <w:t>to faith leaders and actors</w:t>
      </w:r>
      <w:r w:rsidR="00881418">
        <w:rPr>
          <w:lang w:val="en-US"/>
        </w:rPr>
        <w:t xml:space="preserve"> </w:t>
      </w:r>
      <w:r w:rsidR="00D3009A">
        <w:rPr>
          <w:lang w:val="en-US"/>
        </w:rPr>
        <w:t xml:space="preserve">by this </w:t>
      </w:r>
      <w:r w:rsidR="008977E6">
        <w:rPr>
          <w:lang w:val="en-US"/>
        </w:rPr>
        <w:t xml:space="preserve">Plan of Action can also contribute to the </w:t>
      </w:r>
      <w:r w:rsidR="00D3009A" w:rsidRPr="00D3009A">
        <w:rPr>
          <w:lang w:val="en-US"/>
        </w:rPr>
        <w:t>prevention of incitement to violent extremism</w:t>
      </w:r>
      <w:r w:rsidR="00D74F00">
        <w:rPr>
          <w:lang w:val="en-US"/>
        </w:rPr>
        <w:t xml:space="preserve"> </w:t>
      </w:r>
      <w:r w:rsidR="0068206A">
        <w:rPr>
          <w:lang w:val="en-US"/>
        </w:rPr>
        <w:t xml:space="preserve">by encouraging these actors to </w:t>
      </w:r>
      <w:r w:rsidR="00D3009A" w:rsidRPr="00D3009A">
        <w:rPr>
          <w:lang w:val="en-US"/>
        </w:rPr>
        <w:t>confront ideologies that promote violent extremism and terrorism; address topics that religious extremists monopolize, including through accurate and nuanced viewpoints; provide counter narratives to those attracted by or who are part of violent extremist and terrorist groups; and build communities’ resilience, and of youth in particular, to violent extremism. It notably recommends implementing a holistic approach to preventing violent extremism, rather than a security-based approach.</w:t>
      </w:r>
      <w:r w:rsidR="00D3009A" w:rsidRPr="00D3009A">
        <w:rPr>
          <w:vertAlign w:val="superscript"/>
          <w:lang w:val="en-US"/>
        </w:rPr>
        <w:footnoteReference w:id="64"/>
      </w:r>
      <w:r w:rsidR="00D3009A" w:rsidRPr="00D3009A">
        <w:rPr>
          <w:lang w:val="en-US"/>
        </w:rPr>
        <w:t xml:space="preserve"> In addition to the Rabat Plan of Action, this Plan of Action should be read in conjunction with the Framework of Analysis for Atrocity Crimes, which can add value to P/CVE strategies through its insights on risk factors and building societal resilience.</w:t>
      </w:r>
      <w:r w:rsidR="00D3009A" w:rsidRPr="00D3009A">
        <w:rPr>
          <w:vertAlign w:val="superscript"/>
          <w:lang w:val="en-US"/>
        </w:rPr>
        <w:footnoteReference w:id="65"/>
      </w:r>
    </w:p>
    <w:p w:rsidR="00F64C58" w:rsidRPr="0014194A" w:rsidRDefault="0014194A" w:rsidP="0014194A">
      <w:pPr>
        <w:pStyle w:val="H1G"/>
      </w:pPr>
      <w:r>
        <w:tab/>
      </w:r>
      <w:r w:rsidR="001B7615">
        <w:t>D</w:t>
      </w:r>
      <w:r>
        <w:t>.</w:t>
      </w:r>
      <w:r>
        <w:tab/>
      </w:r>
      <w:r w:rsidR="00F64C58" w:rsidRPr="0014194A">
        <w:t xml:space="preserve">The Secretary-General’s Plan of Action to Prevent Violent Extremism </w:t>
      </w:r>
    </w:p>
    <w:p w:rsidR="00F64C58" w:rsidRPr="00F64C58" w:rsidRDefault="00F64C58" w:rsidP="00154CFF">
      <w:pPr>
        <w:pStyle w:val="SingleTxtG"/>
        <w:numPr>
          <w:ilvl w:val="0"/>
          <w:numId w:val="7"/>
        </w:numPr>
        <w:ind w:left="1134" w:firstLine="0"/>
        <w:rPr>
          <w:lang w:val="en-US"/>
        </w:rPr>
      </w:pPr>
      <w:r w:rsidRPr="00F64C58">
        <w:rPr>
          <w:lang w:val="en-US"/>
        </w:rPr>
        <w:t xml:space="preserve">The Secretary-General outlined his Plan of Action to Prevent Violent Extremism in December 2015, calling on States to firmly anchor their strategies, policies and actions </w:t>
      </w:r>
      <w:r w:rsidR="0068206A">
        <w:rPr>
          <w:lang w:val="en-US"/>
        </w:rPr>
        <w:t>in</w:t>
      </w:r>
      <w:r w:rsidRPr="00F64C58">
        <w:rPr>
          <w:lang w:val="en-US"/>
        </w:rPr>
        <w:t xml:space="preserve"> the four pillars of the United Nations</w:t>
      </w:r>
      <w:r w:rsidR="0045610C">
        <w:rPr>
          <w:lang w:val="en-US"/>
        </w:rPr>
        <w:t>’</w:t>
      </w:r>
      <w:r w:rsidRPr="00F64C58">
        <w:rPr>
          <w:lang w:val="en-US"/>
        </w:rPr>
        <w:t xml:space="preserve"> Global Counter-Terrorism Strategy. He noted the central importance of respecting human rights in preventing violent extremism and highlighted contextual and background factors such as the absence of the rule of law, poverty, deprivation, discrimination, unresolved conflicts and disregard for human rights as </w:t>
      </w:r>
      <w:r w:rsidR="00E85604">
        <w:rPr>
          <w:lang w:val="en-US"/>
        </w:rPr>
        <w:t>factors</w:t>
      </w:r>
      <w:r w:rsidRPr="00F64C58">
        <w:rPr>
          <w:lang w:val="en-US"/>
        </w:rPr>
        <w:t xml:space="preserve"> </w:t>
      </w:r>
      <w:r w:rsidR="00BF70A6">
        <w:rPr>
          <w:lang w:val="en-US"/>
        </w:rPr>
        <w:t>which</w:t>
      </w:r>
      <w:r w:rsidRPr="00F64C58">
        <w:rPr>
          <w:lang w:val="en-US"/>
        </w:rPr>
        <w:t xml:space="preserve"> </w:t>
      </w:r>
      <w:r w:rsidR="00FC50A6">
        <w:rPr>
          <w:lang w:val="en-US"/>
        </w:rPr>
        <w:t xml:space="preserve">can </w:t>
      </w:r>
      <w:r w:rsidR="00DF752B">
        <w:rPr>
          <w:lang w:val="en-US"/>
        </w:rPr>
        <w:t xml:space="preserve">amplify </w:t>
      </w:r>
      <w:r w:rsidR="00FC50A6">
        <w:rPr>
          <w:lang w:val="en-US"/>
        </w:rPr>
        <w:t>the receptiveness of target audiences to violent extremist narratives.</w:t>
      </w:r>
      <w:r w:rsidR="00DF752B">
        <w:rPr>
          <w:lang w:val="en-US"/>
        </w:rPr>
        <w:t xml:space="preserve"> </w:t>
      </w:r>
      <w:r w:rsidR="00274B0E">
        <w:rPr>
          <w:lang w:val="en-US"/>
        </w:rPr>
        <w:t xml:space="preserve"> </w:t>
      </w:r>
      <w:r w:rsidRPr="00F64C58">
        <w:rPr>
          <w:lang w:val="en-US"/>
        </w:rPr>
        <w:t xml:space="preserve"> While the Secretary-General noted that definitions of “terrorism” and “violent extremism” are the prerogative of States, he stressed that such definitions must be consistent with their obligations under international law, in particular international human rights law.</w:t>
      </w:r>
      <w:r w:rsidRPr="00F64C58">
        <w:rPr>
          <w:vertAlign w:val="superscript"/>
          <w:lang w:val="en-US"/>
        </w:rPr>
        <w:footnoteReference w:id="66"/>
      </w:r>
      <w:r w:rsidRPr="00F64C58">
        <w:rPr>
          <w:lang w:val="en-US"/>
        </w:rPr>
        <w:t xml:space="preserve"> He identified a range of actions that the international community, States and non-state actors can take to prevent violent extremism.</w:t>
      </w:r>
    </w:p>
    <w:p w:rsidR="00F64C58" w:rsidRPr="00F64C58" w:rsidRDefault="00F64C58" w:rsidP="00154CFF">
      <w:pPr>
        <w:pStyle w:val="SingleTxtG"/>
        <w:numPr>
          <w:ilvl w:val="0"/>
          <w:numId w:val="7"/>
        </w:numPr>
        <w:ind w:left="1134" w:firstLine="0"/>
        <w:rPr>
          <w:lang w:val="en-US"/>
        </w:rPr>
      </w:pPr>
      <w:r w:rsidRPr="00F64C58">
        <w:rPr>
          <w:lang w:val="en-US"/>
        </w:rPr>
        <w:t>One of the action points identified by the Secretary-General is to ‘engage religious leaders to provide a platform for intra- and interfaith dialogue and discussions through which to promote tolerance and understanding between communities, and voice their rejection of violent doctrines by emphasizing the peaceful and humanitarian values inherent in their theologies’.</w:t>
      </w:r>
      <w:r w:rsidRPr="00F64C58">
        <w:rPr>
          <w:vertAlign w:val="superscript"/>
          <w:lang w:val="en-US"/>
        </w:rPr>
        <w:footnoteReference w:id="67"/>
      </w:r>
      <w:r w:rsidRPr="00F64C58">
        <w:rPr>
          <w:lang w:val="en-US"/>
        </w:rPr>
        <w:t xml:space="preserve"> He further recommended the use of the Rabat Plan of Action in support of a comprehensive approach to addressing issues of incitement and violent extremism.</w:t>
      </w:r>
      <w:r w:rsidRPr="00F64C58">
        <w:rPr>
          <w:vertAlign w:val="superscript"/>
          <w:lang w:val="en-US"/>
        </w:rPr>
        <w:footnoteReference w:id="68"/>
      </w:r>
      <w:r w:rsidRPr="00F64C58">
        <w:rPr>
          <w:u w:val="single"/>
          <w:lang w:val="en-US"/>
        </w:rPr>
        <w:t xml:space="preserve"> </w:t>
      </w:r>
    </w:p>
    <w:p w:rsidR="00F64C58" w:rsidRPr="0014194A" w:rsidRDefault="0014194A" w:rsidP="0014194A">
      <w:pPr>
        <w:pStyle w:val="H1G"/>
      </w:pPr>
      <w:r>
        <w:lastRenderedPageBreak/>
        <w:tab/>
      </w:r>
      <w:r w:rsidR="001B7615">
        <w:t>E</w:t>
      </w:r>
      <w:r>
        <w:t>.</w:t>
      </w:r>
      <w:r>
        <w:tab/>
      </w:r>
      <w:r w:rsidR="00F64C58" w:rsidRPr="0014194A">
        <w:t>“Faith for Rights” framework</w:t>
      </w:r>
    </w:p>
    <w:p w:rsidR="00F64C58" w:rsidRPr="00F64C58" w:rsidRDefault="00F64C58" w:rsidP="00154CFF">
      <w:pPr>
        <w:pStyle w:val="SingleTxtG"/>
        <w:numPr>
          <w:ilvl w:val="0"/>
          <w:numId w:val="7"/>
        </w:numPr>
        <w:ind w:left="1134" w:firstLine="0"/>
        <w:rPr>
          <w:u w:val="single"/>
          <w:lang w:val="en-US"/>
        </w:rPr>
      </w:pPr>
      <w:r w:rsidRPr="00F64C58">
        <w:rPr>
          <w:lang w:val="en-US"/>
        </w:rPr>
        <w:t>The “Faith for Rights” framework, which was launched in March 2017 through the Beirut Declaration and its 18 commitments,</w:t>
      </w:r>
      <w:r w:rsidRPr="00F64C58">
        <w:rPr>
          <w:vertAlign w:val="superscript"/>
          <w:lang w:val="en-US"/>
        </w:rPr>
        <w:footnoteReference w:id="69"/>
      </w:r>
      <w:r w:rsidRPr="00F64C58">
        <w:rPr>
          <w:lang w:val="en-US"/>
        </w:rPr>
        <w:t xml:space="preserve"> highlights that religious leaders are potentially very important human rights actors in view of their considerable influence on the hearts and minds of hundreds of millions of believers. The underlying rationale is expressed in the commitment to “leverage the spiritual and moral weight of religions and beliefs with the aim of strengthening the protection of universal human rights and developing preventative strategies”.</w:t>
      </w:r>
      <w:r w:rsidRPr="00F64C58">
        <w:rPr>
          <w:vertAlign w:val="superscript"/>
          <w:lang w:val="en-US"/>
        </w:rPr>
        <w:footnoteReference w:id="70"/>
      </w:r>
    </w:p>
    <w:p w:rsidR="00F64C58" w:rsidRPr="00F64C58" w:rsidRDefault="00F64C58" w:rsidP="00154CFF">
      <w:pPr>
        <w:pStyle w:val="SingleTxtG"/>
        <w:numPr>
          <w:ilvl w:val="0"/>
          <w:numId w:val="7"/>
        </w:numPr>
        <w:ind w:left="1134" w:firstLine="0"/>
        <w:rPr>
          <w:lang w:val="en-US"/>
        </w:rPr>
      </w:pPr>
      <w:r w:rsidRPr="00F64C58">
        <w:rPr>
          <w:lang w:val="en-US"/>
        </w:rPr>
        <w:t>The undertaking expressed in the Beirut Declaration to enhance cohesive, peaceful and respectful societies by mobilizing faith-based actors behind the human rights framework is particularly well illustrated by the commitments to: support and promote equal treatment in all areas and manifestations of religion or belief; ensure non-discrimination and gender equality; stand up for the rights of all persons, including those belonging to minorities; publicly denounce all instances of advocacy of hatred that incites to violence; refrain from oppressing critical voices or giving credence to exclusionary interpretations on the basis of religious grounds; and condemn judgmental public determinations by any actor who in the name of religion aims to disqualify the religion or belief of another individual. The holistic human rights approach of the “Faith for Rights” framework is further expressed in the commitment to defend the freedom of expression, including academic freedom and promotion of tolerance through formal education channels. It also emphasizes the important role of parents and families in detecting and addressing early signs of vulnerability of children and youth to violence in the name of religion.</w:t>
      </w:r>
    </w:p>
    <w:p w:rsidR="00F64C58" w:rsidRPr="0014194A" w:rsidRDefault="0014194A" w:rsidP="0014194A">
      <w:pPr>
        <w:pStyle w:val="HChG"/>
      </w:pPr>
      <w:r>
        <w:tab/>
        <w:t>VI.</w:t>
      </w:r>
      <w:r>
        <w:tab/>
        <w:t>C</w:t>
      </w:r>
      <w:r w:rsidRPr="0014194A">
        <w:t xml:space="preserve">onclusions and recommendations </w:t>
      </w:r>
    </w:p>
    <w:p w:rsidR="00F64C58" w:rsidRPr="00493915" w:rsidRDefault="00ED77DA" w:rsidP="00154CFF">
      <w:pPr>
        <w:pStyle w:val="SingleTxtG"/>
        <w:numPr>
          <w:ilvl w:val="0"/>
          <w:numId w:val="7"/>
        </w:numPr>
        <w:ind w:left="1134" w:firstLine="0"/>
        <w:rPr>
          <w:b/>
          <w:lang w:val="en-US"/>
        </w:rPr>
      </w:pPr>
      <w:r>
        <w:rPr>
          <w:b/>
          <w:lang w:val="en-US"/>
        </w:rPr>
        <w:t>Terrorism and v</w:t>
      </w:r>
      <w:r w:rsidR="00F64C58" w:rsidRPr="00F64C58">
        <w:rPr>
          <w:b/>
          <w:lang w:val="en-US"/>
        </w:rPr>
        <w:t>iolent extremism pose  direct threat</w:t>
      </w:r>
      <w:r w:rsidR="009723FB">
        <w:rPr>
          <w:b/>
          <w:lang w:val="en-US"/>
        </w:rPr>
        <w:t>s</w:t>
      </w:r>
      <w:r w:rsidR="00F64C58" w:rsidRPr="00F64C58">
        <w:rPr>
          <w:b/>
          <w:lang w:val="en-US"/>
        </w:rPr>
        <w:t xml:space="preserve"> to the enjoyment of human rights ranging from the right to life and the right to liberty and security of person, to freedom of expression, association, and thought, conscience and religion</w:t>
      </w:r>
      <w:r w:rsidR="00734BAF">
        <w:rPr>
          <w:b/>
          <w:lang w:val="en-US"/>
        </w:rPr>
        <w:t xml:space="preserve">.  </w:t>
      </w:r>
      <w:r w:rsidR="00F64C58" w:rsidRPr="00F64C58">
        <w:rPr>
          <w:b/>
          <w:lang w:val="en-US"/>
        </w:rPr>
        <w:t xml:space="preserve">States have an obligation to </w:t>
      </w:r>
      <w:r w:rsidR="0017403B">
        <w:rPr>
          <w:b/>
          <w:lang w:val="en-US"/>
        </w:rPr>
        <w:t xml:space="preserve">protect all individuals within their territory and subject to their </w:t>
      </w:r>
      <w:r w:rsidR="00D81834">
        <w:rPr>
          <w:b/>
          <w:lang w:val="en-US"/>
        </w:rPr>
        <w:t xml:space="preserve">jurisdiction </w:t>
      </w:r>
      <w:r w:rsidR="0017403B">
        <w:rPr>
          <w:b/>
          <w:lang w:val="en-US"/>
        </w:rPr>
        <w:t>from violence</w:t>
      </w:r>
      <w:r w:rsidR="00F64C58" w:rsidRPr="00F64C58">
        <w:rPr>
          <w:b/>
          <w:lang w:val="en-US"/>
        </w:rPr>
        <w:t xml:space="preserve">. However, the </w:t>
      </w:r>
      <w:r w:rsidR="0017403B">
        <w:rPr>
          <w:b/>
          <w:lang w:val="en-US"/>
        </w:rPr>
        <w:t xml:space="preserve">failure to uphold human rights obligations while pursuing these measures </w:t>
      </w:r>
      <w:r w:rsidR="00F64C58" w:rsidRPr="00F64C58">
        <w:rPr>
          <w:b/>
          <w:lang w:val="en-US"/>
        </w:rPr>
        <w:t>ha</w:t>
      </w:r>
      <w:r w:rsidR="0017403B">
        <w:rPr>
          <w:b/>
          <w:lang w:val="en-US"/>
        </w:rPr>
        <w:t>s also</w:t>
      </w:r>
      <w:r w:rsidR="00F64C58" w:rsidRPr="00F64C58">
        <w:rPr>
          <w:b/>
          <w:lang w:val="en-US"/>
        </w:rPr>
        <w:t xml:space="preserve"> caused an alarming </w:t>
      </w:r>
      <w:r w:rsidR="00065F73">
        <w:rPr>
          <w:b/>
          <w:lang w:val="en-US"/>
        </w:rPr>
        <w:t>uptick</w:t>
      </w:r>
      <w:r w:rsidR="00F64C58" w:rsidRPr="00F64C58">
        <w:rPr>
          <w:b/>
          <w:lang w:val="en-US"/>
        </w:rPr>
        <w:t xml:space="preserve"> in human rights violations, including undue restrictions on freedom of religion or </w:t>
      </w:r>
      <w:r w:rsidR="00F64C58" w:rsidRPr="00D81834">
        <w:rPr>
          <w:b/>
          <w:lang w:val="en-US"/>
        </w:rPr>
        <w:t xml:space="preserve">belief. </w:t>
      </w:r>
      <w:r w:rsidR="00493915" w:rsidRPr="00D81834">
        <w:rPr>
          <w:b/>
          <w:lang w:val="en-US"/>
        </w:rPr>
        <w:t xml:space="preserve"> </w:t>
      </w:r>
    </w:p>
    <w:p w:rsidR="00F64C58" w:rsidRPr="00F64C58" w:rsidRDefault="00F64C58" w:rsidP="00154CFF">
      <w:pPr>
        <w:pStyle w:val="SingleTxtG"/>
        <w:numPr>
          <w:ilvl w:val="0"/>
          <w:numId w:val="7"/>
        </w:numPr>
        <w:ind w:left="1134" w:firstLine="0"/>
        <w:rPr>
          <w:b/>
          <w:lang w:val="en-US"/>
        </w:rPr>
      </w:pPr>
      <w:r w:rsidRPr="00F64C58">
        <w:rPr>
          <w:b/>
          <w:lang w:val="en-US"/>
        </w:rPr>
        <w:t xml:space="preserve">Over the past two decades, United Nations experts, human rights organizations, religious leaders and activists as well as counter-terrorism specialists have raised serious concerns about the inverse relationship between ill-defined security measures and the protection of human rights, demonstrating the detrimental impact that measures to counter terrorism or prevent violent extremism have had on the enjoyment of the freedom of religion or belief and the fundamental freedoms on which this right depends. The paradox, as </w:t>
      </w:r>
      <w:r w:rsidRPr="00D81834">
        <w:rPr>
          <w:b/>
          <w:lang w:val="en-US"/>
        </w:rPr>
        <w:t>researchers</w:t>
      </w:r>
      <w:r w:rsidRPr="00F64C58">
        <w:rPr>
          <w:b/>
          <w:lang w:val="en-US"/>
        </w:rPr>
        <w:t xml:space="preserve"> have stressed, is that in many places denying freedom of religion or belief has resulted in less order and more violence.  It seems, they note, that that </w:t>
      </w:r>
      <w:r w:rsidR="00843433">
        <w:rPr>
          <w:b/>
          <w:lang w:val="en-US"/>
        </w:rPr>
        <w:t xml:space="preserve">there is a correlation between </w:t>
      </w:r>
      <w:r w:rsidRPr="00F64C58">
        <w:rPr>
          <w:b/>
          <w:lang w:val="en-US"/>
        </w:rPr>
        <w:t>restrictions on freedom of religion or belief and increases in conflict and violent religious persecution, and that it is not pluralism which threatens public order, but rather attempts to repress it which breeds the conditions for conflict.</w:t>
      </w:r>
      <w:r w:rsidR="001B7615" w:rsidRPr="00F64C58" w:rsidDel="001B7615">
        <w:rPr>
          <w:b/>
          <w:lang w:val="en-US"/>
        </w:rPr>
        <w:t xml:space="preserve"> </w:t>
      </w:r>
    </w:p>
    <w:p w:rsidR="00F64C58" w:rsidRPr="00F64C58" w:rsidRDefault="00F64C58" w:rsidP="00154CFF">
      <w:pPr>
        <w:pStyle w:val="SingleTxtG"/>
        <w:numPr>
          <w:ilvl w:val="0"/>
          <w:numId w:val="7"/>
        </w:numPr>
        <w:ind w:left="1134" w:firstLine="0"/>
        <w:rPr>
          <w:b/>
          <w:lang w:val="en-US"/>
        </w:rPr>
      </w:pPr>
      <w:r w:rsidRPr="00F64C58">
        <w:rPr>
          <w:b/>
          <w:lang w:val="en-US"/>
        </w:rPr>
        <w:lastRenderedPageBreak/>
        <w:t xml:space="preserve">In line with the commitment to advance a human rights approach when preventing violent extremism, it will be important for States to ensure that they fully discharge their obligation to respect, protect and promote the right to freedom of religion or belief if they are to make inroads in fulfilling national security needs. However, the implementation of these </w:t>
      </w:r>
      <w:r w:rsidRPr="00D81834">
        <w:rPr>
          <w:b/>
          <w:lang w:val="en-US"/>
        </w:rPr>
        <w:t>obligations</w:t>
      </w:r>
      <w:r w:rsidRPr="00F64C58">
        <w:rPr>
          <w:b/>
          <w:lang w:val="en-US"/>
        </w:rPr>
        <w:t xml:space="preserve"> should not be seen as arising primarily from their instrumental value in preventing violent extremism. Rather, they should be viewed as compulsions informed by the normative and legal obligations incumbent upon States</w:t>
      </w:r>
      <w:r w:rsidR="0076153C">
        <w:rPr>
          <w:b/>
          <w:lang w:val="en-US"/>
        </w:rPr>
        <w:t>.</w:t>
      </w:r>
    </w:p>
    <w:p w:rsidR="00F64C58" w:rsidRPr="00F64C58" w:rsidRDefault="00F64C58" w:rsidP="00154CFF">
      <w:pPr>
        <w:pStyle w:val="SingleTxtG"/>
        <w:numPr>
          <w:ilvl w:val="0"/>
          <w:numId w:val="7"/>
        </w:numPr>
        <w:ind w:left="1134" w:firstLine="0"/>
        <w:rPr>
          <w:b/>
        </w:rPr>
      </w:pPr>
      <w:r w:rsidRPr="00F64C58">
        <w:rPr>
          <w:b/>
        </w:rPr>
        <w:t>In recognizing the inadequacies of counter-terrorism responses enacted at the start of the millennium to address rising acts of violent extremism, a shift in the approach taken by the United Nations towards combatting these phenomena has developed over the past decade.</w:t>
      </w:r>
      <w:r w:rsidRPr="00F64C58">
        <w:rPr>
          <w:b/>
          <w:vertAlign w:val="superscript"/>
        </w:rPr>
        <w:footnoteReference w:id="71"/>
      </w:r>
      <w:r w:rsidRPr="00F64C58">
        <w:rPr>
          <w:b/>
        </w:rPr>
        <w:t xml:space="preserve"> This change was, in part, designed to move away from a narrow-security oriented approach to combatting ideologically motivated violence, towards a more ‘holistic’ strategy aimed at engaging with, and addressing the varied drivers for violent extremism and terrorism</w:t>
      </w:r>
      <w:r w:rsidR="001B1189">
        <w:rPr>
          <w:b/>
        </w:rPr>
        <w:t xml:space="preserve"> as preventive strategies.</w:t>
      </w:r>
      <w:r w:rsidRPr="00F64C58">
        <w:rPr>
          <w:b/>
        </w:rPr>
        <w:t xml:space="preserve"> </w:t>
      </w:r>
    </w:p>
    <w:p w:rsidR="00F64C58" w:rsidRPr="00F64C58" w:rsidRDefault="006416F6" w:rsidP="00154CFF">
      <w:pPr>
        <w:pStyle w:val="SingleTxtG"/>
        <w:numPr>
          <w:ilvl w:val="0"/>
          <w:numId w:val="7"/>
        </w:numPr>
        <w:ind w:left="1134" w:firstLine="0"/>
        <w:rPr>
          <w:b/>
          <w:lang w:val="en-US"/>
        </w:rPr>
      </w:pPr>
      <w:r>
        <w:rPr>
          <w:b/>
          <w:lang w:val="en-US"/>
        </w:rPr>
        <w:t>While noting the importance of preventing violent extremism, and further stressing that such an approach must remain a priority, t</w:t>
      </w:r>
      <w:r w:rsidR="00F64C58" w:rsidRPr="00F64C58">
        <w:rPr>
          <w:b/>
          <w:lang w:val="en-US"/>
        </w:rPr>
        <w:t>he Special Rapporteur</w:t>
      </w:r>
      <w:r>
        <w:rPr>
          <w:b/>
          <w:lang w:val="en-US"/>
        </w:rPr>
        <w:t xml:space="preserve">, however, </w:t>
      </w:r>
      <w:r w:rsidR="00F64C58" w:rsidRPr="00F64C58">
        <w:rPr>
          <w:b/>
          <w:lang w:val="en-US"/>
        </w:rPr>
        <w:t xml:space="preserve">contends, that the goal of bringing the </w:t>
      </w:r>
      <w:r>
        <w:rPr>
          <w:b/>
          <w:lang w:val="en-US"/>
        </w:rPr>
        <w:t xml:space="preserve">reach and </w:t>
      </w:r>
      <w:r w:rsidR="00F64C58" w:rsidRPr="00F64C58">
        <w:rPr>
          <w:b/>
          <w:lang w:val="en-US"/>
        </w:rPr>
        <w:t xml:space="preserve">expertise </w:t>
      </w:r>
      <w:r w:rsidR="00843433">
        <w:rPr>
          <w:b/>
          <w:lang w:val="en-US"/>
        </w:rPr>
        <w:t>of a variety</w:t>
      </w:r>
      <w:r>
        <w:rPr>
          <w:b/>
          <w:lang w:val="en-US"/>
        </w:rPr>
        <w:t xml:space="preserve"> of societal </w:t>
      </w:r>
      <w:r w:rsidR="00F64C58" w:rsidRPr="00F64C58">
        <w:rPr>
          <w:b/>
          <w:lang w:val="en-US"/>
        </w:rPr>
        <w:t xml:space="preserve">actors to bear </w:t>
      </w:r>
      <w:r>
        <w:rPr>
          <w:b/>
          <w:lang w:val="en-US"/>
        </w:rPr>
        <w:t>o</w:t>
      </w:r>
      <w:r w:rsidR="00F64C58" w:rsidRPr="00F64C58">
        <w:rPr>
          <w:b/>
          <w:lang w:val="en-US"/>
        </w:rPr>
        <w:t xml:space="preserve">n </w:t>
      </w:r>
      <w:r>
        <w:rPr>
          <w:b/>
          <w:lang w:val="en-US"/>
        </w:rPr>
        <w:t>the</w:t>
      </w:r>
      <w:r w:rsidR="00735FC6">
        <w:rPr>
          <w:b/>
          <w:lang w:val="en-US"/>
        </w:rPr>
        <w:t xml:space="preserve"> development </w:t>
      </w:r>
      <w:r w:rsidR="00DC4381">
        <w:rPr>
          <w:b/>
          <w:lang w:val="en-US"/>
        </w:rPr>
        <w:t xml:space="preserve">and implementation </w:t>
      </w:r>
      <w:r w:rsidR="00735FC6">
        <w:rPr>
          <w:b/>
          <w:lang w:val="en-US"/>
        </w:rPr>
        <w:t>of</w:t>
      </w:r>
      <w:r>
        <w:rPr>
          <w:b/>
          <w:lang w:val="en-US"/>
        </w:rPr>
        <w:t xml:space="preserve"> preventive </w:t>
      </w:r>
      <w:r w:rsidR="00F64C58" w:rsidRPr="00F64C58">
        <w:rPr>
          <w:b/>
          <w:lang w:val="en-US"/>
        </w:rPr>
        <w:t xml:space="preserve">strategies has been undermined. Many of the institutions and processes maintained and promoted by these actors have been coopted at the national level –– essentially rendering them the “eyes and ears” of security apparatuses, rather than guides in a broader approach to countering an existential threat. P/CVE strategies that seek to engage whole societies in fostering resilience against intolerance and violent extremism risk failing if they become a backdoor through which an increasing range of socioeconomic sectors, cultural activities and ethnic and religious communities are viewed through a security lens. The corresponding result could be counterproductive, undermining social cohesion, alienating communities, diminishing trust, and possibly aggravating some of the drivers of violent extremism. </w:t>
      </w:r>
    </w:p>
    <w:p w:rsidR="00F64C58" w:rsidRDefault="00F64C58" w:rsidP="00154CFF">
      <w:pPr>
        <w:pStyle w:val="SingleTxtG"/>
        <w:numPr>
          <w:ilvl w:val="0"/>
          <w:numId w:val="7"/>
        </w:numPr>
        <w:ind w:left="1134" w:firstLine="0"/>
        <w:rPr>
          <w:b/>
          <w:lang w:val="en-US"/>
        </w:rPr>
      </w:pPr>
      <w:r w:rsidRPr="00F64C58">
        <w:rPr>
          <w:b/>
          <w:lang w:val="en-US"/>
        </w:rPr>
        <w:t xml:space="preserve">Furthermore, while security and the enjoyment of human rights are mutually reinforcing, the manner in which this synergy is obtained is not by subjecting </w:t>
      </w:r>
      <w:r w:rsidR="00B226FF">
        <w:rPr>
          <w:b/>
          <w:lang w:val="en-US"/>
        </w:rPr>
        <w:t xml:space="preserve">freedom of </w:t>
      </w:r>
      <w:r w:rsidRPr="00F64C58">
        <w:rPr>
          <w:b/>
          <w:lang w:val="en-US"/>
        </w:rPr>
        <w:t xml:space="preserve">religion or belief </w:t>
      </w:r>
      <w:r w:rsidR="00B226FF">
        <w:rPr>
          <w:b/>
          <w:lang w:val="en-US"/>
        </w:rPr>
        <w:t xml:space="preserve">and other human rights </w:t>
      </w:r>
      <w:r w:rsidRPr="00F64C58">
        <w:rPr>
          <w:b/>
          <w:lang w:val="en-US"/>
        </w:rPr>
        <w:t xml:space="preserve">to a security test or a utility analysis, but by ensuring that legitimate concerns about national security and public safety are pursued within the regime of limitations and derogations provided for by the UN human rights framework. This regime identifies exhaustive grounds </w:t>
      </w:r>
      <w:r w:rsidR="00B226FF">
        <w:rPr>
          <w:b/>
          <w:lang w:val="en-US"/>
        </w:rPr>
        <w:t xml:space="preserve">and specific criteria </w:t>
      </w:r>
      <w:r w:rsidRPr="00F64C58">
        <w:rPr>
          <w:b/>
          <w:lang w:val="en-US"/>
        </w:rPr>
        <w:t>for limitations and permissible scope for derogations. The perception that security needs cannot be met while respecting human rights, including the broad constellation of rights related to the exercise of the right to freedom of religion of belief may amount to negating the human rights framework and could imperil the foundation of peace, freedom and justice in the world.</w:t>
      </w:r>
    </w:p>
    <w:p w:rsidR="00F64C58" w:rsidRPr="00F64C58" w:rsidRDefault="00F64C58" w:rsidP="00154CFF">
      <w:pPr>
        <w:pStyle w:val="SingleTxtG"/>
        <w:numPr>
          <w:ilvl w:val="0"/>
          <w:numId w:val="7"/>
        </w:numPr>
        <w:ind w:left="1134" w:firstLine="0"/>
        <w:rPr>
          <w:b/>
          <w:lang w:val="en-US"/>
        </w:rPr>
      </w:pPr>
      <w:r w:rsidRPr="00F64C58">
        <w:rPr>
          <w:b/>
          <w:lang w:val="en-US"/>
        </w:rPr>
        <w:t xml:space="preserve">International human rights law stipulates that any distinction, exclusion or preference that, by design, or in its application, nullifies or impairs the enjoyment of human rights and fundamental freedoms is unlawful unless distinctions are based on objective and reasonable criteria. Thus, restrictions imposed on the rights of persons belonging to religious or belief communities, such as the ability to disseminate religious teachings, to construct and maintain places of worship, or the freedom to communicate with co-religionists across borders, or that curtail freedoms of movement and association or the right to privacy must meet the above-mentioned tests. Such restrictive measures must further be </w:t>
      </w:r>
      <w:r w:rsidRPr="00F64C58">
        <w:rPr>
          <w:b/>
          <w:lang w:val="en-US"/>
        </w:rPr>
        <w:lastRenderedPageBreak/>
        <w:t xml:space="preserve">subject to accountability, including judicial oversight and access to remedy. It is when these conditions are met that the synergies between human rights and security will be better realized and when religion or belief can contribute to building resilience against </w:t>
      </w:r>
      <w:r w:rsidRPr="00D81834">
        <w:rPr>
          <w:b/>
          <w:lang w:val="en-US"/>
        </w:rPr>
        <w:t>violence</w:t>
      </w:r>
      <w:r w:rsidRPr="00F64C58">
        <w:rPr>
          <w:b/>
          <w:lang w:val="en-US"/>
        </w:rPr>
        <w:t xml:space="preserve"> in the name of religion.</w:t>
      </w:r>
    </w:p>
    <w:p w:rsidR="00F64C58" w:rsidRPr="00F64C58" w:rsidRDefault="00F64C58" w:rsidP="00154CFF">
      <w:pPr>
        <w:pStyle w:val="SingleTxtG"/>
        <w:numPr>
          <w:ilvl w:val="0"/>
          <w:numId w:val="7"/>
        </w:numPr>
        <w:ind w:left="1134" w:firstLine="0"/>
        <w:rPr>
          <w:b/>
          <w:lang w:val="en-US"/>
        </w:rPr>
      </w:pPr>
      <w:r w:rsidRPr="00F64C58">
        <w:rPr>
          <w:b/>
          <w:lang w:val="en-US"/>
        </w:rPr>
        <w:t xml:space="preserve">The Special Rapporteur asserts that where freedom of religion or belief and the range of rights on which it depends are respected, the space and scope for counter-narratives to be effective </w:t>
      </w:r>
      <w:r w:rsidR="00B226FF">
        <w:rPr>
          <w:b/>
          <w:lang w:val="en-US"/>
        </w:rPr>
        <w:t xml:space="preserve">against intolerant messages </w:t>
      </w:r>
      <w:r w:rsidRPr="00F64C58">
        <w:rPr>
          <w:b/>
          <w:lang w:val="en-US"/>
        </w:rPr>
        <w:t>increases. Measures such as awareness-raising, education and interreligious communication and intra-faith dialogue can more broadly play a positive role in countering hateful narratives and ideologies, as well as combating religious discrimination and hatred, thereby ensuring security. The above requires a larger methodological framework with a consistent human rights-based approach. The Special Rapporteur therefore intends to promote a discussion among interested stakeholders in order to develop a manual for faith-based actors that allows them, in their respective environments and in an adaptive manner, to counter hateful narratives and to illustrate how faith(s) can contribute to human rights.</w:t>
      </w:r>
    </w:p>
    <w:p w:rsidR="00F64C58" w:rsidRPr="00F64C58" w:rsidRDefault="00F64C58" w:rsidP="00154CFF">
      <w:pPr>
        <w:pStyle w:val="SingleTxtG"/>
        <w:numPr>
          <w:ilvl w:val="0"/>
          <w:numId w:val="7"/>
        </w:numPr>
        <w:ind w:left="1134" w:firstLine="0"/>
        <w:rPr>
          <w:b/>
          <w:lang w:val="en-US"/>
        </w:rPr>
      </w:pPr>
      <w:r w:rsidRPr="00F64C58">
        <w:rPr>
          <w:b/>
          <w:lang w:val="en-US"/>
        </w:rPr>
        <w:t>Given the role that religious or belief interpretations and identity play in violent extremism, States must focus on strengthening respect for freedom of religion or belief in accordance with the</w:t>
      </w:r>
      <w:r w:rsidRPr="00C20A9E">
        <w:rPr>
          <w:b/>
          <w:lang w:val="en-US"/>
        </w:rPr>
        <w:t xml:space="preserve"> </w:t>
      </w:r>
      <w:r w:rsidRPr="00D81834">
        <w:rPr>
          <w:b/>
          <w:lang w:val="en-US"/>
        </w:rPr>
        <w:t>international</w:t>
      </w:r>
      <w:r w:rsidRPr="00F64C58">
        <w:rPr>
          <w:b/>
          <w:lang w:val="en-US"/>
        </w:rPr>
        <w:t xml:space="preserve"> legal framework. International human rights law does not protect every act motivated by religious conviction and in fact notes that freedom of religion or belief cannot be invoked to destroy any of the other rights guaranteed by the human rights framework. Moreover, the right to freedom of religion or belief includes a right to non-discrimination and equality. </w:t>
      </w:r>
    </w:p>
    <w:p w:rsidR="00716960" w:rsidRDefault="00F64C58" w:rsidP="00154CFF">
      <w:pPr>
        <w:pStyle w:val="SingleTxtG"/>
        <w:numPr>
          <w:ilvl w:val="0"/>
          <w:numId w:val="7"/>
        </w:numPr>
        <w:ind w:left="1134" w:firstLine="0"/>
        <w:rPr>
          <w:b/>
          <w:lang w:val="en-US"/>
        </w:rPr>
      </w:pPr>
      <w:r w:rsidRPr="00F64C58">
        <w:rPr>
          <w:b/>
          <w:lang w:val="en-US"/>
        </w:rPr>
        <w:t xml:space="preserve">The Special Rapporteur </w:t>
      </w:r>
      <w:r w:rsidR="006416F6">
        <w:rPr>
          <w:b/>
          <w:lang w:val="en-US"/>
        </w:rPr>
        <w:t xml:space="preserve">would like to reiterate the recommendations made by the High Commissioner for Human Rights and the Special Rapporteur on countering terrorism to ensure vigilant action by States to protect from violence all individuals within their territories and those subject to their jurisdictions, while fully respecting international human rights law;  undertake further research on the phenomenon of radicalization; pursue evidence-based policies that meet the human rights obligations of States; and ensure a gendered perspective that complies with the duty to respect, protect and promote the human rights of women, children and sexual minorities. </w:t>
      </w:r>
    </w:p>
    <w:p w:rsidR="00716960" w:rsidRDefault="00716960" w:rsidP="00154CFF">
      <w:pPr>
        <w:pStyle w:val="SingleTxtG"/>
        <w:numPr>
          <w:ilvl w:val="0"/>
          <w:numId w:val="7"/>
        </w:numPr>
        <w:ind w:left="1134" w:firstLine="0"/>
        <w:rPr>
          <w:b/>
          <w:lang w:val="en-US"/>
        </w:rPr>
      </w:pPr>
      <w:r>
        <w:rPr>
          <w:b/>
          <w:lang w:val="en-US"/>
        </w:rPr>
        <w:t>The Special Rapporteur specifically</w:t>
      </w:r>
      <w:r w:rsidR="00F64C58" w:rsidRPr="00F64C58">
        <w:rPr>
          <w:b/>
          <w:lang w:val="en-US"/>
        </w:rPr>
        <w:t xml:space="preserve"> calls upon States to</w:t>
      </w:r>
      <w:r>
        <w:rPr>
          <w:b/>
          <w:lang w:val="en-US"/>
        </w:rPr>
        <w:t>:</w:t>
      </w:r>
    </w:p>
    <w:p w:rsidR="00716960" w:rsidRDefault="00716960" w:rsidP="00843433">
      <w:pPr>
        <w:pStyle w:val="SingleTxtG"/>
        <w:numPr>
          <w:ilvl w:val="1"/>
          <w:numId w:val="7"/>
        </w:numPr>
        <w:rPr>
          <w:b/>
          <w:lang w:val="en-US"/>
        </w:rPr>
      </w:pPr>
      <w:r>
        <w:rPr>
          <w:b/>
          <w:lang w:val="en-US"/>
        </w:rPr>
        <w:t>recognise the</w:t>
      </w:r>
      <w:r w:rsidR="00F64C58" w:rsidRPr="00F64C58">
        <w:rPr>
          <w:b/>
          <w:lang w:val="en-US"/>
        </w:rPr>
        <w:t xml:space="preserve"> </w:t>
      </w:r>
      <w:r>
        <w:rPr>
          <w:b/>
          <w:lang w:val="en-US"/>
        </w:rPr>
        <w:t>utility of</w:t>
      </w:r>
      <w:r w:rsidR="00F64C58" w:rsidRPr="00F64C58">
        <w:rPr>
          <w:b/>
          <w:lang w:val="en-US"/>
        </w:rPr>
        <w:t xml:space="preserve"> the 1981 UN Declaration on the Elimination of All Forms of Intolerance and of Discrimination Based on Religion or Belief as a guide in preventing violent extremism</w:t>
      </w:r>
      <w:r>
        <w:rPr>
          <w:b/>
          <w:lang w:val="en-US"/>
        </w:rPr>
        <w:t>, and in this context, especially respect and protect the freedoms enumerated in Article 6 of the Declaration;</w:t>
      </w:r>
    </w:p>
    <w:p w:rsidR="00716960" w:rsidRDefault="00716960" w:rsidP="00843433">
      <w:pPr>
        <w:pStyle w:val="SingleTxtG"/>
        <w:numPr>
          <w:ilvl w:val="1"/>
          <w:numId w:val="7"/>
        </w:numPr>
        <w:rPr>
          <w:b/>
          <w:lang w:val="en-US"/>
        </w:rPr>
      </w:pPr>
      <w:r>
        <w:rPr>
          <w:b/>
          <w:lang w:val="en-US"/>
        </w:rPr>
        <w:t>implement fully</w:t>
      </w:r>
      <w:r w:rsidR="00F64C58" w:rsidRPr="00F64C58">
        <w:rPr>
          <w:b/>
          <w:lang w:val="en-US"/>
        </w:rPr>
        <w:t xml:space="preserve"> the action plan as detailed in </w:t>
      </w:r>
      <w:r>
        <w:rPr>
          <w:b/>
          <w:lang w:val="en-US"/>
        </w:rPr>
        <w:t xml:space="preserve">paragraphs 5 and 6 of the </w:t>
      </w:r>
      <w:r w:rsidR="00F64C58" w:rsidRPr="00F64C58">
        <w:rPr>
          <w:b/>
          <w:lang w:val="en-US"/>
        </w:rPr>
        <w:t xml:space="preserve">Human Rights Council Resolution 16/18 </w:t>
      </w:r>
      <w:r>
        <w:rPr>
          <w:b/>
          <w:lang w:val="en-US"/>
        </w:rPr>
        <w:t>in the interest of fostering pluralism, inclusion and societal cohesion; comply with the reporting requirements under the resolution; and convene the 7</w:t>
      </w:r>
      <w:r w:rsidRPr="00843433">
        <w:rPr>
          <w:b/>
          <w:vertAlign w:val="superscript"/>
          <w:lang w:val="en-US"/>
        </w:rPr>
        <w:t>th</w:t>
      </w:r>
      <w:r>
        <w:rPr>
          <w:b/>
          <w:lang w:val="en-US"/>
        </w:rPr>
        <w:t xml:space="preserve"> meeting of </w:t>
      </w:r>
      <w:r w:rsidR="00F64C58" w:rsidRPr="00F64C58">
        <w:rPr>
          <w:b/>
          <w:lang w:val="en-US"/>
        </w:rPr>
        <w:t xml:space="preserve">the Istanbul Process </w:t>
      </w:r>
      <w:r>
        <w:rPr>
          <w:b/>
          <w:lang w:val="en-US"/>
        </w:rPr>
        <w:t>as a mechanism to exchange information on good practice and promote the implementation of the action plan;</w:t>
      </w:r>
    </w:p>
    <w:p w:rsidR="00716960" w:rsidRDefault="00714B84" w:rsidP="00843433">
      <w:pPr>
        <w:pStyle w:val="SingleTxtG"/>
        <w:numPr>
          <w:ilvl w:val="1"/>
          <w:numId w:val="7"/>
        </w:numPr>
        <w:rPr>
          <w:b/>
          <w:lang w:val="en-US"/>
        </w:rPr>
      </w:pPr>
      <w:r>
        <w:rPr>
          <w:b/>
          <w:lang w:val="en-US"/>
        </w:rPr>
        <w:t>o</w:t>
      </w:r>
      <w:r w:rsidR="00716960">
        <w:rPr>
          <w:b/>
          <w:lang w:val="en-US"/>
        </w:rPr>
        <w:t xml:space="preserve">perationalise the call in </w:t>
      </w:r>
      <w:r w:rsidR="00F64C58" w:rsidRPr="00F64C58">
        <w:rPr>
          <w:b/>
          <w:lang w:val="en-US"/>
        </w:rPr>
        <w:t>Secretary General’s Plan of Action</w:t>
      </w:r>
      <w:r w:rsidR="00716960">
        <w:rPr>
          <w:b/>
          <w:lang w:val="en-US"/>
        </w:rPr>
        <w:t xml:space="preserve"> to promote engagement with religious leaders and </w:t>
      </w:r>
      <w:r w:rsidR="0073577D">
        <w:rPr>
          <w:b/>
          <w:lang w:val="en-US"/>
        </w:rPr>
        <w:t xml:space="preserve">faith-based </w:t>
      </w:r>
      <w:r w:rsidR="00716960">
        <w:rPr>
          <w:b/>
          <w:lang w:val="en-US"/>
        </w:rPr>
        <w:t>actors and in this context invest in the dissemination and implementation of</w:t>
      </w:r>
      <w:r w:rsidR="00F64C58" w:rsidRPr="00F64C58">
        <w:rPr>
          <w:b/>
          <w:lang w:val="en-US"/>
        </w:rPr>
        <w:t xml:space="preserve"> the Rabat Plan of Action, the Beirut Declaration on “Faith for Rights” and the Fez </w:t>
      </w:r>
      <w:r w:rsidR="00716960">
        <w:rPr>
          <w:b/>
          <w:lang w:val="en-US"/>
        </w:rPr>
        <w:t>Action Plan which</w:t>
      </w:r>
      <w:r w:rsidR="00F64C58" w:rsidRPr="00F64C58">
        <w:rPr>
          <w:b/>
          <w:lang w:val="en-US"/>
        </w:rPr>
        <w:t xml:space="preserve"> provide a chart of specific commitments as well as a number of </w:t>
      </w:r>
      <w:r w:rsidR="00716960">
        <w:rPr>
          <w:b/>
          <w:lang w:val="en-US"/>
        </w:rPr>
        <w:t>practical</w:t>
      </w:r>
      <w:r w:rsidR="00F64C58" w:rsidRPr="00F64C58">
        <w:rPr>
          <w:b/>
          <w:lang w:val="en-US"/>
        </w:rPr>
        <w:t xml:space="preserve"> measures to address the related phenomena of incitement to religious hatred, discrimination and violence</w:t>
      </w:r>
      <w:r w:rsidR="00716960">
        <w:rPr>
          <w:b/>
          <w:lang w:val="en-US"/>
        </w:rPr>
        <w:t>;</w:t>
      </w:r>
    </w:p>
    <w:p w:rsidR="00810FB2" w:rsidRPr="00D81834" w:rsidRDefault="00716960" w:rsidP="00843433">
      <w:pPr>
        <w:pStyle w:val="SingleTxtG"/>
        <w:numPr>
          <w:ilvl w:val="1"/>
          <w:numId w:val="7"/>
        </w:numPr>
        <w:rPr>
          <w:u w:val="single"/>
        </w:rPr>
      </w:pPr>
      <w:r>
        <w:rPr>
          <w:b/>
          <w:lang w:val="en-US"/>
        </w:rPr>
        <w:lastRenderedPageBreak/>
        <w:t>Develop national action plans, with the participation of national human rights institutions, civil society organisations</w:t>
      </w:r>
      <w:r w:rsidR="0073577D">
        <w:rPr>
          <w:b/>
          <w:lang w:val="en-US"/>
        </w:rPr>
        <w:t>, and development partners to facilitate the implementation of specific roles contain</w:t>
      </w:r>
      <w:r w:rsidR="00810FB2">
        <w:rPr>
          <w:b/>
          <w:lang w:val="en-US"/>
        </w:rPr>
        <w:t xml:space="preserve">ed in the aforementioned tools, </w:t>
      </w:r>
      <w:r w:rsidR="00F64C58" w:rsidRPr="00F64C58">
        <w:rPr>
          <w:b/>
          <w:lang w:val="en-US"/>
        </w:rPr>
        <w:t>for national and international actors, including the mass media, judicial authorities, oversight bodies, civil society, religious leaders and faith-based actors. </w:t>
      </w:r>
    </w:p>
    <w:p w:rsidR="00327170" w:rsidRPr="00810FB2" w:rsidRDefault="00327170" w:rsidP="00D81834">
      <w:pPr>
        <w:pStyle w:val="SingleTxtG"/>
        <w:numPr>
          <w:ilvl w:val="0"/>
          <w:numId w:val="7"/>
        </w:numPr>
        <w:rPr>
          <w:u w:val="single"/>
        </w:rPr>
      </w:pPr>
      <w:r>
        <w:rPr>
          <w:b/>
          <w:lang w:val="en-US"/>
        </w:rPr>
        <w:t xml:space="preserve">The Special Rapporteur also calls upon the respective United Nations mechanisms to facilitate transparency in the implementation by States of the Human Rights Council resolution 16/18 and </w:t>
      </w:r>
      <w:r w:rsidR="0076153C">
        <w:rPr>
          <w:b/>
          <w:lang w:val="en-US"/>
        </w:rPr>
        <w:t xml:space="preserve">of the </w:t>
      </w:r>
      <w:r>
        <w:rPr>
          <w:b/>
          <w:lang w:val="en-US"/>
        </w:rPr>
        <w:t>steps taken by key stakeholders to operationalise the Rabat Action Plan, the Fez Action Plan, and the Beirut Dec</w:t>
      </w:r>
      <w:r w:rsidR="0076153C">
        <w:rPr>
          <w:b/>
          <w:lang w:val="en-US"/>
        </w:rPr>
        <w:t>laration and its 18 Commitments;</w:t>
      </w:r>
      <w:r>
        <w:rPr>
          <w:b/>
          <w:lang w:val="en-US"/>
        </w:rPr>
        <w:t xml:space="preserve"> and to support the convening of the 7</w:t>
      </w:r>
      <w:r w:rsidRPr="00D81834">
        <w:rPr>
          <w:b/>
          <w:vertAlign w:val="superscript"/>
          <w:lang w:val="en-US"/>
        </w:rPr>
        <w:t>th</w:t>
      </w:r>
      <w:r>
        <w:rPr>
          <w:b/>
          <w:lang w:val="en-US"/>
        </w:rPr>
        <w:t xml:space="preserve"> meeting of the Istanbul Process.</w:t>
      </w:r>
    </w:p>
    <w:p w:rsidR="00257175" w:rsidRPr="00CC0DC5" w:rsidRDefault="00CC0DC5" w:rsidP="00CC0DC5">
      <w:pPr>
        <w:spacing w:before="240"/>
        <w:ind w:left="1134" w:right="1134"/>
        <w:jc w:val="center"/>
        <w:rPr>
          <w:u w:val="single"/>
        </w:rPr>
      </w:pPr>
      <w:r>
        <w:tab/>
      </w:r>
      <w:r>
        <w:rPr>
          <w:u w:val="single"/>
        </w:rPr>
        <w:tab/>
      </w:r>
      <w:r>
        <w:rPr>
          <w:u w:val="single"/>
        </w:rPr>
        <w:tab/>
      </w:r>
      <w:r>
        <w:rPr>
          <w:u w:val="single"/>
        </w:rPr>
        <w:tab/>
      </w:r>
    </w:p>
    <w:sectPr w:rsidR="00257175" w:rsidRPr="00CC0DC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CA" w:rsidRDefault="00EE2DCA"/>
  </w:endnote>
  <w:endnote w:type="continuationSeparator" w:id="0">
    <w:p w:rsidR="00EE2DCA" w:rsidRDefault="00EE2DCA"/>
  </w:endnote>
  <w:endnote w:type="continuationNotice" w:id="1">
    <w:p w:rsidR="00EE2DCA" w:rsidRDefault="00EE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4" w:rsidRDefault="00D81834">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23380">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4" w:rsidRDefault="00D81834">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423380">
      <w:rPr>
        <w:b/>
        <w:noProof/>
        <w:sz w:val="18"/>
      </w:rPr>
      <w:t>19</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CA" w:rsidRDefault="00EE2DCA">
      <w:pPr>
        <w:tabs>
          <w:tab w:val="right" w:pos="2155"/>
        </w:tabs>
        <w:spacing w:after="80"/>
        <w:ind w:left="680"/>
        <w:rPr>
          <w:u w:val="single"/>
        </w:rPr>
      </w:pPr>
      <w:r>
        <w:rPr>
          <w:u w:val="single"/>
        </w:rPr>
        <w:tab/>
      </w:r>
    </w:p>
  </w:footnote>
  <w:footnote w:type="continuationSeparator" w:id="0">
    <w:p w:rsidR="00EE2DCA" w:rsidRDefault="00EE2DCA">
      <w:pPr>
        <w:tabs>
          <w:tab w:val="left" w:pos="2155"/>
        </w:tabs>
        <w:spacing w:after="80"/>
        <w:ind w:left="680"/>
        <w:rPr>
          <w:u w:val="single"/>
        </w:rPr>
      </w:pPr>
      <w:r>
        <w:rPr>
          <w:u w:val="single"/>
        </w:rPr>
        <w:tab/>
      </w:r>
    </w:p>
  </w:footnote>
  <w:footnote w:type="continuationNotice" w:id="1">
    <w:p w:rsidR="00EE2DCA" w:rsidRDefault="00EE2DCA"/>
  </w:footnote>
  <w:footnote w:id="2">
    <w:p w:rsidR="00D81834" w:rsidRDefault="00D81834">
      <w:pPr>
        <w:pStyle w:val="FootnoteText"/>
      </w:pPr>
      <w:r>
        <w:tab/>
      </w:r>
      <w:r w:rsidRPr="00AA33C9">
        <w:rPr>
          <w:rStyle w:val="FootnoteReference"/>
          <w:szCs w:val="18"/>
          <w:vertAlign w:val="baseline"/>
        </w:rPr>
        <w:t>*</w:t>
      </w:r>
      <w:r>
        <w:rPr>
          <w:sz w:val="20"/>
        </w:rPr>
        <w:tab/>
      </w:r>
      <w:r>
        <w:t>A/73/50</w:t>
      </w:r>
      <w:r w:rsidR="00CC0DC5">
        <w:t>.</w:t>
      </w:r>
    </w:p>
  </w:footnote>
  <w:footnote w:id="3">
    <w:p w:rsidR="00AB7C67" w:rsidRPr="00AB7C67" w:rsidRDefault="00AB7C67">
      <w:pPr>
        <w:pStyle w:val="FootnoteText"/>
        <w:rPr>
          <w:lang w:val="fr-CH"/>
        </w:rPr>
      </w:pPr>
      <w:r>
        <w:rPr>
          <w:rStyle w:val="FootnoteReference"/>
        </w:rPr>
        <w:tab/>
      </w:r>
      <w:r w:rsidRPr="00AB7C67">
        <w:rPr>
          <w:rStyle w:val="FootnoteReference"/>
          <w:sz w:val="20"/>
          <w:vertAlign w:val="baseline"/>
        </w:rPr>
        <w:t>*</w:t>
      </w:r>
      <w:r>
        <w:rPr>
          <w:rStyle w:val="FootnoteReference"/>
          <w:sz w:val="20"/>
          <w:vertAlign w:val="baseline"/>
        </w:rPr>
        <w:tab/>
      </w:r>
      <w:r>
        <w:t>The present document was submitted late so as to include the most up-to-date information possible.</w:t>
      </w:r>
    </w:p>
  </w:footnote>
  <w:footnote w:id="4">
    <w:p w:rsidR="00D81834" w:rsidRPr="00512477" w:rsidRDefault="00D81834" w:rsidP="00512477">
      <w:pPr>
        <w:pStyle w:val="FootnoteText"/>
      </w:pPr>
      <w:r>
        <w:tab/>
      </w:r>
      <w:r w:rsidRPr="00512477">
        <w:rPr>
          <w:rStyle w:val="FootnoteReference"/>
        </w:rPr>
        <w:footnoteRef/>
      </w:r>
      <w:r>
        <w:tab/>
      </w:r>
      <w:r w:rsidRPr="00512477">
        <w:t>A/70/674</w:t>
      </w:r>
      <w:r>
        <w:t>.</w:t>
      </w:r>
      <w:r w:rsidRPr="00512477">
        <w:t xml:space="preserve"> </w:t>
      </w:r>
      <w:r>
        <w:t>The</w:t>
      </w:r>
      <w:r w:rsidR="00CC0DC5">
        <w:t>re</w:t>
      </w:r>
      <w:r>
        <w:t xml:space="preserve"> is no internationally agreed definition of ‘violent extremism’. However, the emerging usage within the United Nations is ‘violent extremism …conducive to terrorism’. See UNSC 2178(2014). See als</w:t>
      </w:r>
      <w:r w:rsidR="00CC0DC5">
        <w:t>o below para 23-27.</w:t>
      </w:r>
    </w:p>
  </w:footnote>
  <w:footnote w:id="5">
    <w:p w:rsidR="00D81834" w:rsidRPr="00512477" w:rsidRDefault="00D81834" w:rsidP="00512477">
      <w:pPr>
        <w:pStyle w:val="FootnoteText"/>
      </w:pPr>
      <w:r>
        <w:tab/>
      </w:r>
      <w:r w:rsidRPr="00512477">
        <w:rPr>
          <w:rStyle w:val="FootnoteReference"/>
        </w:rPr>
        <w:footnoteRef/>
      </w:r>
      <w:r>
        <w:tab/>
      </w:r>
      <w:r w:rsidRPr="00512477">
        <w:t>A/70/674 and A/HRC/16/51</w:t>
      </w:r>
      <w:r>
        <w:t>.</w:t>
      </w:r>
      <w:r w:rsidRPr="00512477">
        <w:t xml:space="preserve"> </w:t>
      </w:r>
    </w:p>
  </w:footnote>
  <w:footnote w:id="6">
    <w:p w:rsidR="00D81834" w:rsidRPr="00794281" w:rsidRDefault="00D81834" w:rsidP="00512477">
      <w:pPr>
        <w:pStyle w:val="FootnoteText"/>
      </w:pPr>
      <w:r>
        <w:tab/>
      </w:r>
      <w:r w:rsidRPr="00512477">
        <w:rPr>
          <w:rStyle w:val="FootnoteReference"/>
        </w:rPr>
        <w:footnoteRef/>
      </w:r>
      <w:r>
        <w:tab/>
        <w:t>A/RES/60/288.</w:t>
      </w:r>
    </w:p>
  </w:footnote>
  <w:footnote w:id="7">
    <w:p w:rsidR="00D81834" w:rsidRPr="00512477" w:rsidRDefault="00D81834" w:rsidP="00512477">
      <w:pPr>
        <w:pStyle w:val="FootnoteText"/>
        <w:rPr>
          <w:rFonts w:eastAsiaTheme="minorHAnsi"/>
        </w:rPr>
      </w:pPr>
      <w:r w:rsidRPr="00512477">
        <w:tab/>
      </w:r>
      <w:r w:rsidRPr="00512477">
        <w:rPr>
          <w:rStyle w:val="FootnoteReference"/>
        </w:rPr>
        <w:footnoteRef/>
      </w:r>
      <w:r w:rsidRPr="00512477">
        <w:tab/>
        <w:t>See for example Amnesty International, Dangerously Disprop</w:t>
      </w:r>
      <w:r>
        <w:t xml:space="preserve">ortionate:  The Ever Expanding </w:t>
      </w:r>
      <w:r w:rsidRPr="00512477">
        <w:t>National Security State in Europe, EUR 01/5342/2017, London: 2017</w:t>
      </w:r>
      <w:r>
        <w:t xml:space="preserve"> and the late Asma Jahangir’s warning about the counterproductive impact of religious profiling, A/HRC/7/10/Add.3, para 41.</w:t>
      </w:r>
    </w:p>
  </w:footnote>
  <w:footnote w:id="8">
    <w:p w:rsidR="00D81834" w:rsidRPr="00700494" w:rsidRDefault="00D81834" w:rsidP="00700494">
      <w:pPr>
        <w:pStyle w:val="FootnoteText"/>
      </w:pPr>
      <w:r>
        <w:tab/>
      </w:r>
      <w:r w:rsidRPr="00700494">
        <w:rPr>
          <w:rStyle w:val="FootnoteReference"/>
        </w:rPr>
        <w:footnoteRef/>
      </w:r>
      <w:r>
        <w:tab/>
      </w:r>
      <w:r w:rsidRPr="00700494">
        <w:t xml:space="preserve">A/HRC/31/65, para 54. </w:t>
      </w:r>
    </w:p>
  </w:footnote>
  <w:footnote w:id="9">
    <w:p w:rsidR="00D81834" w:rsidRPr="00700494" w:rsidRDefault="00D81834" w:rsidP="00700494">
      <w:pPr>
        <w:pStyle w:val="FootnoteText"/>
      </w:pPr>
      <w:r>
        <w:tab/>
      </w:r>
      <w:r w:rsidRPr="00700494">
        <w:rPr>
          <w:rStyle w:val="FootnoteReference"/>
        </w:rPr>
        <w:footnoteRef/>
      </w:r>
      <w:r>
        <w:tab/>
      </w:r>
      <w:r w:rsidRPr="00700494">
        <w:t xml:space="preserve">See e.g. Brian J Grim and Roger Finke, </w:t>
      </w:r>
      <w:r w:rsidRPr="00843433">
        <w:rPr>
          <w:i/>
        </w:rPr>
        <w:t>The Price of Freedom Denied,</w:t>
      </w:r>
      <w:r w:rsidRPr="00700494">
        <w:t xml:space="preserve"> Cambridge University Press, 2011, pp. 2-3. See</w:t>
      </w:r>
      <w:r>
        <w:t xml:space="preserve"> also A/HRC/70/674 para 26 &amp; 28.</w:t>
      </w:r>
    </w:p>
  </w:footnote>
  <w:footnote w:id="10">
    <w:p w:rsidR="00D81834" w:rsidRPr="00700494" w:rsidRDefault="00D81834" w:rsidP="00700494">
      <w:pPr>
        <w:pStyle w:val="FootnoteText"/>
      </w:pPr>
      <w:r>
        <w:tab/>
      </w:r>
      <w:r w:rsidRPr="00700494">
        <w:rPr>
          <w:rStyle w:val="FootnoteReference"/>
        </w:rPr>
        <w:footnoteRef/>
      </w:r>
      <w:r>
        <w:tab/>
      </w:r>
      <w:r w:rsidRPr="00700494">
        <w:t xml:space="preserve">Discrimination on the basis of religion or belief is one among several factors that empirical research into horizontal inequalities considers. See for example, Frances Stewart, Horizontal Inequalities as a Cause of Conflict (2009). Available at  </w:t>
      </w:r>
      <w:hyperlink r:id="rId1" w:history="1">
        <w:r w:rsidRPr="00700494">
          <w:rPr>
            <w:rStyle w:val="Hyperlink"/>
          </w:rPr>
          <w:t>https://www.bradford.ac.uk/social-sciences/media/socialsciences/BDLStewart.pdf</w:t>
        </w:r>
      </w:hyperlink>
      <w:r w:rsidR="00CC0DC5">
        <w:rPr>
          <w:rStyle w:val="Hyperlink"/>
        </w:rPr>
        <w:t>.</w:t>
      </w:r>
    </w:p>
  </w:footnote>
  <w:footnote w:id="11">
    <w:p w:rsidR="00D81834" w:rsidRDefault="00D81834">
      <w:pPr>
        <w:pStyle w:val="FootnoteText"/>
      </w:pPr>
      <w:r>
        <w:tab/>
      </w:r>
      <w:r>
        <w:rPr>
          <w:rStyle w:val="FootnoteReference"/>
        </w:rPr>
        <w:footnoteRef/>
      </w:r>
      <w:r>
        <w:t xml:space="preserve"> </w:t>
      </w:r>
      <w:r>
        <w:tab/>
        <w:t>This includes the need to consult religious and other minorities in matters which affect them, as upheld in minority rights. See: Article 2(3) of the 1992 Declaration on the Rights of Persons Belonging to National or Ethnic, Religious and Linguistic Minorities, Annex to A/RES/47/135.</w:t>
      </w:r>
    </w:p>
  </w:footnote>
  <w:footnote w:id="12">
    <w:p w:rsidR="00D81834" w:rsidRPr="00700494" w:rsidRDefault="00D81834" w:rsidP="00700494">
      <w:pPr>
        <w:pStyle w:val="FootnoteText"/>
      </w:pPr>
      <w:r>
        <w:tab/>
      </w:r>
      <w:r w:rsidRPr="00700494">
        <w:rPr>
          <w:rStyle w:val="FootnoteReference"/>
        </w:rPr>
        <w:footnoteRef/>
      </w:r>
      <w:r>
        <w:tab/>
      </w:r>
      <w:r w:rsidRPr="00700494">
        <w:t xml:space="preserve">See A/HRC/31/65; Faiza Patel and Amrit Singh, ‘The Human Rights Risks of Countering Violent Extremism Programs,’ </w:t>
      </w:r>
      <w:r w:rsidRPr="00843433">
        <w:rPr>
          <w:i/>
        </w:rPr>
        <w:t>Just Security</w:t>
      </w:r>
      <w:r w:rsidRPr="00700494">
        <w:t xml:space="preserve"> (7 April 2016). Available at https://www.justsecurity.org/30459/human-rights-risks-countering-violent-extremism-programs/</w:t>
      </w:r>
      <w:r w:rsidR="00CC0DC5">
        <w:t>.</w:t>
      </w:r>
    </w:p>
  </w:footnote>
  <w:footnote w:id="13">
    <w:p w:rsidR="00D81834" w:rsidRPr="00952E8F" w:rsidRDefault="00D81834" w:rsidP="00700494">
      <w:pPr>
        <w:pStyle w:val="FootnoteText"/>
      </w:pPr>
      <w:r>
        <w:tab/>
      </w:r>
      <w:r w:rsidRPr="00700494">
        <w:rPr>
          <w:rStyle w:val="FootnoteReference"/>
        </w:rPr>
        <w:footnoteRef/>
      </w:r>
      <w:r>
        <w:tab/>
      </w:r>
      <w:r w:rsidRPr="00700494">
        <w:t xml:space="preserve">See Barry Buzan </w:t>
      </w:r>
      <w:r w:rsidRPr="00843433">
        <w:rPr>
          <w:i/>
        </w:rPr>
        <w:t>et al</w:t>
      </w:r>
      <w:r w:rsidRPr="00700494">
        <w:t xml:space="preserve">, </w:t>
      </w:r>
      <w:r w:rsidRPr="00843433">
        <w:rPr>
          <w:i/>
        </w:rPr>
        <w:t>Security: A New Framework for Analysis</w:t>
      </w:r>
      <w:r w:rsidRPr="00700494">
        <w:t>, London</w:t>
      </w:r>
      <w:r>
        <w:t>: Lynne Rienner, 1998, pp 23-26.</w:t>
      </w:r>
    </w:p>
  </w:footnote>
  <w:footnote w:id="14">
    <w:p w:rsidR="00D81834" w:rsidRPr="002318CC" w:rsidRDefault="00D81834" w:rsidP="00F64C58">
      <w:pPr>
        <w:pStyle w:val="FootnoteText"/>
        <w:rPr>
          <w:sz w:val="20"/>
          <w:lang w:val="es-ES"/>
        </w:rPr>
      </w:pPr>
      <w:r>
        <w:tab/>
      </w:r>
      <w:r w:rsidRPr="00E04746">
        <w:rPr>
          <w:rStyle w:val="FootnoteReference"/>
        </w:rPr>
        <w:footnoteRef/>
      </w:r>
      <w:r w:rsidRPr="002318CC">
        <w:rPr>
          <w:lang w:val="es-ES"/>
        </w:rPr>
        <w:tab/>
        <w:t>A/HRC/34/50</w:t>
      </w:r>
      <w:r>
        <w:rPr>
          <w:lang w:val="es-ES"/>
        </w:rPr>
        <w:t>.</w:t>
      </w:r>
    </w:p>
  </w:footnote>
  <w:footnote w:id="15">
    <w:p w:rsidR="00D81834" w:rsidRPr="00D81834" w:rsidRDefault="00D81834" w:rsidP="001D7205">
      <w:pPr>
        <w:pStyle w:val="FootnoteText"/>
        <w:rPr>
          <w:lang w:val="es-ES"/>
        </w:rPr>
      </w:pPr>
      <w:r w:rsidRPr="00D81834">
        <w:rPr>
          <w:lang w:val="es-ES"/>
        </w:rPr>
        <w:tab/>
      </w:r>
      <w:r w:rsidRPr="001D7205">
        <w:rPr>
          <w:rStyle w:val="FootnoteReference"/>
        </w:rPr>
        <w:footnoteRef/>
      </w:r>
      <w:r w:rsidRPr="00D81834">
        <w:rPr>
          <w:lang w:val="es-ES"/>
        </w:rPr>
        <w:tab/>
        <w:t>A/HRC/</w:t>
      </w:r>
      <w:r>
        <w:rPr>
          <w:lang w:val="es-ES"/>
        </w:rPr>
        <w:t>22/51</w:t>
      </w:r>
      <w:r w:rsidRPr="00D81834">
        <w:rPr>
          <w:lang w:val="es-ES"/>
        </w:rPr>
        <w:t xml:space="preserve"> para 42-43</w:t>
      </w:r>
      <w:r>
        <w:rPr>
          <w:lang w:val="es-ES"/>
        </w:rPr>
        <w:t xml:space="preserve">. </w:t>
      </w:r>
    </w:p>
  </w:footnote>
  <w:footnote w:id="16">
    <w:p w:rsidR="00D81834" w:rsidRDefault="00D81834">
      <w:pPr>
        <w:pStyle w:val="FootnoteText"/>
      </w:pPr>
      <w:r w:rsidRPr="00D81834">
        <w:rPr>
          <w:lang w:val="es-ES"/>
        </w:rPr>
        <w:tab/>
      </w:r>
      <w:r>
        <w:rPr>
          <w:rStyle w:val="FootnoteReference"/>
        </w:rPr>
        <w:footnoteRef/>
      </w:r>
      <w:r>
        <w:t xml:space="preserve"> </w:t>
      </w:r>
      <w:r>
        <w:tab/>
      </w:r>
      <w:r>
        <w:tab/>
        <w:t>For a rich discussion of the negative impact of this see: https://www.osce.org/odihr/139046</w:t>
      </w:r>
      <w:r w:rsidR="00CC0DC5">
        <w:t>.</w:t>
      </w:r>
    </w:p>
  </w:footnote>
  <w:footnote w:id="17">
    <w:p w:rsidR="00D81834" w:rsidRDefault="00D81834">
      <w:pPr>
        <w:pStyle w:val="FootnoteText"/>
      </w:pPr>
      <w:r>
        <w:tab/>
      </w:r>
      <w:r>
        <w:rPr>
          <w:rStyle w:val="FootnoteReference"/>
        </w:rPr>
        <w:footnoteRef/>
      </w:r>
      <w:r>
        <w:t xml:space="preserve"> </w:t>
      </w:r>
      <w:r>
        <w:tab/>
      </w:r>
      <w:r>
        <w:tab/>
        <w:t>A/HRC/31/65 para 41.</w:t>
      </w:r>
    </w:p>
  </w:footnote>
  <w:footnote w:id="18">
    <w:p w:rsidR="00D81834" w:rsidRPr="001D7205" w:rsidRDefault="00D81834" w:rsidP="001D7205">
      <w:pPr>
        <w:pStyle w:val="FootnoteText"/>
      </w:pPr>
      <w:r>
        <w:tab/>
      </w:r>
      <w:r w:rsidRPr="001D7205">
        <w:rPr>
          <w:rStyle w:val="FootnoteReference"/>
        </w:rPr>
        <w:footnoteRef/>
      </w:r>
      <w:r>
        <w:tab/>
      </w:r>
      <w:r w:rsidRPr="001D7205">
        <w:t>http://www.pewforum.org/2018/06/21/global-uptick-in-government-restrictions-on-religion-in-2016/</w:t>
      </w:r>
      <w:r w:rsidR="00CC0DC5">
        <w:t>.</w:t>
      </w:r>
    </w:p>
  </w:footnote>
  <w:footnote w:id="19">
    <w:p w:rsidR="00D81834" w:rsidRPr="008A18A8" w:rsidRDefault="00D81834" w:rsidP="008A18A8">
      <w:pPr>
        <w:pStyle w:val="FootnoteText"/>
      </w:pPr>
      <w:r>
        <w:tab/>
      </w:r>
      <w:r w:rsidRPr="008A18A8">
        <w:rPr>
          <w:rStyle w:val="FootnoteReference"/>
        </w:rPr>
        <w:footnoteRef/>
      </w:r>
      <w:r>
        <w:tab/>
      </w:r>
      <w:hyperlink r:id="rId2" w:history="1">
        <w:r w:rsidRPr="008A18A8">
          <w:rPr>
            <w:rStyle w:val="Hyperlink"/>
          </w:rPr>
          <w:t>A/HRC/37/49</w:t>
        </w:r>
      </w:hyperlink>
      <w:r>
        <w:rPr>
          <w:rStyle w:val="Hyperlink"/>
        </w:rPr>
        <w:t>.</w:t>
      </w:r>
    </w:p>
  </w:footnote>
  <w:footnote w:id="20">
    <w:p w:rsidR="00D81834" w:rsidRPr="008A18A8" w:rsidRDefault="00D81834" w:rsidP="008A18A8">
      <w:pPr>
        <w:pStyle w:val="FootnoteText"/>
      </w:pPr>
      <w:r>
        <w:tab/>
      </w:r>
      <w:r w:rsidRPr="008A18A8">
        <w:rPr>
          <w:rStyle w:val="FootnoteReference"/>
        </w:rPr>
        <w:footnoteRef/>
      </w:r>
      <w:r>
        <w:tab/>
      </w:r>
      <w:r w:rsidRPr="008A18A8">
        <w:t>S</w:t>
      </w:r>
      <w:r>
        <w:t>os</w:t>
      </w:r>
      <w:r w:rsidRPr="008A18A8">
        <w:t xml:space="preserve"> Avetisyan</w:t>
      </w:r>
      <w:r>
        <w:t xml:space="preserve"> </w:t>
      </w:r>
      <w:r w:rsidRPr="00843433">
        <w:rPr>
          <w:i/>
        </w:rPr>
        <w:t>et al</w:t>
      </w:r>
      <w:r w:rsidRPr="008A18A8">
        <w:t xml:space="preserve"> ‘The ‘mantra of stability’ versus human security in the post-Soviet </w:t>
      </w:r>
      <w:r w:rsidRPr="008A18A8">
        <w:rPr>
          <w:highlight w:val="white"/>
        </w:rPr>
        <w:t xml:space="preserve">space’, </w:t>
      </w:r>
      <w:r w:rsidRPr="00843433">
        <w:rPr>
          <w:i/>
          <w:highlight w:val="white"/>
        </w:rPr>
        <w:t>Global Campus Human Rights Journal</w:t>
      </w:r>
      <w:r w:rsidRPr="008A18A8">
        <w:rPr>
          <w:highlight w:val="white"/>
        </w:rPr>
        <w:t xml:space="preserve"> vol. 1 No. 2</w:t>
      </w:r>
      <w:r>
        <w:rPr>
          <w:highlight w:val="white"/>
        </w:rPr>
        <w:t xml:space="preserve"> (</w:t>
      </w:r>
      <w:r w:rsidRPr="008A18A8">
        <w:rPr>
          <w:highlight w:val="white"/>
        </w:rPr>
        <w:t>201</w:t>
      </w:r>
      <w:r>
        <w:rPr>
          <w:highlight w:val="white"/>
        </w:rPr>
        <w:t>): 350-372</w:t>
      </w:r>
      <w:r>
        <w:t>.</w:t>
      </w:r>
      <w:r w:rsidRPr="008A18A8">
        <w:t xml:space="preserve">  </w:t>
      </w:r>
    </w:p>
  </w:footnote>
  <w:footnote w:id="21">
    <w:p w:rsidR="00D81834" w:rsidRDefault="00D81834" w:rsidP="007B3998">
      <w:pPr>
        <w:pStyle w:val="FootnoteText"/>
      </w:pPr>
      <w:r>
        <w:tab/>
      </w:r>
      <w:r>
        <w:rPr>
          <w:rStyle w:val="FootnoteReference"/>
        </w:rPr>
        <w:footnoteRef/>
      </w:r>
      <w:r>
        <w:t xml:space="preserve"> </w:t>
      </w:r>
      <w:r>
        <w:tab/>
      </w:r>
      <w:r>
        <w:tab/>
      </w:r>
      <w:r w:rsidRPr="00843433">
        <w:t xml:space="preserve">See </w:t>
      </w:r>
      <w:r>
        <w:t>above</w:t>
      </w:r>
      <w:r w:rsidRPr="00843433">
        <w:t xml:space="preserve"> para </w:t>
      </w:r>
      <w:r>
        <w:t>8.</w:t>
      </w:r>
    </w:p>
  </w:footnote>
  <w:footnote w:id="22">
    <w:p w:rsidR="00D81834" w:rsidRPr="008A18A8" w:rsidRDefault="00D81834" w:rsidP="008A18A8">
      <w:pPr>
        <w:pStyle w:val="FootnoteText"/>
      </w:pPr>
      <w:r>
        <w:tab/>
      </w:r>
      <w:r w:rsidRPr="008A18A8">
        <w:rPr>
          <w:rStyle w:val="FootnoteReference"/>
        </w:rPr>
        <w:footnoteRef/>
      </w:r>
      <w:r>
        <w:tab/>
      </w:r>
      <w:r>
        <w:rPr>
          <w:rFonts w:eastAsia="Arial"/>
        </w:rPr>
        <w:t>A/HRC/31/65 para 55</w:t>
      </w:r>
      <w:r w:rsidR="00CC0DC5">
        <w:rPr>
          <w:rFonts w:eastAsia="Arial"/>
        </w:rPr>
        <w:t>.</w:t>
      </w:r>
      <w:r w:rsidRPr="008A18A8">
        <w:rPr>
          <w:rFonts w:eastAsia="Arial"/>
        </w:rPr>
        <w:t xml:space="preserve"> </w:t>
      </w:r>
    </w:p>
  </w:footnote>
  <w:footnote w:id="23">
    <w:p w:rsidR="00D81834" w:rsidRPr="008A18A8" w:rsidRDefault="00D81834" w:rsidP="008A18A8">
      <w:pPr>
        <w:pStyle w:val="FootnoteText"/>
      </w:pPr>
      <w:r>
        <w:tab/>
      </w:r>
      <w:r w:rsidRPr="008A18A8">
        <w:rPr>
          <w:rStyle w:val="FootnoteReference"/>
        </w:rPr>
        <w:footnoteRef/>
      </w:r>
      <w:r>
        <w:tab/>
      </w:r>
      <w:r w:rsidRPr="008A18A8">
        <w:rPr>
          <w:rFonts w:eastAsia="Arial"/>
        </w:rPr>
        <w:t>However, see Article 2(b) of the 1999 International Convention for the Suppression of the Financing of Terrorism which defines a terrorist act as “any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footnote>
  <w:footnote w:id="24">
    <w:p w:rsidR="00D81834" w:rsidRPr="002810F0" w:rsidRDefault="00D81834" w:rsidP="008A18A8">
      <w:pPr>
        <w:pStyle w:val="FootnoteText"/>
      </w:pPr>
      <w:r>
        <w:tab/>
      </w:r>
      <w:r w:rsidRPr="008A18A8">
        <w:rPr>
          <w:rStyle w:val="FootnoteReference"/>
        </w:rPr>
        <w:footnoteRef/>
      </w:r>
      <w:r>
        <w:tab/>
        <w:t>A/HRC/31/65.</w:t>
      </w:r>
    </w:p>
  </w:footnote>
  <w:footnote w:id="25">
    <w:p w:rsidR="00D81834" w:rsidRPr="00154F81" w:rsidRDefault="00D81834" w:rsidP="00154F81">
      <w:pPr>
        <w:pStyle w:val="FootnoteText"/>
      </w:pPr>
      <w:r>
        <w:tab/>
      </w:r>
      <w:r w:rsidRPr="00154F81">
        <w:rPr>
          <w:rStyle w:val="FootnoteReference"/>
        </w:rPr>
        <w:footnoteRef/>
      </w:r>
      <w:r>
        <w:tab/>
      </w:r>
      <w:r w:rsidRPr="00154F81">
        <w:t>E/CN.4/2006/98. In his final report to the Human Rights Council, Scheinin offered model definitions of terrorism and incitement to terrori</w:t>
      </w:r>
      <w:r>
        <w:t>sm. See A/HRC/16/51 paras 29-32.</w:t>
      </w:r>
    </w:p>
  </w:footnote>
  <w:footnote w:id="26">
    <w:p w:rsidR="00D81834" w:rsidRPr="00154F81" w:rsidRDefault="00D81834" w:rsidP="00154F81">
      <w:pPr>
        <w:pStyle w:val="FootnoteText"/>
      </w:pPr>
      <w:r>
        <w:tab/>
      </w:r>
      <w:r w:rsidRPr="00154F81">
        <w:rPr>
          <w:rStyle w:val="FootnoteReference"/>
        </w:rPr>
        <w:footnoteRef/>
      </w:r>
      <w:r>
        <w:tab/>
      </w:r>
      <w:r w:rsidRPr="00154F81">
        <w:rPr>
          <w:rFonts w:eastAsiaTheme="minorHAnsi"/>
        </w:rPr>
        <w:t xml:space="preserve">Search for Common Ground, </w:t>
      </w:r>
      <w:r w:rsidRPr="00843433">
        <w:rPr>
          <w:rFonts w:eastAsiaTheme="minorHAnsi"/>
          <w:i/>
        </w:rPr>
        <w:t>Transforming Violent Extremism: A Peace-Builder’s Guide</w:t>
      </w:r>
      <w:r>
        <w:rPr>
          <w:rFonts w:eastAsiaTheme="minorHAnsi"/>
        </w:rPr>
        <w:t>, 2017.</w:t>
      </w:r>
    </w:p>
  </w:footnote>
  <w:footnote w:id="27">
    <w:p w:rsidR="00D81834" w:rsidRPr="00154F81" w:rsidRDefault="00D81834" w:rsidP="00154F81">
      <w:pPr>
        <w:pStyle w:val="FootnoteText"/>
      </w:pPr>
      <w:r>
        <w:tab/>
      </w:r>
      <w:r w:rsidRPr="00154F81">
        <w:rPr>
          <w:rStyle w:val="FootnoteReference"/>
        </w:rPr>
        <w:footnoteRef/>
      </w:r>
      <w:r>
        <w:tab/>
      </w:r>
      <w:r w:rsidRPr="00154F81">
        <w:t xml:space="preserve">See A/HRC/33/29, paras 18 and 61; European Commission for Democracy Through Law, </w:t>
      </w:r>
      <w:r w:rsidRPr="00843433">
        <w:rPr>
          <w:i/>
        </w:rPr>
        <w:t>Opinion</w:t>
      </w:r>
      <w:r w:rsidRPr="00154F81">
        <w:t xml:space="preserve"> no. 660/2011 on the Federal Law on Combating Extremist Activity of the Russian Federation, CDL-AD (2012)016, paras 31, 35-36, 49; European Court of Human Rights,</w:t>
      </w:r>
      <w:r w:rsidRPr="00843433">
        <w:rPr>
          <w:i/>
        </w:rPr>
        <w:t xml:space="preserve"> Mariya Alekhina and Others v. Russia</w:t>
      </w:r>
      <w:r w:rsidRPr="00154F81">
        <w:t>, application no. 38004/12, judgment of 17 July 2018, paras</w:t>
      </w:r>
      <w:r>
        <w:t xml:space="preserve"> 257 and 267-268.</w:t>
      </w:r>
      <w:r w:rsidRPr="00154F81">
        <w:t xml:space="preserve"> </w:t>
      </w:r>
    </w:p>
  </w:footnote>
  <w:footnote w:id="28">
    <w:p w:rsidR="00D81834" w:rsidRPr="00D81834" w:rsidRDefault="00D81834" w:rsidP="00154F81">
      <w:pPr>
        <w:pStyle w:val="FootnoteText"/>
        <w:rPr>
          <w:sz w:val="20"/>
          <w:lang w:val="es-ES"/>
        </w:rPr>
      </w:pPr>
      <w:r>
        <w:tab/>
      </w:r>
      <w:r w:rsidRPr="00154F81">
        <w:rPr>
          <w:rStyle w:val="FootnoteReference"/>
        </w:rPr>
        <w:footnoteRef/>
      </w:r>
      <w:r w:rsidRPr="00D81834">
        <w:rPr>
          <w:lang w:val="es-ES"/>
        </w:rPr>
        <w:tab/>
        <w:t>A/HRC/33/29, paras 61-62; CCPR/C/21/Rev.1/Add.4, para 3; CCPR/C/GC/34, para 9</w:t>
      </w:r>
      <w:r>
        <w:rPr>
          <w:lang w:val="es-ES"/>
        </w:rPr>
        <w:t>.</w:t>
      </w:r>
    </w:p>
  </w:footnote>
  <w:footnote w:id="29">
    <w:p w:rsidR="00D81834" w:rsidRPr="006F4F47" w:rsidRDefault="00D81834" w:rsidP="006F4F47">
      <w:pPr>
        <w:pStyle w:val="FootnoteText"/>
      </w:pPr>
      <w:r w:rsidRPr="00D81834">
        <w:rPr>
          <w:lang w:val="es-ES"/>
        </w:rPr>
        <w:tab/>
      </w:r>
      <w:r w:rsidRPr="006F4F47">
        <w:rPr>
          <w:rStyle w:val="FootnoteReference"/>
        </w:rPr>
        <w:footnoteRef/>
      </w:r>
      <w:r>
        <w:tab/>
      </w:r>
      <w:bookmarkStart w:id="1" w:name="OLE_LINK3"/>
      <w:bookmarkStart w:id="2" w:name="OLE_LINK4"/>
      <w:r w:rsidRPr="006F4F47">
        <w:t>A/HRC/28/66</w:t>
      </w:r>
      <w:bookmarkEnd w:id="1"/>
      <w:bookmarkEnd w:id="2"/>
      <w:r>
        <w:t>.</w:t>
      </w:r>
    </w:p>
  </w:footnote>
  <w:footnote w:id="30">
    <w:p w:rsidR="00D81834" w:rsidRDefault="00D81834">
      <w:pPr>
        <w:pStyle w:val="FootnoteText"/>
      </w:pPr>
      <w:r>
        <w:tab/>
      </w:r>
      <w:r>
        <w:rPr>
          <w:rStyle w:val="FootnoteReference"/>
        </w:rPr>
        <w:footnoteRef/>
      </w:r>
      <w:r>
        <w:t xml:space="preserve"> </w:t>
      </w:r>
      <w:r>
        <w:tab/>
      </w:r>
      <w:r>
        <w:tab/>
        <w:t>See A/68/268 and A/HRC/22/51.</w:t>
      </w:r>
    </w:p>
  </w:footnote>
  <w:footnote w:id="31">
    <w:p w:rsidR="00D81834" w:rsidRPr="006F4F47" w:rsidRDefault="00D81834" w:rsidP="006F4F47">
      <w:pPr>
        <w:pStyle w:val="FootnoteText"/>
      </w:pPr>
      <w:r>
        <w:tab/>
      </w:r>
      <w:r w:rsidRPr="006F4F47">
        <w:rPr>
          <w:rStyle w:val="FootnoteReference"/>
        </w:rPr>
        <w:footnoteRef/>
      </w:r>
      <w:r>
        <w:tab/>
        <w:t>A/HRC/31/65.</w:t>
      </w:r>
    </w:p>
  </w:footnote>
  <w:footnote w:id="32">
    <w:p w:rsidR="00D81834" w:rsidRPr="00AC5E99" w:rsidRDefault="00D81834" w:rsidP="006F4F47">
      <w:pPr>
        <w:pStyle w:val="FootnoteText"/>
        <w:rPr>
          <w:sz w:val="20"/>
        </w:rPr>
      </w:pPr>
      <w:r>
        <w:tab/>
      </w:r>
      <w:r w:rsidRPr="006F4F47">
        <w:rPr>
          <w:rStyle w:val="FootnoteReference"/>
        </w:rPr>
        <w:footnoteRef/>
      </w:r>
      <w:r>
        <w:tab/>
      </w:r>
      <w:r>
        <w:tab/>
      </w:r>
      <w:r w:rsidRPr="006F4F47">
        <w:t>See A/67/303, para</w:t>
      </w:r>
      <w:r>
        <w:t> 15.</w:t>
      </w:r>
    </w:p>
  </w:footnote>
  <w:footnote w:id="33">
    <w:p w:rsidR="00D81834" w:rsidRPr="004C04B3" w:rsidRDefault="00D81834" w:rsidP="004C04B3">
      <w:pPr>
        <w:pStyle w:val="FootnoteText"/>
      </w:pPr>
      <w:r>
        <w:tab/>
      </w:r>
      <w:r w:rsidRPr="004C04B3">
        <w:rPr>
          <w:rStyle w:val="FootnoteReference"/>
        </w:rPr>
        <w:footnoteRef/>
      </w:r>
      <w:r>
        <w:tab/>
      </w:r>
      <w:r w:rsidRPr="004C04B3">
        <w:t>See A/HRC/14/22/Add.2, paras</w:t>
      </w:r>
      <w:r>
        <w:t> 38 and 89.</w:t>
      </w:r>
    </w:p>
  </w:footnote>
  <w:footnote w:id="34">
    <w:p w:rsidR="00D81834" w:rsidRPr="004C04B3" w:rsidRDefault="00D81834" w:rsidP="004C04B3">
      <w:pPr>
        <w:pStyle w:val="FootnoteText"/>
      </w:pPr>
      <w:r>
        <w:tab/>
      </w:r>
      <w:r w:rsidRPr="004C04B3">
        <w:rPr>
          <w:rStyle w:val="FootnoteReference"/>
        </w:rPr>
        <w:footnoteRef/>
      </w:r>
      <w:r>
        <w:tab/>
      </w:r>
      <w:r w:rsidRPr="004C04B3">
        <w:t xml:space="preserve">Donna J. Sullivan, ‘Advancing the Freedom of Religion or Belief through the UN Declaration on the Elimination of Religious Intolerance and Discrimination’, </w:t>
      </w:r>
      <w:r w:rsidRPr="00843433">
        <w:rPr>
          <w:i/>
        </w:rPr>
        <w:t>American Journal of International Law</w:t>
      </w:r>
      <w:r>
        <w:t xml:space="preserve">, </w:t>
      </w:r>
      <w:r w:rsidRPr="004C04B3">
        <w:t>82 (3)</w:t>
      </w:r>
      <w:r w:rsidRPr="00843433">
        <w:t>1988 pp 496-97</w:t>
      </w:r>
      <w:r>
        <w:t>.</w:t>
      </w:r>
    </w:p>
  </w:footnote>
  <w:footnote w:id="35">
    <w:p w:rsidR="00D81834" w:rsidRDefault="00D81834">
      <w:pPr>
        <w:pStyle w:val="FootnoteText"/>
      </w:pPr>
      <w:r>
        <w:tab/>
      </w:r>
      <w:r>
        <w:rPr>
          <w:rStyle w:val="FootnoteReference"/>
        </w:rPr>
        <w:footnoteRef/>
      </w:r>
      <w:r>
        <w:t xml:space="preserve"> </w:t>
      </w:r>
      <w:r>
        <w:tab/>
      </w:r>
      <w:r>
        <w:tab/>
      </w:r>
      <w:r w:rsidRPr="00D81834">
        <w:t>https://www.article19.org/data/files/pdfs/standards/joburgprinciples.pdf</w:t>
      </w:r>
      <w:r w:rsidR="00CC0DC5">
        <w:t>.</w:t>
      </w:r>
    </w:p>
  </w:footnote>
  <w:footnote w:id="36">
    <w:p w:rsidR="00D81834" w:rsidRPr="00843433" w:rsidRDefault="00D81834">
      <w:pPr>
        <w:pStyle w:val="FootnoteText"/>
        <w:rPr>
          <w:sz w:val="20"/>
        </w:rPr>
      </w:pPr>
      <w:r>
        <w:tab/>
      </w:r>
      <w:r>
        <w:rPr>
          <w:rStyle w:val="FootnoteReference"/>
        </w:rPr>
        <w:footnoteRef/>
      </w:r>
      <w:r>
        <w:t xml:space="preserve"> </w:t>
      </w:r>
      <w:r>
        <w:tab/>
      </w:r>
      <w:r>
        <w:tab/>
      </w:r>
      <w:r w:rsidRPr="00AC7486">
        <w:rPr>
          <w:szCs w:val="18"/>
        </w:rPr>
        <w:t>International law permits the criminalising of hate speech only where it amounts to incitement to discrimination, hostility and violence, as stipulated in Articl</w:t>
      </w:r>
      <w:r>
        <w:rPr>
          <w:szCs w:val="18"/>
        </w:rPr>
        <w:t>e 20(2) of the ICCPR.</w:t>
      </w:r>
    </w:p>
  </w:footnote>
  <w:footnote w:id="37">
    <w:p w:rsidR="00D81834" w:rsidRPr="00D81834" w:rsidRDefault="00D81834" w:rsidP="004C04B3">
      <w:pPr>
        <w:pStyle w:val="FootnoteText"/>
        <w:rPr>
          <w:lang w:val="es-ES"/>
        </w:rPr>
      </w:pPr>
      <w:r>
        <w:tab/>
      </w:r>
      <w:r w:rsidRPr="00CF699D">
        <w:rPr>
          <w:rStyle w:val="FootnoteReference"/>
        </w:rPr>
        <w:footnoteRef/>
      </w:r>
      <w:r w:rsidRPr="00D81834">
        <w:rPr>
          <w:lang w:val="es-ES"/>
        </w:rPr>
        <w:tab/>
        <w:t>CCPR/C/GC/34, para 48</w:t>
      </w:r>
      <w:r>
        <w:rPr>
          <w:lang w:val="es-ES"/>
        </w:rPr>
        <w:t>.</w:t>
      </w:r>
    </w:p>
  </w:footnote>
  <w:footnote w:id="38">
    <w:p w:rsidR="00D81834" w:rsidRPr="00D81834" w:rsidRDefault="00D81834" w:rsidP="004C04B3">
      <w:pPr>
        <w:pStyle w:val="FootnoteText"/>
        <w:rPr>
          <w:lang w:val="es-ES"/>
        </w:rPr>
      </w:pPr>
      <w:r w:rsidRPr="00D81834">
        <w:rPr>
          <w:lang w:val="es-ES"/>
        </w:rPr>
        <w:tab/>
      </w:r>
      <w:r w:rsidRPr="004C04B3">
        <w:rPr>
          <w:rStyle w:val="FootnoteReference"/>
        </w:rPr>
        <w:footnoteRef/>
      </w:r>
      <w:r w:rsidRPr="00D81834">
        <w:rPr>
          <w:lang w:val="es-ES"/>
        </w:rPr>
        <w:tab/>
        <w:t>A/72/365, para 27</w:t>
      </w:r>
      <w:r>
        <w:rPr>
          <w:lang w:val="es-ES"/>
        </w:rPr>
        <w:t>.</w:t>
      </w:r>
    </w:p>
  </w:footnote>
  <w:footnote w:id="39">
    <w:p w:rsidR="00D81834" w:rsidRPr="004C04B3" w:rsidRDefault="00D81834" w:rsidP="004C04B3">
      <w:pPr>
        <w:pStyle w:val="FootnoteText"/>
      </w:pPr>
      <w:r w:rsidRPr="00D81834">
        <w:rPr>
          <w:lang w:val="es-ES"/>
        </w:rPr>
        <w:tab/>
      </w:r>
      <w:r w:rsidRPr="00CF699D">
        <w:rPr>
          <w:rStyle w:val="FootnoteReference"/>
        </w:rPr>
        <w:footnoteRef/>
      </w:r>
      <w:r>
        <w:tab/>
      </w:r>
      <w:r w:rsidRPr="00843433">
        <w:rPr>
          <w:i/>
        </w:rPr>
        <w:t>Ibid</w:t>
      </w:r>
      <w:r>
        <w:rPr>
          <w:i/>
        </w:rPr>
        <w:t>..</w:t>
      </w:r>
    </w:p>
  </w:footnote>
  <w:footnote w:id="40">
    <w:p w:rsidR="00D81834" w:rsidRPr="004C04B3" w:rsidRDefault="00D81834" w:rsidP="004C04B3">
      <w:pPr>
        <w:pStyle w:val="FootnoteText"/>
      </w:pPr>
      <w:r>
        <w:tab/>
      </w:r>
      <w:r w:rsidRPr="004C04B3">
        <w:rPr>
          <w:rStyle w:val="FootnoteReference"/>
        </w:rPr>
        <w:footnoteRef/>
      </w:r>
      <w:r>
        <w:tab/>
        <w:t xml:space="preserve">For example, </w:t>
      </w:r>
      <w:r w:rsidRPr="004C04B3">
        <w:t>Europol Internet Referral Unit to Combat Terrorist and Violent Extremist Propaganda.</w:t>
      </w:r>
    </w:p>
  </w:footnote>
  <w:footnote w:id="41">
    <w:p w:rsidR="00D81834" w:rsidRPr="00CF699D" w:rsidRDefault="00D81834" w:rsidP="00CF699D">
      <w:pPr>
        <w:pStyle w:val="FootnoteText"/>
      </w:pPr>
      <w:r>
        <w:tab/>
      </w:r>
      <w:r w:rsidRPr="00CF699D">
        <w:rPr>
          <w:rStyle w:val="FootnoteReference"/>
        </w:rPr>
        <w:footnoteRef/>
      </w:r>
      <w:r>
        <w:tab/>
      </w:r>
      <w:r w:rsidRPr="00CF699D">
        <w:t>See Joelle Fiss, Anti-Blasphemy Offensives in the Digital Age: When Hardliners Take Over, Analysis Paper, no. 25, Brookings Institution, September 2016.</w:t>
      </w:r>
    </w:p>
  </w:footnote>
  <w:footnote w:id="42">
    <w:p w:rsidR="00D81834" w:rsidRPr="00D81834" w:rsidRDefault="00D81834" w:rsidP="00CF699D">
      <w:pPr>
        <w:pStyle w:val="FootnoteText"/>
        <w:rPr>
          <w:lang w:val="es-ES"/>
        </w:rPr>
      </w:pPr>
      <w:r>
        <w:tab/>
      </w:r>
      <w:r w:rsidRPr="00CF699D">
        <w:rPr>
          <w:rStyle w:val="FootnoteReference"/>
        </w:rPr>
        <w:footnoteRef/>
      </w:r>
      <w:r w:rsidRPr="00D81834">
        <w:rPr>
          <w:lang w:val="es-ES"/>
        </w:rPr>
        <w:tab/>
        <w:t>A/72/365, para 31</w:t>
      </w:r>
      <w:r>
        <w:rPr>
          <w:lang w:val="es-ES"/>
        </w:rPr>
        <w:t>.</w:t>
      </w:r>
    </w:p>
  </w:footnote>
  <w:footnote w:id="43">
    <w:p w:rsidR="00D81834" w:rsidRPr="00D81834" w:rsidRDefault="00D81834" w:rsidP="00CF699D">
      <w:pPr>
        <w:pStyle w:val="FootnoteText"/>
        <w:rPr>
          <w:lang w:val="es-ES"/>
        </w:rPr>
      </w:pPr>
      <w:r w:rsidRPr="00D81834">
        <w:rPr>
          <w:lang w:val="es-ES"/>
        </w:rPr>
        <w:tab/>
      </w:r>
      <w:r w:rsidRPr="00CF699D">
        <w:rPr>
          <w:rStyle w:val="FootnoteReference"/>
        </w:rPr>
        <w:footnoteRef/>
      </w:r>
      <w:r w:rsidRPr="00D81834">
        <w:rPr>
          <w:lang w:val="es-ES"/>
        </w:rPr>
        <w:tab/>
        <w:t>https://www.ohchr.org/en/NewsEvents/Pages/DisplayNews.aspx?NewsID=23050&amp;LangID=E</w:t>
      </w:r>
    </w:p>
  </w:footnote>
  <w:footnote w:id="44">
    <w:p w:rsidR="00D81834" w:rsidRPr="00D81834" w:rsidRDefault="00D81834" w:rsidP="00CF699D">
      <w:pPr>
        <w:pStyle w:val="FootnoteText"/>
        <w:rPr>
          <w:lang w:val="es-ES"/>
        </w:rPr>
      </w:pPr>
      <w:r w:rsidRPr="00D81834">
        <w:rPr>
          <w:lang w:val="es-ES"/>
        </w:rPr>
        <w:tab/>
      </w:r>
      <w:r w:rsidRPr="00CF699D">
        <w:rPr>
          <w:rStyle w:val="FootnoteReference"/>
        </w:rPr>
        <w:footnoteRef/>
      </w:r>
      <w:r w:rsidRPr="00D81834">
        <w:rPr>
          <w:lang w:val="es-ES"/>
        </w:rPr>
        <w:tab/>
      </w:r>
      <w:r>
        <w:rPr>
          <w:lang w:val="es-ES"/>
        </w:rPr>
        <w:t xml:space="preserve">OHCHR, </w:t>
      </w:r>
      <w:r>
        <w:t>Urgent Appeal,  SAU/10/2015 dated 30 November 2015.</w:t>
      </w:r>
    </w:p>
  </w:footnote>
  <w:footnote w:id="45">
    <w:p w:rsidR="00D81834" w:rsidRPr="00D81834" w:rsidRDefault="00D81834" w:rsidP="00CF699D">
      <w:pPr>
        <w:pStyle w:val="FootnoteText"/>
        <w:rPr>
          <w:lang w:val="es-ES"/>
        </w:rPr>
      </w:pPr>
      <w:r w:rsidRPr="00D81834">
        <w:rPr>
          <w:lang w:val="es-ES"/>
        </w:rPr>
        <w:tab/>
      </w:r>
      <w:r w:rsidRPr="00CF699D">
        <w:rPr>
          <w:rStyle w:val="FootnoteReference"/>
        </w:rPr>
        <w:footnoteRef/>
      </w:r>
      <w:r w:rsidRPr="00D81834">
        <w:rPr>
          <w:lang w:val="es-ES"/>
        </w:rPr>
        <w:tab/>
      </w:r>
      <w:hyperlink r:id="rId3">
        <w:r w:rsidRPr="00D81834">
          <w:rPr>
            <w:highlight w:val="white"/>
            <w:lang w:val="es-ES"/>
          </w:rPr>
          <w:t>http://www.state.gov/j/drl/rls/hrrpt/2008/nea/119115.htm</w:t>
        </w:r>
      </w:hyperlink>
      <w:r w:rsidR="00CC0DC5">
        <w:rPr>
          <w:highlight w:val="white"/>
          <w:lang w:val="es-ES"/>
        </w:rPr>
        <w:t>.</w:t>
      </w:r>
    </w:p>
  </w:footnote>
  <w:footnote w:id="46">
    <w:p w:rsidR="00D81834" w:rsidRDefault="00CC0DC5" w:rsidP="00CC0DC5">
      <w:pPr>
        <w:pStyle w:val="FootnoteText"/>
      </w:pPr>
      <w:r>
        <w:tab/>
      </w:r>
      <w:r w:rsidR="00D81834">
        <w:rPr>
          <w:rStyle w:val="FootnoteReference"/>
        </w:rPr>
        <w:footnoteRef/>
      </w:r>
      <w:r>
        <w:tab/>
      </w:r>
      <w:r w:rsidR="00D81834">
        <w:t>A/HRC/38/35 para 66.</w:t>
      </w:r>
    </w:p>
  </w:footnote>
  <w:footnote w:id="47">
    <w:p w:rsidR="00D81834" w:rsidRDefault="00CC0DC5" w:rsidP="00CC0DC5">
      <w:pPr>
        <w:pStyle w:val="FootnoteText"/>
      </w:pPr>
      <w:r>
        <w:tab/>
      </w:r>
      <w:r w:rsidR="00D81834">
        <w:rPr>
          <w:rStyle w:val="FootnoteReference"/>
        </w:rPr>
        <w:footnoteRef/>
      </w:r>
      <w:r>
        <w:tab/>
      </w:r>
      <w:r w:rsidR="00D81834">
        <w:t>See A/HRC/22/17. Add 4 Annex, Appendix, para 20.</w:t>
      </w:r>
    </w:p>
  </w:footnote>
  <w:footnote w:id="48">
    <w:p w:rsidR="00D81834" w:rsidRPr="00D81834" w:rsidRDefault="00D81834" w:rsidP="00CF699D">
      <w:pPr>
        <w:pStyle w:val="FootnoteText"/>
        <w:rPr>
          <w:bCs/>
          <w:sz w:val="20"/>
          <w:lang w:val="es-ES"/>
        </w:rPr>
      </w:pPr>
      <w:r>
        <w:tab/>
      </w:r>
      <w:r w:rsidRPr="00CF699D">
        <w:rPr>
          <w:rStyle w:val="FootnoteReference"/>
        </w:rPr>
        <w:footnoteRef/>
      </w:r>
      <w:r w:rsidRPr="00D81834">
        <w:rPr>
          <w:lang w:val="es-ES"/>
        </w:rPr>
        <w:tab/>
        <w:t>A/HRC/31/65</w:t>
      </w:r>
      <w:r w:rsidR="00CC0DC5">
        <w:rPr>
          <w:lang w:val="es-ES"/>
        </w:rPr>
        <w:t>.</w:t>
      </w:r>
    </w:p>
  </w:footnote>
  <w:footnote w:id="49">
    <w:p w:rsidR="00D81834" w:rsidRPr="00D81834" w:rsidRDefault="00D81834" w:rsidP="00E91C20">
      <w:pPr>
        <w:pStyle w:val="FootnoteText"/>
        <w:rPr>
          <w:lang w:val="es-ES"/>
        </w:rPr>
      </w:pPr>
      <w:r w:rsidRPr="00D81834">
        <w:rPr>
          <w:lang w:val="es-ES"/>
        </w:rPr>
        <w:tab/>
      </w:r>
      <w:r w:rsidRPr="00E91C20">
        <w:rPr>
          <w:rStyle w:val="FootnoteReference"/>
        </w:rPr>
        <w:footnoteRef/>
      </w:r>
      <w:r w:rsidR="00CC0DC5">
        <w:rPr>
          <w:lang w:val="es-ES"/>
        </w:rPr>
        <w:tab/>
        <w:t>CCPR/C/GC/34, para 46.</w:t>
      </w:r>
      <w:r w:rsidRPr="00D81834">
        <w:rPr>
          <w:lang w:val="es-ES"/>
        </w:rPr>
        <w:t xml:space="preserve"> </w:t>
      </w:r>
    </w:p>
  </w:footnote>
  <w:footnote w:id="50">
    <w:p w:rsidR="00D81834" w:rsidRPr="00D81834" w:rsidRDefault="00D81834" w:rsidP="00E91C20">
      <w:pPr>
        <w:pStyle w:val="FootnoteText"/>
        <w:rPr>
          <w:lang w:val="fr-FR"/>
        </w:rPr>
      </w:pPr>
      <w:r w:rsidRPr="00D81834">
        <w:rPr>
          <w:lang w:val="es-ES"/>
        </w:rPr>
        <w:tab/>
      </w:r>
      <w:r w:rsidRPr="00E91C20">
        <w:rPr>
          <w:rStyle w:val="FootnoteReference"/>
        </w:rPr>
        <w:footnoteRef/>
      </w:r>
      <w:r>
        <w:tab/>
      </w:r>
      <w:r w:rsidRPr="00E91C20">
        <w:t xml:space="preserve">See above footnote 9. See also Anthony Gill and Timothy Shah, “Religious Freedom, Democratisation and Development,” Paper presented at the Annual Meeting of the Association for the Study of Religion, Economics, and Culture Washington, D.C. April 13, 2013. </w:t>
      </w:r>
      <w:r w:rsidRPr="00D81834">
        <w:rPr>
          <w:lang w:val="fr-FR"/>
        </w:rPr>
        <w:t>Available at</w:t>
      </w:r>
    </w:p>
    <w:p w:rsidR="00D81834" w:rsidRPr="00D81834" w:rsidRDefault="00D81834" w:rsidP="00E91C20">
      <w:pPr>
        <w:pStyle w:val="FootnoteText"/>
        <w:rPr>
          <w:lang w:val="fr-FR"/>
        </w:rPr>
      </w:pPr>
      <w:r w:rsidRPr="00D81834">
        <w:rPr>
          <w:lang w:val="fr-FR"/>
        </w:rPr>
        <w:tab/>
      </w:r>
      <w:r w:rsidRPr="00D81834">
        <w:rPr>
          <w:lang w:val="fr-FR"/>
        </w:rPr>
        <w:tab/>
        <w:t>http://www.asrec.org/wp-content/uploads/2015/10/Gill-Shah-Religious-freedom-democratization-and-economic-development.pdf</w:t>
      </w:r>
      <w:r w:rsidR="00CC0DC5">
        <w:rPr>
          <w:lang w:val="fr-FR"/>
        </w:rPr>
        <w:t>.</w:t>
      </w:r>
    </w:p>
  </w:footnote>
  <w:footnote w:id="51">
    <w:p w:rsidR="00D81834" w:rsidRPr="00E91C20" w:rsidRDefault="00D81834" w:rsidP="00E91C20">
      <w:pPr>
        <w:pStyle w:val="FootnoteText"/>
      </w:pPr>
      <w:r w:rsidRPr="00D81834">
        <w:rPr>
          <w:lang w:val="fr-FR"/>
        </w:rPr>
        <w:tab/>
      </w:r>
      <w:r w:rsidRPr="00E91C20">
        <w:rPr>
          <w:rStyle w:val="FootnoteReference"/>
        </w:rPr>
        <w:footnoteRef/>
      </w:r>
      <w:r>
        <w:tab/>
      </w:r>
      <w:r w:rsidRPr="00E91C20">
        <w:t xml:space="preserve">Marc Limon, Nazila Ghanea, Hilary Power, ‘Fighting Religious Intolerance and Discrimination: The UN Account,’ </w:t>
      </w:r>
      <w:r w:rsidRPr="00843433">
        <w:rPr>
          <w:i/>
        </w:rPr>
        <w:t>Journal of Religion and Human Rights</w:t>
      </w:r>
      <w:r>
        <w:t xml:space="preserve"> vol 11 no 1 (2016): 21-65</w:t>
      </w:r>
      <w:r w:rsidR="00CC0DC5">
        <w:t>.</w:t>
      </w:r>
    </w:p>
  </w:footnote>
  <w:footnote w:id="52">
    <w:p w:rsidR="00D81834" w:rsidRPr="00E91C20" w:rsidRDefault="00D81834" w:rsidP="00E91C20">
      <w:pPr>
        <w:pStyle w:val="FootnoteText"/>
      </w:pPr>
      <w:r>
        <w:tab/>
      </w:r>
      <w:r w:rsidRPr="00E91C20">
        <w:rPr>
          <w:rStyle w:val="FootnoteReference"/>
        </w:rPr>
        <w:footnoteRef/>
      </w:r>
      <w:r>
        <w:tab/>
      </w:r>
      <w:r w:rsidRPr="00E91C20">
        <w:t>A/HRC/RES/16/18</w:t>
      </w:r>
      <w:r w:rsidR="00CC0DC5">
        <w:t>.</w:t>
      </w:r>
    </w:p>
  </w:footnote>
  <w:footnote w:id="53">
    <w:p w:rsidR="00D81834" w:rsidRPr="003059EF" w:rsidRDefault="00D81834" w:rsidP="00BA788A">
      <w:pPr>
        <w:pStyle w:val="FootnoteText"/>
      </w:pPr>
      <w:r>
        <w:tab/>
      </w:r>
      <w:r w:rsidRPr="00E91C20">
        <w:rPr>
          <w:rStyle w:val="FootnoteReference"/>
        </w:rPr>
        <w:footnoteRef/>
      </w:r>
      <w:r>
        <w:tab/>
        <w:t>See for example paras 36 and 49</w:t>
      </w:r>
      <w:r w:rsidR="00CC0DC5">
        <w:t>.</w:t>
      </w:r>
    </w:p>
  </w:footnote>
  <w:footnote w:id="54">
    <w:p w:rsidR="00D81834" w:rsidRDefault="00CC0DC5" w:rsidP="00CC0DC5">
      <w:pPr>
        <w:pStyle w:val="FootnoteText"/>
      </w:pPr>
      <w:r>
        <w:tab/>
      </w:r>
      <w:r w:rsidR="00D81834">
        <w:rPr>
          <w:rStyle w:val="FootnoteReference"/>
        </w:rPr>
        <w:footnoteRef/>
      </w:r>
      <w:r>
        <w:tab/>
      </w:r>
      <w:r w:rsidR="00D81834">
        <w:t>/HRC/22/17/Add.4 Annex, Appendix, para 41.</w:t>
      </w:r>
    </w:p>
  </w:footnote>
  <w:footnote w:id="55">
    <w:p w:rsidR="00D81834" w:rsidRPr="00E91C20" w:rsidRDefault="00D81834" w:rsidP="00E91C20">
      <w:pPr>
        <w:pStyle w:val="FootnoteText"/>
      </w:pPr>
      <w:r>
        <w:tab/>
      </w:r>
      <w:r w:rsidRPr="00E91C20">
        <w:rPr>
          <w:rStyle w:val="FootnoteReference"/>
        </w:rPr>
        <w:footnoteRef/>
      </w:r>
      <w:r>
        <w:tab/>
        <w:t>A/HRC/22/17/Add.4 Annex, Appendix.</w:t>
      </w:r>
    </w:p>
  </w:footnote>
  <w:footnote w:id="56">
    <w:p w:rsidR="00D81834" w:rsidRPr="00E91C20" w:rsidRDefault="00D81834" w:rsidP="00E91C20">
      <w:pPr>
        <w:pStyle w:val="FootnoteText"/>
      </w:pPr>
      <w:r>
        <w:tab/>
      </w:r>
      <w:r w:rsidRPr="00E91C20">
        <w:rPr>
          <w:rStyle w:val="FootnoteReference"/>
        </w:rPr>
        <w:footnoteRef/>
      </w:r>
      <w:r>
        <w:tab/>
      </w:r>
      <w:r w:rsidRPr="00E91C20">
        <w:t>See A/HRC/25/58; A/HRC/28/66; A/H</w:t>
      </w:r>
      <w:r>
        <w:t>RC/31/18; A/HRC/34/50; A/72/365</w:t>
      </w:r>
      <w:r w:rsidR="00CC0DC5">
        <w:t>.</w:t>
      </w:r>
    </w:p>
  </w:footnote>
  <w:footnote w:id="57">
    <w:p w:rsidR="00D81834" w:rsidRPr="00E91C20" w:rsidRDefault="00D81834" w:rsidP="00E91C20">
      <w:pPr>
        <w:pStyle w:val="FootnoteText"/>
      </w:pPr>
      <w:r>
        <w:tab/>
      </w:r>
      <w:r w:rsidRPr="00E91C20">
        <w:rPr>
          <w:rStyle w:val="FootnoteReference"/>
        </w:rPr>
        <w:footnoteRef/>
      </w:r>
      <w:r>
        <w:tab/>
      </w:r>
      <w:r w:rsidRPr="00E91C20">
        <w:t xml:space="preserve">A/HRC/22/17/Add.4, </w:t>
      </w:r>
      <w:r>
        <w:t>Annex, A</w:t>
      </w:r>
      <w:r w:rsidRPr="00E91C20">
        <w:t>ppendix, para</w:t>
      </w:r>
      <w:r>
        <w:t xml:space="preserve"> 29</w:t>
      </w:r>
      <w:r w:rsidR="00CC0DC5">
        <w:t>.</w:t>
      </w:r>
    </w:p>
  </w:footnote>
  <w:footnote w:id="58">
    <w:p w:rsidR="00D81834" w:rsidRPr="00E91C20" w:rsidRDefault="00D81834" w:rsidP="00E91C20">
      <w:pPr>
        <w:pStyle w:val="FootnoteText"/>
      </w:pPr>
      <w:r>
        <w:tab/>
      </w:r>
      <w:r w:rsidRPr="00E91C20">
        <w:rPr>
          <w:rStyle w:val="FootnoteReference"/>
        </w:rPr>
        <w:footnoteRef/>
      </w:r>
      <w:r>
        <w:tab/>
      </w:r>
      <w:r w:rsidRPr="00E91C20">
        <w:t>A/HRC/37/3, para 69.</w:t>
      </w:r>
    </w:p>
  </w:footnote>
  <w:footnote w:id="59">
    <w:p w:rsidR="00D81834" w:rsidRPr="00E91C20" w:rsidRDefault="00D81834" w:rsidP="00E91C20">
      <w:pPr>
        <w:pStyle w:val="FootnoteText"/>
      </w:pPr>
      <w:r>
        <w:tab/>
      </w:r>
      <w:r w:rsidRPr="00E91C20">
        <w:rPr>
          <w:rStyle w:val="FootnoteReference"/>
        </w:rPr>
        <w:footnoteRef/>
      </w:r>
      <w:r>
        <w:tab/>
      </w:r>
      <w:r w:rsidRPr="00E91C20">
        <w:t xml:space="preserve">European Court of Human Rights, </w:t>
      </w:r>
      <w:r w:rsidRPr="00843433">
        <w:rPr>
          <w:i/>
        </w:rPr>
        <w:t>Mariya Alekhina and Others v. Russia,</w:t>
      </w:r>
      <w:r w:rsidRPr="00E91C20">
        <w:t xml:space="preserve">  paras 110, 187, 190-191 and 223; see also </w:t>
      </w:r>
      <w:r w:rsidRPr="00E91C20">
        <w:rPr>
          <w:rStyle w:val="spellingerror"/>
          <w:rFonts w:eastAsiaTheme="minorHAnsi"/>
        </w:rPr>
        <w:t>the</w:t>
      </w:r>
      <w:r>
        <w:rPr>
          <w:rStyle w:val="normaltextrun"/>
        </w:rPr>
        <w:t xml:space="preserve"> </w:t>
      </w:r>
      <w:r>
        <w:rPr>
          <w:rStyle w:val="spellingerror"/>
          <w:rFonts w:eastAsiaTheme="minorHAnsi"/>
        </w:rPr>
        <w:t>separate</w:t>
      </w:r>
      <w:r>
        <w:rPr>
          <w:rStyle w:val="normaltextrun"/>
        </w:rPr>
        <w:t xml:space="preserve"> </w:t>
      </w:r>
      <w:r w:rsidRPr="00E91C20">
        <w:rPr>
          <w:rStyle w:val="spellingerror"/>
          <w:rFonts w:eastAsiaTheme="minorHAnsi"/>
        </w:rPr>
        <w:t>opinion</w:t>
      </w:r>
      <w:r w:rsidRPr="00E91C20">
        <w:rPr>
          <w:rStyle w:val="normaltextrun"/>
        </w:rPr>
        <w:t> </w:t>
      </w:r>
      <w:r w:rsidRPr="00E91C20">
        <w:rPr>
          <w:rStyle w:val="spellingerror"/>
          <w:rFonts w:eastAsiaTheme="minorHAnsi"/>
        </w:rPr>
        <w:t>of</w:t>
      </w:r>
      <w:r w:rsidRPr="00E91C20">
        <w:rPr>
          <w:rStyle w:val="normaltextrun"/>
        </w:rPr>
        <w:t> Judge </w:t>
      </w:r>
      <w:r w:rsidRPr="00E91C20">
        <w:rPr>
          <w:rStyle w:val="spellingerror"/>
          <w:rFonts w:eastAsiaTheme="minorHAnsi"/>
        </w:rPr>
        <w:t>Elósegui</w:t>
      </w:r>
      <w:r w:rsidRPr="00E91C20">
        <w:rPr>
          <w:rStyle w:val="normaltextrun"/>
        </w:rPr>
        <w:t>, </w:t>
      </w:r>
      <w:r w:rsidRPr="00E91C20">
        <w:rPr>
          <w:rStyle w:val="spellingerror"/>
          <w:rFonts w:eastAsiaTheme="minorHAnsi"/>
        </w:rPr>
        <w:t>para</w:t>
      </w:r>
      <w:r w:rsidRPr="00E91C20">
        <w:rPr>
          <w:rStyle w:val="normaltextrun"/>
        </w:rPr>
        <w:t xml:space="preserve"> 14</w:t>
      </w:r>
      <w:r w:rsidR="00CC0DC5">
        <w:t>.</w:t>
      </w:r>
    </w:p>
  </w:footnote>
  <w:footnote w:id="60">
    <w:p w:rsidR="00D81834" w:rsidRPr="00E91C20" w:rsidRDefault="00D81834" w:rsidP="00E91C20">
      <w:pPr>
        <w:pStyle w:val="FootnoteText"/>
      </w:pPr>
      <w:r>
        <w:tab/>
      </w:r>
      <w:r w:rsidRPr="00E91C20">
        <w:rPr>
          <w:rStyle w:val="FootnoteReference"/>
        </w:rPr>
        <w:footnoteRef/>
      </w:r>
      <w:r>
        <w:tab/>
        <w:t>A/HRC/RES/34/8</w:t>
      </w:r>
      <w:r w:rsidR="00CC0DC5">
        <w:t>.</w:t>
      </w:r>
    </w:p>
  </w:footnote>
  <w:footnote w:id="61">
    <w:p w:rsidR="00D81834" w:rsidRPr="00E91C20" w:rsidRDefault="00D81834" w:rsidP="00E91C20">
      <w:pPr>
        <w:pStyle w:val="FootnoteText"/>
      </w:pPr>
      <w:r>
        <w:tab/>
      </w:r>
      <w:r w:rsidRPr="00E91C20">
        <w:rPr>
          <w:rStyle w:val="FootnoteReference"/>
        </w:rPr>
        <w:footnoteRef/>
      </w:r>
      <w:r>
        <w:tab/>
        <w:t>A/HRC/RES/34/22</w:t>
      </w:r>
      <w:r w:rsidR="00CC0DC5">
        <w:t>.</w:t>
      </w:r>
    </w:p>
  </w:footnote>
  <w:footnote w:id="62">
    <w:p w:rsidR="00D81834" w:rsidRPr="00AC5E99" w:rsidRDefault="00D81834" w:rsidP="00E91C20">
      <w:pPr>
        <w:pStyle w:val="FootnoteText"/>
      </w:pPr>
      <w:r>
        <w:tab/>
      </w:r>
      <w:r w:rsidRPr="00E91C20">
        <w:rPr>
          <w:rStyle w:val="FootnoteReference"/>
        </w:rPr>
        <w:footnoteRef/>
      </w:r>
      <w:r>
        <w:tab/>
      </w:r>
      <w:r w:rsidRPr="00E91C20">
        <w:t>A/HRC/38/CRP.2, para</w:t>
      </w:r>
      <w:r>
        <w:t xml:space="preserve"> 4</w:t>
      </w:r>
      <w:r w:rsidRPr="00E91C20">
        <w:t>.</w:t>
      </w:r>
    </w:p>
  </w:footnote>
  <w:footnote w:id="63">
    <w:p w:rsidR="00D81834" w:rsidRPr="00C44E55" w:rsidRDefault="00D81834" w:rsidP="00C44E55">
      <w:pPr>
        <w:pStyle w:val="FootnoteText"/>
      </w:pPr>
      <w:r>
        <w:tab/>
      </w:r>
      <w:r w:rsidRPr="00C44E55">
        <w:rPr>
          <w:rStyle w:val="FootnoteReference"/>
        </w:rPr>
        <w:footnoteRef/>
      </w:r>
      <w:r>
        <w:tab/>
      </w:r>
      <w:r w:rsidRPr="00C44E55">
        <w:t>http://www.un.org/en/genocideprevention/documents/Plan_of_Action_Religious_Prevent_Incite.pdf.</w:t>
      </w:r>
    </w:p>
  </w:footnote>
  <w:footnote w:id="64">
    <w:p w:rsidR="00D81834" w:rsidRPr="00C44E55" w:rsidRDefault="00D81834" w:rsidP="00C44E55">
      <w:pPr>
        <w:pStyle w:val="FootnoteText"/>
      </w:pPr>
      <w:r>
        <w:tab/>
      </w:r>
      <w:r w:rsidRPr="00C44E55">
        <w:rPr>
          <w:rStyle w:val="FootnoteReference"/>
        </w:rPr>
        <w:footnoteRef/>
      </w:r>
      <w:r>
        <w:tab/>
      </w:r>
      <w:r w:rsidRPr="00843433">
        <w:rPr>
          <w:i/>
        </w:rPr>
        <w:t>Ibid</w:t>
      </w:r>
      <w:r w:rsidRPr="00C44E55">
        <w:t>, p</w:t>
      </w:r>
      <w:r>
        <w:t xml:space="preserve"> 18</w:t>
      </w:r>
      <w:r w:rsidR="00CC0DC5">
        <w:t>.</w:t>
      </w:r>
    </w:p>
  </w:footnote>
  <w:footnote w:id="65">
    <w:p w:rsidR="00D81834" w:rsidRPr="00C44E55" w:rsidRDefault="00D81834" w:rsidP="00C44E55">
      <w:pPr>
        <w:pStyle w:val="FootnoteText"/>
      </w:pPr>
      <w:r>
        <w:tab/>
      </w:r>
      <w:r w:rsidRPr="00C44E55">
        <w:rPr>
          <w:rStyle w:val="FootnoteReference"/>
        </w:rPr>
        <w:footnoteRef/>
      </w:r>
      <w:r>
        <w:tab/>
      </w:r>
      <w:r w:rsidRPr="00C44E55">
        <w:t>http://www.un.org/en/genocideprevention/documents/publications-and-resources/Framework%20of%20Analysis%20for%20Atrocity%20Crimes_EN.pdf</w:t>
      </w:r>
      <w:r w:rsidR="00CC0DC5">
        <w:t>.</w:t>
      </w:r>
    </w:p>
  </w:footnote>
  <w:footnote w:id="66">
    <w:p w:rsidR="00D81834" w:rsidRPr="00D81834" w:rsidRDefault="00D81834" w:rsidP="00C44E55">
      <w:pPr>
        <w:pStyle w:val="FootnoteText"/>
        <w:rPr>
          <w:lang w:val="es-ES"/>
        </w:rPr>
      </w:pPr>
      <w:r>
        <w:tab/>
      </w:r>
      <w:r w:rsidRPr="00C44E55">
        <w:rPr>
          <w:rStyle w:val="FootnoteReference"/>
        </w:rPr>
        <w:footnoteRef/>
      </w:r>
      <w:r w:rsidRPr="00D81834">
        <w:rPr>
          <w:lang w:val="es-ES"/>
        </w:rPr>
        <w:tab/>
        <w:t>A/70/674, para 5</w:t>
      </w:r>
      <w:r w:rsidR="00CC0DC5">
        <w:rPr>
          <w:lang w:val="es-ES"/>
        </w:rPr>
        <w:t>.</w:t>
      </w:r>
    </w:p>
  </w:footnote>
  <w:footnote w:id="67">
    <w:p w:rsidR="00D81834" w:rsidRPr="00D81834" w:rsidRDefault="00D81834" w:rsidP="00C44E55">
      <w:pPr>
        <w:pStyle w:val="FootnoteText"/>
        <w:rPr>
          <w:lang w:val="es-ES"/>
        </w:rPr>
      </w:pPr>
      <w:r w:rsidRPr="00D81834">
        <w:rPr>
          <w:lang w:val="es-ES"/>
        </w:rPr>
        <w:tab/>
      </w:r>
      <w:r w:rsidRPr="00C44E55">
        <w:rPr>
          <w:rStyle w:val="FootnoteReference"/>
        </w:rPr>
        <w:footnoteRef/>
      </w:r>
      <w:r w:rsidRPr="00D81834">
        <w:rPr>
          <w:lang w:val="es-ES"/>
        </w:rPr>
        <w:tab/>
      </w:r>
      <w:r w:rsidRPr="00D81834">
        <w:rPr>
          <w:i/>
          <w:lang w:val="es-ES"/>
        </w:rPr>
        <w:t>Ibid.,</w:t>
      </w:r>
      <w:r w:rsidRPr="00D81834">
        <w:rPr>
          <w:lang w:val="es-ES"/>
        </w:rPr>
        <w:t xml:space="preserve"> para 49</w:t>
      </w:r>
      <w:r w:rsidR="00CC0DC5">
        <w:rPr>
          <w:lang w:val="es-ES"/>
        </w:rPr>
        <w:t>.</w:t>
      </w:r>
    </w:p>
  </w:footnote>
  <w:footnote w:id="68">
    <w:p w:rsidR="00D81834" w:rsidRPr="00D81834" w:rsidRDefault="00D81834" w:rsidP="00C44E55">
      <w:pPr>
        <w:pStyle w:val="FootnoteText"/>
        <w:rPr>
          <w:lang w:val="es-ES"/>
        </w:rPr>
      </w:pPr>
      <w:r w:rsidRPr="00D81834">
        <w:rPr>
          <w:lang w:val="es-ES"/>
        </w:rPr>
        <w:tab/>
      </w:r>
      <w:r w:rsidRPr="00C44E55">
        <w:rPr>
          <w:rStyle w:val="FootnoteReference"/>
        </w:rPr>
        <w:footnoteRef/>
      </w:r>
      <w:r w:rsidRPr="00D81834">
        <w:rPr>
          <w:lang w:val="es-ES"/>
        </w:rPr>
        <w:tab/>
      </w:r>
      <w:r w:rsidRPr="00D81834">
        <w:rPr>
          <w:i/>
          <w:lang w:val="es-ES"/>
        </w:rPr>
        <w:t>Ibid</w:t>
      </w:r>
      <w:r w:rsidRPr="00D81834">
        <w:rPr>
          <w:lang w:val="es-ES"/>
        </w:rPr>
        <w:t>., para 50</w:t>
      </w:r>
      <w:r w:rsidR="00CC0DC5">
        <w:rPr>
          <w:lang w:val="es-ES"/>
        </w:rPr>
        <w:t>.</w:t>
      </w:r>
    </w:p>
  </w:footnote>
  <w:footnote w:id="69">
    <w:p w:rsidR="00D81834" w:rsidRPr="00D81834" w:rsidRDefault="00D81834" w:rsidP="00C44E55">
      <w:pPr>
        <w:pStyle w:val="FootnoteText"/>
        <w:rPr>
          <w:lang w:val="es-ES"/>
        </w:rPr>
      </w:pPr>
      <w:r w:rsidRPr="00D81834">
        <w:rPr>
          <w:lang w:val="es-ES"/>
        </w:rPr>
        <w:tab/>
      </w:r>
      <w:r w:rsidRPr="00C44E55">
        <w:rPr>
          <w:rStyle w:val="FootnoteReference"/>
        </w:rPr>
        <w:footnoteRef/>
      </w:r>
      <w:r w:rsidRPr="00D81834">
        <w:rPr>
          <w:lang w:val="es-ES"/>
        </w:rPr>
        <w:tab/>
        <w:t>https://www.ohchr.org/EN/Issues/FreedomReligion/Pages/FaithForRights.aspx</w:t>
      </w:r>
      <w:r w:rsidR="00CC0DC5">
        <w:rPr>
          <w:lang w:val="es-ES"/>
        </w:rPr>
        <w:t>.</w:t>
      </w:r>
    </w:p>
  </w:footnote>
  <w:footnote w:id="70">
    <w:p w:rsidR="00D81834" w:rsidRPr="004C61A9" w:rsidRDefault="00D81834" w:rsidP="004C61A9">
      <w:pPr>
        <w:pStyle w:val="FootnoteText"/>
      </w:pPr>
      <w:r w:rsidRPr="00D81834">
        <w:rPr>
          <w:lang w:val="es-ES"/>
        </w:rPr>
        <w:tab/>
      </w:r>
      <w:r w:rsidRPr="004C61A9">
        <w:rPr>
          <w:rStyle w:val="FootnoteReference"/>
        </w:rPr>
        <w:footnoteRef/>
      </w:r>
      <w:r>
        <w:tab/>
      </w:r>
      <w:r w:rsidRPr="004C61A9">
        <w:t>Commitment XVI, https://www.ohchr.org/Documents/Press/21451/18</w:t>
      </w:r>
      <w:r>
        <w:t>CommitmentsonFaithforRights.pdf</w:t>
      </w:r>
      <w:r w:rsidR="00CC0DC5">
        <w:t>.</w:t>
      </w:r>
    </w:p>
  </w:footnote>
  <w:footnote w:id="71">
    <w:p w:rsidR="00D81834" w:rsidRPr="004C61A9" w:rsidRDefault="00D81834" w:rsidP="004C61A9">
      <w:pPr>
        <w:pStyle w:val="FootnoteText"/>
      </w:pPr>
      <w:r>
        <w:tab/>
      </w:r>
      <w:r w:rsidRPr="004C61A9">
        <w:rPr>
          <w:rStyle w:val="FootnoteReference"/>
        </w:rPr>
        <w:footnoteRef/>
      </w:r>
      <w:r>
        <w:tab/>
      </w:r>
      <w:r w:rsidRPr="004C61A9">
        <w:t xml:space="preserve">See A/70/371, para 14. See also Security Council resolution 2129 (2013), para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4" w:rsidRDefault="00D81834">
    <w:pPr>
      <w:pStyle w:val="Header"/>
      <w:rPr>
        <w:color w:val="0000FF"/>
      </w:rPr>
    </w:pPr>
    <w:r>
      <w:t>A/73/45410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4" w:rsidRDefault="00D81834">
    <w:pPr>
      <w:pStyle w:val="Header"/>
      <w:jc w:val="right"/>
    </w:pPr>
    <w:r>
      <w:t>A/73/45410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EF12F5"/>
    <w:multiLevelType w:val="multilevel"/>
    <w:tmpl w:val="FA6C97A6"/>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42EF1B53"/>
    <w:multiLevelType w:val="hybridMultilevel"/>
    <w:tmpl w:val="08D07562"/>
    <w:lvl w:ilvl="0" w:tplc="8716B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441A6A26"/>
    <w:multiLevelType w:val="hybridMultilevel"/>
    <w:tmpl w:val="F7FAE2FC"/>
    <w:lvl w:ilvl="0" w:tplc="69DA6016">
      <w:start w:val="1"/>
      <w:numFmt w:val="decimal"/>
      <w:lvlText w:val="%1."/>
      <w:lvlJc w:val="left"/>
      <w:pPr>
        <w:ind w:left="1778"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505C1CDE"/>
    <w:multiLevelType w:val="hybridMultilevel"/>
    <w:tmpl w:val="E0BC2822"/>
    <w:lvl w:ilvl="0" w:tplc="0B02B218">
      <w:start w:val="1"/>
      <w:numFmt w:val="decimal"/>
      <w:lvlText w:val="%1."/>
      <w:lvlJc w:val="left"/>
      <w:pPr>
        <w:ind w:left="1440" w:hanging="360"/>
      </w:pPr>
      <w:rPr>
        <w:rFonts w:hint="default"/>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615E78"/>
    <w:multiLevelType w:val="hybridMultilevel"/>
    <w:tmpl w:val="0AE8E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31053"/>
    <w:multiLevelType w:val="hybridMultilevel"/>
    <w:tmpl w:val="742653B4"/>
    <w:lvl w:ilvl="0" w:tplc="4B5EA29A">
      <w:start w:val="1"/>
      <w:numFmt w:val="decimal"/>
      <w:lvlText w:val="%1."/>
      <w:lvlJc w:val="left"/>
      <w:pPr>
        <w:ind w:left="360" w:firstLine="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065D5"/>
    <w:rsid w:val="00006E87"/>
    <w:rsid w:val="000117A7"/>
    <w:rsid w:val="00016554"/>
    <w:rsid w:val="00025C6E"/>
    <w:rsid w:val="00035217"/>
    <w:rsid w:val="000373EF"/>
    <w:rsid w:val="00042B94"/>
    <w:rsid w:val="000516E6"/>
    <w:rsid w:val="00054F37"/>
    <w:rsid w:val="00060F7E"/>
    <w:rsid w:val="00064655"/>
    <w:rsid w:val="00065C66"/>
    <w:rsid w:val="00065F73"/>
    <w:rsid w:val="00067C60"/>
    <w:rsid w:val="00070681"/>
    <w:rsid w:val="00080CCE"/>
    <w:rsid w:val="00081BAD"/>
    <w:rsid w:val="000932BE"/>
    <w:rsid w:val="00096D96"/>
    <w:rsid w:val="000A0AA7"/>
    <w:rsid w:val="000A3E31"/>
    <w:rsid w:val="000B116F"/>
    <w:rsid w:val="000B34E5"/>
    <w:rsid w:val="000B6263"/>
    <w:rsid w:val="000C4311"/>
    <w:rsid w:val="000C5DEA"/>
    <w:rsid w:val="000D27B3"/>
    <w:rsid w:val="000F0AB3"/>
    <w:rsid w:val="000F229D"/>
    <w:rsid w:val="000F2676"/>
    <w:rsid w:val="000F33F9"/>
    <w:rsid w:val="000F543A"/>
    <w:rsid w:val="001033FA"/>
    <w:rsid w:val="0012216E"/>
    <w:rsid w:val="001226A6"/>
    <w:rsid w:val="0012276C"/>
    <w:rsid w:val="00124817"/>
    <w:rsid w:val="001278D3"/>
    <w:rsid w:val="00131BCF"/>
    <w:rsid w:val="00141930"/>
    <w:rsid w:val="0014194A"/>
    <w:rsid w:val="00147CF7"/>
    <w:rsid w:val="00154CFF"/>
    <w:rsid w:val="00154F81"/>
    <w:rsid w:val="00163EBC"/>
    <w:rsid w:val="00166271"/>
    <w:rsid w:val="0017403B"/>
    <w:rsid w:val="001A45D3"/>
    <w:rsid w:val="001A47B8"/>
    <w:rsid w:val="001B1189"/>
    <w:rsid w:val="001B7615"/>
    <w:rsid w:val="001C1E8D"/>
    <w:rsid w:val="001D7205"/>
    <w:rsid w:val="001E2C3B"/>
    <w:rsid w:val="001E6D08"/>
    <w:rsid w:val="001F37F0"/>
    <w:rsid w:val="001F683C"/>
    <w:rsid w:val="00202754"/>
    <w:rsid w:val="00202755"/>
    <w:rsid w:val="00210619"/>
    <w:rsid w:val="00215352"/>
    <w:rsid w:val="00215A82"/>
    <w:rsid w:val="00220244"/>
    <w:rsid w:val="00220995"/>
    <w:rsid w:val="00225A9E"/>
    <w:rsid w:val="0022772F"/>
    <w:rsid w:val="0023154E"/>
    <w:rsid w:val="002327D5"/>
    <w:rsid w:val="00232BDB"/>
    <w:rsid w:val="002379D6"/>
    <w:rsid w:val="00242060"/>
    <w:rsid w:val="0025246D"/>
    <w:rsid w:val="00257175"/>
    <w:rsid w:val="002672AC"/>
    <w:rsid w:val="0027486C"/>
    <w:rsid w:val="00274B0E"/>
    <w:rsid w:val="00276556"/>
    <w:rsid w:val="00280A25"/>
    <w:rsid w:val="0029370C"/>
    <w:rsid w:val="0029641B"/>
    <w:rsid w:val="00297C12"/>
    <w:rsid w:val="002A138E"/>
    <w:rsid w:val="002A2A4D"/>
    <w:rsid w:val="002B14ED"/>
    <w:rsid w:val="002B5265"/>
    <w:rsid w:val="002C69B1"/>
    <w:rsid w:val="002D3E59"/>
    <w:rsid w:val="002D682A"/>
    <w:rsid w:val="002E55BD"/>
    <w:rsid w:val="002E60CF"/>
    <w:rsid w:val="002F1650"/>
    <w:rsid w:val="002F73D2"/>
    <w:rsid w:val="00303510"/>
    <w:rsid w:val="0030777C"/>
    <w:rsid w:val="003108AB"/>
    <w:rsid w:val="003219F6"/>
    <w:rsid w:val="003261EA"/>
    <w:rsid w:val="00327170"/>
    <w:rsid w:val="0033182A"/>
    <w:rsid w:val="0033430B"/>
    <w:rsid w:val="003343ED"/>
    <w:rsid w:val="00334DBC"/>
    <w:rsid w:val="00343F2D"/>
    <w:rsid w:val="00357D8D"/>
    <w:rsid w:val="00366F0A"/>
    <w:rsid w:val="003747D6"/>
    <w:rsid w:val="003852F5"/>
    <w:rsid w:val="00385EFB"/>
    <w:rsid w:val="003C1B34"/>
    <w:rsid w:val="003C5081"/>
    <w:rsid w:val="003C7445"/>
    <w:rsid w:val="003D083D"/>
    <w:rsid w:val="003D190E"/>
    <w:rsid w:val="003D2428"/>
    <w:rsid w:val="003E30E2"/>
    <w:rsid w:val="003E3543"/>
    <w:rsid w:val="003F2287"/>
    <w:rsid w:val="004009DB"/>
    <w:rsid w:val="00401CB0"/>
    <w:rsid w:val="004060F0"/>
    <w:rsid w:val="004200B6"/>
    <w:rsid w:val="00423380"/>
    <w:rsid w:val="0042511A"/>
    <w:rsid w:val="00426C9A"/>
    <w:rsid w:val="004278CD"/>
    <w:rsid w:val="00432336"/>
    <w:rsid w:val="004412E0"/>
    <w:rsid w:val="00441EBA"/>
    <w:rsid w:val="00443D50"/>
    <w:rsid w:val="0044700E"/>
    <w:rsid w:val="0045610C"/>
    <w:rsid w:val="00464AFD"/>
    <w:rsid w:val="0047063B"/>
    <w:rsid w:val="00487758"/>
    <w:rsid w:val="0049025D"/>
    <w:rsid w:val="00490378"/>
    <w:rsid w:val="004905CF"/>
    <w:rsid w:val="00493915"/>
    <w:rsid w:val="00497019"/>
    <w:rsid w:val="004A23E1"/>
    <w:rsid w:val="004A5F76"/>
    <w:rsid w:val="004B63EC"/>
    <w:rsid w:val="004C04B3"/>
    <w:rsid w:val="004C4351"/>
    <w:rsid w:val="004C61A9"/>
    <w:rsid w:val="004C6753"/>
    <w:rsid w:val="004D0C36"/>
    <w:rsid w:val="004D1228"/>
    <w:rsid w:val="004D2114"/>
    <w:rsid w:val="004D3EB9"/>
    <w:rsid w:val="004D62FC"/>
    <w:rsid w:val="004D7A0A"/>
    <w:rsid w:val="004D7CA3"/>
    <w:rsid w:val="004F2E2F"/>
    <w:rsid w:val="004F7582"/>
    <w:rsid w:val="004F76A2"/>
    <w:rsid w:val="00504C6F"/>
    <w:rsid w:val="00511BB7"/>
    <w:rsid w:val="00512477"/>
    <w:rsid w:val="0051717A"/>
    <w:rsid w:val="00531D77"/>
    <w:rsid w:val="00543E49"/>
    <w:rsid w:val="005445C2"/>
    <w:rsid w:val="00555FBE"/>
    <w:rsid w:val="00562738"/>
    <w:rsid w:val="005A061A"/>
    <w:rsid w:val="005A5A3D"/>
    <w:rsid w:val="005A628A"/>
    <w:rsid w:val="005C035E"/>
    <w:rsid w:val="005C1169"/>
    <w:rsid w:val="005C56B7"/>
    <w:rsid w:val="005D092B"/>
    <w:rsid w:val="005D5EC0"/>
    <w:rsid w:val="005E3A13"/>
    <w:rsid w:val="005E5EEF"/>
    <w:rsid w:val="005F0EFF"/>
    <w:rsid w:val="005F129B"/>
    <w:rsid w:val="005F7625"/>
    <w:rsid w:val="00600B63"/>
    <w:rsid w:val="006043B0"/>
    <w:rsid w:val="00623A04"/>
    <w:rsid w:val="00623E50"/>
    <w:rsid w:val="0063520B"/>
    <w:rsid w:val="00636391"/>
    <w:rsid w:val="00640A94"/>
    <w:rsid w:val="006416F6"/>
    <w:rsid w:val="006427BC"/>
    <w:rsid w:val="00645466"/>
    <w:rsid w:val="0065050D"/>
    <w:rsid w:val="006757DC"/>
    <w:rsid w:val="00675D9C"/>
    <w:rsid w:val="00676044"/>
    <w:rsid w:val="00681297"/>
    <w:rsid w:val="0068206A"/>
    <w:rsid w:val="00682448"/>
    <w:rsid w:val="006827EA"/>
    <w:rsid w:val="006844F9"/>
    <w:rsid w:val="00687B58"/>
    <w:rsid w:val="006B6C89"/>
    <w:rsid w:val="006C7539"/>
    <w:rsid w:val="006D6279"/>
    <w:rsid w:val="006E1EFA"/>
    <w:rsid w:val="006E6DD0"/>
    <w:rsid w:val="006F4F47"/>
    <w:rsid w:val="00700494"/>
    <w:rsid w:val="00701F3C"/>
    <w:rsid w:val="007031F0"/>
    <w:rsid w:val="00706A7E"/>
    <w:rsid w:val="007113DA"/>
    <w:rsid w:val="00712C4C"/>
    <w:rsid w:val="00714029"/>
    <w:rsid w:val="00714619"/>
    <w:rsid w:val="00714B84"/>
    <w:rsid w:val="00716960"/>
    <w:rsid w:val="00725172"/>
    <w:rsid w:val="0072715D"/>
    <w:rsid w:val="00731005"/>
    <w:rsid w:val="00734BAF"/>
    <w:rsid w:val="0073577D"/>
    <w:rsid w:val="00735FC6"/>
    <w:rsid w:val="00737879"/>
    <w:rsid w:val="00742889"/>
    <w:rsid w:val="00753AEB"/>
    <w:rsid w:val="0076153C"/>
    <w:rsid w:val="007618C4"/>
    <w:rsid w:val="007633DE"/>
    <w:rsid w:val="007809D3"/>
    <w:rsid w:val="00791E69"/>
    <w:rsid w:val="00792A93"/>
    <w:rsid w:val="00793D99"/>
    <w:rsid w:val="007949FA"/>
    <w:rsid w:val="007A7235"/>
    <w:rsid w:val="007B027E"/>
    <w:rsid w:val="007B3998"/>
    <w:rsid w:val="007B56AF"/>
    <w:rsid w:val="007B61AD"/>
    <w:rsid w:val="007C67A8"/>
    <w:rsid w:val="007D0EBA"/>
    <w:rsid w:val="007D142D"/>
    <w:rsid w:val="007E43CF"/>
    <w:rsid w:val="007E520D"/>
    <w:rsid w:val="007F0779"/>
    <w:rsid w:val="00802F74"/>
    <w:rsid w:val="00810FB2"/>
    <w:rsid w:val="008302B0"/>
    <w:rsid w:val="008371DB"/>
    <w:rsid w:val="00843433"/>
    <w:rsid w:val="00846486"/>
    <w:rsid w:val="008501AA"/>
    <w:rsid w:val="00850278"/>
    <w:rsid w:val="00852568"/>
    <w:rsid w:val="00853EF9"/>
    <w:rsid w:val="00855D2C"/>
    <w:rsid w:val="00855E2F"/>
    <w:rsid w:val="0085753C"/>
    <w:rsid w:val="00865330"/>
    <w:rsid w:val="00866F93"/>
    <w:rsid w:val="00872745"/>
    <w:rsid w:val="00880561"/>
    <w:rsid w:val="00881418"/>
    <w:rsid w:val="00882273"/>
    <w:rsid w:val="00885A39"/>
    <w:rsid w:val="008951DC"/>
    <w:rsid w:val="0089538F"/>
    <w:rsid w:val="008977E6"/>
    <w:rsid w:val="008A0D91"/>
    <w:rsid w:val="008A18A8"/>
    <w:rsid w:val="008A3979"/>
    <w:rsid w:val="008A4708"/>
    <w:rsid w:val="008B2A51"/>
    <w:rsid w:val="008B36E2"/>
    <w:rsid w:val="008C01D8"/>
    <w:rsid w:val="008C1A68"/>
    <w:rsid w:val="008C1F0E"/>
    <w:rsid w:val="008D4E62"/>
    <w:rsid w:val="008D78E3"/>
    <w:rsid w:val="008F26DE"/>
    <w:rsid w:val="008F3786"/>
    <w:rsid w:val="008F624A"/>
    <w:rsid w:val="00906CBF"/>
    <w:rsid w:val="00911919"/>
    <w:rsid w:val="00927463"/>
    <w:rsid w:val="00931DC7"/>
    <w:rsid w:val="00933A51"/>
    <w:rsid w:val="009459D3"/>
    <w:rsid w:val="00951B65"/>
    <w:rsid w:val="00967AB3"/>
    <w:rsid w:val="009723FB"/>
    <w:rsid w:val="00987440"/>
    <w:rsid w:val="00991A07"/>
    <w:rsid w:val="009A5AD5"/>
    <w:rsid w:val="009B003B"/>
    <w:rsid w:val="009B00BD"/>
    <w:rsid w:val="009B0AE9"/>
    <w:rsid w:val="009B3FC3"/>
    <w:rsid w:val="009C7CA3"/>
    <w:rsid w:val="009D0720"/>
    <w:rsid w:val="009D4A1B"/>
    <w:rsid w:val="009E1BCE"/>
    <w:rsid w:val="009E5D62"/>
    <w:rsid w:val="009F4F6F"/>
    <w:rsid w:val="009F5C49"/>
    <w:rsid w:val="00A05EFE"/>
    <w:rsid w:val="00A21E3B"/>
    <w:rsid w:val="00A31FF0"/>
    <w:rsid w:val="00A43D07"/>
    <w:rsid w:val="00A45819"/>
    <w:rsid w:val="00A46434"/>
    <w:rsid w:val="00A46652"/>
    <w:rsid w:val="00A528CE"/>
    <w:rsid w:val="00A5302A"/>
    <w:rsid w:val="00A5753F"/>
    <w:rsid w:val="00A71CC9"/>
    <w:rsid w:val="00A727D7"/>
    <w:rsid w:val="00A7669C"/>
    <w:rsid w:val="00A76796"/>
    <w:rsid w:val="00A8576A"/>
    <w:rsid w:val="00A863AE"/>
    <w:rsid w:val="00A95F14"/>
    <w:rsid w:val="00AA0BF2"/>
    <w:rsid w:val="00AA33C9"/>
    <w:rsid w:val="00AA60AC"/>
    <w:rsid w:val="00AB0A2D"/>
    <w:rsid w:val="00AB7C67"/>
    <w:rsid w:val="00AC089A"/>
    <w:rsid w:val="00AC4E13"/>
    <w:rsid w:val="00AC7486"/>
    <w:rsid w:val="00AD1C8A"/>
    <w:rsid w:val="00AE1C3C"/>
    <w:rsid w:val="00B00EA5"/>
    <w:rsid w:val="00B0113E"/>
    <w:rsid w:val="00B033D6"/>
    <w:rsid w:val="00B226FF"/>
    <w:rsid w:val="00B4698C"/>
    <w:rsid w:val="00B5008A"/>
    <w:rsid w:val="00B503C3"/>
    <w:rsid w:val="00B526D2"/>
    <w:rsid w:val="00B56301"/>
    <w:rsid w:val="00B56945"/>
    <w:rsid w:val="00B61F07"/>
    <w:rsid w:val="00B62F47"/>
    <w:rsid w:val="00B84A86"/>
    <w:rsid w:val="00B8680D"/>
    <w:rsid w:val="00B94668"/>
    <w:rsid w:val="00BA788A"/>
    <w:rsid w:val="00BA7AAF"/>
    <w:rsid w:val="00BB47E2"/>
    <w:rsid w:val="00BC10BF"/>
    <w:rsid w:val="00BC14E0"/>
    <w:rsid w:val="00BC1FC4"/>
    <w:rsid w:val="00BD08E1"/>
    <w:rsid w:val="00BF2541"/>
    <w:rsid w:val="00BF67AC"/>
    <w:rsid w:val="00BF70A6"/>
    <w:rsid w:val="00BF746B"/>
    <w:rsid w:val="00C1677A"/>
    <w:rsid w:val="00C207FD"/>
    <w:rsid w:val="00C20A9E"/>
    <w:rsid w:val="00C31F45"/>
    <w:rsid w:val="00C35733"/>
    <w:rsid w:val="00C36751"/>
    <w:rsid w:val="00C421B4"/>
    <w:rsid w:val="00C44E55"/>
    <w:rsid w:val="00C56D20"/>
    <w:rsid w:val="00C57B40"/>
    <w:rsid w:val="00C61B59"/>
    <w:rsid w:val="00C6255E"/>
    <w:rsid w:val="00C65931"/>
    <w:rsid w:val="00C70FF9"/>
    <w:rsid w:val="00C71151"/>
    <w:rsid w:val="00C752DA"/>
    <w:rsid w:val="00C762B9"/>
    <w:rsid w:val="00C809DB"/>
    <w:rsid w:val="00C85080"/>
    <w:rsid w:val="00C911ED"/>
    <w:rsid w:val="00C95C65"/>
    <w:rsid w:val="00CA3877"/>
    <w:rsid w:val="00CB0A83"/>
    <w:rsid w:val="00CB20F0"/>
    <w:rsid w:val="00CB726A"/>
    <w:rsid w:val="00CC0B2F"/>
    <w:rsid w:val="00CC0DC5"/>
    <w:rsid w:val="00CC10E3"/>
    <w:rsid w:val="00CC1F6E"/>
    <w:rsid w:val="00CC49F0"/>
    <w:rsid w:val="00CD39A9"/>
    <w:rsid w:val="00CD57AF"/>
    <w:rsid w:val="00CE3887"/>
    <w:rsid w:val="00CF699D"/>
    <w:rsid w:val="00D02C86"/>
    <w:rsid w:val="00D118C2"/>
    <w:rsid w:val="00D23255"/>
    <w:rsid w:val="00D2489F"/>
    <w:rsid w:val="00D2577B"/>
    <w:rsid w:val="00D268DE"/>
    <w:rsid w:val="00D3009A"/>
    <w:rsid w:val="00D3101A"/>
    <w:rsid w:val="00D311D5"/>
    <w:rsid w:val="00D37EA6"/>
    <w:rsid w:val="00D4042A"/>
    <w:rsid w:val="00D42CC0"/>
    <w:rsid w:val="00D5481D"/>
    <w:rsid w:val="00D56418"/>
    <w:rsid w:val="00D649F2"/>
    <w:rsid w:val="00D70E38"/>
    <w:rsid w:val="00D70FC6"/>
    <w:rsid w:val="00D7137E"/>
    <w:rsid w:val="00D74F00"/>
    <w:rsid w:val="00D7537B"/>
    <w:rsid w:val="00D77DA7"/>
    <w:rsid w:val="00D810B9"/>
    <w:rsid w:val="00D81834"/>
    <w:rsid w:val="00D8211C"/>
    <w:rsid w:val="00D82E3A"/>
    <w:rsid w:val="00D842D3"/>
    <w:rsid w:val="00D92258"/>
    <w:rsid w:val="00DA5C51"/>
    <w:rsid w:val="00DA7739"/>
    <w:rsid w:val="00DC4381"/>
    <w:rsid w:val="00DC6591"/>
    <w:rsid w:val="00DD1C0D"/>
    <w:rsid w:val="00DE2296"/>
    <w:rsid w:val="00DE6969"/>
    <w:rsid w:val="00DF1E29"/>
    <w:rsid w:val="00DF455B"/>
    <w:rsid w:val="00DF752B"/>
    <w:rsid w:val="00E04746"/>
    <w:rsid w:val="00E04EDC"/>
    <w:rsid w:val="00E173FE"/>
    <w:rsid w:val="00E230ED"/>
    <w:rsid w:val="00E32A62"/>
    <w:rsid w:val="00E331B0"/>
    <w:rsid w:val="00E36B93"/>
    <w:rsid w:val="00E4020F"/>
    <w:rsid w:val="00E40850"/>
    <w:rsid w:val="00E45F20"/>
    <w:rsid w:val="00E61CD8"/>
    <w:rsid w:val="00E62BE8"/>
    <w:rsid w:val="00E73FE6"/>
    <w:rsid w:val="00E85604"/>
    <w:rsid w:val="00E91C20"/>
    <w:rsid w:val="00E9283C"/>
    <w:rsid w:val="00EA5F93"/>
    <w:rsid w:val="00EA778C"/>
    <w:rsid w:val="00EB203F"/>
    <w:rsid w:val="00EB777C"/>
    <w:rsid w:val="00EC329D"/>
    <w:rsid w:val="00EC32FE"/>
    <w:rsid w:val="00EC3DBE"/>
    <w:rsid w:val="00ED1841"/>
    <w:rsid w:val="00ED668B"/>
    <w:rsid w:val="00ED776A"/>
    <w:rsid w:val="00ED77DA"/>
    <w:rsid w:val="00EE0EB3"/>
    <w:rsid w:val="00EE2DCA"/>
    <w:rsid w:val="00EE749B"/>
    <w:rsid w:val="00EF0FBC"/>
    <w:rsid w:val="00EF6F60"/>
    <w:rsid w:val="00F1151B"/>
    <w:rsid w:val="00F165E4"/>
    <w:rsid w:val="00F25872"/>
    <w:rsid w:val="00F50637"/>
    <w:rsid w:val="00F54540"/>
    <w:rsid w:val="00F5581A"/>
    <w:rsid w:val="00F61697"/>
    <w:rsid w:val="00F61F54"/>
    <w:rsid w:val="00F63303"/>
    <w:rsid w:val="00F64C58"/>
    <w:rsid w:val="00F72C60"/>
    <w:rsid w:val="00F932C8"/>
    <w:rsid w:val="00FA605B"/>
    <w:rsid w:val="00FA72A4"/>
    <w:rsid w:val="00FC0192"/>
    <w:rsid w:val="00FC50A6"/>
    <w:rsid w:val="00FD4CFD"/>
    <w:rsid w:val="00FD7838"/>
    <w:rsid w:val="00FF0882"/>
    <w:rsid w:val="00FF276E"/>
    <w:rsid w:val="00FF460F"/>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307C32-8946-446F-94F7-46D1C63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2Char">
    <w:name w:val="Heading 2 Char"/>
    <w:basedOn w:val="DefaultParagraphFont"/>
    <w:link w:val="Heading2"/>
    <w:uiPriority w:val="9"/>
    <w:rsid w:val="006043B0"/>
    <w:rPr>
      <w:lang w:eastAsia="en-US"/>
    </w:rPr>
  </w:style>
  <w:style w:type="character" w:customStyle="1" w:styleId="Heading3Char">
    <w:name w:val="Heading 3 Char"/>
    <w:basedOn w:val="DefaultParagraphFont"/>
    <w:link w:val="Heading3"/>
    <w:uiPriority w:val="9"/>
    <w:rsid w:val="006043B0"/>
    <w:rPr>
      <w:lang w:eastAsia="en-US"/>
    </w:rPr>
  </w:style>
  <w:style w:type="paragraph" w:styleId="ListParagraph">
    <w:name w:val="List Paragraph"/>
    <w:basedOn w:val="Normal"/>
    <w:uiPriority w:val="34"/>
    <w:qFormat/>
    <w:rsid w:val="006043B0"/>
    <w:pPr>
      <w:suppressAutoHyphens w:val="0"/>
      <w:spacing w:after="160" w:line="259" w:lineRule="auto"/>
      <w:ind w:left="720"/>
      <w:contextualSpacing/>
    </w:pPr>
    <w:rPr>
      <w:rFonts w:ascii="Book Antiqua" w:eastAsiaTheme="minorHAnsi" w:hAnsi="Book Antiqua" w:cstheme="majorBidi"/>
      <w:sz w:val="24"/>
      <w:szCs w:val="24"/>
    </w:rPr>
  </w:style>
  <w:style w:type="character" w:styleId="CommentReference">
    <w:name w:val="annotation reference"/>
    <w:basedOn w:val="DefaultParagraphFont"/>
    <w:uiPriority w:val="99"/>
    <w:semiHidden/>
    <w:unhideWhenUsed/>
    <w:rsid w:val="006043B0"/>
    <w:rPr>
      <w:sz w:val="16"/>
      <w:szCs w:val="16"/>
    </w:rPr>
  </w:style>
  <w:style w:type="paragraph" w:customStyle="1" w:styleId="CommentText1">
    <w:name w:val="Comment Text1"/>
    <w:basedOn w:val="Normal"/>
    <w:next w:val="CommentText"/>
    <w:link w:val="CommentTextChar"/>
    <w:uiPriority w:val="99"/>
    <w:semiHidden/>
    <w:unhideWhenUsed/>
    <w:rsid w:val="006043B0"/>
    <w:pPr>
      <w:suppressAutoHyphens w:val="0"/>
      <w:spacing w:line="240" w:lineRule="auto"/>
      <w:jc w:val="both"/>
    </w:pPr>
    <w:rPr>
      <w:rFonts w:ascii="Book Antiqua" w:eastAsiaTheme="minorHAnsi" w:hAnsi="Book Antiqua" w:cstheme="majorBidi"/>
      <w:sz w:val="24"/>
      <w:szCs w:val="24"/>
    </w:rPr>
  </w:style>
  <w:style w:type="character" w:customStyle="1" w:styleId="CommentTextChar">
    <w:name w:val="Comment Text Char"/>
    <w:basedOn w:val="DefaultParagraphFont"/>
    <w:link w:val="CommentText1"/>
    <w:uiPriority w:val="99"/>
    <w:rsid w:val="006043B0"/>
    <w:rPr>
      <w:rFonts w:ascii="Book Antiqua" w:eastAsiaTheme="minorHAnsi" w:hAnsi="Book Antiqua" w:cstheme="majorBidi"/>
      <w:sz w:val="24"/>
      <w:szCs w:val="24"/>
      <w:lang w:eastAsia="en-US"/>
    </w:rPr>
  </w:style>
  <w:style w:type="paragraph" w:styleId="CommentText">
    <w:name w:val="annotation text"/>
    <w:basedOn w:val="Normal"/>
    <w:link w:val="CommentTextChar1"/>
    <w:uiPriority w:val="99"/>
    <w:unhideWhenUsed/>
    <w:rsid w:val="006043B0"/>
    <w:pPr>
      <w:suppressAutoHyphens w:val="0"/>
      <w:spacing w:after="160" w:line="240" w:lineRule="auto"/>
    </w:pPr>
    <w:rPr>
      <w:rFonts w:ascii="Book Antiqua" w:eastAsiaTheme="minorHAnsi" w:hAnsi="Book Antiqua" w:cstheme="majorBidi"/>
    </w:rPr>
  </w:style>
  <w:style w:type="character" w:customStyle="1" w:styleId="CommentTextChar1">
    <w:name w:val="Comment Text Char1"/>
    <w:basedOn w:val="DefaultParagraphFont"/>
    <w:link w:val="CommentText"/>
    <w:uiPriority w:val="99"/>
    <w:rsid w:val="006043B0"/>
    <w:rPr>
      <w:rFonts w:ascii="Book Antiqua" w:eastAsiaTheme="minorHAnsi" w:hAnsi="Book Antiqua" w:cstheme="majorBidi"/>
      <w:lang w:eastAsia="en-US"/>
    </w:rPr>
  </w:style>
  <w:style w:type="character" w:customStyle="1" w:styleId="BalloonTextChar">
    <w:name w:val="Balloon Text Char"/>
    <w:basedOn w:val="DefaultParagraphFont"/>
    <w:link w:val="BalloonText"/>
    <w:uiPriority w:val="99"/>
    <w:semiHidden/>
    <w:rsid w:val="006043B0"/>
    <w:rPr>
      <w:rFonts w:ascii="Tahoma" w:hAnsi="Tahoma" w:cs="Tahoma"/>
      <w:sz w:val="16"/>
      <w:szCs w:val="16"/>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6043B0"/>
    <w:rPr>
      <w:sz w:val="18"/>
      <w:lang w:eastAsia="en-US"/>
    </w:rPr>
  </w:style>
  <w:style w:type="paragraph" w:styleId="CommentSubject">
    <w:name w:val="annotation subject"/>
    <w:basedOn w:val="CommentText"/>
    <w:next w:val="CommentText"/>
    <w:link w:val="CommentSubjectChar"/>
    <w:uiPriority w:val="99"/>
    <w:semiHidden/>
    <w:unhideWhenUsed/>
    <w:rsid w:val="006043B0"/>
    <w:rPr>
      <w:b/>
      <w:bCs/>
    </w:rPr>
  </w:style>
  <w:style w:type="character" w:customStyle="1" w:styleId="CommentSubjectChar">
    <w:name w:val="Comment Subject Char"/>
    <w:basedOn w:val="CommentTextChar1"/>
    <w:link w:val="CommentSubject"/>
    <w:uiPriority w:val="99"/>
    <w:semiHidden/>
    <w:rsid w:val="006043B0"/>
    <w:rPr>
      <w:rFonts w:ascii="Book Antiqua" w:eastAsiaTheme="minorHAnsi" w:hAnsi="Book Antiqua" w:cstheme="majorBidi"/>
      <w:b/>
      <w:bCs/>
      <w:lang w:eastAsia="en-US"/>
    </w:rPr>
  </w:style>
  <w:style w:type="character" w:customStyle="1" w:styleId="HeaderChar">
    <w:name w:val="Header Char"/>
    <w:aliases w:val="6_G Char"/>
    <w:basedOn w:val="DefaultParagraphFont"/>
    <w:link w:val="Header"/>
    <w:uiPriority w:val="99"/>
    <w:rsid w:val="006043B0"/>
    <w:rPr>
      <w:b/>
      <w:sz w:val="18"/>
      <w:lang w:eastAsia="en-US"/>
    </w:rPr>
  </w:style>
  <w:style w:type="character" w:customStyle="1" w:styleId="FooterChar">
    <w:name w:val="Footer Char"/>
    <w:aliases w:val="3_G Char"/>
    <w:basedOn w:val="DefaultParagraphFont"/>
    <w:link w:val="Footer"/>
    <w:uiPriority w:val="99"/>
    <w:rsid w:val="006043B0"/>
    <w:rPr>
      <w:sz w:val="16"/>
      <w:lang w:eastAsia="en-US"/>
    </w:rPr>
  </w:style>
  <w:style w:type="character" w:customStyle="1" w:styleId="Heading1Char">
    <w:name w:val="Heading 1 Char"/>
    <w:aliases w:val="Table_G Char"/>
    <w:basedOn w:val="DefaultParagraphFont"/>
    <w:link w:val="Heading1"/>
    <w:uiPriority w:val="9"/>
    <w:rsid w:val="006043B0"/>
    <w:rPr>
      <w:lang w:eastAsia="en-US"/>
    </w:rPr>
  </w:style>
  <w:style w:type="character" w:customStyle="1" w:styleId="UnresolvedMention1">
    <w:name w:val="Unresolved Mention1"/>
    <w:basedOn w:val="DefaultParagraphFont"/>
    <w:uiPriority w:val="99"/>
    <w:unhideWhenUsed/>
    <w:rsid w:val="006043B0"/>
    <w:rPr>
      <w:color w:val="808080"/>
      <w:shd w:val="clear" w:color="auto" w:fill="E6E6E6"/>
    </w:rPr>
  </w:style>
  <w:style w:type="character" w:customStyle="1" w:styleId="UnresolvedMention2">
    <w:name w:val="Unresolved Mention2"/>
    <w:basedOn w:val="DefaultParagraphFont"/>
    <w:uiPriority w:val="99"/>
    <w:semiHidden/>
    <w:unhideWhenUsed/>
    <w:rsid w:val="006043B0"/>
    <w:rPr>
      <w:color w:val="808080"/>
      <w:shd w:val="clear" w:color="auto" w:fill="E6E6E6"/>
    </w:rPr>
  </w:style>
  <w:style w:type="paragraph" w:styleId="Revision">
    <w:name w:val="Revision"/>
    <w:hidden/>
    <w:uiPriority w:val="99"/>
    <w:semiHidden/>
    <w:rsid w:val="006043B0"/>
    <w:rPr>
      <w:rFonts w:ascii="Book Antiqua" w:eastAsiaTheme="minorHAnsi" w:hAnsi="Book Antiqua" w:cstheme="majorBidi"/>
      <w:sz w:val="24"/>
      <w:szCs w:val="24"/>
      <w:lang w:eastAsia="en-US"/>
    </w:rPr>
  </w:style>
  <w:style w:type="character" w:customStyle="1" w:styleId="UnresolvedMention3">
    <w:name w:val="Unresolved Mention3"/>
    <w:basedOn w:val="DefaultParagraphFont"/>
    <w:uiPriority w:val="99"/>
    <w:semiHidden/>
    <w:unhideWhenUsed/>
    <w:rsid w:val="006043B0"/>
    <w:rPr>
      <w:color w:val="605E5C"/>
      <w:shd w:val="clear" w:color="auto" w:fill="E1DFDD"/>
    </w:rPr>
  </w:style>
  <w:style w:type="character" w:customStyle="1" w:styleId="UnresolvedMention4">
    <w:name w:val="Unresolved Mention4"/>
    <w:basedOn w:val="DefaultParagraphFont"/>
    <w:uiPriority w:val="99"/>
    <w:semiHidden/>
    <w:unhideWhenUsed/>
    <w:rsid w:val="006043B0"/>
    <w:rPr>
      <w:color w:val="605E5C"/>
      <w:shd w:val="clear" w:color="auto" w:fill="E1DFDD"/>
    </w:rPr>
  </w:style>
  <w:style w:type="character" w:customStyle="1" w:styleId="UnresolvedMention5">
    <w:name w:val="Unresolved Mention5"/>
    <w:basedOn w:val="DefaultParagraphFont"/>
    <w:uiPriority w:val="99"/>
    <w:semiHidden/>
    <w:unhideWhenUsed/>
    <w:rsid w:val="006043B0"/>
    <w:rPr>
      <w:color w:val="605E5C"/>
      <w:shd w:val="clear" w:color="auto" w:fill="E1DFDD"/>
    </w:rPr>
  </w:style>
  <w:style w:type="character" w:customStyle="1" w:styleId="apple-converted-space">
    <w:name w:val="apple-converted-space"/>
    <w:basedOn w:val="DefaultParagraphFont"/>
    <w:rsid w:val="00F64C58"/>
  </w:style>
  <w:style w:type="paragraph" w:customStyle="1" w:styleId="Normal1">
    <w:name w:val="Normal1"/>
    <w:rsid w:val="00F64C58"/>
    <w:pPr>
      <w:pBdr>
        <w:top w:val="nil"/>
        <w:left w:val="nil"/>
        <w:bottom w:val="nil"/>
        <w:right w:val="nil"/>
        <w:between w:val="nil"/>
      </w:pBdr>
      <w:spacing w:line="276" w:lineRule="auto"/>
    </w:pPr>
    <w:rPr>
      <w:rFonts w:ascii="Arial" w:eastAsia="Arial" w:hAnsi="Arial" w:cs="Arial"/>
      <w:color w:val="000000"/>
      <w:sz w:val="22"/>
      <w:szCs w:val="22"/>
      <w:lang w:eastAsia="fr-FR"/>
    </w:rPr>
  </w:style>
  <w:style w:type="paragraph" w:styleId="NormalWeb">
    <w:name w:val="Normal (Web)"/>
    <w:basedOn w:val="Normal"/>
    <w:uiPriority w:val="99"/>
    <w:unhideWhenUsed/>
    <w:rsid w:val="00F64C58"/>
    <w:pPr>
      <w:suppressAutoHyphens w:val="0"/>
      <w:spacing w:before="100" w:beforeAutospacing="1" w:after="100" w:afterAutospacing="1" w:line="240" w:lineRule="auto"/>
    </w:pPr>
    <w:rPr>
      <w:sz w:val="24"/>
      <w:szCs w:val="24"/>
      <w:lang w:val="en-US"/>
    </w:rPr>
  </w:style>
  <w:style w:type="paragraph" w:customStyle="1" w:styleId="ParaNoG">
    <w:name w:val="_ParaNo._G"/>
    <w:basedOn w:val="Normal"/>
    <w:rsid w:val="00F64C58"/>
    <w:pPr>
      <w:tabs>
        <w:tab w:val="num" w:pos="-424"/>
      </w:tabs>
      <w:spacing w:after="120"/>
      <w:ind w:left="710" w:right="1134"/>
      <w:jc w:val="both"/>
    </w:pPr>
    <w:rPr>
      <w:lang w:val="x-none"/>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64C58"/>
    <w:pPr>
      <w:suppressAutoHyphens w:val="0"/>
      <w:spacing w:after="160" w:line="240" w:lineRule="exact"/>
      <w:jc w:val="both"/>
    </w:pPr>
    <w:rPr>
      <w:sz w:val="18"/>
      <w:vertAlign w:val="superscript"/>
      <w:lang w:eastAsia="en-GB"/>
    </w:rPr>
  </w:style>
  <w:style w:type="paragraph" w:customStyle="1" w:styleId="Default">
    <w:name w:val="Default"/>
    <w:rsid w:val="00F64C58"/>
    <w:pPr>
      <w:autoSpaceDE w:val="0"/>
      <w:autoSpaceDN w:val="0"/>
      <w:adjustRightInd w:val="0"/>
    </w:pPr>
    <w:rPr>
      <w:rFonts w:eastAsiaTheme="minorHAnsi"/>
      <w:color w:val="000000"/>
      <w:sz w:val="24"/>
      <w:szCs w:val="24"/>
      <w:lang w:val="en-US" w:eastAsia="en-US"/>
    </w:rPr>
  </w:style>
  <w:style w:type="character" w:customStyle="1" w:styleId="EndnoteTextChar">
    <w:name w:val="Endnote Text Char"/>
    <w:aliases w:val="2_G Char"/>
    <w:basedOn w:val="DefaultParagraphFont"/>
    <w:link w:val="EndnoteText"/>
    <w:uiPriority w:val="99"/>
    <w:rsid w:val="00F64C58"/>
    <w:rPr>
      <w:sz w:val="18"/>
      <w:lang w:eastAsia="en-US"/>
    </w:rPr>
  </w:style>
  <w:style w:type="character" w:styleId="Emphasis">
    <w:name w:val="Emphasis"/>
    <w:basedOn w:val="DefaultParagraphFont"/>
    <w:uiPriority w:val="20"/>
    <w:qFormat/>
    <w:rsid w:val="00F64C58"/>
    <w:rPr>
      <w:i/>
      <w:iCs/>
    </w:rPr>
  </w:style>
  <w:style w:type="character" w:customStyle="1" w:styleId="normaltextrun">
    <w:name w:val="normaltextrun"/>
    <w:basedOn w:val="DefaultParagraphFont"/>
    <w:rsid w:val="00F64C58"/>
  </w:style>
  <w:style w:type="character" w:customStyle="1" w:styleId="spellingerror">
    <w:name w:val="spellingerror"/>
    <w:basedOn w:val="DefaultParagraphFont"/>
    <w:rsid w:val="00F6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0213">
      <w:bodyDiv w:val="1"/>
      <w:marLeft w:val="0"/>
      <w:marRight w:val="0"/>
      <w:marTop w:val="0"/>
      <w:marBottom w:val="0"/>
      <w:divBdr>
        <w:top w:val="none" w:sz="0" w:space="0" w:color="auto"/>
        <w:left w:val="none" w:sz="0" w:space="0" w:color="auto"/>
        <w:bottom w:val="none" w:sz="0" w:space="0" w:color="auto"/>
        <w:right w:val="none" w:sz="0" w:space="0" w:color="auto"/>
      </w:divBdr>
      <w:divsChild>
        <w:div w:id="924876190">
          <w:marLeft w:val="0"/>
          <w:marRight w:val="0"/>
          <w:marTop w:val="0"/>
          <w:marBottom w:val="0"/>
          <w:divBdr>
            <w:top w:val="none" w:sz="0" w:space="0" w:color="auto"/>
            <w:left w:val="none" w:sz="0" w:space="0" w:color="auto"/>
            <w:bottom w:val="none" w:sz="0" w:space="0" w:color="auto"/>
            <w:right w:val="none" w:sz="0" w:space="0" w:color="auto"/>
          </w:divBdr>
          <w:divsChild>
            <w:div w:id="1908684755">
              <w:marLeft w:val="0"/>
              <w:marRight w:val="0"/>
              <w:marTop w:val="0"/>
              <w:marBottom w:val="0"/>
              <w:divBdr>
                <w:top w:val="none" w:sz="0" w:space="0" w:color="auto"/>
                <w:left w:val="none" w:sz="0" w:space="0" w:color="auto"/>
                <w:bottom w:val="none" w:sz="0" w:space="0" w:color="auto"/>
                <w:right w:val="none" w:sz="0" w:space="0" w:color="auto"/>
              </w:divBdr>
              <w:divsChild>
                <w:div w:id="304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1580">
      <w:bodyDiv w:val="1"/>
      <w:marLeft w:val="0"/>
      <w:marRight w:val="0"/>
      <w:marTop w:val="0"/>
      <w:marBottom w:val="0"/>
      <w:divBdr>
        <w:top w:val="none" w:sz="0" w:space="0" w:color="auto"/>
        <w:left w:val="none" w:sz="0" w:space="0" w:color="auto"/>
        <w:bottom w:val="none" w:sz="0" w:space="0" w:color="auto"/>
        <w:right w:val="none" w:sz="0" w:space="0" w:color="auto"/>
      </w:divBdr>
      <w:divsChild>
        <w:div w:id="2063671461">
          <w:marLeft w:val="0"/>
          <w:marRight w:val="0"/>
          <w:marTop w:val="0"/>
          <w:marBottom w:val="0"/>
          <w:divBdr>
            <w:top w:val="none" w:sz="0" w:space="0" w:color="auto"/>
            <w:left w:val="none" w:sz="0" w:space="0" w:color="auto"/>
            <w:bottom w:val="none" w:sz="0" w:space="0" w:color="auto"/>
            <w:right w:val="none" w:sz="0" w:space="0" w:color="auto"/>
          </w:divBdr>
          <w:divsChild>
            <w:div w:id="456996127">
              <w:marLeft w:val="0"/>
              <w:marRight w:val="0"/>
              <w:marTop w:val="0"/>
              <w:marBottom w:val="0"/>
              <w:divBdr>
                <w:top w:val="none" w:sz="0" w:space="0" w:color="auto"/>
                <w:left w:val="none" w:sz="0" w:space="0" w:color="auto"/>
                <w:bottom w:val="none" w:sz="0" w:space="0" w:color="auto"/>
                <w:right w:val="none" w:sz="0" w:space="0" w:color="auto"/>
              </w:divBdr>
              <w:divsChild>
                <w:div w:id="7858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gov/j/drl/rls/hrrpt/2008/nea/119115.htm" TargetMode="External"/><Relationship Id="rId2" Type="http://schemas.openxmlformats.org/officeDocument/2006/relationships/hyperlink" Target="https://www.ohchr.org/Documents/Issues/Religion/A_HRC_37_49_EN.docx" TargetMode="External"/><Relationship Id="rId1" Type="http://schemas.openxmlformats.org/officeDocument/2006/relationships/hyperlink" Target="https://www.bradford.ac.uk/social-sciences/media/socialsciences/BDLStew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39301-0C3C-443B-BFF1-90215BDB65CA}">
  <ds:schemaRefs>
    <ds:schemaRef ds:uri="http://schemas.openxmlformats.org/officeDocument/2006/bibliography"/>
  </ds:schemaRefs>
</ds:datastoreItem>
</file>

<file path=customXml/itemProps2.xml><?xml version="1.0" encoding="utf-8"?>
<ds:datastoreItem xmlns:ds="http://schemas.openxmlformats.org/officeDocument/2006/customXml" ds:itemID="{3C756B55-9A3E-448C-B34E-4DE578C7BBCA}"/>
</file>

<file path=customXml/itemProps3.xml><?xml version="1.0" encoding="utf-8"?>
<ds:datastoreItem xmlns:ds="http://schemas.openxmlformats.org/officeDocument/2006/customXml" ds:itemID="{247C1DAB-0E0F-4CDA-8FDD-1054D792FD65}"/>
</file>

<file path=customXml/itemProps4.xml><?xml version="1.0" encoding="utf-8"?>
<ds:datastoreItem xmlns:ds="http://schemas.openxmlformats.org/officeDocument/2006/customXml" ds:itemID="{8A7B724E-1553-44E9-BEB3-FF1C0A7663C0}"/>
</file>

<file path=docProps/app.xml><?xml version="1.0" encoding="utf-8"?>
<Properties xmlns="http://schemas.openxmlformats.org/officeDocument/2006/extended-properties" xmlns:vt="http://schemas.openxmlformats.org/officeDocument/2006/docPropsVTypes">
  <Template>Normal.dotm</Template>
  <TotalTime>1</TotalTime>
  <Pages>20</Pages>
  <Words>9887</Words>
  <Characters>56362</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A_73_45410</dc:title>
  <dc:creator>OHCHR</dc:creator>
  <cp:lastModifiedBy>TZEGGAI Maken</cp:lastModifiedBy>
  <cp:revision>2</cp:revision>
  <cp:lastPrinted>2008-01-29T07:30:00Z</cp:lastPrinted>
  <dcterms:created xsi:type="dcterms:W3CDTF">2018-10-04T12:52:00Z</dcterms:created>
  <dcterms:modified xsi:type="dcterms:W3CDTF">2018-10-04T12:52:00Z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