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2B472" w14:textId="41ADD5EE" w:rsidR="008A39D3" w:rsidRPr="008A39D3" w:rsidRDefault="008A39D3" w:rsidP="008A39D3">
      <w:pPr>
        <w:jc w:val="center"/>
        <w:rPr>
          <w:b/>
          <w:bCs/>
          <w:noProof/>
          <w:lang w:val="fr-FR"/>
        </w:rPr>
      </w:pPr>
      <w:bookmarkStart w:id="0" w:name="_GoBack"/>
      <w:bookmarkEnd w:id="0"/>
      <w:r w:rsidRPr="008A39D3">
        <w:rPr>
          <w:b/>
          <w:bCs/>
          <w:noProof/>
          <w:lang w:val="fr-FR"/>
        </w:rPr>
        <w:t>Mandat de l'</w:t>
      </w:r>
      <w:r>
        <w:rPr>
          <w:b/>
          <w:bCs/>
          <w:noProof/>
          <w:lang w:val="fr-FR"/>
        </w:rPr>
        <w:t>E</w:t>
      </w:r>
      <w:r w:rsidRPr="008A39D3">
        <w:rPr>
          <w:b/>
          <w:bCs/>
          <w:noProof/>
          <w:lang w:val="fr-FR"/>
        </w:rPr>
        <w:t xml:space="preserve">xpert indépendant sur la protection contre la violence et la discrimination </w:t>
      </w:r>
    </w:p>
    <w:p w14:paraId="7F211DFA" w14:textId="5A1D20E5" w:rsidR="008A39D3" w:rsidRPr="008A39D3" w:rsidRDefault="008A39D3" w:rsidP="008A39D3">
      <w:pPr>
        <w:jc w:val="center"/>
        <w:rPr>
          <w:b/>
          <w:bCs/>
          <w:lang w:val="fr-FR"/>
        </w:rPr>
      </w:pPr>
      <w:r w:rsidRPr="008A39D3">
        <w:rPr>
          <w:b/>
          <w:bCs/>
          <w:noProof/>
          <w:lang w:val="fr-FR"/>
        </w:rPr>
        <w:t>fondée</w:t>
      </w:r>
      <w:r>
        <w:rPr>
          <w:b/>
          <w:bCs/>
          <w:noProof/>
          <w:lang w:val="fr-FR"/>
        </w:rPr>
        <w:t>s</w:t>
      </w:r>
      <w:r w:rsidRPr="008A39D3">
        <w:rPr>
          <w:b/>
          <w:bCs/>
          <w:noProof/>
          <w:lang w:val="fr-FR"/>
        </w:rPr>
        <w:t xml:space="preserve"> sur l'orientation et l'identité </w:t>
      </w:r>
      <w:r>
        <w:rPr>
          <w:b/>
          <w:bCs/>
          <w:noProof/>
          <w:lang w:val="fr-FR"/>
        </w:rPr>
        <w:t>de genre</w:t>
      </w:r>
    </w:p>
    <w:tbl>
      <w:tblPr>
        <w:tblW w:w="0" w:type="auto"/>
        <w:tblInd w:w="-936" w:type="dxa"/>
        <w:tblLook w:val="04A0" w:firstRow="1" w:lastRow="0" w:firstColumn="1" w:lastColumn="0" w:noHBand="0" w:noVBand="1"/>
      </w:tblPr>
      <w:tblGrid>
        <w:gridCol w:w="63"/>
        <w:gridCol w:w="119"/>
      </w:tblGrid>
      <w:tr w:rsidR="008A39D3" w:rsidRPr="00D37307" w14:paraId="5C81C392" w14:textId="77777777" w:rsidTr="006A24E5">
        <w:tc>
          <w:tcPr>
            <w:tcW w:w="0" w:type="auto"/>
            <w:shd w:val="clear" w:color="auto" w:fill="auto"/>
            <w:tcMar>
              <w:top w:w="113" w:type="dxa"/>
              <w:left w:w="57" w:type="dxa"/>
              <w:bottom w:w="113" w:type="dxa"/>
              <w:right w:w="0" w:type="dxa"/>
            </w:tcMar>
          </w:tcPr>
          <w:p w14:paraId="3487F23D" w14:textId="77777777" w:rsidR="008A39D3" w:rsidRPr="008A39D3" w:rsidRDefault="008A39D3" w:rsidP="006A24E5">
            <w:pPr>
              <w:rPr>
                <w:sz w:val="14"/>
                <w:szCs w:val="14"/>
                <w:lang w:val="fr-FR"/>
              </w:rPr>
            </w:pPr>
          </w:p>
        </w:tc>
        <w:tc>
          <w:tcPr>
            <w:tcW w:w="0" w:type="auto"/>
            <w:shd w:val="clear" w:color="auto" w:fill="auto"/>
            <w:tcMar>
              <w:top w:w="113" w:type="dxa"/>
              <w:left w:w="113" w:type="dxa"/>
              <w:bottom w:w="113" w:type="dxa"/>
              <w:right w:w="0" w:type="dxa"/>
            </w:tcMar>
          </w:tcPr>
          <w:p w14:paraId="5E64CFB9" w14:textId="77777777" w:rsidR="008A39D3" w:rsidRPr="008A39D3" w:rsidRDefault="008A39D3" w:rsidP="006A24E5">
            <w:pPr>
              <w:rPr>
                <w:sz w:val="24"/>
                <w:szCs w:val="24"/>
                <w:lang w:val="fr-FR"/>
              </w:rPr>
            </w:pPr>
          </w:p>
        </w:tc>
      </w:tr>
    </w:tbl>
    <w:p w14:paraId="7938B04C" w14:textId="77777777" w:rsidR="008A39D3" w:rsidRPr="008A39D3" w:rsidRDefault="008A39D3" w:rsidP="008A39D3">
      <w:pPr>
        <w:tabs>
          <w:tab w:val="left" w:pos="993"/>
        </w:tabs>
        <w:jc w:val="center"/>
        <w:rPr>
          <w:rFonts w:asciiTheme="minorHAnsi" w:hAnsiTheme="minorHAnsi" w:cstheme="minorHAnsi"/>
          <w:b/>
          <w:sz w:val="22"/>
          <w:szCs w:val="22"/>
          <w:lang w:val="fr-FR"/>
        </w:rPr>
      </w:pPr>
      <w:r w:rsidRPr="008A39D3">
        <w:rPr>
          <w:rFonts w:asciiTheme="minorHAnsi" w:hAnsiTheme="minorHAnsi" w:cstheme="minorHAnsi"/>
          <w:b/>
          <w:sz w:val="22"/>
          <w:szCs w:val="22"/>
          <w:lang w:val="fr-FR"/>
        </w:rPr>
        <w:t>Visite de pays en Tunisie</w:t>
      </w:r>
    </w:p>
    <w:p w14:paraId="0ED041E8" w14:textId="444CC9D5" w:rsidR="008A39D3" w:rsidRPr="008A39D3" w:rsidRDefault="008A39D3" w:rsidP="008A39D3">
      <w:pPr>
        <w:tabs>
          <w:tab w:val="left" w:pos="993"/>
        </w:tabs>
        <w:jc w:val="center"/>
        <w:rPr>
          <w:rFonts w:asciiTheme="minorHAnsi" w:hAnsiTheme="minorHAnsi" w:cstheme="minorHAnsi"/>
          <w:b/>
          <w:sz w:val="22"/>
          <w:szCs w:val="22"/>
          <w:lang w:val="fr-FR"/>
        </w:rPr>
      </w:pPr>
      <w:r w:rsidRPr="008A39D3">
        <w:rPr>
          <w:rFonts w:asciiTheme="minorHAnsi" w:hAnsiTheme="minorHAnsi" w:cstheme="minorHAnsi"/>
          <w:b/>
          <w:sz w:val="22"/>
          <w:szCs w:val="22"/>
          <w:lang w:val="fr-FR"/>
        </w:rPr>
        <w:t xml:space="preserve">(du </w:t>
      </w:r>
      <w:r w:rsidR="00D37307">
        <w:rPr>
          <w:rFonts w:asciiTheme="minorHAnsi" w:hAnsiTheme="minorHAnsi" w:cstheme="minorHAnsi"/>
          <w:b/>
          <w:sz w:val="22"/>
          <w:szCs w:val="22"/>
          <w:lang w:val="fr-FR"/>
        </w:rPr>
        <w:t>18</w:t>
      </w:r>
      <w:r w:rsidR="00D37307" w:rsidRPr="008A39D3">
        <w:rPr>
          <w:rFonts w:asciiTheme="minorHAnsi" w:hAnsiTheme="minorHAnsi" w:cstheme="minorHAnsi"/>
          <w:b/>
          <w:sz w:val="22"/>
          <w:szCs w:val="22"/>
          <w:lang w:val="fr-FR"/>
        </w:rPr>
        <w:t xml:space="preserve"> </w:t>
      </w:r>
      <w:r w:rsidRPr="008A39D3">
        <w:rPr>
          <w:rFonts w:asciiTheme="minorHAnsi" w:hAnsiTheme="minorHAnsi" w:cstheme="minorHAnsi"/>
          <w:b/>
          <w:sz w:val="22"/>
          <w:szCs w:val="22"/>
          <w:lang w:val="fr-FR"/>
        </w:rPr>
        <w:t>au 2</w:t>
      </w:r>
      <w:r w:rsidR="00D37307">
        <w:rPr>
          <w:rFonts w:asciiTheme="minorHAnsi" w:hAnsiTheme="minorHAnsi" w:cstheme="minorHAnsi"/>
          <w:b/>
          <w:sz w:val="22"/>
          <w:szCs w:val="22"/>
          <w:lang w:val="fr-FR"/>
        </w:rPr>
        <w:t>8</w:t>
      </w:r>
      <w:r w:rsidRPr="008A39D3">
        <w:rPr>
          <w:rFonts w:asciiTheme="minorHAnsi" w:hAnsiTheme="minorHAnsi" w:cstheme="minorHAnsi"/>
          <w:b/>
          <w:sz w:val="22"/>
          <w:szCs w:val="22"/>
          <w:lang w:val="fr-FR"/>
        </w:rPr>
        <w:t xml:space="preserve"> </w:t>
      </w:r>
      <w:r w:rsidR="00D37307">
        <w:rPr>
          <w:rFonts w:asciiTheme="minorHAnsi" w:hAnsiTheme="minorHAnsi" w:cstheme="minorHAnsi"/>
          <w:b/>
          <w:sz w:val="22"/>
          <w:szCs w:val="22"/>
          <w:lang w:val="fr-FR"/>
        </w:rPr>
        <w:t>mai</w:t>
      </w:r>
      <w:r w:rsidR="00D37307" w:rsidRPr="008A39D3">
        <w:rPr>
          <w:rFonts w:asciiTheme="minorHAnsi" w:hAnsiTheme="minorHAnsi" w:cstheme="minorHAnsi"/>
          <w:b/>
          <w:sz w:val="22"/>
          <w:szCs w:val="22"/>
          <w:lang w:val="fr-FR"/>
        </w:rPr>
        <w:t xml:space="preserve"> </w:t>
      </w:r>
      <w:r w:rsidRPr="008A39D3">
        <w:rPr>
          <w:rFonts w:asciiTheme="minorHAnsi" w:hAnsiTheme="minorHAnsi" w:cstheme="minorHAnsi"/>
          <w:b/>
          <w:sz w:val="22"/>
          <w:szCs w:val="22"/>
          <w:lang w:val="fr-FR"/>
        </w:rPr>
        <w:t>202</w:t>
      </w:r>
      <w:r w:rsidR="00D37307">
        <w:rPr>
          <w:rFonts w:asciiTheme="minorHAnsi" w:hAnsiTheme="minorHAnsi" w:cstheme="minorHAnsi"/>
          <w:b/>
          <w:sz w:val="22"/>
          <w:szCs w:val="22"/>
          <w:lang w:val="fr-FR"/>
        </w:rPr>
        <w:t>1 (à confirmer)</w:t>
      </w:r>
      <w:r w:rsidRPr="008A39D3">
        <w:rPr>
          <w:rFonts w:asciiTheme="minorHAnsi" w:hAnsiTheme="minorHAnsi" w:cstheme="minorHAnsi"/>
          <w:b/>
          <w:sz w:val="22"/>
          <w:szCs w:val="22"/>
          <w:lang w:val="fr-FR"/>
        </w:rPr>
        <w:t>)</w:t>
      </w:r>
    </w:p>
    <w:p w14:paraId="667D2324" w14:textId="77777777" w:rsidR="008A39D3" w:rsidRPr="008A39D3" w:rsidRDefault="008A39D3" w:rsidP="008A39D3">
      <w:pPr>
        <w:tabs>
          <w:tab w:val="left" w:pos="993"/>
        </w:tabs>
        <w:rPr>
          <w:rFonts w:asciiTheme="minorHAnsi" w:hAnsiTheme="minorHAnsi" w:cstheme="minorHAnsi"/>
          <w:sz w:val="22"/>
          <w:szCs w:val="22"/>
          <w:lang w:val="fr-FR"/>
        </w:rPr>
      </w:pPr>
    </w:p>
    <w:p w14:paraId="5ECECAA8" w14:textId="69BA0F51" w:rsidR="00601A2B" w:rsidRPr="008A39D3" w:rsidRDefault="008A39D3" w:rsidP="008A39D3">
      <w:pPr>
        <w:tabs>
          <w:tab w:val="left" w:pos="993"/>
        </w:tabs>
        <w:jc w:val="center"/>
        <w:rPr>
          <w:rFonts w:asciiTheme="minorHAnsi" w:hAnsiTheme="minorHAnsi" w:cstheme="minorHAnsi"/>
          <w:b/>
          <w:sz w:val="22"/>
          <w:szCs w:val="22"/>
          <w:u w:val="single"/>
          <w:lang w:val="fr-FR"/>
        </w:rPr>
      </w:pPr>
      <w:r w:rsidRPr="008A39D3">
        <w:rPr>
          <w:rFonts w:asciiTheme="minorHAnsi" w:hAnsiTheme="minorHAnsi" w:cstheme="minorHAnsi"/>
          <w:b/>
          <w:sz w:val="22"/>
          <w:szCs w:val="22"/>
          <w:u w:val="single"/>
          <w:lang w:val="fr-FR"/>
        </w:rPr>
        <w:t>Note d'information</w:t>
      </w:r>
    </w:p>
    <w:p w14:paraId="3E4168B9" w14:textId="77777777" w:rsidR="00601A2B" w:rsidRPr="008A39D3" w:rsidRDefault="00601A2B" w:rsidP="00601A2B">
      <w:pPr>
        <w:tabs>
          <w:tab w:val="left" w:pos="993"/>
        </w:tabs>
        <w:rPr>
          <w:rFonts w:asciiTheme="minorHAnsi" w:hAnsiTheme="minorHAnsi" w:cstheme="minorHAnsi"/>
          <w:b/>
          <w:sz w:val="22"/>
          <w:szCs w:val="22"/>
          <w:u w:val="single"/>
          <w:lang w:val="fr-FR"/>
        </w:rPr>
      </w:pPr>
    </w:p>
    <w:p w14:paraId="6E9408E9" w14:textId="77777777" w:rsidR="008A39D3" w:rsidRPr="008A39D3" w:rsidRDefault="008A39D3" w:rsidP="008A39D3">
      <w:pPr>
        <w:tabs>
          <w:tab w:val="left" w:pos="993"/>
        </w:tabs>
        <w:spacing w:after="120"/>
        <w:rPr>
          <w:rFonts w:asciiTheme="minorHAnsi" w:hAnsiTheme="minorHAnsi" w:cstheme="minorHAnsi"/>
          <w:b/>
          <w:sz w:val="22"/>
          <w:szCs w:val="22"/>
          <w:lang w:val="fr-FR"/>
        </w:rPr>
      </w:pPr>
      <w:r w:rsidRPr="008A39D3">
        <w:rPr>
          <w:rFonts w:asciiTheme="minorHAnsi" w:hAnsiTheme="minorHAnsi" w:cstheme="minorHAnsi"/>
          <w:b/>
          <w:sz w:val="22"/>
          <w:szCs w:val="22"/>
          <w:lang w:val="fr-FR"/>
        </w:rPr>
        <w:t>L'expert indépendant</w:t>
      </w:r>
    </w:p>
    <w:p w14:paraId="4026BEEB" w14:textId="334BDA21" w:rsidR="008A39D3" w:rsidRPr="008A39D3" w:rsidRDefault="008A39D3" w:rsidP="008A39D3">
      <w:pPr>
        <w:tabs>
          <w:tab w:val="left" w:pos="993"/>
        </w:tabs>
        <w:jc w:val="both"/>
        <w:rPr>
          <w:rFonts w:asciiTheme="minorHAnsi" w:hAnsiTheme="minorHAnsi" w:cstheme="minorHAnsi"/>
          <w:sz w:val="22"/>
          <w:szCs w:val="22"/>
          <w:lang w:val="fr-FR"/>
        </w:rPr>
      </w:pPr>
      <w:r>
        <w:rPr>
          <w:rFonts w:asciiTheme="minorHAnsi" w:hAnsiTheme="minorHAnsi" w:cstheme="minorHAnsi"/>
          <w:sz w:val="22"/>
          <w:szCs w:val="22"/>
          <w:lang w:val="fr-FR"/>
        </w:rPr>
        <w:t>L'E</w:t>
      </w:r>
      <w:r w:rsidRPr="008A39D3">
        <w:rPr>
          <w:rFonts w:asciiTheme="minorHAnsi" w:hAnsiTheme="minorHAnsi" w:cstheme="minorHAnsi"/>
          <w:sz w:val="22"/>
          <w:szCs w:val="22"/>
          <w:lang w:val="fr-FR"/>
        </w:rPr>
        <w:t xml:space="preserve">xpert indépendant des </w:t>
      </w:r>
      <w:r>
        <w:rPr>
          <w:rFonts w:asciiTheme="minorHAnsi" w:hAnsiTheme="minorHAnsi" w:cstheme="minorHAnsi"/>
          <w:sz w:val="22"/>
          <w:szCs w:val="22"/>
          <w:lang w:val="fr-FR"/>
        </w:rPr>
        <w:t>Nations U</w:t>
      </w:r>
      <w:r w:rsidRPr="008A39D3">
        <w:rPr>
          <w:rFonts w:asciiTheme="minorHAnsi" w:hAnsiTheme="minorHAnsi" w:cstheme="minorHAnsi"/>
          <w:sz w:val="22"/>
          <w:szCs w:val="22"/>
          <w:lang w:val="fr-FR"/>
        </w:rPr>
        <w:t>nies sur la protection contre la violence et la discrimination fondées sur l'orientation sexuelle et l'identité de genre (IE SOGI), Victor Madrigal-Borloz, est un juriste costaricain. Il est chercheur invité principal au programme des droits de l'homme de la faculté</w:t>
      </w:r>
      <w:r w:rsidR="003F1BB8">
        <w:rPr>
          <w:rFonts w:asciiTheme="minorHAnsi" w:hAnsiTheme="minorHAnsi" w:cstheme="minorHAnsi"/>
          <w:sz w:val="22"/>
          <w:szCs w:val="22"/>
          <w:lang w:val="fr-FR"/>
        </w:rPr>
        <w:t xml:space="preserve"> de droit de Harvard. Jusqu’en</w:t>
      </w:r>
      <w:r w:rsidR="003F1BB8" w:rsidRPr="008A39D3">
        <w:rPr>
          <w:rFonts w:asciiTheme="minorHAnsi" w:hAnsiTheme="minorHAnsi" w:cstheme="minorHAnsi"/>
          <w:sz w:val="22"/>
          <w:szCs w:val="22"/>
          <w:lang w:val="fr-FR"/>
        </w:rPr>
        <w:t xml:space="preserve"> juin 2019</w:t>
      </w:r>
      <w:r w:rsidR="003F1BB8">
        <w:rPr>
          <w:rFonts w:asciiTheme="minorHAnsi" w:hAnsiTheme="minorHAnsi" w:cstheme="minorHAnsi"/>
          <w:sz w:val="22"/>
          <w:szCs w:val="22"/>
          <w:lang w:val="fr-FR"/>
        </w:rPr>
        <w:t xml:space="preserve"> il a été S</w:t>
      </w:r>
      <w:r w:rsidRPr="008A39D3">
        <w:rPr>
          <w:rFonts w:asciiTheme="minorHAnsi" w:hAnsiTheme="minorHAnsi" w:cstheme="minorHAnsi"/>
          <w:sz w:val="22"/>
          <w:szCs w:val="22"/>
          <w:lang w:val="fr-FR"/>
        </w:rPr>
        <w:t xml:space="preserve">ecrétaire général de l'International Rehabilitation Council for Torture Victims (IRCT), un réseau mondial de plus de 150 centres de réhabilitation dont la vision est de permettre à toutes les victimes de torture et de mauvais traitements de jouir pleinement de leur droit à la réhabilitation. </w:t>
      </w:r>
      <w:r w:rsidR="003F1BB8" w:rsidRPr="008A39D3">
        <w:rPr>
          <w:rFonts w:asciiTheme="minorHAnsi" w:hAnsiTheme="minorHAnsi" w:cstheme="minorHAnsi"/>
          <w:sz w:val="22"/>
          <w:szCs w:val="22"/>
          <w:lang w:val="fr-FR"/>
        </w:rPr>
        <w:t>De 2013 à 2016</w:t>
      </w:r>
      <w:r w:rsidR="003F1BB8">
        <w:rPr>
          <w:rFonts w:asciiTheme="minorHAnsi" w:hAnsiTheme="minorHAnsi" w:cstheme="minorHAnsi"/>
          <w:sz w:val="22"/>
          <w:szCs w:val="22"/>
          <w:lang w:val="fr-FR"/>
        </w:rPr>
        <w:t xml:space="preserve"> </w:t>
      </w:r>
      <w:r w:rsidRPr="008A39D3">
        <w:rPr>
          <w:rFonts w:asciiTheme="minorHAnsi" w:hAnsiTheme="minorHAnsi" w:cstheme="minorHAnsi"/>
          <w:sz w:val="22"/>
          <w:szCs w:val="22"/>
          <w:lang w:val="fr-FR"/>
        </w:rPr>
        <w:t>M. Madrigal-Borloz a été</w:t>
      </w:r>
      <w:r w:rsidR="003F1BB8">
        <w:rPr>
          <w:rFonts w:asciiTheme="minorHAnsi" w:hAnsiTheme="minorHAnsi" w:cstheme="minorHAnsi"/>
          <w:sz w:val="22"/>
          <w:szCs w:val="22"/>
          <w:lang w:val="fr-FR"/>
        </w:rPr>
        <w:t xml:space="preserve"> membre du Sous-comité des Nations U</w:t>
      </w:r>
      <w:r w:rsidRPr="008A39D3">
        <w:rPr>
          <w:rFonts w:asciiTheme="minorHAnsi" w:hAnsiTheme="minorHAnsi" w:cstheme="minorHAnsi"/>
          <w:sz w:val="22"/>
          <w:szCs w:val="22"/>
          <w:lang w:val="fr-FR"/>
        </w:rPr>
        <w:t xml:space="preserve">nies pour la prévention de la torture. Auparavant, il a travaillé à la Commission interaméricaine des droits de l'homme, à la Cour interaméricaine des droits de l'homme et à l'Institut danois des droits de l'homme.  </w:t>
      </w:r>
    </w:p>
    <w:p w14:paraId="297702FB" w14:textId="77777777" w:rsidR="008A39D3" w:rsidRPr="008A39D3" w:rsidRDefault="008A39D3" w:rsidP="008A39D3">
      <w:pPr>
        <w:tabs>
          <w:tab w:val="left" w:pos="993"/>
        </w:tabs>
        <w:rPr>
          <w:rFonts w:asciiTheme="minorHAnsi" w:hAnsiTheme="minorHAnsi" w:cstheme="minorHAnsi"/>
          <w:sz w:val="22"/>
          <w:szCs w:val="22"/>
          <w:lang w:val="fr-FR"/>
        </w:rPr>
      </w:pPr>
    </w:p>
    <w:p w14:paraId="55BA2735" w14:textId="77777777" w:rsidR="008A39D3" w:rsidRPr="008A39D3" w:rsidRDefault="008A39D3" w:rsidP="008A39D3">
      <w:pPr>
        <w:tabs>
          <w:tab w:val="left" w:pos="993"/>
        </w:tabs>
        <w:spacing w:after="120"/>
        <w:rPr>
          <w:rFonts w:asciiTheme="minorHAnsi" w:hAnsiTheme="minorHAnsi" w:cstheme="minorHAnsi"/>
          <w:b/>
          <w:sz w:val="22"/>
          <w:szCs w:val="22"/>
          <w:lang w:val="fr-FR"/>
        </w:rPr>
      </w:pPr>
      <w:r w:rsidRPr="008A39D3">
        <w:rPr>
          <w:rFonts w:asciiTheme="minorHAnsi" w:hAnsiTheme="minorHAnsi" w:cstheme="minorHAnsi"/>
          <w:b/>
          <w:sz w:val="22"/>
          <w:szCs w:val="22"/>
          <w:lang w:val="fr-FR"/>
        </w:rPr>
        <w:t>Mandat de l'expert indépendant</w:t>
      </w:r>
    </w:p>
    <w:p w14:paraId="617EF5CB" w14:textId="2608C790" w:rsidR="008A39D3" w:rsidRPr="008A39D3" w:rsidDel="00594BCE" w:rsidRDefault="008A39D3" w:rsidP="008A39D3">
      <w:pPr>
        <w:tabs>
          <w:tab w:val="left" w:pos="993"/>
        </w:tabs>
        <w:rPr>
          <w:rFonts w:asciiTheme="minorHAnsi" w:hAnsiTheme="minorHAnsi" w:cstheme="minorHAnsi"/>
          <w:sz w:val="22"/>
          <w:szCs w:val="22"/>
          <w:lang w:val="fr-FR"/>
        </w:rPr>
      </w:pPr>
      <w:r w:rsidRPr="008A39D3" w:rsidDel="00594BCE">
        <w:rPr>
          <w:rFonts w:asciiTheme="minorHAnsi" w:hAnsiTheme="minorHAnsi" w:cstheme="minorHAnsi"/>
          <w:sz w:val="22"/>
          <w:szCs w:val="22"/>
          <w:lang w:val="fr-FR"/>
        </w:rPr>
        <w:t xml:space="preserve">Conformément à la </w:t>
      </w:r>
      <w:hyperlink r:id="rId11" w:history="1">
        <w:r w:rsidRPr="008A39D3" w:rsidDel="00594BCE">
          <w:rPr>
            <w:rStyle w:val="Hyperlink"/>
            <w:rFonts w:asciiTheme="minorHAnsi" w:hAnsiTheme="minorHAnsi" w:cstheme="minorHAnsi"/>
            <w:sz w:val="22"/>
            <w:szCs w:val="22"/>
            <w:lang w:val="fr-FR"/>
          </w:rPr>
          <w:t>résolution 32/2</w:t>
        </w:r>
      </w:hyperlink>
      <w:r w:rsidRPr="008A39D3" w:rsidDel="00594BCE">
        <w:rPr>
          <w:rFonts w:asciiTheme="minorHAnsi" w:hAnsiTheme="minorHAnsi" w:cstheme="minorHAnsi"/>
          <w:sz w:val="22"/>
          <w:szCs w:val="22"/>
          <w:lang w:val="fr-FR"/>
        </w:rPr>
        <w:t>, le Conseil de</w:t>
      </w:r>
      <w:r w:rsidR="003F1BB8">
        <w:rPr>
          <w:rFonts w:asciiTheme="minorHAnsi" w:hAnsiTheme="minorHAnsi" w:cstheme="minorHAnsi"/>
          <w:sz w:val="22"/>
          <w:szCs w:val="22"/>
          <w:lang w:val="fr-FR"/>
        </w:rPr>
        <w:t>s droits de l'homme a chargé l'E</w:t>
      </w:r>
      <w:r w:rsidRPr="008A39D3" w:rsidDel="00594BCE">
        <w:rPr>
          <w:rFonts w:asciiTheme="minorHAnsi" w:hAnsiTheme="minorHAnsi" w:cstheme="minorHAnsi"/>
          <w:sz w:val="22"/>
          <w:szCs w:val="22"/>
          <w:lang w:val="fr-FR"/>
        </w:rPr>
        <w:t xml:space="preserve">xpert indépendant </w:t>
      </w:r>
      <w:r w:rsidRPr="008A39D3">
        <w:rPr>
          <w:rFonts w:asciiTheme="minorHAnsi" w:hAnsiTheme="minorHAnsi" w:cstheme="minorHAnsi"/>
          <w:sz w:val="22"/>
          <w:szCs w:val="22"/>
          <w:lang w:val="fr-FR"/>
        </w:rPr>
        <w:t>de</w:t>
      </w:r>
      <w:r w:rsidR="003F1BB8">
        <w:rPr>
          <w:rFonts w:asciiTheme="minorHAnsi" w:hAnsiTheme="minorHAnsi" w:cstheme="minorHAnsi"/>
          <w:sz w:val="22"/>
          <w:szCs w:val="22"/>
          <w:lang w:val="fr-FR"/>
        </w:rPr>
        <w:t> :</w:t>
      </w:r>
    </w:p>
    <w:p w14:paraId="5EA848E8" w14:textId="77777777" w:rsidR="008A39D3" w:rsidRPr="008A39D3" w:rsidRDefault="008A39D3" w:rsidP="008A39D3">
      <w:pPr>
        <w:tabs>
          <w:tab w:val="left" w:pos="993"/>
        </w:tabs>
        <w:jc w:val="both"/>
        <w:rPr>
          <w:rFonts w:asciiTheme="minorHAnsi" w:hAnsiTheme="minorHAnsi" w:cstheme="minorHAnsi"/>
          <w:sz w:val="22"/>
          <w:szCs w:val="22"/>
          <w:lang w:val="fr-FR"/>
        </w:rPr>
      </w:pPr>
    </w:p>
    <w:p w14:paraId="7901D627" w14:textId="732852C8" w:rsidR="008A39D3" w:rsidRPr="008A39D3" w:rsidRDefault="008A39D3" w:rsidP="008A39D3">
      <w:pPr>
        <w:numPr>
          <w:ilvl w:val="0"/>
          <w:numId w:val="25"/>
        </w:numPr>
        <w:tabs>
          <w:tab w:val="left" w:pos="993"/>
        </w:tabs>
        <w:spacing w:after="120"/>
        <w:ind w:left="357" w:hanging="357"/>
        <w:jc w:val="both"/>
        <w:rPr>
          <w:rFonts w:asciiTheme="minorHAnsi" w:hAnsiTheme="minorHAnsi" w:cstheme="minorHAnsi"/>
          <w:sz w:val="22"/>
          <w:szCs w:val="22"/>
          <w:lang w:val="fr-FR"/>
        </w:rPr>
      </w:pPr>
      <w:r w:rsidRPr="008A39D3">
        <w:rPr>
          <w:rFonts w:asciiTheme="minorHAnsi" w:hAnsiTheme="minorHAnsi" w:cstheme="minorHAnsi"/>
          <w:sz w:val="22"/>
          <w:szCs w:val="22"/>
          <w:lang w:val="fr-FR"/>
        </w:rPr>
        <w:t xml:space="preserve">Évaluer la mise en œuvre des instruments internationaux existants en matière de droits de l'homme en ce qui concerne les moyens de surmonter la violence et la discrimination à l'encontre des personnes sur la base de leur orientation </w:t>
      </w:r>
      <w:r w:rsidR="003F1BB8">
        <w:rPr>
          <w:rFonts w:asciiTheme="minorHAnsi" w:hAnsiTheme="minorHAnsi" w:cstheme="minorHAnsi"/>
          <w:sz w:val="22"/>
          <w:szCs w:val="22"/>
          <w:lang w:val="fr-FR"/>
        </w:rPr>
        <w:t xml:space="preserve">sexuelle </w:t>
      </w:r>
      <w:r w:rsidRPr="008A39D3">
        <w:rPr>
          <w:rFonts w:asciiTheme="minorHAnsi" w:hAnsiTheme="minorHAnsi" w:cstheme="minorHAnsi"/>
          <w:sz w:val="22"/>
          <w:szCs w:val="22"/>
          <w:lang w:val="fr-FR"/>
        </w:rPr>
        <w:t xml:space="preserve">ou de leur identité </w:t>
      </w:r>
      <w:r w:rsidR="003F1BB8">
        <w:rPr>
          <w:rFonts w:asciiTheme="minorHAnsi" w:hAnsiTheme="minorHAnsi" w:cstheme="minorHAnsi"/>
          <w:sz w:val="22"/>
          <w:szCs w:val="22"/>
          <w:lang w:val="fr-FR"/>
        </w:rPr>
        <w:t>de genre</w:t>
      </w:r>
      <w:r w:rsidRPr="008A39D3">
        <w:rPr>
          <w:rFonts w:asciiTheme="minorHAnsi" w:hAnsiTheme="minorHAnsi" w:cstheme="minorHAnsi"/>
          <w:sz w:val="22"/>
          <w:szCs w:val="22"/>
          <w:lang w:val="fr-FR"/>
        </w:rPr>
        <w:t>, tout en identifiant à la fois les meilleures pratiques et les lacunes ;</w:t>
      </w:r>
    </w:p>
    <w:p w14:paraId="56818942" w14:textId="77777777" w:rsidR="008A39D3" w:rsidRPr="008A39D3" w:rsidRDefault="008A39D3" w:rsidP="008A39D3">
      <w:pPr>
        <w:numPr>
          <w:ilvl w:val="0"/>
          <w:numId w:val="25"/>
        </w:numPr>
        <w:tabs>
          <w:tab w:val="left" w:pos="993"/>
        </w:tabs>
        <w:spacing w:after="120"/>
        <w:ind w:left="357" w:hanging="357"/>
        <w:jc w:val="both"/>
        <w:rPr>
          <w:rFonts w:asciiTheme="minorHAnsi" w:hAnsiTheme="minorHAnsi" w:cstheme="minorHAnsi"/>
          <w:sz w:val="22"/>
          <w:szCs w:val="22"/>
          <w:lang w:val="fr-FR"/>
        </w:rPr>
      </w:pPr>
      <w:r w:rsidRPr="008A39D3">
        <w:rPr>
          <w:rFonts w:asciiTheme="minorHAnsi" w:hAnsiTheme="minorHAnsi" w:cstheme="minorHAnsi"/>
          <w:sz w:val="22"/>
          <w:szCs w:val="22"/>
          <w:lang w:val="fr-FR"/>
        </w:rPr>
        <w:t>Sensibiliser à la violence et à la discrimination à l'encontre des personnes en raison de leur orientation sexuelle ou de leur identité de genre, et identifier et traiter les causes profondes de la violence et de la discrimination ;</w:t>
      </w:r>
    </w:p>
    <w:p w14:paraId="427B82D1" w14:textId="016EBF0B" w:rsidR="008A39D3" w:rsidRPr="008A39D3" w:rsidRDefault="008A39D3" w:rsidP="008A39D3">
      <w:pPr>
        <w:numPr>
          <w:ilvl w:val="0"/>
          <w:numId w:val="25"/>
        </w:numPr>
        <w:tabs>
          <w:tab w:val="left" w:pos="993"/>
        </w:tabs>
        <w:spacing w:after="120"/>
        <w:ind w:left="357" w:hanging="357"/>
        <w:jc w:val="both"/>
        <w:rPr>
          <w:rFonts w:asciiTheme="minorHAnsi" w:hAnsiTheme="minorHAnsi" w:cstheme="minorHAnsi"/>
          <w:sz w:val="22"/>
          <w:szCs w:val="22"/>
          <w:lang w:val="fr-FR"/>
        </w:rPr>
      </w:pPr>
      <w:r w:rsidRPr="008A39D3">
        <w:rPr>
          <w:rFonts w:asciiTheme="minorHAnsi" w:hAnsiTheme="minorHAnsi" w:cstheme="minorHAnsi"/>
          <w:sz w:val="22"/>
          <w:szCs w:val="22"/>
          <w:lang w:val="fr-FR"/>
        </w:rPr>
        <w:t>Engager un dialogue et consulter les États et les autres parties prenantes concernées, notamment les agences, p</w:t>
      </w:r>
      <w:r w:rsidR="003F1BB8">
        <w:rPr>
          <w:rFonts w:asciiTheme="minorHAnsi" w:hAnsiTheme="minorHAnsi" w:cstheme="minorHAnsi"/>
          <w:sz w:val="22"/>
          <w:szCs w:val="22"/>
          <w:lang w:val="fr-FR"/>
        </w:rPr>
        <w:t>rogrammes et fonds des Nations U</w:t>
      </w:r>
      <w:r w:rsidRPr="008A39D3">
        <w:rPr>
          <w:rFonts w:asciiTheme="minorHAnsi" w:hAnsiTheme="minorHAnsi" w:cstheme="minorHAnsi"/>
          <w:sz w:val="22"/>
          <w:szCs w:val="22"/>
          <w:lang w:val="fr-FR"/>
        </w:rPr>
        <w:t>nies, les mécanismes régionaux des droits de l'homme, les institutions nationales des droits de l'homme, les organisations de la société civile et les établissements universitaires ;</w:t>
      </w:r>
    </w:p>
    <w:p w14:paraId="17565D9A" w14:textId="77777777" w:rsidR="008A39D3" w:rsidRPr="008A39D3" w:rsidRDefault="008A39D3" w:rsidP="008A39D3">
      <w:pPr>
        <w:numPr>
          <w:ilvl w:val="0"/>
          <w:numId w:val="25"/>
        </w:numPr>
        <w:tabs>
          <w:tab w:val="left" w:pos="993"/>
        </w:tabs>
        <w:spacing w:after="120"/>
        <w:ind w:left="357" w:hanging="357"/>
        <w:jc w:val="both"/>
        <w:rPr>
          <w:rFonts w:asciiTheme="minorHAnsi" w:hAnsiTheme="minorHAnsi" w:cstheme="minorHAnsi"/>
          <w:sz w:val="22"/>
          <w:szCs w:val="22"/>
          <w:lang w:val="fr-FR"/>
        </w:rPr>
      </w:pPr>
      <w:r w:rsidRPr="008A39D3">
        <w:rPr>
          <w:rFonts w:asciiTheme="minorHAnsi" w:hAnsiTheme="minorHAnsi" w:cstheme="minorHAnsi"/>
          <w:sz w:val="22"/>
          <w:szCs w:val="22"/>
          <w:lang w:val="fr-FR"/>
        </w:rPr>
        <w:t>Travailler en coopération avec les États afin de favoriser la mise en œuvre de mesures qui contribuent à la protection de toutes les personnes contre la violence et la discrimination fondées sur l'orientation sexuelle et l'identité de genre ;</w:t>
      </w:r>
    </w:p>
    <w:p w14:paraId="67518FF8" w14:textId="4EFADDEA" w:rsidR="008A39D3" w:rsidRPr="008A39D3" w:rsidRDefault="008A39D3" w:rsidP="008A39D3">
      <w:pPr>
        <w:numPr>
          <w:ilvl w:val="0"/>
          <w:numId w:val="25"/>
        </w:numPr>
        <w:tabs>
          <w:tab w:val="left" w:pos="993"/>
        </w:tabs>
        <w:spacing w:after="120"/>
        <w:ind w:left="357" w:hanging="357"/>
        <w:jc w:val="both"/>
        <w:rPr>
          <w:rFonts w:asciiTheme="minorHAnsi" w:hAnsiTheme="minorHAnsi" w:cstheme="minorHAnsi"/>
          <w:sz w:val="22"/>
          <w:szCs w:val="22"/>
          <w:lang w:val="fr-FR"/>
        </w:rPr>
      </w:pPr>
      <w:r w:rsidRPr="008A39D3">
        <w:rPr>
          <w:rFonts w:asciiTheme="minorHAnsi" w:hAnsiTheme="minorHAnsi" w:cstheme="minorHAnsi"/>
          <w:sz w:val="22"/>
          <w:szCs w:val="22"/>
          <w:lang w:val="fr-FR"/>
        </w:rPr>
        <w:t xml:space="preserve">S'attaquer aux formes multiples, croisées et aggravées de violence et de discrimination auxquelles sont confrontées les personnes en raison de leur orientation </w:t>
      </w:r>
      <w:r w:rsidR="003F1BB8">
        <w:rPr>
          <w:rFonts w:asciiTheme="minorHAnsi" w:hAnsiTheme="minorHAnsi" w:cstheme="minorHAnsi"/>
          <w:sz w:val="22"/>
          <w:szCs w:val="22"/>
          <w:lang w:val="fr-FR"/>
        </w:rPr>
        <w:t xml:space="preserve">sexuelle </w:t>
      </w:r>
      <w:r w:rsidRPr="008A39D3">
        <w:rPr>
          <w:rFonts w:asciiTheme="minorHAnsi" w:hAnsiTheme="minorHAnsi" w:cstheme="minorHAnsi"/>
          <w:sz w:val="22"/>
          <w:szCs w:val="22"/>
          <w:lang w:val="fr-FR"/>
        </w:rPr>
        <w:t xml:space="preserve">et de leur identité </w:t>
      </w:r>
      <w:r w:rsidR="003F1BB8">
        <w:rPr>
          <w:rFonts w:asciiTheme="minorHAnsi" w:hAnsiTheme="minorHAnsi" w:cstheme="minorHAnsi"/>
          <w:sz w:val="22"/>
          <w:szCs w:val="22"/>
          <w:lang w:val="fr-FR"/>
        </w:rPr>
        <w:t>de genre</w:t>
      </w:r>
      <w:r w:rsidRPr="008A39D3">
        <w:rPr>
          <w:rFonts w:asciiTheme="minorHAnsi" w:hAnsiTheme="minorHAnsi" w:cstheme="minorHAnsi"/>
          <w:sz w:val="22"/>
          <w:szCs w:val="22"/>
          <w:lang w:val="fr-FR"/>
        </w:rPr>
        <w:t xml:space="preserve"> ;</w:t>
      </w:r>
    </w:p>
    <w:p w14:paraId="3F0D11AF" w14:textId="598696FB" w:rsidR="008A39D3" w:rsidRPr="008A39D3" w:rsidRDefault="008A39D3" w:rsidP="008A39D3">
      <w:pPr>
        <w:numPr>
          <w:ilvl w:val="0"/>
          <w:numId w:val="25"/>
        </w:numPr>
        <w:tabs>
          <w:tab w:val="left" w:pos="993"/>
        </w:tabs>
        <w:spacing w:after="120"/>
        <w:ind w:left="357" w:hanging="357"/>
        <w:jc w:val="both"/>
        <w:rPr>
          <w:rFonts w:asciiTheme="minorHAnsi" w:hAnsiTheme="minorHAnsi" w:cstheme="minorHAnsi"/>
          <w:sz w:val="22"/>
          <w:szCs w:val="22"/>
          <w:lang w:val="fr-FR"/>
        </w:rPr>
      </w:pPr>
      <w:r w:rsidRPr="008A39D3">
        <w:rPr>
          <w:rFonts w:asciiTheme="minorHAnsi" w:hAnsiTheme="minorHAnsi" w:cstheme="minorHAnsi"/>
          <w:sz w:val="22"/>
          <w:szCs w:val="22"/>
          <w:lang w:val="fr-FR"/>
        </w:rPr>
        <w:lastRenderedPageBreak/>
        <w:t xml:space="preserve">Conduire, faciliter et soutenir </w:t>
      </w:r>
      <w:r w:rsidR="003F1BB8">
        <w:rPr>
          <w:rFonts w:asciiTheme="minorHAnsi" w:hAnsiTheme="minorHAnsi" w:cstheme="minorHAnsi"/>
          <w:sz w:val="22"/>
          <w:szCs w:val="22"/>
          <w:lang w:val="fr-FR"/>
        </w:rPr>
        <w:t>l’octroi</w:t>
      </w:r>
      <w:r w:rsidRPr="008A39D3">
        <w:rPr>
          <w:rFonts w:asciiTheme="minorHAnsi" w:hAnsiTheme="minorHAnsi" w:cstheme="minorHAnsi"/>
          <w:sz w:val="22"/>
          <w:szCs w:val="22"/>
          <w:lang w:val="fr-FR"/>
        </w:rPr>
        <w:t xml:space="preserve"> de services de conseil, d'assistance technique, de renforcement des capacités et de coopération internationale à l'appui des efforts nationaux de lutte contre la violence et la discrimination à l'encontre des personnes sur la base de leur orientation </w:t>
      </w:r>
      <w:r w:rsidR="003F1BB8">
        <w:rPr>
          <w:rFonts w:asciiTheme="minorHAnsi" w:hAnsiTheme="minorHAnsi" w:cstheme="minorHAnsi"/>
          <w:sz w:val="22"/>
          <w:szCs w:val="22"/>
          <w:lang w:val="fr-FR"/>
        </w:rPr>
        <w:t xml:space="preserve">sexuelle </w:t>
      </w:r>
      <w:r w:rsidRPr="008A39D3">
        <w:rPr>
          <w:rFonts w:asciiTheme="minorHAnsi" w:hAnsiTheme="minorHAnsi" w:cstheme="minorHAnsi"/>
          <w:sz w:val="22"/>
          <w:szCs w:val="22"/>
          <w:lang w:val="fr-FR"/>
        </w:rPr>
        <w:t xml:space="preserve">ou de leur identité </w:t>
      </w:r>
      <w:r w:rsidR="003F1BB8">
        <w:rPr>
          <w:rFonts w:asciiTheme="minorHAnsi" w:hAnsiTheme="minorHAnsi" w:cstheme="minorHAnsi"/>
          <w:sz w:val="22"/>
          <w:szCs w:val="22"/>
          <w:lang w:val="fr-FR"/>
        </w:rPr>
        <w:t>de genre</w:t>
      </w:r>
      <w:r w:rsidRPr="008A39D3">
        <w:rPr>
          <w:rFonts w:asciiTheme="minorHAnsi" w:hAnsiTheme="minorHAnsi" w:cstheme="minorHAnsi"/>
          <w:sz w:val="22"/>
          <w:szCs w:val="22"/>
          <w:lang w:val="fr-FR"/>
        </w:rPr>
        <w:t>.</w:t>
      </w:r>
    </w:p>
    <w:p w14:paraId="0D28DC54" w14:textId="77777777" w:rsidR="003F1BB8" w:rsidRDefault="003F1BB8" w:rsidP="008A39D3">
      <w:pPr>
        <w:tabs>
          <w:tab w:val="left" w:pos="993"/>
        </w:tabs>
        <w:rPr>
          <w:rFonts w:asciiTheme="minorHAnsi" w:hAnsiTheme="minorHAnsi" w:cstheme="minorHAnsi"/>
          <w:sz w:val="22"/>
          <w:szCs w:val="22"/>
          <w:lang w:val="fr-FR"/>
        </w:rPr>
      </w:pPr>
    </w:p>
    <w:p w14:paraId="18D38C7F" w14:textId="1B5B0057" w:rsidR="008A39D3" w:rsidRPr="008A39D3" w:rsidRDefault="008A39D3" w:rsidP="008A39D3">
      <w:pPr>
        <w:tabs>
          <w:tab w:val="left" w:pos="993"/>
        </w:tabs>
        <w:rPr>
          <w:rFonts w:asciiTheme="minorHAnsi" w:hAnsiTheme="minorHAnsi" w:cstheme="minorHAnsi"/>
          <w:sz w:val="22"/>
          <w:szCs w:val="22"/>
          <w:lang w:val="fr-FR"/>
        </w:rPr>
      </w:pPr>
      <w:r w:rsidRPr="008A39D3">
        <w:rPr>
          <w:rFonts w:asciiTheme="minorHAnsi" w:hAnsiTheme="minorHAnsi" w:cstheme="minorHAnsi"/>
          <w:sz w:val="22"/>
          <w:szCs w:val="22"/>
          <w:lang w:val="fr-FR"/>
        </w:rPr>
        <w:t xml:space="preserve">Par sa résolution 32/2 de juin 2016, le Conseil des droits de l'homme a établi le mandat de l'IE SOGI. Ce mandat a été renouvelé pour une période de trois ans en 2019 par la résolution 41/18. </w:t>
      </w:r>
    </w:p>
    <w:p w14:paraId="06C19ECF" w14:textId="77777777" w:rsidR="008A39D3" w:rsidRPr="008A39D3" w:rsidRDefault="008A39D3" w:rsidP="008A39D3">
      <w:pPr>
        <w:tabs>
          <w:tab w:val="left" w:pos="993"/>
        </w:tabs>
        <w:rPr>
          <w:rFonts w:asciiTheme="minorHAnsi" w:hAnsiTheme="minorHAnsi" w:cstheme="minorHAnsi"/>
          <w:sz w:val="22"/>
          <w:szCs w:val="22"/>
          <w:lang w:val="fr-FR"/>
        </w:rPr>
      </w:pPr>
    </w:p>
    <w:p w14:paraId="4CF6274B" w14:textId="36B548AF" w:rsidR="008A39D3" w:rsidRPr="008A39D3" w:rsidRDefault="008A39D3" w:rsidP="008A39D3">
      <w:pPr>
        <w:tabs>
          <w:tab w:val="left" w:pos="993"/>
        </w:tabs>
        <w:rPr>
          <w:rFonts w:asciiTheme="minorHAnsi" w:hAnsiTheme="minorHAnsi" w:cstheme="minorHAnsi"/>
          <w:sz w:val="22"/>
          <w:szCs w:val="22"/>
          <w:lang w:val="fr-FR"/>
        </w:rPr>
      </w:pPr>
      <w:r w:rsidRPr="008A39D3">
        <w:rPr>
          <w:rFonts w:asciiTheme="minorHAnsi" w:hAnsiTheme="minorHAnsi" w:cstheme="minorHAnsi"/>
          <w:sz w:val="22"/>
          <w:szCs w:val="22"/>
          <w:lang w:val="fr-FR"/>
        </w:rPr>
        <w:t xml:space="preserve">Pour plus d'informations, voir </w:t>
      </w:r>
      <w:hyperlink r:id="rId12" w:history="1">
        <w:r w:rsidR="003F1BB8" w:rsidRPr="00735B60">
          <w:rPr>
            <w:rStyle w:val="Hyperlink"/>
            <w:rFonts w:asciiTheme="minorHAnsi" w:hAnsiTheme="minorHAnsi" w:cstheme="minorHAnsi"/>
            <w:sz w:val="22"/>
            <w:szCs w:val="22"/>
            <w:lang w:val="fr-FR"/>
          </w:rPr>
          <w:t xml:space="preserve">: http://www.ohchr.org/FR/Issues/SexualOrientationGender/Pages/Index.aspx </w:t>
        </w:r>
      </w:hyperlink>
    </w:p>
    <w:p w14:paraId="1A4E35A6" w14:textId="77777777" w:rsidR="008A39D3" w:rsidRPr="008A39D3" w:rsidRDefault="008A39D3" w:rsidP="008A39D3">
      <w:pPr>
        <w:tabs>
          <w:tab w:val="left" w:pos="993"/>
        </w:tabs>
        <w:rPr>
          <w:rFonts w:asciiTheme="minorHAnsi" w:hAnsiTheme="minorHAnsi" w:cstheme="minorHAnsi"/>
          <w:sz w:val="22"/>
          <w:szCs w:val="22"/>
          <w:lang w:val="fr-FR"/>
        </w:rPr>
      </w:pPr>
    </w:p>
    <w:p w14:paraId="456CED22" w14:textId="4DE07110" w:rsidR="008A39D3" w:rsidRPr="008A39D3" w:rsidDel="00594BCE" w:rsidRDefault="008A39D3" w:rsidP="008A39D3">
      <w:pPr>
        <w:tabs>
          <w:tab w:val="left" w:pos="993"/>
        </w:tabs>
        <w:jc w:val="both"/>
        <w:rPr>
          <w:rFonts w:asciiTheme="minorHAnsi" w:hAnsiTheme="minorHAnsi" w:cstheme="minorHAnsi"/>
          <w:sz w:val="22"/>
          <w:szCs w:val="22"/>
          <w:lang w:val="fr-FR"/>
        </w:rPr>
      </w:pPr>
      <w:r w:rsidRPr="008A39D3" w:rsidDel="00594BCE">
        <w:rPr>
          <w:rFonts w:asciiTheme="minorHAnsi" w:hAnsiTheme="minorHAnsi" w:cstheme="minorHAnsi"/>
          <w:sz w:val="22"/>
          <w:szCs w:val="22"/>
          <w:lang w:val="fr-FR"/>
        </w:rPr>
        <w:t>Les premiers mots de la Déclaration universelle des droits de l'homme sont sans équivoque : "Tous les êtres humains naissent libres et égaux en dignité et en droits". Ces principes ont été confirmés plus récemment avec les objectifs de développement durable, qui reposent tous sur un seul et même principe directeur: ne laisser personne derrière. Les obligations légales des États de sauvegarder</w:t>
      </w:r>
      <w:r w:rsidRPr="008A39D3">
        <w:rPr>
          <w:rFonts w:asciiTheme="minorHAnsi" w:hAnsiTheme="minorHAnsi" w:cstheme="minorHAnsi"/>
          <w:sz w:val="22"/>
          <w:szCs w:val="22"/>
          <w:lang w:val="fr-FR"/>
        </w:rPr>
        <w:t xml:space="preserve"> les droits fondamentaux des </w:t>
      </w:r>
      <w:r w:rsidR="001460B1">
        <w:rPr>
          <w:rFonts w:asciiTheme="minorHAnsi" w:hAnsiTheme="minorHAnsi" w:cstheme="minorHAnsi"/>
          <w:sz w:val="22"/>
          <w:szCs w:val="22"/>
          <w:lang w:val="fr-FR"/>
        </w:rPr>
        <w:t xml:space="preserve">personnes </w:t>
      </w:r>
      <w:r w:rsidRPr="008A39D3">
        <w:rPr>
          <w:rFonts w:asciiTheme="minorHAnsi" w:hAnsiTheme="minorHAnsi" w:cstheme="minorHAnsi"/>
          <w:sz w:val="22"/>
          <w:szCs w:val="22"/>
          <w:lang w:val="fr-FR"/>
        </w:rPr>
        <w:t>lesbiennes, gays, bisexue</w:t>
      </w:r>
      <w:r w:rsidR="001460B1">
        <w:rPr>
          <w:rFonts w:asciiTheme="minorHAnsi" w:hAnsiTheme="minorHAnsi" w:cstheme="minorHAnsi"/>
          <w:sz w:val="22"/>
          <w:szCs w:val="22"/>
          <w:lang w:val="fr-FR"/>
        </w:rPr>
        <w:t>l</w:t>
      </w:r>
      <w:r w:rsidRPr="008A39D3">
        <w:rPr>
          <w:rFonts w:asciiTheme="minorHAnsi" w:hAnsiTheme="minorHAnsi" w:cstheme="minorHAnsi"/>
          <w:sz w:val="22"/>
          <w:szCs w:val="22"/>
          <w:lang w:val="fr-FR"/>
        </w:rPr>
        <w:t>l</w:t>
      </w:r>
      <w:r w:rsidR="001460B1">
        <w:rPr>
          <w:rFonts w:asciiTheme="minorHAnsi" w:hAnsiTheme="minorHAnsi" w:cstheme="minorHAnsi"/>
          <w:sz w:val="22"/>
          <w:szCs w:val="22"/>
          <w:lang w:val="fr-FR"/>
        </w:rPr>
        <w:t>e</w:t>
      </w:r>
      <w:r w:rsidRPr="008A39D3">
        <w:rPr>
          <w:rFonts w:asciiTheme="minorHAnsi" w:hAnsiTheme="minorHAnsi" w:cstheme="minorHAnsi"/>
          <w:sz w:val="22"/>
          <w:szCs w:val="22"/>
          <w:lang w:val="fr-FR"/>
        </w:rPr>
        <w:t xml:space="preserve">s, </w:t>
      </w:r>
      <w:r w:rsidRPr="008A39D3" w:rsidDel="00594BCE">
        <w:rPr>
          <w:rFonts w:asciiTheme="minorHAnsi" w:hAnsiTheme="minorHAnsi" w:cstheme="minorHAnsi"/>
          <w:sz w:val="22"/>
          <w:szCs w:val="22"/>
          <w:lang w:val="fr-FR"/>
        </w:rPr>
        <w:t xml:space="preserve">trans (LGBT) </w:t>
      </w:r>
      <w:r w:rsidR="001460B1">
        <w:rPr>
          <w:rFonts w:asciiTheme="minorHAnsi" w:hAnsiTheme="minorHAnsi" w:cstheme="minorHAnsi"/>
          <w:sz w:val="22"/>
          <w:szCs w:val="22"/>
          <w:lang w:val="fr-FR"/>
        </w:rPr>
        <w:t xml:space="preserve">et de genre </w:t>
      </w:r>
      <w:r w:rsidR="003F1BB8">
        <w:rPr>
          <w:rFonts w:asciiTheme="minorHAnsi" w:hAnsiTheme="minorHAnsi" w:cstheme="minorHAnsi"/>
          <w:sz w:val="22"/>
          <w:szCs w:val="22"/>
          <w:lang w:val="fr-FR"/>
        </w:rPr>
        <w:t>variant</w:t>
      </w:r>
      <w:r w:rsidRPr="008A39D3" w:rsidDel="00594BCE">
        <w:rPr>
          <w:rFonts w:asciiTheme="minorHAnsi" w:hAnsiTheme="minorHAnsi" w:cstheme="minorHAnsi"/>
          <w:sz w:val="22"/>
          <w:szCs w:val="22"/>
          <w:lang w:val="fr-FR"/>
        </w:rPr>
        <w:t xml:space="preserve"> sont bien établies dans le droit international des droits de l'homme sur la base de la Déclaration universelle des droits de l'homme.</w:t>
      </w:r>
    </w:p>
    <w:p w14:paraId="7ED2044B" w14:textId="77777777" w:rsidR="008A39D3" w:rsidRPr="008A39D3" w:rsidDel="00594BCE" w:rsidRDefault="008A39D3" w:rsidP="008A39D3">
      <w:pPr>
        <w:tabs>
          <w:tab w:val="left" w:pos="993"/>
        </w:tabs>
        <w:jc w:val="both"/>
        <w:rPr>
          <w:rFonts w:asciiTheme="minorHAnsi" w:hAnsiTheme="minorHAnsi" w:cstheme="minorHAnsi"/>
          <w:sz w:val="22"/>
          <w:szCs w:val="22"/>
          <w:lang w:val="fr-FR"/>
        </w:rPr>
      </w:pPr>
    </w:p>
    <w:p w14:paraId="59FBB45F" w14:textId="77777777" w:rsidR="008A39D3" w:rsidRPr="008A39D3" w:rsidDel="00594BCE" w:rsidRDefault="008A39D3" w:rsidP="008A39D3">
      <w:pPr>
        <w:tabs>
          <w:tab w:val="left" w:pos="993"/>
        </w:tabs>
        <w:jc w:val="both"/>
        <w:rPr>
          <w:rFonts w:asciiTheme="minorHAnsi" w:hAnsiTheme="minorHAnsi" w:cstheme="minorHAnsi"/>
          <w:sz w:val="22"/>
          <w:szCs w:val="22"/>
          <w:lang w:val="fr-FR"/>
        </w:rPr>
      </w:pPr>
      <w:r w:rsidRPr="008A39D3" w:rsidDel="00594BCE">
        <w:rPr>
          <w:rFonts w:asciiTheme="minorHAnsi" w:hAnsiTheme="minorHAnsi" w:cstheme="minorHAnsi"/>
          <w:sz w:val="22"/>
          <w:szCs w:val="22"/>
          <w:lang w:val="fr-FR"/>
        </w:rPr>
        <w:t>Toutes les personnes, indépendamment de leur sexe, de leur orientation sexuelle ou de leur identité de genre, ont le droit de bénéficier des protections prévues par le droit international des droits de l'homme, notamment en ce qui concerne les droits à la vie, à la sécurité de la personne et à la vie privée, le droit de ne pas être soumis à la torture, à l'arrestation et à la détention arbitraires, le droit de ne pas être soumis à la discrimination et le droit à la liberté d'expression, d'association et de réunion pacifique.</w:t>
      </w:r>
    </w:p>
    <w:p w14:paraId="2843758F" w14:textId="77777777" w:rsidR="008A39D3" w:rsidRPr="008A39D3" w:rsidDel="00594BCE" w:rsidRDefault="008A39D3" w:rsidP="008A39D3">
      <w:pPr>
        <w:tabs>
          <w:tab w:val="left" w:pos="993"/>
        </w:tabs>
        <w:jc w:val="both"/>
        <w:rPr>
          <w:rFonts w:asciiTheme="minorHAnsi" w:hAnsiTheme="minorHAnsi" w:cstheme="minorHAnsi"/>
          <w:sz w:val="22"/>
          <w:szCs w:val="22"/>
          <w:lang w:val="fr-FR"/>
        </w:rPr>
      </w:pPr>
    </w:p>
    <w:p w14:paraId="3F01A8A5" w14:textId="6155A4BF" w:rsidR="008A39D3" w:rsidRPr="008A39D3" w:rsidDel="00594BCE" w:rsidRDefault="008A39D3" w:rsidP="008A39D3">
      <w:pPr>
        <w:tabs>
          <w:tab w:val="left" w:pos="993"/>
        </w:tabs>
        <w:jc w:val="both"/>
        <w:rPr>
          <w:rFonts w:asciiTheme="minorHAnsi" w:hAnsiTheme="minorHAnsi" w:cstheme="minorHAnsi"/>
          <w:sz w:val="22"/>
          <w:szCs w:val="22"/>
          <w:lang w:val="fr-FR"/>
        </w:rPr>
      </w:pPr>
      <w:r w:rsidRPr="008A39D3" w:rsidDel="00594BCE">
        <w:rPr>
          <w:rFonts w:asciiTheme="minorHAnsi" w:hAnsiTheme="minorHAnsi" w:cstheme="minorHAnsi"/>
          <w:sz w:val="22"/>
          <w:szCs w:val="22"/>
          <w:lang w:val="fr-FR"/>
        </w:rPr>
        <w:t>Pour plus d'informations sur les normes internationales des droits de l'homme applicables dans ce contexte, veuillez vous référer à la</w:t>
      </w:r>
      <w:r w:rsidRPr="008A39D3">
        <w:rPr>
          <w:rFonts w:asciiTheme="minorHAnsi" w:hAnsiTheme="minorHAnsi" w:cstheme="minorHAnsi"/>
          <w:sz w:val="22"/>
          <w:szCs w:val="22"/>
          <w:lang w:val="fr-FR"/>
        </w:rPr>
        <w:t xml:space="preserve"> brochure</w:t>
      </w:r>
      <w:hyperlink r:id="rId13" w:history="1">
        <w:r w:rsidRPr="008A39D3">
          <w:rPr>
            <w:rStyle w:val="Hyperlink"/>
            <w:rFonts w:asciiTheme="minorHAnsi" w:hAnsiTheme="minorHAnsi" w:cstheme="minorHAnsi"/>
            <w:sz w:val="22"/>
            <w:szCs w:val="22"/>
            <w:lang w:val="fr-FR"/>
          </w:rPr>
          <w:t xml:space="preserve"> Born Free and Equal</w:t>
        </w:r>
      </w:hyperlink>
      <w:r w:rsidRPr="008A39D3">
        <w:rPr>
          <w:rFonts w:asciiTheme="minorHAnsi" w:hAnsiTheme="minorHAnsi" w:cstheme="minorHAnsi"/>
          <w:sz w:val="22"/>
          <w:szCs w:val="22"/>
          <w:lang w:val="fr-FR"/>
        </w:rPr>
        <w:t xml:space="preserve"> (édition révisée)</w:t>
      </w:r>
      <w:r w:rsidRPr="008A39D3" w:rsidDel="00594BCE">
        <w:rPr>
          <w:rFonts w:asciiTheme="minorHAnsi" w:hAnsiTheme="minorHAnsi" w:cstheme="minorHAnsi"/>
          <w:sz w:val="22"/>
          <w:szCs w:val="22"/>
          <w:lang w:val="fr-FR"/>
        </w:rPr>
        <w:t xml:space="preserve"> publiée par le HCDH en </w:t>
      </w:r>
      <w:r w:rsidRPr="008A39D3">
        <w:rPr>
          <w:rFonts w:asciiTheme="minorHAnsi" w:hAnsiTheme="minorHAnsi" w:cstheme="minorHAnsi"/>
          <w:sz w:val="22"/>
          <w:szCs w:val="22"/>
          <w:lang w:val="fr-FR"/>
        </w:rPr>
        <w:t xml:space="preserve">2019, aux </w:t>
      </w:r>
      <w:hyperlink r:id="rId14" w:history="1">
        <w:r w:rsidR="001460B1">
          <w:rPr>
            <w:rStyle w:val="Hyperlink"/>
            <w:rFonts w:asciiTheme="minorHAnsi" w:hAnsiTheme="minorHAnsi" w:cstheme="minorHAnsi"/>
            <w:sz w:val="22"/>
            <w:szCs w:val="22"/>
            <w:lang w:val="fr-FR"/>
          </w:rPr>
          <w:t>travaux de l'E</w:t>
        </w:r>
        <w:r w:rsidRPr="008A39D3">
          <w:rPr>
            <w:rStyle w:val="Hyperlink"/>
            <w:rFonts w:asciiTheme="minorHAnsi" w:hAnsiTheme="minorHAnsi" w:cstheme="minorHAnsi"/>
            <w:sz w:val="22"/>
            <w:szCs w:val="22"/>
            <w:lang w:val="fr-FR"/>
          </w:rPr>
          <w:t>xpert indépendant et</w:t>
        </w:r>
      </w:hyperlink>
      <w:r w:rsidRPr="008A39D3" w:rsidDel="00594BCE">
        <w:rPr>
          <w:rFonts w:asciiTheme="minorHAnsi" w:hAnsiTheme="minorHAnsi" w:cstheme="minorHAnsi"/>
          <w:sz w:val="22"/>
          <w:szCs w:val="22"/>
          <w:lang w:val="fr-FR"/>
        </w:rPr>
        <w:t xml:space="preserve"> aux deux premiers rapports officiels des Nations unies sur la violence et la discrimination fondées sur l'orientation sexuelle et l'identité de genre(</w:t>
      </w:r>
      <w:hyperlink r:id="rId15" w:history="1">
        <w:r w:rsidRPr="008A39D3" w:rsidDel="00594BCE">
          <w:rPr>
            <w:rStyle w:val="Hyperlink"/>
            <w:rFonts w:asciiTheme="minorHAnsi" w:hAnsiTheme="minorHAnsi" w:cstheme="minorHAnsi"/>
            <w:sz w:val="22"/>
            <w:szCs w:val="22"/>
            <w:lang w:val="fr-FR"/>
          </w:rPr>
          <w:t>A/HRC/19/41</w:t>
        </w:r>
      </w:hyperlink>
      <w:r w:rsidRPr="008A39D3" w:rsidDel="00594BCE">
        <w:rPr>
          <w:rFonts w:asciiTheme="minorHAnsi" w:hAnsiTheme="minorHAnsi" w:cstheme="minorHAnsi"/>
          <w:sz w:val="22"/>
          <w:szCs w:val="22"/>
          <w:lang w:val="fr-FR"/>
        </w:rPr>
        <w:t xml:space="preserve"> et </w:t>
      </w:r>
      <w:hyperlink r:id="rId16" w:history="1">
        <w:r w:rsidRPr="008A39D3" w:rsidDel="00594BCE">
          <w:rPr>
            <w:rStyle w:val="Hyperlink"/>
            <w:rFonts w:asciiTheme="minorHAnsi" w:hAnsiTheme="minorHAnsi" w:cstheme="minorHAnsi"/>
            <w:sz w:val="22"/>
            <w:szCs w:val="22"/>
            <w:lang w:val="fr-FR"/>
          </w:rPr>
          <w:t>A/HRC/29/23</w:t>
        </w:r>
      </w:hyperlink>
      <w:r w:rsidRPr="008A39D3" w:rsidDel="00594BCE">
        <w:rPr>
          <w:rFonts w:asciiTheme="minorHAnsi" w:hAnsiTheme="minorHAnsi" w:cstheme="minorHAnsi"/>
          <w:sz w:val="22"/>
          <w:szCs w:val="22"/>
          <w:lang w:val="fr-FR"/>
        </w:rPr>
        <w:t>) qui ont été présentés au Conseil des droits de l'homme en 2012 et 2015, respectivement.</w:t>
      </w:r>
    </w:p>
    <w:p w14:paraId="3DAF9689" w14:textId="77777777" w:rsidR="008A39D3" w:rsidRPr="008A39D3" w:rsidRDefault="008A39D3" w:rsidP="008A39D3">
      <w:pPr>
        <w:tabs>
          <w:tab w:val="left" w:pos="993"/>
        </w:tabs>
        <w:rPr>
          <w:rFonts w:asciiTheme="minorHAnsi" w:hAnsiTheme="minorHAnsi" w:cstheme="minorHAnsi"/>
          <w:sz w:val="22"/>
          <w:szCs w:val="22"/>
          <w:lang w:val="fr-FR"/>
        </w:rPr>
      </w:pPr>
    </w:p>
    <w:p w14:paraId="142EE262" w14:textId="77777777" w:rsidR="008A39D3" w:rsidRPr="008A39D3" w:rsidRDefault="008A39D3" w:rsidP="008A39D3">
      <w:pPr>
        <w:tabs>
          <w:tab w:val="left" w:pos="993"/>
        </w:tabs>
        <w:spacing w:after="120"/>
        <w:rPr>
          <w:rFonts w:asciiTheme="minorHAnsi" w:hAnsiTheme="minorHAnsi" w:cstheme="minorHAnsi"/>
          <w:b/>
          <w:sz w:val="22"/>
          <w:szCs w:val="22"/>
          <w:lang w:val="fr-FR"/>
        </w:rPr>
      </w:pPr>
      <w:r w:rsidRPr="008A39D3">
        <w:rPr>
          <w:rFonts w:asciiTheme="minorHAnsi" w:hAnsiTheme="minorHAnsi" w:cstheme="minorHAnsi"/>
          <w:b/>
          <w:sz w:val="22"/>
          <w:szCs w:val="22"/>
          <w:lang w:val="fr-FR"/>
        </w:rPr>
        <w:t xml:space="preserve">Cadre et objectif de la visite </w:t>
      </w:r>
    </w:p>
    <w:p w14:paraId="65AF908F" w14:textId="02ED5FDA" w:rsidR="008A39D3" w:rsidRPr="008A39D3" w:rsidRDefault="008A39D3" w:rsidP="008A39D3">
      <w:pPr>
        <w:tabs>
          <w:tab w:val="left" w:pos="993"/>
        </w:tabs>
        <w:jc w:val="both"/>
        <w:rPr>
          <w:rFonts w:asciiTheme="minorHAnsi" w:hAnsiTheme="minorHAnsi" w:cstheme="minorHAnsi"/>
          <w:sz w:val="22"/>
          <w:szCs w:val="22"/>
          <w:lang w:val="fr-FR"/>
        </w:rPr>
      </w:pPr>
      <w:r w:rsidRPr="008A39D3">
        <w:rPr>
          <w:rFonts w:asciiTheme="minorHAnsi" w:hAnsiTheme="minorHAnsi" w:cstheme="minorHAnsi"/>
          <w:sz w:val="22"/>
          <w:szCs w:val="22"/>
          <w:lang w:val="fr-FR"/>
        </w:rPr>
        <w:t xml:space="preserve">Dans le cadre des </w:t>
      </w:r>
      <w:hyperlink r:id="rId17" w:history="1">
        <w:r w:rsidRPr="001460B1">
          <w:rPr>
            <w:rStyle w:val="Hyperlink"/>
            <w:rFonts w:asciiTheme="minorHAnsi" w:hAnsiTheme="minorHAnsi" w:cstheme="minorHAnsi"/>
            <w:sz w:val="22"/>
            <w:szCs w:val="22"/>
            <w:lang w:val="fr-FR"/>
          </w:rPr>
          <w:t>termes de référence</w:t>
        </w:r>
      </w:hyperlink>
      <w:r w:rsidRPr="001460B1">
        <w:rPr>
          <w:rFonts w:asciiTheme="minorHAnsi" w:hAnsiTheme="minorHAnsi" w:cstheme="minorHAnsi"/>
          <w:sz w:val="22"/>
          <w:szCs w:val="22"/>
          <w:lang w:val="fr-FR"/>
        </w:rPr>
        <w:t xml:space="preserve"> des</w:t>
      </w:r>
      <w:r w:rsidRPr="008A39D3">
        <w:rPr>
          <w:rFonts w:asciiTheme="minorHAnsi" w:hAnsiTheme="minorHAnsi" w:cstheme="minorHAnsi"/>
          <w:sz w:val="22"/>
          <w:szCs w:val="22"/>
          <w:lang w:val="fr-FR"/>
        </w:rPr>
        <w:t xml:space="preserve"> missions d'enquête des experts, la visite de l'Expert indépendant a pour but de comprendre, dans un esprit de coopération et de dialogue, comment la Tunisie s'efforce de lutter contre la violence et la discrimination à l'égard des personnes sur la base de leur orientation sexuelle ou de leur identité de genre, tout en identifiant à la fois les meilleures pratiques et les lacunes. </w:t>
      </w:r>
    </w:p>
    <w:p w14:paraId="1B499851" w14:textId="77777777" w:rsidR="008A39D3" w:rsidRPr="008A39D3" w:rsidRDefault="008A39D3" w:rsidP="008A39D3">
      <w:pPr>
        <w:tabs>
          <w:tab w:val="left" w:pos="993"/>
        </w:tabs>
        <w:jc w:val="both"/>
        <w:rPr>
          <w:rFonts w:asciiTheme="minorHAnsi" w:hAnsiTheme="minorHAnsi" w:cstheme="minorHAnsi"/>
          <w:sz w:val="22"/>
          <w:szCs w:val="22"/>
          <w:lang w:val="fr-FR"/>
        </w:rPr>
      </w:pPr>
    </w:p>
    <w:p w14:paraId="71651126" w14:textId="47150555" w:rsidR="008A39D3" w:rsidRPr="008A39D3" w:rsidRDefault="001460B1" w:rsidP="008A39D3">
      <w:pPr>
        <w:tabs>
          <w:tab w:val="left" w:pos="993"/>
        </w:tabs>
        <w:spacing w:after="120"/>
        <w:jc w:val="both"/>
        <w:rPr>
          <w:rFonts w:asciiTheme="minorHAnsi" w:hAnsiTheme="minorHAnsi" w:cstheme="minorHAnsi"/>
          <w:sz w:val="22"/>
          <w:szCs w:val="22"/>
          <w:lang w:val="fr-FR"/>
        </w:rPr>
      </w:pPr>
      <w:r>
        <w:rPr>
          <w:rFonts w:asciiTheme="minorHAnsi" w:hAnsiTheme="minorHAnsi" w:cstheme="minorHAnsi"/>
          <w:sz w:val="22"/>
          <w:szCs w:val="22"/>
          <w:lang w:val="fr-FR"/>
        </w:rPr>
        <w:t>Au cours de sa visite, l'E</w:t>
      </w:r>
      <w:r w:rsidR="008A39D3" w:rsidRPr="008A39D3">
        <w:rPr>
          <w:rFonts w:asciiTheme="minorHAnsi" w:hAnsiTheme="minorHAnsi" w:cstheme="minorHAnsi"/>
          <w:sz w:val="22"/>
          <w:szCs w:val="22"/>
          <w:lang w:val="fr-FR"/>
        </w:rPr>
        <w:t>xpert indépendant étudiera :</w:t>
      </w:r>
    </w:p>
    <w:p w14:paraId="4D4FC1B6" w14:textId="6AF6933D" w:rsidR="008A39D3" w:rsidRPr="008A39D3" w:rsidRDefault="008A39D3" w:rsidP="008A39D3">
      <w:pPr>
        <w:numPr>
          <w:ilvl w:val="0"/>
          <w:numId w:val="26"/>
        </w:numPr>
        <w:tabs>
          <w:tab w:val="left" w:pos="993"/>
        </w:tabs>
        <w:spacing w:after="120"/>
        <w:jc w:val="both"/>
        <w:rPr>
          <w:rFonts w:asciiTheme="minorHAnsi" w:hAnsiTheme="minorHAnsi" w:cstheme="minorHAnsi"/>
          <w:sz w:val="22"/>
          <w:szCs w:val="22"/>
          <w:lang w:val="fr-FR"/>
        </w:rPr>
      </w:pPr>
      <w:r w:rsidRPr="008A39D3">
        <w:rPr>
          <w:rFonts w:asciiTheme="minorHAnsi" w:hAnsiTheme="minorHAnsi" w:cstheme="minorHAnsi"/>
          <w:sz w:val="22"/>
          <w:szCs w:val="22"/>
          <w:lang w:val="fr-FR"/>
        </w:rPr>
        <w:t>Les différentes manifestations de la violence et de la discrimination à l'égard des personnes en raison de leur orientation</w:t>
      </w:r>
      <w:r w:rsidR="001460B1">
        <w:rPr>
          <w:rFonts w:asciiTheme="minorHAnsi" w:hAnsiTheme="minorHAnsi" w:cstheme="minorHAnsi"/>
          <w:sz w:val="22"/>
          <w:szCs w:val="22"/>
          <w:lang w:val="fr-FR"/>
        </w:rPr>
        <w:t xml:space="preserve"> sexuelle</w:t>
      </w:r>
      <w:r w:rsidRPr="008A39D3">
        <w:rPr>
          <w:rFonts w:asciiTheme="minorHAnsi" w:hAnsiTheme="minorHAnsi" w:cstheme="minorHAnsi"/>
          <w:sz w:val="22"/>
          <w:szCs w:val="22"/>
          <w:lang w:val="fr-FR"/>
        </w:rPr>
        <w:t xml:space="preserve"> et de leur identité </w:t>
      </w:r>
      <w:r w:rsidR="001460B1">
        <w:rPr>
          <w:rFonts w:asciiTheme="minorHAnsi" w:hAnsiTheme="minorHAnsi" w:cstheme="minorHAnsi"/>
          <w:sz w:val="22"/>
          <w:szCs w:val="22"/>
          <w:lang w:val="fr-FR"/>
        </w:rPr>
        <w:t>de genre</w:t>
      </w:r>
      <w:r w:rsidRPr="008A39D3">
        <w:rPr>
          <w:rFonts w:asciiTheme="minorHAnsi" w:hAnsiTheme="minorHAnsi" w:cstheme="minorHAnsi"/>
          <w:sz w:val="22"/>
          <w:szCs w:val="22"/>
          <w:lang w:val="fr-FR"/>
        </w:rPr>
        <w:t>, leurs causes et leurs conséquences ;</w:t>
      </w:r>
    </w:p>
    <w:p w14:paraId="07C733F8" w14:textId="2DAE6CEC" w:rsidR="008A39D3" w:rsidRPr="008A39D3" w:rsidRDefault="008A39D3" w:rsidP="008A39D3">
      <w:pPr>
        <w:numPr>
          <w:ilvl w:val="0"/>
          <w:numId w:val="26"/>
        </w:numPr>
        <w:tabs>
          <w:tab w:val="left" w:pos="993"/>
        </w:tabs>
        <w:spacing w:after="120"/>
        <w:jc w:val="both"/>
        <w:rPr>
          <w:rFonts w:asciiTheme="minorHAnsi" w:hAnsiTheme="minorHAnsi" w:cstheme="minorHAnsi"/>
          <w:sz w:val="22"/>
          <w:szCs w:val="22"/>
          <w:lang w:val="fr-FR"/>
        </w:rPr>
      </w:pPr>
      <w:r w:rsidRPr="008A39D3">
        <w:rPr>
          <w:rFonts w:asciiTheme="minorHAnsi" w:hAnsiTheme="minorHAnsi" w:cstheme="minorHAnsi"/>
          <w:sz w:val="22"/>
          <w:szCs w:val="22"/>
          <w:lang w:val="fr-FR"/>
        </w:rPr>
        <w:t xml:space="preserve">La mise en œuvre des instruments internationaux relatifs aux droits de l'homme afin de vaincre la violence et la discrimination à l'encontre des personnes sur la base de leur orientation </w:t>
      </w:r>
      <w:r w:rsidR="001460B1">
        <w:rPr>
          <w:rFonts w:asciiTheme="minorHAnsi" w:hAnsiTheme="minorHAnsi" w:cstheme="minorHAnsi"/>
          <w:sz w:val="22"/>
          <w:szCs w:val="22"/>
          <w:lang w:val="fr-FR"/>
        </w:rPr>
        <w:t xml:space="preserve">sexuelle </w:t>
      </w:r>
      <w:r w:rsidRPr="008A39D3">
        <w:rPr>
          <w:rFonts w:asciiTheme="minorHAnsi" w:hAnsiTheme="minorHAnsi" w:cstheme="minorHAnsi"/>
          <w:sz w:val="22"/>
          <w:szCs w:val="22"/>
          <w:lang w:val="fr-FR"/>
        </w:rPr>
        <w:t xml:space="preserve">et de leur identité </w:t>
      </w:r>
      <w:r w:rsidR="001460B1">
        <w:rPr>
          <w:rFonts w:asciiTheme="minorHAnsi" w:hAnsiTheme="minorHAnsi" w:cstheme="minorHAnsi"/>
          <w:sz w:val="22"/>
          <w:szCs w:val="22"/>
          <w:lang w:val="fr-FR"/>
        </w:rPr>
        <w:t>de genre</w:t>
      </w:r>
      <w:r w:rsidRPr="008A39D3">
        <w:rPr>
          <w:rFonts w:asciiTheme="minorHAnsi" w:hAnsiTheme="minorHAnsi" w:cstheme="minorHAnsi"/>
          <w:sz w:val="22"/>
          <w:szCs w:val="22"/>
          <w:lang w:val="fr-FR"/>
        </w:rPr>
        <w:t xml:space="preserve"> ;</w:t>
      </w:r>
    </w:p>
    <w:p w14:paraId="00216433" w14:textId="77777777" w:rsidR="008A39D3" w:rsidRPr="008A39D3" w:rsidRDefault="008A39D3" w:rsidP="008A39D3">
      <w:pPr>
        <w:numPr>
          <w:ilvl w:val="0"/>
          <w:numId w:val="26"/>
        </w:numPr>
        <w:tabs>
          <w:tab w:val="left" w:pos="993"/>
        </w:tabs>
        <w:spacing w:after="120"/>
        <w:jc w:val="both"/>
        <w:rPr>
          <w:rFonts w:asciiTheme="minorHAnsi" w:hAnsiTheme="minorHAnsi" w:cstheme="minorHAnsi"/>
          <w:sz w:val="22"/>
          <w:szCs w:val="22"/>
          <w:lang w:val="fr-FR"/>
        </w:rPr>
      </w:pPr>
      <w:r w:rsidRPr="008A39D3">
        <w:rPr>
          <w:rFonts w:asciiTheme="minorHAnsi" w:hAnsiTheme="minorHAnsi" w:cstheme="minorHAnsi"/>
          <w:sz w:val="22"/>
          <w:szCs w:val="22"/>
          <w:lang w:val="fr-FR"/>
        </w:rPr>
        <w:lastRenderedPageBreak/>
        <w:t>Les réponses et mesures de l'État pour lutter contre la violence et la discrimination à l'égard des personnes sur la base de leur orientation sexuelle et de leur identité de genre (cadre constitutionnel, législatif et institutionnel, ainsi que les réponses intersectorielles à la violence et à la discrimination) ;</w:t>
      </w:r>
    </w:p>
    <w:p w14:paraId="1C0DA75C" w14:textId="77777777" w:rsidR="008A39D3" w:rsidRPr="008A39D3" w:rsidRDefault="008A39D3" w:rsidP="008A39D3">
      <w:pPr>
        <w:numPr>
          <w:ilvl w:val="0"/>
          <w:numId w:val="26"/>
        </w:numPr>
        <w:tabs>
          <w:tab w:val="left" w:pos="993"/>
        </w:tabs>
        <w:spacing w:after="120"/>
        <w:jc w:val="both"/>
        <w:rPr>
          <w:rFonts w:asciiTheme="minorHAnsi" w:hAnsiTheme="minorHAnsi" w:cstheme="minorHAnsi"/>
          <w:sz w:val="22"/>
          <w:szCs w:val="22"/>
          <w:lang w:val="fr-FR"/>
        </w:rPr>
      </w:pPr>
      <w:r w:rsidRPr="008A39D3">
        <w:rPr>
          <w:rFonts w:asciiTheme="minorHAnsi" w:hAnsiTheme="minorHAnsi" w:cstheme="minorHAnsi"/>
          <w:sz w:val="22"/>
          <w:szCs w:val="22"/>
          <w:lang w:val="fr-FR"/>
        </w:rPr>
        <w:t>Les implications de la discrimination et de la stigmatisation sur la violence ;</w:t>
      </w:r>
    </w:p>
    <w:p w14:paraId="52DA3C0E" w14:textId="77777777" w:rsidR="008A39D3" w:rsidRPr="008A39D3" w:rsidRDefault="008A39D3" w:rsidP="008A39D3">
      <w:pPr>
        <w:numPr>
          <w:ilvl w:val="0"/>
          <w:numId w:val="26"/>
        </w:numPr>
        <w:tabs>
          <w:tab w:val="left" w:pos="993"/>
        </w:tabs>
        <w:spacing w:after="120"/>
        <w:jc w:val="both"/>
        <w:rPr>
          <w:rFonts w:asciiTheme="minorHAnsi" w:hAnsiTheme="minorHAnsi" w:cstheme="minorHAnsi"/>
          <w:sz w:val="22"/>
          <w:szCs w:val="22"/>
          <w:lang w:val="fr-FR"/>
        </w:rPr>
      </w:pPr>
      <w:r w:rsidRPr="008A39D3">
        <w:rPr>
          <w:rFonts w:asciiTheme="minorHAnsi" w:hAnsiTheme="minorHAnsi" w:cstheme="minorHAnsi"/>
          <w:sz w:val="22"/>
          <w:szCs w:val="22"/>
          <w:lang w:val="fr-FR"/>
        </w:rPr>
        <w:t>Lacunes et défis dans l'accomplissement des obligations de l'État visant à éliminer la violence et la discrimination à l'égard des personnes sur la base de leur orientation sexuelle et de leur identité de genre (prévention, protection, poursuites).</w:t>
      </w:r>
    </w:p>
    <w:p w14:paraId="193EBFD4" w14:textId="77777777" w:rsidR="008A39D3" w:rsidRPr="008A39D3" w:rsidRDefault="008A39D3" w:rsidP="008A39D3">
      <w:pPr>
        <w:tabs>
          <w:tab w:val="left" w:pos="993"/>
        </w:tabs>
        <w:jc w:val="both"/>
        <w:rPr>
          <w:rFonts w:asciiTheme="minorHAnsi" w:hAnsiTheme="minorHAnsi" w:cstheme="minorHAnsi"/>
          <w:sz w:val="22"/>
          <w:szCs w:val="22"/>
          <w:lang w:val="fr-FR"/>
        </w:rPr>
      </w:pPr>
    </w:p>
    <w:p w14:paraId="1751DA38" w14:textId="16F2A750" w:rsidR="008A39D3" w:rsidRPr="008A39D3" w:rsidRDefault="008A39D3" w:rsidP="008A39D3">
      <w:pPr>
        <w:tabs>
          <w:tab w:val="left" w:pos="993"/>
        </w:tabs>
        <w:jc w:val="both"/>
        <w:rPr>
          <w:rFonts w:asciiTheme="minorHAnsi" w:hAnsiTheme="minorHAnsi" w:cstheme="minorHAnsi"/>
          <w:sz w:val="22"/>
          <w:szCs w:val="22"/>
          <w:lang w:val="fr-FR"/>
        </w:rPr>
      </w:pPr>
      <w:r w:rsidRPr="008A39D3">
        <w:rPr>
          <w:rFonts w:asciiTheme="minorHAnsi" w:hAnsiTheme="minorHAnsi" w:cstheme="minorHAnsi"/>
          <w:sz w:val="22"/>
          <w:szCs w:val="22"/>
          <w:lang w:val="fr-FR"/>
        </w:rPr>
        <w:t xml:space="preserve">Les personnes lesbiennes, gays, bisexuelles, trans et </w:t>
      </w:r>
      <w:r w:rsidR="001460B1">
        <w:rPr>
          <w:rFonts w:asciiTheme="minorHAnsi" w:hAnsiTheme="minorHAnsi" w:cstheme="minorHAnsi"/>
          <w:sz w:val="22"/>
          <w:szCs w:val="22"/>
          <w:lang w:val="fr-FR"/>
        </w:rPr>
        <w:t>de genre variant sont très diverses. L'E</w:t>
      </w:r>
      <w:r w:rsidRPr="008A39D3">
        <w:rPr>
          <w:rFonts w:asciiTheme="minorHAnsi" w:hAnsiTheme="minorHAnsi" w:cstheme="minorHAnsi"/>
          <w:sz w:val="22"/>
          <w:szCs w:val="22"/>
          <w:lang w:val="fr-FR"/>
        </w:rPr>
        <w:t xml:space="preserve">xpert indépendant étudiera comment chaque groupe fait face à des défis et des réalités distincts. Il se penchera également sur la situation des personnes LGBT touchées par des formes multiples, croisées et aggravées de violence et de discrimination et sur celles qui sont en situation de vulnérabilité. </w:t>
      </w:r>
    </w:p>
    <w:p w14:paraId="3A2D64A5" w14:textId="77777777" w:rsidR="008A39D3" w:rsidRPr="008A39D3" w:rsidRDefault="008A39D3" w:rsidP="008A39D3">
      <w:pPr>
        <w:tabs>
          <w:tab w:val="left" w:pos="993"/>
        </w:tabs>
        <w:rPr>
          <w:rFonts w:asciiTheme="minorHAnsi" w:hAnsiTheme="minorHAnsi" w:cstheme="minorHAnsi"/>
          <w:sz w:val="22"/>
          <w:szCs w:val="22"/>
          <w:lang w:val="fr-FR"/>
        </w:rPr>
      </w:pPr>
    </w:p>
    <w:p w14:paraId="7A7AE0A9" w14:textId="77777777" w:rsidR="008A39D3" w:rsidRPr="008A39D3" w:rsidRDefault="008A39D3" w:rsidP="008A39D3">
      <w:pPr>
        <w:tabs>
          <w:tab w:val="left" w:pos="993"/>
        </w:tabs>
        <w:spacing w:after="120"/>
        <w:rPr>
          <w:rFonts w:asciiTheme="minorHAnsi" w:hAnsiTheme="minorHAnsi" w:cstheme="minorHAnsi"/>
          <w:b/>
          <w:sz w:val="22"/>
          <w:szCs w:val="22"/>
          <w:lang w:val="fr-FR"/>
        </w:rPr>
      </w:pPr>
      <w:r w:rsidRPr="008A39D3">
        <w:rPr>
          <w:rFonts w:asciiTheme="minorHAnsi" w:hAnsiTheme="minorHAnsi" w:cstheme="minorHAnsi"/>
          <w:b/>
          <w:sz w:val="22"/>
          <w:szCs w:val="22"/>
          <w:lang w:val="fr-FR"/>
        </w:rPr>
        <w:t>Réunions et autres activités pendant la visite</w:t>
      </w:r>
    </w:p>
    <w:p w14:paraId="5709A19D" w14:textId="11F1ABB4" w:rsidR="008A39D3" w:rsidRPr="008A39D3" w:rsidRDefault="001460B1" w:rsidP="008A39D3">
      <w:pPr>
        <w:tabs>
          <w:tab w:val="left" w:pos="993"/>
        </w:tabs>
        <w:jc w:val="both"/>
        <w:rPr>
          <w:rFonts w:asciiTheme="minorHAnsi" w:hAnsiTheme="minorHAnsi" w:cstheme="minorHAnsi"/>
          <w:sz w:val="22"/>
          <w:szCs w:val="22"/>
          <w:lang w:val="fr-FR"/>
        </w:rPr>
      </w:pPr>
      <w:r>
        <w:rPr>
          <w:rFonts w:asciiTheme="minorHAnsi" w:hAnsiTheme="minorHAnsi" w:cstheme="minorHAnsi"/>
          <w:sz w:val="22"/>
          <w:szCs w:val="22"/>
          <w:lang w:val="fr-FR"/>
        </w:rPr>
        <w:t>L'E</w:t>
      </w:r>
      <w:r w:rsidR="008A39D3" w:rsidRPr="008A39D3">
        <w:rPr>
          <w:rFonts w:asciiTheme="minorHAnsi" w:hAnsiTheme="minorHAnsi" w:cstheme="minorHAnsi"/>
          <w:sz w:val="22"/>
          <w:szCs w:val="22"/>
          <w:lang w:val="fr-FR"/>
        </w:rPr>
        <w:t>xpert indépendant rencontrera les parties prenantes nationales impliquées dans la lutte contre tous les aspects liés à la violence et à la discrimination à l'égard des personnes LGBT, notamment des fonctionnaires, des organisations nationales de défense des droits de l'homme, des organisations de la société civile, des représentants des</w:t>
      </w:r>
      <w:r>
        <w:rPr>
          <w:rFonts w:asciiTheme="minorHAnsi" w:hAnsiTheme="minorHAnsi" w:cstheme="minorHAnsi"/>
          <w:sz w:val="22"/>
          <w:szCs w:val="22"/>
          <w:lang w:val="fr-FR"/>
        </w:rPr>
        <w:t xml:space="preserve"> Nations U</w:t>
      </w:r>
      <w:r w:rsidR="008A39D3" w:rsidRPr="008A39D3">
        <w:rPr>
          <w:rFonts w:asciiTheme="minorHAnsi" w:hAnsiTheme="minorHAnsi" w:cstheme="minorHAnsi"/>
          <w:sz w:val="22"/>
          <w:szCs w:val="22"/>
          <w:lang w:val="fr-FR"/>
        </w:rPr>
        <w:t>nies, des universitaires et des victimes.</w:t>
      </w:r>
    </w:p>
    <w:p w14:paraId="2789E55E" w14:textId="77777777" w:rsidR="008A39D3" w:rsidRPr="008A39D3" w:rsidRDefault="008A39D3" w:rsidP="008A39D3">
      <w:pPr>
        <w:tabs>
          <w:tab w:val="left" w:pos="993"/>
        </w:tabs>
        <w:jc w:val="both"/>
        <w:rPr>
          <w:rFonts w:asciiTheme="minorHAnsi" w:hAnsiTheme="minorHAnsi" w:cstheme="minorHAnsi"/>
          <w:sz w:val="22"/>
          <w:szCs w:val="22"/>
          <w:lang w:val="fr-FR"/>
        </w:rPr>
      </w:pPr>
    </w:p>
    <w:p w14:paraId="70311F1D" w14:textId="61C63788" w:rsidR="008A39D3" w:rsidRPr="008A39D3" w:rsidRDefault="008A39D3" w:rsidP="008A39D3">
      <w:pPr>
        <w:tabs>
          <w:tab w:val="left" w:pos="993"/>
        </w:tabs>
        <w:jc w:val="both"/>
        <w:rPr>
          <w:rFonts w:asciiTheme="minorHAnsi" w:hAnsiTheme="minorHAnsi" w:cstheme="minorHAnsi"/>
          <w:sz w:val="22"/>
          <w:szCs w:val="22"/>
          <w:lang w:val="fr-FR"/>
        </w:rPr>
      </w:pPr>
      <w:r w:rsidRPr="008A39D3">
        <w:rPr>
          <w:rFonts w:asciiTheme="minorHAnsi" w:hAnsiTheme="minorHAnsi" w:cstheme="minorHAnsi"/>
          <w:sz w:val="22"/>
          <w:szCs w:val="22"/>
          <w:lang w:val="fr-FR"/>
        </w:rPr>
        <w:t xml:space="preserve">Les réunions officielles, à tous les niveaux du gouvernement, sont coordonnées par les autorités centrales tandis que les autres </w:t>
      </w:r>
      <w:r w:rsidR="001460B1">
        <w:rPr>
          <w:rFonts w:asciiTheme="minorHAnsi" w:hAnsiTheme="minorHAnsi" w:cstheme="minorHAnsi"/>
          <w:sz w:val="22"/>
          <w:szCs w:val="22"/>
          <w:lang w:val="fr-FR"/>
        </w:rPr>
        <w:t>réunions sont préparées par l'E</w:t>
      </w:r>
      <w:r w:rsidRPr="008A39D3">
        <w:rPr>
          <w:rFonts w:asciiTheme="minorHAnsi" w:hAnsiTheme="minorHAnsi" w:cstheme="minorHAnsi"/>
          <w:sz w:val="22"/>
          <w:szCs w:val="22"/>
          <w:lang w:val="fr-FR"/>
        </w:rPr>
        <w:t>xpert indépendant avec le soutien d</w:t>
      </w:r>
      <w:r w:rsidR="001460B1">
        <w:rPr>
          <w:rFonts w:asciiTheme="minorHAnsi" w:hAnsiTheme="minorHAnsi" w:cstheme="minorHAnsi"/>
          <w:sz w:val="22"/>
          <w:szCs w:val="22"/>
          <w:lang w:val="fr-FR"/>
        </w:rPr>
        <w:t>e l'équipe de pays des Nations U</w:t>
      </w:r>
      <w:r w:rsidRPr="008A39D3">
        <w:rPr>
          <w:rFonts w:asciiTheme="minorHAnsi" w:hAnsiTheme="minorHAnsi" w:cstheme="minorHAnsi"/>
          <w:sz w:val="22"/>
          <w:szCs w:val="22"/>
          <w:lang w:val="fr-FR"/>
        </w:rPr>
        <w:t xml:space="preserve">nies sur le terrain. </w:t>
      </w:r>
    </w:p>
    <w:p w14:paraId="27837ED1" w14:textId="77777777" w:rsidR="008A39D3" w:rsidRPr="008A39D3" w:rsidRDefault="008A39D3" w:rsidP="008A39D3">
      <w:pPr>
        <w:tabs>
          <w:tab w:val="left" w:pos="993"/>
        </w:tabs>
        <w:jc w:val="both"/>
        <w:rPr>
          <w:rFonts w:asciiTheme="minorHAnsi" w:hAnsiTheme="minorHAnsi" w:cstheme="minorHAnsi"/>
          <w:sz w:val="22"/>
          <w:szCs w:val="22"/>
          <w:lang w:val="fr-FR"/>
        </w:rPr>
      </w:pPr>
    </w:p>
    <w:p w14:paraId="7AA4E553" w14:textId="276CF4C9" w:rsidR="008A39D3" w:rsidRPr="008A39D3" w:rsidRDefault="008A39D3" w:rsidP="008A39D3">
      <w:pPr>
        <w:tabs>
          <w:tab w:val="left" w:pos="993"/>
        </w:tabs>
        <w:jc w:val="both"/>
        <w:rPr>
          <w:rFonts w:asciiTheme="minorHAnsi" w:hAnsiTheme="minorHAnsi" w:cstheme="minorHAnsi"/>
          <w:sz w:val="22"/>
          <w:szCs w:val="22"/>
          <w:lang w:val="fr-FR"/>
        </w:rPr>
      </w:pPr>
      <w:r w:rsidRPr="008A39D3">
        <w:rPr>
          <w:rFonts w:asciiTheme="minorHAnsi" w:hAnsiTheme="minorHAnsi" w:cstheme="minorHAnsi"/>
          <w:sz w:val="22"/>
          <w:szCs w:val="22"/>
          <w:lang w:val="fr-FR"/>
        </w:rPr>
        <w:t>Lors de</w:t>
      </w:r>
      <w:r w:rsidR="001460B1">
        <w:rPr>
          <w:rFonts w:asciiTheme="minorHAnsi" w:hAnsiTheme="minorHAnsi" w:cstheme="minorHAnsi"/>
          <w:sz w:val="22"/>
          <w:szCs w:val="22"/>
          <w:lang w:val="fr-FR"/>
        </w:rPr>
        <w:t xml:space="preserve"> ses missions dans les pays, l'E</w:t>
      </w:r>
      <w:r w:rsidRPr="008A39D3">
        <w:rPr>
          <w:rFonts w:asciiTheme="minorHAnsi" w:hAnsiTheme="minorHAnsi" w:cstheme="minorHAnsi"/>
          <w:sz w:val="22"/>
          <w:szCs w:val="22"/>
          <w:lang w:val="fr-FR"/>
        </w:rPr>
        <w:t xml:space="preserve">xpert indépendant effectue des visites sur place et passe du temps en dehors de la capitale pour mieux comprendre la question de la violence et de la discrimination à l'égard des personnes en raison de leur orientation </w:t>
      </w:r>
      <w:r w:rsidR="001460B1">
        <w:rPr>
          <w:rFonts w:asciiTheme="minorHAnsi" w:hAnsiTheme="minorHAnsi" w:cstheme="minorHAnsi"/>
          <w:sz w:val="22"/>
          <w:szCs w:val="22"/>
          <w:lang w:val="fr-FR"/>
        </w:rPr>
        <w:t xml:space="preserve">sexuelle </w:t>
      </w:r>
      <w:r w:rsidRPr="008A39D3">
        <w:rPr>
          <w:rFonts w:asciiTheme="minorHAnsi" w:hAnsiTheme="minorHAnsi" w:cstheme="minorHAnsi"/>
          <w:sz w:val="22"/>
          <w:szCs w:val="22"/>
          <w:lang w:val="fr-FR"/>
        </w:rPr>
        <w:t xml:space="preserve">et de leur identité </w:t>
      </w:r>
      <w:r w:rsidR="001460B1">
        <w:rPr>
          <w:rFonts w:asciiTheme="minorHAnsi" w:hAnsiTheme="minorHAnsi" w:cstheme="minorHAnsi"/>
          <w:sz w:val="22"/>
          <w:szCs w:val="22"/>
          <w:lang w:val="fr-FR"/>
        </w:rPr>
        <w:t>de genre</w:t>
      </w:r>
      <w:r w:rsidRPr="008A39D3">
        <w:rPr>
          <w:rFonts w:asciiTheme="minorHAnsi" w:hAnsiTheme="minorHAnsi" w:cstheme="minorHAnsi"/>
          <w:sz w:val="22"/>
          <w:szCs w:val="22"/>
          <w:lang w:val="fr-FR"/>
        </w:rPr>
        <w:t xml:space="preserve"> dans</w:t>
      </w:r>
      <w:r w:rsidR="001460B1">
        <w:rPr>
          <w:rFonts w:asciiTheme="minorHAnsi" w:hAnsiTheme="minorHAnsi" w:cstheme="minorHAnsi"/>
          <w:sz w:val="22"/>
          <w:szCs w:val="22"/>
          <w:lang w:val="fr-FR"/>
        </w:rPr>
        <w:t xml:space="preserve"> tout le pays. L'E</w:t>
      </w:r>
      <w:r w:rsidRPr="008A39D3">
        <w:rPr>
          <w:rFonts w:asciiTheme="minorHAnsi" w:hAnsiTheme="minorHAnsi" w:cstheme="minorHAnsi"/>
          <w:sz w:val="22"/>
          <w:szCs w:val="22"/>
          <w:lang w:val="fr-FR"/>
        </w:rPr>
        <w:t xml:space="preserve">xpert indépendant invite et apprécie les suggestions de lieux et d'endroits à visiter pendant son séjour dans le pays. </w:t>
      </w:r>
    </w:p>
    <w:p w14:paraId="22FE9358" w14:textId="77777777" w:rsidR="008A39D3" w:rsidRPr="008A39D3" w:rsidRDefault="008A39D3" w:rsidP="008A39D3">
      <w:pPr>
        <w:tabs>
          <w:tab w:val="left" w:pos="993"/>
        </w:tabs>
        <w:jc w:val="both"/>
        <w:rPr>
          <w:rFonts w:asciiTheme="minorHAnsi" w:hAnsiTheme="minorHAnsi" w:cstheme="minorHAnsi"/>
          <w:sz w:val="22"/>
          <w:szCs w:val="22"/>
          <w:lang w:val="fr-FR"/>
        </w:rPr>
      </w:pPr>
    </w:p>
    <w:p w14:paraId="1B6769EB" w14:textId="01BD3664" w:rsidR="008A39D3" w:rsidRPr="008A39D3" w:rsidRDefault="008A39D3" w:rsidP="008A39D3">
      <w:pPr>
        <w:tabs>
          <w:tab w:val="left" w:pos="993"/>
        </w:tabs>
        <w:jc w:val="both"/>
        <w:rPr>
          <w:rFonts w:asciiTheme="minorHAnsi" w:hAnsiTheme="minorHAnsi" w:cstheme="minorHAnsi"/>
          <w:sz w:val="22"/>
          <w:szCs w:val="22"/>
          <w:lang w:val="fr-FR"/>
        </w:rPr>
      </w:pPr>
      <w:r w:rsidRPr="008A39D3">
        <w:rPr>
          <w:rFonts w:asciiTheme="minorHAnsi" w:hAnsiTheme="minorHAnsi" w:cstheme="minorHAnsi"/>
          <w:sz w:val="22"/>
          <w:szCs w:val="22"/>
          <w:lang w:val="fr-FR"/>
        </w:rPr>
        <w:t>L'</w:t>
      </w:r>
      <w:r w:rsidR="001460B1">
        <w:rPr>
          <w:rFonts w:asciiTheme="minorHAnsi" w:hAnsiTheme="minorHAnsi" w:cstheme="minorHAnsi"/>
          <w:sz w:val="22"/>
          <w:szCs w:val="22"/>
          <w:lang w:val="fr-FR"/>
        </w:rPr>
        <w:t>E</w:t>
      </w:r>
      <w:r w:rsidRPr="008A39D3">
        <w:rPr>
          <w:rFonts w:asciiTheme="minorHAnsi" w:hAnsiTheme="minorHAnsi" w:cstheme="minorHAnsi"/>
          <w:sz w:val="22"/>
          <w:szCs w:val="22"/>
          <w:lang w:val="fr-FR"/>
        </w:rPr>
        <w:t>xpert indépendant souhaite inviter les acteurs de la société civile à lui faire parvenir des contributions avant sa visite, telles que</w:t>
      </w:r>
      <w:r w:rsidR="001460B1">
        <w:rPr>
          <w:rFonts w:asciiTheme="minorHAnsi" w:hAnsiTheme="minorHAnsi" w:cstheme="minorHAnsi"/>
          <w:sz w:val="22"/>
          <w:szCs w:val="22"/>
          <w:lang w:val="fr-FR"/>
        </w:rPr>
        <w:t> :</w:t>
      </w:r>
    </w:p>
    <w:p w14:paraId="695712C4" w14:textId="77777777" w:rsidR="008A39D3" w:rsidRPr="008A39D3" w:rsidRDefault="008A39D3" w:rsidP="008A39D3">
      <w:pPr>
        <w:tabs>
          <w:tab w:val="left" w:pos="993"/>
        </w:tabs>
        <w:jc w:val="both"/>
        <w:rPr>
          <w:rFonts w:asciiTheme="minorHAnsi" w:hAnsiTheme="minorHAnsi" w:cstheme="minorHAnsi"/>
          <w:sz w:val="22"/>
          <w:szCs w:val="22"/>
          <w:lang w:val="fr-FR"/>
        </w:rPr>
      </w:pPr>
    </w:p>
    <w:p w14:paraId="4C77E476" w14:textId="666B62FC" w:rsidR="008A39D3" w:rsidRPr="008A39D3" w:rsidRDefault="008A39D3" w:rsidP="008A39D3">
      <w:pPr>
        <w:pStyle w:val="ListParagraph"/>
        <w:numPr>
          <w:ilvl w:val="0"/>
          <w:numId w:val="28"/>
        </w:numPr>
        <w:tabs>
          <w:tab w:val="left" w:pos="993"/>
        </w:tabs>
        <w:spacing w:after="120"/>
        <w:ind w:left="714" w:hanging="357"/>
        <w:jc w:val="both"/>
        <w:rPr>
          <w:rFonts w:asciiTheme="minorHAnsi" w:hAnsiTheme="minorHAnsi" w:cstheme="minorHAnsi"/>
          <w:sz w:val="22"/>
          <w:szCs w:val="22"/>
          <w:lang w:val="fr-FR"/>
        </w:rPr>
      </w:pPr>
      <w:r w:rsidRPr="008A39D3">
        <w:rPr>
          <w:rFonts w:asciiTheme="minorHAnsi" w:hAnsiTheme="minorHAnsi" w:cstheme="minorHAnsi"/>
          <w:sz w:val="22"/>
          <w:szCs w:val="22"/>
          <w:lang w:val="fr-FR"/>
        </w:rPr>
        <w:t>Rapports analytiques ou enquêtes récentes sur les personnes LGBT en Tunisie ;</w:t>
      </w:r>
    </w:p>
    <w:p w14:paraId="2E8454FD" w14:textId="77777777" w:rsidR="008A39D3" w:rsidRPr="008A39D3" w:rsidRDefault="008A39D3" w:rsidP="008A39D3">
      <w:pPr>
        <w:pStyle w:val="ListParagraph"/>
        <w:numPr>
          <w:ilvl w:val="0"/>
          <w:numId w:val="28"/>
        </w:numPr>
        <w:tabs>
          <w:tab w:val="left" w:pos="993"/>
        </w:tabs>
        <w:spacing w:after="120"/>
        <w:ind w:left="714" w:hanging="357"/>
        <w:jc w:val="both"/>
        <w:rPr>
          <w:rFonts w:asciiTheme="minorHAnsi" w:hAnsiTheme="minorHAnsi" w:cstheme="minorHAnsi"/>
          <w:sz w:val="22"/>
          <w:szCs w:val="22"/>
          <w:lang w:val="fr-FR"/>
        </w:rPr>
      </w:pPr>
      <w:r w:rsidRPr="008A39D3">
        <w:rPr>
          <w:rFonts w:asciiTheme="minorHAnsi" w:hAnsiTheme="minorHAnsi" w:cstheme="minorHAnsi"/>
          <w:sz w:val="22"/>
          <w:szCs w:val="22"/>
          <w:lang w:val="fr-FR"/>
        </w:rPr>
        <w:t>Informations sur la politique, les programmes et le cadre juridique en matière de protection contre la violence et la discrimination fondées sur l'orientation sexuelle et l'identité de genre ;</w:t>
      </w:r>
    </w:p>
    <w:p w14:paraId="25BD4AC0" w14:textId="1CEBDDE7" w:rsidR="008A39D3" w:rsidRPr="008A39D3" w:rsidRDefault="008A39D3" w:rsidP="008A39D3">
      <w:pPr>
        <w:pStyle w:val="ListParagraph"/>
        <w:numPr>
          <w:ilvl w:val="0"/>
          <w:numId w:val="28"/>
        </w:numPr>
        <w:tabs>
          <w:tab w:val="left" w:pos="993"/>
        </w:tabs>
        <w:spacing w:after="120"/>
        <w:ind w:left="714" w:hanging="357"/>
        <w:jc w:val="both"/>
        <w:rPr>
          <w:rFonts w:asciiTheme="minorHAnsi" w:hAnsiTheme="minorHAnsi" w:cstheme="minorHAnsi"/>
          <w:sz w:val="22"/>
          <w:szCs w:val="22"/>
          <w:lang w:val="fr-FR"/>
        </w:rPr>
      </w:pPr>
      <w:r w:rsidRPr="008A39D3">
        <w:rPr>
          <w:rFonts w:asciiTheme="minorHAnsi" w:hAnsiTheme="minorHAnsi" w:cstheme="minorHAnsi"/>
          <w:sz w:val="22"/>
          <w:szCs w:val="22"/>
          <w:lang w:val="fr-FR"/>
        </w:rPr>
        <w:t>Les questions/préoccupations et situations prioritaires</w:t>
      </w:r>
      <w:r w:rsidR="009E2D7C">
        <w:rPr>
          <w:rFonts w:asciiTheme="minorHAnsi" w:hAnsiTheme="minorHAnsi" w:cstheme="minorHAnsi"/>
          <w:sz w:val="22"/>
          <w:szCs w:val="22"/>
          <w:lang w:val="fr-FR"/>
        </w:rPr>
        <w:t xml:space="preserve"> qui méritent l'attention de l'E</w:t>
      </w:r>
      <w:r w:rsidRPr="008A39D3">
        <w:rPr>
          <w:rFonts w:asciiTheme="minorHAnsi" w:hAnsiTheme="minorHAnsi" w:cstheme="minorHAnsi"/>
          <w:sz w:val="22"/>
          <w:szCs w:val="22"/>
          <w:lang w:val="fr-FR"/>
        </w:rPr>
        <w:t>xpert indépendant ;</w:t>
      </w:r>
    </w:p>
    <w:p w14:paraId="69E95D3F" w14:textId="708DE0D6" w:rsidR="008A39D3" w:rsidRPr="008A39D3" w:rsidRDefault="009E2D7C" w:rsidP="008A39D3">
      <w:pPr>
        <w:pStyle w:val="ListParagraph"/>
        <w:numPr>
          <w:ilvl w:val="0"/>
          <w:numId w:val="28"/>
        </w:numPr>
        <w:tabs>
          <w:tab w:val="left" w:pos="993"/>
        </w:tabs>
        <w:spacing w:after="120"/>
        <w:ind w:left="714" w:hanging="357"/>
        <w:jc w:val="both"/>
        <w:rPr>
          <w:rFonts w:asciiTheme="minorHAnsi" w:hAnsiTheme="minorHAnsi" w:cstheme="minorHAnsi"/>
          <w:sz w:val="22"/>
          <w:szCs w:val="22"/>
          <w:lang w:val="fr-FR"/>
        </w:rPr>
      </w:pPr>
      <w:r>
        <w:rPr>
          <w:rFonts w:asciiTheme="minorHAnsi" w:hAnsiTheme="minorHAnsi" w:cstheme="minorHAnsi"/>
          <w:sz w:val="22"/>
          <w:szCs w:val="22"/>
          <w:lang w:val="fr-FR"/>
        </w:rPr>
        <w:t>Des s</w:t>
      </w:r>
      <w:r w:rsidR="008A39D3" w:rsidRPr="008A39D3">
        <w:rPr>
          <w:rFonts w:asciiTheme="minorHAnsi" w:hAnsiTheme="minorHAnsi" w:cstheme="minorHAnsi"/>
          <w:sz w:val="22"/>
          <w:szCs w:val="22"/>
          <w:lang w:val="fr-FR"/>
        </w:rPr>
        <w:t>uggestions sur les questions à examiner et les lieux à visiter ;</w:t>
      </w:r>
    </w:p>
    <w:p w14:paraId="38AB2E40" w14:textId="79215F99" w:rsidR="008A39D3" w:rsidRPr="008A39D3" w:rsidRDefault="009E2D7C" w:rsidP="008A39D3">
      <w:pPr>
        <w:pStyle w:val="ListParagraph"/>
        <w:numPr>
          <w:ilvl w:val="0"/>
          <w:numId w:val="28"/>
        </w:numPr>
        <w:tabs>
          <w:tab w:val="left" w:pos="993"/>
        </w:tabs>
        <w:spacing w:after="120"/>
        <w:ind w:left="714" w:hanging="357"/>
        <w:jc w:val="both"/>
        <w:rPr>
          <w:rFonts w:asciiTheme="minorHAnsi" w:hAnsiTheme="minorHAnsi" w:cstheme="minorHAnsi"/>
          <w:sz w:val="22"/>
          <w:szCs w:val="22"/>
          <w:lang w:val="fr-FR"/>
        </w:rPr>
      </w:pPr>
      <w:r>
        <w:rPr>
          <w:rFonts w:asciiTheme="minorHAnsi" w:hAnsiTheme="minorHAnsi" w:cstheme="minorHAnsi"/>
          <w:sz w:val="22"/>
          <w:szCs w:val="22"/>
          <w:lang w:val="fr-FR"/>
        </w:rPr>
        <w:t>Des s</w:t>
      </w:r>
      <w:r w:rsidR="008A39D3" w:rsidRPr="008A39D3">
        <w:rPr>
          <w:rFonts w:asciiTheme="minorHAnsi" w:hAnsiTheme="minorHAnsi" w:cstheme="minorHAnsi"/>
          <w:sz w:val="22"/>
          <w:szCs w:val="22"/>
          <w:lang w:val="fr-FR"/>
        </w:rPr>
        <w:t xml:space="preserve">uggestions de rencontres </w:t>
      </w:r>
      <w:r>
        <w:rPr>
          <w:rFonts w:asciiTheme="minorHAnsi" w:hAnsiTheme="minorHAnsi" w:cstheme="minorHAnsi"/>
          <w:sz w:val="22"/>
          <w:szCs w:val="22"/>
          <w:lang w:val="fr-FR"/>
        </w:rPr>
        <w:t>avec des représentants de l’Etat</w:t>
      </w:r>
      <w:r w:rsidR="008A39D3" w:rsidRPr="008A39D3">
        <w:rPr>
          <w:rFonts w:asciiTheme="minorHAnsi" w:hAnsiTheme="minorHAnsi" w:cstheme="minorHAnsi"/>
          <w:sz w:val="22"/>
          <w:szCs w:val="22"/>
          <w:lang w:val="fr-FR"/>
        </w:rPr>
        <w:t xml:space="preserve"> et acteurs de la société civile dans différentes régions en fonction des lieux à visiter. </w:t>
      </w:r>
    </w:p>
    <w:p w14:paraId="1A1A2A77" w14:textId="50E7C3C6" w:rsidR="008A39D3" w:rsidRPr="007661BF" w:rsidRDefault="008A39D3" w:rsidP="008A39D3">
      <w:pPr>
        <w:tabs>
          <w:tab w:val="left" w:pos="993"/>
        </w:tabs>
        <w:jc w:val="both"/>
        <w:rPr>
          <w:rFonts w:asciiTheme="minorHAnsi" w:hAnsiTheme="minorHAnsi" w:cstheme="minorHAnsi"/>
          <w:sz w:val="22"/>
          <w:szCs w:val="22"/>
          <w:lang w:val="fr-FR"/>
        </w:rPr>
      </w:pPr>
      <w:r w:rsidRPr="007661BF">
        <w:rPr>
          <w:rFonts w:asciiTheme="minorHAnsi" w:hAnsiTheme="minorHAnsi" w:cstheme="minorHAnsi"/>
          <w:sz w:val="22"/>
          <w:szCs w:val="22"/>
          <w:lang w:val="fr-FR"/>
        </w:rPr>
        <w:t xml:space="preserve">Veuillez envoyer vos informations à </w:t>
      </w:r>
      <w:hyperlink r:id="rId18" w:history="1"/>
      <w:hyperlink r:id="rId19" w:history="1">
        <w:r w:rsidR="009E2D7C" w:rsidRPr="00735B60">
          <w:rPr>
            <w:rStyle w:val="Hyperlink"/>
            <w:rFonts w:asciiTheme="minorHAnsi" w:hAnsiTheme="minorHAnsi" w:cstheme="minorHAnsi"/>
            <w:sz w:val="22"/>
            <w:szCs w:val="22"/>
            <w:lang w:val="fr-FR"/>
          </w:rPr>
          <w:t>ie-sogi@ohchr.org</w:t>
        </w:r>
      </w:hyperlink>
      <w:r w:rsidRPr="007661BF">
        <w:rPr>
          <w:rFonts w:asciiTheme="minorHAnsi" w:hAnsiTheme="minorHAnsi" w:cstheme="minorHAnsi"/>
          <w:sz w:val="22"/>
          <w:szCs w:val="22"/>
          <w:lang w:val="fr-FR"/>
        </w:rPr>
        <w:t>. Veuillez indiquer "Visite 202</w:t>
      </w:r>
      <w:r w:rsidR="00D37307">
        <w:rPr>
          <w:rFonts w:asciiTheme="minorHAnsi" w:hAnsiTheme="minorHAnsi" w:cstheme="minorHAnsi"/>
          <w:sz w:val="22"/>
          <w:szCs w:val="22"/>
          <w:lang w:val="fr-FR"/>
        </w:rPr>
        <w:t>1</w:t>
      </w:r>
      <w:r w:rsidRPr="007661BF">
        <w:rPr>
          <w:rFonts w:asciiTheme="minorHAnsi" w:hAnsiTheme="minorHAnsi" w:cstheme="minorHAnsi"/>
          <w:sz w:val="22"/>
          <w:szCs w:val="22"/>
          <w:lang w:val="fr-FR"/>
        </w:rPr>
        <w:t xml:space="preserve"> en Tunisie" dans l'objet du courriel.</w:t>
      </w:r>
    </w:p>
    <w:p w14:paraId="78DBC934" w14:textId="77777777" w:rsidR="008A39D3" w:rsidRPr="007661BF" w:rsidRDefault="008A39D3" w:rsidP="008A39D3">
      <w:pPr>
        <w:tabs>
          <w:tab w:val="left" w:pos="993"/>
        </w:tabs>
        <w:jc w:val="both"/>
        <w:rPr>
          <w:rFonts w:asciiTheme="minorHAnsi" w:hAnsiTheme="minorHAnsi" w:cstheme="minorHAnsi"/>
          <w:sz w:val="22"/>
          <w:szCs w:val="22"/>
          <w:lang w:val="fr-FR"/>
        </w:rPr>
      </w:pPr>
    </w:p>
    <w:p w14:paraId="22C2D604" w14:textId="1AFFEDC0" w:rsidR="008A39D3" w:rsidRPr="007661BF" w:rsidRDefault="009E2D7C" w:rsidP="008A39D3">
      <w:pPr>
        <w:tabs>
          <w:tab w:val="left" w:pos="993"/>
        </w:tabs>
        <w:jc w:val="both"/>
        <w:rPr>
          <w:rFonts w:asciiTheme="minorHAnsi" w:hAnsiTheme="minorHAnsi" w:cstheme="minorHAnsi"/>
          <w:sz w:val="22"/>
          <w:szCs w:val="22"/>
          <w:lang w:val="fr-FR"/>
        </w:rPr>
      </w:pPr>
      <w:r>
        <w:rPr>
          <w:rFonts w:asciiTheme="minorHAnsi" w:hAnsiTheme="minorHAnsi" w:cstheme="minorHAnsi"/>
          <w:sz w:val="22"/>
          <w:szCs w:val="22"/>
          <w:lang w:val="fr-FR"/>
        </w:rPr>
        <w:lastRenderedPageBreak/>
        <w:t>L'E</w:t>
      </w:r>
      <w:r w:rsidR="008A39D3" w:rsidRPr="007661BF">
        <w:rPr>
          <w:rFonts w:asciiTheme="minorHAnsi" w:hAnsiTheme="minorHAnsi" w:cstheme="minorHAnsi"/>
          <w:sz w:val="22"/>
          <w:szCs w:val="22"/>
          <w:lang w:val="fr-FR"/>
        </w:rPr>
        <w:t xml:space="preserve">xpert indépendant terminera sa visite à Tunis, où il fera un dernier compte-rendu au gouvernement et tiendra une conférence de presse pour partager les conclusions préliminaires de la mission. </w:t>
      </w:r>
    </w:p>
    <w:p w14:paraId="27991053" w14:textId="77777777" w:rsidR="008A39D3" w:rsidRPr="007661BF" w:rsidRDefault="008A39D3" w:rsidP="008A39D3">
      <w:pPr>
        <w:tabs>
          <w:tab w:val="left" w:pos="993"/>
        </w:tabs>
        <w:jc w:val="both"/>
        <w:rPr>
          <w:rFonts w:asciiTheme="minorHAnsi" w:hAnsiTheme="minorHAnsi" w:cstheme="minorHAnsi"/>
          <w:sz w:val="22"/>
          <w:szCs w:val="22"/>
          <w:lang w:val="fr-FR"/>
        </w:rPr>
      </w:pPr>
    </w:p>
    <w:p w14:paraId="361414D2" w14:textId="77777777" w:rsidR="008A39D3" w:rsidRPr="008A39D3" w:rsidRDefault="008A39D3" w:rsidP="008A39D3">
      <w:pPr>
        <w:tabs>
          <w:tab w:val="left" w:pos="993"/>
        </w:tabs>
        <w:spacing w:after="120"/>
        <w:jc w:val="both"/>
        <w:rPr>
          <w:rFonts w:asciiTheme="minorHAnsi" w:hAnsiTheme="minorHAnsi" w:cstheme="minorHAnsi"/>
          <w:b/>
          <w:sz w:val="22"/>
          <w:szCs w:val="22"/>
          <w:lang w:val="fr-FR"/>
        </w:rPr>
      </w:pPr>
      <w:r w:rsidRPr="008A39D3">
        <w:rPr>
          <w:rFonts w:asciiTheme="minorHAnsi" w:hAnsiTheme="minorHAnsi" w:cstheme="minorHAnsi"/>
          <w:b/>
          <w:sz w:val="22"/>
          <w:szCs w:val="22"/>
          <w:lang w:val="fr-FR"/>
        </w:rPr>
        <w:t>Résultat</w:t>
      </w:r>
    </w:p>
    <w:p w14:paraId="3B6F9FDF" w14:textId="664E6323" w:rsidR="008A39D3" w:rsidRPr="008A39D3" w:rsidRDefault="009E2D7C" w:rsidP="008A39D3">
      <w:pPr>
        <w:tabs>
          <w:tab w:val="left" w:pos="993"/>
        </w:tabs>
        <w:jc w:val="both"/>
        <w:rPr>
          <w:rFonts w:asciiTheme="minorHAnsi" w:hAnsiTheme="minorHAnsi" w:cstheme="minorHAnsi"/>
          <w:sz w:val="22"/>
          <w:szCs w:val="22"/>
          <w:lang w:val="fr-FR"/>
        </w:rPr>
      </w:pPr>
      <w:r>
        <w:rPr>
          <w:rFonts w:asciiTheme="minorHAnsi" w:hAnsiTheme="minorHAnsi" w:cstheme="minorHAnsi"/>
          <w:sz w:val="22"/>
          <w:szCs w:val="22"/>
          <w:lang w:val="fr-FR"/>
        </w:rPr>
        <w:t>L'E</w:t>
      </w:r>
      <w:r w:rsidR="008A39D3" w:rsidRPr="008A39D3">
        <w:rPr>
          <w:rFonts w:asciiTheme="minorHAnsi" w:hAnsiTheme="minorHAnsi" w:cstheme="minorHAnsi"/>
          <w:sz w:val="22"/>
          <w:szCs w:val="22"/>
          <w:lang w:val="fr-FR"/>
        </w:rPr>
        <w:t>xpert indépendant formulera des recommandations pour soutenir les efforts du gouvernement dans l'élimination de la violence et de la discrimination fondées sur l'orientation sexuelle et l'identité de genre. Un rapport de mission sera présenté au Conseil des droits de l'homme en juin 202</w:t>
      </w:r>
      <w:r w:rsidR="00D37307">
        <w:rPr>
          <w:rFonts w:asciiTheme="minorHAnsi" w:hAnsiTheme="minorHAnsi" w:cstheme="minorHAnsi"/>
          <w:sz w:val="22"/>
          <w:szCs w:val="22"/>
          <w:lang w:val="fr-FR"/>
        </w:rPr>
        <w:t>2</w:t>
      </w:r>
      <w:r w:rsidR="008A39D3" w:rsidRPr="008A39D3">
        <w:rPr>
          <w:rFonts w:asciiTheme="minorHAnsi" w:hAnsiTheme="minorHAnsi" w:cstheme="minorHAnsi"/>
          <w:sz w:val="22"/>
          <w:szCs w:val="22"/>
          <w:lang w:val="fr-FR"/>
        </w:rPr>
        <w:t xml:space="preserve">. </w:t>
      </w:r>
    </w:p>
    <w:p w14:paraId="4454F0D9" w14:textId="77777777" w:rsidR="008A39D3" w:rsidRPr="008A39D3" w:rsidRDefault="008A39D3" w:rsidP="008A39D3">
      <w:pPr>
        <w:tabs>
          <w:tab w:val="left" w:pos="993"/>
        </w:tabs>
        <w:rPr>
          <w:rFonts w:asciiTheme="minorHAnsi" w:hAnsiTheme="minorHAnsi" w:cstheme="minorHAnsi"/>
          <w:sz w:val="22"/>
          <w:szCs w:val="22"/>
          <w:lang w:val="fr-FR"/>
        </w:rPr>
      </w:pPr>
    </w:p>
    <w:p w14:paraId="09A88F93" w14:textId="77777777" w:rsidR="008A39D3" w:rsidRPr="00EC16F2" w:rsidRDefault="008A39D3" w:rsidP="008A39D3">
      <w:pPr>
        <w:jc w:val="center"/>
        <w:rPr>
          <w:rFonts w:asciiTheme="minorHAnsi" w:hAnsiTheme="minorHAnsi" w:cstheme="minorHAnsi"/>
          <w:sz w:val="22"/>
          <w:szCs w:val="22"/>
        </w:rPr>
      </w:pPr>
      <w:r>
        <w:rPr>
          <w:rFonts w:asciiTheme="minorHAnsi" w:hAnsiTheme="minorHAnsi" w:cstheme="minorHAnsi"/>
          <w:sz w:val="22"/>
          <w:szCs w:val="22"/>
        </w:rPr>
        <w:t>****</w:t>
      </w:r>
    </w:p>
    <w:p w14:paraId="3DC596E4" w14:textId="1BFDB1A0" w:rsidR="00B73FD1" w:rsidRPr="00EC16F2" w:rsidRDefault="00B73FD1" w:rsidP="008A39D3">
      <w:pPr>
        <w:tabs>
          <w:tab w:val="left" w:pos="993"/>
        </w:tabs>
        <w:spacing w:after="120"/>
        <w:rPr>
          <w:rFonts w:asciiTheme="minorHAnsi" w:hAnsiTheme="minorHAnsi" w:cstheme="minorHAnsi"/>
          <w:sz w:val="22"/>
          <w:szCs w:val="22"/>
        </w:rPr>
      </w:pPr>
    </w:p>
    <w:sectPr w:rsidR="00B73FD1" w:rsidRPr="00EC16F2" w:rsidSect="00C772EF">
      <w:headerReference w:type="default" r:id="rId20"/>
      <w:footerReference w:type="default" r:id="rId21"/>
      <w:headerReference w:type="first" r:id="rId2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64B8B" w14:textId="77777777" w:rsidR="002A2F06" w:rsidRDefault="002A2F06">
      <w:r>
        <w:separator/>
      </w:r>
    </w:p>
  </w:endnote>
  <w:endnote w:type="continuationSeparator" w:id="0">
    <w:p w14:paraId="7364D104" w14:textId="77777777" w:rsidR="002A2F06" w:rsidRDefault="002A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F" w14:textId="77777777" w:rsidR="00D4007B" w:rsidRDefault="00D4007B"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21CEB" w14:textId="77777777" w:rsidR="002A2F06" w:rsidRDefault="002A2F06">
      <w:r>
        <w:separator/>
      </w:r>
    </w:p>
  </w:footnote>
  <w:footnote w:type="continuationSeparator" w:id="0">
    <w:p w14:paraId="51EFE5A1" w14:textId="77777777" w:rsidR="002A2F06" w:rsidRDefault="002A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E" w14:textId="37E9893A" w:rsidR="00D4007B" w:rsidRPr="00AD4CA9" w:rsidRDefault="00D4007B"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7216" behindDoc="0" locked="0" layoutInCell="1" allowOverlap="1" wp14:anchorId="0276FBCE" wp14:editId="5F93C5D1">
          <wp:simplePos x="0" y="0"/>
          <wp:positionH relativeFrom="column">
            <wp:align>center</wp:align>
          </wp:positionH>
          <wp:positionV relativeFrom="paragraph">
            <wp:posOffset>121585</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00AA2691">
      <w:rPr>
        <w:noProof/>
        <w:sz w:val="14"/>
        <w:szCs w:val="14"/>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C0" w14:textId="09B78184" w:rsidR="00D4007B" w:rsidRPr="00925A9D" w:rsidRDefault="00D4007B"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E1B8F"/>
    <w:multiLevelType w:val="hybridMultilevel"/>
    <w:tmpl w:val="07C8E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6D098B"/>
    <w:multiLevelType w:val="hybridMultilevel"/>
    <w:tmpl w:val="F230B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3B64DE"/>
    <w:multiLevelType w:val="multilevel"/>
    <w:tmpl w:val="B4D4A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E130FB9"/>
    <w:multiLevelType w:val="multilevel"/>
    <w:tmpl w:val="B1B2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342CCB"/>
    <w:multiLevelType w:val="hybridMultilevel"/>
    <w:tmpl w:val="4D786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9"/>
  </w:num>
  <w:num w:numId="4">
    <w:abstractNumId w:val="7"/>
  </w:num>
  <w:num w:numId="5">
    <w:abstractNumId w:val="20"/>
  </w:num>
  <w:num w:numId="6">
    <w:abstractNumId w:val="9"/>
  </w:num>
  <w:num w:numId="7">
    <w:abstractNumId w:val="2"/>
  </w:num>
  <w:num w:numId="8">
    <w:abstractNumId w:val="10"/>
  </w:num>
  <w:num w:numId="9">
    <w:abstractNumId w:val="3"/>
  </w:num>
  <w:num w:numId="10">
    <w:abstractNumId w:val="1"/>
  </w:num>
  <w:num w:numId="11">
    <w:abstractNumId w:val="8"/>
  </w:num>
  <w:num w:numId="12">
    <w:abstractNumId w:val="23"/>
  </w:num>
  <w:num w:numId="13">
    <w:abstractNumId w:val="25"/>
  </w:num>
  <w:num w:numId="14">
    <w:abstractNumId w:val="16"/>
  </w:num>
  <w:num w:numId="15">
    <w:abstractNumId w:val="5"/>
  </w:num>
  <w:num w:numId="16">
    <w:abstractNumId w:val="0"/>
  </w:num>
  <w:num w:numId="17">
    <w:abstractNumId w:val="22"/>
  </w:num>
  <w:num w:numId="18">
    <w:abstractNumId w:val="6"/>
  </w:num>
  <w:num w:numId="19">
    <w:abstractNumId w:val="14"/>
  </w:num>
  <w:num w:numId="20">
    <w:abstractNumId w:val="4"/>
  </w:num>
  <w:num w:numId="21">
    <w:abstractNumId w:val="21"/>
  </w:num>
  <w:num w:numId="22">
    <w:abstractNumId w:val="18"/>
  </w:num>
  <w:num w:numId="23">
    <w:abstractNumId w:val="11"/>
  </w:num>
  <w:num w:numId="24">
    <w:abstractNumId w:val="24"/>
  </w:num>
  <w:num w:numId="25">
    <w:abstractNumId w:val="12"/>
  </w:num>
  <w:num w:numId="26">
    <w:abstractNumId w:val="27"/>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25FC"/>
    <w:rsid w:val="00026D1F"/>
    <w:rsid w:val="0003674D"/>
    <w:rsid w:val="0005390B"/>
    <w:rsid w:val="00063BFD"/>
    <w:rsid w:val="00077294"/>
    <w:rsid w:val="000875C6"/>
    <w:rsid w:val="00091BF0"/>
    <w:rsid w:val="00095BE5"/>
    <w:rsid w:val="00095D27"/>
    <w:rsid w:val="000A2B89"/>
    <w:rsid w:val="000A6F03"/>
    <w:rsid w:val="000C7660"/>
    <w:rsid w:val="000D210E"/>
    <w:rsid w:val="000D34F2"/>
    <w:rsid w:val="000D5600"/>
    <w:rsid w:val="000E2860"/>
    <w:rsid w:val="000E42EE"/>
    <w:rsid w:val="000F183C"/>
    <w:rsid w:val="000F2DEB"/>
    <w:rsid w:val="000F6808"/>
    <w:rsid w:val="00103AE3"/>
    <w:rsid w:val="00106F64"/>
    <w:rsid w:val="00115798"/>
    <w:rsid w:val="00117F5F"/>
    <w:rsid w:val="001205D6"/>
    <w:rsid w:val="00130C65"/>
    <w:rsid w:val="0013487C"/>
    <w:rsid w:val="001456CB"/>
    <w:rsid w:val="001460B1"/>
    <w:rsid w:val="001537CC"/>
    <w:rsid w:val="00153DB2"/>
    <w:rsid w:val="0015615C"/>
    <w:rsid w:val="001676BA"/>
    <w:rsid w:val="00183B60"/>
    <w:rsid w:val="00194332"/>
    <w:rsid w:val="001B7B09"/>
    <w:rsid w:val="001C0BC1"/>
    <w:rsid w:val="001C4360"/>
    <w:rsid w:val="001D3313"/>
    <w:rsid w:val="001E3384"/>
    <w:rsid w:val="002028A9"/>
    <w:rsid w:val="0021296A"/>
    <w:rsid w:val="002129D5"/>
    <w:rsid w:val="00221893"/>
    <w:rsid w:val="00224386"/>
    <w:rsid w:val="00227E2F"/>
    <w:rsid w:val="00230775"/>
    <w:rsid w:val="00233CEA"/>
    <w:rsid w:val="00235A1A"/>
    <w:rsid w:val="002431DB"/>
    <w:rsid w:val="00244860"/>
    <w:rsid w:val="0024583B"/>
    <w:rsid w:val="0025174E"/>
    <w:rsid w:val="00257195"/>
    <w:rsid w:val="00266D70"/>
    <w:rsid w:val="0028206D"/>
    <w:rsid w:val="00282E14"/>
    <w:rsid w:val="0028624E"/>
    <w:rsid w:val="002863A2"/>
    <w:rsid w:val="002873B2"/>
    <w:rsid w:val="00293243"/>
    <w:rsid w:val="002969BF"/>
    <w:rsid w:val="002A2F06"/>
    <w:rsid w:val="002E65F4"/>
    <w:rsid w:val="00305B08"/>
    <w:rsid w:val="00335FB9"/>
    <w:rsid w:val="00356299"/>
    <w:rsid w:val="003577DB"/>
    <w:rsid w:val="00380489"/>
    <w:rsid w:val="00381384"/>
    <w:rsid w:val="00394359"/>
    <w:rsid w:val="003956EF"/>
    <w:rsid w:val="00396E4C"/>
    <w:rsid w:val="003A3957"/>
    <w:rsid w:val="003C37C3"/>
    <w:rsid w:val="003D0C10"/>
    <w:rsid w:val="003D3D66"/>
    <w:rsid w:val="003E352B"/>
    <w:rsid w:val="003E552B"/>
    <w:rsid w:val="003F1BB8"/>
    <w:rsid w:val="00401FD2"/>
    <w:rsid w:val="00410560"/>
    <w:rsid w:val="00411C0A"/>
    <w:rsid w:val="004153DE"/>
    <w:rsid w:val="00415EFC"/>
    <w:rsid w:val="00440385"/>
    <w:rsid w:val="00440E30"/>
    <w:rsid w:val="00440ED0"/>
    <w:rsid w:val="00443DF5"/>
    <w:rsid w:val="00447412"/>
    <w:rsid w:val="00455C6D"/>
    <w:rsid w:val="00456419"/>
    <w:rsid w:val="00460258"/>
    <w:rsid w:val="00483FC0"/>
    <w:rsid w:val="004A5D9B"/>
    <w:rsid w:val="004B4CAC"/>
    <w:rsid w:val="004B709A"/>
    <w:rsid w:val="004C044F"/>
    <w:rsid w:val="004C415F"/>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468A7"/>
    <w:rsid w:val="0055573E"/>
    <w:rsid w:val="00562D63"/>
    <w:rsid w:val="00570A1B"/>
    <w:rsid w:val="00570E41"/>
    <w:rsid w:val="00576638"/>
    <w:rsid w:val="005849E6"/>
    <w:rsid w:val="00585F8E"/>
    <w:rsid w:val="005871D9"/>
    <w:rsid w:val="00590218"/>
    <w:rsid w:val="00594BCE"/>
    <w:rsid w:val="005957ED"/>
    <w:rsid w:val="005B284C"/>
    <w:rsid w:val="005C677D"/>
    <w:rsid w:val="005D622D"/>
    <w:rsid w:val="005E7C37"/>
    <w:rsid w:val="005F283E"/>
    <w:rsid w:val="0060068B"/>
    <w:rsid w:val="00601A2B"/>
    <w:rsid w:val="0060785C"/>
    <w:rsid w:val="00627A52"/>
    <w:rsid w:val="0063240F"/>
    <w:rsid w:val="00635102"/>
    <w:rsid w:val="00636BD7"/>
    <w:rsid w:val="006375A5"/>
    <w:rsid w:val="006412EA"/>
    <w:rsid w:val="00645695"/>
    <w:rsid w:val="00650CD4"/>
    <w:rsid w:val="006605E5"/>
    <w:rsid w:val="00660EDA"/>
    <w:rsid w:val="006617A4"/>
    <w:rsid w:val="00667227"/>
    <w:rsid w:val="006749F6"/>
    <w:rsid w:val="00677E42"/>
    <w:rsid w:val="00682D26"/>
    <w:rsid w:val="00682DDB"/>
    <w:rsid w:val="006834E4"/>
    <w:rsid w:val="00687E4F"/>
    <w:rsid w:val="00695D3E"/>
    <w:rsid w:val="006A7352"/>
    <w:rsid w:val="006B5A71"/>
    <w:rsid w:val="006D5B97"/>
    <w:rsid w:val="006E6CC3"/>
    <w:rsid w:val="006F790C"/>
    <w:rsid w:val="007114F8"/>
    <w:rsid w:val="00712363"/>
    <w:rsid w:val="00712EFD"/>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A25EB"/>
    <w:rsid w:val="007A4975"/>
    <w:rsid w:val="007B01A6"/>
    <w:rsid w:val="007B5929"/>
    <w:rsid w:val="007B6F9F"/>
    <w:rsid w:val="007C4483"/>
    <w:rsid w:val="007C4A8E"/>
    <w:rsid w:val="007C5369"/>
    <w:rsid w:val="007D1657"/>
    <w:rsid w:val="007D47FE"/>
    <w:rsid w:val="007E39E1"/>
    <w:rsid w:val="007F7DA3"/>
    <w:rsid w:val="0081788D"/>
    <w:rsid w:val="00842120"/>
    <w:rsid w:val="00842220"/>
    <w:rsid w:val="008427AA"/>
    <w:rsid w:val="00846B4A"/>
    <w:rsid w:val="008553DE"/>
    <w:rsid w:val="008568EA"/>
    <w:rsid w:val="00863357"/>
    <w:rsid w:val="008656FA"/>
    <w:rsid w:val="00874280"/>
    <w:rsid w:val="008774E3"/>
    <w:rsid w:val="008A2623"/>
    <w:rsid w:val="008A2957"/>
    <w:rsid w:val="008A39D3"/>
    <w:rsid w:val="008B33E8"/>
    <w:rsid w:val="008B4DD7"/>
    <w:rsid w:val="008B4F3E"/>
    <w:rsid w:val="008B6B53"/>
    <w:rsid w:val="008C2924"/>
    <w:rsid w:val="008C60C0"/>
    <w:rsid w:val="008D1A3C"/>
    <w:rsid w:val="008D3B8A"/>
    <w:rsid w:val="008E46C1"/>
    <w:rsid w:val="008F3473"/>
    <w:rsid w:val="009066BC"/>
    <w:rsid w:val="00917C1C"/>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6237"/>
    <w:rsid w:val="00997618"/>
    <w:rsid w:val="009A2849"/>
    <w:rsid w:val="009B459A"/>
    <w:rsid w:val="009B6317"/>
    <w:rsid w:val="009D76A9"/>
    <w:rsid w:val="009E00AF"/>
    <w:rsid w:val="009E2D7C"/>
    <w:rsid w:val="009F18EC"/>
    <w:rsid w:val="009F2043"/>
    <w:rsid w:val="00A01741"/>
    <w:rsid w:val="00A153DB"/>
    <w:rsid w:val="00A21EF1"/>
    <w:rsid w:val="00A22A44"/>
    <w:rsid w:val="00A34DA7"/>
    <w:rsid w:val="00A364CF"/>
    <w:rsid w:val="00A3761B"/>
    <w:rsid w:val="00A40490"/>
    <w:rsid w:val="00A439B9"/>
    <w:rsid w:val="00A54482"/>
    <w:rsid w:val="00A564C7"/>
    <w:rsid w:val="00A61E26"/>
    <w:rsid w:val="00A63977"/>
    <w:rsid w:val="00A86B19"/>
    <w:rsid w:val="00A86E08"/>
    <w:rsid w:val="00A9048E"/>
    <w:rsid w:val="00A92159"/>
    <w:rsid w:val="00AA164D"/>
    <w:rsid w:val="00AA2691"/>
    <w:rsid w:val="00AA3895"/>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42B30"/>
    <w:rsid w:val="00B43D96"/>
    <w:rsid w:val="00B458F6"/>
    <w:rsid w:val="00B54DD5"/>
    <w:rsid w:val="00B61545"/>
    <w:rsid w:val="00B73FA8"/>
    <w:rsid w:val="00B73FD1"/>
    <w:rsid w:val="00B7425B"/>
    <w:rsid w:val="00B84F46"/>
    <w:rsid w:val="00B96668"/>
    <w:rsid w:val="00BD2C78"/>
    <w:rsid w:val="00BD6119"/>
    <w:rsid w:val="00BF539E"/>
    <w:rsid w:val="00BF69D2"/>
    <w:rsid w:val="00C07B5F"/>
    <w:rsid w:val="00C12BED"/>
    <w:rsid w:val="00C162CD"/>
    <w:rsid w:val="00C17B65"/>
    <w:rsid w:val="00C234D8"/>
    <w:rsid w:val="00C23DDD"/>
    <w:rsid w:val="00C35851"/>
    <w:rsid w:val="00C50365"/>
    <w:rsid w:val="00C60BAC"/>
    <w:rsid w:val="00C6141D"/>
    <w:rsid w:val="00C64254"/>
    <w:rsid w:val="00C707EA"/>
    <w:rsid w:val="00C73CD7"/>
    <w:rsid w:val="00C74811"/>
    <w:rsid w:val="00C772EF"/>
    <w:rsid w:val="00C82CCE"/>
    <w:rsid w:val="00C87348"/>
    <w:rsid w:val="00CA65D2"/>
    <w:rsid w:val="00CB1C6E"/>
    <w:rsid w:val="00CC5BEF"/>
    <w:rsid w:val="00CE6A0E"/>
    <w:rsid w:val="00D00DDC"/>
    <w:rsid w:val="00D02F61"/>
    <w:rsid w:val="00D075E5"/>
    <w:rsid w:val="00D1125E"/>
    <w:rsid w:val="00D115F7"/>
    <w:rsid w:val="00D129FA"/>
    <w:rsid w:val="00D230B7"/>
    <w:rsid w:val="00D32E5B"/>
    <w:rsid w:val="00D337A9"/>
    <w:rsid w:val="00D3608E"/>
    <w:rsid w:val="00D36635"/>
    <w:rsid w:val="00D37307"/>
    <w:rsid w:val="00D4007B"/>
    <w:rsid w:val="00D4635B"/>
    <w:rsid w:val="00D5082F"/>
    <w:rsid w:val="00D67524"/>
    <w:rsid w:val="00D70178"/>
    <w:rsid w:val="00D82BE4"/>
    <w:rsid w:val="00D84C7E"/>
    <w:rsid w:val="00D90CAA"/>
    <w:rsid w:val="00D963DD"/>
    <w:rsid w:val="00D968C8"/>
    <w:rsid w:val="00DA5FC2"/>
    <w:rsid w:val="00DB415F"/>
    <w:rsid w:val="00DB5055"/>
    <w:rsid w:val="00DB54D1"/>
    <w:rsid w:val="00DB5616"/>
    <w:rsid w:val="00DC0CA6"/>
    <w:rsid w:val="00DD4909"/>
    <w:rsid w:val="00DE49B2"/>
    <w:rsid w:val="00DE5C84"/>
    <w:rsid w:val="00E15347"/>
    <w:rsid w:val="00E22392"/>
    <w:rsid w:val="00E261FA"/>
    <w:rsid w:val="00E30296"/>
    <w:rsid w:val="00E4367D"/>
    <w:rsid w:val="00E56372"/>
    <w:rsid w:val="00E60057"/>
    <w:rsid w:val="00E679E8"/>
    <w:rsid w:val="00E73F13"/>
    <w:rsid w:val="00E84288"/>
    <w:rsid w:val="00E955B7"/>
    <w:rsid w:val="00E97A8F"/>
    <w:rsid w:val="00EA6B3E"/>
    <w:rsid w:val="00EB4CDE"/>
    <w:rsid w:val="00EC123F"/>
    <w:rsid w:val="00EC16F2"/>
    <w:rsid w:val="00EC3E83"/>
    <w:rsid w:val="00EE0A7C"/>
    <w:rsid w:val="00EE5BA8"/>
    <w:rsid w:val="00EE6765"/>
    <w:rsid w:val="00EF0B0D"/>
    <w:rsid w:val="00F006B5"/>
    <w:rsid w:val="00F0710E"/>
    <w:rsid w:val="00F07C8F"/>
    <w:rsid w:val="00F130B3"/>
    <w:rsid w:val="00F14740"/>
    <w:rsid w:val="00F161EC"/>
    <w:rsid w:val="00F44EA7"/>
    <w:rsid w:val="00F47B64"/>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semiHidden/>
    <w:unhideWhenUsed/>
    <w:rsid w:val="00EC16F2"/>
    <w:rPr>
      <w:sz w:val="24"/>
      <w:szCs w:val="24"/>
    </w:rPr>
  </w:style>
  <w:style w:type="character" w:styleId="FollowedHyperlink">
    <w:name w:val="FollowedHyperlink"/>
    <w:basedOn w:val="DefaultParagraphFont"/>
    <w:semiHidden/>
    <w:unhideWhenUsed/>
    <w:rsid w:val="004C4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3241">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723456553">
      <w:bodyDiv w:val="1"/>
      <w:marLeft w:val="0"/>
      <w:marRight w:val="0"/>
      <w:marTop w:val="0"/>
      <w:marBottom w:val="0"/>
      <w:divBdr>
        <w:top w:val="none" w:sz="0" w:space="0" w:color="auto"/>
        <w:left w:val="none" w:sz="0" w:space="0" w:color="auto"/>
        <w:bottom w:val="none" w:sz="0" w:space="0" w:color="auto"/>
        <w:right w:val="none" w:sz="0" w:space="0" w:color="auto"/>
      </w:divBdr>
    </w:div>
    <w:div w:id="875697167">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chr.org/EN/Issues/Discrimination/Pages/BornFreeEqualBooklet.aspx" TargetMode="External"/><Relationship Id="rId18" Type="http://schemas.openxmlformats.org/officeDocument/2006/relationships/hyperlink" Target="mailto:ie-sogi@ohch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hchr.org/FR/Issues/SexualOrientationGender/Pages/Index.aspx" TargetMode="External"/><Relationship Id="rId17" Type="http://schemas.openxmlformats.org/officeDocument/2006/relationships/hyperlink" Target="https://www.ohchr.org/Documents/HRBodies/SP/ToRs2016_FR.pdf" TargetMode="External"/><Relationship Id="rId2" Type="http://schemas.openxmlformats.org/officeDocument/2006/relationships/customXml" Target="../customXml/item2.xml"/><Relationship Id="rId16" Type="http://schemas.openxmlformats.org/officeDocument/2006/relationships/hyperlink" Target="https://www.ohchr.org/EN/Issues/Discrimination/Pages/LGBTUNReport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ohchr.org/documents/dpage_f.aspx?si=A/HRC/RES/32/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hchr.org/EN/Issues/Discrimination/Pages/LGBTUNReports.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e-sogi@ohch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FR/Issues/SexualOrientationGender/Pages/AnnualReports.asp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9040124-3724-453e-9e0f-d53a96d17322"/>
    <ds:schemaRef ds:uri="http://www.w3.org/XML/1998/namespace"/>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BA1DDCFA-392D-406C-8944-1F05055DE196}"/>
</file>

<file path=customXml/itemProps4.xml><?xml version="1.0" encoding="utf-8"?>
<ds:datastoreItem xmlns:ds="http://schemas.openxmlformats.org/officeDocument/2006/customXml" ds:itemID="{CA8F0403-F648-42F9-8D83-E885AFE3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1516</Words>
  <Characters>8646</Characters>
  <Application>Microsoft Office Word</Application>
  <DocSecurity>0</DocSecurity>
  <Lines>72</Lines>
  <Paragraphs>20</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2021-03-31T12:59:00Z</dcterms:created>
  <dcterms:modified xsi:type="dcterms:W3CDTF">2021-03-31T12:59:00Z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