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F7189E" w14:textId="77777777" w:rsidR="00C922E3" w:rsidRPr="004B1D72" w:rsidRDefault="00C922E3" w:rsidP="006F0EE4">
      <w:pPr>
        <w:jc w:val="center"/>
        <w:rPr>
          <w:b/>
          <w:sz w:val="22"/>
          <w:lang w:val="fr-CH"/>
        </w:rPr>
      </w:pPr>
    </w:p>
    <w:p w14:paraId="28C8FCDE" w14:textId="06E36E27" w:rsidR="002B3E24" w:rsidRPr="00613013" w:rsidRDefault="002B3E24" w:rsidP="002B3E24">
      <w:pPr>
        <w:jc w:val="center"/>
        <w:rPr>
          <w:rFonts w:eastAsia="Arial"/>
          <w:b/>
          <w:color w:val="000000"/>
          <w:sz w:val="24"/>
          <w:szCs w:val="24"/>
          <w:lang w:val="fr-CH" w:eastAsia="zh-CN"/>
        </w:rPr>
      </w:pPr>
      <w:r w:rsidRPr="00613013">
        <w:rPr>
          <w:rFonts w:eastAsia="Arial"/>
          <w:b/>
          <w:color w:val="000000"/>
          <w:sz w:val="24"/>
          <w:szCs w:val="24"/>
          <w:lang w:val="fr-CH" w:eastAsia="zh-CN"/>
        </w:rPr>
        <w:t>Appel à contribution</w:t>
      </w:r>
    </w:p>
    <w:p w14:paraId="4199A325" w14:textId="77777777" w:rsidR="002B3E24" w:rsidRPr="00613013" w:rsidRDefault="002B3E24" w:rsidP="002B3E24">
      <w:pPr>
        <w:jc w:val="both"/>
        <w:rPr>
          <w:rFonts w:eastAsia="Arial"/>
          <w:b/>
          <w:color w:val="000000"/>
          <w:sz w:val="24"/>
          <w:szCs w:val="24"/>
          <w:lang w:val="fr-CH" w:eastAsia="zh-CN"/>
        </w:rPr>
      </w:pPr>
    </w:p>
    <w:p w14:paraId="3E149BC2" w14:textId="0FF288E1" w:rsidR="002B3E24" w:rsidRPr="00613013" w:rsidRDefault="002B3E24" w:rsidP="002B3E24">
      <w:pPr>
        <w:jc w:val="center"/>
        <w:rPr>
          <w:rFonts w:eastAsia="Arial"/>
          <w:b/>
          <w:color w:val="000000"/>
          <w:sz w:val="24"/>
          <w:szCs w:val="24"/>
          <w:u w:val="single"/>
          <w:lang w:val="fr-CH" w:eastAsia="zh-CN"/>
        </w:rPr>
      </w:pPr>
      <w:r w:rsidRPr="00DB3C80">
        <w:rPr>
          <w:rFonts w:eastAsia="Arial"/>
          <w:b/>
          <w:bCs/>
          <w:sz w:val="24"/>
          <w:szCs w:val="24"/>
          <w:u w:val="single"/>
          <w:lang w:val="fr-FR" w:eastAsia="zh-CN"/>
        </w:rPr>
        <w:t>Date limite </w:t>
      </w:r>
      <w:r w:rsidR="00155EA1">
        <w:rPr>
          <w:rFonts w:eastAsia="Arial"/>
          <w:b/>
          <w:bCs/>
          <w:sz w:val="24"/>
          <w:szCs w:val="24"/>
          <w:u w:val="single"/>
          <w:lang w:val="fr-FR" w:eastAsia="zh-CN"/>
        </w:rPr>
        <w:t>21</w:t>
      </w:r>
      <w:r w:rsidRPr="00DB3C80">
        <w:rPr>
          <w:rFonts w:eastAsia="Arial"/>
          <w:b/>
          <w:bCs/>
          <w:sz w:val="24"/>
          <w:szCs w:val="24"/>
          <w:u w:val="single"/>
          <w:lang w:val="fr-FR" w:eastAsia="zh-CN"/>
        </w:rPr>
        <w:t> décembre 2019</w:t>
      </w:r>
    </w:p>
    <w:p w14:paraId="37A828BC" w14:textId="77777777" w:rsidR="002B3E24" w:rsidRPr="00613013" w:rsidRDefault="002B3E24" w:rsidP="002B3E24">
      <w:pPr>
        <w:jc w:val="both"/>
        <w:rPr>
          <w:rFonts w:eastAsia="Arial"/>
          <w:b/>
          <w:color w:val="000000"/>
          <w:sz w:val="24"/>
          <w:szCs w:val="24"/>
          <w:lang w:val="fr-CH" w:eastAsia="zh-CN"/>
        </w:rPr>
      </w:pPr>
    </w:p>
    <w:p w14:paraId="492F842C" w14:textId="434A4477" w:rsidR="002B3E24" w:rsidRDefault="002B3E24" w:rsidP="002B3E24">
      <w:pPr>
        <w:spacing w:after="160" w:line="259" w:lineRule="auto"/>
        <w:jc w:val="center"/>
        <w:rPr>
          <w:rFonts w:eastAsia="Arial"/>
          <w:b/>
          <w:bCs/>
          <w:sz w:val="24"/>
          <w:szCs w:val="24"/>
          <w:lang w:val="fr-FR" w:eastAsia="zh-CN"/>
        </w:rPr>
      </w:pPr>
      <w:r w:rsidRPr="00DB3C80">
        <w:rPr>
          <w:rFonts w:eastAsia="Arial"/>
          <w:b/>
          <w:bCs/>
          <w:sz w:val="24"/>
          <w:szCs w:val="24"/>
          <w:lang w:val="fr-FR" w:eastAsia="zh-CN"/>
        </w:rPr>
        <w:t>Rapport de l'expert indépendant sur la protection contre la violence et la discrimination fondée sur l'orientation sexuelle et l'identité de genre, en mettant l'accent sur les pratiques d</w:t>
      </w:r>
      <w:r>
        <w:rPr>
          <w:rFonts w:eastAsia="Arial"/>
          <w:b/>
          <w:bCs/>
          <w:sz w:val="24"/>
          <w:szCs w:val="24"/>
          <w:lang w:val="fr-FR" w:eastAsia="zh-CN"/>
        </w:rPr>
        <w:t xml:space="preserve">ites </w:t>
      </w:r>
      <w:r w:rsidRPr="00DB3C80">
        <w:rPr>
          <w:rFonts w:eastAsia="Arial"/>
          <w:b/>
          <w:bCs/>
          <w:sz w:val="24"/>
          <w:szCs w:val="24"/>
          <w:lang w:val="fr-FR" w:eastAsia="zh-CN"/>
        </w:rPr>
        <w:t>« thérapies de conversion »</w:t>
      </w:r>
    </w:p>
    <w:p w14:paraId="13316073" w14:textId="1EA1B90A" w:rsidR="00E1265D" w:rsidRDefault="001A5B88" w:rsidP="006B1051">
      <w:pPr>
        <w:jc w:val="center"/>
        <w:rPr>
          <w:rFonts w:eastAsia="Arial"/>
          <w:bCs/>
          <w:sz w:val="24"/>
          <w:szCs w:val="24"/>
          <w:lang w:val="fr-FR" w:eastAsia="zh-CN"/>
        </w:rPr>
      </w:pP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r>
      <w:r>
        <w:rPr>
          <w:rFonts w:eastAsia="Arial"/>
          <w:bCs/>
          <w:sz w:val="24"/>
          <w:szCs w:val="24"/>
          <w:lang w:val="fr-FR" w:eastAsia="zh-CN"/>
        </w:rPr>
        <w:tab/>
        <w:t>21</w:t>
      </w:r>
      <w:r w:rsidR="00E1265D">
        <w:rPr>
          <w:rFonts w:eastAsia="Arial"/>
          <w:bCs/>
          <w:sz w:val="24"/>
          <w:szCs w:val="24"/>
          <w:lang w:val="fr-FR" w:eastAsia="zh-CN"/>
        </w:rPr>
        <w:t xml:space="preserve"> novembre 2019</w:t>
      </w:r>
    </w:p>
    <w:p w14:paraId="40920839" w14:textId="77777777" w:rsidR="00E1265D" w:rsidRPr="00E1265D" w:rsidRDefault="00E1265D" w:rsidP="006B1051">
      <w:pPr>
        <w:jc w:val="center"/>
        <w:rPr>
          <w:rFonts w:eastAsia="Arial"/>
          <w:sz w:val="24"/>
          <w:szCs w:val="24"/>
          <w:lang w:val="fr-FR" w:eastAsia="zh-CN"/>
        </w:rPr>
      </w:pPr>
    </w:p>
    <w:p w14:paraId="29FFD288" w14:textId="77777777" w:rsidR="00E1265D" w:rsidRPr="00DB3C80" w:rsidRDefault="00E1265D" w:rsidP="006B1051">
      <w:pPr>
        <w:rPr>
          <w:rFonts w:eastAsia="Arial"/>
          <w:sz w:val="24"/>
          <w:szCs w:val="24"/>
          <w:lang w:val="fr-FR" w:eastAsia="zh-CN"/>
        </w:rPr>
      </w:pPr>
    </w:p>
    <w:p w14:paraId="58A2F9E5" w14:textId="593DCA00" w:rsidR="002B3E24" w:rsidRDefault="002B3E24" w:rsidP="006B1051">
      <w:pPr>
        <w:ind w:firstLine="720"/>
        <w:rPr>
          <w:rFonts w:eastAsia="Arial"/>
          <w:sz w:val="24"/>
          <w:szCs w:val="24"/>
          <w:lang w:val="fr-FR" w:eastAsia="zh-CN"/>
        </w:rPr>
      </w:pPr>
      <w:r>
        <w:rPr>
          <w:rFonts w:eastAsia="Arial"/>
          <w:sz w:val="24"/>
          <w:szCs w:val="24"/>
          <w:lang w:val="fr-FR" w:eastAsia="zh-CN"/>
        </w:rPr>
        <w:t>Conformément à mon mandat d'E</w:t>
      </w:r>
      <w:r w:rsidRPr="00DB3C80">
        <w:rPr>
          <w:rFonts w:eastAsia="Arial"/>
          <w:sz w:val="24"/>
          <w:szCs w:val="24"/>
          <w:lang w:val="fr-FR" w:eastAsia="zh-CN"/>
        </w:rPr>
        <w:t>xpert indépendant sur la protection contre la violence et la discrimination fondée</w:t>
      </w:r>
      <w:r>
        <w:rPr>
          <w:rFonts w:eastAsia="Arial"/>
          <w:sz w:val="24"/>
          <w:szCs w:val="24"/>
          <w:lang w:val="fr-FR" w:eastAsia="zh-CN"/>
        </w:rPr>
        <w:t>s</w:t>
      </w:r>
      <w:r w:rsidRPr="00DB3C80">
        <w:rPr>
          <w:rFonts w:eastAsia="Arial"/>
          <w:sz w:val="24"/>
          <w:szCs w:val="24"/>
          <w:lang w:val="fr-FR" w:eastAsia="zh-CN"/>
        </w:rPr>
        <w:t xml:space="preserve"> sur l'orientation sexuelle et l'identité de genre, conformément aux résolutions 32/2 et 41/18 du Conseil des droits de l’homme, j'ai l'intention de présenter un rapport thématique à l</w:t>
      </w:r>
      <w:r>
        <w:rPr>
          <w:rFonts w:eastAsia="Arial"/>
          <w:sz w:val="24"/>
          <w:szCs w:val="24"/>
          <w:lang w:val="fr-FR" w:eastAsia="zh-CN"/>
        </w:rPr>
        <w:t>a 44</w:t>
      </w:r>
      <w:r w:rsidRPr="00EE23D1">
        <w:rPr>
          <w:rFonts w:eastAsia="Arial"/>
          <w:sz w:val="24"/>
          <w:szCs w:val="24"/>
          <w:vertAlign w:val="superscript"/>
          <w:lang w:val="fr-FR" w:eastAsia="zh-CN"/>
        </w:rPr>
        <w:t>ème</w:t>
      </w:r>
      <w:r>
        <w:rPr>
          <w:rFonts w:eastAsia="Arial"/>
          <w:sz w:val="24"/>
          <w:szCs w:val="24"/>
          <w:lang w:val="fr-FR" w:eastAsia="zh-CN"/>
        </w:rPr>
        <w:t xml:space="preserve"> </w:t>
      </w:r>
      <w:r w:rsidRPr="00DB3C80">
        <w:rPr>
          <w:rFonts w:eastAsia="Arial"/>
          <w:sz w:val="24"/>
          <w:szCs w:val="24"/>
          <w:lang w:val="fr-FR" w:eastAsia="zh-CN"/>
        </w:rPr>
        <w:t xml:space="preserve">session du </w:t>
      </w:r>
      <w:r>
        <w:rPr>
          <w:rFonts w:eastAsia="Arial"/>
          <w:sz w:val="24"/>
          <w:szCs w:val="24"/>
          <w:lang w:val="fr-FR" w:eastAsia="zh-CN"/>
        </w:rPr>
        <w:t>Conseil</w:t>
      </w:r>
      <w:r w:rsidRPr="00DB3C80">
        <w:rPr>
          <w:rFonts w:eastAsia="Arial"/>
          <w:sz w:val="24"/>
          <w:szCs w:val="24"/>
          <w:lang w:val="fr-FR" w:eastAsia="zh-CN"/>
        </w:rPr>
        <w:t>, qui </w:t>
      </w:r>
      <w:r>
        <w:rPr>
          <w:rFonts w:eastAsia="Arial"/>
          <w:sz w:val="24"/>
          <w:szCs w:val="24"/>
          <w:lang w:val="fr-FR" w:eastAsia="zh-CN"/>
        </w:rPr>
        <w:t>sera axé</w:t>
      </w:r>
      <w:r w:rsidRPr="00DB3C80">
        <w:rPr>
          <w:rFonts w:eastAsia="Arial"/>
          <w:sz w:val="24"/>
          <w:szCs w:val="24"/>
          <w:lang w:val="fr-FR" w:eastAsia="zh-CN"/>
        </w:rPr>
        <w:t xml:space="preserve"> sur les pratiques </w:t>
      </w:r>
      <w:r>
        <w:rPr>
          <w:rFonts w:eastAsia="Arial"/>
          <w:sz w:val="24"/>
          <w:szCs w:val="24"/>
          <w:lang w:val="fr-FR" w:eastAsia="zh-CN"/>
        </w:rPr>
        <w:t xml:space="preserve">dites </w:t>
      </w:r>
      <w:r w:rsidRPr="00DB3C80">
        <w:rPr>
          <w:rFonts w:eastAsia="Arial"/>
          <w:sz w:val="24"/>
          <w:szCs w:val="24"/>
          <w:lang w:val="fr-FR" w:eastAsia="zh-CN"/>
        </w:rPr>
        <w:t xml:space="preserve">« thérapies de conversion » des personnes lesbiennes, gays, bisexuelles, trans et de </w:t>
      </w:r>
      <w:r>
        <w:rPr>
          <w:rFonts w:eastAsia="Arial"/>
          <w:sz w:val="24"/>
          <w:szCs w:val="24"/>
          <w:lang w:val="fr-FR" w:eastAsia="zh-CN"/>
        </w:rPr>
        <w:t>genre</w:t>
      </w:r>
      <w:r w:rsidRPr="00DB3C80">
        <w:rPr>
          <w:rFonts w:eastAsia="Arial"/>
          <w:sz w:val="24"/>
          <w:szCs w:val="24"/>
          <w:lang w:val="fr-FR" w:eastAsia="zh-CN"/>
        </w:rPr>
        <w:t xml:space="preserve"> divers </w:t>
      </w:r>
      <w:r>
        <w:rPr>
          <w:rFonts w:eastAsia="Arial"/>
          <w:sz w:val="24"/>
          <w:szCs w:val="24"/>
          <w:lang w:val="fr-FR" w:eastAsia="zh-CN"/>
        </w:rPr>
        <w:t>dans</w:t>
      </w:r>
      <w:r w:rsidRPr="00DB3C80">
        <w:rPr>
          <w:rFonts w:eastAsia="Arial"/>
          <w:sz w:val="24"/>
          <w:szCs w:val="24"/>
          <w:lang w:val="fr-FR" w:eastAsia="zh-CN"/>
        </w:rPr>
        <w:t xml:space="preserve"> le monde.  </w:t>
      </w:r>
    </w:p>
    <w:p w14:paraId="327B5970" w14:textId="77777777" w:rsidR="002947F2" w:rsidRPr="00DB3C80" w:rsidRDefault="002947F2" w:rsidP="006B1051">
      <w:pPr>
        <w:ind w:firstLine="720"/>
        <w:rPr>
          <w:rFonts w:eastAsia="Arial"/>
          <w:sz w:val="24"/>
          <w:szCs w:val="24"/>
          <w:lang w:val="fr-FR" w:eastAsia="zh-CN"/>
        </w:rPr>
      </w:pPr>
    </w:p>
    <w:p w14:paraId="7F59AF50" w14:textId="132A2222" w:rsidR="002B3E24" w:rsidRPr="00DB3C80" w:rsidRDefault="002B3E24" w:rsidP="006B1051">
      <w:pPr>
        <w:ind w:firstLine="720"/>
        <w:rPr>
          <w:rFonts w:eastAsia="Arial"/>
          <w:sz w:val="24"/>
          <w:szCs w:val="24"/>
          <w:lang w:val="fr-FR" w:eastAsia="zh-CN"/>
        </w:rPr>
      </w:pPr>
      <w:r w:rsidRPr="00DB3C80">
        <w:rPr>
          <w:rFonts w:eastAsia="Arial"/>
          <w:sz w:val="24"/>
          <w:szCs w:val="24"/>
          <w:lang w:val="fr-FR" w:eastAsia="zh-CN"/>
        </w:rPr>
        <w:t xml:space="preserve">Le rapport explorera </w:t>
      </w:r>
      <w:r>
        <w:rPr>
          <w:rFonts w:eastAsia="Arial"/>
          <w:sz w:val="24"/>
          <w:szCs w:val="24"/>
          <w:lang w:val="fr-FR" w:eastAsia="zh-CN"/>
        </w:rPr>
        <w:t>l’impact</w:t>
      </w:r>
      <w:r w:rsidRPr="00DB3C80">
        <w:rPr>
          <w:rFonts w:eastAsia="Arial"/>
          <w:sz w:val="24"/>
          <w:szCs w:val="24"/>
          <w:lang w:val="fr-FR" w:eastAsia="zh-CN"/>
        </w:rPr>
        <w:t xml:space="preserve"> de ces pratiques sur les droits de l'homme et examinera leur lien avec la violence et la discrimination fondées sur l'orientation sexuelle et l'identité de genre. Il traitera des formes et de la portée de</w:t>
      </w:r>
      <w:r>
        <w:rPr>
          <w:rFonts w:eastAsia="Arial"/>
          <w:sz w:val="24"/>
          <w:szCs w:val="24"/>
          <w:lang w:val="fr-FR" w:eastAsia="zh-CN"/>
        </w:rPr>
        <w:t xml:space="preserve">s </w:t>
      </w:r>
      <w:r w:rsidRPr="00DB3C80">
        <w:rPr>
          <w:rFonts w:eastAsia="Arial"/>
          <w:sz w:val="24"/>
          <w:szCs w:val="24"/>
          <w:lang w:val="fr-FR" w:eastAsia="zh-CN"/>
        </w:rPr>
        <w:t>« thérapies de conversion » telle qu'elle</w:t>
      </w:r>
      <w:r>
        <w:rPr>
          <w:rFonts w:eastAsia="Arial"/>
          <w:sz w:val="24"/>
          <w:szCs w:val="24"/>
          <w:lang w:val="fr-FR" w:eastAsia="zh-CN"/>
        </w:rPr>
        <w:t>s</w:t>
      </w:r>
      <w:r w:rsidRPr="00DB3C80">
        <w:rPr>
          <w:rFonts w:eastAsia="Arial"/>
          <w:sz w:val="24"/>
          <w:szCs w:val="24"/>
          <w:lang w:val="fr-FR" w:eastAsia="zh-CN"/>
        </w:rPr>
        <w:t xml:space="preserve"> </w:t>
      </w:r>
      <w:r>
        <w:rPr>
          <w:rFonts w:eastAsia="Arial"/>
          <w:sz w:val="24"/>
          <w:szCs w:val="24"/>
          <w:lang w:val="fr-FR" w:eastAsia="zh-CN"/>
        </w:rPr>
        <w:t>sont</w:t>
      </w:r>
      <w:r w:rsidRPr="00DB3C80">
        <w:rPr>
          <w:rFonts w:eastAsia="Arial"/>
          <w:sz w:val="24"/>
          <w:szCs w:val="24"/>
          <w:lang w:val="fr-FR" w:eastAsia="zh-CN"/>
        </w:rPr>
        <w:t xml:space="preserve"> pratiquée</w:t>
      </w:r>
      <w:r>
        <w:rPr>
          <w:rFonts w:eastAsia="Arial"/>
          <w:sz w:val="24"/>
          <w:szCs w:val="24"/>
          <w:lang w:val="fr-FR" w:eastAsia="zh-CN"/>
        </w:rPr>
        <w:t>s</w:t>
      </w:r>
      <w:r w:rsidRPr="00DB3C80">
        <w:rPr>
          <w:rFonts w:eastAsia="Arial"/>
          <w:sz w:val="24"/>
          <w:szCs w:val="24"/>
          <w:lang w:val="fr-FR" w:eastAsia="zh-CN"/>
        </w:rPr>
        <w:t xml:space="preserve"> dans le monde, de </w:t>
      </w:r>
      <w:r>
        <w:rPr>
          <w:rFonts w:eastAsia="Arial"/>
          <w:sz w:val="24"/>
          <w:szCs w:val="24"/>
          <w:lang w:val="fr-FR" w:eastAsia="zh-CN"/>
        </w:rPr>
        <w:t>l’</w:t>
      </w:r>
      <w:r w:rsidRPr="00DB3C80">
        <w:rPr>
          <w:rFonts w:eastAsia="Arial"/>
          <w:sz w:val="24"/>
          <w:szCs w:val="24"/>
          <w:lang w:val="fr-FR" w:eastAsia="zh-CN"/>
        </w:rPr>
        <w:t xml:space="preserve">impact sur les personnes qui y sont soumises, des mesures adoptées pour empêcher </w:t>
      </w:r>
      <w:r>
        <w:rPr>
          <w:rFonts w:eastAsia="Arial"/>
          <w:sz w:val="24"/>
          <w:szCs w:val="24"/>
          <w:lang w:val="fr-FR" w:eastAsia="zh-CN"/>
        </w:rPr>
        <w:t>ces</w:t>
      </w:r>
      <w:r w:rsidRPr="00DB3C80">
        <w:rPr>
          <w:rFonts w:eastAsia="Arial"/>
          <w:sz w:val="24"/>
          <w:szCs w:val="24"/>
          <w:lang w:val="fr-FR" w:eastAsia="zh-CN"/>
        </w:rPr>
        <w:t xml:space="preserve"> pratique</w:t>
      </w:r>
      <w:r>
        <w:rPr>
          <w:rFonts w:eastAsia="Arial"/>
          <w:sz w:val="24"/>
          <w:szCs w:val="24"/>
          <w:lang w:val="fr-FR" w:eastAsia="zh-CN"/>
        </w:rPr>
        <w:t>s</w:t>
      </w:r>
      <w:r w:rsidRPr="00DB3C80">
        <w:rPr>
          <w:rFonts w:eastAsia="Arial"/>
          <w:sz w:val="24"/>
          <w:szCs w:val="24"/>
          <w:lang w:val="fr-FR" w:eastAsia="zh-CN"/>
        </w:rPr>
        <w:t xml:space="preserve"> et pour sanctionner ou poursuivre en justice les personnes qui </w:t>
      </w:r>
      <w:r>
        <w:rPr>
          <w:rFonts w:eastAsia="Arial"/>
          <w:sz w:val="24"/>
          <w:szCs w:val="24"/>
          <w:lang w:val="fr-FR" w:eastAsia="zh-CN"/>
        </w:rPr>
        <w:t>les exercent, ainsi que</w:t>
      </w:r>
      <w:r w:rsidRPr="00DB3C80">
        <w:rPr>
          <w:rFonts w:eastAsia="Arial"/>
          <w:sz w:val="24"/>
          <w:szCs w:val="24"/>
          <w:lang w:val="fr-FR" w:eastAsia="zh-CN"/>
        </w:rPr>
        <w:t xml:space="preserve"> les recours </w:t>
      </w:r>
      <w:r>
        <w:rPr>
          <w:rFonts w:eastAsia="Arial"/>
          <w:sz w:val="24"/>
          <w:szCs w:val="24"/>
          <w:lang w:val="fr-FR" w:eastAsia="zh-CN"/>
        </w:rPr>
        <w:t>offerts</w:t>
      </w:r>
      <w:r w:rsidRPr="00DB3C80">
        <w:rPr>
          <w:rFonts w:eastAsia="Arial"/>
          <w:sz w:val="24"/>
          <w:szCs w:val="24"/>
          <w:lang w:val="fr-FR" w:eastAsia="zh-CN"/>
        </w:rPr>
        <w:t xml:space="preserve"> aux parties lésées. Enfin, le rapport formulera des recommandations.</w:t>
      </w:r>
    </w:p>
    <w:p w14:paraId="2EA78A32" w14:textId="7C787724" w:rsidR="002B3E24" w:rsidRDefault="002B3E24" w:rsidP="006B1051">
      <w:pPr>
        <w:rPr>
          <w:rFonts w:eastAsia="Arial"/>
          <w:sz w:val="24"/>
          <w:szCs w:val="24"/>
          <w:lang w:val="fr-FR" w:eastAsia="zh-CN"/>
        </w:rPr>
      </w:pPr>
      <w:r w:rsidRPr="00DB3C80">
        <w:rPr>
          <w:rFonts w:eastAsia="Arial"/>
          <w:sz w:val="24"/>
          <w:szCs w:val="24"/>
          <w:lang w:val="fr-FR" w:eastAsia="zh-CN"/>
        </w:rPr>
        <w:t xml:space="preserve"> Cet appel à contributions constituera l’un des moyens par lequel l’Expert indépendant recueillera des informations </w:t>
      </w:r>
      <w:r>
        <w:rPr>
          <w:rFonts w:eastAsia="Arial"/>
          <w:sz w:val="24"/>
          <w:szCs w:val="24"/>
          <w:lang w:val="fr-FR" w:eastAsia="zh-CN"/>
        </w:rPr>
        <w:t>en vue de</w:t>
      </w:r>
      <w:r w:rsidRPr="00DB3C80">
        <w:rPr>
          <w:rFonts w:eastAsia="Arial"/>
          <w:sz w:val="24"/>
          <w:szCs w:val="24"/>
          <w:lang w:val="fr-FR" w:eastAsia="zh-CN"/>
        </w:rPr>
        <w:t xml:space="preserve"> la préparation de son rapport au Conseil des droits de l’homme. Le processus de collecte d'information</w:t>
      </w:r>
      <w:r>
        <w:rPr>
          <w:rFonts w:eastAsia="Arial"/>
          <w:sz w:val="24"/>
          <w:szCs w:val="24"/>
          <w:lang w:val="fr-FR" w:eastAsia="zh-CN"/>
        </w:rPr>
        <w:t xml:space="preserve"> </w:t>
      </w:r>
      <w:r w:rsidRPr="00DB3C80">
        <w:rPr>
          <w:rFonts w:eastAsia="Arial"/>
          <w:sz w:val="24"/>
          <w:szCs w:val="24"/>
          <w:lang w:val="fr-FR" w:eastAsia="zh-CN"/>
        </w:rPr>
        <w:t xml:space="preserve">comprendra également une revue de la littérature </w:t>
      </w:r>
      <w:r>
        <w:rPr>
          <w:rFonts w:eastAsia="Arial"/>
          <w:sz w:val="24"/>
          <w:szCs w:val="24"/>
          <w:lang w:val="fr-FR" w:eastAsia="zh-CN"/>
        </w:rPr>
        <w:t xml:space="preserve">pertinente </w:t>
      </w:r>
      <w:r w:rsidRPr="00DB3C80">
        <w:rPr>
          <w:rFonts w:eastAsia="Arial"/>
          <w:sz w:val="24"/>
          <w:szCs w:val="24"/>
          <w:lang w:val="fr-FR" w:eastAsia="zh-CN"/>
        </w:rPr>
        <w:t xml:space="preserve">et une réunion d'experts, une consultation </w:t>
      </w:r>
      <w:r>
        <w:rPr>
          <w:rFonts w:eastAsia="Arial"/>
          <w:sz w:val="24"/>
          <w:szCs w:val="24"/>
          <w:lang w:val="fr-FR" w:eastAsia="zh-CN"/>
        </w:rPr>
        <w:t>publique et éventuellement un sondage</w:t>
      </w:r>
      <w:r w:rsidRPr="00DB3C80">
        <w:rPr>
          <w:rFonts w:eastAsia="Arial"/>
          <w:sz w:val="24"/>
          <w:szCs w:val="24"/>
          <w:lang w:val="fr-FR" w:eastAsia="zh-CN"/>
        </w:rPr>
        <w:t>.</w:t>
      </w:r>
    </w:p>
    <w:p w14:paraId="347F8FDF" w14:textId="77777777" w:rsidR="002947F2" w:rsidRPr="00DB3C80" w:rsidRDefault="002947F2" w:rsidP="006B1051">
      <w:pPr>
        <w:rPr>
          <w:rFonts w:eastAsia="Arial"/>
          <w:sz w:val="24"/>
          <w:szCs w:val="24"/>
          <w:lang w:val="fr-FR" w:eastAsia="zh-CN"/>
        </w:rPr>
      </w:pPr>
    </w:p>
    <w:p w14:paraId="6C6D7CFF" w14:textId="36697114" w:rsidR="002B3E24" w:rsidRDefault="002B3E24" w:rsidP="006B1051">
      <w:pPr>
        <w:rPr>
          <w:rFonts w:eastAsia="Arial"/>
          <w:b/>
          <w:bCs/>
          <w:sz w:val="24"/>
          <w:szCs w:val="24"/>
          <w:u w:val="single"/>
          <w:lang w:val="fr-FR" w:eastAsia="zh-CN"/>
        </w:rPr>
      </w:pPr>
      <w:r w:rsidRPr="00DB3C80">
        <w:rPr>
          <w:rFonts w:eastAsia="Arial"/>
          <w:b/>
          <w:bCs/>
          <w:sz w:val="24"/>
          <w:szCs w:val="24"/>
          <w:u w:val="single"/>
          <w:lang w:val="fr-FR" w:eastAsia="zh-CN"/>
        </w:rPr>
        <w:t>Contexte</w:t>
      </w:r>
      <w:r>
        <w:rPr>
          <w:rFonts w:eastAsia="Arial"/>
          <w:b/>
          <w:bCs/>
          <w:sz w:val="24"/>
          <w:szCs w:val="24"/>
          <w:u w:val="single"/>
          <w:lang w:val="fr-FR" w:eastAsia="zh-CN"/>
        </w:rPr>
        <w:t xml:space="preserve"> général</w:t>
      </w:r>
    </w:p>
    <w:p w14:paraId="0623D686" w14:textId="77777777" w:rsidR="001B68BA" w:rsidRPr="00DB3C80" w:rsidRDefault="001B68BA" w:rsidP="006B1051">
      <w:pPr>
        <w:rPr>
          <w:rFonts w:eastAsia="Arial"/>
          <w:sz w:val="24"/>
          <w:szCs w:val="24"/>
          <w:lang w:val="fr-FR" w:eastAsia="zh-CN"/>
        </w:rPr>
      </w:pPr>
    </w:p>
    <w:p w14:paraId="3F6144DD" w14:textId="3EE5A7F4" w:rsidR="002B3E24" w:rsidRDefault="002B3E24" w:rsidP="006B1051">
      <w:pPr>
        <w:rPr>
          <w:rFonts w:eastAsia="Arial"/>
          <w:sz w:val="24"/>
          <w:szCs w:val="24"/>
          <w:lang w:val="fr-FR" w:eastAsia="zh-CN"/>
        </w:rPr>
      </w:pPr>
      <w:r w:rsidRPr="00DB3C80">
        <w:rPr>
          <w:rFonts w:eastAsia="Arial"/>
          <w:sz w:val="24"/>
          <w:szCs w:val="24"/>
          <w:lang w:val="fr-FR" w:eastAsia="zh-CN"/>
        </w:rPr>
        <w:t> </w:t>
      </w:r>
      <w:r w:rsidR="001B68BA">
        <w:rPr>
          <w:rFonts w:eastAsia="Arial"/>
          <w:sz w:val="24"/>
          <w:szCs w:val="24"/>
          <w:lang w:val="fr-FR" w:eastAsia="zh-CN"/>
        </w:rPr>
        <w:tab/>
      </w:r>
      <w:r>
        <w:rPr>
          <w:rFonts w:eastAsia="Arial"/>
          <w:sz w:val="24"/>
          <w:szCs w:val="24"/>
          <w:lang w:val="fr-FR" w:eastAsia="zh-CN"/>
        </w:rPr>
        <w:t>Le terme « thérapies de conversion »</w:t>
      </w:r>
      <w:r w:rsidRPr="00DB3C80">
        <w:rPr>
          <w:rFonts w:eastAsia="Arial"/>
          <w:sz w:val="24"/>
          <w:szCs w:val="24"/>
          <w:lang w:val="fr-FR" w:eastAsia="zh-CN"/>
        </w:rPr>
        <w:t xml:space="preserve"> désigne tout traitement présumé ayant pour objectif ou se présentant comme ayant pour objectif de modifier l'orientation sexuelle ou l'identité de genre d'une </w:t>
      </w:r>
      <w:r w:rsidRPr="009F764F">
        <w:rPr>
          <w:rFonts w:eastAsia="Arial"/>
          <w:sz w:val="24"/>
          <w:szCs w:val="24"/>
          <w:lang w:val="fr-FR" w:eastAsia="zh-CN"/>
        </w:rPr>
        <w:t xml:space="preserve">personne. Ces pratiques </w:t>
      </w:r>
      <w:r>
        <w:rPr>
          <w:rFonts w:eastAsia="Arial"/>
          <w:sz w:val="24"/>
          <w:szCs w:val="24"/>
          <w:lang w:val="fr-FR" w:eastAsia="zh-CN"/>
        </w:rPr>
        <w:t>sont</w:t>
      </w:r>
      <w:r w:rsidRPr="009F764F">
        <w:rPr>
          <w:rFonts w:eastAsia="Arial"/>
          <w:sz w:val="24"/>
          <w:szCs w:val="24"/>
          <w:lang w:val="fr-FR" w:eastAsia="zh-CN"/>
        </w:rPr>
        <w:t xml:space="preserve"> également </w:t>
      </w:r>
      <w:r>
        <w:rPr>
          <w:rFonts w:eastAsia="Arial"/>
          <w:sz w:val="24"/>
          <w:szCs w:val="24"/>
          <w:lang w:val="fr-FR" w:eastAsia="zh-CN"/>
        </w:rPr>
        <w:t>parfois</w:t>
      </w:r>
      <w:r w:rsidRPr="009F764F">
        <w:rPr>
          <w:rFonts w:eastAsia="Arial"/>
          <w:sz w:val="24"/>
          <w:szCs w:val="24"/>
          <w:lang w:val="fr-FR" w:eastAsia="zh-CN"/>
        </w:rPr>
        <w:t xml:space="preserve"> appelées traitements</w:t>
      </w:r>
      <w:r>
        <w:rPr>
          <w:rFonts w:eastAsia="Arial"/>
          <w:sz w:val="24"/>
          <w:szCs w:val="24"/>
          <w:lang w:val="fr-FR" w:eastAsia="zh-CN"/>
        </w:rPr>
        <w:t xml:space="preserve"> pour soigner</w:t>
      </w:r>
      <w:r w:rsidRPr="009F764F">
        <w:rPr>
          <w:rFonts w:eastAsia="Arial"/>
          <w:sz w:val="24"/>
          <w:szCs w:val="24"/>
          <w:lang w:val="fr-FR" w:eastAsia="zh-CN"/>
        </w:rPr>
        <w:t xml:space="preserve"> l’homosexualité, </w:t>
      </w:r>
      <w:r>
        <w:rPr>
          <w:rFonts w:eastAsia="Arial"/>
          <w:sz w:val="24"/>
          <w:szCs w:val="24"/>
          <w:lang w:val="fr-FR" w:eastAsia="zh-CN"/>
        </w:rPr>
        <w:t xml:space="preserve">thérapies de réorientation sexuelles, ou encore </w:t>
      </w:r>
      <w:r w:rsidRPr="009F764F">
        <w:rPr>
          <w:rFonts w:eastAsia="Arial"/>
          <w:sz w:val="24"/>
          <w:szCs w:val="24"/>
          <w:lang w:val="fr-FR" w:eastAsia="zh-CN"/>
        </w:rPr>
        <w:t>thérapies</w:t>
      </w:r>
      <w:r w:rsidRPr="00DB3C80">
        <w:rPr>
          <w:rFonts w:eastAsia="Arial"/>
          <w:sz w:val="24"/>
          <w:szCs w:val="24"/>
          <w:lang w:val="fr-FR" w:eastAsia="zh-CN"/>
        </w:rPr>
        <w:t xml:space="preserve"> réparatrice</w:t>
      </w:r>
      <w:r>
        <w:rPr>
          <w:rFonts w:eastAsia="Arial"/>
          <w:sz w:val="24"/>
          <w:szCs w:val="24"/>
          <w:lang w:val="fr-FR" w:eastAsia="zh-CN"/>
        </w:rPr>
        <w:t>s</w:t>
      </w:r>
      <w:r w:rsidRPr="00DB3C80">
        <w:rPr>
          <w:rFonts w:eastAsia="Arial"/>
          <w:sz w:val="24"/>
          <w:szCs w:val="24"/>
          <w:lang w:val="fr-FR" w:eastAsia="zh-CN"/>
        </w:rPr>
        <w:t xml:space="preserve">. De nos jours, ces dénominations semblent englober un large éventail de pratiques, allant des interventions religieuses et spirituelles aux programmes parrainés par des applications pour smartphones proposant un « traitement pour </w:t>
      </w:r>
      <w:r>
        <w:rPr>
          <w:rFonts w:eastAsia="Arial"/>
          <w:sz w:val="24"/>
          <w:szCs w:val="24"/>
          <w:lang w:val="fr-FR" w:eastAsia="zh-CN"/>
        </w:rPr>
        <w:t>guérir de l’homosexualité</w:t>
      </w:r>
      <w:r w:rsidRPr="00DB3C80">
        <w:rPr>
          <w:rFonts w:eastAsia="Arial"/>
          <w:sz w:val="24"/>
          <w:szCs w:val="24"/>
          <w:lang w:val="fr-FR" w:eastAsia="zh-CN"/>
        </w:rPr>
        <w:t xml:space="preserve"> » </w:t>
      </w:r>
      <w:r>
        <w:rPr>
          <w:rFonts w:eastAsia="Arial"/>
          <w:sz w:val="24"/>
          <w:szCs w:val="24"/>
          <w:lang w:val="fr-FR" w:eastAsia="zh-CN"/>
        </w:rPr>
        <w:t>en</w:t>
      </w:r>
      <w:r w:rsidRPr="00DB3C80">
        <w:rPr>
          <w:rFonts w:eastAsia="Arial"/>
          <w:sz w:val="24"/>
          <w:szCs w:val="24"/>
          <w:lang w:val="fr-FR" w:eastAsia="zh-CN"/>
        </w:rPr>
        <w:t xml:space="preserve"> 60 jours. Certains professionnels de la santé titulaires d'une licence, y compris des psychologues, administrent des thérapies </w:t>
      </w:r>
      <w:proofErr w:type="spellStart"/>
      <w:r w:rsidRPr="00DB3C80">
        <w:rPr>
          <w:rFonts w:eastAsia="Arial"/>
          <w:sz w:val="24"/>
          <w:szCs w:val="24"/>
          <w:lang w:val="fr-FR" w:eastAsia="zh-CN"/>
        </w:rPr>
        <w:t>cognitivo</w:t>
      </w:r>
      <w:proofErr w:type="spellEnd"/>
      <w:r w:rsidRPr="00DB3C80">
        <w:rPr>
          <w:rFonts w:eastAsia="Arial"/>
          <w:sz w:val="24"/>
          <w:szCs w:val="24"/>
          <w:lang w:val="fr-FR" w:eastAsia="zh-CN"/>
        </w:rPr>
        <w:t xml:space="preserve">-comportementales, des médicaments et des interventions physiques telles que le </w:t>
      </w:r>
      <w:r w:rsidRPr="00DB3C80">
        <w:rPr>
          <w:rFonts w:eastAsia="Arial"/>
          <w:sz w:val="24"/>
          <w:szCs w:val="24"/>
          <w:lang w:val="fr-FR" w:eastAsia="zh-CN"/>
        </w:rPr>
        <w:lastRenderedPageBreak/>
        <w:t xml:space="preserve">traitement par choc électrique ou des techniques d'aversion. Les </w:t>
      </w:r>
      <w:r>
        <w:rPr>
          <w:rFonts w:eastAsia="Arial"/>
          <w:sz w:val="24"/>
          <w:szCs w:val="24"/>
          <w:lang w:val="fr-FR" w:eastAsia="zh-CN"/>
        </w:rPr>
        <w:t xml:space="preserve">personnes soumises à ces traitements </w:t>
      </w:r>
      <w:r w:rsidRPr="00DB3C80">
        <w:rPr>
          <w:rFonts w:eastAsia="Arial"/>
          <w:sz w:val="24"/>
          <w:szCs w:val="24"/>
          <w:lang w:val="fr-FR" w:eastAsia="zh-CN"/>
        </w:rPr>
        <w:t xml:space="preserve">sont notamment des personnes lesbiennes, gays, bisexuelles, trans et de </w:t>
      </w:r>
      <w:r>
        <w:rPr>
          <w:rFonts w:eastAsia="Arial"/>
          <w:sz w:val="24"/>
          <w:szCs w:val="24"/>
          <w:lang w:val="fr-FR" w:eastAsia="zh-CN"/>
        </w:rPr>
        <w:t>genre</w:t>
      </w:r>
      <w:r w:rsidRPr="00DB3C80">
        <w:rPr>
          <w:rFonts w:eastAsia="Arial"/>
          <w:sz w:val="24"/>
          <w:szCs w:val="24"/>
          <w:lang w:val="fr-FR" w:eastAsia="zh-CN"/>
        </w:rPr>
        <w:t xml:space="preserve"> divers, allant des enfants aux adultes.</w:t>
      </w:r>
    </w:p>
    <w:p w14:paraId="176AE3BF" w14:textId="77777777" w:rsidR="002947F2" w:rsidRPr="00DB3C80" w:rsidRDefault="002947F2" w:rsidP="006B1051">
      <w:pPr>
        <w:rPr>
          <w:rFonts w:eastAsia="Arial"/>
          <w:sz w:val="24"/>
          <w:szCs w:val="24"/>
          <w:lang w:val="fr-FR" w:eastAsia="zh-CN"/>
        </w:rPr>
      </w:pPr>
    </w:p>
    <w:p w14:paraId="119BA070" w14:textId="03C1ED6F" w:rsidR="002B3E24" w:rsidRDefault="002B3E24" w:rsidP="006B1051">
      <w:pPr>
        <w:ind w:firstLine="720"/>
        <w:rPr>
          <w:rFonts w:eastAsia="Arial"/>
          <w:sz w:val="24"/>
          <w:szCs w:val="24"/>
          <w:lang w:val="fr-FR" w:eastAsia="zh-CN"/>
        </w:rPr>
      </w:pPr>
      <w:r w:rsidRPr="00DB3C80">
        <w:rPr>
          <w:rFonts w:eastAsia="Arial"/>
          <w:sz w:val="24"/>
          <w:szCs w:val="24"/>
          <w:lang w:val="fr-FR" w:eastAsia="zh-CN"/>
        </w:rPr>
        <w:t> Ces pratiques semblent reposer sur l'hypothèse qu'il est acceptable pour la société,</w:t>
      </w:r>
      <w:r>
        <w:rPr>
          <w:rFonts w:eastAsia="Arial"/>
          <w:sz w:val="24"/>
          <w:szCs w:val="24"/>
          <w:lang w:val="fr-FR" w:eastAsia="zh-CN"/>
        </w:rPr>
        <w:t xml:space="preserve"> la communauté, la famille et d</w:t>
      </w:r>
      <w:r w:rsidRPr="00DB3C80">
        <w:rPr>
          <w:rFonts w:eastAsia="Arial"/>
          <w:sz w:val="24"/>
          <w:szCs w:val="24"/>
          <w:lang w:val="fr-FR" w:eastAsia="zh-CN"/>
        </w:rPr>
        <w:t xml:space="preserve">es individus de chercher à modifier l'orientation sexuelle et / ou l'identité de genre d'une personne </w:t>
      </w:r>
      <w:r>
        <w:rPr>
          <w:rFonts w:eastAsia="Arial"/>
          <w:sz w:val="24"/>
          <w:szCs w:val="24"/>
          <w:lang w:val="fr-FR" w:eastAsia="zh-CN"/>
        </w:rPr>
        <w:t>qui s’écarterait</w:t>
      </w:r>
      <w:r w:rsidRPr="00DB3C80">
        <w:rPr>
          <w:rFonts w:eastAsia="Arial"/>
          <w:sz w:val="24"/>
          <w:szCs w:val="24"/>
          <w:lang w:val="fr-FR" w:eastAsia="zh-CN"/>
        </w:rPr>
        <w:t xml:space="preserve"> de ce qui est considéré comme la norme à une époque </w:t>
      </w:r>
      <w:r>
        <w:rPr>
          <w:rFonts w:eastAsia="Arial"/>
          <w:sz w:val="24"/>
          <w:szCs w:val="24"/>
          <w:lang w:val="fr-FR" w:eastAsia="zh-CN"/>
        </w:rPr>
        <w:t xml:space="preserve">et dans un lieu </w:t>
      </w:r>
      <w:r w:rsidRPr="00DB3C80">
        <w:rPr>
          <w:rFonts w:eastAsia="Arial"/>
          <w:sz w:val="24"/>
          <w:szCs w:val="24"/>
          <w:lang w:val="fr-FR" w:eastAsia="zh-CN"/>
        </w:rPr>
        <w:t>donné.</w:t>
      </w:r>
    </w:p>
    <w:p w14:paraId="41BE7339" w14:textId="77777777" w:rsidR="002947F2" w:rsidRPr="00DB3C80" w:rsidRDefault="002947F2" w:rsidP="006B1051">
      <w:pPr>
        <w:rPr>
          <w:rFonts w:eastAsia="Arial"/>
          <w:sz w:val="24"/>
          <w:szCs w:val="24"/>
          <w:lang w:val="fr-FR" w:eastAsia="zh-CN"/>
        </w:rPr>
      </w:pPr>
    </w:p>
    <w:p w14:paraId="1A66AD79" w14:textId="17030992" w:rsidR="002B3E24" w:rsidRDefault="002B3E24" w:rsidP="006B1051">
      <w:pPr>
        <w:ind w:firstLine="720"/>
        <w:rPr>
          <w:rFonts w:eastAsia="Arial"/>
          <w:sz w:val="24"/>
          <w:szCs w:val="24"/>
          <w:lang w:val="fr-FR" w:eastAsia="zh-CN"/>
        </w:rPr>
      </w:pPr>
      <w:r>
        <w:rPr>
          <w:rFonts w:eastAsia="Arial"/>
          <w:sz w:val="24"/>
          <w:szCs w:val="24"/>
          <w:lang w:val="fr-FR" w:eastAsia="zh-CN"/>
        </w:rPr>
        <w:t>Certaines</w:t>
      </w:r>
      <w:r w:rsidRPr="00DB3C80">
        <w:rPr>
          <w:rFonts w:eastAsia="Arial"/>
          <w:sz w:val="24"/>
          <w:szCs w:val="24"/>
          <w:lang w:val="fr-FR" w:eastAsia="zh-CN"/>
        </w:rPr>
        <w:t xml:space="preserve"> formes de </w:t>
      </w:r>
      <w:r>
        <w:rPr>
          <w:rFonts w:eastAsia="Arial"/>
          <w:sz w:val="24"/>
          <w:szCs w:val="24"/>
          <w:lang w:val="fr-FR" w:eastAsia="zh-CN"/>
        </w:rPr>
        <w:t xml:space="preserve">« thérapies de conversion » ont été </w:t>
      </w:r>
      <w:r w:rsidRPr="00DB3C80">
        <w:rPr>
          <w:rFonts w:eastAsia="Arial"/>
          <w:sz w:val="24"/>
          <w:szCs w:val="24"/>
          <w:lang w:val="fr-FR" w:eastAsia="zh-CN"/>
        </w:rPr>
        <w:t>condamné</w:t>
      </w:r>
      <w:r>
        <w:rPr>
          <w:rFonts w:eastAsia="Arial"/>
          <w:sz w:val="24"/>
          <w:szCs w:val="24"/>
          <w:lang w:val="fr-FR" w:eastAsia="zh-CN"/>
        </w:rPr>
        <w:t>es</w:t>
      </w:r>
      <w:r w:rsidRPr="00DB3C80">
        <w:rPr>
          <w:rFonts w:eastAsia="Arial"/>
          <w:sz w:val="24"/>
          <w:szCs w:val="24"/>
          <w:lang w:val="fr-FR" w:eastAsia="zh-CN"/>
        </w:rPr>
        <w:t xml:space="preserve"> par </w:t>
      </w:r>
      <w:r>
        <w:rPr>
          <w:rFonts w:eastAsia="Arial"/>
          <w:sz w:val="24"/>
          <w:szCs w:val="24"/>
          <w:lang w:val="fr-FR" w:eastAsia="zh-CN"/>
        </w:rPr>
        <w:t xml:space="preserve">des </w:t>
      </w:r>
      <w:r w:rsidRPr="006D3C18">
        <w:rPr>
          <w:rFonts w:eastAsia="Arial"/>
          <w:sz w:val="24"/>
          <w:szCs w:val="24"/>
          <w:lang w:val="fr-FR" w:eastAsia="zh-CN"/>
        </w:rPr>
        <w:t>associations médicales</w:t>
      </w:r>
      <w:r>
        <w:rPr>
          <w:rFonts w:eastAsia="Arial"/>
          <w:sz w:val="24"/>
          <w:szCs w:val="24"/>
          <w:lang w:val="fr-FR" w:eastAsia="zh-CN"/>
        </w:rPr>
        <w:t xml:space="preserve"> mondiales</w:t>
      </w:r>
      <w:r w:rsidRPr="004B2E07">
        <w:rPr>
          <w:rStyle w:val="FootnoteReference"/>
          <w:rFonts w:eastAsia="Arial"/>
          <w:sz w:val="16"/>
          <w:szCs w:val="16"/>
          <w:lang w:val="fr-FR" w:eastAsia="zh-CN"/>
        </w:rPr>
        <w:footnoteReference w:id="2"/>
      </w:r>
      <w:bookmarkStart w:id="0" w:name="_ftnref1"/>
      <w:bookmarkEnd w:id="0"/>
      <w:r w:rsidRPr="00DB3C80">
        <w:rPr>
          <w:rFonts w:eastAsia="Arial"/>
          <w:sz w:val="24"/>
          <w:szCs w:val="24"/>
          <w:lang w:val="fr-FR" w:eastAsia="zh-CN"/>
        </w:rPr>
        <w:t xml:space="preserve">, </w:t>
      </w:r>
      <w:r>
        <w:rPr>
          <w:rFonts w:eastAsia="Arial"/>
          <w:sz w:val="24"/>
          <w:szCs w:val="24"/>
          <w:lang w:val="fr-FR" w:eastAsia="zh-CN"/>
        </w:rPr>
        <w:t xml:space="preserve">des organismes </w:t>
      </w:r>
      <w:r w:rsidRPr="00DB3C80">
        <w:rPr>
          <w:rFonts w:eastAsia="Arial"/>
          <w:sz w:val="24"/>
          <w:szCs w:val="24"/>
          <w:lang w:val="fr-FR" w:eastAsia="zh-CN"/>
        </w:rPr>
        <w:t>des Nations Unies</w:t>
      </w:r>
      <w:bookmarkStart w:id="1" w:name="_ftnref2"/>
      <w:bookmarkEnd w:id="1"/>
      <w:r w:rsidRPr="004B2E07">
        <w:rPr>
          <w:rStyle w:val="FootnoteReference"/>
          <w:rFonts w:eastAsia="Arial"/>
          <w:sz w:val="16"/>
          <w:szCs w:val="16"/>
          <w:lang w:val="fr-FR" w:eastAsia="zh-CN"/>
        </w:rPr>
        <w:footnoteReference w:id="3"/>
      </w:r>
      <w:r>
        <w:rPr>
          <w:rFonts w:eastAsia="Arial"/>
          <w:sz w:val="24"/>
          <w:szCs w:val="24"/>
          <w:lang w:val="fr-FR" w:eastAsia="zh-CN"/>
        </w:rPr>
        <w:t xml:space="preserve"> et d</w:t>
      </w:r>
      <w:r w:rsidRPr="00DB3C80">
        <w:rPr>
          <w:rFonts w:eastAsia="Arial"/>
          <w:sz w:val="24"/>
          <w:szCs w:val="24"/>
          <w:lang w:val="fr-FR" w:eastAsia="zh-CN"/>
        </w:rPr>
        <w:t>es mécanismes de</w:t>
      </w:r>
      <w:r>
        <w:rPr>
          <w:rFonts w:eastAsia="Arial"/>
          <w:sz w:val="24"/>
          <w:szCs w:val="24"/>
          <w:lang w:val="fr-FR" w:eastAsia="zh-CN"/>
        </w:rPr>
        <w:t xml:space="preserve"> protection des </w:t>
      </w:r>
      <w:r w:rsidRPr="00DB3C80">
        <w:rPr>
          <w:rFonts w:eastAsia="Arial"/>
          <w:sz w:val="24"/>
          <w:szCs w:val="24"/>
          <w:lang w:val="fr-FR" w:eastAsia="zh-CN"/>
        </w:rPr>
        <w:t>droits de l' homme</w:t>
      </w:r>
      <w:r>
        <w:rPr>
          <w:rFonts w:eastAsia="Arial"/>
          <w:sz w:val="24"/>
          <w:szCs w:val="24"/>
          <w:lang w:val="fr-FR" w:eastAsia="zh-CN"/>
        </w:rPr>
        <w:t>,</w:t>
      </w:r>
      <w:r w:rsidRPr="00DB3C80">
        <w:rPr>
          <w:rFonts w:eastAsia="Arial"/>
          <w:sz w:val="24"/>
          <w:szCs w:val="24"/>
          <w:lang w:val="fr-FR" w:eastAsia="zh-CN"/>
        </w:rPr>
        <w:t xml:space="preserve"> tels que le Comité contre la torture, qui </w:t>
      </w:r>
      <w:r>
        <w:rPr>
          <w:rFonts w:eastAsia="Arial"/>
          <w:sz w:val="24"/>
          <w:szCs w:val="24"/>
          <w:lang w:val="fr-FR" w:eastAsia="zh-CN"/>
        </w:rPr>
        <w:t>ont</w:t>
      </w:r>
      <w:r w:rsidRPr="00DB3C80">
        <w:rPr>
          <w:rFonts w:eastAsia="Arial"/>
          <w:sz w:val="24"/>
          <w:szCs w:val="24"/>
          <w:lang w:val="fr-FR" w:eastAsia="zh-CN"/>
        </w:rPr>
        <w:t> </w:t>
      </w:r>
      <w:r>
        <w:rPr>
          <w:rFonts w:eastAsia="Arial"/>
          <w:sz w:val="24"/>
          <w:szCs w:val="24"/>
          <w:lang w:val="fr-FR" w:eastAsia="zh-CN"/>
        </w:rPr>
        <w:t>déclaré</w:t>
      </w:r>
      <w:r w:rsidRPr="00DB3C80">
        <w:rPr>
          <w:rFonts w:eastAsia="Arial"/>
          <w:sz w:val="24"/>
          <w:szCs w:val="24"/>
          <w:lang w:val="fr-FR" w:eastAsia="zh-CN"/>
        </w:rPr>
        <w:t xml:space="preserve"> que </w:t>
      </w:r>
      <w:r>
        <w:rPr>
          <w:rFonts w:eastAsia="Arial"/>
          <w:sz w:val="24"/>
          <w:szCs w:val="24"/>
          <w:lang w:val="fr-FR" w:eastAsia="zh-CN"/>
        </w:rPr>
        <w:t>ces p</w:t>
      </w:r>
      <w:r w:rsidRPr="00DB3C80">
        <w:rPr>
          <w:rFonts w:eastAsia="Arial"/>
          <w:sz w:val="24"/>
          <w:szCs w:val="24"/>
          <w:lang w:val="fr-FR" w:eastAsia="zh-CN"/>
        </w:rPr>
        <w:t>ratique</w:t>
      </w:r>
      <w:r>
        <w:rPr>
          <w:rFonts w:eastAsia="Arial"/>
          <w:sz w:val="24"/>
          <w:szCs w:val="24"/>
          <w:lang w:val="fr-FR" w:eastAsia="zh-CN"/>
        </w:rPr>
        <w:t>s</w:t>
      </w:r>
      <w:r w:rsidRPr="00DB3C80">
        <w:rPr>
          <w:rFonts w:eastAsia="Arial"/>
          <w:sz w:val="24"/>
          <w:szCs w:val="24"/>
          <w:lang w:val="fr-FR" w:eastAsia="zh-CN"/>
        </w:rPr>
        <w:t xml:space="preserve"> </w:t>
      </w:r>
      <w:r>
        <w:rPr>
          <w:rFonts w:eastAsia="Arial"/>
          <w:sz w:val="24"/>
          <w:szCs w:val="24"/>
          <w:lang w:val="fr-FR" w:eastAsia="zh-CN"/>
        </w:rPr>
        <w:t xml:space="preserve">pouvaient être constitutives de </w:t>
      </w:r>
      <w:r w:rsidRPr="00DB3C80">
        <w:rPr>
          <w:rFonts w:eastAsia="Arial"/>
          <w:sz w:val="24"/>
          <w:szCs w:val="24"/>
          <w:lang w:val="fr-FR" w:eastAsia="zh-CN"/>
        </w:rPr>
        <w:t xml:space="preserve">torture, </w:t>
      </w:r>
      <w:r>
        <w:rPr>
          <w:rFonts w:eastAsia="Arial"/>
          <w:sz w:val="24"/>
          <w:szCs w:val="24"/>
          <w:lang w:val="fr-FR" w:eastAsia="zh-CN"/>
        </w:rPr>
        <w:t xml:space="preserve">ou de </w:t>
      </w:r>
      <w:r w:rsidRPr="00DB3C80">
        <w:rPr>
          <w:rFonts w:eastAsia="Arial"/>
          <w:sz w:val="24"/>
          <w:szCs w:val="24"/>
          <w:lang w:val="fr-FR" w:eastAsia="zh-CN"/>
        </w:rPr>
        <w:t>peines ou traitements cruels, inhumains ou dégradants.</w:t>
      </w:r>
      <w:bookmarkStart w:id="2" w:name="_ftnref3"/>
      <w:bookmarkEnd w:id="2"/>
      <w:r w:rsidRPr="004B2E07">
        <w:rPr>
          <w:rStyle w:val="FootnoteReference"/>
          <w:rFonts w:eastAsia="Arial"/>
          <w:sz w:val="16"/>
          <w:szCs w:val="16"/>
          <w:lang w:val="fr-FR" w:eastAsia="zh-CN"/>
        </w:rPr>
        <w:footnoteReference w:id="4"/>
      </w:r>
      <w:r w:rsidRPr="004B2E07">
        <w:rPr>
          <w:rFonts w:eastAsia="Arial"/>
          <w:sz w:val="16"/>
          <w:szCs w:val="16"/>
          <w:lang w:val="fr-FR" w:eastAsia="zh-CN"/>
        </w:rPr>
        <w:t xml:space="preserve"> </w:t>
      </w:r>
      <w:r>
        <w:rPr>
          <w:rFonts w:eastAsia="Arial"/>
          <w:sz w:val="24"/>
          <w:szCs w:val="24"/>
          <w:lang w:val="fr-FR" w:eastAsia="zh-CN"/>
        </w:rPr>
        <w:t>Ces thérapies semblent produire</w:t>
      </w:r>
      <w:r w:rsidRPr="00DB3C80">
        <w:rPr>
          <w:rFonts w:eastAsia="Arial"/>
          <w:sz w:val="24"/>
          <w:szCs w:val="24"/>
          <w:lang w:val="fr-FR" w:eastAsia="zh-CN"/>
        </w:rPr>
        <w:t xml:space="preserve"> des effets négatifs </w:t>
      </w:r>
      <w:r>
        <w:rPr>
          <w:rFonts w:eastAsia="Arial"/>
          <w:sz w:val="24"/>
          <w:szCs w:val="24"/>
          <w:lang w:val="fr-FR" w:eastAsia="zh-CN"/>
        </w:rPr>
        <w:t>à long terme</w:t>
      </w:r>
      <w:r w:rsidRPr="00DB3C80">
        <w:rPr>
          <w:rFonts w:eastAsia="Arial"/>
          <w:sz w:val="24"/>
          <w:szCs w:val="24"/>
          <w:lang w:val="fr-FR" w:eastAsia="zh-CN"/>
        </w:rPr>
        <w:t xml:space="preserve"> sur les personnes </w:t>
      </w:r>
      <w:r>
        <w:rPr>
          <w:rFonts w:eastAsia="Arial"/>
          <w:sz w:val="24"/>
          <w:szCs w:val="24"/>
          <w:lang w:val="fr-FR" w:eastAsia="zh-CN"/>
        </w:rPr>
        <w:t xml:space="preserve">qui y sont </w:t>
      </w:r>
      <w:r w:rsidRPr="00DB3C80">
        <w:rPr>
          <w:rFonts w:eastAsia="Arial"/>
          <w:sz w:val="24"/>
          <w:szCs w:val="24"/>
          <w:lang w:val="fr-FR" w:eastAsia="zh-CN"/>
        </w:rPr>
        <w:t xml:space="preserve">soumises, dans la mesure où cela peut entraîner des dommages physiques et psychologiques profonds, tels que la dépression, l'anxiété, la consommation de drogue, </w:t>
      </w:r>
      <w:r>
        <w:rPr>
          <w:rFonts w:eastAsia="Arial"/>
          <w:sz w:val="24"/>
          <w:szCs w:val="24"/>
          <w:lang w:val="fr-FR" w:eastAsia="zh-CN"/>
        </w:rPr>
        <w:t xml:space="preserve">le </w:t>
      </w:r>
      <w:proofErr w:type="spellStart"/>
      <w:r>
        <w:rPr>
          <w:rFonts w:eastAsia="Arial"/>
          <w:sz w:val="24"/>
          <w:szCs w:val="24"/>
          <w:lang w:val="fr-FR" w:eastAsia="zh-CN"/>
        </w:rPr>
        <w:t>sans-abrisme</w:t>
      </w:r>
      <w:proofErr w:type="spellEnd"/>
      <w:r w:rsidRPr="00DB3C80">
        <w:rPr>
          <w:rFonts w:eastAsia="Arial"/>
          <w:sz w:val="24"/>
          <w:szCs w:val="24"/>
          <w:lang w:val="fr-FR" w:eastAsia="zh-CN"/>
        </w:rPr>
        <w:t xml:space="preserve"> </w:t>
      </w:r>
      <w:r>
        <w:rPr>
          <w:rFonts w:eastAsia="Arial"/>
          <w:sz w:val="24"/>
          <w:szCs w:val="24"/>
          <w:lang w:val="fr-FR" w:eastAsia="zh-CN"/>
        </w:rPr>
        <w:t>ou</w:t>
      </w:r>
      <w:r w:rsidRPr="00DB3C80">
        <w:rPr>
          <w:rFonts w:eastAsia="Arial"/>
          <w:sz w:val="24"/>
          <w:szCs w:val="24"/>
          <w:lang w:val="fr-FR" w:eastAsia="zh-CN"/>
        </w:rPr>
        <w:t xml:space="preserve"> le suicide.</w:t>
      </w:r>
      <w:bookmarkStart w:id="3" w:name="_ftnref4"/>
      <w:bookmarkEnd w:id="3"/>
      <w:r w:rsidRPr="004B2E07">
        <w:rPr>
          <w:rStyle w:val="FootnoteReference"/>
          <w:rFonts w:eastAsia="Arial"/>
          <w:sz w:val="16"/>
          <w:szCs w:val="16"/>
          <w:lang w:val="fr-FR" w:eastAsia="zh-CN"/>
        </w:rPr>
        <w:footnoteReference w:id="5"/>
      </w:r>
      <w:r w:rsidRPr="004B2E07">
        <w:rPr>
          <w:rFonts w:eastAsia="Arial"/>
          <w:sz w:val="16"/>
          <w:szCs w:val="16"/>
          <w:lang w:val="fr-FR" w:eastAsia="zh-CN"/>
        </w:rPr>
        <w:t xml:space="preserve"> </w:t>
      </w:r>
      <w:r w:rsidRPr="00DB3C80">
        <w:rPr>
          <w:rFonts w:eastAsia="Arial"/>
          <w:sz w:val="24"/>
          <w:szCs w:val="24"/>
          <w:lang w:val="fr-FR" w:eastAsia="zh-CN"/>
        </w:rPr>
        <w:t xml:space="preserve">Il semble que les enfants </w:t>
      </w:r>
      <w:r>
        <w:rPr>
          <w:rFonts w:eastAsia="Arial"/>
          <w:sz w:val="24"/>
          <w:szCs w:val="24"/>
          <w:lang w:val="fr-FR" w:eastAsia="zh-CN"/>
        </w:rPr>
        <w:t>mineurs</w:t>
      </w:r>
      <w:r w:rsidRPr="00DB3C80">
        <w:rPr>
          <w:rFonts w:eastAsia="Arial"/>
          <w:sz w:val="24"/>
          <w:szCs w:val="24"/>
          <w:lang w:val="fr-FR" w:eastAsia="zh-CN"/>
        </w:rPr>
        <w:t xml:space="preserve"> soient particulièrement vulnérables.</w:t>
      </w:r>
    </w:p>
    <w:p w14:paraId="6A92E1D4" w14:textId="77777777" w:rsidR="002947F2" w:rsidRPr="00DB3C80" w:rsidRDefault="002947F2" w:rsidP="006B1051">
      <w:pPr>
        <w:rPr>
          <w:rFonts w:eastAsia="Arial"/>
          <w:sz w:val="24"/>
          <w:szCs w:val="24"/>
          <w:lang w:val="fr-FR" w:eastAsia="zh-CN"/>
        </w:rPr>
      </w:pPr>
    </w:p>
    <w:p w14:paraId="7019CB0E" w14:textId="36A43CE4" w:rsidR="002B3E24" w:rsidRDefault="002B3E24" w:rsidP="006B1051">
      <w:pPr>
        <w:ind w:firstLine="720"/>
        <w:rPr>
          <w:rFonts w:eastAsia="Arial"/>
          <w:sz w:val="24"/>
          <w:szCs w:val="24"/>
          <w:lang w:val="fr-FR" w:eastAsia="zh-CN"/>
        </w:rPr>
      </w:pPr>
      <w:r w:rsidRPr="00DB3C80">
        <w:rPr>
          <w:rFonts w:eastAsia="Arial"/>
          <w:sz w:val="24"/>
          <w:szCs w:val="24"/>
          <w:lang w:val="fr-FR" w:eastAsia="zh-CN"/>
        </w:rPr>
        <w:t xml:space="preserve">Il </w:t>
      </w:r>
      <w:r w:rsidRPr="00DF35BE">
        <w:rPr>
          <w:rFonts w:eastAsia="Arial"/>
          <w:sz w:val="24"/>
          <w:szCs w:val="24"/>
          <w:lang w:val="fr-FR" w:eastAsia="zh-CN"/>
        </w:rPr>
        <w:t>y a actuellement une tendance, dans certaines parties du monde, à interdire les « thérapies de conversion ». Cela a été fait dans une poignée de pays à travers le monde, et dans les pays où cela a été interdit, cela ne semble s'appliquer qu’aux professionnels de la santé agréés (par exemple, en Argentine, au Brésil, à Fiji, au Samoa et en Uruguay).</w:t>
      </w:r>
      <w:bookmarkStart w:id="4" w:name="_ftnref5"/>
      <w:bookmarkEnd w:id="4"/>
      <w:r w:rsidRPr="004B2E07">
        <w:rPr>
          <w:rStyle w:val="FootnoteReference"/>
          <w:rFonts w:eastAsia="Arial"/>
          <w:sz w:val="16"/>
          <w:szCs w:val="16"/>
          <w:lang w:val="fr-FR" w:eastAsia="zh-CN"/>
        </w:rPr>
        <w:footnoteReference w:id="6"/>
      </w:r>
      <w:r w:rsidRPr="004B2E07">
        <w:rPr>
          <w:rFonts w:eastAsia="Arial"/>
          <w:sz w:val="16"/>
          <w:szCs w:val="16"/>
          <w:lang w:val="fr-FR" w:eastAsia="zh-CN"/>
        </w:rPr>
        <w:t xml:space="preserve"> </w:t>
      </w:r>
      <w:r w:rsidRPr="00DF35BE">
        <w:rPr>
          <w:rFonts w:eastAsia="Arial"/>
          <w:sz w:val="24"/>
          <w:szCs w:val="24"/>
          <w:lang w:val="fr-FR" w:eastAsia="zh-CN"/>
        </w:rPr>
        <w:t>Dans quelques pays, tels que Malte et en Équateur,</w:t>
      </w:r>
      <w:bookmarkStart w:id="5" w:name="_ftnref6"/>
      <w:bookmarkEnd w:id="5"/>
      <w:r w:rsidRPr="004B2E07">
        <w:rPr>
          <w:rStyle w:val="FootnoteReference"/>
          <w:rFonts w:eastAsia="Arial"/>
          <w:sz w:val="16"/>
          <w:szCs w:val="16"/>
          <w:lang w:val="fr-FR" w:eastAsia="zh-CN"/>
        </w:rPr>
        <w:footnoteReference w:id="7"/>
      </w:r>
      <w:r w:rsidRPr="004B2E07">
        <w:rPr>
          <w:rFonts w:eastAsia="Arial"/>
          <w:sz w:val="16"/>
          <w:szCs w:val="16"/>
          <w:lang w:val="fr-FR" w:eastAsia="zh-CN"/>
        </w:rPr>
        <w:t xml:space="preserve"> </w:t>
      </w:r>
      <w:r w:rsidRPr="00DF35BE">
        <w:rPr>
          <w:rFonts w:eastAsia="Arial"/>
          <w:sz w:val="24"/>
          <w:szCs w:val="24"/>
          <w:lang w:val="fr-FR" w:eastAsia="zh-CN"/>
        </w:rPr>
        <w:t>elles sont considérées comme une pratique criminelle.</w:t>
      </w:r>
    </w:p>
    <w:p w14:paraId="69F9616B" w14:textId="77777777" w:rsidR="002947F2" w:rsidRPr="00DF35BE" w:rsidRDefault="002947F2" w:rsidP="006B1051">
      <w:pPr>
        <w:rPr>
          <w:rFonts w:eastAsia="Arial"/>
          <w:sz w:val="24"/>
          <w:szCs w:val="24"/>
          <w:lang w:val="fr-FR" w:eastAsia="zh-CN"/>
        </w:rPr>
      </w:pPr>
    </w:p>
    <w:p w14:paraId="288FB898" w14:textId="55C0B5C4" w:rsidR="002B3E24" w:rsidRDefault="001B68BA" w:rsidP="006B1051">
      <w:pPr>
        <w:rPr>
          <w:rFonts w:eastAsia="Arial"/>
          <w:sz w:val="24"/>
          <w:szCs w:val="24"/>
          <w:lang w:val="fr-FR" w:eastAsia="zh-CN"/>
        </w:rPr>
      </w:pPr>
      <w:r>
        <w:rPr>
          <w:rFonts w:eastAsia="Arial"/>
          <w:sz w:val="24"/>
          <w:szCs w:val="24"/>
          <w:lang w:val="fr-FR" w:eastAsia="zh-CN"/>
        </w:rPr>
        <w:tab/>
      </w:r>
      <w:r w:rsidR="002B3E24" w:rsidRPr="00DB3C80">
        <w:rPr>
          <w:rFonts w:eastAsia="Arial"/>
          <w:sz w:val="24"/>
          <w:szCs w:val="24"/>
          <w:lang w:val="fr-FR" w:eastAsia="zh-CN"/>
        </w:rPr>
        <w:t xml:space="preserve">Même si </w:t>
      </w:r>
      <w:r w:rsidR="002B3E24">
        <w:rPr>
          <w:rFonts w:eastAsia="Arial"/>
          <w:sz w:val="24"/>
          <w:szCs w:val="24"/>
          <w:lang w:val="fr-FR" w:eastAsia="zh-CN"/>
        </w:rPr>
        <w:t xml:space="preserve">les « thérapies de conversion » semblent </w:t>
      </w:r>
      <w:r w:rsidR="002B3E24" w:rsidRPr="00DB3C80">
        <w:rPr>
          <w:rFonts w:eastAsia="Arial"/>
          <w:sz w:val="24"/>
          <w:szCs w:val="24"/>
          <w:lang w:val="fr-FR" w:eastAsia="zh-CN"/>
        </w:rPr>
        <w:t xml:space="preserve">être </w:t>
      </w:r>
      <w:r w:rsidR="002B3E24">
        <w:rPr>
          <w:rFonts w:eastAsia="Arial"/>
          <w:sz w:val="24"/>
          <w:szCs w:val="24"/>
          <w:lang w:val="fr-FR" w:eastAsia="zh-CN"/>
        </w:rPr>
        <w:t xml:space="preserve">très </w:t>
      </w:r>
      <w:r w:rsidR="002B3E24" w:rsidRPr="00DB3C80">
        <w:rPr>
          <w:rFonts w:eastAsia="Arial"/>
          <w:sz w:val="24"/>
          <w:szCs w:val="24"/>
          <w:lang w:val="fr-FR" w:eastAsia="zh-CN"/>
        </w:rPr>
        <w:t>répandue</w:t>
      </w:r>
      <w:r w:rsidR="002B3E24">
        <w:rPr>
          <w:rFonts w:eastAsia="Arial"/>
          <w:sz w:val="24"/>
          <w:szCs w:val="24"/>
          <w:lang w:val="fr-FR" w:eastAsia="zh-CN"/>
        </w:rPr>
        <w:t>s</w:t>
      </w:r>
      <w:r w:rsidR="002B3E24" w:rsidRPr="00DB3C80">
        <w:rPr>
          <w:rFonts w:eastAsia="Arial"/>
          <w:sz w:val="24"/>
          <w:szCs w:val="24"/>
          <w:lang w:val="fr-FR" w:eastAsia="zh-CN"/>
        </w:rPr>
        <w:t>, l’information sur le sujet est insuffisante. Il existe peu de connaissances systématisées sur</w:t>
      </w:r>
      <w:r w:rsidR="002B3E24">
        <w:rPr>
          <w:rFonts w:eastAsia="Arial"/>
          <w:sz w:val="24"/>
          <w:szCs w:val="24"/>
          <w:lang w:val="fr-FR" w:eastAsia="zh-CN"/>
        </w:rPr>
        <w:t> :</w:t>
      </w:r>
    </w:p>
    <w:p w14:paraId="07189414" w14:textId="77777777" w:rsidR="002947F2" w:rsidRDefault="002947F2" w:rsidP="006B1051">
      <w:pPr>
        <w:rPr>
          <w:rFonts w:eastAsia="Arial"/>
          <w:sz w:val="24"/>
          <w:szCs w:val="24"/>
          <w:lang w:val="fr-FR" w:eastAsia="zh-CN"/>
        </w:rPr>
      </w:pPr>
    </w:p>
    <w:p w14:paraId="2CA97743" w14:textId="77777777" w:rsidR="002B3E24" w:rsidRDefault="002B3E24" w:rsidP="006B1051">
      <w:pPr>
        <w:pStyle w:val="ListParagraph"/>
        <w:numPr>
          <w:ilvl w:val="0"/>
          <w:numId w:val="31"/>
        </w:numPr>
        <w:contextualSpacing w:val="0"/>
        <w:rPr>
          <w:rFonts w:eastAsia="Arial"/>
          <w:sz w:val="24"/>
          <w:szCs w:val="24"/>
          <w:lang w:val="fr-FR" w:eastAsia="zh-CN"/>
        </w:rPr>
      </w:pPr>
      <w:r>
        <w:rPr>
          <w:rFonts w:eastAsia="Arial"/>
          <w:sz w:val="24"/>
          <w:szCs w:val="24"/>
          <w:lang w:val="fr-FR" w:eastAsia="zh-CN"/>
        </w:rPr>
        <w:lastRenderedPageBreak/>
        <w:t>L</w:t>
      </w:r>
      <w:r w:rsidRPr="006D3C18">
        <w:rPr>
          <w:rFonts w:eastAsia="Arial"/>
          <w:sz w:val="24"/>
          <w:szCs w:val="24"/>
          <w:lang w:val="fr-FR" w:eastAsia="zh-CN"/>
        </w:rPr>
        <w:t xml:space="preserve">es différentes pratiques </w:t>
      </w:r>
      <w:r>
        <w:rPr>
          <w:rFonts w:eastAsia="Arial"/>
          <w:sz w:val="24"/>
          <w:szCs w:val="24"/>
          <w:lang w:val="fr-FR" w:eastAsia="zh-CN"/>
        </w:rPr>
        <w:t>qui s’apparentent à des</w:t>
      </w:r>
      <w:r w:rsidRPr="006D3C18">
        <w:rPr>
          <w:rFonts w:eastAsia="Arial"/>
          <w:sz w:val="24"/>
          <w:szCs w:val="24"/>
          <w:lang w:val="fr-FR" w:eastAsia="zh-CN"/>
        </w:rPr>
        <w:t xml:space="preserve"> « thérapies de conversion »</w:t>
      </w:r>
      <w:r>
        <w:rPr>
          <w:rFonts w:eastAsia="Arial"/>
          <w:sz w:val="24"/>
          <w:szCs w:val="24"/>
          <w:lang w:val="fr-FR" w:eastAsia="zh-CN"/>
        </w:rPr>
        <w:t>, les techniques appliquées,</w:t>
      </w:r>
      <w:r w:rsidRPr="006D3C18">
        <w:rPr>
          <w:rFonts w:eastAsia="Arial"/>
          <w:sz w:val="24"/>
          <w:szCs w:val="24"/>
          <w:lang w:val="fr-FR" w:eastAsia="zh-CN"/>
        </w:rPr>
        <w:t xml:space="preserve"> et leur prévalence à travers le </w:t>
      </w:r>
      <w:proofErr w:type="gramStart"/>
      <w:r w:rsidRPr="006D3C18">
        <w:rPr>
          <w:rFonts w:eastAsia="Arial"/>
          <w:sz w:val="24"/>
          <w:szCs w:val="24"/>
          <w:lang w:val="fr-FR" w:eastAsia="zh-CN"/>
        </w:rPr>
        <w:t>monde;</w:t>
      </w:r>
      <w:proofErr w:type="gramEnd"/>
      <w:r w:rsidRPr="006D3C18">
        <w:rPr>
          <w:rFonts w:eastAsia="Arial"/>
          <w:sz w:val="24"/>
          <w:szCs w:val="24"/>
          <w:lang w:val="fr-FR" w:eastAsia="zh-CN"/>
        </w:rPr>
        <w:t> </w:t>
      </w:r>
    </w:p>
    <w:p w14:paraId="7C510939" w14:textId="77777777" w:rsidR="002B3E24" w:rsidRDefault="002B3E24" w:rsidP="006B1051">
      <w:pPr>
        <w:pStyle w:val="ListParagraph"/>
        <w:numPr>
          <w:ilvl w:val="0"/>
          <w:numId w:val="31"/>
        </w:numPr>
        <w:contextualSpacing w:val="0"/>
        <w:rPr>
          <w:rFonts w:eastAsia="Arial"/>
          <w:sz w:val="24"/>
          <w:szCs w:val="24"/>
          <w:lang w:val="fr-FR" w:eastAsia="zh-CN"/>
        </w:rPr>
      </w:pPr>
      <w:r>
        <w:rPr>
          <w:rFonts w:eastAsia="Arial"/>
          <w:sz w:val="24"/>
          <w:szCs w:val="24"/>
          <w:lang w:val="fr-FR" w:eastAsia="zh-CN"/>
        </w:rPr>
        <w:t>L</w:t>
      </w:r>
      <w:r w:rsidRPr="006D3C18">
        <w:rPr>
          <w:rFonts w:eastAsia="Arial"/>
          <w:sz w:val="24"/>
          <w:szCs w:val="24"/>
          <w:lang w:val="fr-FR" w:eastAsia="zh-CN"/>
        </w:rPr>
        <w:t xml:space="preserve">es normes sociales, les croyances et les systèmes qui sous-tendent cette </w:t>
      </w:r>
      <w:proofErr w:type="gramStart"/>
      <w:r w:rsidRPr="006D3C18">
        <w:rPr>
          <w:rFonts w:eastAsia="Arial"/>
          <w:sz w:val="24"/>
          <w:szCs w:val="24"/>
          <w:lang w:val="fr-FR" w:eastAsia="zh-CN"/>
        </w:rPr>
        <w:t>pratique;</w:t>
      </w:r>
      <w:proofErr w:type="gramEnd"/>
      <w:r w:rsidRPr="006D3C18">
        <w:rPr>
          <w:rFonts w:eastAsia="Arial"/>
          <w:sz w:val="24"/>
          <w:szCs w:val="24"/>
          <w:lang w:val="fr-FR" w:eastAsia="zh-CN"/>
        </w:rPr>
        <w:t> </w:t>
      </w:r>
    </w:p>
    <w:p w14:paraId="4BDBBF46" w14:textId="77777777" w:rsidR="002B3E24" w:rsidRDefault="002B3E24" w:rsidP="006B1051">
      <w:pPr>
        <w:pStyle w:val="ListParagraph"/>
        <w:numPr>
          <w:ilvl w:val="0"/>
          <w:numId w:val="31"/>
        </w:numPr>
        <w:contextualSpacing w:val="0"/>
        <w:rPr>
          <w:rFonts w:eastAsia="Arial"/>
          <w:sz w:val="24"/>
          <w:szCs w:val="24"/>
          <w:lang w:val="fr-FR" w:eastAsia="zh-CN"/>
        </w:rPr>
      </w:pPr>
      <w:r>
        <w:rPr>
          <w:rFonts w:eastAsia="Arial"/>
          <w:sz w:val="24"/>
          <w:szCs w:val="24"/>
          <w:lang w:val="fr-FR" w:eastAsia="zh-CN"/>
        </w:rPr>
        <w:t>Les</w:t>
      </w:r>
      <w:r w:rsidRPr="006D3C18">
        <w:rPr>
          <w:rFonts w:eastAsia="Arial"/>
          <w:sz w:val="24"/>
          <w:szCs w:val="24"/>
          <w:lang w:val="fr-FR" w:eastAsia="zh-CN"/>
        </w:rPr>
        <w:t xml:space="preserve"> conséquences </w:t>
      </w:r>
      <w:r>
        <w:rPr>
          <w:rFonts w:eastAsia="Arial"/>
          <w:sz w:val="24"/>
          <w:szCs w:val="24"/>
          <w:lang w:val="fr-FR" w:eastAsia="zh-CN"/>
        </w:rPr>
        <w:t xml:space="preserve">de ces pratiques </w:t>
      </w:r>
      <w:r w:rsidRPr="006D3C18">
        <w:rPr>
          <w:rFonts w:eastAsia="Arial"/>
          <w:sz w:val="24"/>
          <w:szCs w:val="24"/>
          <w:lang w:val="fr-FR" w:eastAsia="zh-CN"/>
        </w:rPr>
        <w:t>sur les victimes</w:t>
      </w:r>
      <w:r>
        <w:rPr>
          <w:rFonts w:eastAsia="Arial"/>
          <w:sz w:val="24"/>
          <w:szCs w:val="24"/>
          <w:lang w:val="fr-FR" w:eastAsia="zh-CN"/>
        </w:rPr>
        <w:t> ;</w:t>
      </w:r>
      <w:r w:rsidRPr="00451005">
        <w:rPr>
          <w:rFonts w:eastAsia="Arial"/>
          <w:sz w:val="24"/>
          <w:szCs w:val="24"/>
          <w:lang w:val="fr-FR" w:eastAsia="zh-CN"/>
        </w:rPr>
        <w:t xml:space="preserve"> </w:t>
      </w:r>
      <w:r w:rsidRPr="0058292F">
        <w:rPr>
          <w:rFonts w:eastAsia="Arial"/>
          <w:sz w:val="24"/>
          <w:szCs w:val="24"/>
          <w:lang w:val="fr-FR" w:eastAsia="zh-CN"/>
        </w:rPr>
        <w:t>et</w:t>
      </w:r>
    </w:p>
    <w:p w14:paraId="4845CC1A" w14:textId="77777777" w:rsidR="002B3E24" w:rsidRPr="006D3C18" w:rsidRDefault="002B3E24" w:rsidP="006B1051">
      <w:pPr>
        <w:pStyle w:val="ListParagraph"/>
        <w:numPr>
          <w:ilvl w:val="0"/>
          <w:numId w:val="31"/>
        </w:numPr>
        <w:contextualSpacing w:val="0"/>
        <w:rPr>
          <w:rFonts w:eastAsia="Arial"/>
          <w:sz w:val="24"/>
          <w:szCs w:val="24"/>
          <w:lang w:val="fr-FR" w:eastAsia="zh-CN"/>
        </w:rPr>
      </w:pPr>
      <w:r>
        <w:rPr>
          <w:rFonts w:eastAsia="Arial"/>
          <w:sz w:val="24"/>
          <w:szCs w:val="24"/>
          <w:lang w:val="fr-FR" w:eastAsia="zh-CN"/>
        </w:rPr>
        <w:t>Les bonnes et meilleures pratiques en matière de législation, jurisprudence et politiques publiques pour combattre ces pratiques.</w:t>
      </w:r>
      <w:r w:rsidRPr="006D3C18">
        <w:rPr>
          <w:rFonts w:eastAsia="Arial"/>
          <w:sz w:val="24"/>
          <w:szCs w:val="24"/>
          <w:lang w:val="fr-FR" w:eastAsia="zh-CN"/>
        </w:rPr>
        <w:t> </w:t>
      </w:r>
    </w:p>
    <w:p w14:paraId="5B8A6290" w14:textId="77777777" w:rsidR="002947F2" w:rsidRDefault="002947F2" w:rsidP="006B1051">
      <w:pPr>
        <w:rPr>
          <w:rFonts w:eastAsia="Arial"/>
          <w:sz w:val="24"/>
          <w:szCs w:val="24"/>
          <w:lang w:val="fr-FR" w:eastAsia="zh-CN"/>
        </w:rPr>
      </w:pPr>
    </w:p>
    <w:p w14:paraId="38B3DBF6" w14:textId="3C6721D9" w:rsidR="002B3E24" w:rsidRPr="00DB3C80" w:rsidRDefault="002B3E24" w:rsidP="006B1051">
      <w:pPr>
        <w:ind w:firstLine="360"/>
        <w:rPr>
          <w:rFonts w:eastAsia="Arial"/>
          <w:sz w:val="24"/>
          <w:szCs w:val="24"/>
          <w:lang w:val="fr-FR" w:eastAsia="zh-CN"/>
        </w:rPr>
      </w:pPr>
      <w:r>
        <w:rPr>
          <w:rFonts w:eastAsia="Arial"/>
          <w:sz w:val="24"/>
          <w:szCs w:val="24"/>
          <w:lang w:val="fr-FR" w:eastAsia="zh-CN"/>
        </w:rPr>
        <w:t>L’objectif du processus de consultation vise à</w:t>
      </w:r>
      <w:r w:rsidRPr="00DB3C80">
        <w:rPr>
          <w:rFonts w:eastAsia="Arial"/>
          <w:sz w:val="24"/>
          <w:szCs w:val="24"/>
          <w:lang w:val="fr-FR" w:eastAsia="zh-CN"/>
        </w:rPr>
        <w:t xml:space="preserve"> rassembler des informations </w:t>
      </w:r>
      <w:r>
        <w:rPr>
          <w:rFonts w:eastAsia="Arial"/>
          <w:sz w:val="24"/>
          <w:szCs w:val="24"/>
          <w:lang w:val="fr-FR" w:eastAsia="zh-CN"/>
        </w:rPr>
        <w:t>dans</w:t>
      </w:r>
      <w:r w:rsidRPr="00DB3C80">
        <w:rPr>
          <w:rFonts w:eastAsia="Arial"/>
          <w:sz w:val="24"/>
          <w:szCs w:val="24"/>
          <w:lang w:val="fr-FR" w:eastAsia="zh-CN"/>
        </w:rPr>
        <w:t xml:space="preserve"> les domaines susmentionnés grâce aux contributions de toutes les parties prenantes</w:t>
      </w:r>
      <w:r>
        <w:rPr>
          <w:rFonts w:eastAsia="Arial"/>
          <w:sz w:val="24"/>
          <w:szCs w:val="24"/>
          <w:lang w:val="fr-FR" w:eastAsia="zh-CN"/>
        </w:rPr>
        <w:t xml:space="preserve"> concernées</w:t>
      </w:r>
      <w:r w:rsidRPr="00DB3C80">
        <w:rPr>
          <w:rFonts w:eastAsia="Arial"/>
          <w:sz w:val="24"/>
          <w:szCs w:val="24"/>
          <w:lang w:val="fr-FR" w:eastAsia="zh-CN"/>
        </w:rPr>
        <w:t>, en vue de sensibiliser et</w:t>
      </w:r>
      <w:r>
        <w:rPr>
          <w:rFonts w:eastAsia="Arial"/>
          <w:sz w:val="24"/>
          <w:szCs w:val="24"/>
          <w:lang w:val="fr-FR" w:eastAsia="zh-CN"/>
        </w:rPr>
        <w:t xml:space="preserve"> d’appui les mesures prises par les </w:t>
      </w:r>
      <w:r w:rsidRPr="006D3C18">
        <w:rPr>
          <w:rFonts w:eastAsia="Arial"/>
          <w:caps/>
          <w:sz w:val="24"/>
          <w:szCs w:val="24"/>
          <w:lang w:val="fr-FR" w:eastAsia="zh-CN"/>
        </w:rPr>
        <w:t>é</w:t>
      </w:r>
      <w:r>
        <w:rPr>
          <w:rFonts w:eastAsia="Arial"/>
          <w:sz w:val="24"/>
          <w:szCs w:val="24"/>
          <w:lang w:val="fr-FR" w:eastAsia="zh-CN"/>
        </w:rPr>
        <w:t xml:space="preserve">tats </w:t>
      </w:r>
      <w:r w:rsidRPr="00DB3C80">
        <w:rPr>
          <w:rFonts w:eastAsia="Arial"/>
          <w:sz w:val="24"/>
          <w:szCs w:val="24"/>
          <w:lang w:val="fr-FR" w:eastAsia="zh-CN"/>
        </w:rPr>
        <w:t>en recensant les meilleures pratiques en matière de législation, de jurisprudence et de politique</w:t>
      </w:r>
      <w:r>
        <w:rPr>
          <w:rFonts w:eastAsia="Arial"/>
          <w:sz w:val="24"/>
          <w:szCs w:val="24"/>
          <w:lang w:val="fr-FR" w:eastAsia="zh-CN"/>
        </w:rPr>
        <w:t>s</w:t>
      </w:r>
      <w:r w:rsidRPr="00DB3C80">
        <w:rPr>
          <w:rFonts w:eastAsia="Arial"/>
          <w:sz w:val="24"/>
          <w:szCs w:val="24"/>
          <w:lang w:val="fr-FR" w:eastAsia="zh-CN"/>
        </w:rPr>
        <w:t> publique</w:t>
      </w:r>
      <w:r>
        <w:rPr>
          <w:rFonts w:eastAsia="Arial"/>
          <w:sz w:val="24"/>
          <w:szCs w:val="24"/>
          <w:lang w:val="fr-FR" w:eastAsia="zh-CN"/>
        </w:rPr>
        <w:t>s</w:t>
      </w:r>
      <w:r w:rsidRPr="00DB3C80">
        <w:rPr>
          <w:rFonts w:eastAsia="Arial"/>
          <w:sz w:val="24"/>
          <w:szCs w:val="24"/>
          <w:lang w:val="fr-FR" w:eastAsia="zh-CN"/>
        </w:rPr>
        <w:t xml:space="preserve">, ainsi que les lacunes et divergences avec </w:t>
      </w:r>
      <w:r>
        <w:rPr>
          <w:rFonts w:eastAsia="Arial"/>
          <w:sz w:val="24"/>
          <w:szCs w:val="24"/>
          <w:lang w:val="fr-FR" w:eastAsia="zh-CN"/>
        </w:rPr>
        <w:t xml:space="preserve">les </w:t>
      </w:r>
      <w:r w:rsidRPr="00DB3C80">
        <w:rPr>
          <w:rFonts w:eastAsia="Arial"/>
          <w:sz w:val="24"/>
          <w:szCs w:val="24"/>
          <w:lang w:val="fr-FR" w:eastAsia="zh-CN"/>
        </w:rPr>
        <w:t xml:space="preserve">normes relatives aux droits </w:t>
      </w:r>
      <w:r>
        <w:rPr>
          <w:rFonts w:eastAsia="Arial"/>
          <w:sz w:val="24"/>
          <w:szCs w:val="24"/>
          <w:lang w:val="fr-FR" w:eastAsia="zh-CN"/>
        </w:rPr>
        <w:t>de l'homme, en relation avec les « thérapies de conversion ».</w:t>
      </w:r>
    </w:p>
    <w:p w14:paraId="5478C011" w14:textId="77777777" w:rsidR="002947F2" w:rsidRDefault="002B3E24" w:rsidP="006B1051">
      <w:pPr>
        <w:rPr>
          <w:rFonts w:eastAsia="Arial"/>
          <w:sz w:val="24"/>
          <w:szCs w:val="24"/>
          <w:lang w:val="fr-FR" w:eastAsia="zh-CN"/>
        </w:rPr>
      </w:pPr>
      <w:r w:rsidRPr="00DB3C80">
        <w:rPr>
          <w:rFonts w:eastAsia="Arial"/>
          <w:sz w:val="24"/>
          <w:szCs w:val="24"/>
          <w:lang w:val="fr-FR" w:eastAsia="zh-CN"/>
        </w:rPr>
        <w:t> </w:t>
      </w:r>
    </w:p>
    <w:p w14:paraId="670A3006" w14:textId="6A35EB70" w:rsidR="002B3E24" w:rsidRDefault="002B3E24" w:rsidP="006B1051">
      <w:pPr>
        <w:rPr>
          <w:rFonts w:eastAsia="Arial"/>
          <w:b/>
          <w:bCs/>
          <w:sz w:val="24"/>
          <w:szCs w:val="24"/>
          <w:u w:val="single"/>
          <w:lang w:val="fr-FR" w:eastAsia="zh-CN"/>
        </w:rPr>
      </w:pPr>
      <w:r w:rsidRPr="00DB3C80">
        <w:rPr>
          <w:rFonts w:eastAsia="Arial"/>
          <w:b/>
          <w:bCs/>
          <w:sz w:val="24"/>
          <w:szCs w:val="24"/>
          <w:u w:val="single"/>
          <w:lang w:val="fr-FR" w:eastAsia="zh-CN"/>
        </w:rPr>
        <w:t xml:space="preserve">Appel à </w:t>
      </w:r>
      <w:r>
        <w:rPr>
          <w:rFonts w:eastAsia="Arial"/>
          <w:b/>
          <w:bCs/>
          <w:sz w:val="24"/>
          <w:szCs w:val="24"/>
          <w:u w:val="single"/>
          <w:lang w:val="fr-FR" w:eastAsia="zh-CN"/>
        </w:rPr>
        <w:t>contribution</w:t>
      </w:r>
    </w:p>
    <w:p w14:paraId="319620FF" w14:textId="77777777" w:rsidR="002947F2" w:rsidRPr="00DB3C80" w:rsidRDefault="002947F2" w:rsidP="006B1051">
      <w:pPr>
        <w:rPr>
          <w:rFonts w:eastAsia="Arial"/>
          <w:sz w:val="24"/>
          <w:szCs w:val="24"/>
          <w:lang w:val="fr-FR" w:eastAsia="zh-CN"/>
        </w:rPr>
      </w:pPr>
    </w:p>
    <w:p w14:paraId="0CE15736" w14:textId="1D93B836" w:rsidR="002B3E24" w:rsidRDefault="002B3E24" w:rsidP="006B1051">
      <w:pPr>
        <w:rPr>
          <w:rFonts w:eastAsia="Arial"/>
          <w:sz w:val="24"/>
          <w:szCs w:val="24"/>
          <w:lang w:val="fr-FR" w:eastAsia="zh-CN"/>
        </w:rPr>
      </w:pPr>
      <w:r w:rsidRPr="00DB3C80">
        <w:rPr>
          <w:rFonts w:eastAsia="Arial"/>
          <w:sz w:val="24"/>
          <w:szCs w:val="24"/>
          <w:lang w:val="fr-FR" w:eastAsia="zh-CN"/>
        </w:rPr>
        <w:t> </w:t>
      </w:r>
      <w:r w:rsidR="001B68BA">
        <w:rPr>
          <w:rFonts w:eastAsia="Arial"/>
          <w:sz w:val="24"/>
          <w:szCs w:val="24"/>
          <w:lang w:val="fr-FR" w:eastAsia="zh-CN"/>
        </w:rPr>
        <w:tab/>
      </w:r>
      <w:r w:rsidRPr="00DB3C80">
        <w:rPr>
          <w:rFonts w:eastAsia="Arial"/>
          <w:sz w:val="24"/>
          <w:szCs w:val="24"/>
          <w:lang w:val="fr-FR" w:eastAsia="zh-CN"/>
        </w:rPr>
        <w:t xml:space="preserve">Pour informer mon rapport, </w:t>
      </w:r>
      <w:r>
        <w:rPr>
          <w:rFonts w:eastAsia="Arial"/>
          <w:sz w:val="24"/>
          <w:szCs w:val="24"/>
          <w:lang w:val="fr-FR" w:eastAsia="zh-CN"/>
        </w:rPr>
        <w:t xml:space="preserve">j’invite toutes les parties prenantes concernées (Etats Membres, organisations de la société civile, y compris les associations médicales et religieuses, institutions nationales des droits de l’homme, organismes des Nations Unies, institutions régionales, personnes morales, institutions régionales et autres) </w:t>
      </w:r>
      <w:r w:rsidRPr="00DB3C80">
        <w:rPr>
          <w:rFonts w:eastAsia="Arial"/>
          <w:sz w:val="24"/>
          <w:szCs w:val="24"/>
          <w:lang w:val="fr-FR" w:eastAsia="zh-CN"/>
        </w:rPr>
        <w:t xml:space="preserve">à examiner les questions </w:t>
      </w:r>
      <w:proofErr w:type="gramStart"/>
      <w:r w:rsidRPr="00DB3C80">
        <w:rPr>
          <w:rFonts w:eastAsia="Arial"/>
          <w:sz w:val="24"/>
          <w:szCs w:val="24"/>
          <w:lang w:val="fr-FR" w:eastAsia="zh-CN"/>
        </w:rPr>
        <w:t>suivantes:</w:t>
      </w:r>
      <w:proofErr w:type="gramEnd"/>
    </w:p>
    <w:p w14:paraId="06E247C5" w14:textId="77777777" w:rsidR="002947F2" w:rsidRPr="00DB3C80" w:rsidRDefault="002947F2" w:rsidP="006B1051">
      <w:pPr>
        <w:rPr>
          <w:rFonts w:eastAsia="Arial"/>
          <w:sz w:val="24"/>
          <w:szCs w:val="24"/>
          <w:lang w:val="fr-FR" w:eastAsia="zh-CN"/>
        </w:rPr>
      </w:pPr>
    </w:p>
    <w:p w14:paraId="3BDB5DDA" w14:textId="79965F81" w:rsidR="002B3E24" w:rsidRDefault="002B3E24" w:rsidP="006B1051">
      <w:pPr>
        <w:numPr>
          <w:ilvl w:val="0"/>
          <w:numId w:val="28"/>
        </w:numPr>
        <w:rPr>
          <w:rFonts w:eastAsia="Arial"/>
          <w:sz w:val="24"/>
          <w:szCs w:val="24"/>
          <w:lang w:val="fr-FR" w:eastAsia="zh-CN"/>
        </w:rPr>
      </w:pPr>
      <w:r w:rsidRPr="006D3C18">
        <w:rPr>
          <w:rFonts w:eastAsia="Arial"/>
          <w:sz w:val="24"/>
          <w:szCs w:val="24"/>
          <w:lang w:val="fr-FR" w:eastAsia="zh-CN"/>
        </w:rPr>
        <w:t xml:space="preserve">Quelles sont les différentes pratiques qui entrent dans le champ desdites "thérapies de conversion" et quel est le dénominateur commun qui permet de les regrouper sous cette </w:t>
      </w:r>
      <w:proofErr w:type="gramStart"/>
      <w:r w:rsidRPr="006D3C18">
        <w:rPr>
          <w:rFonts w:eastAsia="Arial"/>
          <w:sz w:val="24"/>
          <w:szCs w:val="24"/>
          <w:lang w:val="fr-FR" w:eastAsia="zh-CN"/>
        </w:rPr>
        <w:t>dénomination?</w:t>
      </w:r>
      <w:proofErr w:type="gramEnd"/>
    </w:p>
    <w:p w14:paraId="18DADAD7" w14:textId="77777777" w:rsidR="002947F2" w:rsidRPr="006D3C18" w:rsidRDefault="002947F2" w:rsidP="006B1051">
      <w:pPr>
        <w:ind w:left="720"/>
        <w:rPr>
          <w:rFonts w:eastAsia="Arial"/>
          <w:sz w:val="24"/>
          <w:szCs w:val="24"/>
          <w:lang w:val="fr-FR" w:eastAsia="zh-CN"/>
        </w:rPr>
      </w:pPr>
    </w:p>
    <w:p w14:paraId="69AC469D" w14:textId="274B5370" w:rsidR="002B3E24" w:rsidRDefault="002B3E24" w:rsidP="006B1051">
      <w:pPr>
        <w:numPr>
          <w:ilvl w:val="0"/>
          <w:numId w:val="28"/>
        </w:numPr>
        <w:rPr>
          <w:rFonts w:eastAsia="Arial"/>
          <w:sz w:val="24"/>
          <w:szCs w:val="24"/>
          <w:lang w:val="fr-FR" w:eastAsia="zh-CN"/>
        </w:rPr>
      </w:pPr>
      <w:r w:rsidRPr="00DB3C80">
        <w:rPr>
          <w:rFonts w:eastAsia="Arial"/>
          <w:sz w:val="24"/>
          <w:szCs w:val="24"/>
          <w:lang w:val="fr-FR" w:eastAsia="zh-CN"/>
        </w:rPr>
        <w:t>Existe-t-il des définitions </w:t>
      </w:r>
      <w:r>
        <w:rPr>
          <w:rFonts w:eastAsia="Arial"/>
          <w:sz w:val="24"/>
          <w:szCs w:val="24"/>
          <w:lang w:val="fr-FR" w:eastAsia="zh-CN"/>
        </w:rPr>
        <w:t>qui ont été adoptées ou sont utilisées par</w:t>
      </w:r>
      <w:r w:rsidRPr="00DB3C80">
        <w:rPr>
          <w:rFonts w:eastAsia="Arial"/>
          <w:sz w:val="24"/>
          <w:szCs w:val="24"/>
          <w:lang w:val="fr-FR" w:eastAsia="zh-CN"/>
        </w:rPr>
        <w:t xml:space="preserve"> les États </w:t>
      </w:r>
      <w:r>
        <w:rPr>
          <w:rFonts w:eastAsia="Arial"/>
          <w:sz w:val="24"/>
          <w:szCs w:val="24"/>
          <w:lang w:val="fr-FR" w:eastAsia="zh-CN"/>
        </w:rPr>
        <w:t>pour qualifier</w:t>
      </w:r>
      <w:r w:rsidRPr="00DB3C80">
        <w:rPr>
          <w:rFonts w:eastAsia="Arial"/>
          <w:sz w:val="24"/>
          <w:szCs w:val="24"/>
          <w:lang w:val="fr-FR" w:eastAsia="zh-CN"/>
        </w:rPr>
        <w:t xml:space="preserve"> </w:t>
      </w:r>
      <w:r>
        <w:rPr>
          <w:rFonts w:eastAsia="Arial"/>
          <w:sz w:val="24"/>
          <w:szCs w:val="24"/>
          <w:lang w:val="fr-FR" w:eastAsia="zh-CN"/>
        </w:rPr>
        <w:t>les</w:t>
      </w:r>
      <w:r w:rsidRPr="00DB3C80">
        <w:rPr>
          <w:rFonts w:eastAsia="Arial"/>
          <w:sz w:val="24"/>
          <w:szCs w:val="24"/>
          <w:lang w:val="fr-FR" w:eastAsia="zh-CN"/>
        </w:rPr>
        <w:t xml:space="preserve"> « thérapies de conversion </w:t>
      </w:r>
      <w:proofErr w:type="gramStart"/>
      <w:r w:rsidRPr="00DB3C80">
        <w:rPr>
          <w:rFonts w:eastAsia="Arial"/>
          <w:sz w:val="24"/>
          <w:szCs w:val="24"/>
          <w:lang w:val="fr-FR" w:eastAsia="zh-CN"/>
        </w:rPr>
        <w:t>»? </w:t>
      </w:r>
      <w:proofErr w:type="gramEnd"/>
      <w:r>
        <w:rPr>
          <w:rFonts w:eastAsia="Arial"/>
          <w:sz w:val="24"/>
          <w:szCs w:val="24"/>
          <w:lang w:val="fr-FR" w:eastAsia="zh-CN"/>
        </w:rPr>
        <w:t>Dans l’affirmative, quelles</w:t>
      </w:r>
      <w:r w:rsidRPr="00DB3C80">
        <w:rPr>
          <w:rFonts w:eastAsia="Arial"/>
          <w:sz w:val="24"/>
          <w:szCs w:val="24"/>
          <w:lang w:val="fr-FR" w:eastAsia="zh-CN"/>
        </w:rPr>
        <w:t xml:space="preserve"> sont ces définitions et quel a été le processus </w:t>
      </w:r>
      <w:r>
        <w:rPr>
          <w:rFonts w:eastAsia="Arial"/>
          <w:sz w:val="24"/>
          <w:szCs w:val="24"/>
          <w:lang w:val="fr-FR" w:eastAsia="zh-CN"/>
        </w:rPr>
        <w:t>par</w:t>
      </w:r>
      <w:r w:rsidRPr="00DB3C80">
        <w:rPr>
          <w:rFonts w:eastAsia="Arial"/>
          <w:sz w:val="24"/>
          <w:szCs w:val="24"/>
          <w:lang w:val="fr-FR" w:eastAsia="zh-CN"/>
        </w:rPr>
        <w:t xml:space="preserve"> lequel elles ont été créées ou </w:t>
      </w:r>
      <w:proofErr w:type="gramStart"/>
      <w:r w:rsidRPr="00DB3C80">
        <w:rPr>
          <w:rFonts w:eastAsia="Arial"/>
          <w:sz w:val="24"/>
          <w:szCs w:val="24"/>
          <w:lang w:val="fr-FR" w:eastAsia="zh-CN"/>
        </w:rPr>
        <w:t>adoptées?</w:t>
      </w:r>
      <w:proofErr w:type="gramEnd"/>
    </w:p>
    <w:p w14:paraId="0FCCAC3C" w14:textId="77777777" w:rsidR="002947F2" w:rsidRDefault="002947F2" w:rsidP="006B1051">
      <w:pPr>
        <w:ind w:left="720"/>
        <w:rPr>
          <w:rFonts w:eastAsia="Arial"/>
          <w:sz w:val="24"/>
          <w:szCs w:val="24"/>
          <w:lang w:val="fr-FR" w:eastAsia="zh-CN"/>
        </w:rPr>
      </w:pPr>
    </w:p>
    <w:p w14:paraId="111DEDBF" w14:textId="075523F5" w:rsidR="002B3E24" w:rsidRDefault="002B3E24" w:rsidP="006B1051">
      <w:pPr>
        <w:numPr>
          <w:ilvl w:val="0"/>
          <w:numId w:val="28"/>
        </w:numPr>
        <w:rPr>
          <w:rFonts w:eastAsia="Arial"/>
          <w:sz w:val="24"/>
          <w:szCs w:val="24"/>
          <w:lang w:val="fr-FR" w:eastAsia="zh-CN"/>
        </w:rPr>
      </w:pPr>
      <w:r w:rsidRPr="00D70D1F">
        <w:rPr>
          <w:rFonts w:eastAsia="Arial"/>
          <w:sz w:val="24"/>
          <w:szCs w:val="24"/>
          <w:lang w:val="fr-FR" w:eastAsia="zh-CN"/>
        </w:rPr>
        <w:t xml:space="preserve">Quels sont les efforts </w:t>
      </w:r>
      <w:r>
        <w:rPr>
          <w:rFonts w:eastAsia="Arial"/>
          <w:sz w:val="24"/>
          <w:szCs w:val="24"/>
          <w:lang w:val="fr-FR" w:eastAsia="zh-CN"/>
        </w:rPr>
        <w:t>déployés actuellement par l</w:t>
      </w:r>
      <w:r w:rsidRPr="00D70D1F">
        <w:rPr>
          <w:rFonts w:eastAsia="Arial"/>
          <w:sz w:val="24"/>
          <w:szCs w:val="24"/>
          <w:lang w:val="fr-FR" w:eastAsia="zh-CN"/>
        </w:rPr>
        <w:t xml:space="preserve">es États pour </w:t>
      </w:r>
      <w:r>
        <w:rPr>
          <w:rFonts w:eastAsia="Arial"/>
          <w:sz w:val="24"/>
          <w:szCs w:val="24"/>
          <w:lang w:val="fr-FR" w:eastAsia="zh-CN"/>
        </w:rPr>
        <w:t xml:space="preserve">améliorer </w:t>
      </w:r>
      <w:r w:rsidRPr="00D70D1F">
        <w:rPr>
          <w:rFonts w:eastAsia="Arial"/>
          <w:sz w:val="24"/>
          <w:szCs w:val="24"/>
          <w:lang w:val="fr-FR" w:eastAsia="zh-CN"/>
        </w:rPr>
        <w:t xml:space="preserve">leur connaissance des pratiques </w:t>
      </w:r>
      <w:r>
        <w:rPr>
          <w:rFonts w:eastAsia="Arial"/>
          <w:sz w:val="24"/>
          <w:szCs w:val="24"/>
          <w:lang w:val="fr-FR" w:eastAsia="zh-CN"/>
        </w:rPr>
        <w:t>dits</w:t>
      </w:r>
      <w:r w:rsidRPr="00D70D1F">
        <w:rPr>
          <w:rFonts w:eastAsia="Arial"/>
          <w:sz w:val="24"/>
          <w:szCs w:val="24"/>
          <w:lang w:val="fr-FR" w:eastAsia="zh-CN"/>
        </w:rPr>
        <w:t xml:space="preserve"> « thérapies</w:t>
      </w:r>
      <w:r>
        <w:rPr>
          <w:rFonts w:eastAsia="Arial"/>
          <w:sz w:val="24"/>
          <w:szCs w:val="24"/>
          <w:lang w:val="fr-FR" w:eastAsia="zh-CN"/>
        </w:rPr>
        <w:t xml:space="preserve"> de conversion </w:t>
      </w:r>
      <w:proofErr w:type="gramStart"/>
      <w:r>
        <w:rPr>
          <w:rFonts w:eastAsia="Arial"/>
          <w:sz w:val="24"/>
          <w:szCs w:val="24"/>
          <w:lang w:val="fr-FR" w:eastAsia="zh-CN"/>
        </w:rPr>
        <w:t>»</w:t>
      </w:r>
      <w:r w:rsidRPr="00D70D1F">
        <w:rPr>
          <w:rFonts w:eastAsia="Arial"/>
          <w:sz w:val="24"/>
          <w:szCs w:val="24"/>
          <w:lang w:val="fr-FR" w:eastAsia="zh-CN"/>
        </w:rPr>
        <w:t>? </w:t>
      </w:r>
      <w:proofErr w:type="gramEnd"/>
      <w:r>
        <w:rPr>
          <w:rFonts w:eastAsia="Arial"/>
          <w:sz w:val="24"/>
          <w:szCs w:val="24"/>
          <w:lang w:val="fr-FR" w:eastAsia="zh-CN"/>
        </w:rPr>
        <w:t>D</w:t>
      </w:r>
      <w:r w:rsidRPr="00D70D1F">
        <w:rPr>
          <w:rFonts w:eastAsia="Arial"/>
          <w:sz w:val="24"/>
          <w:szCs w:val="24"/>
          <w:lang w:val="fr-FR" w:eastAsia="zh-CN"/>
        </w:rPr>
        <w:t xml:space="preserve">es efforts </w:t>
      </w:r>
      <w:r>
        <w:rPr>
          <w:rFonts w:eastAsia="Arial"/>
          <w:sz w:val="24"/>
          <w:szCs w:val="24"/>
          <w:lang w:val="fr-FR" w:eastAsia="zh-CN"/>
        </w:rPr>
        <w:t xml:space="preserve">sont-ils déployés </w:t>
      </w:r>
      <w:r w:rsidRPr="00D70D1F">
        <w:rPr>
          <w:rFonts w:eastAsia="Arial"/>
          <w:sz w:val="24"/>
          <w:szCs w:val="24"/>
          <w:lang w:val="fr-FR" w:eastAsia="zh-CN"/>
        </w:rPr>
        <w:t xml:space="preserve">pour </w:t>
      </w:r>
      <w:r>
        <w:rPr>
          <w:rFonts w:eastAsia="Arial"/>
          <w:sz w:val="24"/>
          <w:szCs w:val="24"/>
          <w:lang w:val="fr-FR" w:eastAsia="zh-CN"/>
        </w:rPr>
        <w:t>collecter de l’</w:t>
      </w:r>
      <w:r w:rsidRPr="00D70D1F">
        <w:rPr>
          <w:rFonts w:eastAsia="Arial"/>
          <w:sz w:val="24"/>
          <w:szCs w:val="24"/>
          <w:lang w:val="fr-FR" w:eastAsia="zh-CN"/>
        </w:rPr>
        <w:t xml:space="preserve">information et des données sur ces </w:t>
      </w:r>
      <w:proofErr w:type="gramStart"/>
      <w:r w:rsidRPr="00D70D1F">
        <w:rPr>
          <w:rFonts w:eastAsia="Arial"/>
          <w:sz w:val="24"/>
          <w:szCs w:val="24"/>
          <w:lang w:val="fr-FR" w:eastAsia="zh-CN"/>
        </w:rPr>
        <w:t>pratiques? </w:t>
      </w:r>
      <w:proofErr w:type="gramEnd"/>
    </w:p>
    <w:p w14:paraId="685135B5" w14:textId="77777777" w:rsidR="002947F2" w:rsidRDefault="002947F2" w:rsidP="006B1051">
      <w:pPr>
        <w:ind w:left="360"/>
        <w:rPr>
          <w:rFonts w:eastAsia="Arial"/>
          <w:sz w:val="24"/>
          <w:szCs w:val="24"/>
          <w:lang w:val="fr-FR" w:eastAsia="zh-CN"/>
        </w:rPr>
      </w:pPr>
    </w:p>
    <w:p w14:paraId="443683C4" w14:textId="18C891C1" w:rsidR="002B3E24" w:rsidRDefault="002B3E24" w:rsidP="006B1051">
      <w:pPr>
        <w:numPr>
          <w:ilvl w:val="0"/>
          <w:numId w:val="28"/>
        </w:numPr>
        <w:rPr>
          <w:rFonts w:eastAsia="Arial"/>
          <w:sz w:val="24"/>
          <w:szCs w:val="24"/>
          <w:lang w:val="fr-FR" w:eastAsia="zh-CN"/>
        </w:rPr>
      </w:pPr>
      <w:r w:rsidRPr="00D70D1F">
        <w:rPr>
          <w:rFonts w:eastAsia="Arial"/>
          <w:sz w:val="24"/>
          <w:szCs w:val="24"/>
          <w:lang w:val="fr-FR" w:eastAsia="zh-CN"/>
        </w:rPr>
        <w:t>Quel type d’informations et de données les États collectent-ils pour comprendre la nature et l'étendue des "thérapies de conversion" (par exemple au travers d’inspections, d’enquêtes, ou de sondages</w:t>
      </w:r>
      <w:proofErr w:type="gramStart"/>
      <w:r w:rsidRPr="00D70D1F">
        <w:rPr>
          <w:rFonts w:eastAsia="Arial"/>
          <w:sz w:val="24"/>
          <w:szCs w:val="24"/>
          <w:lang w:val="fr-FR" w:eastAsia="zh-CN"/>
        </w:rPr>
        <w:t>)?</w:t>
      </w:r>
      <w:proofErr w:type="gramEnd"/>
    </w:p>
    <w:p w14:paraId="618C46BE" w14:textId="77777777" w:rsidR="002947F2" w:rsidRDefault="002947F2" w:rsidP="006B1051">
      <w:pPr>
        <w:ind w:left="720"/>
        <w:rPr>
          <w:rFonts w:eastAsia="Arial"/>
          <w:sz w:val="24"/>
          <w:szCs w:val="24"/>
          <w:lang w:val="fr-FR" w:eastAsia="zh-CN"/>
        </w:rPr>
      </w:pPr>
    </w:p>
    <w:p w14:paraId="7A69C5B3" w14:textId="0CF542BD" w:rsidR="002B3E24" w:rsidRDefault="002B3E24" w:rsidP="006B1051">
      <w:pPr>
        <w:numPr>
          <w:ilvl w:val="0"/>
          <w:numId w:val="28"/>
        </w:numPr>
        <w:rPr>
          <w:rFonts w:eastAsia="Arial"/>
          <w:sz w:val="24"/>
          <w:szCs w:val="24"/>
          <w:lang w:val="fr-FR" w:eastAsia="zh-CN"/>
        </w:rPr>
      </w:pPr>
      <w:r w:rsidRPr="00D70D1F">
        <w:rPr>
          <w:rFonts w:eastAsia="Arial"/>
          <w:sz w:val="24"/>
          <w:szCs w:val="24"/>
          <w:lang w:val="fr-FR" w:eastAsia="zh-CN"/>
        </w:rPr>
        <w:t xml:space="preserve">Est-ce que les risques associés aux pratiques dites « thérapies de conversion » ont été </w:t>
      </w:r>
      <w:proofErr w:type="gramStart"/>
      <w:r w:rsidRPr="00D70D1F">
        <w:rPr>
          <w:rFonts w:eastAsia="Arial"/>
          <w:sz w:val="24"/>
          <w:szCs w:val="24"/>
          <w:lang w:val="fr-FR" w:eastAsia="zh-CN"/>
        </w:rPr>
        <w:t>identifiés? </w:t>
      </w:r>
      <w:proofErr w:type="gramEnd"/>
    </w:p>
    <w:p w14:paraId="380DF858" w14:textId="77777777" w:rsidR="002947F2" w:rsidRPr="006D3C18" w:rsidRDefault="002947F2" w:rsidP="006B1051">
      <w:pPr>
        <w:ind w:left="720"/>
        <w:rPr>
          <w:rFonts w:eastAsia="Arial"/>
          <w:sz w:val="24"/>
          <w:szCs w:val="24"/>
          <w:lang w:val="fr-FR" w:eastAsia="zh-CN"/>
        </w:rPr>
      </w:pPr>
    </w:p>
    <w:p w14:paraId="46D25984" w14:textId="4866FF32" w:rsidR="002B3E24" w:rsidRDefault="002B3E24" w:rsidP="006B1051">
      <w:pPr>
        <w:numPr>
          <w:ilvl w:val="0"/>
          <w:numId w:val="28"/>
        </w:numPr>
        <w:rPr>
          <w:rFonts w:eastAsia="Arial"/>
          <w:sz w:val="24"/>
          <w:szCs w:val="24"/>
          <w:lang w:val="fr-FR" w:eastAsia="zh-CN"/>
        </w:rPr>
      </w:pPr>
      <w:r>
        <w:rPr>
          <w:rFonts w:eastAsia="Arial"/>
          <w:sz w:val="24"/>
          <w:szCs w:val="24"/>
          <w:lang w:val="fr-FR" w:eastAsia="zh-CN"/>
        </w:rPr>
        <w:t>L’</w:t>
      </w:r>
      <w:r w:rsidRPr="00D70D1F">
        <w:rPr>
          <w:rFonts w:eastAsia="Arial"/>
          <w:sz w:val="24"/>
          <w:szCs w:val="24"/>
          <w:lang w:val="fr-FR" w:eastAsia="zh-CN"/>
        </w:rPr>
        <w:t xml:space="preserve">'État </w:t>
      </w:r>
      <w:r>
        <w:rPr>
          <w:rFonts w:eastAsia="Arial"/>
          <w:sz w:val="24"/>
          <w:szCs w:val="24"/>
          <w:lang w:val="fr-FR" w:eastAsia="zh-CN"/>
        </w:rPr>
        <w:t xml:space="preserve">s’est-il prononcé sur les </w:t>
      </w:r>
      <w:r w:rsidRPr="00D70D1F">
        <w:rPr>
          <w:rFonts w:eastAsia="Arial"/>
          <w:sz w:val="24"/>
          <w:szCs w:val="24"/>
          <w:lang w:val="fr-FR" w:eastAsia="zh-CN"/>
        </w:rPr>
        <w:t xml:space="preserve">garanties </w:t>
      </w:r>
      <w:r>
        <w:rPr>
          <w:rFonts w:eastAsia="Arial"/>
          <w:sz w:val="24"/>
          <w:szCs w:val="24"/>
          <w:lang w:val="fr-FR" w:eastAsia="zh-CN"/>
        </w:rPr>
        <w:t>considérées comme nécessaires</w:t>
      </w:r>
      <w:r w:rsidRPr="00D70D1F">
        <w:rPr>
          <w:rFonts w:eastAsia="Arial"/>
          <w:sz w:val="24"/>
          <w:szCs w:val="24"/>
          <w:lang w:val="fr-FR" w:eastAsia="zh-CN"/>
        </w:rPr>
        <w:t xml:space="preserve"> et </w:t>
      </w:r>
      <w:r>
        <w:rPr>
          <w:rFonts w:eastAsia="Arial"/>
          <w:sz w:val="24"/>
          <w:szCs w:val="24"/>
          <w:lang w:val="fr-FR" w:eastAsia="zh-CN"/>
        </w:rPr>
        <w:t>les garanties</w:t>
      </w:r>
      <w:r w:rsidRPr="00D70D1F">
        <w:rPr>
          <w:rFonts w:eastAsia="Arial"/>
          <w:sz w:val="24"/>
          <w:szCs w:val="24"/>
          <w:lang w:val="fr-FR" w:eastAsia="zh-CN"/>
        </w:rPr>
        <w:t xml:space="preserve"> en place pour protéger les droits </w:t>
      </w:r>
      <w:r>
        <w:rPr>
          <w:rFonts w:eastAsia="Arial"/>
          <w:sz w:val="24"/>
          <w:szCs w:val="24"/>
          <w:lang w:val="fr-FR" w:eastAsia="zh-CN"/>
        </w:rPr>
        <w:t>de l’homme</w:t>
      </w:r>
      <w:r w:rsidRPr="00D70D1F">
        <w:rPr>
          <w:rFonts w:eastAsia="Arial"/>
          <w:sz w:val="24"/>
          <w:szCs w:val="24"/>
          <w:lang w:val="fr-FR" w:eastAsia="zh-CN"/>
        </w:rPr>
        <w:t xml:space="preserve"> des individus en relation avec les pratiques </w:t>
      </w:r>
      <w:r>
        <w:rPr>
          <w:rFonts w:eastAsia="Arial"/>
          <w:sz w:val="24"/>
          <w:szCs w:val="24"/>
          <w:lang w:val="fr-FR" w:eastAsia="zh-CN"/>
        </w:rPr>
        <w:t>dites</w:t>
      </w:r>
      <w:r w:rsidRPr="00D70D1F">
        <w:rPr>
          <w:rFonts w:eastAsia="Arial"/>
          <w:sz w:val="24"/>
          <w:szCs w:val="24"/>
          <w:lang w:val="fr-FR" w:eastAsia="zh-CN"/>
        </w:rPr>
        <w:t xml:space="preserve"> « thérapies de conversion » ? Cette question comprend les éléments </w:t>
      </w:r>
      <w:proofErr w:type="gramStart"/>
      <w:r w:rsidRPr="00D70D1F">
        <w:rPr>
          <w:rFonts w:eastAsia="Arial"/>
          <w:sz w:val="24"/>
          <w:szCs w:val="24"/>
          <w:lang w:val="fr-FR" w:eastAsia="zh-CN"/>
        </w:rPr>
        <w:t>suivants:</w:t>
      </w:r>
      <w:proofErr w:type="gramEnd"/>
      <w:r w:rsidRPr="00D70D1F">
        <w:rPr>
          <w:rFonts w:eastAsia="Arial"/>
          <w:sz w:val="24"/>
          <w:szCs w:val="24"/>
          <w:lang w:val="fr-FR" w:eastAsia="zh-CN"/>
        </w:rPr>
        <w:t> </w:t>
      </w:r>
    </w:p>
    <w:p w14:paraId="325901E6" w14:textId="77777777" w:rsidR="002947F2" w:rsidRDefault="002947F2" w:rsidP="006B1051">
      <w:pPr>
        <w:ind w:left="720"/>
        <w:rPr>
          <w:rFonts w:eastAsia="Arial"/>
          <w:sz w:val="24"/>
          <w:szCs w:val="24"/>
          <w:lang w:val="fr-FR" w:eastAsia="zh-CN"/>
        </w:rPr>
      </w:pPr>
    </w:p>
    <w:p w14:paraId="0EC0EF9A" w14:textId="77777777" w:rsidR="002B3E24" w:rsidRPr="006A516F" w:rsidRDefault="002B3E24" w:rsidP="006B1051">
      <w:pPr>
        <w:pStyle w:val="NormalWeb"/>
        <w:numPr>
          <w:ilvl w:val="2"/>
          <w:numId w:val="29"/>
        </w:numPr>
        <w:spacing w:before="0" w:beforeAutospacing="0" w:after="0" w:afterAutospacing="0"/>
        <w:ind w:left="1418"/>
        <w:rPr>
          <w:color w:val="000000" w:themeColor="text1"/>
          <w:sz w:val="22"/>
          <w:szCs w:val="22"/>
          <w:lang w:val="fr-FR"/>
        </w:rPr>
      </w:pPr>
      <w:r w:rsidRPr="00451005">
        <w:rPr>
          <w:rFonts w:eastAsia="Arial"/>
          <w:lang w:val="fr-FR" w:eastAsia="zh-CN"/>
        </w:rPr>
        <w:t xml:space="preserve">Mesures de protection pour éviter que les personnes ne soient soumises à </w:t>
      </w:r>
      <w:r>
        <w:rPr>
          <w:rFonts w:eastAsia="Arial"/>
          <w:lang w:val="fr-FR" w:eastAsia="zh-CN"/>
        </w:rPr>
        <w:t>des « </w:t>
      </w:r>
      <w:r w:rsidRPr="00451005">
        <w:rPr>
          <w:rFonts w:eastAsia="Arial"/>
          <w:lang w:val="fr-FR" w:eastAsia="zh-CN"/>
        </w:rPr>
        <w:t>thérapie</w:t>
      </w:r>
      <w:r>
        <w:rPr>
          <w:rFonts w:eastAsia="Arial"/>
          <w:lang w:val="fr-FR" w:eastAsia="zh-CN"/>
        </w:rPr>
        <w:t>s</w:t>
      </w:r>
      <w:r w:rsidRPr="00451005">
        <w:rPr>
          <w:rFonts w:eastAsia="Arial"/>
          <w:lang w:val="fr-FR" w:eastAsia="zh-CN"/>
        </w:rPr>
        <w:t xml:space="preserve"> de conversion</w:t>
      </w:r>
      <w:r>
        <w:rPr>
          <w:rFonts w:eastAsia="Arial"/>
          <w:lang w:val="fr-FR" w:eastAsia="zh-CN"/>
        </w:rPr>
        <w:t> »</w:t>
      </w:r>
      <w:r w:rsidRPr="00451005">
        <w:rPr>
          <w:rFonts w:eastAsia="Arial"/>
          <w:lang w:val="fr-FR" w:eastAsia="zh-CN"/>
        </w:rPr>
        <w:t>.</w:t>
      </w:r>
      <w:r w:rsidRPr="00451005" w:rsidDel="00451005">
        <w:rPr>
          <w:rFonts w:eastAsia="Arial"/>
          <w:lang w:val="fr-FR" w:eastAsia="zh-CN"/>
        </w:rPr>
        <w:t xml:space="preserve"> </w:t>
      </w:r>
    </w:p>
    <w:p w14:paraId="1AB4A7D6" w14:textId="7342BD45" w:rsidR="002B3E24" w:rsidRDefault="002B3E24" w:rsidP="006B1051">
      <w:pPr>
        <w:pStyle w:val="NormalWeb"/>
        <w:numPr>
          <w:ilvl w:val="2"/>
          <w:numId w:val="29"/>
        </w:numPr>
        <w:spacing w:before="0" w:beforeAutospacing="0" w:after="0" w:afterAutospacing="0"/>
        <w:ind w:left="1418"/>
        <w:rPr>
          <w:rFonts w:eastAsia="Arial"/>
          <w:lang w:val="fr-FR" w:eastAsia="zh-CN"/>
        </w:rPr>
      </w:pPr>
      <w:r w:rsidRPr="00B23B45">
        <w:rPr>
          <w:rFonts w:eastAsia="Arial"/>
          <w:lang w:val="fr-FR" w:eastAsia="zh-CN"/>
        </w:rPr>
        <w:lastRenderedPageBreak/>
        <w:t xml:space="preserve">Elargissement des règles prévues par la loi ou des politiques administratives pour tenir les fournisseurs de soins de santé et </w:t>
      </w:r>
      <w:r w:rsidRPr="006A516F">
        <w:rPr>
          <w:rFonts w:eastAsia="Arial"/>
          <w:lang w:val="fr-FR" w:eastAsia="zh-CN"/>
        </w:rPr>
        <w:t xml:space="preserve">autres personnes </w:t>
      </w:r>
      <w:r w:rsidRPr="006D3C18">
        <w:rPr>
          <w:rFonts w:eastAsia="Arial"/>
          <w:lang w:val="fr-FR" w:eastAsia="zh-CN"/>
        </w:rPr>
        <w:t>pratiquant ces « thérapies de conversion »</w:t>
      </w:r>
      <w:r w:rsidRPr="006A516F">
        <w:rPr>
          <w:rFonts w:eastAsia="Arial"/>
          <w:lang w:val="fr-FR" w:eastAsia="zh-CN"/>
        </w:rPr>
        <w:t xml:space="preserve"> responsables. </w:t>
      </w:r>
    </w:p>
    <w:p w14:paraId="62640776" w14:textId="77777777" w:rsidR="002947F2" w:rsidRPr="00602B9D" w:rsidRDefault="002947F2" w:rsidP="006B1051">
      <w:pPr>
        <w:pStyle w:val="NormalWeb"/>
        <w:spacing w:before="0" w:beforeAutospacing="0" w:after="0" w:afterAutospacing="0"/>
        <w:ind w:left="1418"/>
        <w:rPr>
          <w:rFonts w:eastAsia="Arial"/>
          <w:lang w:val="fr-FR" w:eastAsia="zh-CN"/>
        </w:rPr>
      </w:pPr>
    </w:p>
    <w:p w14:paraId="1F977BC2" w14:textId="021AA24F" w:rsidR="002B3E24" w:rsidRDefault="002B3E24" w:rsidP="006B1051">
      <w:pPr>
        <w:numPr>
          <w:ilvl w:val="0"/>
          <w:numId w:val="28"/>
        </w:numPr>
        <w:rPr>
          <w:rFonts w:eastAsia="Arial"/>
          <w:sz w:val="24"/>
          <w:szCs w:val="24"/>
          <w:lang w:val="fr-FR" w:eastAsia="zh-CN"/>
        </w:rPr>
      </w:pPr>
      <w:r w:rsidRPr="00B23B45">
        <w:rPr>
          <w:rFonts w:eastAsia="Arial"/>
          <w:sz w:val="24"/>
          <w:szCs w:val="24"/>
          <w:lang w:val="fr-FR" w:eastAsia="zh-CN"/>
        </w:rPr>
        <w:t>Existe-t-il des institutions, organisations ou entités publiques impliquées dans la mise en œuvre de pratiques dites « thérapies</w:t>
      </w:r>
      <w:r>
        <w:rPr>
          <w:rFonts w:eastAsia="Arial"/>
          <w:sz w:val="24"/>
          <w:szCs w:val="24"/>
          <w:lang w:val="fr-FR" w:eastAsia="zh-CN"/>
        </w:rPr>
        <w:t xml:space="preserve"> de conversion </w:t>
      </w:r>
      <w:proofErr w:type="gramStart"/>
      <w:r>
        <w:rPr>
          <w:rFonts w:eastAsia="Arial"/>
          <w:sz w:val="24"/>
          <w:szCs w:val="24"/>
          <w:lang w:val="fr-FR" w:eastAsia="zh-CN"/>
        </w:rPr>
        <w:t>»? </w:t>
      </w:r>
      <w:proofErr w:type="gramEnd"/>
      <w:r>
        <w:rPr>
          <w:rFonts w:eastAsia="Arial"/>
          <w:sz w:val="24"/>
          <w:szCs w:val="24"/>
          <w:lang w:val="fr-FR" w:eastAsia="zh-CN"/>
        </w:rPr>
        <w:t xml:space="preserve">Dans l’affirmative, sur la base de quels critères ces pratiques </w:t>
      </w:r>
      <w:proofErr w:type="spellStart"/>
      <w:r>
        <w:rPr>
          <w:rFonts w:eastAsia="Arial"/>
          <w:sz w:val="24"/>
          <w:szCs w:val="24"/>
          <w:lang w:val="fr-FR" w:eastAsia="zh-CN"/>
        </w:rPr>
        <w:t>ont-elles</w:t>
      </w:r>
      <w:proofErr w:type="spellEnd"/>
      <w:r>
        <w:rPr>
          <w:rFonts w:eastAsia="Arial"/>
          <w:sz w:val="24"/>
          <w:szCs w:val="24"/>
          <w:lang w:val="fr-FR" w:eastAsia="zh-CN"/>
        </w:rPr>
        <w:t xml:space="preserve"> été considérées comme une </w:t>
      </w:r>
      <w:r w:rsidRPr="00B23B45">
        <w:rPr>
          <w:rFonts w:eastAsia="Arial"/>
          <w:sz w:val="24"/>
          <w:szCs w:val="24"/>
          <w:lang w:val="fr-FR" w:eastAsia="zh-CN"/>
        </w:rPr>
        <w:t xml:space="preserve">forme </w:t>
      </w:r>
      <w:r>
        <w:rPr>
          <w:rFonts w:eastAsia="Arial"/>
          <w:sz w:val="24"/>
          <w:szCs w:val="24"/>
          <w:lang w:val="fr-FR" w:eastAsia="zh-CN"/>
        </w:rPr>
        <w:t>valide</w:t>
      </w:r>
      <w:r w:rsidRPr="00B23B45">
        <w:rPr>
          <w:rFonts w:eastAsia="Arial"/>
          <w:sz w:val="24"/>
          <w:szCs w:val="24"/>
          <w:lang w:val="fr-FR" w:eastAsia="zh-CN"/>
        </w:rPr>
        <w:t xml:space="preserve"> d'action </w:t>
      </w:r>
      <w:r>
        <w:rPr>
          <w:rFonts w:eastAsia="Arial"/>
          <w:sz w:val="24"/>
          <w:szCs w:val="24"/>
          <w:lang w:val="fr-FR" w:eastAsia="zh-CN"/>
        </w:rPr>
        <w:t xml:space="preserve">de </w:t>
      </w:r>
      <w:proofErr w:type="gramStart"/>
      <w:r>
        <w:rPr>
          <w:rFonts w:eastAsia="Arial"/>
          <w:sz w:val="24"/>
          <w:szCs w:val="24"/>
          <w:lang w:val="fr-FR" w:eastAsia="zh-CN"/>
        </w:rPr>
        <w:t>l</w:t>
      </w:r>
      <w:r w:rsidRPr="00B23B45">
        <w:rPr>
          <w:rFonts w:eastAsia="Arial"/>
          <w:sz w:val="24"/>
          <w:szCs w:val="24"/>
          <w:lang w:val="fr-FR" w:eastAsia="zh-CN"/>
        </w:rPr>
        <w:t>'État?</w:t>
      </w:r>
      <w:proofErr w:type="gramEnd"/>
    </w:p>
    <w:p w14:paraId="52D15DA8" w14:textId="77777777" w:rsidR="002947F2" w:rsidRDefault="002947F2" w:rsidP="006B1051">
      <w:pPr>
        <w:ind w:left="720"/>
        <w:rPr>
          <w:rFonts w:eastAsia="Arial"/>
          <w:sz w:val="24"/>
          <w:szCs w:val="24"/>
          <w:lang w:val="fr-FR" w:eastAsia="zh-CN"/>
        </w:rPr>
      </w:pPr>
    </w:p>
    <w:p w14:paraId="1173921A" w14:textId="1C218F23" w:rsidR="002B3E24" w:rsidRDefault="002B3E24" w:rsidP="006B1051">
      <w:pPr>
        <w:numPr>
          <w:ilvl w:val="0"/>
          <w:numId w:val="28"/>
        </w:numPr>
        <w:rPr>
          <w:rFonts w:eastAsia="Arial"/>
          <w:sz w:val="24"/>
          <w:szCs w:val="24"/>
          <w:lang w:val="fr-FR" w:eastAsia="zh-CN"/>
        </w:rPr>
      </w:pPr>
      <w:r w:rsidRPr="00D86FE3">
        <w:rPr>
          <w:rFonts w:eastAsia="Arial"/>
          <w:sz w:val="24"/>
          <w:szCs w:val="24"/>
          <w:lang w:val="fr-FR" w:eastAsia="zh-CN"/>
        </w:rPr>
        <w:t xml:space="preserve">Des institutions </w:t>
      </w:r>
      <w:r>
        <w:rPr>
          <w:rFonts w:eastAsia="Arial"/>
          <w:sz w:val="24"/>
          <w:szCs w:val="24"/>
          <w:lang w:val="fr-FR" w:eastAsia="zh-CN"/>
        </w:rPr>
        <w:t>étatiques</w:t>
      </w:r>
      <w:r w:rsidRPr="00D86FE3">
        <w:rPr>
          <w:rFonts w:eastAsia="Arial"/>
          <w:sz w:val="24"/>
          <w:szCs w:val="24"/>
          <w:lang w:val="fr-FR" w:eastAsia="zh-CN"/>
        </w:rPr>
        <w:t xml:space="preserve"> </w:t>
      </w:r>
      <w:proofErr w:type="spellStart"/>
      <w:r w:rsidRPr="00D86FE3">
        <w:rPr>
          <w:rFonts w:eastAsia="Arial"/>
          <w:sz w:val="24"/>
          <w:szCs w:val="24"/>
          <w:lang w:val="fr-FR" w:eastAsia="zh-CN"/>
        </w:rPr>
        <w:t>ont-elles</w:t>
      </w:r>
      <w:proofErr w:type="spellEnd"/>
      <w:r w:rsidRPr="00D86FE3">
        <w:rPr>
          <w:rFonts w:eastAsia="Arial"/>
          <w:sz w:val="24"/>
          <w:szCs w:val="24"/>
          <w:lang w:val="fr-FR" w:eastAsia="zh-CN"/>
        </w:rPr>
        <w:t xml:space="preserve"> pris position en ce qui concerne les pratiques </w:t>
      </w:r>
      <w:r>
        <w:rPr>
          <w:rFonts w:eastAsia="Arial"/>
          <w:sz w:val="24"/>
          <w:szCs w:val="24"/>
          <w:lang w:val="fr-FR" w:eastAsia="zh-CN"/>
        </w:rPr>
        <w:t xml:space="preserve">dites </w:t>
      </w:r>
      <w:r w:rsidRPr="00D86FE3">
        <w:rPr>
          <w:rFonts w:eastAsia="Arial"/>
          <w:sz w:val="24"/>
          <w:szCs w:val="24"/>
          <w:lang w:val="fr-FR" w:eastAsia="zh-CN"/>
        </w:rPr>
        <w:t>« thérapies de conversion », en particulier :</w:t>
      </w:r>
    </w:p>
    <w:p w14:paraId="4E7CFDC4" w14:textId="77777777" w:rsidR="002947F2" w:rsidRDefault="002947F2" w:rsidP="006B1051">
      <w:pPr>
        <w:ind w:left="720"/>
        <w:rPr>
          <w:rFonts w:eastAsia="Arial"/>
          <w:sz w:val="24"/>
          <w:szCs w:val="24"/>
          <w:lang w:val="fr-FR" w:eastAsia="zh-CN"/>
        </w:rPr>
      </w:pPr>
    </w:p>
    <w:p w14:paraId="19B8B402" w14:textId="77777777" w:rsidR="002B3E24" w:rsidRPr="00D86FE3" w:rsidRDefault="002B3E24" w:rsidP="006B1051">
      <w:pPr>
        <w:numPr>
          <w:ilvl w:val="1"/>
          <w:numId w:val="30"/>
        </w:numPr>
        <w:rPr>
          <w:rFonts w:eastAsia="Arial"/>
          <w:sz w:val="24"/>
          <w:szCs w:val="24"/>
          <w:lang w:val="fr-FR" w:eastAsia="zh-CN"/>
        </w:rPr>
      </w:pPr>
      <w:r w:rsidRPr="00D86FE3">
        <w:rPr>
          <w:rFonts w:eastAsia="Arial"/>
          <w:sz w:val="24"/>
          <w:szCs w:val="24"/>
          <w:lang w:val="fr-FR" w:eastAsia="zh-CN"/>
        </w:rPr>
        <w:t xml:space="preserve">Des entités ou branches de l’État </w:t>
      </w:r>
      <w:r>
        <w:rPr>
          <w:rFonts w:eastAsia="Arial"/>
          <w:sz w:val="24"/>
          <w:szCs w:val="24"/>
          <w:lang w:val="fr-FR" w:eastAsia="zh-CN"/>
        </w:rPr>
        <w:t>chargées des politiques publiques ;</w:t>
      </w:r>
    </w:p>
    <w:p w14:paraId="5DDE6BEB" w14:textId="77777777" w:rsidR="002B3E24" w:rsidRPr="00DB3C80" w:rsidRDefault="002B3E24" w:rsidP="006B1051">
      <w:pPr>
        <w:numPr>
          <w:ilvl w:val="1"/>
          <w:numId w:val="30"/>
        </w:numPr>
        <w:rPr>
          <w:rFonts w:eastAsia="Arial"/>
          <w:sz w:val="24"/>
          <w:szCs w:val="24"/>
          <w:lang w:eastAsia="zh-CN"/>
        </w:rPr>
      </w:pPr>
      <w:r>
        <w:rPr>
          <w:rFonts w:eastAsia="Arial"/>
          <w:sz w:val="24"/>
          <w:szCs w:val="24"/>
          <w:lang w:val="fr-FR" w:eastAsia="zh-CN"/>
        </w:rPr>
        <w:t xml:space="preserve">Des </w:t>
      </w:r>
      <w:proofErr w:type="spellStart"/>
      <w:r w:rsidRPr="00DB3C80">
        <w:rPr>
          <w:rFonts w:eastAsia="Arial"/>
          <w:sz w:val="24"/>
          <w:szCs w:val="24"/>
          <w:lang w:eastAsia="zh-CN"/>
        </w:rPr>
        <w:t>organes</w:t>
      </w:r>
      <w:proofErr w:type="spellEnd"/>
      <w:r w:rsidRPr="00DB3C80">
        <w:rPr>
          <w:rFonts w:eastAsia="Arial"/>
          <w:sz w:val="24"/>
          <w:szCs w:val="24"/>
          <w:lang w:eastAsia="zh-CN"/>
        </w:rPr>
        <w:t xml:space="preserve"> </w:t>
      </w:r>
      <w:proofErr w:type="spellStart"/>
      <w:proofErr w:type="gramStart"/>
      <w:r w:rsidRPr="00DB3C80">
        <w:rPr>
          <w:rFonts w:eastAsia="Arial"/>
          <w:sz w:val="24"/>
          <w:szCs w:val="24"/>
          <w:lang w:eastAsia="zh-CN"/>
        </w:rPr>
        <w:t>parlementaires</w:t>
      </w:r>
      <w:proofErr w:type="spellEnd"/>
      <w:r w:rsidRPr="00DB3C80">
        <w:rPr>
          <w:rFonts w:eastAsia="Arial"/>
          <w:sz w:val="24"/>
          <w:szCs w:val="24"/>
          <w:lang w:eastAsia="zh-CN"/>
        </w:rPr>
        <w:t>;</w:t>
      </w:r>
      <w:proofErr w:type="gramEnd"/>
    </w:p>
    <w:p w14:paraId="38DF033E" w14:textId="77777777" w:rsidR="002B3E24" w:rsidRPr="00DB3C80" w:rsidRDefault="002B3E24" w:rsidP="006B1051">
      <w:pPr>
        <w:numPr>
          <w:ilvl w:val="1"/>
          <w:numId w:val="30"/>
        </w:numPr>
        <w:rPr>
          <w:rFonts w:eastAsia="Arial"/>
          <w:sz w:val="24"/>
          <w:szCs w:val="24"/>
          <w:lang w:eastAsia="zh-CN"/>
        </w:rPr>
      </w:pPr>
      <w:r>
        <w:rPr>
          <w:rFonts w:eastAsia="Arial"/>
          <w:sz w:val="24"/>
          <w:szCs w:val="24"/>
          <w:lang w:eastAsia="zh-CN"/>
        </w:rPr>
        <w:t>L</w:t>
      </w:r>
      <w:r w:rsidRPr="00DB3C80">
        <w:rPr>
          <w:rFonts w:eastAsia="Arial"/>
          <w:sz w:val="24"/>
          <w:szCs w:val="24"/>
          <w:lang w:eastAsia="zh-CN"/>
        </w:rPr>
        <w:t xml:space="preserve">e </w:t>
      </w:r>
      <w:proofErr w:type="spellStart"/>
      <w:r w:rsidRPr="00DB3C80">
        <w:rPr>
          <w:rFonts w:eastAsia="Arial"/>
          <w:sz w:val="24"/>
          <w:szCs w:val="24"/>
          <w:lang w:eastAsia="zh-CN"/>
        </w:rPr>
        <w:t>pouvoir</w:t>
      </w:r>
      <w:proofErr w:type="spellEnd"/>
      <w:r w:rsidRPr="00DB3C80">
        <w:rPr>
          <w:rFonts w:eastAsia="Arial"/>
          <w:sz w:val="24"/>
          <w:szCs w:val="24"/>
          <w:lang w:eastAsia="zh-CN"/>
        </w:rPr>
        <w:t xml:space="preserve"> </w:t>
      </w:r>
      <w:proofErr w:type="spellStart"/>
      <w:r w:rsidRPr="00DB3C80">
        <w:rPr>
          <w:rFonts w:eastAsia="Arial"/>
          <w:sz w:val="24"/>
          <w:szCs w:val="24"/>
          <w:lang w:eastAsia="zh-CN"/>
        </w:rPr>
        <w:t>judiciaire</w:t>
      </w:r>
      <w:proofErr w:type="spellEnd"/>
      <w:r w:rsidRPr="00DB3C80">
        <w:rPr>
          <w:rFonts w:eastAsia="Arial"/>
          <w:sz w:val="24"/>
          <w:szCs w:val="24"/>
          <w:lang w:eastAsia="zh-CN"/>
        </w:rPr>
        <w:t>;</w:t>
      </w:r>
    </w:p>
    <w:p w14:paraId="5E8C3870" w14:textId="77777777" w:rsidR="002B3E24" w:rsidRPr="00DB3C80" w:rsidRDefault="002B3E24" w:rsidP="006B1051">
      <w:pPr>
        <w:numPr>
          <w:ilvl w:val="1"/>
          <w:numId w:val="30"/>
        </w:numPr>
        <w:rPr>
          <w:rFonts w:eastAsia="Arial"/>
          <w:sz w:val="24"/>
          <w:szCs w:val="24"/>
          <w:lang w:val="fr-FR" w:eastAsia="zh-CN"/>
        </w:rPr>
      </w:pPr>
      <w:r>
        <w:rPr>
          <w:rFonts w:eastAsia="Arial"/>
          <w:sz w:val="24"/>
          <w:szCs w:val="24"/>
          <w:lang w:val="fr-FR" w:eastAsia="zh-CN"/>
        </w:rPr>
        <w:t>Les i</w:t>
      </w:r>
      <w:r w:rsidRPr="00DB3C80">
        <w:rPr>
          <w:rFonts w:eastAsia="Arial"/>
          <w:sz w:val="24"/>
          <w:szCs w:val="24"/>
          <w:lang w:val="fr-FR" w:eastAsia="zh-CN"/>
        </w:rPr>
        <w:t xml:space="preserve">nstitutions nationales des droits de l'homme ou autres institutions de </w:t>
      </w:r>
      <w:proofErr w:type="gramStart"/>
      <w:r>
        <w:rPr>
          <w:rFonts w:eastAsia="Arial"/>
          <w:sz w:val="24"/>
          <w:szCs w:val="24"/>
          <w:lang w:val="fr-FR" w:eastAsia="zh-CN"/>
        </w:rPr>
        <w:t>publiques;</w:t>
      </w:r>
      <w:proofErr w:type="gramEnd"/>
    </w:p>
    <w:p w14:paraId="445E1580" w14:textId="5ED5C010" w:rsidR="002B3E24" w:rsidRDefault="002B3E24" w:rsidP="006B1051">
      <w:pPr>
        <w:numPr>
          <w:ilvl w:val="1"/>
          <w:numId w:val="30"/>
        </w:numPr>
        <w:rPr>
          <w:rFonts w:eastAsia="Arial"/>
          <w:sz w:val="24"/>
          <w:szCs w:val="24"/>
          <w:lang w:val="fr-FR" w:eastAsia="zh-CN"/>
        </w:rPr>
      </w:pPr>
      <w:r>
        <w:rPr>
          <w:rFonts w:eastAsia="Arial"/>
          <w:sz w:val="24"/>
          <w:szCs w:val="24"/>
          <w:lang w:val="fr-FR" w:eastAsia="zh-CN"/>
        </w:rPr>
        <w:t>T</w:t>
      </w:r>
      <w:r w:rsidRPr="00DB3C80">
        <w:rPr>
          <w:rFonts w:eastAsia="Arial"/>
          <w:sz w:val="24"/>
          <w:szCs w:val="24"/>
          <w:lang w:val="fr-FR" w:eastAsia="zh-CN"/>
        </w:rPr>
        <w:t>oute autre entité ou organisation.</w:t>
      </w:r>
    </w:p>
    <w:p w14:paraId="493613BB" w14:textId="77777777" w:rsidR="002947F2" w:rsidRPr="00DB3C80" w:rsidRDefault="002947F2" w:rsidP="006B1051">
      <w:pPr>
        <w:ind w:left="1440"/>
        <w:rPr>
          <w:rFonts w:eastAsia="Arial"/>
          <w:sz w:val="24"/>
          <w:szCs w:val="24"/>
          <w:lang w:val="fr-FR" w:eastAsia="zh-CN"/>
        </w:rPr>
      </w:pPr>
    </w:p>
    <w:p w14:paraId="686BB028" w14:textId="727EA833" w:rsidR="002B3E24" w:rsidRDefault="002B3E24" w:rsidP="006B1051">
      <w:pPr>
        <w:ind w:firstLine="720"/>
        <w:rPr>
          <w:rFonts w:eastAsia="Arial"/>
          <w:sz w:val="24"/>
          <w:szCs w:val="24"/>
          <w:lang w:val="fr-FR" w:eastAsia="zh-CN"/>
        </w:rPr>
      </w:pPr>
      <w:r w:rsidRPr="00DB3C80">
        <w:rPr>
          <w:rFonts w:eastAsia="Arial"/>
          <w:sz w:val="24"/>
          <w:szCs w:val="24"/>
          <w:lang w:val="fr-FR" w:eastAsia="zh-CN"/>
        </w:rPr>
        <w:t> Les réponses aux questions ci-dessus peuvent être soumises en anglais, français ou espagnol et en format Word.</w:t>
      </w:r>
    </w:p>
    <w:p w14:paraId="0007ADEF" w14:textId="77777777" w:rsidR="002947F2" w:rsidRPr="00DB3C80" w:rsidRDefault="002947F2" w:rsidP="006B1051">
      <w:pPr>
        <w:rPr>
          <w:rFonts w:eastAsia="Arial"/>
          <w:sz w:val="24"/>
          <w:szCs w:val="24"/>
          <w:lang w:val="fr-FR" w:eastAsia="zh-CN"/>
        </w:rPr>
      </w:pPr>
    </w:p>
    <w:p w14:paraId="0651D483" w14:textId="6F140A07" w:rsidR="002B3E24" w:rsidRDefault="002B3E24" w:rsidP="006B1051">
      <w:pPr>
        <w:ind w:firstLine="720"/>
        <w:rPr>
          <w:rFonts w:eastAsia="Arial"/>
          <w:b/>
          <w:bCs/>
          <w:sz w:val="24"/>
          <w:szCs w:val="24"/>
          <w:lang w:val="fr-FR" w:eastAsia="zh-CN"/>
        </w:rPr>
      </w:pPr>
      <w:r w:rsidRPr="00DB3C80">
        <w:rPr>
          <w:rFonts w:eastAsia="Arial"/>
          <w:sz w:val="24"/>
          <w:szCs w:val="24"/>
          <w:lang w:val="fr-FR" w:eastAsia="zh-CN"/>
        </w:rPr>
        <w:t> </w:t>
      </w:r>
      <w:r>
        <w:rPr>
          <w:rFonts w:eastAsia="Arial"/>
          <w:b/>
          <w:bCs/>
          <w:sz w:val="24"/>
          <w:szCs w:val="24"/>
          <w:lang w:val="fr-FR" w:eastAsia="zh-CN"/>
        </w:rPr>
        <w:t>Si vous souhaitez que</w:t>
      </w:r>
      <w:r w:rsidRPr="00DB3C80">
        <w:rPr>
          <w:rFonts w:eastAsia="Arial"/>
          <w:b/>
          <w:bCs/>
          <w:sz w:val="24"/>
          <w:szCs w:val="24"/>
          <w:lang w:val="fr-FR" w:eastAsia="zh-CN"/>
        </w:rPr>
        <w:t xml:space="preserve"> vos soumissions restent confidentielles, vous </w:t>
      </w:r>
      <w:r>
        <w:rPr>
          <w:rFonts w:eastAsia="Arial"/>
          <w:b/>
          <w:bCs/>
          <w:sz w:val="24"/>
          <w:szCs w:val="24"/>
          <w:lang w:val="fr-FR" w:eastAsia="zh-CN"/>
        </w:rPr>
        <w:t>êtes priés d’en faire la demande explicite dans votre soumission</w:t>
      </w:r>
      <w:r w:rsidRPr="00DB3C80">
        <w:rPr>
          <w:rFonts w:eastAsia="Arial"/>
          <w:b/>
          <w:bCs/>
          <w:sz w:val="24"/>
          <w:szCs w:val="24"/>
          <w:lang w:val="fr-FR" w:eastAsia="zh-CN"/>
        </w:rPr>
        <w:t>. </w:t>
      </w:r>
      <w:r>
        <w:rPr>
          <w:rFonts w:eastAsia="Arial"/>
          <w:b/>
          <w:bCs/>
          <w:sz w:val="24"/>
          <w:szCs w:val="24"/>
          <w:lang w:val="fr-FR" w:eastAsia="zh-CN"/>
        </w:rPr>
        <w:t xml:space="preserve">Dans le cas contraire, l’information sera </w:t>
      </w:r>
      <w:r w:rsidRPr="00DB3C80">
        <w:rPr>
          <w:rFonts w:eastAsia="Arial"/>
          <w:b/>
          <w:bCs/>
          <w:sz w:val="24"/>
          <w:szCs w:val="24"/>
          <w:lang w:val="fr-FR" w:eastAsia="zh-CN"/>
        </w:rPr>
        <w:t>publiée dans le référentiel de documents du mandat et </w:t>
      </w:r>
      <w:r>
        <w:rPr>
          <w:rFonts w:eastAsia="Arial"/>
          <w:b/>
          <w:bCs/>
          <w:sz w:val="24"/>
          <w:szCs w:val="24"/>
          <w:lang w:val="fr-FR" w:eastAsia="zh-CN"/>
        </w:rPr>
        <w:t>pourra</w:t>
      </w:r>
      <w:r w:rsidRPr="00DB3C80">
        <w:rPr>
          <w:rFonts w:eastAsia="Arial"/>
          <w:b/>
          <w:bCs/>
          <w:sz w:val="24"/>
          <w:szCs w:val="24"/>
          <w:lang w:val="fr-FR" w:eastAsia="zh-CN"/>
        </w:rPr>
        <w:t xml:space="preserve"> être référencée dans le rapport.</w:t>
      </w:r>
    </w:p>
    <w:p w14:paraId="6ED1A00F" w14:textId="77777777" w:rsidR="002947F2" w:rsidRPr="00DB3C80" w:rsidRDefault="002947F2" w:rsidP="006B1051">
      <w:pPr>
        <w:ind w:firstLine="720"/>
        <w:rPr>
          <w:rFonts w:eastAsia="Arial"/>
          <w:sz w:val="24"/>
          <w:szCs w:val="24"/>
          <w:lang w:val="fr-FR" w:eastAsia="zh-CN"/>
        </w:rPr>
      </w:pPr>
    </w:p>
    <w:p w14:paraId="0C52613C" w14:textId="6FF3952D" w:rsidR="002B3E24" w:rsidRDefault="002B3E24" w:rsidP="006B1051">
      <w:pPr>
        <w:ind w:firstLine="720"/>
        <w:rPr>
          <w:rFonts w:eastAsia="Arial"/>
          <w:sz w:val="24"/>
          <w:szCs w:val="24"/>
          <w:lang w:val="fr-FR" w:eastAsia="zh-CN"/>
        </w:rPr>
      </w:pPr>
      <w:r w:rsidRPr="00DB3C80">
        <w:rPr>
          <w:rFonts w:eastAsia="Arial"/>
          <w:sz w:val="24"/>
          <w:szCs w:val="24"/>
          <w:lang w:val="fr-FR" w:eastAsia="zh-CN"/>
        </w:rPr>
        <w:t xml:space="preserve">Je </w:t>
      </w:r>
      <w:r>
        <w:rPr>
          <w:rFonts w:eastAsia="Arial"/>
          <w:sz w:val="24"/>
          <w:szCs w:val="24"/>
          <w:lang w:val="fr-FR" w:eastAsia="zh-CN"/>
        </w:rPr>
        <w:t xml:space="preserve">vous </w:t>
      </w:r>
      <w:r w:rsidRPr="00DB3C80">
        <w:rPr>
          <w:rFonts w:eastAsia="Arial"/>
          <w:sz w:val="24"/>
          <w:szCs w:val="24"/>
          <w:lang w:val="fr-FR" w:eastAsia="zh-CN"/>
        </w:rPr>
        <w:t xml:space="preserve">serais particulièrement reconnaissant de </w:t>
      </w:r>
      <w:r>
        <w:rPr>
          <w:rFonts w:eastAsia="Arial"/>
          <w:sz w:val="24"/>
          <w:szCs w:val="24"/>
          <w:lang w:val="fr-FR" w:eastAsia="zh-CN"/>
        </w:rPr>
        <w:t>bien vouloir me faire parvenir les informations demandées dans les meilleurs délais, et de préférence avant</w:t>
      </w:r>
      <w:r w:rsidRPr="00DB3C80">
        <w:rPr>
          <w:rFonts w:eastAsia="Arial"/>
          <w:sz w:val="24"/>
          <w:szCs w:val="24"/>
          <w:lang w:val="fr-FR" w:eastAsia="zh-CN"/>
        </w:rPr>
        <w:t xml:space="preserve"> le 15 décembre 2019 au plus tard. Les réponses peuvent être adressées à l'</w:t>
      </w:r>
      <w:r>
        <w:rPr>
          <w:rFonts w:eastAsia="Arial"/>
          <w:sz w:val="24"/>
          <w:szCs w:val="24"/>
          <w:lang w:val="fr-FR" w:eastAsia="zh-CN"/>
        </w:rPr>
        <w:t>E</w:t>
      </w:r>
      <w:r w:rsidRPr="00DB3C80">
        <w:rPr>
          <w:rFonts w:eastAsia="Arial"/>
          <w:sz w:val="24"/>
          <w:szCs w:val="24"/>
          <w:lang w:val="fr-FR" w:eastAsia="zh-CN"/>
        </w:rPr>
        <w:t xml:space="preserve">xpert indépendant </w:t>
      </w:r>
      <w:r>
        <w:rPr>
          <w:rFonts w:eastAsia="Arial"/>
          <w:sz w:val="24"/>
          <w:szCs w:val="24"/>
          <w:lang w:val="fr-FR" w:eastAsia="zh-CN"/>
        </w:rPr>
        <w:t xml:space="preserve">au Bureau du Haut-Commissariat des Nations-Unies aux droits de l’homme </w:t>
      </w:r>
      <w:r w:rsidRPr="00DB3C80">
        <w:rPr>
          <w:rFonts w:eastAsia="Arial"/>
          <w:sz w:val="24"/>
          <w:szCs w:val="24"/>
          <w:lang w:val="fr-FR" w:eastAsia="zh-CN"/>
        </w:rPr>
        <w:t>par courrier électronique (</w:t>
      </w:r>
      <w:hyperlink r:id="rId11" w:history="1">
        <w:r w:rsidRPr="00076988">
          <w:rPr>
            <w:rStyle w:val="Hyperlink"/>
            <w:rFonts w:eastAsia="Arial"/>
            <w:sz w:val="24"/>
            <w:szCs w:val="24"/>
            <w:lang w:val="fr-FR" w:eastAsia="zh-CN"/>
          </w:rPr>
          <w:t>ie-sogi@ohchr.org</w:t>
        </w:r>
      </w:hyperlink>
      <w:r w:rsidRPr="00DB3C80">
        <w:rPr>
          <w:rFonts w:eastAsia="Arial"/>
          <w:sz w:val="24"/>
          <w:szCs w:val="24"/>
          <w:lang w:val="fr-FR" w:eastAsia="zh-CN"/>
        </w:rPr>
        <w:t>).</w:t>
      </w:r>
    </w:p>
    <w:p w14:paraId="6EAEC972" w14:textId="77777777" w:rsidR="002947F2" w:rsidRPr="00DB3C80" w:rsidRDefault="002947F2" w:rsidP="006B1051">
      <w:pPr>
        <w:ind w:firstLine="720"/>
        <w:rPr>
          <w:rFonts w:eastAsia="Arial"/>
          <w:sz w:val="24"/>
          <w:szCs w:val="24"/>
          <w:lang w:val="fr-FR" w:eastAsia="zh-CN"/>
        </w:rPr>
      </w:pPr>
    </w:p>
    <w:p w14:paraId="4F6904C0" w14:textId="77777777" w:rsidR="002B3E24" w:rsidRDefault="002B3E24" w:rsidP="006B1051">
      <w:pPr>
        <w:ind w:firstLine="720"/>
        <w:rPr>
          <w:rFonts w:eastAsia="Arial"/>
          <w:sz w:val="24"/>
          <w:szCs w:val="24"/>
          <w:lang w:val="fr-FR" w:eastAsia="zh-CN"/>
        </w:rPr>
      </w:pPr>
      <w:r w:rsidRPr="00C547D6">
        <w:rPr>
          <w:rFonts w:eastAsia="Arial"/>
          <w:sz w:val="24"/>
          <w:szCs w:val="24"/>
          <w:lang w:val="fr-FR" w:eastAsia="zh-CN"/>
        </w:rPr>
        <w:t>Pour toute autre question ou précision,</w:t>
      </w:r>
      <w:r w:rsidRPr="00DB3C80">
        <w:rPr>
          <w:rFonts w:eastAsia="Arial"/>
          <w:sz w:val="24"/>
          <w:szCs w:val="24"/>
          <w:lang w:val="fr-FR" w:eastAsia="zh-CN"/>
        </w:rPr>
        <w:t xml:space="preserve"> n'hésitez pas à me contacter par l'intermédiaire du Haut-Commissariat des Nations Unies aux droits de l'homme (Mme Catherine de Preux De Baets, </w:t>
      </w:r>
      <w:proofErr w:type="gramStart"/>
      <w:r w:rsidRPr="00DB3C80">
        <w:rPr>
          <w:rFonts w:eastAsia="Arial"/>
          <w:sz w:val="24"/>
          <w:szCs w:val="24"/>
          <w:lang w:val="fr-FR" w:eastAsia="zh-CN"/>
        </w:rPr>
        <w:t>téléphone:</w:t>
      </w:r>
      <w:proofErr w:type="gramEnd"/>
      <w:r w:rsidRPr="00DB3C80">
        <w:rPr>
          <w:rFonts w:eastAsia="Arial"/>
          <w:sz w:val="24"/>
          <w:szCs w:val="24"/>
          <w:lang w:val="fr-FR" w:eastAsia="zh-CN"/>
        </w:rPr>
        <w:t xml:space="preserve"> 022 917 93 27, email: </w:t>
      </w:r>
      <w:hyperlink r:id="rId12" w:tgtFrame="_blank" w:history="1">
        <w:r w:rsidRPr="00DB3C80">
          <w:rPr>
            <w:rStyle w:val="Hyperlink"/>
            <w:rFonts w:eastAsia="Arial"/>
            <w:sz w:val="24"/>
            <w:szCs w:val="24"/>
            <w:lang w:val="fr-FR" w:eastAsia="zh-CN"/>
          </w:rPr>
          <w:t>cdepreuxdebaets@ohchr.org</w:t>
        </w:r>
      </w:hyperlink>
      <w:r w:rsidRPr="00DB3C80">
        <w:rPr>
          <w:rFonts w:eastAsia="Arial"/>
          <w:sz w:val="24"/>
          <w:szCs w:val="24"/>
          <w:lang w:val="fr-FR" w:eastAsia="zh-CN"/>
        </w:rPr>
        <w:t> ou Mme Alice Ochsenbein, téléphone 022 917 32 98, </w:t>
      </w:r>
      <w:hyperlink r:id="rId13" w:history="1">
        <w:r w:rsidRPr="00DB3C80">
          <w:rPr>
            <w:rStyle w:val="Hyperlink"/>
            <w:rFonts w:eastAsia="Arial"/>
            <w:sz w:val="24"/>
            <w:szCs w:val="24"/>
            <w:lang w:val="fr-FR" w:eastAsia="zh-CN"/>
          </w:rPr>
          <w:t>aochsenbein@ohchr.org</w:t>
        </w:r>
      </w:hyperlink>
      <w:r w:rsidRPr="00DB3C80">
        <w:rPr>
          <w:rFonts w:eastAsia="Arial"/>
          <w:sz w:val="24"/>
          <w:szCs w:val="24"/>
          <w:lang w:val="fr-FR" w:eastAsia="zh-CN"/>
        </w:rPr>
        <w:t> ).  </w:t>
      </w:r>
    </w:p>
    <w:p w14:paraId="2B7C131B" w14:textId="77777777" w:rsidR="00FC236F" w:rsidRPr="00515521" w:rsidRDefault="00FC236F" w:rsidP="00FA61CF">
      <w:pPr>
        <w:rPr>
          <w:sz w:val="22"/>
          <w:szCs w:val="22"/>
          <w:lang w:val="fr-FR"/>
        </w:rPr>
      </w:pPr>
      <w:bookmarkStart w:id="6" w:name="_GoBack"/>
      <w:bookmarkEnd w:id="6"/>
    </w:p>
    <w:p w14:paraId="51F5D03C" w14:textId="77777777" w:rsidR="00FC236F" w:rsidRPr="00515521" w:rsidRDefault="00FC236F" w:rsidP="002947F2">
      <w:pPr>
        <w:jc w:val="center"/>
        <w:rPr>
          <w:sz w:val="22"/>
          <w:szCs w:val="22"/>
        </w:rPr>
      </w:pPr>
      <w:r w:rsidRPr="00515521">
        <w:rPr>
          <w:noProof/>
          <w:sz w:val="22"/>
          <w:szCs w:val="22"/>
          <w:lang w:eastAsia="en-GB"/>
        </w:rPr>
        <w:drawing>
          <wp:inline distT="0" distB="0" distL="0" distR="0" wp14:anchorId="485DA7B9" wp14:editId="4BF831FB">
            <wp:extent cx="2159000" cy="901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14">
                      <a:extLst>
                        <a:ext uri="{28A0092B-C50C-407E-A947-70E740481C1C}">
                          <a14:useLocalDpi xmlns:a14="http://schemas.microsoft.com/office/drawing/2010/main" val="0"/>
                        </a:ext>
                      </a:extLst>
                    </a:blip>
                    <a:stretch>
                      <a:fillRect/>
                    </a:stretch>
                  </pic:blipFill>
                  <pic:spPr>
                    <a:xfrm>
                      <a:off x="0" y="0"/>
                      <a:ext cx="2159000" cy="901700"/>
                    </a:xfrm>
                    <a:prstGeom prst="rect">
                      <a:avLst/>
                    </a:prstGeom>
                  </pic:spPr>
                </pic:pic>
              </a:graphicData>
            </a:graphic>
          </wp:inline>
        </w:drawing>
      </w:r>
    </w:p>
    <w:p w14:paraId="5E426BCB" w14:textId="77777777" w:rsidR="00FC236F" w:rsidRPr="00311625" w:rsidRDefault="00FC236F" w:rsidP="001B68BA">
      <w:pPr>
        <w:jc w:val="center"/>
        <w:rPr>
          <w:sz w:val="24"/>
          <w:szCs w:val="24"/>
          <w:lang w:val="fr-FR"/>
        </w:rPr>
      </w:pPr>
      <w:r w:rsidRPr="00311625">
        <w:rPr>
          <w:noProof/>
          <w:sz w:val="24"/>
          <w:szCs w:val="24"/>
          <w:lang w:val="fr-FR"/>
        </w:rPr>
        <w:t>Victor Madrigal-Borloz</w:t>
      </w:r>
      <w:r w:rsidRPr="00311625">
        <w:rPr>
          <w:sz w:val="24"/>
          <w:szCs w:val="24"/>
          <w:lang w:val="fr-FR"/>
        </w:rPr>
        <w:t xml:space="preserve"> </w:t>
      </w:r>
    </w:p>
    <w:p w14:paraId="6D19628B" w14:textId="661D2363" w:rsidR="002B3E24" w:rsidRPr="000001C1" w:rsidRDefault="00FC236F" w:rsidP="001B68BA">
      <w:pPr>
        <w:jc w:val="center"/>
        <w:rPr>
          <w:lang w:val="fr-FR"/>
        </w:rPr>
      </w:pPr>
      <w:r w:rsidRPr="00311625">
        <w:rPr>
          <w:bCs/>
          <w:noProof/>
          <w:sz w:val="24"/>
          <w:szCs w:val="24"/>
          <w:lang w:val="fr-FR"/>
        </w:rPr>
        <w:t>Expert indépendant sur la protection contre la violence et la discrimination en raison de l'orientation sexuelle et de l'identité de genre</w:t>
      </w:r>
    </w:p>
    <w:p w14:paraId="12613246" w14:textId="77777777" w:rsidR="00ED053D" w:rsidRDefault="00ED053D">
      <w:pPr>
        <w:pStyle w:val="NormalWeb"/>
        <w:spacing w:before="0" w:beforeAutospacing="0" w:after="0" w:afterAutospacing="0"/>
        <w:jc w:val="center"/>
      </w:pPr>
    </w:p>
    <w:sectPr w:rsidR="00ED053D" w:rsidSect="00ED053D">
      <w:footerReference w:type="default" r:id="rId15"/>
      <w:headerReference w:type="first" r:id="rId16"/>
      <w:footerReference w:type="first" r:id="rId17"/>
      <w:pgSz w:w="11906" w:h="16838" w:code="9"/>
      <w:pgMar w:top="1134" w:right="1701" w:bottom="1134" w:left="1701" w:header="284" w:footer="567" w:gutter="0"/>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3384C1" w14:textId="77777777" w:rsidR="00B10623" w:rsidRDefault="00B10623">
      <w:r>
        <w:separator/>
      </w:r>
    </w:p>
  </w:endnote>
  <w:endnote w:type="continuationSeparator" w:id="0">
    <w:p w14:paraId="601D4DCC" w14:textId="77777777" w:rsidR="00B10623" w:rsidRDefault="00B10623">
      <w:r>
        <w:continuationSeparator/>
      </w:r>
    </w:p>
  </w:endnote>
  <w:endnote w:type="continuationNotice" w:id="1">
    <w:p w14:paraId="7A9C0E73" w14:textId="77777777" w:rsidR="00B10623" w:rsidRDefault="00B1062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BF" w14:textId="77777777" w:rsidR="00A93F3F" w:rsidRDefault="00A93F3F" w:rsidP="00F80A14">
    <w:pPr>
      <w:pStyle w:val="Footer"/>
      <w:tabs>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6FBC4" w14:textId="5F40FEDD" w:rsidR="00A93F3F" w:rsidRDefault="00A93F3F" w:rsidP="00E56372">
    <w:pPr>
      <w:pStyle w:val="Footer"/>
    </w:pPr>
  </w:p>
  <w:p w14:paraId="64BCFE53" w14:textId="4175AABE" w:rsidR="002947F2" w:rsidRPr="006B1051" w:rsidRDefault="002947F2" w:rsidP="00E56372">
    <w:pPr>
      <w:pStyle w:val="Footer"/>
      <w:rPr>
        <w:lang w:val="fr-FR"/>
      </w:rPr>
    </w:pPr>
  </w:p>
  <w:p w14:paraId="5A2406C6" w14:textId="3324CC45" w:rsidR="002947F2" w:rsidRPr="006B1051" w:rsidRDefault="002947F2" w:rsidP="00E56372">
    <w:pPr>
      <w:pStyle w:val="Footer"/>
      <w:rPr>
        <w:lang w:val="fr-FR"/>
      </w:rPr>
    </w:pPr>
  </w:p>
  <w:p w14:paraId="25BD53F3" w14:textId="77777777" w:rsidR="002947F2" w:rsidRPr="006B1051" w:rsidRDefault="002947F2" w:rsidP="00E56372">
    <w:pPr>
      <w:pStyle w:val="Footer"/>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D1D9A1" w14:textId="77777777" w:rsidR="00B10623" w:rsidRDefault="00B10623">
      <w:r>
        <w:separator/>
      </w:r>
    </w:p>
  </w:footnote>
  <w:footnote w:type="continuationSeparator" w:id="0">
    <w:p w14:paraId="1D0FED09" w14:textId="77777777" w:rsidR="00B10623" w:rsidRDefault="00B10623">
      <w:r>
        <w:continuationSeparator/>
      </w:r>
    </w:p>
  </w:footnote>
  <w:footnote w:type="continuationNotice" w:id="1">
    <w:p w14:paraId="7031AC42" w14:textId="77777777" w:rsidR="00B10623" w:rsidRDefault="00B10623"/>
  </w:footnote>
  <w:footnote w:id="2">
    <w:p w14:paraId="01E65BBF" w14:textId="77777777" w:rsidR="002B3E24" w:rsidRPr="00AC7442" w:rsidRDefault="002B3E24" w:rsidP="002B3E24">
      <w:pPr>
        <w:pStyle w:val="FootnoteText"/>
        <w:rPr>
          <w:sz w:val="18"/>
          <w:szCs w:val="18"/>
          <w:lang w:val="fr-FR"/>
        </w:rPr>
      </w:pPr>
      <w:r w:rsidRPr="00AC7442">
        <w:rPr>
          <w:rStyle w:val="FootnoteReference"/>
          <w:sz w:val="18"/>
          <w:szCs w:val="18"/>
        </w:rPr>
        <w:footnoteRef/>
      </w:r>
      <w:r w:rsidRPr="00AC7442">
        <w:rPr>
          <w:sz w:val="18"/>
          <w:szCs w:val="18"/>
          <w:lang w:val="fr-FR"/>
        </w:rPr>
        <w:t xml:space="preserve"> Association médicale mondiale, </w:t>
      </w:r>
      <w:r w:rsidRPr="00AC7442">
        <w:rPr>
          <w:i/>
          <w:sz w:val="18"/>
          <w:szCs w:val="18"/>
          <w:lang w:val="fr-FR"/>
        </w:rPr>
        <w:t>D</w:t>
      </w:r>
      <w:r w:rsidRPr="00AC7442">
        <w:rPr>
          <w:i/>
          <w:iCs/>
          <w:sz w:val="18"/>
          <w:szCs w:val="18"/>
          <w:lang w:val="fr-FR"/>
        </w:rPr>
        <w:t>éclaration adoptée à la 64</w:t>
      </w:r>
      <w:r w:rsidRPr="00AC7442">
        <w:rPr>
          <w:i/>
          <w:iCs/>
          <w:sz w:val="18"/>
          <w:szCs w:val="18"/>
          <w:vertAlign w:val="superscript"/>
          <w:lang w:val="fr-FR"/>
        </w:rPr>
        <w:t>ème</w:t>
      </w:r>
      <w:r w:rsidRPr="00AC7442">
        <w:rPr>
          <w:i/>
          <w:iCs/>
          <w:sz w:val="18"/>
          <w:szCs w:val="18"/>
          <w:lang w:val="fr-FR"/>
        </w:rPr>
        <w:t xml:space="preserve"> Assemblée générale </w:t>
      </w:r>
      <w:r w:rsidRPr="00AC7442">
        <w:rPr>
          <w:sz w:val="18"/>
          <w:szCs w:val="18"/>
          <w:lang w:val="fr-FR"/>
        </w:rPr>
        <w:t xml:space="preserve">en </w:t>
      </w:r>
      <w:proofErr w:type="gramStart"/>
      <w:r w:rsidRPr="00AC7442">
        <w:rPr>
          <w:sz w:val="18"/>
          <w:szCs w:val="18"/>
          <w:lang w:val="fr-FR"/>
        </w:rPr>
        <w:t>2013;</w:t>
      </w:r>
      <w:proofErr w:type="gramEnd"/>
      <w:r w:rsidRPr="00AC7442">
        <w:rPr>
          <w:sz w:val="18"/>
          <w:szCs w:val="18"/>
          <w:lang w:val="fr-FR"/>
        </w:rPr>
        <w:t> Association psychiatrique mondiale, </w:t>
      </w:r>
      <w:r w:rsidRPr="00AC7442">
        <w:rPr>
          <w:i/>
          <w:iCs/>
          <w:sz w:val="18"/>
          <w:szCs w:val="18"/>
          <w:lang w:val="fr-FR"/>
        </w:rPr>
        <w:t>Déclaration de position de l’Association sur l'identité de genre et l'orientation sexuelle, l'attraction et les comportements envers les personnes du même sexe</w:t>
      </w:r>
      <w:r w:rsidRPr="00AC7442">
        <w:rPr>
          <w:sz w:val="18"/>
          <w:szCs w:val="18"/>
          <w:lang w:val="fr-FR"/>
        </w:rPr>
        <w:t xml:space="preserve">, 2016. </w:t>
      </w:r>
    </w:p>
  </w:footnote>
  <w:footnote w:id="3">
    <w:p w14:paraId="7D5A5B91" w14:textId="77777777" w:rsidR="002B3E24" w:rsidRPr="00AC7442" w:rsidRDefault="002B3E24" w:rsidP="002B3E24">
      <w:pPr>
        <w:pStyle w:val="FootnoteText"/>
        <w:rPr>
          <w:sz w:val="18"/>
          <w:szCs w:val="18"/>
          <w:lang w:val="fr-FR"/>
        </w:rPr>
      </w:pPr>
      <w:r w:rsidRPr="00AC7442">
        <w:rPr>
          <w:rStyle w:val="FootnoteReference"/>
          <w:sz w:val="18"/>
          <w:szCs w:val="18"/>
        </w:rPr>
        <w:footnoteRef/>
      </w:r>
      <w:r w:rsidRPr="00AC7442">
        <w:rPr>
          <w:sz w:val="18"/>
          <w:szCs w:val="18"/>
          <w:lang w:val="fr-FR"/>
        </w:rPr>
        <w:t xml:space="preserve"> Déclaration commune </w:t>
      </w:r>
      <w:r>
        <w:rPr>
          <w:iCs/>
          <w:sz w:val="18"/>
          <w:szCs w:val="18"/>
          <w:lang w:val="fr-FR"/>
        </w:rPr>
        <w:t xml:space="preserve">des Nations </w:t>
      </w:r>
      <w:r w:rsidRPr="00AC7442">
        <w:rPr>
          <w:iCs/>
          <w:sz w:val="18"/>
          <w:szCs w:val="18"/>
          <w:lang w:val="fr-FR"/>
        </w:rPr>
        <w:t>Unies</w:t>
      </w:r>
      <w:r w:rsidRPr="00AC7442">
        <w:rPr>
          <w:i/>
          <w:iCs/>
          <w:sz w:val="18"/>
          <w:szCs w:val="18"/>
          <w:lang w:val="fr-FR"/>
        </w:rPr>
        <w:t>, Les entités des Nations Unies appellent les États à agir de toute urgence pour mettre fin à la violence et à la discrimination à l'égard des adultes, adolescents et enfants lesbiens, gays, bisexuels, transgenres et intersexués (LGBTI)</w:t>
      </w:r>
      <w:r>
        <w:rPr>
          <w:sz w:val="18"/>
          <w:szCs w:val="18"/>
          <w:lang w:val="fr-FR"/>
        </w:rPr>
        <w:t>, 2015. L’O</w:t>
      </w:r>
      <w:r w:rsidRPr="00AC7442">
        <w:rPr>
          <w:sz w:val="18"/>
          <w:szCs w:val="18"/>
          <w:lang w:val="fr-FR"/>
        </w:rPr>
        <w:t>rganisation panaméricaine de la Santé</w:t>
      </w:r>
      <w:r>
        <w:rPr>
          <w:sz w:val="18"/>
          <w:szCs w:val="18"/>
          <w:lang w:val="fr-FR"/>
        </w:rPr>
        <w:t xml:space="preserve"> a également publié une d</w:t>
      </w:r>
      <w:r w:rsidRPr="00AC7442">
        <w:rPr>
          <w:i/>
          <w:sz w:val="18"/>
          <w:szCs w:val="18"/>
          <w:lang w:val="fr-FR"/>
        </w:rPr>
        <w:t>éclaration identifiant de prétendues thérapies visant à modifier l'orientation sexuelle comme éthiquement inacceptables et dépourvues de justification médicale</w:t>
      </w:r>
      <w:r w:rsidRPr="00AC7442">
        <w:rPr>
          <w:sz w:val="18"/>
          <w:szCs w:val="18"/>
          <w:lang w:val="fr-FR"/>
        </w:rPr>
        <w:t>. Voir </w:t>
      </w:r>
      <w:r w:rsidRPr="00AC7442">
        <w:rPr>
          <w:i/>
          <w:iCs/>
          <w:sz w:val="18"/>
          <w:szCs w:val="18"/>
          <w:lang w:val="fr-FR"/>
        </w:rPr>
        <w:t>«Soins » pour une maladie qui n’existe pas,</w:t>
      </w:r>
      <w:r w:rsidRPr="00AC7442">
        <w:rPr>
          <w:sz w:val="18"/>
          <w:szCs w:val="18"/>
          <w:lang w:val="fr-FR"/>
        </w:rPr>
        <w:t xml:space="preserve"> 2012.</w:t>
      </w:r>
    </w:p>
  </w:footnote>
  <w:footnote w:id="4">
    <w:p w14:paraId="0E77B7D3" w14:textId="77777777" w:rsidR="002B3E24" w:rsidRPr="00AC7442" w:rsidRDefault="002B3E24" w:rsidP="002B3E24">
      <w:pPr>
        <w:pStyle w:val="FootnoteText"/>
        <w:rPr>
          <w:sz w:val="18"/>
          <w:szCs w:val="18"/>
          <w:lang w:val="fr-FR"/>
        </w:rPr>
      </w:pPr>
      <w:r w:rsidRPr="00AC7442">
        <w:rPr>
          <w:rStyle w:val="FootnoteReference"/>
          <w:sz w:val="18"/>
          <w:szCs w:val="18"/>
        </w:rPr>
        <w:footnoteRef/>
      </w:r>
      <w:r w:rsidRPr="00AC7442">
        <w:rPr>
          <w:sz w:val="18"/>
          <w:szCs w:val="18"/>
          <w:lang w:val="fr-FR"/>
        </w:rPr>
        <w:t xml:space="preserve"> Comité contre la torture, </w:t>
      </w:r>
      <w:r w:rsidRPr="00AC7442">
        <w:rPr>
          <w:i/>
          <w:iCs/>
          <w:sz w:val="18"/>
          <w:szCs w:val="18"/>
          <w:lang w:val="fr-FR"/>
        </w:rPr>
        <w:t>CAT/C/ECU/CO/7 et CAT/C/CHN/CO/</w:t>
      </w:r>
      <w:proofErr w:type="gramStart"/>
      <w:r w:rsidRPr="00AC7442">
        <w:rPr>
          <w:i/>
          <w:iCs/>
          <w:sz w:val="18"/>
          <w:szCs w:val="18"/>
          <w:lang w:val="fr-FR"/>
        </w:rPr>
        <w:t>5;</w:t>
      </w:r>
      <w:proofErr w:type="gramEnd"/>
      <w:r w:rsidRPr="00AC7442">
        <w:rPr>
          <w:i/>
          <w:iCs/>
          <w:sz w:val="18"/>
          <w:szCs w:val="18"/>
          <w:lang w:val="fr-FR"/>
        </w:rPr>
        <w:t> SPT: CAT/C/57/4</w:t>
      </w:r>
      <w:r w:rsidRPr="00AC7442">
        <w:rPr>
          <w:sz w:val="18"/>
          <w:szCs w:val="18"/>
          <w:lang w:val="fr-FR"/>
        </w:rPr>
        <w:t>. </w:t>
      </w:r>
      <w:proofErr w:type="gramStart"/>
      <w:r w:rsidRPr="00AC7442">
        <w:rPr>
          <w:sz w:val="18"/>
          <w:szCs w:val="18"/>
          <w:lang w:val="fr-FR"/>
        </w:rPr>
        <w:t>Voir </w:t>
      </w:r>
      <w:r w:rsidRPr="00AC7442">
        <w:rPr>
          <w:iCs/>
          <w:sz w:val="18"/>
          <w:szCs w:val="18"/>
          <w:lang w:val="fr-FR"/>
        </w:rPr>
        <w:t>aussi</w:t>
      </w:r>
      <w:r w:rsidRPr="00AC7442">
        <w:rPr>
          <w:i/>
          <w:iCs/>
          <w:sz w:val="18"/>
          <w:szCs w:val="18"/>
          <w:lang w:val="fr-FR"/>
        </w:rPr>
        <w:t xml:space="preserve"> CCPR/C/KOR/CO/4 </w:t>
      </w:r>
      <w:r w:rsidRPr="00AC7442">
        <w:rPr>
          <w:b/>
          <w:bCs/>
          <w:i/>
          <w:iCs/>
          <w:sz w:val="18"/>
          <w:szCs w:val="18"/>
          <w:lang w:val="fr-FR"/>
        </w:rPr>
        <w:t>; </w:t>
      </w:r>
      <w:r w:rsidRPr="00AC7442">
        <w:rPr>
          <w:i/>
          <w:iCs/>
          <w:sz w:val="18"/>
          <w:szCs w:val="18"/>
          <w:lang w:val="fr-FR"/>
        </w:rPr>
        <w:t>CCPR/C/ECU/CO/6; CRC/C/RUS/CO/4-5; CEDAW/C/ECU/CO/8-9; et l'observation générale n ° 22 du CESCR («</w:t>
      </w:r>
      <w:r w:rsidRPr="00AC7442">
        <w:rPr>
          <w:i/>
          <w:iCs/>
          <w:sz w:val="18"/>
          <w:szCs w:val="18"/>
          <w:lang w:val="fr-CH"/>
        </w:rPr>
        <w:t>les réglementations en vertu desquelles les personnes lesbiennes, gays, bisexuelles, transgenres et intersexuées doivent être considérées comme souffrant de troubles mentaux ou psychiatriques, ou doivent être « guéries » par un prétendu « traitement », constituent une violation manifeste du droit de ces personnes à la santé sexuelle et procréative.</w:t>
      </w:r>
      <w:r w:rsidRPr="00AC7442">
        <w:rPr>
          <w:i/>
          <w:iCs/>
          <w:sz w:val="18"/>
          <w:szCs w:val="18"/>
          <w:lang w:val="fr-FR"/>
        </w:rPr>
        <w:t xml:space="preserve">») </w:t>
      </w:r>
      <w:r>
        <w:rPr>
          <w:i/>
          <w:iCs/>
          <w:sz w:val="18"/>
          <w:szCs w:val="18"/>
          <w:lang w:val="fr-FR"/>
        </w:rPr>
        <w:t>e</w:t>
      </w:r>
      <w:r w:rsidRPr="00AC7442">
        <w:rPr>
          <w:i/>
          <w:iCs/>
          <w:sz w:val="18"/>
          <w:szCs w:val="18"/>
          <w:lang w:val="fr-FR"/>
        </w:rPr>
        <w:t>t l’Observation générale n ° 20 du CRC («</w:t>
      </w:r>
      <w:r w:rsidRPr="00AC7442">
        <w:rPr>
          <w:i/>
          <w:iCs/>
          <w:sz w:val="18"/>
          <w:szCs w:val="18"/>
          <w:lang w:val="fr-CH"/>
        </w:rPr>
        <w:t>le droit à la liberté d’expression et le droit au respect de leur intégrité physique et psychologique, de leur identité de genre et de leur autonomie naissante</w:t>
      </w:r>
      <w:r w:rsidRPr="00AC7442">
        <w:rPr>
          <w:i/>
          <w:iCs/>
          <w:sz w:val="18"/>
          <w:szCs w:val="18"/>
          <w:lang w:val="fr-FR"/>
        </w:rPr>
        <w:t>» et condamne «</w:t>
      </w:r>
      <w:r w:rsidRPr="00AC7442">
        <w:rPr>
          <w:i/>
          <w:iCs/>
          <w:sz w:val="18"/>
          <w:szCs w:val="18"/>
          <w:lang w:val="fr-CH"/>
        </w:rPr>
        <w:t>l’application de prétendus « traitements » visant à tenter de modifier l’orientation sexuelle</w:t>
      </w:r>
      <w:r w:rsidRPr="00AC7442">
        <w:rPr>
          <w:i/>
          <w:iCs/>
          <w:sz w:val="18"/>
          <w:szCs w:val="18"/>
          <w:lang w:val="fr-FR"/>
        </w:rPr>
        <w:t>»). </w:t>
      </w:r>
      <w:proofErr w:type="gramEnd"/>
      <w:r w:rsidRPr="00AC7442">
        <w:rPr>
          <w:sz w:val="18"/>
          <w:szCs w:val="18"/>
          <w:lang w:val="fr-FR"/>
        </w:rPr>
        <w:t>Des titulaires de mandat au titre des procédures spéciales autres que le mandat de l'expert indépendant sur l’orientation sexuelle et l’identité de genre ont également abordé la question, notamment le Rapporteur spécial sur la torture (A/HRC/22/53, par.76 et 88; A/HRC/31/57, par. 48 et 72 (i)); le Rapporteur spécial sur le droit à la santé (A/HRC/14/20/2010, par. 23 et A/HRC/35/21, par. 48 à 49).</w:t>
      </w:r>
    </w:p>
  </w:footnote>
  <w:footnote w:id="5">
    <w:p w14:paraId="21D3E4A8" w14:textId="77777777" w:rsidR="002B3E24" w:rsidRPr="00AC7442" w:rsidRDefault="002B3E24" w:rsidP="002B3E24">
      <w:pPr>
        <w:pStyle w:val="FootnoteText"/>
        <w:rPr>
          <w:sz w:val="18"/>
          <w:szCs w:val="18"/>
          <w:lang w:val="fr-FR"/>
        </w:rPr>
      </w:pPr>
      <w:r w:rsidRPr="00AC7442">
        <w:rPr>
          <w:rStyle w:val="FootnoteReference"/>
          <w:sz w:val="18"/>
          <w:szCs w:val="18"/>
        </w:rPr>
        <w:footnoteRef/>
      </w:r>
      <w:r w:rsidRPr="00AC7442">
        <w:rPr>
          <w:sz w:val="18"/>
          <w:szCs w:val="18"/>
          <w:lang w:val="fr-FR"/>
        </w:rPr>
        <w:t xml:space="preserve"> ILGA, </w:t>
      </w:r>
      <w:r w:rsidRPr="00AC7442">
        <w:rPr>
          <w:i/>
          <w:iCs/>
          <w:sz w:val="18"/>
          <w:szCs w:val="18"/>
          <w:lang w:val="fr-FR"/>
        </w:rPr>
        <w:t>Contribution à l'Observation générale sur la mise en œuvre de l'article 3 de la Convention contre la torture,</w:t>
      </w:r>
      <w:r w:rsidRPr="00AC7442">
        <w:rPr>
          <w:sz w:val="18"/>
          <w:szCs w:val="18"/>
          <w:lang w:val="fr-FR"/>
        </w:rPr>
        <w:t xml:space="preserve"> 2017.</w:t>
      </w:r>
    </w:p>
  </w:footnote>
  <w:footnote w:id="6">
    <w:p w14:paraId="58F7D40D" w14:textId="77777777" w:rsidR="002B3E24" w:rsidRPr="00AC7442" w:rsidRDefault="002B3E24" w:rsidP="002B3E24">
      <w:pPr>
        <w:pStyle w:val="FootnoteText"/>
        <w:rPr>
          <w:sz w:val="18"/>
          <w:szCs w:val="18"/>
          <w:lang w:val="fr-FR"/>
        </w:rPr>
      </w:pPr>
      <w:r w:rsidRPr="00AC7442">
        <w:rPr>
          <w:rStyle w:val="FootnoteReference"/>
          <w:sz w:val="18"/>
          <w:szCs w:val="18"/>
        </w:rPr>
        <w:footnoteRef/>
      </w:r>
      <w:r w:rsidRPr="00AC7442">
        <w:rPr>
          <w:sz w:val="18"/>
          <w:szCs w:val="18"/>
          <w:lang w:val="fr-FR"/>
        </w:rPr>
        <w:t xml:space="preserve"> Respectivement loi 26657, art </w:t>
      </w:r>
      <w:proofErr w:type="gramStart"/>
      <w:r w:rsidRPr="00AC7442">
        <w:rPr>
          <w:sz w:val="18"/>
          <w:szCs w:val="18"/>
          <w:lang w:val="fr-FR"/>
        </w:rPr>
        <w:t>3C;</w:t>
      </w:r>
      <w:proofErr w:type="gramEnd"/>
      <w:r w:rsidRPr="00AC7442">
        <w:rPr>
          <w:sz w:val="18"/>
          <w:szCs w:val="18"/>
          <w:lang w:val="fr-FR"/>
        </w:rPr>
        <w:t xml:space="preserve"> CFP </w:t>
      </w:r>
      <w:proofErr w:type="spellStart"/>
      <w:r w:rsidRPr="00AC7442">
        <w:rPr>
          <w:sz w:val="18"/>
          <w:szCs w:val="18"/>
          <w:lang w:val="fr-FR"/>
        </w:rPr>
        <w:t>Res</w:t>
      </w:r>
      <w:proofErr w:type="spellEnd"/>
      <w:r w:rsidRPr="00AC7442">
        <w:rPr>
          <w:sz w:val="18"/>
          <w:szCs w:val="18"/>
          <w:lang w:val="fr-FR"/>
        </w:rPr>
        <w:t xml:space="preserve"> 01/1999; Décret sur la santé mentale de 2010; Loi de 2007 sur la santé mentale; Loi 19529 (</w:t>
      </w:r>
      <w:proofErr w:type="spellStart"/>
      <w:r w:rsidRPr="00AC7442">
        <w:rPr>
          <w:sz w:val="18"/>
          <w:szCs w:val="18"/>
          <w:lang w:val="fr-FR"/>
        </w:rPr>
        <w:t>Ley</w:t>
      </w:r>
      <w:proofErr w:type="spellEnd"/>
      <w:r w:rsidRPr="00AC7442">
        <w:rPr>
          <w:sz w:val="18"/>
          <w:szCs w:val="18"/>
          <w:lang w:val="fr-FR"/>
        </w:rPr>
        <w:t xml:space="preserve"> de </w:t>
      </w:r>
      <w:proofErr w:type="spellStart"/>
      <w:r w:rsidRPr="00AC7442">
        <w:rPr>
          <w:sz w:val="18"/>
          <w:szCs w:val="18"/>
          <w:lang w:val="fr-FR"/>
        </w:rPr>
        <w:t>Saude</w:t>
      </w:r>
      <w:proofErr w:type="spellEnd"/>
      <w:r w:rsidRPr="00AC7442">
        <w:rPr>
          <w:sz w:val="18"/>
          <w:szCs w:val="18"/>
          <w:lang w:val="fr-FR"/>
        </w:rPr>
        <w:t xml:space="preserve"> Mental).</w:t>
      </w:r>
    </w:p>
  </w:footnote>
  <w:footnote w:id="7">
    <w:p w14:paraId="368EDA74" w14:textId="77777777" w:rsidR="002B3E24" w:rsidRPr="00AC7442" w:rsidRDefault="002B3E24" w:rsidP="002B3E24">
      <w:pPr>
        <w:pStyle w:val="FootnoteText"/>
        <w:rPr>
          <w:sz w:val="18"/>
          <w:szCs w:val="18"/>
          <w:lang w:val="fr-FR"/>
        </w:rPr>
      </w:pPr>
      <w:r w:rsidRPr="00AC7442">
        <w:rPr>
          <w:rStyle w:val="FootnoteReference"/>
          <w:sz w:val="18"/>
          <w:szCs w:val="18"/>
        </w:rPr>
        <w:footnoteRef/>
      </w:r>
      <w:r w:rsidRPr="00AC7442">
        <w:rPr>
          <w:sz w:val="18"/>
          <w:szCs w:val="18"/>
          <w:lang w:val="fr-FR"/>
        </w:rPr>
        <w:t xml:space="preserve"> </w:t>
      </w:r>
      <w:r w:rsidRPr="00C0678E">
        <w:rPr>
          <w:iCs/>
          <w:sz w:val="18"/>
          <w:szCs w:val="18"/>
          <w:lang w:val="fr-FR"/>
        </w:rPr>
        <w:t>Loi de </w:t>
      </w:r>
      <w:r w:rsidRPr="00C0678E">
        <w:rPr>
          <w:sz w:val="18"/>
          <w:szCs w:val="18"/>
          <w:lang w:val="fr-FR"/>
        </w:rPr>
        <w:t>2016 </w:t>
      </w:r>
      <w:r w:rsidRPr="00C0678E">
        <w:rPr>
          <w:iCs/>
          <w:sz w:val="18"/>
          <w:szCs w:val="18"/>
          <w:lang w:val="fr-FR"/>
        </w:rPr>
        <w:t>sur l’affirmation de l'orientation sexuelle, de l'identité de genre et de l'expression de genre de Malte</w:t>
      </w:r>
      <w:r w:rsidRPr="00AC7442">
        <w:rPr>
          <w:sz w:val="18"/>
          <w:szCs w:val="18"/>
          <w:lang w:val="fr-FR"/>
        </w:rPr>
        <w:t> ; Art. 151, Code pénal de l'Équateur. Pour une critique de la mise en œuvre</w:t>
      </w:r>
      <w:r>
        <w:rPr>
          <w:sz w:val="18"/>
          <w:szCs w:val="18"/>
          <w:lang w:val="fr-FR"/>
        </w:rPr>
        <w:t>, voir </w:t>
      </w:r>
      <w:proofErr w:type="spellStart"/>
      <w:r>
        <w:rPr>
          <w:sz w:val="18"/>
          <w:szCs w:val="18"/>
          <w:lang w:val="fr-FR"/>
        </w:rPr>
        <w:t>Guglielmone</w:t>
      </w:r>
      <w:proofErr w:type="spellEnd"/>
      <w:r>
        <w:rPr>
          <w:sz w:val="18"/>
          <w:szCs w:val="18"/>
          <w:lang w:val="fr-FR"/>
        </w:rPr>
        <w:t>, Martina,</w:t>
      </w:r>
      <w:r w:rsidRPr="00AC7442">
        <w:rPr>
          <w:sz w:val="18"/>
          <w:szCs w:val="18"/>
          <w:lang w:val="fr-FR"/>
        </w:rPr>
        <w:t> </w:t>
      </w:r>
      <w:r w:rsidRPr="00AC7442">
        <w:rPr>
          <w:i/>
          <w:iCs/>
          <w:sz w:val="18"/>
          <w:szCs w:val="18"/>
          <w:lang w:val="fr-FR"/>
        </w:rPr>
        <w:t>Lutte contre la «thérapie sexuelle réparatrice» en Équateur,</w:t>
      </w:r>
      <w:r w:rsidRPr="00AC7442">
        <w:rPr>
          <w:sz w:val="18"/>
          <w:szCs w:val="18"/>
          <w:lang w:val="fr-FR"/>
        </w:rPr>
        <w:t xml:space="preserve"> Conseil des affaires continentales,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1F29B" w14:textId="3BAA42BD" w:rsidR="004B1D72" w:rsidRDefault="003300F0" w:rsidP="004B1D72">
    <w:pPr>
      <w:pStyle w:val="Header"/>
      <w:tabs>
        <w:tab w:val="clear" w:pos="4153"/>
        <w:tab w:val="right" w:pos="3686"/>
        <w:tab w:val="left" w:pos="5812"/>
      </w:tabs>
      <w:jc w:val="center"/>
      <w:rPr>
        <w:sz w:val="14"/>
        <w:szCs w:val="14"/>
        <w:lang w:val="fr-CH"/>
      </w:rPr>
    </w:pPr>
    <w:r>
      <w:rPr>
        <w:noProof/>
        <w:snapToGrid/>
        <w:sz w:val="14"/>
        <w:szCs w:val="14"/>
        <w:lang w:val="en-GB" w:eastAsia="en-GB"/>
      </w:rPr>
      <w:drawing>
        <wp:inline distT="0" distB="0" distL="0" distR="0" wp14:anchorId="711F5FEF" wp14:editId="4D43C35A">
          <wp:extent cx="2838450" cy="1228725"/>
          <wp:effectExtent l="0" t="0" r="0" b="0"/>
          <wp:docPr id="1" name="Picture 1" descr="SP Logo black - 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1228725"/>
                  </a:xfrm>
                  <a:prstGeom prst="rect">
                    <a:avLst/>
                  </a:prstGeom>
                  <a:noFill/>
                  <a:ln>
                    <a:noFill/>
                  </a:ln>
                </pic:spPr>
              </pic:pic>
            </a:graphicData>
          </a:graphic>
        </wp:inline>
      </w:drawing>
    </w:r>
  </w:p>
  <w:p w14:paraId="20550E8F" w14:textId="77777777" w:rsidR="004B1D72" w:rsidRPr="002745FF" w:rsidRDefault="004B1D72" w:rsidP="004B1D72">
    <w:pPr>
      <w:pStyle w:val="Header"/>
      <w:tabs>
        <w:tab w:val="clear" w:pos="4153"/>
        <w:tab w:val="right" w:pos="3686"/>
        <w:tab w:val="left" w:pos="5812"/>
      </w:tabs>
      <w:jc w:val="center"/>
      <w:rPr>
        <w:sz w:val="14"/>
        <w:szCs w:val="14"/>
        <w:lang w:val="fr-CH"/>
      </w:rPr>
    </w:pPr>
    <w:r w:rsidRPr="002745FF">
      <w:rPr>
        <w:sz w:val="14"/>
        <w:szCs w:val="14"/>
        <w:lang w:val="fr-CH"/>
      </w:rPr>
      <w:t>PALAIS DES NATIONS • 1211 GENEVA 10, SWITZERLAND</w:t>
    </w:r>
  </w:p>
  <w:p w14:paraId="7A1C589D" w14:textId="77777777" w:rsidR="004B1D72" w:rsidRPr="002745FF" w:rsidRDefault="004B1D72" w:rsidP="004B1D72">
    <w:pPr>
      <w:pStyle w:val="Header"/>
      <w:tabs>
        <w:tab w:val="clear" w:pos="4153"/>
        <w:tab w:val="clear" w:pos="8306"/>
        <w:tab w:val="right" w:pos="3686"/>
        <w:tab w:val="left" w:pos="5812"/>
      </w:tabs>
      <w:spacing w:before="80" w:after="360"/>
      <w:jc w:val="center"/>
      <w:rPr>
        <w:sz w:val="14"/>
        <w:szCs w:val="14"/>
        <w:lang w:val="fr-CH"/>
      </w:rPr>
    </w:pPr>
    <w:r>
      <w:rPr>
        <w:sz w:val="14"/>
        <w:szCs w:val="14"/>
        <w:lang w:val="fr-CH"/>
      </w:rPr>
      <w:t xml:space="preserve">www.ohchr.org • </w:t>
    </w:r>
    <w:proofErr w:type="gramStart"/>
    <w:r>
      <w:rPr>
        <w:sz w:val="14"/>
        <w:szCs w:val="14"/>
        <w:lang w:val="fr-CH"/>
      </w:rPr>
      <w:t>TEL:</w:t>
    </w:r>
    <w:proofErr w:type="gramEnd"/>
    <w:r>
      <w:rPr>
        <w:sz w:val="14"/>
        <w:szCs w:val="14"/>
        <w:lang w:val="fr-CH"/>
      </w:rPr>
      <w:t xml:space="preserve"> </w:t>
    </w:r>
    <w:r w:rsidRPr="002745FF">
      <w:rPr>
        <w:sz w:val="14"/>
        <w:szCs w:val="14"/>
        <w:lang w:val="fr-CH"/>
      </w:rPr>
      <w:t>+41 22 917 9000 • FAX: +41 22 917 9008 • E-MAIL: registry@ohchr.org</w:t>
    </w:r>
  </w:p>
  <w:p w14:paraId="0276FBC3" w14:textId="77777777" w:rsidR="00A93F3F" w:rsidRPr="00687D69" w:rsidRDefault="00A93F3F" w:rsidP="0003674D">
    <w:pPr>
      <w:pStyle w:val="Head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0DCB"/>
    <w:multiLevelType w:val="multilevel"/>
    <w:tmpl w:val="A9DE2F84"/>
    <w:lvl w:ilvl="0">
      <w:start w:val="1"/>
      <w:numFmt w:val="decimal"/>
      <w:lvlText w:val="%1."/>
      <w:lvlJc w:val="left"/>
      <w:pPr>
        <w:tabs>
          <w:tab w:val="num" w:pos="1010"/>
        </w:tabs>
        <w:ind w:left="1010" w:hanging="360"/>
      </w:pPr>
      <w:rPr>
        <w:rFonts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1">
    <w:nsid w:val="00A45015"/>
    <w:multiLevelType w:val="hybridMultilevel"/>
    <w:tmpl w:val="0260836C"/>
    <w:lvl w:ilvl="0" w:tplc="04090001">
      <w:start w:val="1"/>
      <w:numFmt w:val="bullet"/>
      <w:lvlText w:val="·"/>
      <w:lvlJc w:val="left"/>
      <w:pPr>
        <w:tabs>
          <w:tab w:val="num" w:pos="857"/>
        </w:tabs>
        <w:ind w:left="857" w:hanging="360"/>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cs="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cs="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cs="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2">
    <w:nsid w:val="036D1692"/>
    <w:multiLevelType w:val="hybridMultilevel"/>
    <w:tmpl w:val="2368CF76"/>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025B47"/>
    <w:multiLevelType w:val="multilevel"/>
    <w:tmpl w:val="32160294"/>
    <w:lvl w:ilvl="0">
      <w:start w:val="1"/>
      <w:numFmt w:val="bullet"/>
      <w:lvlText w:val="-"/>
      <w:lvlJc w:val="left"/>
      <w:pPr>
        <w:tabs>
          <w:tab w:val="num" w:pos="1010"/>
        </w:tabs>
        <w:ind w:left="1010" w:hanging="360"/>
      </w:pPr>
      <w:rPr>
        <w:rFonts w:ascii="Times New Roman" w:hAnsi="Times New Roman" w:cs="Times New Roman" w:hint="default"/>
      </w:rPr>
    </w:lvl>
    <w:lvl w:ilvl="1">
      <w:start w:val="1"/>
      <w:numFmt w:val="bullet"/>
      <w:lvlText w:val="o"/>
      <w:lvlJc w:val="left"/>
      <w:pPr>
        <w:tabs>
          <w:tab w:val="num" w:pos="1370"/>
        </w:tabs>
        <w:ind w:left="1370" w:hanging="360"/>
      </w:pPr>
      <w:rPr>
        <w:rFonts w:ascii="Courier New" w:hAnsi="Courier New" w:cs="Courier New" w:hint="default"/>
      </w:rPr>
    </w:lvl>
    <w:lvl w:ilvl="2">
      <w:start w:val="1"/>
      <w:numFmt w:val="bullet"/>
      <w:lvlText w:val="§"/>
      <w:lvlJc w:val="left"/>
      <w:pPr>
        <w:tabs>
          <w:tab w:val="num" w:pos="2090"/>
        </w:tabs>
        <w:ind w:left="2090" w:hanging="360"/>
      </w:pPr>
      <w:rPr>
        <w:rFonts w:ascii="Wingdings" w:hAnsi="Wingdings" w:hint="default"/>
      </w:rPr>
    </w:lvl>
    <w:lvl w:ilvl="3">
      <w:start w:val="1"/>
      <w:numFmt w:val="bullet"/>
      <w:lvlText w:val="·"/>
      <w:lvlJc w:val="left"/>
      <w:pPr>
        <w:tabs>
          <w:tab w:val="num" w:pos="2810"/>
        </w:tabs>
        <w:ind w:left="2810" w:hanging="360"/>
      </w:pPr>
      <w:rPr>
        <w:rFonts w:ascii="Symbol" w:hAnsi="Symbol" w:hint="default"/>
      </w:rPr>
    </w:lvl>
    <w:lvl w:ilvl="4">
      <w:start w:val="1"/>
      <w:numFmt w:val="bullet"/>
      <w:lvlText w:val="o"/>
      <w:lvlJc w:val="left"/>
      <w:pPr>
        <w:tabs>
          <w:tab w:val="num" w:pos="3530"/>
        </w:tabs>
        <w:ind w:left="3530" w:hanging="360"/>
      </w:pPr>
      <w:rPr>
        <w:rFonts w:ascii="Courier New" w:hAnsi="Courier New" w:cs="Courier New" w:hint="default"/>
      </w:rPr>
    </w:lvl>
    <w:lvl w:ilvl="5">
      <w:start w:val="1"/>
      <w:numFmt w:val="bullet"/>
      <w:lvlText w:val="§"/>
      <w:lvlJc w:val="left"/>
      <w:pPr>
        <w:tabs>
          <w:tab w:val="num" w:pos="4250"/>
        </w:tabs>
        <w:ind w:left="4250" w:hanging="360"/>
      </w:pPr>
      <w:rPr>
        <w:rFonts w:ascii="Wingdings" w:hAnsi="Wingdings" w:hint="default"/>
      </w:rPr>
    </w:lvl>
    <w:lvl w:ilvl="6">
      <w:start w:val="1"/>
      <w:numFmt w:val="bullet"/>
      <w:lvlText w:val="·"/>
      <w:lvlJc w:val="left"/>
      <w:pPr>
        <w:tabs>
          <w:tab w:val="num" w:pos="4970"/>
        </w:tabs>
        <w:ind w:left="4970" w:hanging="360"/>
      </w:pPr>
      <w:rPr>
        <w:rFonts w:ascii="Symbol" w:hAnsi="Symbol" w:hint="default"/>
      </w:rPr>
    </w:lvl>
    <w:lvl w:ilvl="7">
      <w:start w:val="1"/>
      <w:numFmt w:val="bullet"/>
      <w:lvlText w:val="o"/>
      <w:lvlJc w:val="left"/>
      <w:pPr>
        <w:tabs>
          <w:tab w:val="num" w:pos="5690"/>
        </w:tabs>
        <w:ind w:left="5690" w:hanging="360"/>
      </w:pPr>
      <w:rPr>
        <w:rFonts w:ascii="Courier New" w:hAnsi="Courier New" w:cs="Courier New" w:hint="default"/>
      </w:rPr>
    </w:lvl>
    <w:lvl w:ilvl="8">
      <w:start w:val="1"/>
      <w:numFmt w:val="bullet"/>
      <w:lvlText w:val="§"/>
      <w:lvlJc w:val="left"/>
      <w:pPr>
        <w:tabs>
          <w:tab w:val="num" w:pos="6410"/>
        </w:tabs>
        <w:ind w:left="6410" w:hanging="360"/>
      </w:pPr>
      <w:rPr>
        <w:rFonts w:ascii="Wingdings" w:hAnsi="Wingdings" w:hint="default"/>
      </w:rPr>
    </w:lvl>
  </w:abstractNum>
  <w:abstractNum w:abstractNumId="4">
    <w:nsid w:val="0A7E421F"/>
    <w:multiLevelType w:val="multilevel"/>
    <w:tmpl w:val="DB82C3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10E7A49"/>
    <w:multiLevelType w:val="hybridMultilevel"/>
    <w:tmpl w:val="3B802762"/>
    <w:lvl w:ilvl="0" w:tplc="675E146C">
      <w:start w:val="1"/>
      <w:numFmt w:val="decimal"/>
      <w:lvlText w:val="%1."/>
      <w:lvlJc w:val="left"/>
      <w:pPr>
        <w:tabs>
          <w:tab w:val="num" w:pos="502"/>
        </w:tabs>
        <w:ind w:left="502" w:hanging="360"/>
      </w:pPr>
      <w:rPr>
        <w:lang w:val="en-GB"/>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180C2C9A"/>
    <w:multiLevelType w:val="hybridMultilevel"/>
    <w:tmpl w:val="90442A88"/>
    <w:lvl w:ilvl="0" w:tplc="52CE0EBE">
      <w:start w:val="1"/>
      <w:numFmt w:val="lowerLetter"/>
      <w:lvlText w:val="%1."/>
      <w:lvlJc w:val="left"/>
      <w:pPr>
        <w:tabs>
          <w:tab w:val="num" w:pos="397"/>
        </w:tabs>
        <w:ind w:left="397" w:hanging="397"/>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1BF251E0"/>
    <w:multiLevelType w:val="hybridMultilevel"/>
    <w:tmpl w:val="A2C873C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8">
    <w:nsid w:val="1F2462D6"/>
    <w:multiLevelType w:val="hybridMultilevel"/>
    <w:tmpl w:val="C9320A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B1A35F7"/>
    <w:multiLevelType w:val="hybridMultilevel"/>
    <w:tmpl w:val="0066CA46"/>
    <w:lvl w:ilvl="0" w:tplc="FBB87434">
      <w:start w:val="1"/>
      <w:numFmt w:val="bullet"/>
      <w:lvlText w:val="-"/>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BDF5653"/>
    <w:multiLevelType w:val="multilevel"/>
    <w:tmpl w:val="F99A24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38A14341"/>
    <w:multiLevelType w:val="hybridMultilevel"/>
    <w:tmpl w:val="35D807D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C990BBE"/>
    <w:multiLevelType w:val="hybridMultilevel"/>
    <w:tmpl w:val="32160294"/>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3">
    <w:nsid w:val="3E946B97"/>
    <w:multiLevelType w:val="hybridMultilevel"/>
    <w:tmpl w:val="81A2B1A0"/>
    <w:lvl w:ilvl="0" w:tplc="097655D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8AA6087"/>
    <w:multiLevelType w:val="multilevel"/>
    <w:tmpl w:val="CABE542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4F537B46"/>
    <w:multiLevelType w:val="hybridMultilevel"/>
    <w:tmpl w:val="FADA2474"/>
    <w:lvl w:ilvl="0" w:tplc="04090001">
      <w:start w:val="1"/>
      <w:numFmt w:val="bullet"/>
      <w:lvlText w:val="·"/>
      <w:lvlJc w:val="left"/>
      <w:pPr>
        <w:tabs>
          <w:tab w:val="num" w:pos="650"/>
        </w:tabs>
        <w:ind w:left="650" w:hanging="360"/>
      </w:pPr>
      <w:rPr>
        <w:rFonts w:ascii="Symbol" w:hAnsi="Symbol" w:hint="default"/>
      </w:r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16">
    <w:nsid w:val="524D1BE3"/>
    <w:multiLevelType w:val="hybridMultilevel"/>
    <w:tmpl w:val="1BE6ADEE"/>
    <w:lvl w:ilvl="0" w:tplc="FBB87434">
      <w:start w:val="1"/>
      <w:numFmt w:val="bullet"/>
      <w:lvlText w:val="-"/>
      <w:lvlJc w:val="left"/>
      <w:pPr>
        <w:tabs>
          <w:tab w:val="num" w:pos="1010"/>
        </w:tabs>
        <w:ind w:left="1010" w:hanging="360"/>
      </w:pPr>
      <w:rPr>
        <w:rFonts w:ascii="Times New Roman" w:hAnsi="Times New Roman" w:cs="Times New Roman" w:hint="default"/>
      </w:rPr>
    </w:lvl>
    <w:lvl w:ilvl="1" w:tplc="04090003" w:tentative="1">
      <w:start w:val="1"/>
      <w:numFmt w:val="bullet"/>
      <w:lvlText w:val="o"/>
      <w:lvlJc w:val="left"/>
      <w:pPr>
        <w:tabs>
          <w:tab w:val="num" w:pos="1370"/>
        </w:tabs>
        <w:ind w:left="1370" w:hanging="360"/>
      </w:pPr>
      <w:rPr>
        <w:rFonts w:ascii="Courier New" w:hAnsi="Courier New" w:cs="Courier New" w:hint="default"/>
      </w:rPr>
    </w:lvl>
    <w:lvl w:ilvl="2" w:tplc="04090005" w:tentative="1">
      <w:start w:val="1"/>
      <w:numFmt w:val="bullet"/>
      <w:lvlText w:val="§"/>
      <w:lvlJc w:val="left"/>
      <w:pPr>
        <w:tabs>
          <w:tab w:val="num" w:pos="2090"/>
        </w:tabs>
        <w:ind w:left="2090" w:hanging="360"/>
      </w:pPr>
      <w:rPr>
        <w:rFonts w:ascii="Wingdings" w:hAnsi="Wingdings" w:hint="default"/>
      </w:rPr>
    </w:lvl>
    <w:lvl w:ilvl="3" w:tplc="04090001" w:tentative="1">
      <w:start w:val="1"/>
      <w:numFmt w:val="bullet"/>
      <w:lvlText w:val="·"/>
      <w:lvlJc w:val="left"/>
      <w:pPr>
        <w:tabs>
          <w:tab w:val="num" w:pos="2810"/>
        </w:tabs>
        <w:ind w:left="2810" w:hanging="360"/>
      </w:pPr>
      <w:rPr>
        <w:rFonts w:ascii="Symbol" w:hAnsi="Symbol" w:hint="default"/>
      </w:rPr>
    </w:lvl>
    <w:lvl w:ilvl="4" w:tplc="04090003" w:tentative="1">
      <w:start w:val="1"/>
      <w:numFmt w:val="bullet"/>
      <w:lvlText w:val="o"/>
      <w:lvlJc w:val="left"/>
      <w:pPr>
        <w:tabs>
          <w:tab w:val="num" w:pos="3530"/>
        </w:tabs>
        <w:ind w:left="3530" w:hanging="360"/>
      </w:pPr>
      <w:rPr>
        <w:rFonts w:ascii="Courier New" w:hAnsi="Courier New" w:cs="Courier New" w:hint="default"/>
      </w:rPr>
    </w:lvl>
    <w:lvl w:ilvl="5" w:tplc="04090005" w:tentative="1">
      <w:start w:val="1"/>
      <w:numFmt w:val="bullet"/>
      <w:lvlText w:val="§"/>
      <w:lvlJc w:val="left"/>
      <w:pPr>
        <w:tabs>
          <w:tab w:val="num" w:pos="4250"/>
        </w:tabs>
        <w:ind w:left="4250" w:hanging="360"/>
      </w:pPr>
      <w:rPr>
        <w:rFonts w:ascii="Wingdings" w:hAnsi="Wingdings" w:hint="default"/>
      </w:rPr>
    </w:lvl>
    <w:lvl w:ilvl="6" w:tplc="04090001" w:tentative="1">
      <w:start w:val="1"/>
      <w:numFmt w:val="bullet"/>
      <w:lvlText w:val="·"/>
      <w:lvlJc w:val="left"/>
      <w:pPr>
        <w:tabs>
          <w:tab w:val="num" w:pos="4970"/>
        </w:tabs>
        <w:ind w:left="4970" w:hanging="360"/>
      </w:pPr>
      <w:rPr>
        <w:rFonts w:ascii="Symbol" w:hAnsi="Symbol" w:hint="default"/>
      </w:rPr>
    </w:lvl>
    <w:lvl w:ilvl="7" w:tplc="04090003" w:tentative="1">
      <w:start w:val="1"/>
      <w:numFmt w:val="bullet"/>
      <w:lvlText w:val="o"/>
      <w:lvlJc w:val="left"/>
      <w:pPr>
        <w:tabs>
          <w:tab w:val="num" w:pos="5690"/>
        </w:tabs>
        <w:ind w:left="5690" w:hanging="360"/>
      </w:pPr>
      <w:rPr>
        <w:rFonts w:ascii="Courier New" w:hAnsi="Courier New" w:cs="Courier New" w:hint="default"/>
      </w:rPr>
    </w:lvl>
    <w:lvl w:ilvl="8" w:tplc="04090005" w:tentative="1">
      <w:start w:val="1"/>
      <w:numFmt w:val="bullet"/>
      <w:lvlText w:val="§"/>
      <w:lvlJc w:val="left"/>
      <w:pPr>
        <w:tabs>
          <w:tab w:val="num" w:pos="6410"/>
        </w:tabs>
        <w:ind w:left="6410" w:hanging="360"/>
      </w:pPr>
      <w:rPr>
        <w:rFonts w:ascii="Wingdings" w:hAnsi="Wingdings" w:hint="default"/>
      </w:rPr>
    </w:lvl>
  </w:abstractNum>
  <w:abstractNum w:abstractNumId="17">
    <w:nsid w:val="545C11CA"/>
    <w:multiLevelType w:val="hybridMultilevel"/>
    <w:tmpl w:val="2DEC3410"/>
    <w:lvl w:ilvl="0" w:tplc="F0521C1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6490853"/>
    <w:multiLevelType w:val="hybridMultilevel"/>
    <w:tmpl w:val="096A8A86"/>
    <w:lvl w:ilvl="0" w:tplc="B76C4C84">
      <w:start w:val="1"/>
      <w:numFmt w:val="bullet"/>
      <w:lvlText w:val="·"/>
      <w:lvlJc w:val="left"/>
      <w:pPr>
        <w:tabs>
          <w:tab w:val="num" w:pos="510"/>
        </w:tabs>
        <w:ind w:left="510" w:hanging="51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74D7740"/>
    <w:multiLevelType w:val="hybridMultilevel"/>
    <w:tmpl w:val="BC86E514"/>
    <w:lvl w:ilvl="0" w:tplc="41886464">
      <w:numFmt w:val="bullet"/>
      <w:lvlText w:val="-"/>
      <w:lvlJc w:val="left"/>
      <w:pPr>
        <w:ind w:left="720" w:hanging="360"/>
      </w:pPr>
      <w:rPr>
        <w:rFonts w:ascii="Times New Roman" w:eastAsia="Arial"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75F23AA"/>
    <w:multiLevelType w:val="hybridMultilevel"/>
    <w:tmpl w:val="A57AD8A4"/>
    <w:lvl w:ilvl="0" w:tplc="D800F1FA">
      <w:start w:val="1"/>
      <w:numFmt w:val="lowerLetter"/>
      <w:lvlText w:val="(%1)"/>
      <w:lvlJc w:val="left"/>
      <w:pPr>
        <w:tabs>
          <w:tab w:val="num" w:pos="502"/>
        </w:tabs>
        <w:ind w:left="502" w:hanging="360"/>
      </w:pPr>
      <w:rPr>
        <w:rFonts w:hint="default"/>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21">
    <w:nsid w:val="59112136"/>
    <w:multiLevelType w:val="hybridMultilevel"/>
    <w:tmpl w:val="B8E6DBE8"/>
    <w:name w:val="TOC3"/>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9F72E5F"/>
    <w:multiLevelType w:val="hybridMultilevel"/>
    <w:tmpl w:val="40405AC0"/>
    <w:lvl w:ilvl="0" w:tplc="AE6283A6">
      <w:start w:val="1"/>
      <w:numFmt w:val="lowerLetter"/>
      <w:lvlText w:val="(%1)"/>
      <w:lvlJc w:val="left"/>
      <w:pPr>
        <w:tabs>
          <w:tab w:val="num" w:pos="2160"/>
        </w:tabs>
        <w:ind w:left="2160" w:hanging="720"/>
      </w:pPr>
      <w:rPr>
        <w:rFonts w:hint="default"/>
        <w:b w:val="0"/>
        <w:u w:val="none"/>
      </w:rPr>
    </w:lvl>
    <w:lvl w:ilvl="1" w:tplc="0B8A055A">
      <w:start w:val="1"/>
      <w:numFmt w:val="bullet"/>
      <w:lvlText w:val="-"/>
      <w:lvlJc w:val="left"/>
      <w:pPr>
        <w:tabs>
          <w:tab w:val="num" w:pos="2880"/>
        </w:tabs>
        <w:ind w:left="2880" w:hanging="720"/>
      </w:pPr>
      <w:rPr>
        <w:rFonts w:ascii="Times New Roman" w:eastAsia="SimSun" w:hAnsi="Times New Roman" w:cs="Times New Roman"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AA370F2"/>
    <w:multiLevelType w:val="hybridMultilevel"/>
    <w:tmpl w:val="0B16B110"/>
    <w:lvl w:ilvl="0" w:tplc="0409000F">
      <w:start w:val="1"/>
      <w:numFmt w:val="decimal"/>
      <w:lvlText w:val="%1."/>
      <w:lvlJc w:val="left"/>
      <w:pPr>
        <w:tabs>
          <w:tab w:val="num" w:pos="650"/>
        </w:tabs>
        <w:ind w:left="650" w:hanging="360"/>
      </w:pPr>
    </w:lvl>
    <w:lvl w:ilvl="1" w:tplc="BA5AAF96">
      <w:start w:val="1"/>
      <w:numFmt w:val="decimal"/>
      <w:lvlText w:val="%2."/>
      <w:lvlJc w:val="left"/>
      <w:pPr>
        <w:tabs>
          <w:tab w:val="num" w:pos="1350"/>
        </w:tabs>
        <w:ind w:left="1350" w:hanging="340"/>
      </w:pPr>
      <w:rPr>
        <w:rFonts w:hint="default"/>
      </w:r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4">
    <w:nsid w:val="5AFE0F69"/>
    <w:multiLevelType w:val="multilevel"/>
    <w:tmpl w:val="D9B47E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5C114861"/>
    <w:multiLevelType w:val="hybridMultilevel"/>
    <w:tmpl w:val="CBECB002"/>
    <w:lvl w:ilvl="0" w:tplc="0409000F">
      <w:start w:val="1"/>
      <w:numFmt w:val="decimal"/>
      <w:lvlText w:val="%1."/>
      <w:lvlJc w:val="left"/>
      <w:pPr>
        <w:tabs>
          <w:tab w:val="num" w:pos="650"/>
        </w:tabs>
        <w:ind w:left="650" w:hanging="360"/>
      </w:pPr>
    </w:lvl>
    <w:lvl w:ilvl="1" w:tplc="04090019" w:tentative="1">
      <w:start w:val="1"/>
      <w:numFmt w:val="lowerLetter"/>
      <w:lvlText w:val="%2."/>
      <w:lvlJc w:val="left"/>
      <w:pPr>
        <w:tabs>
          <w:tab w:val="num" w:pos="1370"/>
        </w:tabs>
        <w:ind w:left="1370" w:hanging="360"/>
      </w:pPr>
    </w:lvl>
    <w:lvl w:ilvl="2" w:tplc="0409001B" w:tentative="1">
      <w:start w:val="1"/>
      <w:numFmt w:val="lowerRoman"/>
      <w:lvlText w:val="%3."/>
      <w:lvlJc w:val="right"/>
      <w:pPr>
        <w:tabs>
          <w:tab w:val="num" w:pos="2090"/>
        </w:tabs>
        <w:ind w:left="2090" w:hanging="180"/>
      </w:pPr>
    </w:lvl>
    <w:lvl w:ilvl="3" w:tplc="0409000F" w:tentative="1">
      <w:start w:val="1"/>
      <w:numFmt w:val="decimal"/>
      <w:lvlText w:val="%4."/>
      <w:lvlJc w:val="left"/>
      <w:pPr>
        <w:tabs>
          <w:tab w:val="num" w:pos="2810"/>
        </w:tabs>
        <w:ind w:left="2810" w:hanging="360"/>
      </w:pPr>
    </w:lvl>
    <w:lvl w:ilvl="4" w:tplc="04090019" w:tentative="1">
      <w:start w:val="1"/>
      <w:numFmt w:val="lowerLetter"/>
      <w:lvlText w:val="%5."/>
      <w:lvlJc w:val="left"/>
      <w:pPr>
        <w:tabs>
          <w:tab w:val="num" w:pos="3530"/>
        </w:tabs>
        <w:ind w:left="3530" w:hanging="360"/>
      </w:pPr>
    </w:lvl>
    <w:lvl w:ilvl="5" w:tplc="0409001B" w:tentative="1">
      <w:start w:val="1"/>
      <w:numFmt w:val="lowerRoman"/>
      <w:lvlText w:val="%6."/>
      <w:lvlJc w:val="right"/>
      <w:pPr>
        <w:tabs>
          <w:tab w:val="num" w:pos="4250"/>
        </w:tabs>
        <w:ind w:left="4250" w:hanging="180"/>
      </w:pPr>
    </w:lvl>
    <w:lvl w:ilvl="6" w:tplc="0409000F" w:tentative="1">
      <w:start w:val="1"/>
      <w:numFmt w:val="decimal"/>
      <w:lvlText w:val="%7."/>
      <w:lvlJc w:val="left"/>
      <w:pPr>
        <w:tabs>
          <w:tab w:val="num" w:pos="4970"/>
        </w:tabs>
        <w:ind w:left="4970" w:hanging="360"/>
      </w:pPr>
    </w:lvl>
    <w:lvl w:ilvl="7" w:tplc="04090019" w:tentative="1">
      <w:start w:val="1"/>
      <w:numFmt w:val="lowerLetter"/>
      <w:lvlText w:val="%8."/>
      <w:lvlJc w:val="left"/>
      <w:pPr>
        <w:tabs>
          <w:tab w:val="num" w:pos="5690"/>
        </w:tabs>
        <w:ind w:left="5690" w:hanging="360"/>
      </w:pPr>
    </w:lvl>
    <w:lvl w:ilvl="8" w:tplc="0409001B" w:tentative="1">
      <w:start w:val="1"/>
      <w:numFmt w:val="lowerRoman"/>
      <w:lvlText w:val="%9."/>
      <w:lvlJc w:val="right"/>
      <w:pPr>
        <w:tabs>
          <w:tab w:val="num" w:pos="6410"/>
        </w:tabs>
        <w:ind w:left="6410" w:hanging="180"/>
      </w:pPr>
    </w:lvl>
  </w:abstractNum>
  <w:abstractNum w:abstractNumId="26">
    <w:nsid w:val="6196067C"/>
    <w:multiLevelType w:val="multilevel"/>
    <w:tmpl w:val="E2682E4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241B4D"/>
    <w:multiLevelType w:val="hybridMultilevel"/>
    <w:tmpl w:val="DD3AB1AC"/>
    <w:lvl w:ilvl="0" w:tplc="FBC8E064">
      <w:start w:val="1"/>
      <w:numFmt w:val="low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8">
    <w:nsid w:val="76B25141"/>
    <w:multiLevelType w:val="hybridMultilevel"/>
    <w:tmpl w:val="FD72B9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C1620CA"/>
    <w:multiLevelType w:val="hybridMultilevel"/>
    <w:tmpl w:val="3F6EADF6"/>
    <w:lvl w:ilvl="0" w:tplc="69D2177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29"/>
  </w:num>
  <w:num w:numId="3">
    <w:abstractNumId w:val="21"/>
  </w:num>
  <w:num w:numId="4">
    <w:abstractNumId w:val="8"/>
  </w:num>
  <w:num w:numId="5">
    <w:abstractNumId w:val="22"/>
  </w:num>
  <w:num w:numId="6">
    <w:abstractNumId w:val="11"/>
  </w:num>
  <w:num w:numId="7">
    <w:abstractNumId w:val="2"/>
  </w:num>
  <w:num w:numId="8">
    <w:abstractNumId w:val="12"/>
  </w:num>
  <w:num w:numId="9">
    <w:abstractNumId w:val="3"/>
  </w:num>
  <w:num w:numId="10">
    <w:abstractNumId w:val="1"/>
  </w:num>
  <w:num w:numId="11">
    <w:abstractNumId w:val="9"/>
  </w:num>
  <w:num w:numId="12">
    <w:abstractNumId w:val="27"/>
  </w:num>
  <w:num w:numId="13">
    <w:abstractNumId w:val="28"/>
  </w:num>
  <w:num w:numId="14">
    <w:abstractNumId w:val="16"/>
  </w:num>
  <w:num w:numId="15">
    <w:abstractNumId w:val="6"/>
  </w:num>
  <w:num w:numId="16">
    <w:abstractNumId w:val="0"/>
  </w:num>
  <w:num w:numId="17">
    <w:abstractNumId w:val="25"/>
  </w:num>
  <w:num w:numId="18">
    <w:abstractNumId w:val="7"/>
  </w:num>
  <w:num w:numId="19">
    <w:abstractNumId w:val="15"/>
  </w:num>
  <w:num w:numId="20">
    <w:abstractNumId w:val="5"/>
  </w:num>
  <w:num w:numId="21">
    <w:abstractNumId w:val="23"/>
  </w:num>
  <w:num w:numId="22">
    <w:abstractNumId w:val="20"/>
  </w:num>
  <w:num w:numId="23">
    <w:abstractNumId w:val="13"/>
  </w:num>
  <w:num w:numId="24">
    <w:abstractNumId w:val="17"/>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10"/>
  </w:num>
  <w:num w:numId="30">
    <w:abstractNumId w:val="26"/>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activeWritingStyle w:appName="MSWord" w:lang="fr-CH" w:vendorID="64" w:dllVersion="131078" w:nlCheck="1" w:checkStyle="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1C6"/>
    <w:rsid w:val="0000105C"/>
    <w:rsid w:val="000138F6"/>
    <w:rsid w:val="00023D7B"/>
    <w:rsid w:val="00026D1F"/>
    <w:rsid w:val="0003674D"/>
    <w:rsid w:val="0005390B"/>
    <w:rsid w:val="000552AA"/>
    <w:rsid w:val="00063BFD"/>
    <w:rsid w:val="00077294"/>
    <w:rsid w:val="000875C6"/>
    <w:rsid w:val="00091BF0"/>
    <w:rsid w:val="000A2B89"/>
    <w:rsid w:val="000A6F03"/>
    <w:rsid w:val="000D210E"/>
    <w:rsid w:val="000D34F2"/>
    <w:rsid w:val="000D7E9A"/>
    <w:rsid w:val="000E42EE"/>
    <w:rsid w:val="000F183C"/>
    <w:rsid w:val="00106F64"/>
    <w:rsid w:val="00115798"/>
    <w:rsid w:val="001205D6"/>
    <w:rsid w:val="00127D35"/>
    <w:rsid w:val="001456CB"/>
    <w:rsid w:val="001537CC"/>
    <w:rsid w:val="00153DB2"/>
    <w:rsid w:val="00155EA1"/>
    <w:rsid w:val="0015615C"/>
    <w:rsid w:val="001676BA"/>
    <w:rsid w:val="00194332"/>
    <w:rsid w:val="001A5B88"/>
    <w:rsid w:val="001B68BA"/>
    <w:rsid w:val="001B7B09"/>
    <w:rsid w:val="001C4360"/>
    <w:rsid w:val="001D3313"/>
    <w:rsid w:val="001E3384"/>
    <w:rsid w:val="002028A9"/>
    <w:rsid w:val="0021296A"/>
    <w:rsid w:val="002129D5"/>
    <w:rsid w:val="00221893"/>
    <w:rsid w:val="00224386"/>
    <w:rsid w:val="00227E2F"/>
    <w:rsid w:val="00230775"/>
    <w:rsid w:val="00235A1A"/>
    <w:rsid w:val="002431DB"/>
    <w:rsid w:val="00244860"/>
    <w:rsid w:val="0024583B"/>
    <w:rsid w:val="0025174E"/>
    <w:rsid w:val="00266D70"/>
    <w:rsid w:val="00273A31"/>
    <w:rsid w:val="00282E14"/>
    <w:rsid w:val="0028546D"/>
    <w:rsid w:val="0028624E"/>
    <w:rsid w:val="002863A2"/>
    <w:rsid w:val="00293243"/>
    <w:rsid w:val="002947F2"/>
    <w:rsid w:val="002969BF"/>
    <w:rsid w:val="002B3E24"/>
    <w:rsid w:val="002D6511"/>
    <w:rsid w:val="002E65F4"/>
    <w:rsid w:val="00305B08"/>
    <w:rsid w:val="00315265"/>
    <w:rsid w:val="003300F0"/>
    <w:rsid w:val="00335FB9"/>
    <w:rsid w:val="00356299"/>
    <w:rsid w:val="003577DB"/>
    <w:rsid w:val="00380489"/>
    <w:rsid w:val="003956EF"/>
    <w:rsid w:val="00396E4C"/>
    <w:rsid w:val="003A3957"/>
    <w:rsid w:val="003A66B7"/>
    <w:rsid w:val="003C37C3"/>
    <w:rsid w:val="003C63AC"/>
    <w:rsid w:val="003D0C10"/>
    <w:rsid w:val="003D3D66"/>
    <w:rsid w:val="003E552B"/>
    <w:rsid w:val="003F3CBC"/>
    <w:rsid w:val="00401FD2"/>
    <w:rsid w:val="00410560"/>
    <w:rsid w:val="004153DE"/>
    <w:rsid w:val="00415EFC"/>
    <w:rsid w:val="00435D74"/>
    <w:rsid w:val="00440385"/>
    <w:rsid w:val="00440E30"/>
    <w:rsid w:val="00440ED0"/>
    <w:rsid w:val="00443DF5"/>
    <w:rsid w:val="00447412"/>
    <w:rsid w:val="00455C6D"/>
    <w:rsid w:val="00456419"/>
    <w:rsid w:val="00460258"/>
    <w:rsid w:val="0048657B"/>
    <w:rsid w:val="004A5D9B"/>
    <w:rsid w:val="004B1D72"/>
    <w:rsid w:val="004B2E07"/>
    <w:rsid w:val="004B4CAC"/>
    <w:rsid w:val="004C044F"/>
    <w:rsid w:val="004C3905"/>
    <w:rsid w:val="004D21C9"/>
    <w:rsid w:val="004D5717"/>
    <w:rsid w:val="004D5D19"/>
    <w:rsid w:val="004E0AB6"/>
    <w:rsid w:val="004E49EC"/>
    <w:rsid w:val="004E4D86"/>
    <w:rsid w:val="004F4DB0"/>
    <w:rsid w:val="00520DCB"/>
    <w:rsid w:val="005275A0"/>
    <w:rsid w:val="00530EF5"/>
    <w:rsid w:val="00535992"/>
    <w:rsid w:val="005417E4"/>
    <w:rsid w:val="005455F8"/>
    <w:rsid w:val="0055573E"/>
    <w:rsid w:val="00562D63"/>
    <w:rsid w:val="00570A1B"/>
    <w:rsid w:val="00570E41"/>
    <w:rsid w:val="00576638"/>
    <w:rsid w:val="005849E6"/>
    <w:rsid w:val="00585F8E"/>
    <w:rsid w:val="005871D9"/>
    <w:rsid w:val="005957ED"/>
    <w:rsid w:val="005D2EFF"/>
    <w:rsid w:val="005E7C37"/>
    <w:rsid w:val="005F1A5B"/>
    <w:rsid w:val="005F283E"/>
    <w:rsid w:val="0060068B"/>
    <w:rsid w:val="0060785C"/>
    <w:rsid w:val="00627A52"/>
    <w:rsid w:val="006306D3"/>
    <w:rsid w:val="0063240F"/>
    <w:rsid w:val="00635102"/>
    <w:rsid w:val="00636BD7"/>
    <w:rsid w:val="006375A5"/>
    <w:rsid w:val="006412EA"/>
    <w:rsid w:val="00645695"/>
    <w:rsid w:val="00650CD4"/>
    <w:rsid w:val="006605E5"/>
    <w:rsid w:val="00660EDA"/>
    <w:rsid w:val="006617A4"/>
    <w:rsid w:val="00667227"/>
    <w:rsid w:val="006749F6"/>
    <w:rsid w:val="00682D26"/>
    <w:rsid w:val="00682DDB"/>
    <w:rsid w:val="006834E4"/>
    <w:rsid w:val="00687D69"/>
    <w:rsid w:val="00687E4F"/>
    <w:rsid w:val="00695D3E"/>
    <w:rsid w:val="006A7352"/>
    <w:rsid w:val="006B1051"/>
    <w:rsid w:val="006B441C"/>
    <w:rsid w:val="006B5A71"/>
    <w:rsid w:val="006E6CC3"/>
    <w:rsid w:val="006F0EE4"/>
    <w:rsid w:val="006F790C"/>
    <w:rsid w:val="007114F8"/>
    <w:rsid w:val="00712363"/>
    <w:rsid w:val="00712EFD"/>
    <w:rsid w:val="00716D30"/>
    <w:rsid w:val="007210F6"/>
    <w:rsid w:val="00723438"/>
    <w:rsid w:val="00733660"/>
    <w:rsid w:val="00741EBC"/>
    <w:rsid w:val="007432E5"/>
    <w:rsid w:val="007450E8"/>
    <w:rsid w:val="007625BA"/>
    <w:rsid w:val="00776BDB"/>
    <w:rsid w:val="00790C76"/>
    <w:rsid w:val="00790CBE"/>
    <w:rsid w:val="0079503A"/>
    <w:rsid w:val="00795469"/>
    <w:rsid w:val="00796729"/>
    <w:rsid w:val="00797214"/>
    <w:rsid w:val="007B01A6"/>
    <w:rsid w:val="007B5929"/>
    <w:rsid w:val="007C4483"/>
    <w:rsid w:val="007C4A8E"/>
    <w:rsid w:val="007C5369"/>
    <w:rsid w:val="007D1657"/>
    <w:rsid w:val="007D47FE"/>
    <w:rsid w:val="007E39E1"/>
    <w:rsid w:val="007F7DA3"/>
    <w:rsid w:val="0080366A"/>
    <w:rsid w:val="0081788D"/>
    <w:rsid w:val="00842120"/>
    <w:rsid w:val="00842220"/>
    <w:rsid w:val="008427AA"/>
    <w:rsid w:val="00846B4A"/>
    <w:rsid w:val="008553DE"/>
    <w:rsid w:val="008568EA"/>
    <w:rsid w:val="008656FA"/>
    <w:rsid w:val="00874280"/>
    <w:rsid w:val="008774E3"/>
    <w:rsid w:val="008A2957"/>
    <w:rsid w:val="008B33E8"/>
    <w:rsid w:val="008B4DD7"/>
    <w:rsid w:val="008B4F3E"/>
    <w:rsid w:val="008C2924"/>
    <w:rsid w:val="008C60C0"/>
    <w:rsid w:val="008D1A3C"/>
    <w:rsid w:val="008D3B8A"/>
    <w:rsid w:val="008E46C1"/>
    <w:rsid w:val="009240B2"/>
    <w:rsid w:val="00925A9D"/>
    <w:rsid w:val="009337F5"/>
    <w:rsid w:val="009358CD"/>
    <w:rsid w:val="00944040"/>
    <w:rsid w:val="00944E25"/>
    <w:rsid w:val="00945265"/>
    <w:rsid w:val="009469B5"/>
    <w:rsid w:val="00951601"/>
    <w:rsid w:val="00977C96"/>
    <w:rsid w:val="00982FCF"/>
    <w:rsid w:val="00983FB8"/>
    <w:rsid w:val="0098565E"/>
    <w:rsid w:val="00986237"/>
    <w:rsid w:val="00991BC1"/>
    <w:rsid w:val="00997618"/>
    <w:rsid w:val="009A2849"/>
    <w:rsid w:val="009B113A"/>
    <w:rsid w:val="009B459A"/>
    <w:rsid w:val="009D76A9"/>
    <w:rsid w:val="009E00AF"/>
    <w:rsid w:val="009F18EC"/>
    <w:rsid w:val="009F2043"/>
    <w:rsid w:val="00A01741"/>
    <w:rsid w:val="00A1021E"/>
    <w:rsid w:val="00A153DB"/>
    <w:rsid w:val="00A21EF1"/>
    <w:rsid w:val="00A34DA7"/>
    <w:rsid w:val="00A364CF"/>
    <w:rsid w:val="00A3761B"/>
    <w:rsid w:val="00A40490"/>
    <w:rsid w:val="00A439B9"/>
    <w:rsid w:val="00A54482"/>
    <w:rsid w:val="00A564C7"/>
    <w:rsid w:val="00A61E26"/>
    <w:rsid w:val="00A63977"/>
    <w:rsid w:val="00A86B19"/>
    <w:rsid w:val="00A86E08"/>
    <w:rsid w:val="00A9048E"/>
    <w:rsid w:val="00A93F3F"/>
    <w:rsid w:val="00AA06C3"/>
    <w:rsid w:val="00AA3895"/>
    <w:rsid w:val="00AB0243"/>
    <w:rsid w:val="00AB12FC"/>
    <w:rsid w:val="00AC50E4"/>
    <w:rsid w:val="00AD1796"/>
    <w:rsid w:val="00AD20B3"/>
    <w:rsid w:val="00AD4CA9"/>
    <w:rsid w:val="00AE2231"/>
    <w:rsid w:val="00AE69A2"/>
    <w:rsid w:val="00AE796C"/>
    <w:rsid w:val="00AF1317"/>
    <w:rsid w:val="00AF291B"/>
    <w:rsid w:val="00AF3626"/>
    <w:rsid w:val="00B04529"/>
    <w:rsid w:val="00B10623"/>
    <w:rsid w:val="00B13589"/>
    <w:rsid w:val="00B14752"/>
    <w:rsid w:val="00B234F6"/>
    <w:rsid w:val="00B246B4"/>
    <w:rsid w:val="00B31236"/>
    <w:rsid w:val="00B42B30"/>
    <w:rsid w:val="00B43D96"/>
    <w:rsid w:val="00B458F6"/>
    <w:rsid w:val="00B54DD5"/>
    <w:rsid w:val="00B61545"/>
    <w:rsid w:val="00B7425B"/>
    <w:rsid w:val="00B84F46"/>
    <w:rsid w:val="00BD2C78"/>
    <w:rsid w:val="00BD6119"/>
    <w:rsid w:val="00BF69D2"/>
    <w:rsid w:val="00C07B5F"/>
    <w:rsid w:val="00C12BED"/>
    <w:rsid w:val="00C234D8"/>
    <w:rsid w:val="00C23DDD"/>
    <w:rsid w:val="00C35851"/>
    <w:rsid w:val="00C6141D"/>
    <w:rsid w:val="00C64254"/>
    <w:rsid w:val="00C73CD7"/>
    <w:rsid w:val="00C74811"/>
    <w:rsid w:val="00C772EF"/>
    <w:rsid w:val="00C82CCE"/>
    <w:rsid w:val="00C922E3"/>
    <w:rsid w:val="00CA122E"/>
    <w:rsid w:val="00CA5B8E"/>
    <w:rsid w:val="00CA65D2"/>
    <w:rsid w:val="00CB1C6E"/>
    <w:rsid w:val="00CC5BEF"/>
    <w:rsid w:val="00CE6A0E"/>
    <w:rsid w:val="00D00DDC"/>
    <w:rsid w:val="00D02F61"/>
    <w:rsid w:val="00D1125E"/>
    <w:rsid w:val="00D115F7"/>
    <w:rsid w:val="00D200F6"/>
    <w:rsid w:val="00D230B7"/>
    <w:rsid w:val="00D24502"/>
    <w:rsid w:val="00D32E5B"/>
    <w:rsid w:val="00D3608E"/>
    <w:rsid w:val="00D36635"/>
    <w:rsid w:val="00D40240"/>
    <w:rsid w:val="00D4635B"/>
    <w:rsid w:val="00D5082F"/>
    <w:rsid w:val="00D67524"/>
    <w:rsid w:val="00D70178"/>
    <w:rsid w:val="00D84C7E"/>
    <w:rsid w:val="00D963DD"/>
    <w:rsid w:val="00D968C8"/>
    <w:rsid w:val="00DA5FC2"/>
    <w:rsid w:val="00DB5055"/>
    <w:rsid w:val="00DB5616"/>
    <w:rsid w:val="00DC0CA6"/>
    <w:rsid w:val="00DD4909"/>
    <w:rsid w:val="00E1265D"/>
    <w:rsid w:val="00E15347"/>
    <w:rsid w:val="00E22392"/>
    <w:rsid w:val="00E30296"/>
    <w:rsid w:val="00E4367D"/>
    <w:rsid w:val="00E56372"/>
    <w:rsid w:val="00E60057"/>
    <w:rsid w:val="00E679E8"/>
    <w:rsid w:val="00E84288"/>
    <w:rsid w:val="00EA6B3E"/>
    <w:rsid w:val="00EB4CDE"/>
    <w:rsid w:val="00EC123F"/>
    <w:rsid w:val="00EC3E83"/>
    <w:rsid w:val="00ED053D"/>
    <w:rsid w:val="00EE0A7C"/>
    <w:rsid w:val="00EE5BA8"/>
    <w:rsid w:val="00EE6765"/>
    <w:rsid w:val="00EF0B0D"/>
    <w:rsid w:val="00F006B5"/>
    <w:rsid w:val="00F44EA7"/>
    <w:rsid w:val="00F47B64"/>
    <w:rsid w:val="00F611C6"/>
    <w:rsid w:val="00F62027"/>
    <w:rsid w:val="00F80A14"/>
    <w:rsid w:val="00F80D28"/>
    <w:rsid w:val="00F81658"/>
    <w:rsid w:val="00F927D4"/>
    <w:rsid w:val="00FA61CF"/>
    <w:rsid w:val="00FA61F7"/>
    <w:rsid w:val="00FB1650"/>
    <w:rsid w:val="00FB365F"/>
    <w:rsid w:val="00FB41B6"/>
    <w:rsid w:val="00FC0B84"/>
    <w:rsid w:val="00FC1DDB"/>
    <w:rsid w:val="00FC236F"/>
    <w:rsid w:val="00FC3470"/>
    <w:rsid w:val="00FD41D3"/>
    <w:rsid w:val="00FD659F"/>
    <w:rsid w:val="00FE6E4C"/>
    <w:rsid w:val="00FF3CE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276F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ind w:left="-563"/>
      <w:jc w:val="center"/>
      <w:outlineLvl w:val="0"/>
    </w:pPr>
    <w:rPr>
      <w:b/>
      <w:sz w:val="18"/>
    </w:rPr>
  </w:style>
  <w:style w:type="paragraph" w:styleId="Heading2">
    <w:name w:val="heading 2"/>
    <w:basedOn w:val="Normal"/>
    <w:next w:val="Normal"/>
    <w:qFormat/>
    <w:pPr>
      <w:keepNext/>
      <w:ind w:left="-293"/>
      <w:jc w:val="center"/>
      <w:outlineLvl w:val="1"/>
    </w:pPr>
    <w:rPr>
      <w:b/>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napToGrid w:val="0"/>
      <w:lang w:val="en-AU"/>
    </w:rPr>
  </w:style>
  <w:style w:type="character" w:styleId="PageNumber">
    <w:name w:val="page number"/>
    <w:basedOn w:val="DefaultParagraphFont"/>
  </w:style>
  <w:style w:type="paragraph" w:styleId="Footer">
    <w:name w:val="footer"/>
    <w:basedOn w:val="Normal"/>
    <w:link w:val="FooterChar"/>
    <w:uiPriority w:val="99"/>
    <w:pPr>
      <w:tabs>
        <w:tab w:val="center" w:pos="4153"/>
        <w:tab w:val="right" w:pos="8306"/>
      </w:tabs>
    </w:pPr>
  </w:style>
  <w:style w:type="paragraph" w:styleId="BodyTextIndent">
    <w:name w:val="Body Text Indent"/>
    <w:basedOn w:val="Normal"/>
    <w:pPr>
      <w:tabs>
        <w:tab w:val="left" w:pos="-90"/>
        <w:tab w:val="left" w:pos="7470"/>
        <w:tab w:val="left" w:pos="8395"/>
      </w:tabs>
      <w:ind w:left="-1080"/>
    </w:pPr>
    <w:rPr>
      <w:sz w:val="14"/>
    </w:rPr>
  </w:style>
  <w:style w:type="paragraph" w:styleId="BlockText">
    <w:name w:val="Block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 w:right="-57"/>
      <w:jc w:val="both"/>
    </w:pPr>
    <w:rPr>
      <w:sz w:val="24"/>
      <w:lang w:val="en-US"/>
    </w:rPr>
  </w:style>
  <w:style w:type="paragraph" w:styleId="BalloonText">
    <w:name w:val="Balloon Text"/>
    <w:basedOn w:val="Normal"/>
    <w:semiHidden/>
    <w:rPr>
      <w:rFonts w:ascii="Tahoma" w:hAnsi="Tahoma" w:cs="Tahoma"/>
      <w:sz w:val="16"/>
      <w:szCs w:val="16"/>
    </w:rPr>
  </w:style>
  <w:style w:type="paragraph" w:styleId="BodyText">
    <w:name w:val="Body Text"/>
    <w:basedOn w:val="Normal"/>
    <w:pPr>
      <w:jc w:val="center"/>
    </w:pPr>
    <w:rPr>
      <w:rFonts w:eastAsia="Batang"/>
      <w:b/>
      <w:sz w:val="24"/>
      <w:szCs w:val="24"/>
      <w:lang w:val="en-US"/>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Ch">
    <w:name w:val="_ H _Ch"/>
    <w:basedOn w:val="Normal"/>
    <w:next w:val="Normal"/>
    <w:pPr>
      <w:keepNext/>
      <w:keepLines/>
      <w:suppressAutoHyphens/>
      <w:spacing w:line="300" w:lineRule="exact"/>
      <w:outlineLvl w:val="0"/>
    </w:pPr>
    <w:rPr>
      <w:rFonts w:eastAsia="MS Mincho"/>
      <w:b/>
      <w:spacing w:val="-2"/>
      <w:w w:val="103"/>
      <w:kern w:val="14"/>
      <w:sz w:val="28"/>
    </w:rPr>
  </w:style>
  <w:style w:type="character" w:styleId="FootnoteReference">
    <w:name w:val="footnote reference"/>
    <w:uiPriority w:val="99"/>
    <w:rsid w:val="00460258"/>
    <w:rPr>
      <w:rFonts w:cs="Times New Roman"/>
      <w:vertAlign w:val="superscript"/>
    </w:rPr>
  </w:style>
  <w:style w:type="character" w:customStyle="1" w:styleId="HeaderChar">
    <w:name w:val="Header Char"/>
    <w:link w:val="Header"/>
    <w:uiPriority w:val="99"/>
    <w:rsid w:val="00A01741"/>
    <w:rPr>
      <w:snapToGrid w:val="0"/>
      <w:lang w:val="en-AU" w:eastAsia="en-US"/>
    </w:rPr>
  </w:style>
  <w:style w:type="character" w:styleId="Hyperlink">
    <w:name w:val="Hyperlink"/>
    <w:rsid w:val="0021296A"/>
    <w:rPr>
      <w:color w:val="0000FF"/>
      <w:u w:val="single"/>
    </w:rPr>
  </w:style>
  <w:style w:type="paragraph" w:styleId="Revision">
    <w:name w:val="Revision"/>
    <w:hidden/>
    <w:uiPriority w:val="99"/>
    <w:semiHidden/>
    <w:rsid w:val="006412EA"/>
    <w:rPr>
      <w:lang w:eastAsia="en-US"/>
    </w:rPr>
  </w:style>
  <w:style w:type="character" w:styleId="CommentReference">
    <w:name w:val="annotation reference"/>
    <w:rsid w:val="008A2957"/>
    <w:rPr>
      <w:sz w:val="16"/>
      <w:szCs w:val="16"/>
    </w:rPr>
  </w:style>
  <w:style w:type="paragraph" w:styleId="CommentText">
    <w:name w:val="annotation text"/>
    <w:basedOn w:val="Normal"/>
    <w:link w:val="CommentTextChar"/>
    <w:rsid w:val="008A2957"/>
  </w:style>
  <w:style w:type="character" w:customStyle="1" w:styleId="CommentTextChar">
    <w:name w:val="Comment Text Char"/>
    <w:link w:val="CommentText"/>
    <w:rsid w:val="008A2957"/>
    <w:rPr>
      <w:lang w:eastAsia="en-US"/>
    </w:rPr>
  </w:style>
  <w:style w:type="paragraph" w:styleId="CommentSubject">
    <w:name w:val="annotation subject"/>
    <w:basedOn w:val="CommentText"/>
    <w:next w:val="CommentText"/>
    <w:link w:val="CommentSubjectChar"/>
    <w:rsid w:val="008A2957"/>
    <w:rPr>
      <w:b/>
      <w:bCs/>
    </w:rPr>
  </w:style>
  <w:style w:type="character" w:customStyle="1" w:styleId="CommentSubjectChar">
    <w:name w:val="Comment Subject Char"/>
    <w:link w:val="CommentSubject"/>
    <w:rsid w:val="008A2957"/>
    <w:rPr>
      <w:b/>
      <w:bCs/>
      <w:lang w:eastAsia="en-US"/>
    </w:rPr>
  </w:style>
  <w:style w:type="paragraph" w:styleId="ListParagraph">
    <w:name w:val="List Paragraph"/>
    <w:basedOn w:val="Normal"/>
    <w:uiPriority w:val="34"/>
    <w:qFormat/>
    <w:rsid w:val="00982FCF"/>
    <w:pPr>
      <w:ind w:left="720"/>
      <w:contextualSpacing/>
    </w:pPr>
  </w:style>
  <w:style w:type="character" w:customStyle="1" w:styleId="FooterChar">
    <w:name w:val="Footer Char"/>
    <w:link w:val="Footer"/>
    <w:uiPriority w:val="99"/>
    <w:rsid w:val="0003674D"/>
    <w:rPr>
      <w:lang w:eastAsia="en-US"/>
    </w:rPr>
  </w:style>
  <w:style w:type="paragraph" w:styleId="NormalWeb">
    <w:name w:val="Normal (Web)"/>
    <w:basedOn w:val="Normal"/>
    <w:uiPriority w:val="99"/>
    <w:unhideWhenUsed/>
    <w:rsid w:val="002B3E24"/>
    <w:pPr>
      <w:spacing w:before="100" w:beforeAutospacing="1" w:after="100" w:afterAutospacing="1"/>
    </w:pPr>
    <w:rPr>
      <w:sz w:val="24"/>
      <w:szCs w:val="24"/>
      <w:lang w:val="da-DK" w:eastAsia="en-GB"/>
    </w:rPr>
  </w:style>
  <w:style w:type="paragraph" w:styleId="FootnoteText">
    <w:name w:val="footnote text"/>
    <w:basedOn w:val="Normal"/>
    <w:link w:val="FootnoteTextChar"/>
    <w:uiPriority w:val="99"/>
    <w:semiHidden/>
    <w:unhideWhenUsed/>
    <w:rsid w:val="002B3E24"/>
    <w:rPr>
      <w:lang w:val="en-US"/>
    </w:rPr>
  </w:style>
  <w:style w:type="character" w:customStyle="1" w:styleId="FootnoteTextChar">
    <w:name w:val="Footnote Text Char"/>
    <w:basedOn w:val="DefaultParagraphFont"/>
    <w:link w:val="FootnoteText"/>
    <w:uiPriority w:val="99"/>
    <w:semiHidden/>
    <w:rsid w:val="002B3E24"/>
    <w:rPr>
      <w:lang w:val="en-US" w:eastAsia="en-US"/>
    </w:rPr>
  </w:style>
  <w:style w:type="character" w:styleId="Strong">
    <w:name w:val="Strong"/>
    <w:basedOn w:val="DefaultParagraphFont"/>
    <w:uiPriority w:val="22"/>
    <w:qFormat/>
    <w:rsid w:val="002B3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03790">
      <w:bodyDiv w:val="1"/>
      <w:marLeft w:val="0"/>
      <w:marRight w:val="0"/>
      <w:marTop w:val="0"/>
      <w:marBottom w:val="0"/>
      <w:divBdr>
        <w:top w:val="none" w:sz="0" w:space="0" w:color="auto"/>
        <w:left w:val="none" w:sz="0" w:space="0" w:color="auto"/>
        <w:bottom w:val="none" w:sz="0" w:space="0" w:color="auto"/>
        <w:right w:val="none" w:sz="0" w:space="0" w:color="auto"/>
      </w:divBdr>
      <w:divsChild>
        <w:div w:id="647901742">
          <w:marLeft w:val="0"/>
          <w:marRight w:val="0"/>
          <w:marTop w:val="0"/>
          <w:marBottom w:val="0"/>
          <w:divBdr>
            <w:top w:val="none" w:sz="0" w:space="0" w:color="auto"/>
            <w:left w:val="none" w:sz="0" w:space="0" w:color="auto"/>
            <w:bottom w:val="none" w:sz="0" w:space="0" w:color="auto"/>
            <w:right w:val="none" w:sz="0" w:space="0" w:color="auto"/>
          </w:divBdr>
          <w:divsChild>
            <w:div w:id="1337534204">
              <w:marLeft w:val="0"/>
              <w:marRight w:val="0"/>
              <w:marTop w:val="0"/>
              <w:marBottom w:val="0"/>
              <w:divBdr>
                <w:top w:val="none" w:sz="0" w:space="0" w:color="auto"/>
                <w:left w:val="none" w:sz="0" w:space="0" w:color="auto"/>
                <w:bottom w:val="none" w:sz="0" w:space="0" w:color="auto"/>
                <w:right w:val="none" w:sz="0" w:space="0" w:color="auto"/>
              </w:divBdr>
              <w:divsChild>
                <w:div w:id="2022773920">
                  <w:marLeft w:val="0"/>
                  <w:marRight w:val="0"/>
                  <w:marTop w:val="0"/>
                  <w:marBottom w:val="0"/>
                  <w:divBdr>
                    <w:top w:val="none" w:sz="0" w:space="0" w:color="auto"/>
                    <w:left w:val="none" w:sz="0" w:space="0" w:color="auto"/>
                    <w:bottom w:val="none" w:sz="0" w:space="0" w:color="auto"/>
                    <w:right w:val="none" w:sz="0" w:space="0" w:color="auto"/>
                  </w:divBdr>
                  <w:divsChild>
                    <w:div w:id="1030762919">
                      <w:marLeft w:val="0"/>
                      <w:marRight w:val="0"/>
                      <w:marTop w:val="0"/>
                      <w:marBottom w:val="0"/>
                      <w:divBdr>
                        <w:top w:val="none" w:sz="0" w:space="0" w:color="auto"/>
                        <w:left w:val="none" w:sz="0" w:space="0" w:color="auto"/>
                        <w:bottom w:val="none" w:sz="0" w:space="0" w:color="auto"/>
                        <w:right w:val="none" w:sz="0" w:space="0" w:color="auto"/>
                      </w:divBdr>
                      <w:divsChild>
                        <w:div w:id="11864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711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ochsenbein@ohchr.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depreuxdebaets@ohchr.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e-sogi@ohchr.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6D7D2-362B-4E22-AB98-1B6E41F1BC51}"/>
</file>

<file path=customXml/itemProps2.xml><?xml version="1.0" encoding="utf-8"?>
<ds:datastoreItem xmlns:ds="http://schemas.openxmlformats.org/officeDocument/2006/customXml" ds:itemID="{0FB61197-64E8-4CDB-94D4-B18B6C19301B}">
  <ds:schemaRefs>
    <ds:schemaRef ds:uri="http://schemas.microsoft.com/office/infopath/2007/PartnerControls"/>
    <ds:schemaRef ds:uri="http://purl.org/dc/elements/1.1/"/>
    <ds:schemaRef ds:uri="http://schemas.microsoft.com/office/2006/metadata/properties"/>
    <ds:schemaRef ds:uri="f62cadcd-e163-4118-ac05-a32b5a627a72"/>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2AA97D9D-B806-44D4-AB63-373517796834}">
  <ds:schemaRefs>
    <ds:schemaRef ds:uri="http://schemas.microsoft.com/sharepoint/v3/contenttype/forms"/>
  </ds:schemaRefs>
</ds:datastoreItem>
</file>

<file path=customXml/itemProps4.xml><?xml version="1.0" encoding="utf-8"?>
<ds:datastoreItem xmlns:ds="http://schemas.openxmlformats.org/officeDocument/2006/customXml" ds:itemID="{65330945-97F3-48F4-A134-AF064874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1389</Words>
  <Characters>8019</Characters>
  <Application>Microsoft Office Word</Application>
  <DocSecurity>0</DocSecurity>
  <Lines>66</Lines>
  <Paragraphs>18</Paragraphs>
  <ScaleCrop>false</ScaleCrop>
  <HeadingPairs>
    <vt:vector size="4" baseType="variant">
      <vt:variant>
        <vt:lpstr>Title</vt:lpstr>
      </vt:variant>
      <vt:variant>
        <vt:i4>1</vt:i4>
      </vt:variant>
      <vt:variant>
        <vt:lpstr/>
      </vt:variant>
      <vt:variant>
        <vt:i4>1</vt:i4>
      </vt:variant>
    </vt:vector>
  </HeadingPairs>
  <TitlesOfParts>
    <vt:vector size="2" baseType="lpstr">
      <vt:lpstr/>
      <vt:lpstr/>
    </vt:vector>
  </TitlesOfParts>
  <LinksUpToDate>false</LinksUpToDate>
  <CharactersWithSpaces>9390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2019-11-22T09:30:00Z</dcterms:created>
  <dcterms:modified xsi:type="dcterms:W3CDTF">2019-11-22T09:40:00Z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