
<file path=[Content_Types].xml><?xml version="1.0" encoding="utf-8"?>
<Types xmlns="http://schemas.openxmlformats.org/package/2006/content-types">
  <Default Extension="xml" ContentType="application/xml"/>
  <Default Extension="bin"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5E99" w14:textId="77777777" w:rsidR="001F72BE" w:rsidRPr="001F72BE" w:rsidRDefault="001F72BE" w:rsidP="001F72BE">
      <w:pPr>
        <w:spacing w:after="0" w:line="240" w:lineRule="auto"/>
        <w:jc w:val="center"/>
        <w:rPr>
          <w:rFonts w:ascii="Times New Roman" w:eastAsia="Arial" w:hAnsi="Times New Roman" w:cs="Times New Roman"/>
          <w:b/>
          <w:color w:val="000000"/>
          <w:sz w:val="24"/>
          <w:szCs w:val="24"/>
          <w:lang w:val="es-ES" w:eastAsia="zh-CN"/>
        </w:rPr>
      </w:pPr>
      <w:r w:rsidRPr="001F72BE">
        <w:rPr>
          <w:rFonts w:ascii="Times New Roman" w:eastAsia="Arial" w:hAnsi="Times New Roman" w:cs="Times New Roman"/>
          <w:b/>
          <w:color w:val="000000"/>
          <w:sz w:val="24"/>
          <w:szCs w:val="24"/>
          <w:lang w:val="es-ES" w:eastAsia="zh-CN"/>
        </w:rPr>
        <w:t>Solicitud de Contribuciones</w:t>
      </w:r>
    </w:p>
    <w:p w14:paraId="0348E050" w14:textId="77777777" w:rsidR="001F72BE" w:rsidRPr="001F72BE" w:rsidRDefault="001F72BE" w:rsidP="001F72BE">
      <w:pPr>
        <w:spacing w:after="0" w:line="240" w:lineRule="auto"/>
        <w:jc w:val="center"/>
        <w:rPr>
          <w:rFonts w:ascii="Times New Roman" w:eastAsia="Arial" w:hAnsi="Times New Roman" w:cs="Times New Roman"/>
          <w:b/>
          <w:color w:val="000000"/>
          <w:sz w:val="24"/>
          <w:szCs w:val="24"/>
          <w:lang w:val="es-ES" w:eastAsia="zh-CN"/>
        </w:rPr>
      </w:pPr>
    </w:p>
    <w:p w14:paraId="1DD2108A" w14:textId="77777777" w:rsidR="001F72BE" w:rsidRPr="001F72BE" w:rsidRDefault="001F72BE" w:rsidP="001F72BE">
      <w:pPr>
        <w:spacing w:after="0" w:line="240" w:lineRule="auto"/>
        <w:jc w:val="center"/>
        <w:rPr>
          <w:rFonts w:ascii="Times New Roman" w:eastAsia="Times New Roman" w:hAnsi="Times New Roman" w:cs="Times New Roman"/>
          <w:b/>
          <w:color w:val="000000"/>
          <w:sz w:val="24"/>
          <w:szCs w:val="24"/>
          <w:u w:val="single"/>
          <w:lang w:val="es-ES" w:eastAsia="zh-CN"/>
        </w:rPr>
      </w:pPr>
      <w:r w:rsidRPr="001F72BE">
        <w:rPr>
          <w:rFonts w:ascii="Times New Roman" w:eastAsia="Arial" w:hAnsi="Times New Roman" w:cs="Times New Roman"/>
          <w:b/>
          <w:color w:val="000000"/>
          <w:sz w:val="24"/>
          <w:szCs w:val="24"/>
          <w:u w:val="single"/>
          <w:lang w:val="es-ES" w:eastAsia="zh-CN"/>
        </w:rPr>
        <w:t>Fecha límite: 28 de febrero 2019</w:t>
      </w:r>
    </w:p>
    <w:p w14:paraId="1ED14FCF" w14:textId="77777777" w:rsidR="001F72BE" w:rsidRPr="001F72BE" w:rsidRDefault="001F72BE" w:rsidP="001F72BE">
      <w:pPr>
        <w:spacing w:after="0" w:line="240" w:lineRule="auto"/>
        <w:rPr>
          <w:rFonts w:ascii="Times New Roman" w:eastAsia="Times New Roman" w:hAnsi="Times New Roman" w:cs="Times New Roman"/>
          <w:b/>
          <w:color w:val="000000"/>
          <w:sz w:val="24"/>
          <w:szCs w:val="24"/>
          <w:lang w:val="es-ES" w:eastAsia="zh-CN"/>
        </w:rPr>
      </w:pPr>
    </w:p>
    <w:p w14:paraId="5EEF823A" w14:textId="77777777" w:rsidR="001F72BE" w:rsidRPr="001F72BE" w:rsidRDefault="001F72BE" w:rsidP="001F72BE">
      <w:pPr>
        <w:autoSpaceDE w:val="0"/>
        <w:autoSpaceDN w:val="0"/>
        <w:adjustRightInd w:val="0"/>
        <w:spacing w:after="0" w:line="240" w:lineRule="auto"/>
        <w:jc w:val="center"/>
        <w:rPr>
          <w:rFonts w:ascii="Times New Roman" w:eastAsia="Arial" w:hAnsi="Times New Roman" w:cs="Times New Roman"/>
          <w:b/>
          <w:color w:val="000000"/>
          <w:sz w:val="24"/>
          <w:szCs w:val="24"/>
          <w:lang w:val="es-ES" w:eastAsia="zh-CN"/>
        </w:rPr>
      </w:pPr>
      <w:r w:rsidRPr="001F72BE">
        <w:rPr>
          <w:rFonts w:ascii="Times New Roman" w:eastAsia="Arial" w:hAnsi="Times New Roman" w:cs="Times New Roman"/>
          <w:b/>
          <w:color w:val="000000"/>
          <w:sz w:val="24"/>
          <w:szCs w:val="24"/>
          <w:lang w:val="es-ES" w:eastAsia="zh-CN"/>
        </w:rPr>
        <w:t>Informe del experto independiente sobre protección contra la violencia y la discriminación por orientación sexual e identidad de género</w:t>
      </w:r>
    </w:p>
    <w:p w14:paraId="2563D698" w14:textId="77777777"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14:paraId="022C51CD" w14:textId="77777777"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14:paraId="794ACB02"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De acuerdo con mi mandato como Experto Independiente sobre la protección contra la violencia y la discriminación por orientación sexual e identidad de género, de conformidad con la resolución 32/2 del Consejo de Derechos Humanos, tengo la intención de presentar un informe temático en la 41ª sesión del Consejo de Derechos Humanos, que se centrará en los datos como medio para crear una mayor conciencia sobre la violencia y la discriminación basadas en la orientación sexual y la identidad de género, y examinará las consecuencias para los derechos humanos de las actividades del Estado relacionadas con la recopilación de información sobre la violencia y la discriminación basadas en la orientación sexual y la identidad de género.</w:t>
      </w:r>
    </w:p>
    <w:p w14:paraId="455B0C02"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50E87215"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En mi informe se examinarán los tipos de datos pertinentes para evaluar la violencia y la discriminación basadas en la orientación sexual y la identidad de género; se indicarán los datos que ya se están reuniendo, quién los ha reunido y con qué fin; se destacarán las principales salvaguardias de los derechos humanos que deben tenerse en cuenta al reunir y utilizar los datos; y se formularán recomendaciones a los Estados y otras partes interesadas pertinentes.</w:t>
      </w:r>
    </w:p>
    <w:p w14:paraId="006D62CE" w14:textId="77777777" w:rsidR="001F72BE" w:rsidRPr="001F72BE" w:rsidRDefault="001F72BE"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14:paraId="7F741DC6" w14:textId="77777777"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t>Antecedentes</w:t>
      </w:r>
    </w:p>
    <w:p w14:paraId="24A723D4" w14:textId="77777777" w:rsidR="001F72BE" w:rsidRPr="001F72BE" w:rsidRDefault="001F72BE" w:rsidP="001F72BE">
      <w:pPr>
        <w:autoSpaceDE w:val="0"/>
        <w:autoSpaceDN w:val="0"/>
        <w:adjustRightInd w:val="0"/>
        <w:spacing w:after="0" w:line="240" w:lineRule="auto"/>
        <w:ind w:firstLine="567"/>
        <w:rPr>
          <w:rFonts w:ascii="Times New Roman" w:eastAsia="Arial" w:hAnsi="Times New Roman" w:cs="Times New Roman"/>
          <w:b/>
          <w:sz w:val="24"/>
          <w:szCs w:val="24"/>
          <w:u w:val="single"/>
          <w:lang w:val="es-ES" w:eastAsia="zh-CN"/>
        </w:rPr>
      </w:pPr>
    </w:p>
    <w:p w14:paraId="3B163470" w14:textId="77777777" w:rsidR="001F72BE" w:rsidRPr="001F72BE" w:rsidRDefault="001F72BE" w:rsidP="00B71085">
      <w:pPr>
        <w:autoSpaceDE w:val="0"/>
        <w:autoSpaceDN w:val="0"/>
        <w:adjustRightInd w:val="0"/>
        <w:spacing w:after="0" w:line="24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Los prejuicios sociales y la criminalización conducen a la marginación y exclusión de las personas lesbianas, </w:t>
      </w:r>
      <w:proofErr w:type="spellStart"/>
      <w:r w:rsidRPr="001F72BE">
        <w:rPr>
          <w:rFonts w:ascii="Times New Roman" w:eastAsia="Arial" w:hAnsi="Times New Roman" w:cs="Times New Roman"/>
          <w:sz w:val="24"/>
          <w:szCs w:val="24"/>
          <w:lang w:val="es-ES" w:eastAsia="zh-CN"/>
        </w:rPr>
        <w:t>gays</w:t>
      </w:r>
      <w:proofErr w:type="spellEnd"/>
      <w:r w:rsidRPr="001F72BE">
        <w:rPr>
          <w:rFonts w:ascii="Times New Roman" w:eastAsia="Arial" w:hAnsi="Times New Roman" w:cs="Times New Roman"/>
          <w:sz w:val="24"/>
          <w:szCs w:val="24"/>
          <w:lang w:val="es-ES" w:eastAsia="zh-CN"/>
        </w:rPr>
        <w:t xml:space="preserve">, bisexuales o </w:t>
      </w:r>
      <w:proofErr w:type="spellStart"/>
      <w:r w:rsidRPr="001F72BE">
        <w:rPr>
          <w:rFonts w:ascii="Times New Roman" w:eastAsia="Arial" w:hAnsi="Times New Roman" w:cs="Times New Roman"/>
          <w:sz w:val="24"/>
          <w:szCs w:val="24"/>
          <w:lang w:val="es-ES" w:eastAsia="zh-CN"/>
        </w:rPr>
        <w:t>trans</w:t>
      </w:r>
      <w:proofErr w:type="spellEnd"/>
      <w:r w:rsidRPr="001F72BE">
        <w:rPr>
          <w:rFonts w:ascii="Times New Roman" w:eastAsia="Arial" w:hAnsi="Times New Roman" w:cs="Times New Roman"/>
          <w:sz w:val="24"/>
          <w:szCs w:val="24"/>
          <w:lang w:val="es-ES" w:eastAsia="zh-CN"/>
        </w:rPr>
        <w:t xml:space="preserve"> y de género no conforme (LGBT) de los servicios esenciales, que incluyen salud, educación, empleo, vivienda y acceso a la justicia.</w:t>
      </w:r>
      <w:r w:rsidRPr="001F72BE">
        <w:rPr>
          <w:rFonts w:ascii="Times New Roman" w:eastAsia="Arial" w:hAnsi="Times New Roman" w:cs="Times New Roman"/>
          <w:sz w:val="24"/>
          <w:szCs w:val="24"/>
          <w:vertAlign w:val="superscript"/>
          <w:lang w:eastAsia="zh-CN"/>
        </w:rPr>
        <w:footnoteReference w:id="1"/>
      </w:r>
      <w:r w:rsidRPr="001F72BE">
        <w:rPr>
          <w:rFonts w:ascii="Times New Roman" w:eastAsia="Arial" w:hAnsi="Times New Roman" w:cs="Times New Roman"/>
          <w:sz w:val="24"/>
          <w:szCs w:val="24"/>
          <w:lang w:val="es-ES" w:eastAsia="zh-CN"/>
        </w:rPr>
        <w:t xml:space="preserve"> </w:t>
      </w:r>
    </w:p>
    <w:p w14:paraId="5DE67DE9"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6E792996"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mayo de 2018, un </w:t>
      </w:r>
      <w:hyperlink r:id="rId11" w:history="1">
        <w:r w:rsidRPr="001F72BE">
          <w:rPr>
            <w:rFonts w:ascii="Times New Roman" w:eastAsia="Arial" w:hAnsi="Times New Roman" w:cs="Times New Roman"/>
            <w:sz w:val="24"/>
            <w:szCs w:val="24"/>
            <w:u w:val="single"/>
            <w:lang w:val="es-ES" w:eastAsia="zh-CN"/>
          </w:rPr>
          <w:t>grupo de expertos en derechos humanos de las Naciones Unidas e internacionales</w:t>
        </w:r>
      </w:hyperlink>
      <w:r w:rsidRPr="001F72BE">
        <w:rPr>
          <w:rFonts w:ascii="Times New Roman" w:eastAsia="Arial" w:hAnsi="Times New Roman" w:cs="Times New Roman"/>
          <w:sz w:val="24"/>
          <w:szCs w:val="24"/>
          <w:lang w:val="es-ES" w:eastAsia="zh-CN"/>
        </w:rPr>
        <w:t xml:space="preserve"> expresó su preocupación por el hecho de que las personas LGBT se estén quedando atrás. Este grupo señaló que: "los compromisos de desarrollo de la comunidad internacional, ubicados en el marco de los Objetivos de Desarrollo Sostenible (ODS), exigen atención inmediata para garantizar que se aborde la exclusión sistemática de estos grupos, comunidades y poblaciones; para garantizar que nadie se quede atrás, se deben tomar medidas para derribar las barreras sistemáticas que excluyen a las personas LGBT de los beneficios de la agenda de desarrollo." En este contexto, los expertos subrayaron que esas medidas dependerán, entre otras cosas, de la disponibilidad de datos y de la garantía de que la </w:t>
      </w:r>
      <w:r w:rsidRPr="001F72BE">
        <w:rPr>
          <w:rFonts w:ascii="Times New Roman" w:eastAsia="Arial" w:hAnsi="Times New Roman" w:cs="Times New Roman"/>
          <w:sz w:val="24"/>
          <w:szCs w:val="24"/>
          <w:lang w:val="es-ES" w:eastAsia="zh-CN"/>
        </w:rPr>
        <w:lastRenderedPageBreak/>
        <w:t>reunión y gestión de datos desglosados se lleven a cabo en estricto cumplimiento de las normas de derechos humanos.</w:t>
      </w:r>
    </w:p>
    <w:p w14:paraId="393D4672" w14:textId="77777777" w:rsidR="001F72BE" w:rsidRPr="001F72BE" w:rsidRDefault="001F72BE" w:rsidP="001F72BE">
      <w:pPr>
        <w:autoSpaceDE w:val="0"/>
        <w:autoSpaceDN w:val="0"/>
        <w:adjustRightInd w:val="0"/>
        <w:spacing w:after="0" w:line="240" w:lineRule="auto"/>
        <w:ind w:firstLine="567"/>
        <w:rPr>
          <w:rFonts w:ascii="Times New Roman" w:eastAsia="Arial" w:hAnsi="Times New Roman" w:cs="Times New Roman"/>
          <w:sz w:val="24"/>
          <w:szCs w:val="24"/>
          <w:lang w:val="es-ES" w:eastAsia="zh-CN"/>
        </w:rPr>
      </w:pPr>
    </w:p>
    <w:p w14:paraId="7EC44D11"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Sin embargo, en la actualidad existe una gran brecha en los datos disponibles para captar las realidades vividas por las personas LGBT. Los prejuicios sociales y la penalización pueden dar lugar a que no se denuncien o no se denuncien todos los casos de violencia y discriminación por motivos de orientación sexual e identidad de género, y pueden afectar gravemente a las actividades de recopilación de datos, lo que ayudaría a proporcionar pruebas sobre la magnitud de los problemas a que se enfrenta la población lesbiana, gay, bisexual y transexual, así como de las necesidades políticas y legislativas a ese respecto. Del mismo modo, la negación, por parte de algunos Estados, de la existencia de violencia y discriminación basadas en la orientación sexual y en la identidad de género, o incluso de la presencia de personas LGBT en su jurisdicción, dará lugar a graves lagunas de datos. La recopilación es crucial para crear visibilidad y construir una base de pruebas sobre los abusos de los derechos humanos y las posibles respuestas, disipar los mitos y estereotipos que alimentan el estigma y la discriminación, y para ayudar a los responsables de la formulación de políticas y a los defensores en la formulación de medidas estatales relativas a la inclusión socioeconómica, el acceso a la salud y la educación, la inclusión en la esfera cívica y política, las medidas antidiscriminatorias, la prevención de los abusos y el acceso a la justicia.</w:t>
      </w:r>
    </w:p>
    <w:p w14:paraId="4BCD7438" w14:textId="77777777"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14:paraId="23F069AD" w14:textId="77777777" w:rsidR="001F72BE" w:rsidRPr="001F72BE" w:rsidRDefault="001F72BE" w:rsidP="00734A1F">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los últimos años, algunos Estados, organismos regionales de derechos humanos e instituciones multilaterales como las Naciones Unidas han iniciado esfuerzos para aumentar el nivel de conocimiento sobre las personas LGBT y la discriminación y la violencia a la que se enfrentan.  Además, los gobiernos están incluyendo cada vez más aspectos de orientación sexual y género en la recolección rutinaria de datos que se lleva a cabo como parte de las funciones administrativas gubernamentales. Este interés en la recopilación de datos ha sido impulsado por varios factores, incluyendo una mayor preocupación por parte de los Estados por los derechos humanos de las personas LGBT, un llamado a la desagregación de datos como parte de la Agenda 2030 (Resolución A/RES/70/1 de la Asamblea General de las Naciones Unidas), el desarrollo de un nuevo </w:t>
      </w:r>
      <w:hyperlink r:id="rId12" w:history="1">
        <w:r w:rsidRPr="001F72BE">
          <w:rPr>
            <w:rFonts w:ascii="Times New Roman" w:eastAsia="Arial" w:hAnsi="Times New Roman" w:cs="Times New Roman"/>
            <w:sz w:val="24"/>
            <w:szCs w:val="24"/>
            <w:u w:val="single"/>
            <w:lang w:val="es-ES" w:eastAsia="zh-CN"/>
          </w:rPr>
          <w:t>Índice de Inclusión LGBTI</w:t>
        </w:r>
      </w:hyperlink>
      <w:r w:rsidRPr="001F72BE">
        <w:rPr>
          <w:rFonts w:ascii="Times New Roman" w:eastAsia="Arial" w:hAnsi="Times New Roman" w:cs="Times New Roman"/>
          <w:sz w:val="24"/>
          <w:szCs w:val="24"/>
          <w:lang w:val="es-ES" w:eastAsia="zh-CN"/>
        </w:rPr>
        <w:t xml:space="preserve">, y la articulación de un </w:t>
      </w:r>
      <w:hyperlink r:id="rId13" w:history="1">
        <w:r w:rsidRPr="001F72BE">
          <w:rPr>
            <w:rFonts w:ascii="Times New Roman" w:eastAsia="Arial" w:hAnsi="Times New Roman" w:cs="Times New Roman"/>
            <w:sz w:val="24"/>
            <w:szCs w:val="24"/>
            <w:u w:val="single"/>
            <w:lang w:val="es-ES" w:eastAsia="zh-CN"/>
          </w:rPr>
          <w:t>enfoque basado en los derechos humanos de los datos</w:t>
        </w:r>
      </w:hyperlink>
      <w:r w:rsidRPr="001F72BE">
        <w:rPr>
          <w:rFonts w:ascii="Times New Roman" w:eastAsia="Arial" w:hAnsi="Times New Roman" w:cs="Times New Roman"/>
          <w:sz w:val="24"/>
          <w:szCs w:val="24"/>
          <w:lang w:val="es-ES" w:eastAsia="zh-CN"/>
        </w:rPr>
        <w:t xml:space="preserve"> por parte de la Oficina del Alto Comisionado para los Derechos Humanos. Además, en 2018, la </w:t>
      </w:r>
      <w:hyperlink r:id="rId14" w:history="1">
        <w:r w:rsidRPr="001F72BE">
          <w:rPr>
            <w:rFonts w:ascii="Times New Roman" w:eastAsia="Arial" w:hAnsi="Times New Roman" w:cs="Times New Roman"/>
            <w:sz w:val="24"/>
            <w:szCs w:val="24"/>
            <w:u w:val="single"/>
            <w:lang w:val="es-ES" w:eastAsia="zh-CN"/>
          </w:rPr>
          <w:t>Comisión Mundial sobre el VIH y la Ley complementó su informe de 2012</w:t>
        </w:r>
      </w:hyperlink>
      <w:r w:rsidRPr="001F72BE">
        <w:rPr>
          <w:rFonts w:ascii="Times New Roman" w:eastAsia="Arial" w:hAnsi="Times New Roman" w:cs="Times New Roman"/>
          <w:sz w:val="24"/>
          <w:szCs w:val="24"/>
          <w:lang w:val="es-ES" w:eastAsia="zh-CN"/>
        </w:rPr>
        <w:t xml:space="preserve"> para abordar los nuevos avances en este campo y, entre otras cosas, identificó la recopilación de datos y la seguridad como un tema de preocupación. La Comisión recomendó que los gobiernos establecieran protecciones legales para salvaguardar la privacidad y la confidencialidad de los usuarios de las redes sociales, las tecnologías  digitales de salud, los registros médicos en línea, los</w:t>
      </w:r>
      <w:r w:rsidR="00734A1F">
        <w:rPr>
          <w:rFonts w:ascii="Times New Roman" w:eastAsia="Arial" w:hAnsi="Times New Roman" w:cs="Times New Roman"/>
          <w:sz w:val="24"/>
          <w:szCs w:val="24"/>
          <w:lang w:val="es-ES" w:eastAsia="zh-CN"/>
        </w:rPr>
        <w:t xml:space="preserve"> </w:t>
      </w:r>
      <w:r w:rsidRPr="001F72BE">
        <w:rPr>
          <w:rFonts w:ascii="Times New Roman" w:eastAsia="Arial" w:hAnsi="Times New Roman" w:cs="Times New Roman"/>
          <w:sz w:val="24"/>
          <w:szCs w:val="24"/>
          <w:lang w:val="es-ES" w:eastAsia="zh-CN"/>
        </w:rPr>
        <w:t>registros médicos electrónicos y las comunicaciones con los proveedores de servicios de salud. La Comisión recomendó además que los gobiernos prohibirán el uso no consentido  por las fuerzas del orden público o entidades privadas  de información privada recopilada digitalmente o almacenada, especialmente de datos relacionados  con la salud sexual y reproductiva.</w:t>
      </w:r>
    </w:p>
    <w:p w14:paraId="5912E9D0" w14:textId="77777777"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14:paraId="45A0B3D8" w14:textId="77777777" w:rsidR="001F72BE" w:rsidRPr="001F72BE" w:rsidRDefault="001F72BE" w:rsidP="00B71085">
      <w:pPr>
        <w:autoSpaceDE w:val="0"/>
        <w:autoSpaceDN w:val="0"/>
        <w:adjustRightInd w:val="0"/>
        <w:spacing w:after="0" w:line="24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lastRenderedPageBreak/>
        <w:t xml:space="preserve">Estos esfuerzos conllevan beneficios y riesgos para los derechos humanos de las personas LGBT.  Se necesitan datos para comprender la naturaleza y el alcance de la violencia y la discriminación contra las personas LGBT, disipar los mitos y estereotipos que alimentan el estigma y la discriminación, y ayudar en la formulación de medidas estatales que incorporen a las comunidades pertinentes.  Al mismo tiempo, cualquier esfuerzo por recopilar datos sobre la orientación sexual y la identidad de género plantea preocupaciones sobre la privacidad, la identidad, la autodeterminación y la seguridad. La información sobre la sexualidad y el género de una persona sigue siendo altamente </w:t>
      </w:r>
      <w:proofErr w:type="spellStart"/>
      <w:r w:rsidRPr="001F72BE">
        <w:rPr>
          <w:rFonts w:ascii="Times New Roman" w:eastAsia="Arial" w:hAnsi="Times New Roman" w:cs="Times New Roman"/>
          <w:sz w:val="24"/>
          <w:szCs w:val="24"/>
          <w:lang w:val="es-ES" w:eastAsia="zh-CN"/>
        </w:rPr>
        <w:t>estigmatizante</w:t>
      </w:r>
      <w:proofErr w:type="spellEnd"/>
      <w:r w:rsidRPr="001F72BE">
        <w:rPr>
          <w:rFonts w:ascii="Times New Roman" w:eastAsia="Arial" w:hAnsi="Times New Roman" w:cs="Times New Roman"/>
          <w:sz w:val="24"/>
          <w:szCs w:val="24"/>
          <w:lang w:val="es-ES" w:eastAsia="zh-CN"/>
        </w:rPr>
        <w:t xml:space="preserve">. Las personas LGBT siguen siendo vulnerables a los riesgos asociados con la recopilación, el mantenimiento y uso de datos. En los países en los que la conducta homosexual está tipificada como delito, las leyes y políticas se utilizan para discriminar a las personas lesbianas, gais, bisexuales, </w:t>
      </w:r>
      <w:proofErr w:type="spellStart"/>
      <w:r w:rsidRPr="001F72BE">
        <w:rPr>
          <w:rFonts w:ascii="Times New Roman" w:eastAsia="Arial" w:hAnsi="Times New Roman" w:cs="Times New Roman"/>
          <w:sz w:val="24"/>
          <w:szCs w:val="24"/>
          <w:lang w:val="es-ES" w:eastAsia="zh-CN"/>
        </w:rPr>
        <w:t>transgénero</w:t>
      </w:r>
      <w:proofErr w:type="spellEnd"/>
      <w:r w:rsidRPr="001F72BE">
        <w:rPr>
          <w:rFonts w:ascii="Times New Roman" w:eastAsia="Arial" w:hAnsi="Times New Roman" w:cs="Times New Roman"/>
          <w:sz w:val="24"/>
          <w:szCs w:val="24"/>
          <w:lang w:val="es-ES" w:eastAsia="zh-CN"/>
        </w:rPr>
        <w:t xml:space="preserve"> y de género no conforme, o el estigma y los prejuicios son endémicos, las probabilidades de que las víctimas se atrevan a denunciar los abusos son muy bajas, por temor a ser perseguidas judicialmente, sufrir estigmatización, represalias o victimización, o porque no quieren que se revele públicamente su orientación sexual o identidad de género o debido a la falta de confianza. Incluso en entornos progresistas, la preocupación por que haya una regresión puede disuadir a las víctimas de interponer denuncias. Además, actualmente no existe una definición aceptada a nivel mundial, ni un esquema de clasificación internacional, que facilite la comparación internacional de datos entre subpoblaciones según la orientación sexual y la identidad de género.</w:t>
      </w:r>
    </w:p>
    <w:p w14:paraId="412032CC" w14:textId="77777777" w:rsidR="001F72BE" w:rsidRPr="001F72BE" w:rsidRDefault="001F72BE" w:rsidP="00B71085">
      <w:pPr>
        <w:spacing w:after="0" w:line="276" w:lineRule="auto"/>
        <w:jc w:val="both"/>
        <w:rPr>
          <w:rFonts w:ascii="Times New Roman" w:eastAsia="Times New Roman" w:hAnsi="Times New Roman" w:cs="Times New Roman"/>
          <w:sz w:val="24"/>
          <w:szCs w:val="24"/>
          <w:lang w:val="es-ES" w:eastAsia="zh-CN"/>
        </w:rPr>
      </w:pPr>
    </w:p>
    <w:p w14:paraId="0B4980F9" w14:textId="77777777"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t>Petición de aportaciones</w:t>
      </w:r>
    </w:p>
    <w:p w14:paraId="1DE5812A"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b/>
          <w:sz w:val="24"/>
          <w:szCs w:val="24"/>
          <w:u w:val="single"/>
          <w:lang w:val="es-ES" w:eastAsia="zh-CN"/>
        </w:rPr>
      </w:pPr>
    </w:p>
    <w:p w14:paraId="0898DE49"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Para informar mi informe, solicito las opiniones y aportaciones de todos los interesados pertinentes (Estados Miembros, organizaciones de la sociedad civil, instituciones nacionales de derechos humanos, instituciones regionales, organismos de las Naciones Unidas, empresas, etc.) y les invito amablemente a que aporten in</w:t>
      </w:r>
      <w:r w:rsidR="00734A1F">
        <w:rPr>
          <w:rFonts w:ascii="Times New Roman" w:eastAsia="Arial" w:hAnsi="Times New Roman" w:cs="Times New Roman"/>
          <w:sz w:val="24"/>
          <w:szCs w:val="24"/>
          <w:lang w:val="es-ES" w:eastAsia="zh-CN"/>
        </w:rPr>
        <w:t>formación sobre las preguntas s</w:t>
      </w:r>
      <w:r w:rsidRPr="001F72BE">
        <w:rPr>
          <w:rFonts w:ascii="Times New Roman" w:eastAsia="Arial" w:hAnsi="Times New Roman" w:cs="Times New Roman"/>
          <w:sz w:val="24"/>
          <w:szCs w:val="24"/>
          <w:lang w:val="es-ES" w:eastAsia="zh-CN"/>
        </w:rPr>
        <w:t>iguientes:</w:t>
      </w:r>
    </w:p>
    <w:p w14:paraId="6B944892" w14:textId="77777777" w:rsid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32B0EFC4" w14:textId="77777777" w:rsidR="00A34F39" w:rsidRDefault="00A34F39"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48EB0D3E" w14:textId="77777777" w:rsidR="001F72BE" w:rsidRPr="008925C2" w:rsidRDefault="001F72BE" w:rsidP="00B7108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b/>
          <w:sz w:val="24"/>
          <w:szCs w:val="24"/>
          <w:lang w:val="es-ES" w:eastAsia="zh-CN"/>
        </w:rPr>
      </w:pPr>
      <w:r w:rsidRPr="008925C2">
        <w:rPr>
          <w:rFonts w:ascii="Times New Roman" w:eastAsia="Helvetica Neue" w:hAnsi="Times New Roman" w:cs="Times New Roman"/>
          <w:b/>
          <w:sz w:val="24"/>
          <w:szCs w:val="24"/>
          <w:lang w:val="es-ES" w:eastAsia="zh-CN"/>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14:paraId="7C67D198" w14:textId="77777777" w:rsidR="00734A1F" w:rsidRDefault="00734A1F" w:rsidP="00734A1F">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35E0BEC3" w14:textId="77777777" w:rsidR="00734A1F" w:rsidRDefault="00734A1F"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lastRenderedPageBreak/>
        <w:t xml:space="preserve">En Ecuador </w:t>
      </w:r>
      <w:r w:rsidR="00295338">
        <w:rPr>
          <w:rFonts w:ascii="Times New Roman" w:eastAsia="Helvetica Neue" w:hAnsi="Times New Roman" w:cs="Times New Roman"/>
          <w:sz w:val="24"/>
          <w:szCs w:val="24"/>
          <w:lang w:val="es-ES" w:eastAsia="zh-CN"/>
        </w:rPr>
        <w:t>resulta</w:t>
      </w:r>
      <w:r>
        <w:rPr>
          <w:rFonts w:ascii="Times New Roman" w:eastAsia="Helvetica Neue" w:hAnsi="Times New Roman" w:cs="Times New Roman"/>
          <w:sz w:val="24"/>
          <w:szCs w:val="24"/>
          <w:lang w:val="es-ES" w:eastAsia="zh-CN"/>
        </w:rPr>
        <w:t xml:space="preserve"> escaso el </w:t>
      </w:r>
      <w:r w:rsidR="00593EA2">
        <w:rPr>
          <w:rFonts w:ascii="Times New Roman" w:eastAsia="Helvetica Neue" w:hAnsi="Times New Roman" w:cs="Times New Roman"/>
          <w:sz w:val="24"/>
          <w:szCs w:val="24"/>
          <w:lang w:val="es-ES" w:eastAsia="zh-CN"/>
        </w:rPr>
        <w:t xml:space="preserve">interés de incrementar su capacidad por </w:t>
      </w:r>
      <w:r w:rsidR="00980EED">
        <w:rPr>
          <w:rFonts w:ascii="Times New Roman" w:eastAsia="Helvetica Neue" w:hAnsi="Times New Roman" w:cs="Times New Roman"/>
          <w:sz w:val="24"/>
          <w:szCs w:val="24"/>
          <w:lang w:val="es-ES" w:eastAsia="zh-CN"/>
        </w:rPr>
        <w:t xml:space="preserve">conocer las condiciones sobre la población LGBT, en 2013 se publicó </w:t>
      </w:r>
      <w:r w:rsidR="00980EED" w:rsidRPr="00980EED">
        <w:rPr>
          <w:rFonts w:ascii="Times New Roman" w:eastAsia="Helvetica Neue" w:hAnsi="Times New Roman" w:cs="Times New Roman"/>
          <w:sz w:val="24"/>
          <w:szCs w:val="24"/>
          <w:lang w:val="es-ES" w:eastAsia="zh-CN"/>
        </w:rPr>
        <w:t>Estudio de caso sobre</w:t>
      </w:r>
      <w:r w:rsidR="00A34F39">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condiciones de vida, inclusión</w:t>
      </w:r>
      <w:r w:rsidR="00980EED">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social y cumplimiento de</w:t>
      </w:r>
      <w:r w:rsidR="00980EED">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derechos humanos de la</w:t>
      </w:r>
      <w:r w:rsidR="00980EED">
        <w:rPr>
          <w:rFonts w:ascii="Times New Roman" w:eastAsia="Helvetica Neue" w:hAnsi="Times New Roman" w:cs="Times New Roman"/>
          <w:sz w:val="24"/>
          <w:szCs w:val="24"/>
          <w:lang w:val="es-ES" w:eastAsia="zh-CN"/>
        </w:rPr>
        <w:t xml:space="preserve"> </w:t>
      </w:r>
      <w:r w:rsidR="00295338">
        <w:rPr>
          <w:rFonts w:ascii="Times New Roman" w:eastAsia="Helvetica Neue" w:hAnsi="Times New Roman" w:cs="Times New Roman"/>
          <w:sz w:val="24"/>
          <w:szCs w:val="24"/>
          <w:lang w:val="es-ES" w:eastAsia="zh-CN"/>
        </w:rPr>
        <w:t>población LGBTI realizado por</w:t>
      </w:r>
      <w:r w:rsidR="00980EED" w:rsidRPr="00980EED">
        <w:rPr>
          <w:rFonts w:ascii="Times New Roman" w:eastAsia="Helvetica Neue" w:hAnsi="Times New Roman" w:cs="Times New Roman"/>
          <w:sz w:val="24"/>
          <w:szCs w:val="24"/>
          <w:lang w:val="es-ES" w:eastAsia="zh-CN"/>
        </w:rPr>
        <w:t xml:space="preserve"> </w:t>
      </w:r>
      <w:r w:rsidR="00980EED">
        <w:rPr>
          <w:rFonts w:ascii="Times New Roman" w:eastAsia="Helvetica Neue" w:hAnsi="Times New Roman" w:cs="Times New Roman"/>
          <w:sz w:val="24"/>
          <w:szCs w:val="24"/>
          <w:lang w:val="es-ES" w:eastAsia="zh-CN"/>
        </w:rPr>
        <w:t>Instituto Nacional de Estadística y</w:t>
      </w:r>
      <w:r w:rsidR="00980EED" w:rsidRPr="00980EED">
        <w:rPr>
          <w:rFonts w:ascii="Times New Roman" w:eastAsia="Helvetica Neue" w:hAnsi="Times New Roman" w:cs="Times New Roman"/>
          <w:sz w:val="24"/>
          <w:szCs w:val="24"/>
          <w:lang w:val="es-ES" w:eastAsia="zh-CN"/>
        </w:rPr>
        <w:t xml:space="preserve"> Censos (I</w:t>
      </w:r>
      <w:r w:rsidR="00980EED">
        <w:rPr>
          <w:rFonts w:ascii="Times New Roman" w:eastAsia="Helvetica Neue" w:hAnsi="Times New Roman" w:cs="Times New Roman"/>
          <w:sz w:val="24"/>
          <w:szCs w:val="24"/>
          <w:lang w:val="es-ES" w:eastAsia="zh-CN"/>
        </w:rPr>
        <w:t>NEC</w:t>
      </w:r>
      <w:r w:rsidR="00980EED" w:rsidRPr="00980EED">
        <w:rPr>
          <w:rFonts w:ascii="Times New Roman" w:eastAsia="Helvetica Neue" w:hAnsi="Times New Roman" w:cs="Times New Roman"/>
          <w:sz w:val="24"/>
          <w:szCs w:val="24"/>
          <w:lang w:val="es-ES" w:eastAsia="zh-CN"/>
        </w:rPr>
        <w:t>)</w:t>
      </w:r>
      <w:r w:rsidR="00980EED">
        <w:rPr>
          <w:rFonts w:ascii="Times New Roman" w:eastAsia="Helvetica Neue" w:hAnsi="Times New Roman" w:cs="Times New Roman"/>
          <w:sz w:val="24"/>
          <w:szCs w:val="24"/>
          <w:lang w:val="es-ES" w:eastAsia="zh-CN"/>
        </w:rPr>
        <w:t xml:space="preserve"> y el Comisión de Transición para la Definición de l</w:t>
      </w:r>
      <w:r w:rsidR="00980EED" w:rsidRPr="00980EED">
        <w:rPr>
          <w:rFonts w:ascii="Times New Roman" w:eastAsia="Helvetica Neue" w:hAnsi="Times New Roman" w:cs="Times New Roman"/>
          <w:sz w:val="24"/>
          <w:szCs w:val="24"/>
          <w:lang w:val="es-ES" w:eastAsia="zh-CN"/>
        </w:rPr>
        <w:t>a Institucionalidad</w:t>
      </w:r>
      <w:r w:rsidR="00980EED">
        <w:rPr>
          <w:rFonts w:ascii="Times New Roman" w:eastAsia="Helvetica Neue" w:hAnsi="Times New Roman" w:cs="Times New Roman"/>
          <w:sz w:val="24"/>
          <w:szCs w:val="24"/>
          <w:lang w:val="es-ES" w:eastAsia="zh-CN"/>
        </w:rPr>
        <w:t xml:space="preserve"> Pública q</w:t>
      </w:r>
      <w:r w:rsidR="00980EED" w:rsidRPr="00980EED">
        <w:rPr>
          <w:rFonts w:ascii="Times New Roman" w:eastAsia="Helvetica Neue" w:hAnsi="Times New Roman" w:cs="Times New Roman"/>
          <w:sz w:val="24"/>
          <w:szCs w:val="24"/>
          <w:lang w:val="es-ES" w:eastAsia="zh-CN"/>
        </w:rPr>
        <w:t>ue</w:t>
      </w:r>
      <w:r w:rsidR="00980EED">
        <w:rPr>
          <w:rFonts w:ascii="Times New Roman" w:eastAsia="Helvetica Neue" w:hAnsi="Times New Roman" w:cs="Times New Roman"/>
          <w:sz w:val="24"/>
          <w:szCs w:val="24"/>
          <w:lang w:val="es-ES" w:eastAsia="zh-CN"/>
        </w:rPr>
        <w:t xml:space="preserve"> Garantice la Igualdad entre hombres y m</w:t>
      </w:r>
      <w:r w:rsidR="00980EED" w:rsidRPr="00980EED">
        <w:rPr>
          <w:rFonts w:ascii="Times New Roman" w:eastAsia="Helvetica Neue" w:hAnsi="Times New Roman" w:cs="Times New Roman"/>
          <w:sz w:val="24"/>
          <w:szCs w:val="24"/>
          <w:lang w:val="es-ES" w:eastAsia="zh-CN"/>
        </w:rPr>
        <w:t>ujeres (C</w:t>
      </w:r>
      <w:r w:rsidR="00980EED">
        <w:rPr>
          <w:rFonts w:ascii="Times New Roman" w:eastAsia="Helvetica Neue" w:hAnsi="Times New Roman" w:cs="Times New Roman"/>
          <w:sz w:val="24"/>
          <w:szCs w:val="24"/>
          <w:lang w:val="es-ES" w:eastAsia="zh-CN"/>
        </w:rPr>
        <w:t>DT</w:t>
      </w:r>
      <w:r w:rsidR="00980EED" w:rsidRPr="00980EED">
        <w:rPr>
          <w:rFonts w:ascii="Times New Roman" w:eastAsia="Helvetica Neue" w:hAnsi="Times New Roman" w:cs="Times New Roman"/>
          <w:sz w:val="24"/>
          <w:szCs w:val="24"/>
          <w:lang w:val="es-ES" w:eastAsia="zh-CN"/>
        </w:rPr>
        <w:t>)</w:t>
      </w:r>
      <w:r w:rsidR="00980EED">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 xml:space="preserve">en el cual se entrevistó a </w:t>
      </w:r>
      <w:r w:rsidR="00295338">
        <w:rPr>
          <w:rFonts w:ascii="Times New Roman" w:eastAsia="Helvetica Neue" w:hAnsi="Times New Roman" w:cs="Times New Roman"/>
          <w:sz w:val="24"/>
          <w:szCs w:val="24"/>
          <w:lang w:val="es-ES" w:eastAsia="zh-CN"/>
        </w:rPr>
        <w:t xml:space="preserve">la limitada cantidad de </w:t>
      </w:r>
      <w:r w:rsidR="00980EED" w:rsidRPr="00980EED">
        <w:rPr>
          <w:rFonts w:ascii="Times New Roman" w:eastAsia="Helvetica Neue" w:hAnsi="Times New Roman" w:cs="Times New Roman"/>
          <w:sz w:val="24"/>
          <w:szCs w:val="24"/>
          <w:lang w:val="es-ES" w:eastAsia="zh-CN"/>
        </w:rPr>
        <w:t xml:space="preserve">2.805 personas </w:t>
      </w:r>
      <w:r w:rsidR="00295338">
        <w:rPr>
          <w:rFonts w:ascii="Times New Roman" w:eastAsia="Helvetica Neue" w:hAnsi="Times New Roman" w:cs="Times New Roman"/>
          <w:sz w:val="24"/>
          <w:szCs w:val="24"/>
          <w:lang w:val="es-ES" w:eastAsia="zh-CN"/>
        </w:rPr>
        <w:t>mayores de dieciocho años</w:t>
      </w:r>
      <w:r w:rsidR="00980EED" w:rsidRPr="00980EED">
        <w:rPr>
          <w:rFonts w:ascii="Times New Roman" w:eastAsia="Helvetica Neue" w:hAnsi="Times New Roman" w:cs="Times New Roman"/>
          <w:sz w:val="24"/>
          <w:szCs w:val="24"/>
          <w:lang w:val="es-ES" w:eastAsia="zh-CN"/>
        </w:rPr>
        <w:t xml:space="preserve"> en la zona urbana de las ciudades de Quito,</w:t>
      </w:r>
      <w:r w:rsidR="00980EED">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Guayaquil, Portoviejo, Machala, Babahoyo, Ibarra, Santa</w:t>
      </w:r>
      <w:r w:rsidR="00295338">
        <w:rPr>
          <w:rFonts w:ascii="Times New Roman" w:eastAsia="Helvetica Neue" w:hAnsi="Times New Roman" w:cs="Times New Roman"/>
          <w:sz w:val="24"/>
          <w:szCs w:val="24"/>
          <w:lang w:val="es-ES" w:eastAsia="zh-CN"/>
        </w:rPr>
        <w:t xml:space="preserve"> </w:t>
      </w:r>
      <w:r w:rsidR="00980EED" w:rsidRPr="00980EED">
        <w:rPr>
          <w:rFonts w:ascii="Times New Roman" w:eastAsia="Helvetica Neue" w:hAnsi="Times New Roman" w:cs="Times New Roman"/>
          <w:sz w:val="24"/>
          <w:szCs w:val="24"/>
          <w:lang w:val="es-ES" w:eastAsia="zh-CN"/>
        </w:rPr>
        <w:t>Elena, Salinas, Libertad y Manta.</w:t>
      </w:r>
      <w:r w:rsidR="00295338">
        <w:rPr>
          <w:rFonts w:ascii="Times New Roman" w:eastAsia="Helvetica Neue" w:hAnsi="Times New Roman" w:cs="Times New Roman"/>
          <w:sz w:val="24"/>
          <w:szCs w:val="24"/>
          <w:lang w:val="es-ES" w:eastAsia="zh-CN"/>
        </w:rPr>
        <w:t xml:space="preserve"> Hasta el momento ha constituido en la única iniciativa estatal por caracterizar a las poblaciones LGBT en Ecuador.</w:t>
      </w:r>
    </w:p>
    <w:p w14:paraId="0A031323" w14:textId="77777777" w:rsidR="00295338" w:rsidRDefault="00295338"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3301E674" w14:textId="77777777" w:rsidR="00C970D3" w:rsidRDefault="00C970D3" w:rsidP="00C05620">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 xml:space="preserve">De lo que conocemos el Ministerio de Salud </w:t>
      </w:r>
      <w:r w:rsidR="00C05620">
        <w:rPr>
          <w:rFonts w:ascii="Times New Roman" w:eastAsia="Helvetica Neue" w:hAnsi="Times New Roman" w:cs="Times New Roman"/>
          <w:sz w:val="24"/>
          <w:szCs w:val="24"/>
          <w:lang w:val="es-ES" w:eastAsia="zh-CN"/>
        </w:rPr>
        <w:t>ha activado el</w:t>
      </w:r>
      <w:r w:rsidR="00C05620" w:rsidRPr="00C05620">
        <w:rPr>
          <w:rFonts w:ascii="Times New Roman" w:eastAsia="Helvetica Neue" w:hAnsi="Times New Roman" w:cs="Times New Roman"/>
          <w:sz w:val="24"/>
          <w:szCs w:val="24"/>
          <w:lang w:val="es-ES" w:eastAsia="zh-CN"/>
        </w:rPr>
        <w:t xml:space="preserve"> uso de </w:t>
      </w:r>
      <w:r w:rsidR="00C05620">
        <w:rPr>
          <w:rFonts w:ascii="Times New Roman" w:eastAsia="Helvetica Neue" w:hAnsi="Times New Roman" w:cs="Times New Roman"/>
          <w:sz w:val="24"/>
          <w:szCs w:val="24"/>
          <w:lang w:val="es-ES" w:eastAsia="zh-CN"/>
        </w:rPr>
        <w:t xml:space="preserve">la </w:t>
      </w:r>
      <w:r w:rsidR="00C05620" w:rsidRPr="00C05620">
        <w:rPr>
          <w:rFonts w:ascii="Times New Roman" w:eastAsia="Helvetica Neue" w:hAnsi="Times New Roman" w:cs="Times New Roman"/>
          <w:sz w:val="24"/>
          <w:szCs w:val="24"/>
          <w:lang w:val="es-ES" w:eastAsia="zh-CN"/>
        </w:rPr>
        <w:t>variable</w:t>
      </w:r>
      <w:r w:rsidR="00C05620">
        <w:rPr>
          <w:rFonts w:ascii="Times New Roman" w:eastAsia="Helvetica Neue" w:hAnsi="Times New Roman" w:cs="Times New Roman"/>
          <w:sz w:val="24"/>
          <w:szCs w:val="24"/>
          <w:lang w:val="es-ES" w:eastAsia="zh-CN"/>
        </w:rPr>
        <w:t xml:space="preserve"> </w:t>
      </w:r>
      <w:r w:rsidR="00C05620" w:rsidRPr="00C05620">
        <w:rPr>
          <w:rFonts w:ascii="Times New Roman" w:eastAsia="Helvetica Neue" w:hAnsi="Times New Roman" w:cs="Times New Roman"/>
          <w:sz w:val="24"/>
          <w:szCs w:val="24"/>
          <w:lang w:val="es-ES" w:eastAsia="zh-CN"/>
        </w:rPr>
        <w:t xml:space="preserve">sexo-género en </w:t>
      </w:r>
      <w:r w:rsidR="00C05620">
        <w:rPr>
          <w:rFonts w:ascii="Times New Roman" w:eastAsia="Helvetica Neue" w:hAnsi="Times New Roman" w:cs="Times New Roman"/>
          <w:sz w:val="24"/>
          <w:szCs w:val="24"/>
          <w:lang w:val="es-ES" w:eastAsia="zh-CN"/>
        </w:rPr>
        <w:t xml:space="preserve">el </w:t>
      </w:r>
      <w:r w:rsidR="00C05620" w:rsidRPr="00C05620">
        <w:rPr>
          <w:rFonts w:ascii="Times New Roman" w:eastAsia="Helvetica Neue" w:hAnsi="Times New Roman" w:cs="Times New Roman"/>
          <w:sz w:val="24"/>
          <w:szCs w:val="24"/>
          <w:lang w:val="es-ES" w:eastAsia="zh-CN"/>
        </w:rPr>
        <w:t>registro de</w:t>
      </w:r>
      <w:r w:rsidR="00C05620">
        <w:rPr>
          <w:rFonts w:ascii="Times New Roman" w:eastAsia="Helvetica Neue" w:hAnsi="Times New Roman" w:cs="Times New Roman"/>
          <w:sz w:val="24"/>
          <w:szCs w:val="24"/>
          <w:lang w:val="es-ES" w:eastAsia="zh-CN"/>
        </w:rPr>
        <w:t xml:space="preserve"> </w:t>
      </w:r>
      <w:r w:rsidR="00C05620" w:rsidRPr="00C05620">
        <w:rPr>
          <w:rFonts w:ascii="Times New Roman" w:eastAsia="Helvetica Neue" w:hAnsi="Times New Roman" w:cs="Times New Roman"/>
          <w:sz w:val="24"/>
          <w:szCs w:val="24"/>
          <w:lang w:val="es-ES" w:eastAsia="zh-CN"/>
        </w:rPr>
        <w:t>atenciones</w:t>
      </w:r>
      <w:r w:rsidR="00C05620">
        <w:rPr>
          <w:rFonts w:ascii="Times New Roman" w:eastAsia="Helvetica Neue" w:hAnsi="Times New Roman" w:cs="Times New Roman"/>
          <w:sz w:val="24"/>
          <w:szCs w:val="24"/>
          <w:lang w:val="es-ES" w:eastAsia="zh-CN"/>
        </w:rPr>
        <w:t xml:space="preserve"> en salud pero en la implementación aún existen practicas sociales que estigmatizan a la población por ejemplo un médico o una enfermera llama en voz alta reafirmando el nombre legal en vez del nombre cultural elegido por la persona, no aplicar un protocolo de privacidad al registro de esta información permitiendo que pueda ser utilizado para acoso y burlas de las personas dentro o fuera de la institución.</w:t>
      </w:r>
    </w:p>
    <w:p w14:paraId="6AF2C794" w14:textId="77777777" w:rsidR="00C05620" w:rsidRDefault="00C05620" w:rsidP="00C05620">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7EDF77FE" w14:textId="77777777" w:rsidR="00C970D3" w:rsidRDefault="00C05620"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 xml:space="preserve">Algunas instituciones públicas como la </w:t>
      </w:r>
      <w:r w:rsidR="00C970D3">
        <w:rPr>
          <w:rFonts w:ascii="Times New Roman" w:eastAsia="Helvetica Neue" w:hAnsi="Times New Roman" w:cs="Times New Roman"/>
          <w:sz w:val="24"/>
          <w:szCs w:val="24"/>
          <w:lang w:val="es-ES" w:eastAsia="zh-CN"/>
        </w:rPr>
        <w:t>Defensoría del Pueblo</w:t>
      </w:r>
      <w:r w:rsidR="004950CB">
        <w:rPr>
          <w:rFonts w:ascii="Times New Roman" w:eastAsia="Helvetica Neue" w:hAnsi="Times New Roman" w:cs="Times New Roman"/>
          <w:sz w:val="24"/>
          <w:szCs w:val="24"/>
          <w:lang w:val="es-ES" w:eastAsia="zh-CN"/>
        </w:rPr>
        <w:t xml:space="preserve"> han implementado registros de sus eventos que habilitan 3 campos de </w:t>
      </w:r>
      <w:proofErr w:type="spellStart"/>
      <w:r w:rsidR="004950CB">
        <w:rPr>
          <w:rFonts w:ascii="Times New Roman" w:eastAsia="Helvetica Neue" w:hAnsi="Times New Roman" w:cs="Times New Roman"/>
          <w:sz w:val="24"/>
          <w:szCs w:val="24"/>
          <w:lang w:val="es-ES" w:eastAsia="zh-CN"/>
        </w:rPr>
        <w:t>autoidentificación</w:t>
      </w:r>
      <w:proofErr w:type="spellEnd"/>
      <w:r w:rsidR="004950CB">
        <w:rPr>
          <w:rFonts w:ascii="Times New Roman" w:eastAsia="Helvetica Neue" w:hAnsi="Times New Roman" w:cs="Times New Roman"/>
          <w:sz w:val="24"/>
          <w:szCs w:val="24"/>
          <w:lang w:val="es-ES" w:eastAsia="zh-CN"/>
        </w:rPr>
        <w:t xml:space="preserve"> hombre, mujer y LGBT. La debilidad en este tipo de formularios recae en la sutil inducción de que la orientación sexual y la identidad de género no se aplican para personas identificadas en primera instancia como “hombres o mujeres“, este enfoque se basa en que existen hombres, mujeres y “otros“, esos otros son las personas LGBT cuando perfectamente una lesbiana puede reconocerse a la vez como mujer o como persona </w:t>
      </w:r>
      <w:proofErr w:type="spellStart"/>
      <w:r w:rsidR="004950CB">
        <w:rPr>
          <w:rFonts w:ascii="Times New Roman" w:eastAsia="Helvetica Neue" w:hAnsi="Times New Roman" w:cs="Times New Roman"/>
          <w:sz w:val="24"/>
          <w:szCs w:val="24"/>
          <w:lang w:val="es-ES" w:eastAsia="zh-CN"/>
        </w:rPr>
        <w:t>trans</w:t>
      </w:r>
      <w:proofErr w:type="spellEnd"/>
      <w:r w:rsidR="004950CB">
        <w:rPr>
          <w:rFonts w:ascii="Times New Roman" w:eastAsia="Helvetica Neue" w:hAnsi="Times New Roman" w:cs="Times New Roman"/>
          <w:sz w:val="24"/>
          <w:szCs w:val="24"/>
          <w:lang w:val="es-ES" w:eastAsia="zh-CN"/>
        </w:rPr>
        <w:t xml:space="preserve"> lo mismo un gay puede reconocerse como hombre, una persona </w:t>
      </w:r>
      <w:proofErr w:type="spellStart"/>
      <w:r w:rsidR="004950CB">
        <w:rPr>
          <w:rFonts w:ascii="Times New Roman" w:eastAsia="Helvetica Neue" w:hAnsi="Times New Roman" w:cs="Times New Roman"/>
          <w:sz w:val="24"/>
          <w:szCs w:val="24"/>
          <w:lang w:val="es-ES" w:eastAsia="zh-CN"/>
        </w:rPr>
        <w:t>trans</w:t>
      </w:r>
      <w:proofErr w:type="spellEnd"/>
      <w:r w:rsidR="004950CB">
        <w:rPr>
          <w:rFonts w:ascii="Times New Roman" w:eastAsia="Helvetica Neue" w:hAnsi="Times New Roman" w:cs="Times New Roman"/>
          <w:sz w:val="24"/>
          <w:szCs w:val="24"/>
          <w:lang w:val="es-ES" w:eastAsia="zh-CN"/>
        </w:rPr>
        <w:t xml:space="preserve"> como mujer u hombre, heterosexual o no. La recomendación que se ha brindado desde Fundación Mujer &amp; Mujer a este caso es una categorización por identidad de género y por orientación sexual así: identidad de género</w:t>
      </w:r>
      <w:r w:rsidR="008925C2">
        <w:rPr>
          <w:rFonts w:ascii="Times New Roman" w:eastAsia="Helvetica Neue" w:hAnsi="Times New Roman" w:cs="Times New Roman"/>
          <w:sz w:val="24"/>
          <w:szCs w:val="24"/>
          <w:lang w:val="es-ES" w:eastAsia="zh-CN"/>
        </w:rPr>
        <w:t xml:space="preserve"> masculino y femenino; orientación sexual lesbiana, gay, bisexual, otro.</w:t>
      </w:r>
    </w:p>
    <w:p w14:paraId="5E0B3598" w14:textId="77777777" w:rsidR="008925C2" w:rsidRDefault="008925C2"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6F13FED4" w14:textId="77777777" w:rsidR="008925C2" w:rsidRDefault="008925C2"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No existe evidencia de otros trámites administrativos o documentos gubernamentales que tengan como política parámetros de caracterización en sus formularios de uso o atención basado en género y orientación sexual de la población.</w:t>
      </w:r>
    </w:p>
    <w:p w14:paraId="6D23F975" w14:textId="77777777" w:rsidR="00C970D3" w:rsidRDefault="00C970D3" w:rsidP="0029533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1825F3D2" w14:textId="77777777" w:rsidR="00734A1F" w:rsidRPr="001F72BE" w:rsidRDefault="00734A1F" w:rsidP="00734A1F">
      <w:p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p>
    <w:p w14:paraId="03076B93" w14:textId="77777777" w:rsidR="001F72BE" w:rsidRPr="008925C2" w:rsidRDefault="001F72BE" w:rsidP="00B7108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b/>
          <w:sz w:val="24"/>
          <w:szCs w:val="24"/>
          <w:lang w:val="es-ES" w:eastAsia="zh-CN"/>
        </w:rPr>
      </w:pPr>
      <w:r w:rsidRPr="008925C2">
        <w:rPr>
          <w:rFonts w:ascii="Times New Roman" w:eastAsia="Helvetica Neue" w:hAnsi="Times New Roman" w:cs="Times New Roman"/>
          <w:b/>
          <w:sz w:val="24"/>
          <w:szCs w:val="24"/>
          <w:lang w:val="es-ES" w:eastAsia="zh-CN"/>
        </w:rPr>
        <w:lastRenderedPageBreak/>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14:paraId="4EB6A74A" w14:textId="77777777" w:rsidR="008925C2" w:rsidRDefault="008925C2" w:rsidP="008925C2">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503CA743" w14:textId="77777777" w:rsidR="008925C2" w:rsidRDefault="008925C2" w:rsidP="00A101DB">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r>
        <w:rPr>
          <w:rFonts w:ascii="Times New Roman" w:eastAsia="Helvetica Neue" w:hAnsi="Times New Roman" w:cs="Times New Roman"/>
          <w:sz w:val="24"/>
          <w:szCs w:val="24"/>
          <w:lang w:val="es-ES" w:eastAsia="zh-CN"/>
        </w:rPr>
        <w:t>En Ecuador no es una prioridad social caracterizar la naturaleza y el alcance de la violencia hacia las personas LGBT, el único intento por realizar una estadística se transformó en un estudio sobre condiciones de vida realizado a 2.805 personas, una cifra que no alcanza para ser considerada un dato estadístico</w:t>
      </w:r>
      <w:r w:rsidR="00A101DB">
        <w:rPr>
          <w:rFonts w:ascii="Times New Roman" w:eastAsia="Helvetica Neue" w:hAnsi="Times New Roman" w:cs="Times New Roman"/>
          <w:sz w:val="24"/>
          <w:szCs w:val="24"/>
          <w:lang w:val="es-ES" w:eastAsia="zh-CN"/>
        </w:rPr>
        <w:t>.</w:t>
      </w:r>
    </w:p>
    <w:p w14:paraId="41E99CF7" w14:textId="77777777" w:rsidR="008925C2" w:rsidRPr="001F72BE" w:rsidRDefault="008925C2" w:rsidP="008925C2">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14:paraId="3A379196" w14:textId="77777777" w:rsidR="001F72BE" w:rsidRPr="00A101DB" w:rsidRDefault="001F72BE" w:rsidP="00B71085">
      <w:pPr>
        <w:numPr>
          <w:ilvl w:val="0"/>
          <w:numId w:val="1"/>
        </w:numPr>
        <w:spacing w:after="0" w:line="276" w:lineRule="auto"/>
        <w:jc w:val="both"/>
        <w:rPr>
          <w:rFonts w:ascii="Times New Roman" w:eastAsia="Arial" w:hAnsi="Times New Roman" w:cs="Times New Roman"/>
          <w:b/>
          <w:sz w:val="24"/>
          <w:szCs w:val="24"/>
          <w:lang w:eastAsia="zh-CN"/>
        </w:rPr>
      </w:pPr>
      <w:r w:rsidRPr="00A101DB">
        <w:rPr>
          <w:rFonts w:ascii="Times New Roman" w:eastAsia="Helvetica Neue" w:hAnsi="Times New Roman" w:cs="Times New Roman"/>
          <w:b/>
          <w:sz w:val="24"/>
          <w:szCs w:val="24"/>
          <w:lang w:val="es-ES" w:eastAsia="zh-CN"/>
        </w:rPr>
        <w:t xml:space="preserve">¿Qué salvaguardias existen y qué salvaguardias son necesarias para proteger los derechos humanos de las personas que proporcionan datos personales, así como de las personas que recogen dichos datos? </w:t>
      </w:r>
      <w:proofErr w:type="spellStart"/>
      <w:r w:rsidRPr="00A101DB">
        <w:rPr>
          <w:rFonts w:ascii="Times New Roman" w:eastAsia="Helvetica Neue" w:hAnsi="Times New Roman" w:cs="Times New Roman"/>
          <w:b/>
          <w:sz w:val="24"/>
          <w:szCs w:val="24"/>
          <w:lang w:eastAsia="zh-CN"/>
        </w:rPr>
        <w:t>Esta</w:t>
      </w:r>
      <w:proofErr w:type="spellEnd"/>
      <w:r w:rsidRPr="00A101DB">
        <w:rPr>
          <w:rFonts w:ascii="Times New Roman" w:eastAsia="Helvetica Neue" w:hAnsi="Times New Roman" w:cs="Times New Roman"/>
          <w:b/>
          <w:sz w:val="24"/>
          <w:szCs w:val="24"/>
          <w:lang w:eastAsia="zh-CN"/>
        </w:rPr>
        <w:t xml:space="preserve"> </w:t>
      </w:r>
      <w:proofErr w:type="spellStart"/>
      <w:r w:rsidRPr="00A101DB">
        <w:rPr>
          <w:rFonts w:ascii="Times New Roman" w:eastAsia="Helvetica Neue" w:hAnsi="Times New Roman" w:cs="Times New Roman"/>
          <w:b/>
          <w:sz w:val="24"/>
          <w:szCs w:val="24"/>
          <w:lang w:eastAsia="zh-CN"/>
        </w:rPr>
        <w:t>pregunta</w:t>
      </w:r>
      <w:proofErr w:type="spellEnd"/>
      <w:r w:rsidRPr="00A101DB">
        <w:rPr>
          <w:rFonts w:ascii="Times New Roman" w:eastAsia="Helvetica Neue" w:hAnsi="Times New Roman" w:cs="Times New Roman"/>
          <w:b/>
          <w:sz w:val="24"/>
          <w:szCs w:val="24"/>
          <w:lang w:eastAsia="zh-CN"/>
        </w:rPr>
        <w:t xml:space="preserve"> </w:t>
      </w:r>
      <w:proofErr w:type="spellStart"/>
      <w:r w:rsidRPr="00A101DB">
        <w:rPr>
          <w:rFonts w:ascii="Times New Roman" w:eastAsia="Helvetica Neue" w:hAnsi="Times New Roman" w:cs="Times New Roman"/>
          <w:b/>
          <w:sz w:val="24"/>
          <w:szCs w:val="24"/>
          <w:lang w:eastAsia="zh-CN"/>
        </w:rPr>
        <w:t>incluye</w:t>
      </w:r>
      <w:proofErr w:type="spellEnd"/>
      <w:r w:rsidRPr="00A101DB">
        <w:rPr>
          <w:rFonts w:ascii="Times New Roman" w:eastAsia="Helvetica Neue" w:hAnsi="Times New Roman" w:cs="Times New Roman"/>
          <w:b/>
          <w:sz w:val="24"/>
          <w:szCs w:val="24"/>
          <w:lang w:eastAsia="zh-CN"/>
        </w:rPr>
        <w:t xml:space="preserve"> lo </w:t>
      </w:r>
      <w:proofErr w:type="spellStart"/>
      <w:r w:rsidRPr="00A101DB">
        <w:rPr>
          <w:rFonts w:ascii="Times New Roman" w:eastAsia="Helvetica Neue" w:hAnsi="Times New Roman" w:cs="Times New Roman"/>
          <w:b/>
          <w:sz w:val="24"/>
          <w:szCs w:val="24"/>
          <w:lang w:eastAsia="zh-CN"/>
        </w:rPr>
        <w:t>siguiente</w:t>
      </w:r>
      <w:proofErr w:type="spellEnd"/>
      <w:r w:rsidRPr="00A101DB">
        <w:rPr>
          <w:rFonts w:ascii="Times New Roman" w:eastAsia="Helvetica Neue" w:hAnsi="Times New Roman" w:cs="Times New Roman"/>
          <w:b/>
          <w:sz w:val="24"/>
          <w:szCs w:val="24"/>
          <w:lang w:eastAsia="zh-CN"/>
        </w:rPr>
        <w:t>:</w:t>
      </w:r>
    </w:p>
    <w:p w14:paraId="00D909E1" w14:textId="77777777" w:rsidR="001F72BE" w:rsidRPr="00A101DB"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b/>
          <w:sz w:val="24"/>
          <w:szCs w:val="24"/>
          <w:lang w:val="es-ES" w:eastAsia="zh-CN"/>
        </w:rPr>
      </w:pPr>
      <w:r w:rsidRPr="00A101DB">
        <w:rPr>
          <w:rFonts w:ascii="Times New Roman" w:eastAsia="Helvetica Neue" w:hAnsi="Times New Roman" w:cs="Times New Roman"/>
          <w:b/>
          <w:sz w:val="24"/>
          <w:szCs w:val="24"/>
          <w:lang w:val="es-ES" w:eastAsia="zh-CN"/>
        </w:rPr>
        <w:t>Salvaguardias para proteger la privacidad de las personas que proporcionan datos sobre su orientación sexual/identidad de género, y la confidencialidad de los datos proporcionados por estas personas.</w:t>
      </w:r>
    </w:p>
    <w:p w14:paraId="215C9CCF" w14:textId="77777777" w:rsidR="00A101DB" w:rsidRDefault="00A101DB" w:rsidP="00A101DB">
      <w:pPr>
        <w:pBdr>
          <w:top w:val="nil"/>
          <w:left w:val="nil"/>
          <w:bottom w:val="nil"/>
          <w:right w:val="nil"/>
          <w:between w:val="nil"/>
        </w:pBdr>
        <w:spacing w:after="0" w:line="276" w:lineRule="auto"/>
        <w:ind w:left="1800"/>
        <w:jc w:val="both"/>
        <w:rPr>
          <w:rFonts w:ascii="Times New Roman" w:eastAsia="Helvetica Neue" w:hAnsi="Times New Roman" w:cs="Times New Roman"/>
          <w:sz w:val="24"/>
          <w:szCs w:val="24"/>
          <w:lang w:val="es-ES" w:eastAsia="zh-CN"/>
        </w:rPr>
      </w:pPr>
    </w:p>
    <w:p w14:paraId="78F88125" w14:textId="470B1A83" w:rsidR="00A101DB" w:rsidRDefault="00E43458" w:rsidP="00A101DB">
      <w:pPr>
        <w:pBdr>
          <w:top w:val="nil"/>
          <w:left w:val="nil"/>
          <w:bottom w:val="nil"/>
          <w:right w:val="nil"/>
          <w:between w:val="nil"/>
        </w:pBdr>
        <w:spacing w:after="0" w:line="276" w:lineRule="auto"/>
        <w:ind w:left="1800"/>
        <w:jc w:val="both"/>
        <w:rPr>
          <w:rFonts w:ascii="Times New Roman" w:eastAsia="Helvetica Neue" w:hAnsi="Times New Roman" w:cs="Times New Roman"/>
          <w:sz w:val="24"/>
          <w:szCs w:val="24"/>
          <w:lang w:val="es-ES" w:eastAsia="zh-CN"/>
        </w:rPr>
      </w:pPr>
      <w:r w:rsidRPr="00E43458">
        <w:rPr>
          <w:rFonts w:ascii="Times New Roman" w:eastAsia="Helvetica Neue" w:hAnsi="Times New Roman" w:cs="Times New Roman"/>
          <w:sz w:val="24"/>
          <w:szCs w:val="24"/>
          <w:lang w:val="es-ES" w:eastAsia="zh-CN"/>
        </w:rPr>
        <w:t xml:space="preserve">Los protocolos que existen son genéricos y no se encuentran adaptados a las especificidades de nuestras poblaciones LGBT. Se recomienda entonces la implementación de un protocolo de confidencialidad que proteja los datos personales, tanto a nivel físico como digital, para evitar la estigmatización, exclusión, discriminación y violencia, sobre todo de mujeres y hombres </w:t>
      </w:r>
      <w:proofErr w:type="spellStart"/>
      <w:r w:rsidRPr="00E43458">
        <w:rPr>
          <w:rFonts w:ascii="Times New Roman" w:eastAsia="Helvetica Neue" w:hAnsi="Times New Roman" w:cs="Times New Roman"/>
          <w:sz w:val="24"/>
          <w:szCs w:val="24"/>
          <w:lang w:val="es-ES" w:eastAsia="zh-CN"/>
        </w:rPr>
        <w:t>trans</w:t>
      </w:r>
      <w:proofErr w:type="spellEnd"/>
      <w:r w:rsidRPr="00E43458">
        <w:rPr>
          <w:rFonts w:ascii="Times New Roman" w:eastAsia="Helvetica Neue" w:hAnsi="Times New Roman" w:cs="Times New Roman"/>
          <w:sz w:val="24"/>
          <w:szCs w:val="24"/>
          <w:lang w:val="es-ES" w:eastAsia="zh-CN"/>
        </w:rPr>
        <w:t>; se debe tener especial consideración sobre el contexto socio-cultural de la persona y el lugar de atención del servicio; para ello, estos protocolos deben incluir perspectiva de género</w:t>
      </w:r>
      <w:r>
        <w:rPr>
          <w:rFonts w:ascii="Times New Roman" w:eastAsia="Helvetica Neue" w:hAnsi="Times New Roman" w:cs="Times New Roman"/>
          <w:sz w:val="24"/>
          <w:szCs w:val="24"/>
          <w:lang w:val="es-ES" w:eastAsia="zh-CN"/>
        </w:rPr>
        <w:t>.</w:t>
      </w:r>
    </w:p>
    <w:p w14:paraId="707F6CE0" w14:textId="77777777" w:rsidR="00A101DB" w:rsidRPr="001F72BE" w:rsidRDefault="00A101DB" w:rsidP="00A101DB">
      <w:p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p>
    <w:p w14:paraId="6380BC58" w14:textId="77777777" w:rsidR="001F72BE" w:rsidRPr="00946FA2"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b/>
          <w:sz w:val="24"/>
          <w:szCs w:val="24"/>
          <w:lang w:val="es-ES" w:eastAsia="zh-CN"/>
        </w:rPr>
      </w:pPr>
      <w:r w:rsidRPr="00946FA2">
        <w:rPr>
          <w:rFonts w:ascii="Times New Roman" w:eastAsia="Helvetica Neue" w:hAnsi="Times New Roman" w:cs="Times New Roman"/>
          <w:b/>
          <w:sz w:val="24"/>
          <w:szCs w:val="24"/>
          <w:lang w:val="es-ES" w:eastAsia="zh-CN"/>
        </w:rPr>
        <w:t>Normas estatutarias o políticas administrativas más amplias para asegurar la transparencia y la rendición de cuentas de las instituciones gubernamentales, como los organismos de estadística.</w:t>
      </w:r>
    </w:p>
    <w:p w14:paraId="5CC65642" w14:textId="77777777" w:rsidR="00946FA2" w:rsidRDefault="00946FA2" w:rsidP="00946FA2">
      <w:pPr>
        <w:pBdr>
          <w:top w:val="nil"/>
          <w:left w:val="nil"/>
          <w:bottom w:val="nil"/>
          <w:right w:val="nil"/>
          <w:between w:val="nil"/>
        </w:pBdr>
        <w:spacing w:after="0" w:line="276" w:lineRule="auto"/>
        <w:jc w:val="both"/>
        <w:rPr>
          <w:rFonts w:ascii="Times New Roman" w:eastAsia="Helvetica Neue" w:hAnsi="Times New Roman" w:cs="Times New Roman"/>
          <w:b/>
          <w:sz w:val="24"/>
          <w:szCs w:val="24"/>
          <w:lang w:val="es-ES" w:eastAsia="zh-CN"/>
        </w:rPr>
      </w:pPr>
    </w:p>
    <w:p w14:paraId="3FE7F718" w14:textId="77777777" w:rsidR="00946FA2" w:rsidRDefault="00946FA2" w:rsidP="00946FA2">
      <w:pPr>
        <w:pBdr>
          <w:top w:val="nil"/>
          <w:left w:val="nil"/>
          <w:bottom w:val="nil"/>
          <w:right w:val="nil"/>
          <w:between w:val="nil"/>
        </w:pBdr>
        <w:spacing w:after="0" w:line="276" w:lineRule="auto"/>
        <w:ind w:left="1800"/>
        <w:jc w:val="both"/>
        <w:rPr>
          <w:rFonts w:ascii="Times New Roman" w:eastAsia="Helvetica Neue" w:hAnsi="Times New Roman" w:cs="Times New Roman"/>
          <w:sz w:val="24"/>
          <w:szCs w:val="24"/>
          <w:lang w:val="es-ES" w:eastAsia="zh-CN"/>
        </w:rPr>
      </w:pPr>
      <w:r w:rsidRPr="00946FA2">
        <w:rPr>
          <w:rFonts w:ascii="Times New Roman" w:eastAsia="Helvetica Neue" w:hAnsi="Times New Roman" w:cs="Times New Roman"/>
          <w:sz w:val="24"/>
          <w:szCs w:val="24"/>
          <w:lang w:val="es-ES" w:eastAsia="zh-CN"/>
        </w:rPr>
        <w:t>Ecuador se aproxima al Censo</w:t>
      </w:r>
      <w:r>
        <w:rPr>
          <w:rFonts w:ascii="Times New Roman" w:eastAsia="Helvetica Neue" w:hAnsi="Times New Roman" w:cs="Times New Roman"/>
          <w:sz w:val="24"/>
          <w:szCs w:val="24"/>
          <w:lang w:val="es-ES" w:eastAsia="zh-CN"/>
        </w:rPr>
        <w:t xml:space="preserve"> de Población y Vivienda</w:t>
      </w:r>
      <w:r w:rsidRPr="00946FA2">
        <w:rPr>
          <w:rFonts w:ascii="Times New Roman" w:eastAsia="Helvetica Neue" w:hAnsi="Times New Roman" w:cs="Times New Roman"/>
          <w:sz w:val="24"/>
          <w:szCs w:val="24"/>
          <w:lang w:val="es-ES" w:eastAsia="zh-CN"/>
        </w:rPr>
        <w:t xml:space="preserve"> 2020</w:t>
      </w:r>
      <w:r>
        <w:rPr>
          <w:rFonts w:ascii="Times New Roman" w:eastAsia="Helvetica Neue" w:hAnsi="Times New Roman" w:cs="Times New Roman"/>
          <w:sz w:val="24"/>
          <w:szCs w:val="24"/>
          <w:lang w:val="es-ES" w:eastAsia="zh-CN"/>
        </w:rPr>
        <w:t>, se recomienda la aplicación de la variable sexo genero en el formulario de levantamiento de información.</w:t>
      </w:r>
    </w:p>
    <w:p w14:paraId="40FF3ABF" w14:textId="77777777" w:rsidR="00946FA2" w:rsidRPr="00946FA2" w:rsidRDefault="00946FA2" w:rsidP="00946FA2">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14:paraId="1A7D81DD" w14:textId="77777777" w:rsidR="001F72BE" w:rsidRPr="00946FA2" w:rsidRDefault="001F72BE" w:rsidP="00B71085">
      <w:pPr>
        <w:numPr>
          <w:ilvl w:val="0"/>
          <w:numId w:val="1"/>
        </w:numPr>
        <w:spacing w:after="0" w:line="276" w:lineRule="auto"/>
        <w:jc w:val="both"/>
        <w:rPr>
          <w:rFonts w:ascii="Times New Roman" w:eastAsia="Arial" w:hAnsi="Times New Roman" w:cs="Times New Roman"/>
          <w:b/>
          <w:sz w:val="24"/>
          <w:szCs w:val="24"/>
          <w:lang w:val="es-ES" w:eastAsia="zh-CN"/>
        </w:rPr>
      </w:pPr>
      <w:r w:rsidRPr="00946FA2">
        <w:rPr>
          <w:rFonts w:ascii="Times New Roman" w:eastAsia="Times New Roman" w:hAnsi="Times New Roman" w:cs="Times New Roman"/>
          <w:b/>
          <w:sz w:val="24"/>
          <w:szCs w:val="24"/>
          <w:lang w:val="es-ES" w:eastAsia="zh-CN"/>
        </w:rPr>
        <w:lastRenderedPageBreak/>
        <w:t xml:space="preserve">Cuáles son los riesgos asociados con la recopilación y gestión de datos sobre orientación sexual e identidad de género y las iniciativas para superar esos riesgos. </w:t>
      </w:r>
    </w:p>
    <w:p w14:paraId="5BEBB1E8" w14:textId="77777777" w:rsidR="00946FA2" w:rsidRDefault="00946FA2" w:rsidP="00946FA2">
      <w:pPr>
        <w:spacing w:after="0" w:line="276" w:lineRule="auto"/>
        <w:ind w:left="1080"/>
        <w:jc w:val="both"/>
        <w:rPr>
          <w:rFonts w:ascii="Times New Roman" w:eastAsia="Times New Roman" w:hAnsi="Times New Roman" w:cs="Times New Roman"/>
          <w:sz w:val="24"/>
          <w:szCs w:val="24"/>
          <w:lang w:val="es-ES" w:eastAsia="zh-CN"/>
        </w:rPr>
      </w:pPr>
    </w:p>
    <w:p w14:paraId="44293C4B" w14:textId="77777777" w:rsidR="006F2CA7" w:rsidRDefault="00946FA2" w:rsidP="00946FA2">
      <w:pPr>
        <w:spacing w:after="0" w:line="276" w:lineRule="auto"/>
        <w:ind w:left="1080"/>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 xml:space="preserve">El </w:t>
      </w:r>
      <w:r w:rsidR="00042646">
        <w:rPr>
          <w:rFonts w:ascii="Times New Roman" w:eastAsia="Times New Roman" w:hAnsi="Times New Roman" w:cs="Times New Roman"/>
          <w:sz w:val="24"/>
          <w:szCs w:val="24"/>
          <w:lang w:val="es-ES" w:eastAsia="zh-CN"/>
        </w:rPr>
        <w:t xml:space="preserve">riesgo se </w:t>
      </w:r>
      <w:r w:rsidR="00BF4596">
        <w:rPr>
          <w:rFonts w:ascii="Times New Roman" w:eastAsia="Times New Roman" w:hAnsi="Times New Roman" w:cs="Times New Roman"/>
          <w:sz w:val="24"/>
          <w:szCs w:val="24"/>
          <w:lang w:val="es-ES" w:eastAsia="zh-CN"/>
        </w:rPr>
        <w:t xml:space="preserve">pudiera </w:t>
      </w:r>
      <w:r w:rsidR="00042646">
        <w:rPr>
          <w:rFonts w:ascii="Times New Roman" w:eastAsia="Times New Roman" w:hAnsi="Times New Roman" w:cs="Times New Roman"/>
          <w:sz w:val="24"/>
          <w:szCs w:val="24"/>
          <w:lang w:val="es-ES" w:eastAsia="zh-CN"/>
        </w:rPr>
        <w:t>enc</w:t>
      </w:r>
      <w:r w:rsidR="00BF4596">
        <w:rPr>
          <w:rFonts w:ascii="Times New Roman" w:eastAsia="Times New Roman" w:hAnsi="Times New Roman" w:cs="Times New Roman"/>
          <w:sz w:val="24"/>
          <w:szCs w:val="24"/>
          <w:lang w:val="es-ES" w:eastAsia="zh-CN"/>
        </w:rPr>
        <w:t>o</w:t>
      </w:r>
      <w:r w:rsidR="00042646">
        <w:rPr>
          <w:rFonts w:ascii="Times New Roman" w:eastAsia="Times New Roman" w:hAnsi="Times New Roman" w:cs="Times New Roman"/>
          <w:sz w:val="24"/>
          <w:szCs w:val="24"/>
          <w:lang w:val="es-ES" w:eastAsia="zh-CN"/>
        </w:rPr>
        <w:t>ntra</w:t>
      </w:r>
      <w:r w:rsidR="00BF4596">
        <w:rPr>
          <w:rFonts w:ascii="Times New Roman" w:eastAsia="Times New Roman" w:hAnsi="Times New Roman" w:cs="Times New Roman"/>
          <w:sz w:val="24"/>
          <w:szCs w:val="24"/>
          <w:lang w:val="es-ES" w:eastAsia="zh-CN"/>
        </w:rPr>
        <w:t>r</w:t>
      </w:r>
      <w:r w:rsidR="00042646">
        <w:rPr>
          <w:rFonts w:ascii="Times New Roman" w:eastAsia="Times New Roman" w:hAnsi="Times New Roman" w:cs="Times New Roman"/>
          <w:sz w:val="24"/>
          <w:szCs w:val="24"/>
          <w:lang w:val="es-ES" w:eastAsia="zh-CN"/>
        </w:rPr>
        <w:t xml:space="preserve"> en dos vías:</w:t>
      </w:r>
      <w:r>
        <w:rPr>
          <w:rFonts w:ascii="Times New Roman" w:eastAsia="Times New Roman" w:hAnsi="Times New Roman" w:cs="Times New Roman"/>
          <w:sz w:val="24"/>
          <w:szCs w:val="24"/>
          <w:lang w:val="es-ES" w:eastAsia="zh-CN"/>
        </w:rPr>
        <w:t xml:space="preserve"> </w:t>
      </w:r>
    </w:p>
    <w:p w14:paraId="2BEF51BB" w14:textId="77777777" w:rsidR="006F2CA7" w:rsidRDefault="006F2CA7" w:rsidP="006F2CA7">
      <w:pPr>
        <w:pStyle w:val="Prrafodelista"/>
        <w:numPr>
          <w:ilvl w:val="0"/>
          <w:numId w:val="2"/>
        </w:numPr>
        <w:spacing w:after="0" w:line="276" w:lineRule="auto"/>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w:t>
      </w:r>
      <w:r w:rsidR="00946FA2" w:rsidRPr="006F2CA7">
        <w:rPr>
          <w:rFonts w:ascii="Times New Roman" w:eastAsia="Times New Roman" w:hAnsi="Times New Roman" w:cs="Times New Roman"/>
          <w:sz w:val="24"/>
          <w:szCs w:val="24"/>
          <w:lang w:val="es-ES" w:eastAsia="zh-CN"/>
        </w:rPr>
        <w:t>l uso</w:t>
      </w:r>
      <w:r w:rsidR="00BF4596" w:rsidRPr="006F2CA7">
        <w:rPr>
          <w:rFonts w:ascii="Times New Roman" w:eastAsia="Times New Roman" w:hAnsi="Times New Roman" w:cs="Times New Roman"/>
          <w:sz w:val="24"/>
          <w:szCs w:val="24"/>
          <w:lang w:val="es-ES" w:eastAsia="zh-CN"/>
        </w:rPr>
        <w:t xml:space="preserve"> malintencionado</w:t>
      </w:r>
      <w:r w:rsidR="00946FA2" w:rsidRPr="006F2CA7">
        <w:rPr>
          <w:rFonts w:ascii="Times New Roman" w:eastAsia="Times New Roman" w:hAnsi="Times New Roman" w:cs="Times New Roman"/>
          <w:sz w:val="24"/>
          <w:szCs w:val="24"/>
          <w:lang w:val="es-ES" w:eastAsia="zh-CN"/>
        </w:rPr>
        <w:t xml:space="preserve"> de esta información</w:t>
      </w:r>
      <w:r w:rsidR="00042646" w:rsidRPr="006F2CA7">
        <w:rPr>
          <w:rFonts w:ascii="Times New Roman" w:eastAsia="Times New Roman" w:hAnsi="Times New Roman" w:cs="Times New Roman"/>
          <w:sz w:val="24"/>
          <w:szCs w:val="24"/>
          <w:lang w:val="es-ES" w:eastAsia="zh-CN"/>
        </w:rPr>
        <w:t>,</w:t>
      </w:r>
      <w:r w:rsidR="00946FA2" w:rsidRPr="006F2CA7">
        <w:rPr>
          <w:rFonts w:ascii="Times New Roman" w:eastAsia="Times New Roman" w:hAnsi="Times New Roman" w:cs="Times New Roman"/>
          <w:sz w:val="24"/>
          <w:szCs w:val="24"/>
          <w:lang w:val="es-ES" w:eastAsia="zh-CN"/>
        </w:rPr>
        <w:t xml:space="preserve"> que sea utilizada bajo preceptos moralistas y fundamentalistas religiosos para exponer </w:t>
      </w:r>
      <w:r>
        <w:rPr>
          <w:rFonts w:ascii="Times New Roman" w:eastAsia="Times New Roman" w:hAnsi="Times New Roman" w:cs="Times New Roman"/>
          <w:sz w:val="24"/>
          <w:szCs w:val="24"/>
          <w:lang w:val="es-ES" w:eastAsia="zh-CN"/>
        </w:rPr>
        <w:t xml:space="preserve">de forma pública </w:t>
      </w:r>
      <w:r w:rsidR="00946FA2" w:rsidRPr="006F2CA7">
        <w:rPr>
          <w:rFonts w:ascii="Times New Roman" w:eastAsia="Times New Roman" w:hAnsi="Times New Roman" w:cs="Times New Roman"/>
          <w:sz w:val="24"/>
          <w:szCs w:val="24"/>
          <w:lang w:val="es-ES" w:eastAsia="zh-CN"/>
        </w:rPr>
        <w:t>esta característica de la integralidad de las personas</w:t>
      </w:r>
    </w:p>
    <w:p w14:paraId="7C14FB14" w14:textId="318582F9" w:rsidR="00946FA2" w:rsidRPr="006F2CA7" w:rsidRDefault="006F2CA7" w:rsidP="006F2CA7">
      <w:pPr>
        <w:pStyle w:val="Prrafodelista"/>
        <w:numPr>
          <w:ilvl w:val="0"/>
          <w:numId w:val="2"/>
        </w:numPr>
        <w:spacing w:after="0" w:line="276" w:lineRule="auto"/>
        <w:jc w:val="both"/>
        <w:rPr>
          <w:rFonts w:ascii="Times New Roman" w:eastAsia="Times New Roman" w:hAnsi="Times New Roman" w:cs="Times New Roman"/>
          <w:sz w:val="24"/>
          <w:szCs w:val="24"/>
          <w:lang w:val="es-ES" w:eastAsia="zh-CN"/>
        </w:rPr>
      </w:pPr>
      <w:r>
        <w:rPr>
          <w:rFonts w:ascii="Times New Roman" w:eastAsia="Times New Roman" w:hAnsi="Times New Roman" w:cs="Times New Roman"/>
          <w:sz w:val="24"/>
          <w:szCs w:val="24"/>
          <w:lang w:val="es-ES" w:eastAsia="zh-CN"/>
        </w:rPr>
        <w:t>E</w:t>
      </w:r>
      <w:r w:rsidR="0014099A" w:rsidRPr="006F2CA7">
        <w:rPr>
          <w:rFonts w:ascii="Times New Roman" w:eastAsia="Times New Roman" w:hAnsi="Times New Roman" w:cs="Times New Roman"/>
          <w:sz w:val="24"/>
          <w:szCs w:val="24"/>
          <w:lang w:val="es-ES" w:eastAsia="zh-CN"/>
        </w:rPr>
        <w:t xml:space="preserve">l </w:t>
      </w:r>
      <w:proofErr w:type="spellStart"/>
      <w:r w:rsidR="0014099A" w:rsidRPr="006F2CA7">
        <w:rPr>
          <w:rFonts w:ascii="Times New Roman" w:eastAsia="Times New Roman" w:hAnsi="Times New Roman" w:cs="Times New Roman"/>
          <w:sz w:val="24"/>
          <w:szCs w:val="24"/>
          <w:lang w:val="es-ES" w:eastAsia="zh-CN"/>
        </w:rPr>
        <w:t>subregistro</w:t>
      </w:r>
      <w:proofErr w:type="spellEnd"/>
      <w:r w:rsidR="0014099A" w:rsidRPr="006F2CA7">
        <w:rPr>
          <w:rFonts w:ascii="Times New Roman" w:eastAsia="Times New Roman" w:hAnsi="Times New Roman" w:cs="Times New Roman"/>
          <w:sz w:val="24"/>
          <w:szCs w:val="24"/>
          <w:lang w:val="es-ES" w:eastAsia="zh-CN"/>
        </w:rPr>
        <w:t xml:space="preserve"> de información debido a que la población</w:t>
      </w:r>
      <w:r>
        <w:rPr>
          <w:rFonts w:ascii="Times New Roman" w:eastAsia="Times New Roman" w:hAnsi="Times New Roman" w:cs="Times New Roman"/>
          <w:sz w:val="24"/>
          <w:szCs w:val="24"/>
          <w:lang w:val="es-ES" w:eastAsia="zh-CN"/>
        </w:rPr>
        <w:t xml:space="preserve"> LGBT</w:t>
      </w:r>
      <w:r w:rsidR="0014099A" w:rsidRPr="006F2CA7">
        <w:rPr>
          <w:rFonts w:ascii="Times New Roman" w:eastAsia="Times New Roman" w:hAnsi="Times New Roman" w:cs="Times New Roman"/>
          <w:sz w:val="24"/>
          <w:szCs w:val="24"/>
          <w:lang w:val="es-ES" w:eastAsia="zh-CN"/>
        </w:rPr>
        <w:t xml:space="preserve"> no </w:t>
      </w:r>
      <w:r w:rsidR="00DD7241" w:rsidRPr="006F2CA7">
        <w:rPr>
          <w:rFonts w:ascii="Times New Roman" w:eastAsia="Times New Roman" w:hAnsi="Times New Roman" w:cs="Times New Roman"/>
          <w:sz w:val="24"/>
          <w:szCs w:val="24"/>
          <w:lang w:val="es-ES" w:eastAsia="zh-CN"/>
        </w:rPr>
        <w:t>confí</w:t>
      </w:r>
      <w:r>
        <w:rPr>
          <w:rFonts w:ascii="Times New Roman" w:eastAsia="Times New Roman" w:hAnsi="Times New Roman" w:cs="Times New Roman"/>
          <w:sz w:val="24"/>
          <w:szCs w:val="24"/>
          <w:lang w:val="es-ES" w:eastAsia="zh-CN"/>
        </w:rPr>
        <w:t>a</w:t>
      </w:r>
      <w:r w:rsidR="00DD7241" w:rsidRPr="006F2CA7">
        <w:rPr>
          <w:rFonts w:ascii="Times New Roman" w:eastAsia="Times New Roman" w:hAnsi="Times New Roman" w:cs="Times New Roman"/>
          <w:sz w:val="24"/>
          <w:szCs w:val="24"/>
          <w:lang w:val="es-ES" w:eastAsia="zh-CN"/>
        </w:rPr>
        <w:t xml:space="preserve"> en proporcionar sus datos sobre orientación sexual e identidad de género en los servicios estatales debido al contexto de violencia, estigmatización, exclusión y discriminación.</w:t>
      </w:r>
      <w:r>
        <w:rPr>
          <w:rFonts w:ascii="Times New Roman" w:eastAsia="Times New Roman" w:hAnsi="Times New Roman" w:cs="Times New Roman"/>
          <w:sz w:val="24"/>
          <w:szCs w:val="24"/>
          <w:lang w:val="es-ES" w:eastAsia="zh-CN"/>
        </w:rPr>
        <w:t xml:space="preserve"> Recomendamos fortalecer las estrategias de comunicación para sensibilizar a los servidores públicos sobre el tratamiento de esta información y fortalecer el empoderamiento de las personas LGBT brindándole confianza para proporcionar sus datos.</w:t>
      </w:r>
    </w:p>
    <w:p w14:paraId="4BF11A63" w14:textId="77777777" w:rsidR="00946FA2" w:rsidRPr="001F72BE" w:rsidRDefault="00946FA2" w:rsidP="00946FA2">
      <w:pPr>
        <w:spacing w:after="0" w:line="276" w:lineRule="auto"/>
        <w:jc w:val="both"/>
        <w:rPr>
          <w:rFonts w:ascii="Times New Roman" w:eastAsia="Arial" w:hAnsi="Times New Roman" w:cs="Times New Roman"/>
          <w:sz w:val="24"/>
          <w:szCs w:val="24"/>
          <w:lang w:val="es-ES" w:eastAsia="zh-CN"/>
        </w:rPr>
      </w:pPr>
    </w:p>
    <w:p w14:paraId="7B8E25FF" w14:textId="77777777" w:rsidR="001F72BE" w:rsidRPr="00946FA2" w:rsidRDefault="001F72BE" w:rsidP="00B71085">
      <w:pPr>
        <w:numPr>
          <w:ilvl w:val="0"/>
          <w:numId w:val="1"/>
        </w:numPr>
        <w:spacing w:after="0" w:line="276" w:lineRule="auto"/>
        <w:jc w:val="both"/>
        <w:rPr>
          <w:rFonts w:ascii="Times New Roman" w:eastAsia="Arial" w:hAnsi="Times New Roman" w:cs="Times New Roman"/>
          <w:b/>
          <w:sz w:val="24"/>
          <w:szCs w:val="24"/>
          <w:lang w:val="es-ES" w:eastAsia="zh-CN"/>
        </w:rPr>
      </w:pPr>
      <w:r w:rsidRPr="00946FA2">
        <w:rPr>
          <w:rFonts w:ascii="Times New Roman" w:eastAsia="Helvetica Neue" w:hAnsi="Times New Roman" w:cs="Times New Roman"/>
          <w:b/>
          <w:sz w:val="24"/>
          <w:szCs w:val="24"/>
          <w:lang w:val="es-ES" w:eastAsia="zh-CN"/>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14:paraId="1754A645" w14:textId="77777777" w:rsidR="00946FA2" w:rsidRDefault="00946FA2" w:rsidP="00946FA2">
      <w:pPr>
        <w:spacing w:after="0" w:line="276" w:lineRule="auto"/>
        <w:jc w:val="both"/>
        <w:rPr>
          <w:rFonts w:ascii="Times New Roman" w:eastAsia="Arial" w:hAnsi="Times New Roman" w:cs="Times New Roman"/>
          <w:sz w:val="24"/>
          <w:szCs w:val="24"/>
          <w:lang w:val="es-ES" w:eastAsia="zh-CN"/>
        </w:rPr>
      </w:pPr>
    </w:p>
    <w:p w14:paraId="257B57A5" w14:textId="50BC03F1" w:rsidR="00DD7241" w:rsidRDefault="00DD7241" w:rsidP="00DD7241">
      <w:pPr>
        <w:spacing w:after="0" w:line="276" w:lineRule="auto"/>
        <w:ind w:left="1080"/>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En Ecuador la homosexualidad se encuentra despenalizada desde el año 1997. El mayor motivo de preocupación en relación a la gestión de esta información recae en aspectos moral</w:t>
      </w:r>
      <w:r w:rsidR="006F2CA7">
        <w:rPr>
          <w:rFonts w:ascii="Times New Roman" w:eastAsia="Arial" w:hAnsi="Times New Roman" w:cs="Times New Roman"/>
          <w:sz w:val="24"/>
          <w:szCs w:val="24"/>
          <w:lang w:val="es-ES" w:eastAsia="zh-CN"/>
        </w:rPr>
        <w:t>istas</w:t>
      </w:r>
      <w:r>
        <w:rPr>
          <w:rFonts w:ascii="Times New Roman" w:eastAsia="Arial" w:hAnsi="Times New Roman" w:cs="Times New Roman"/>
          <w:sz w:val="24"/>
          <w:szCs w:val="24"/>
          <w:lang w:val="es-ES" w:eastAsia="zh-CN"/>
        </w:rPr>
        <w:t xml:space="preserve"> y fundamentalistas</w:t>
      </w:r>
      <w:r w:rsidR="006F2CA7">
        <w:rPr>
          <w:rFonts w:ascii="Times New Roman" w:eastAsia="Arial" w:hAnsi="Times New Roman" w:cs="Times New Roman"/>
          <w:sz w:val="24"/>
          <w:szCs w:val="24"/>
          <w:lang w:val="es-ES" w:eastAsia="zh-CN"/>
        </w:rPr>
        <w:t xml:space="preserve"> religiosos</w:t>
      </w:r>
      <w:r>
        <w:rPr>
          <w:rFonts w:ascii="Times New Roman" w:eastAsia="Arial" w:hAnsi="Times New Roman" w:cs="Times New Roman"/>
          <w:sz w:val="24"/>
          <w:szCs w:val="24"/>
          <w:lang w:val="es-ES" w:eastAsia="zh-CN"/>
        </w:rPr>
        <w:t xml:space="preserve"> con los que se pudiera tratar esta información. Existen registros </w:t>
      </w:r>
      <w:proofErr w:type="spellStart"/>
      <w:r>
        <w:rPr>
          <w:rFonts w:ascii="Times New Roman" w:eastAsia="Arial" w:hAnsi="Times New Roman" w:cs="Times New Roman"/>
          <w:sz w:val="24"/>
          <w:szCs w:val="24"/>
          <w:lang w:val="es-ES" w:eastAsia="zh-CN"/>
        </w:rPr>
        <w:t>hemerotécnicos</w:t>
      </w:r>
      <w:proofErr w:type="spellEnd"/>
      <w:r>
        <w:rPr>
          <w:rFonts w:ascii="Times New Roman" w:eastAsia="Arial" w:hAnsi="Times New Roman" w:cs="Times New Roman"/>
          <w:sz w:val="24"/>
          <w:szCs w:val="24"/>
          <w:lang w:val="es-ES" w:eastAsia="zh-CN"/>
        </w:rPr>
        <w:t xml:space="preserve"> que evidencian que en la época de los 90´s los principales diarios del país sacaban listados de personas denominados “</w:t>
      </w:r>
      <w:proofErr w:type="spellStart"/>
      <w:r>
        <w:rPr>
          <w:rFonts w:ascii="Times New Roman" w:eastAsia="Arial" w:hAnsi="Times New Roman" w:cs="Times New Roman"/>
          <w:sz w:val="24"/>
          <w:szCs w:val="24"/>
          <w:lang w:val="es-ES" w:eastAsia="zh-CN"/>
        </w:rPr>
        <w:t>gays</w:t>
      </w:r>
      <w:proofErr w:type="spellEnd"/>
      <w:r>
        <w:rPr>
          <w:rFonts w:ascii="Times New Roman" w:eastAsia="Arial" w:hAnsi="Times New Roman" w:cs="Times New Roman"/>
          <w:sz w:val="24"/>
          <w:szCs w:val="24"/>
          <w:lang w:val="es-ES" w:eastAsia="zh-CN"/>
        </w:rPr>
        <w:t>“ para exponerlos al escrutinio público, eran los reg</w:t>
      </w:r>
      <w:r w:rsidR="006F2CA7">
        <w:rPr>
          <w:rFonts w:ascii="Times New Roman" w:eastAsia="Arial" w:hAnsi="Times New Roman" w:cs="Times New Roman"/>
          <w:sz w:val="24"/>
          <w:szCs w:val="24"/>
          <w:lang w:val="es-ES" w:eastAsia="zh-CN"/>
        </w:rPr>
        <w:t>istros de las personas detenidas</w:t>
      </w:r>
      <w:r>
        <w:rPr>
          <w:rFonts w:ascii="Times New Roman" w:eastAsia="Arial" w:hAnsi="Times New Roman" w:cs="Times New Roman"/>
          <w:sz w:val="24"/>
          <w:szCs w:val="24"/>
          <w:lang w:val="es-ES" w:eastAsia="zh-CN"/>
        </w:rPr>
        <w:t xml:space="preserve"> en las redadas de los policías durante sus intervenciones a las discotecas y otros lugares de ambiente gay de la época. </w:t>
      </w:r>
      <w:r w:rsidR="006F2CA7">
        <w:rPr>
          <w:rFonts w:ascii="Times New Roman" w:eastAsia="Arial" w:hAnsi="Times New Roman" w:cs="Times New Roman"/>
          <w:sz w:val="24"/>
          <w:szCs w:val="24"/>
          <w:lang w:val="es-ES" w:eastAsia="zh-CN"/>
        </w:rPr>
        <w:t>Actualmente no se ha dado situaciones parecidas.</w:t>
      </w:r>
    </w:p>
    <w:p w14:paraId="07DE1FB9" w14:textId="77777777" w:rsidR="00DD7241" w:rsidRPr="001F72BE" w:rsidRDefault="00DD7241" w:rsidP="00946FA2">
      <w:pPr>
        <w:spacing w:after="0" w:line="276" w:lineRule="auto"/>
        <w:jc w:val="both"/>
        <w:rPr>
          <w:rFonts w:ascii="Times New Roman" w:eastAsia="Arial" w:hAnsi="Times New Roman" w:cs="Times New Roman"/>
          <w:sz w:val="24"/>
          <w:szCs w:val="24"/>
          <w:lang w:val="es-ES" w:eastAsia="zh-CN"/>
        </w:rPr>
      </w:pPr>
    </w:p>
    <w:p w14:paraId="6F73BA52" w14:textId="77777777" w:rsidR="001F72BE" w:rsidRPr="00946FA2" w:rsidRDefault="001F72BE" w:rsidP="00B71085">
      <w:pPr>
        <w:numPr>
          <w:ilvl w:val="0"/>
          <w:numId w:val="1"/>
        </w:numPr>
        <w:spacing w:after="0" w:line="276" w:lineRule="auto"/>
        <w:jc w:val="both"/>
        <w:rPr>
          <w:rFonts w:ascii="Times New Roman" w:eastAsia="Arial" w:hAnsi="Times New Roman" w:cs="Times New Roman"/>
          <w:b/>
          <w:sz w:val="24"/>
          <w:szCs w:val="24"/>
          <w:lang w:eastAsia="zh-CN"/>
        </w:rPr>
      </w:pPr>
      <w:r w:rsidRPr="00946FA2">
        <w:rPr>
          <w:rFonts w:ascii="Times New Roman" w:eastAsia="Helvetica Neue" w:hAnsi="Times New Roman" w:cs="Times New Roman"/>
          <w:b/>
          <w:sz w:val="24"/>
          <w:szCs w:val="24"/>
          <w:lang w:val="es-ES" w:eastAsia="zh-CN"/>
        </w:rPr>
        <w:t xml:space="preserve">¿Cuando los Estados realizan actividades de recopilación de datos, en qué medida la sociedad civil puede participar de manera significativa en el diseño e implementación de estos programas? </w:t>
      </w:r>
      <w:proofErr w:type="spellStart"/>
      <w:r w:rsidRPr="00946FA2">
        <w:rPr>
          <w:rFonts w:ascii="Times New Roman" w:eastAsia="Helvetica Neue" w:hAnsi="Times New Roman" w:cs="Times New Roman"/>
          <w:b/>
          <w:sz w:val="24"/>
          <w:szCs w:val="24"/>
          <w:lang w:eastAsia="zh-CN"/>
        </w:rPr>
        <w:t>Esta</w:t>
      </w:r>
      <w:proofErr w:type="spellEnd"/>
      <w:r w:rsidRPr="00946FA2">
        <w:rPr>
          <w:rFonts w:ascii="Times New Roman" w:eastAsia="Helvetica Neue" w:hAnsi="Times New Roman" w:cs="Times New Roman"/>
          <w:b/>
          <w:sz w:val="24"/>
          <w:szCs w:val="24"/>
          <w:lang w:eastAsia="zh-CN"/>
        </w:rPr>
        <w:t xml:space="preserve"> </w:t>
      </w:r>
      <w:proofErr w:type="spellStart"/>
      <w:r w:rsidRPr="00946FA2">
        <w:rPr>
          <w:rFonts w:ascii="Times New Roman" w:eastAsia="Helvetica Neue" w:hAnsi="Times New Roman" w:cs="Times New Roman"/>
          <w:b/>
          <w:sz w:val="24"/>
          <w:szCs w:val="24"/>
          <w:lang w:eastAsia="zh-CN"/>
        </w:rPr>
        <w:t>pregunta</w:t>
      </w:r>
      <w:proofErr w:type="spellEnd"/>
      <w:r w:rsidRPr="00946FA2">
        <w:rPr>
          <w:rFonts w:ascii="Times New Roman" w:eastAsia="Helvetica Neue" w:hAnsi="Times New Roman" w:cs="Times New Roman"/>
          <w:b/>
          <w:sz w:val="24"/>
          <w:szCs w:val="24"/>
          <w:lang w:eastAsia="zh-CN"/>
        </w:rPr>
        <w:t xml:space="preserve"> </w:t>
      </w:r>
      <w:proofErr w:type="spellStart"/>
      <w:r w:rsidRPr="00946FA2">
        <w:rPr>
          <w:rFonts w:ascii="Times New Roman" w:eastAsia="Helvetica Neue" w:hAnsi="Times New Roman" w:cs="Times New Roman"/>
          <w:b/>
          <w:sz w:val="24"/>
          <w:szCs w:val="24"/>
          <w:lang w:eastAsia="zh-CN"/>
        </w:rPr>
        <w:t>incluye</w:t>
      </w:r>
      <w:proofErr w:type="spellEnd"/>
      <w:r w:rsidRPr="00946FA2">
        <w:rPr>
          <w:rFonts w:ascii="Times New Roman" w:eastAsia="Helvetica Neue" w:hAnsi="Times New Roman" w:cs="Times New Roman"/>
          <w:b/>
          <w:sz w:val="24"/>
          <w:szCs w:val="24"/>
          <w:lang w:eastAsia="zh-CN"/>
        </w:rPr>
        <w:t xml:space="preserve"> lo </w:t>
      </w:r>
      <w:proofErr w:type="spellStart"/>
      <w:r w:rsidRPr="00946FA2">
        <w:rPr>
          <w:rFonts w:ascii="Times New Roman" w:eastAsia="Helvetica Neue" w:hAnsi="Times New Roman" w:cs="Times New Roman"/>
          <w:b/>
          <w:sz w:val="24"/>
          <w:szCs w:val="24"/>
          <w:lang w:eastAsia="zh-CN"/>
        </w:rPr>
        <w:t>siguiente</w:t>
      </w:r>
      <w:proofErr w:type="spellEnd"/>
      <w:r w:rsidRPr="00946FA2">
        <w:rPr>
          <w:rFonts w:ascii="Times New Roman" w:eastAsia="Helvetica Neue" w:hAnsi="Times New Roman" w:cs="Times New Roman"/>
          <w:b/>
          <w:sz w:val="24"/>
          <w:szCs w:val="24"/>
          <w:lang w:eastAsia="zh-CN"/>
        </w:rPr>
        <w:t>:</w:t>
      </w:r>
    </w:p>
    <w:p w14:paraId="45BFCBE2" w14:textId="77777777" w:rsidR="001F72BE" w:rsidRPr="00946FA2" w:rsidRDefault="001F72BE" w:rsidP="00B71085">
      <w:pPr>
        <w:numPr>
          <w:ilvl w:val="1"/>
          <w:numId w:val="1"/>
        </w:numPr>
        <w:spacing w:after="0" w:line="276" w:lineRule="auto"/>
        <w:jc w:val="both"/>
        <w:rPr>
          <w:rFonts w:ascii="Times New Roman" w:eastAsia="Arial" w:hAnsi="Times New Roman" w:cs="Times New Roman"/>
          <w:b/>
          <w:sz w:val="24"/>
          <w:szCs w:val="24"/>
          <w:lang w:val="es-ES" w:eastAsia="zh-CN"/>
        </w:rPr>
      </w:pPr>
      <w:r w:rsidRPr="00946FA2">
        <w:rPr>
          <w:rFonts w:ascii="Times New Roman" w:eastAsia="Helvetica Neue" w:hAnsi="Times New Roman" w:cs="Times New Roman"/>
          <w:b/>
          <w:sz w:val="24"/>
          <w:szCs w:val="24"/>
          <w:lang w:val="es-ES" w:eastAsia="zh-CN"/>
        </w:rPr>
        <w:t xml:space="preserve"> ¿Tienen los Estados políticas que guíen el proceso de participación de la sociedad civil programas nacionales de estadística y otros esfuerzos </w:t>
      </w:r>
      <w:r w:rsidRPr="00946FA2">
        <w:rPr>
          <w:rFonts w:ascii="Times New Roman" w:eastAsia="Helvetica Neue" w:hAnsi="Times New Roman" w:cs="Times New Roman"/>
          <w:b/>
          <w:sz w:val="24"/>
          <w:szCs w:val="24"/>
          <w:lang w:val="es-ES" w:eastAsia="zh-CN"/>
        </w:rPr>
        <w:lastRenderedPageBreak/>
        <w:t>del estado para aumentar el conocimiento sobre las poblaciones LGBT?</w:t>
      </w:r>
    </w:p>
    <w:p w14:paraId="3A41DED0" w14:textId="77777777" w:rsidR="00DD7241" w:rsidRDefault="00DD7241" w:rsidP="00946FA2">
      <w:pPr>
        <w:spacing w:after="0" w:line="276" w:lineRule="auto"/>
        <w:jc w:val="both"/>
        <w:rPr>
          <w:rFonts w:ascii="Times New Roman" w:eastAsia="Arial" w:hAnsi="Times New Roman" w:cs="Times New Roman"/>
          <w:sz w:val="24"/>
          <w:szCs w:val="24"/>
          <w:lang w:val="es-ES" w:eastAsia="zh-CN"/>
        </w:rPr>
      </w:pPr>
    </w:p>
    <w:p w14:paraId="28582889" w14:textId="77777777" w:rsidR="000857CB" w:rsidRPr="000857CB" w:rsidRDefault="000857CB" w:rsidP="000857CB">
      <w:pPr>
        <w:ind w:left="1800"/>
        <w:jc w:val="both"/>
        <w:rPr>
          <w:rFonts w:ascii="Times New Roman" w:eastAsia="Arial" w:hAnsi="Times New Roman" w:cs="Times New Roman"/>
          <w:sz w:val="24"/>
          <w:szCs w:val="24"/>
          <w:lang w:val="es-ES" w:eastAsia="zh-CN"/>
        </w:rPr>
      </w:pPr>
      <w:r w:rsidRPr="000857CB">
        <w:rPr>
          <w:rFonts w:ascii="Times New Roman" w:eastAsia="Arial" w:hAnsi="Times New Roman" w:cs="Times New Roman"/>
          <w:sz w:val="24"/>
          <w:szCs w:val="24"/>
          <w:lang w:val="es-ES" w:eastAsia="zh-CN"/>
        </w:rPr>
        <w:t>Para nada. Ecuador no cuenta con políticas particulares que garanticen la participación de la sociedad civil en la construcción, diseño e implementación de los programas de censo e investigación. En el 2011, se dio un proceso específico con el INEC – Instituto Nacional de Estadísticas y Censos, en el marco del Estudio LGBTI; sin embargo, esto fue posible gracias a la coyuntura política de la época y a la única institución que sí se preocupa por producir conocimiento sobre las poblaciones LGBT, el Consejo Nacional para la Igualdad de Género; esta institución no cuenta con recursos para implementar procesos participativos, pero sí ha procurado contratar activistas LGBT para que levanten estos procesos. Otro caso aislado fue el del Instituto de la Democracia del Consejo Nacional Electoral que en el 2017 presentó una investigación cualitativa respecto a la participación política de los Colectivos LGBTI en el país. Esta institución también cuenta con una política laboral inclusiva, logrando contratar más de 100 personas LGBTI a nivel nacional en cada proceso electoral.</w:t>
      </w:r>
    </w:p>
    <w:p w14:paraId="18954774" w14:textId="77777777" w:rsidR="000857CB" w:rsidRDefault="000857CB" w:rsidP="000857CB">
      <w:pPr>
        <w:spacing w:after="0" w:line="276" w:lineRule="auto"/>
        <w:ind w:left="1800"/>
        <w:jc w:val="both"/>
        <w:rPr>
          <w:rFonts w:ascii="Times New Roman" w:eastAsia="Arial" w:hAnsi="Times New Roman" w:cs="Times New Roman"/>
          <w:sz w:val="24"/>
          <w:szCs w:val="24"/>
          <w:lang w:val="es-ES" w:eastAsia="zh-CN"/>
        </w:rPr>
      </w:pPr>
    </w:p>
    <w:p w14:paraId="513926E0" w14:textId="77777777" w:rsidR="000857CB" w:rsidRPr="001F72BE" w:rsidRDefault="000857CB" w:rsidP="00946FA2">
      <w:pPr>
        <w:spacing w:after="0" w:line="276" w:lineRule="auto"/>
        <w:jc w:val="both"/>
        <w:rPr>
          <w:rFonts w:ascii="Times New Roman" w:eastAsia="Arial" w:hAnsi="Times New Roman" w:cs="Times New Roman"/>
          <w:sz w:val="24"/>
          <w:szCs w:val="24"/>
          <w:lang w:val="es-ES" w:eastAsia="zh-CN"/>
        </w:rPr>
      </w:pPr>
    </w:p>
    <w:p w14:paraId="0C0D9BF8" w14:textId="77777777" w:rsidR="001F72BE" w:rsidRPr="00946FA2" w:rsidRDefault="001F72BE" w:rsidP="00B71085">
      <w:pPr>
        <w:numPr>
          <w:ilvl w:val="1"/>
          <w:numId w:val="1"/>
        </w:numPr>
        <w:spacing w:after="0" w:line="276" w:lineRule="auto"/>
        <w:jc w:val="both"/>
        <w:rPr>
          <w:rFonts w:ascii="Times New Roman" w:eastAsia="Arial" w:hAnsi="Times New Roman" w:cs="Times New Roman"/>
          <w:b/>
          <w:sz w:val="24"/>
          <w:szCs w:val="24"/>
          <w:lang w:val="es-ES" w:eastAsia="zh-CN"/>
        </w:rPr>
      </w:pPr>
      <w:r w:rsidRPr="00946FA2">
        <w:rPr>
          <w:rFonts w:ascii="Times New Roman" w:eastAsia="Calibri" w:hAnsi="Times New Roman" w:cs="Times New Roman"/>
          <w:b/>
          <w:sz w:val="24"/>
          <w:szCs w:val="24"/>
          <w:lang w:val="es-ES" w:eastAsia="zh-CN"/>
        </w:rPr>
        <w:t>¿Tiene la sociedad civil la capacidad, en términos de experiencia y conocimientos técnicos, de participar de manera significativa en los esfuerzos del Estado para recopilar datos?</w:t>
      </w:r>
    </w:p>
    <w:p w14:paraId="01253ABC" w14:textId="77777777" w:rsidR="004F2283" w:rsidRDefault="004F2283" w:rsidP="00DD7241">
      <w:pPr>
        <w:spacing w:after="0" w:line="276" w:lineRule="auto"/>
        <w:ind w:left="1800"/>
        <w:jc w:val="both"/>
        <w:rPr>
          <w:rFonts w:ascii="Times New Roman" w:eastAsia="Arial" w:hAnsi="Times New Roman" w:cs="Times New Roman"/>
          <w:sz w:val="24"/>
          <w:szCs w:val="24"/>
          <w:lang w:val="es-ES" w:eastAsia="zh-CN"/>
        </w:rPr>
      </w:pPr>
    </w:p>
    <w:p w14:paraId="32D682D8" w14:textId="55B78E43" w:rsidR="00946FA2" w:rsidRDefault="001704AE" w:rsidP="001704AE">
      <w:pPr>
        <w:spacing w:after="0" w:line="276" w:lineRule="auto"/>
        <w:ind w:left="1800"/>
        <w:jc w:val="both"/>
        <w:rPr>
          <w:rFonts w:ascii="Times New Roman" w:eastAsia="Arial" w:hAnsi="Times New Roman" w:cs="Times New Roman"/>
          <w:sz w:val="24"/>
          <w:szCs w:val="24"/>
          <w:lang w:val="es-ES" w:eastAsia="zh-CN"/>
        </w:rPr>
      </w:pPr>
      <w:r w:rsidRPr="001704AE">
        <w:rPr>
          <w:rFonts w:ascii="Times New Roman" w:eastAsia="Arial" w:hAnsi="Times New Roman" w:cs="Times New Roman"/>
          <w:sz w:val="24"/>
          <w:szCs w:val="24"/>
          <w:lang w:val="es-ES" w:eastAsia="zh-CN"/>
        </w:rPr>
        <w:t xml:space="preserve">Sí, pero la sociedad civil organizada y con experiencia técnica previa en estos procesos; es decir, aquellas organizaciones que cuentan con experiencia significativa en el levantamiento de información, diseño de instrumentos para recoger información, entre otras. Desafortunadamente, en Ecuador, muy pocas organizaciones LGBT </w:t>
      </w:r>
      <w:r>
        <w:rPr>
          <w:rFonts w:ascii="Times New Roman" w:eastAsia="Arial" w:hAnsi="Times New Roman" w:cs="Times New Roman"/>
          <w:sz w:val="24"/>
          <w:szCs w:val="24"/>
          <w:lang w:val="es-ES" w:eastAsia="zh-CN"/>
        </w:rPr>
        <w:t xml:space="preserve">contamos con estas capacidades. </w:t>
      </w:r>
      <w:r w:rsidRPr="001704AE">
        <w:rPr>
          <w:rFonts w:ascii="Times New Roman" w:eastAsia="Arial" w:hAnsi="Times New Roman" w:cs="Times New Roman"/>
          <w:sz w:val="24"/>
          <w:szCs w:val="24"/>
          <w:lang w:val="es-ES" w:eastAsia="zh-CN"/>
        </w:rPr>
        <w:t xml:space="preserve">Es importante recalcar que, fuera del Estudio LGBT del INEC, la mayor parte de la producción de información estratégica LGBT ha sido generada por las mismas organizaciones LGBT o por otras </w:t>
      </w:r>
      <w:proofErr w:type="spellStart"/>
      <w:r w:rsidRPr="001704AE">
        <w:rPr>
          <w:rFonts w:ascii="Times New Roman" w:eastAsia="Arial" w:hAnsi="Times New Roman" w:cs="Times New Roman"/>
          <w:sz w:val="24"/>
          <w:szCs w:val="24"/>
          <w:lang w:val="es-ES" w:eastAsia="zh-CN"/>
        </w:rPr>
        <w:t>ONGs</w:t>
      </w:r>
      <w:proofErr w:type="spellEnd"/>
      <w:r w:rsidRPr="001704AE">
        <w:rPr>
          <w:rFonts w:ascii="Times New Roman" w:eastAsia="Arial" w:hAnsi="Times New Roman" w:cs="Times New Roman"/>
          <w:sz w:val="24"/>
          <w:szCs w:val="24"/>
          <w:lang w:val="es-ES" w:eastAsia="zh-CN"/>
        </w:rPr>
        <w:t xml:space="preserve"> interesadas en apoyar nuestros procesos. Los ejemplos más comunes son los Informes Sombra para el EPU, CEDAW, entre otros; pero también existen algunos estudios e investigaciones que han aportado con datos duros y conocimiento valioso al activismo LGBT del país; éstos y otros ejercicios les han permitido a estas pocas organizaciones ganar </w:t>
      </w:r>
      <w:r w:rsidRPr="001704AE">
        <w:rPr>
          <w:rFonts w:ascii="Times New Roman" w:eastAsia="Arial" w:hAnsi="Times New Roman" w:cs="Times New Roman"/>
          <w:sz w:val="24"/>
          <w:szCs w:val="24"/>
          <w:lang w:val="es-ES" w:eastAsia="zh-CN"/>
        </w:rPr>
        <w:lastRenderedPageBreak/>
        <w:t xml:space="preserve">experiencia, fortalecer capacidades e incorporar el componente de investigación como una línea de acción estratégica dentro de sus modelos de gestión, tal como ha sucedido con nuestra organización, Fundación MUJER &amp; MUJER, que en este 2018 presentó la única Investigación sobre Condiciones de Vida de las Mujeres Lesbianas, Bisexuales y </w:t>
      </w:r>
      <w:proofErr w:type="spellStart"/>
      <w:r w:rsidRPr="001704AE">
        <w:rPr>
          <w:rFonts w:ascii="Times New Roman" w:eastAsia="Arial" w:hAnsi="Times New Roman" w:cs="Times New Roman"/>
          <w:sz w:val="24"/>
          <w:szCs w:val="24"/>
          <w:lang w:val="es-ES" w:eastAsia="zh-CN"/>
        </w:rPr>
        <w:t>Queer</w:t>
      </w:r>
      <w:proofErr w:type="spellEnd"/>
      <w:r w:rsidRPr="001704AE">
        <w:rPr>
          <w:rFonts w:ascii="Times New Roman" w:eastAsia="Arial" w:hAnsi="Times New Roman" w:cs="Times New Roman"/>
          <w:sz w:val="24"/>
          <w:szCs w:val="24"/>
          <w:lang w:val="es-ES" w:eastAsia="zh-CN"/>
        </w:rPr>
        <w:t xml:space="preserve"> en el país; previamente, entre el 2012 y el 2017, hemos realizado análisis de casos y sistematización de Informes Sombras. Este 2019 estamos levantando una investigación científica sobre el acceso a salud de las mujeres lesbianas y bisexuales.</w:t>
      </w:r>
    </w:p>
    <w:p w14:paraId="7DD9821E" w14:textId="77777777" w:rsidR="001704AE" w:rsidRPr="001F72BE" w:rsidRDefault="001704AE" w:rsidP="001704AE">
      <w:pPr>
        <w:spacing w:after="0" w:line="276" w:lineRule="auto"/>
        <w:ind w:left="1800"/>
        <w:jc w:val="both"/>
        <w:rPr>
          <w:rFonts w:ascii="Times New Roman" w:eastAsia="Arial" w:hAnsi="Times New Roman" w:cs="Times New Roman"/>
          <w:sz w:val="24"/>
          <w:szCs w:val="24"/>
          <w:lang w:val="es-ES" w:eastAsia="zh-CN"/>
        </w:rPr>
      </w:pPr>
    </w:p>
    <w:p w14:paraId="6A666C46" w14:textId="77777777" w:rsidR="001F72BE" w:rsidRPr="00946FA2" w:rsidRDefault="001F72BE" w:rsidP="00B71085">
      <w:pPr>
        <w:numPr>
          <w:ilvl w:val="1"/>
          <w:numId w:val="1"/>
        </w:numPr>
        <w:spacing w:after="0" w:line="276" w:lineRule="auto"/>
        <w:jc w:val="both"/>
        <w:rPr>
          <w:rFonts w:ascii="Times New Roman" w:eastAsia="Arial" w:hAnsi="Times New Roman" w:cs="Times New Roman"/>
          <w:b/>
          <w:sz w:val="24"/>
          <w:szCs w:val="24"/>
          <w:lang w:val="es-ES" w:eastAsia="zh-CN"/>
        </w:rPr>
      </w:pPr>
      <w:r w:rsidRPr="00946FA2">
        <w:rPr>
          <w:rFonts w:ascii="Times New Roman" w:eastAsia="Calibri" w:hAnsi="Times New Roman" w:cs="Times New Roman"/>
          <w:b/>
          <w:sz w:val="24"/>
          <w:szCs w:val="24"/>
          <w:lang w:val="es-ES" w:eastAsia="zh-CN"/>
        </w:rPr>
        <w:t>¿Qué constituye una participación significativa en esta área?</w:t>
      </w:r>
    </w:p>
    <w:p w14:paraId="7654ACC7" w14:textId="77777777" w:rsidR="00946FA2" w:rsidRDefault="00946FA2" w:rsidP="00946FA2">
      <w:pPr>
        <w:spacing w:after="0" w:line="276" w:lineRule="auto"/>
        <w:jc w:val="both"/>
        <w:rPr>
          <w:rFonts w:ascii="Times New Roman" w:eastAsia="Arial" w:hAnsi="Times New Roman" w:cs="Times New Roman"/>
          <w:sz w:val="24"/>
          <w:szCs w:val="24"/>
          <w:lang w:val="es-ES" w:eastAsia="zh-CN"/>
        </w:rPr>
      </w:pPr>
    </w:p>
    <w:p w14:paraId="239A0382" w14:textId="37B21680" w:rsidR="00495F2D" w:rsidRDefault="001704AE" w:rsidP="001704AE">
      <w:pPr>
        <w:spacing w:after="0" w:line="276" w:lineRule="auto"/>
        <w:ind w:left="1800"/>
        <w:jc w:val="both"/>
        <w:rPr>
          <w:rFonts w:ascii="Times New Roman" w:eastAsia="Arial" w:hAnsi="Times New Roman" w:cs="Times New Roman"/>
          <w:sz w:val="24"/>
          <w:szCs w:val="24"/>
          <w:lang w:val="es-ES" w:eastAsia="zh-CN"/>
        </w:rPr>
      </w:pPr>
      <w:r w:rsidRPr="001704AE">
        <w:rPr>
          <w:rFonts w:ascii="Times New Roman" w:eastAsia="Arial" w:hAnsi="Times New Roman" w:cs="Times New Roman"/>
          <w:sz w:val="24"/>
          <w:szCs w:val="24"/>
          <w:lang w:val="es-ES" w:eastAsia="zh-CN"/>
        </w:rPr>
        <w:t xml:space="preserve">Ser capaz de agenciar la producción de conocimiento LGBT con la institucionalidad pública y la cooperación internacional; gestionar recursos para implementar proyectos de investigación científica; capacidad para articular equipos de trabajo e investigativos con la academia, el estado, la sociedad civil, etc.; experiencia en el diseño, ejecución y monitoreo de proyectos investigativos; habilidad en el diseño, testeo e implementación de herramientas para levantar investigación; conocimientos teóricos en el ámbito educativo; conocimiento en la gestión, sistematización e interpretación de datos; experiencia en la elaboración de reportes; </w:t>
      </w:r>
      <w:r>
        <w:rPr>
          <w:rFonts w:ascii="Times New Roman" w:eastAsia="Arial" w:hAnsi="Times New Roman" w:cs="Times New Roman"/>
          <w:sz w:val="24"/>
          <w:szCs w:val="24"/>
          <w:lang w:val="es-ES" w:eastAsia="zh-CN"/>
        </w:rPr>
        <w:t xml:space="preserve">recursos económicos que permitan gestionar las necesidades del personal especializado en esta área dentro de la organización, recursos económicos para la publicación de los resultados, </w:t>
      </w:r>
      <w:r w:rsidRPr="001704AE">
        <w:rPr>
          <w:rFonts w:ascii="Times New Roman" w:eastAsia="Arial" w:hAnsi="Times New Roman" w:cs="Times New Roman"/>
          <w:sz w:val="24"/>
          <w:szCs w:val="24"/>
          <w:lang w:val="es-ES" w:eastAsia="zh-CN"/>
        </w:rPr>
        <w:t>etc.</w:t>
      </w:r>
    </w:p>
    <w:p w14:paraId="2FAE9C95" w14:textId="77777777" w:rsidR="001704AE" w:rsidRPr="001F72BE" w:rsidRDefault="001704AE" w:rsidP="001704AE">
      <w:pPr>
        <w:spacing w:after="0" w:line="276" w:lineRule="auto"/>
        <w:ind w:left="1800"/>
        <w:jc w:val="both"/>
        <w:rPr>
          <w:rFonts w:ascii="Times New Roman" w:eastAsia="Arial" w:hAnsi="Times New Roman" w:cs="Times New Roman"/>
          <w:sz w:val="24"/>
          <w:szCs w:val="24"/>
          <w:lang w:val="es-ES" w:eastAsia="zh-CN"/>
        </w:rPr>
      </w:pPr>
    </w:p>
    <w:p w14:paraId="429E7C0B" w14:textId="77777777" w:rsidR="001F72BE" w:rsidRPr="00946FA2" w:rsidRDefault="001F72BE" w:rsidP="00B71085">
      <w:pPr>
        <w:numPr>
          <w:ilvl w:val="0"/>
          <w:numId w:val="1"/>
        </w:numPr>
        <w:pBdr>
          <w:top w:val="nil"/>
          <w:left w:val="nil"/>
          <w:bottom w:val="nil"/>
          <w:right w:val="nil"/>
          <w:between w:val="nil"/>
        </w:pBdr>
        <w:spacing w:after="0" w:line="276" w:lineRule="auto"/>
        <w:jc w:val="both"/>
        <w:rPr>
          <w:rFonts w:ascii="Times New Roman" w:eastAsia="Arial" w:hAnsi="Times New Roman" w:cs="Times New Roman"/>
          <w:b/>
          <w:sz w:val="24"/>
          <w:szCs w:val="24"/>
          <w:lang w:val="es-ES" w:eastAsia="zh-CN"/>
        </w:rPr>
      </w:pPr>
      <w:r w:rsidRPr="00946FA2">
        <w:rPr>
          <w:rFonts w:ascii="Times New Roman" w:eastAsia="Helvetica Neue" w:hAnsi="Times New Roman" w:cs="Times New Roman"/>
          <w:b/>
          <w:sz w:val="24"/>
          <w:szCs w:val="24"/>
          <w:lang w:val="es-ES" w:eastAsia="zh-CN"/>
        </w:rPr>
        <w:t xml:space="preserve">La falta de un esquema de clasificación global, </w:t>
      </w:r>
      <w:r w:rsidRPr="00946FA2">
        <w:rPr>
          <w:rFonts w:ascii="Times New Roman" w:eastAsia="Calibri" w:hAnsi="Times New Roman" w:cs="Times New Roman"/>
          <w:b/>
          <w:sz w:val="24"/>
          <w:szCs w:val="24"/>
          <w:lang w:val="es-ES" w:eastAsia="zh-CN"/>
        </w:rPr>
        <w:t>¿</w:t>
      </w:r>
      <w:r w:rsidRPr="00946FA2">
        <w:rPr>
          <w:rFonts w:ascii="Times New Roman" w:eastAsia="Helvetica Neue" w:hAnsi="Times New Roman" w:cs="Times New Roman"/>
          <w:b/>
          <w:sz w:val="24"/>
          <w:szCs w:val="24"/>
          <w:lang w:val="es-ES" w:eastAsia="zh-CN"/>
        </w:rPr>
        <w:t>conlleva el riesgo de que los datos no sean útiles para las comparaciones internacionales o no reflejen con precisión las identidades y realidades vividas por las poblaciones locales?</w:t>
      </w:r>
    </w:p>
    <w:p w14:paraId="55099A12" w14:textId="77777777" w:rsid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14:paraId="6C6889D7" w14:textId="77777777" w:rsidR="004F2283" w:rsidRDefault="004F2283" w:rsidP="004F2283">
      <w:pPr>
        <w:autoSpaceDE w:val="0"/>
        <w:autoSpaceDN w:val="0"/>
        <w:adjustRightInd w:val="0"/>
        <w:spacing w:after="0" w:line="240" w:lineRule="auto"/>
        <w:ind w:left="1080"/>
        <w:jc w:val="both"/>
        <w:rPr>
          <w:rFonts w:ascii="Times New Roman" w:eastAsia="Arial" w:hAnsi="Times New Roman" w:cs="Times New Roman"/>
          <w:sz w:val="24"/>
          <w:szCs w:val="24"/>
          <w:lang w:val="es-ES" w:eastAsia="zh-CN"/>
        </w:rPr>
      </w:pPr>
      <w:r>
        <w:rPr>
          <w:rFonts w:ascii="Times New Roman" w:eastAsia="Arial" w:hAnsi="Times New Roman" w:cs="Times New Roman"/>
          <w:sz w:val="24"/>
          <w:szCs w:val="24"/>
          <w:lang w:val="es-ES" w:eastAsia="zh-CN"/>
        </w:rPr>
        <w:t>Evidentemente, no existe un esquema de clasificación global que permita realizar comparaciones internacionales versus las realidades vividas por las poblaciones locales. Es un riesgo para la h</w:t>
      </w:r>
      <w:r w:rsidRPr="004F2283">
        <w:rPr>
          <w:rFonts w:ascii="Times New Roman" w:eastAsia="Arial" w:hAnsi="Times New Roman" w:cs="Times New Roman"/>
          <w:sz w:val="24"/>
          <w:szCs w:val="24"/>
          <w:lang w:val="es-ES" w:eastAsia="zh-CN"/>
        </w:rPr>
        <w:t>omogeneización</w:t>
      </w:r>
      <w:r>
        <w:rPr>
          <w:rFonts w:ascii="Times New Roman" w:eastAsia="Arial" w:hAnsi="Times New Roman" w:cs="Times New Roman"/>
          <w:sz w:val="24"/>
          <w:szCs w:val="24"/>
          <w:lang w:val="es-ES" w:eastAsia="zh-CN"/>
        </w:rPr>
        <w:t xml:space="preserve"> de los datos.</w:t>
      </w:r>
    </w:p>
    <w:p w14:paraId="017CED21" w14:textId="77777777" w:rsidR="004F2283" w:rsidRDefault="004F2283" w:rsidP="004F2283">
      <w:pPr>
        <w:autoSpaceDE w:val="0"/>
        <w:autoSpaceDN w:val="0"/>
        <w:adjustRightInd w:val="0"/>
        <w:spacing w:after="0" w:line="240" w:lineRule="auto"/>
        <w:ind w:left="1080"/>
        <w:jc w:val="both"/>
        <w:rPr>
          <w:rFonts w:ascii="Times New Roman" w:eastAsia="Arial" w:hAnsi="Times New Roman" w:cs="Times New Roman"/>
          <w:sz w:val="24"/>
          <w:szCs w:val="24"/>
          <w:lang w:val="es-ES" w:eastAsia="zh-CN"/>
        </w:rPr>
      </w:pPr>
    </w:p>
    <w:p w14:paraId="30A1AD62" w14:textId="77777777" w:rsidR="00946FA2" w:rsidRPr="001F72BE" w:rsidRDefault="00946FA2"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bookmarkStart w:id="0" w:name="_GoBack"/>
      <w:bookmarkEnd w:id="0"/>
    </w:p>
    <w:p w14:paraId="45854A64"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Las respuestas a las preguntas anteriores pueden enviarse en inglés, francés o español, y en formato Word. Por favor, tenga en cuenta que si desea que sus envíos sean confidenciales, se le pedirá que haga una solicitud explícita en su envío. De lo contrario, se podrá hacer referencia a dicha información en el informe.</w:t>
      </w:r>
    </w:p>
    <w:p w14:paraId="2583AFBD"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47F9B9E1"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lastRenderedPageBreak/>
        <w:t>Agradecería especialmente recibir la información solicitada lo antes posible, y preferiblemente antes del 28 de febrero de 2019 a más tardar. Las respuestas pueden dirigirse al Experto independiente de la Oficina del Alto Comisionado de las Naciones Unidas para los Derechos Humanos y pueden enviarse por correo electrónico (</w:t>
      </w:r>
      <w:hyperlink r:id="rId15" w:history="1">
        <w:r w:rsidRPr="001F72BE">
          <w:rPr>
            <w:rFonts w:ascii="Times New Roman" w:eastAsia="Arial" w:hAnsi="Times New Roman" w:cs="Times New Roman"/>
            <w:sz w:val="24"/>
            <w:szCs w:val="24"/>
            <w:u w:val="single"/>
            <w:lang w:val="es-ES" w:eastAsia="zh-CN"/>
          </w:rPr>
          <w:t>ie-sogi@ohchr.org</w:t>
        </w:r>
      </w:hyperlink>
      <w:r w:rsidRPr="001F72BE">
        <w:rPr>
          <w:rFonts w:ascii="Times New Roman" w:eastAsia="Arial" w:hAnsi="Times New Roman" w:cs="Times New Roman"/>
          <w:sz w:val="24"/>
          <w:szCs w:val="24"/>
          <w:lang w:val="es-ES" w:eastAsia="zh-CN"/>
        </w:rPr>
        <w:t>).</w:t>
      </w:r>
    </w:p>
    <w:p w14:paraId="525CCCDF" w14:textId="77777777"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14:paraId="4D2C6293"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Para cualquier otra pregunta o aclaración, no duden en ponerse en contacto conmigo a través de la Oficina del Alto Comisionado de las Naciones Unidas para los Derechos Humanos (Sra. Catherine de </w:t>
      </w:r>
      <w:proofErr w:type="spellStart"/>
      <w:r w:rsidRPr="001F72BE">
        <w:rPr>
          <w:rFonts w:ascii="Times New Roman" w:eastAsia="Arial" w:hAnsi="Times New Roman" w:cs="Times New Roman"/>
          <w:sz w:val="24"/>
          <w:szCs w:val="24"/>
          <w:lang w:val="es-ES" w:eastAsia="zh-CN"/>
        </w:rPr>
        <w:t>Preux</w:t>
      </w:r>
      <w:proofErr w:type="spellEnd"/>
      <w:r w:rsidRPr="001F72BE">
        <w:rPr>
          <w:rFonts w:ascii="Times New Roman" w:eastAsia="Arial" w:hAnsi="Times New Roman" w:cs="Times New Roman"/>
          <w:sz w:val="24"/>
          <w:szCs w:val="24"/>
          <w:lang w:val="es-ES" w:eastAsia="zh-CN"/>
        </w:rPr>
        <w:t xml:space="preserve"> De </w:t>
      </w:r>
      <w:proofErr w:type="spellStart"/>
      <w:r w:rsidRPr="001F72BE">
        <w:rPr>
          <w:rFonts w:ascii="Times New Roman" w:eastAsia="Arial" w:hAnsi="Times New Roman" w:cs="Times New Roman"/>
          <w:sz w:val="24"/>
          <w:szCs w:val="24"/>
          <w:lang w:val="es-ES" w:eastAsia="zh-CN"/>
        </w:rPr>
        <w:t>Baets</w:t>
      </w:r>
      <w:proofErr w:type="spellEnd"/>
      <w:r w:rsidRPr="001F72BE">
        <w:rPr>
          <w:rFonts w:ascii="Times New Roman" w:eastAsia="Arial" w:hAnsi="Times New Roman" w:cs="Times New Roman"/>
          <w:sz w:val="24"/>
          <w:szCs w:val="24"/>
          <w:lang w:val="es-ES" w:eastAsia="zh-CN"/>
        </w:rPr>
        <w:t xml:space="preserve">, teléfono: 022 917 93 27, email: </w:t>
      </w:r>
      <w:hyperlink r:id="rId16" w:history="1">
        <w:r w:rsidRPr="001F72BE">
          <w:rPr>
            <w:rFonts w:ascii="Times New Roman" w:eastAsia="Arial" w:hAnsi="Times New Roman" w:cs="Times New Roman"/>
            <w:sz w:val="24"/>
            <w:szCs w:val="24"/>
            <w:u w:val="single"/>
            <w:lang w:val="es-ES" w:eastAsia="zh-CN"/>
          </w:rPr>
          <w:t>cdepreuxdebaets@ohchr.org</w:t>
        </w:r>
      </w:hyperlink>
      <w:r w:rsidRPr="001F72BE">
        <w:rPr>
          <w:rFonts w:ascii="Times New Roman" w:eastAsia="Arial" w:hAnsi="Times New Roman" w:cs="Times New Roman"/>
          <w:sz w:val="24"/>
          <w:szCs w:val="24"/>
          <w:lang w:val="es-ES" w:eastAsia="zh-CN"/>
        </w:rPr>
        <w:t xml:space="preserve"> o la Sra. Alice </w:t>
      </w:r>
      <w:proofErr w:type="spellStart"/>
      <w:r w:rsidRPr="001F72BE">
        <w:rPr>
          <w:rFonts w:ascii="Times New Roman" w:eastAsia="Arial" w:hAnsi="Times New Roman" w:cs="Times New Roman"/>
          <w:sz w:val="24"/>
          <w:szCs w:val="24"/>
          <w:lang w:val="es-ES" w:eastAsia="zh-CN"/>
        </w:rPr>
        <w:t>Ochsenbein</w:t>
      </w:r>
      <w:proofErr w:type="spellEnd"/>
      <w:r w:rsidRPr="001F72BE">
        <w:rPr>
          <w:rFonts w:ascii="Times New Roman" w:eastAsia="Arial" w:hAnsi="Times New Roman" w:cs="Times New Roman"/>
          <w:sz w:val="24"/>
          <w:szCs w:val="24"/>
          <w:lang w:val="es-ES" w:eastAsia="zh-CN"/>
        </w:rPr>
        <w:t xml:space="preserve">, teléfono: 022 917 32 98, </w:t>
      </w:r>
      <w:hyperlink r:id="rId17" w:history="1">
        <w:r w:rsidRPr="001F72BE">
          <w:rPr>
            <w:rFonts w:ascii="Times New Roman" w:eastAsia="Arial" w:hAnsi="Times New Roman" w:cs="Times New Roman"/>
            <w:sz w:val="24"/>
            <w:szCs w:val="24"/>
            <w:u w:val="single"/>
            <w:lang w:val="es-ES" w:eastAsia="zh-CN"/>
          </w:rPr>
          <w:t>aochsenbein@ohchr.org</w:t>
        </w:r>
      </w:hyperlink>
      <w:r w:rsidRPr="001F72BE">
        <w:rPr>
          <w:rFonts w:ascii="Times New Roman" w:eastAsia="Arial" w:hAnsi="Times New Roman" w:cs="Times New Roman"/>
          <w:sz w:val="24"/>
          <w:szCs w:val="24"/>
          <w:lang w:val="es-ES" w:eastAsia="zh-CN"/>
        </w:rPr>
        <w:t xml:space="preserve">). </w:t>
      </w:r>
    </w:p>
    <w:p w14:paraId="3ACE79E5" w14:textId="77777777"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14:paraId="1E270D87" w14:textId="77777777" w:rsidR="001F72BE" w:rsidRPr="001F72BE" w:rsidRDefault="001F72BE" w:rsidP="001F72BE">
      <w:pPr>
        <w:spacing w:after="0" w:line="240" w:lineRule="auto"/>
        <w:ind w:left="2880" w:firstLine="720"/>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Un afectuoso saludo,</w:t>
      </w:r>
    </w:p>
    <w:p w14:paraId="5B3EA485" w14:textId="77777777"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14:paraId="0D3A702A" w14:textId="77777777" w:rsidR="001F72BE" w:rsidRPr="001F72BE" w:rsidRDefault="001F72BE" w:rsidP="001F72BE">
      <w:pPr>
        <w:spacing w:after="0" w:line="240" w:lineRule="auto"/>
        <w:jc w:val="center"/>
        <w:rPr>
          <w:rFonts w:ascii="Times New Roman" w:eastAsia="Arial" w:hAnsi="Times New Roman" w:cs="Times New Roman"/>
          <w:sz w:val="24"/>
          <w:szCs w:val="24"/>
          <w:lang w:val="es-ES" w:eastAsia="zh-CN"/>
        </w:rPr>
      </w:pPr>
      <w:r w:rsidRPr="001F72BE">
        <w:rPr>
          <w:rFonts w:ascii="Times New Roman" w:eastAsia="Arial" w:hAnsi="Times New Roman" w:cs="Times New Roman"/>
          <w:noProof/>
          <w:sz w:val="24"/>
          <w:szCs w:val="24"/>
          <w:lang w:val="es-ES" w:eastAsia="es-ES"/>
        </w:rPr>
        <w:drawing>
          <wp:inline distT="0" distB="0" distL="0" distR="0" wp14:anchorId="141042F1" wp14:editId="4EE4C602">
            <wp:extent cx="215836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15EDB9AD" w14:textId="77777777"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14:paraId="5BF8E116" w14:textId="77777777" w:rsidR="001F72BE" w:rsidRPr="001F72BE" w:rsidRDefault="001F72BE" w:rsidP="001F72BE">
      <w:pPr>
        <w:spacing w:after="0" w:line="240" w:lineRule="auto"/>
        <w:jc w:val="center"/>
        <w:rPr>
          <w:rFonts w:ascii="Times New Roman" w:eastAsia="Times New Roman" w:hAnsi="Times New Roman" w:cs="Times New Roman"/>
          <w:sz w:val="24"/>
          <w:szCs w:val="24"/>
          <w:lang w:val="es-ES" w:eastAsia="en-GB"/>
        </w:rPr>
      </w:pPr>
      <w:r w:rsidRPr="001F72BE">
        <w:rPr>
          <w:rFonts w:ascii="Times New Roman" w:eastAsia="Times New Roman" w:hAnsi="Times New Roman" w:cs="Times New Roman"/>
          <w:sz w:val="24"/>
          <w:szCs w:val="24"/>
          <w:lang w:val="es-ES" w:eastAsia="en-GB"/>
        </w:rPr>
        <w:t xml:space="preserve">Victor </w:t>
      </w:r>
      <w:proofErr w:type="spellStart"/>
      <w:r w:rsidRPr="001F72BE">
        <w:rPr>
          <w:rFonts w:ascii="Times New Roman" w:eastAsia="Times New Roman" w:hAnsi="Times New Roman" w:cs="Times New Roman"/>
          <w:sz w:val="24"/>
          <w:szCs w:val="24"/>
          <w:lang w:val="es-ES" w:eastAsia="en-GB"/>
        </w:rPr>
        <w:t>Borloz</w:t>
      </w:r>
      <w:proofErr w:type="spellEnd"/>
      <w:r w:rsidRPr="001F72BE">
        <w:rPr>
          <w:rFonts w:ascii="Times New Roman" w:eastAsia="Times New Roman" w:hAnsi="Times New Roman" w:cs="Times New Roman"/>
          <w:sz w:val="24"/>
          <w:szCs w:val="24"/>
          <w:lang w:val="es-ES" w:eastAsia="en-GB"/>
        </w:rPr>
        <w:t>-Madrigal</w:t>
      </w:r>
    </w:p>
    <w:p w14:paraId="75DFEE84" w14:textId="77777777" w:rsidR="001F72BE" w:rsidRPr="001F72BE" w:rsidRDefault="001F72BE" w:rsidP="001F72BE">
      <w:pPr>
        <w:spacing w:after="0" w:line="240" w:lineRule="auto"/>
        <w:jc w:val="center"/>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Experto independiente en protección contra la violencia y discriminación por orientación sexual e identidad de género</w:t>
      </w:r>
    </w:p>
    <w:p w14:paraId="2ACE42E1" w14:textId="77777777"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14:paraId="45E86E35" w14:textId="77777777" w:rsidR="001F72BE" w:rsidRPr="001F72BE" w:rsidRDefault="001F72BE" w:rsidP="001F72BE">
      <w:pPr>
        <w:spacing w:after="0" w:line="240" w:lineRule="auto"/>
        <w:jc w:val="center"/>
        <w:rPr>
          <w:rFonts w:ascii="Times New Roman" w:eastAsia="Times New Roman" w:hAnsi="Times New Roman" w:cs="Times New Roman"/>
          <w:sz w:val="24"/>
          <w:szCs w:val="24"/>
          <w:lang w:val="es-ES"/>
        </w:rPr>
      </w:pPr>
    </w:p>
    <w:p w14:paraId="00D8B123" w14:textId="77777777" w:rsidR="00734A1F" w:rsidRPr="001F72BE" w:rsidRDefault="00734A1F">
      <w:pPr>
        <w:rPr>
          <w:lang w:val="es-ES"/>
        </w:rPr>
      </w:pPr>
    </w:p>
    <w:sectPr w:rsidR="00734A1F" w:rsidRPr="001F72BE" w:rsidSect="00734A1F">
      <w:headerReference w:type="default" r:id="rId19"/>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B6DD" w14:textId="77777777" w:rsidR="00155212" w:rsidRDefault="00155212" w:rsidP="001F72BE">
      <w:pPr>
        <w:spacing w:after="0" w:line="240" w:lineRule="auto"/>
      </w:pPr>
      <w:r>
        <w:separator/>
      </w:r>
    </w:p>
  </w:endnote>
  <w:endnote w:type="continuationSeparator" w:id="0">
    <w:p w14:paraId="5F326592" w14:textId="77777777" w:rsidR="00155212" w:rsidRDefault="00155212"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1162" w14:textId="77777777" w:rsidR="00155212" w:rsidRDefault="00155212" w:rsidP="001F72BE">
      <w:pPr>
        <w:spacing w:after="0" w:line="240" w:lineRule="auto"/>
      </w:pPr>
      <w:r>
        <w:separator/>
      </w:r>
    </w:p>
  </w:footnote>
  <w:footnote w:type="continuationSeparator" w:id="0">
    <w:p w14:paraId="0C489B4F" w14:textId="77777777" w:rsidR="00155212" w:rsidRDefault="00155212" w:rsidP="001F72BE">
      <w:pPr>
        <w:spacing w:after="0" w:line="240" w:lineRule="auto"/>
      </w:pPr>
      <w:r>
        <w:continuationSeparator/>
      </w:r>
    </w:p>
  </w:footnote>
  <w:footnote w:id="1">
    <w:p w14:paraId="278ED01F" w14:textId="77777777" w:rsidR="00155212" w:rsidRPr="00822588" w:rsidRDefault="00155212" w:rsidP="001F72BE">
      <w:pPr>
        <w:pStyle w:val="Textonotapie"/>
        <w:rPr>
          <w:lang w:val="es-ES"/>
        </w:rPr>
      </w:pPr>
      <w:r>
        <w:rPr>
          <w:rStyle w:val="Refdenotaalpie"/>
        </w:rPr>
        <w:footnoteRef/>
      </w:r>
      <w:r w:rsidRPr="002F0A7A">
        <w:rPr>
          <w:lang w:val="es-ES"/>
        </w:rPr>
        <w:t xml:space="preserve"> Informe del IE SOGI al Consejo de Derechos Humanos</w:t>
      </w:r>
      <w:r>
        <w:rPr>
          <w:lang w:val="es-ES"/>
        </w:rPr>
        <w:t xml:space="preserve"> </w:t>
      </w:r>
      <w:r w:rsidRPr="00822588">
        <w:rPr>
          <w:lang w:val="es-ES"/>
        </w:rPr>
        <w:t>(</w:t>
      </w:r>
      <w:hyperlink r:id="rId1" w:history="1">
        <w:r w:rsidRPr="00822588">
          <w:rPr>
            <w:rStyle w:val="Hipervnculo"/>
            <w:lang w:val="es-ES"/>
          </w:rPr>
          <w:t>A/HRC/38/43</w:t>
        </w:r>
      </w:hyperlink>
      <w:r w:rsidRPr="00822588">
        <w:rPr>
          <w:lang w:val="es-ES"/>
        </w:rPr>
        <w:t>),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4856" w14:textId="77777777" w:rsidR="00155212" w:rsidRDefault="00155212" w:rsidP="00734A1F">
    <w:pPr>
      <w:pStyle w:val="Sinespaciado"/>
      <w:jc w:val="center"/>
      <w:rPr>
        <w:sz w:val="14"/>
        <w:szCs w:val="14"/>
      </w:rPr>
    </w:pPr>
    <w:r>
      <w:rPr>
        <w:noProof/>
        <w:lang w:val="es-ES" w:eastAsia="es-ES"/>
      </w:rPr>
      <w:drawing>
        <wp:anchor distT="0" distB="0" distL="114300" distR="114300" simplePos="0" relativeHeight="251659264" behindDoc="1" locked="0" layoutInCell="1" allowOverlap="1" wp14:anchorId="24C3122D" wp14:editId="6A9D172C">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AF26B" w14:textId="77777777" w:rsidR="00155212" w:rsidRDefault="00155212" w:rsidP="00734A1F">
    <w:pPr>
      <w:pStyle w:val="Sinespaciado"/>
      <w:jc w:val="center"/>
      <w:rPr>
        <w:sz w:val="14"/>
        <w:szCs w:val="14"/>
      </w:rPr>
    </w:pPr>
  </w:p>
  <w:p w14:paraId="6402D15B" w14:textId="77777777" w:rsidR="00155212" w:rsidRDefault="00155212" w:rsidP="00734A1F">
    <w:pPr>
      <w:pStyle w:val="Sinespaciado"/>
      <w:jc w:val="center"/>
      <w:rPr>
        <w:sz w:val="14"/>
        <w:szCs w:val="14"/>
      </w:rPr>
    </w:pPr>
  </w:p>
  <w:p w14:paraId="5B266BC5" w14:textId="77777777" w:rsidR="00155212" w:rsidRDefault="00155212" w:rsidP="00734A1F">
    <w:pPr>
      <w:pStyle w:val="Sinespaciado"/>
      <w:jc w:val="center"/>
      <w:rPr>
        <w:sz w:val="14"/>
        <w:szCs w:val="14"/>
      </w:rPr>
    </w:pPr>
  </w:p>
  <w:p w14:paraId="6C014AFE" w14:textId="77777777" w:rsidR="00155212" w:rsidRDefault="00155212" w:rsidP="00734A1F">
    <w:pPr>
      <w:pStyle w:val="Sinespaciado"/>
      <w:jc w:val="center"/>
      <w:rPr>
        <w:sz w:val="14"/>
        <w:szCs w:val="14"/>
      </w:rPr>
    </w:pPr>
  </w:p>
  <w:p w14:paraId="08A6D7BB" w14:textId="77777777" w:rsidR="00155212" w:rsidRDefault="00155212" w:rsidP="00734A1F">
    <w:pPr>
      <w:pStyle w:val="Sinespaciado"/>
      <w:jc w:val="center"/>
      <w:rPr>
        <w:sz w:val="14"/>
        <w:szCs w:val="14"/>
      </w:rPr>
    </w:pPr>
  </w:p>
  <w:p w14:paraId="03AED251" w14:textId="77777777" w:rsidR="00155212" w:rsidRDefault="00155212" w:rsidP="00734A1F">
    <w:pPr>
      <w:pStyle w:val="Sinespaciado"/>
      <w:jc w:val="center"/>
      <w:rPr>
        <w:sz w:val="14"/>
        <w:szCs w:val="14"/>
      </w:rPr>
    </w:pPr>
  </w:p>
  <w:p w14:paraId="64C71570" w14:textId="77777777" w:rsidR="00155212" w:rsidRDefault="00155212" w:rsidP="00734A1F">
    <w:pPr>
      <w:pStyle w:val="Sinespaciado"/>
      <w:jc w:val="center"/>
    </w:pPr>
    <w:r>
      <w:rPr>
        <w:sz w:val="14"/>
        <w:szCs w:val="14"/>
      </w:rPr>
      <w:t>HAUT-COMMISSARIAT AUX DROITS DE L’HOMME • OFFICE OF THE HIGH COMMISSIONER FOR HUMAN RIGHTS</w:t>
    </w:r>
  </w:p>
  <w:p w14:paraId="448E4360" w14:textId="77777777" w:rsidR="00155212" w:rsidRPr="0018507C" w:rsidRDefault="00155212">
    <w:pPr>
      <w:jc w:val="center"/>
      <w:rPr>
        <w:lang w:val="fr-CH"/>
      </w:rPr>
    </w:pPr>
    <w:r w:rsidRPr="0018507C">
      <w:rPr>
        <w:sz w:val="14"/>
        <w:szCs w:val="14"/>
        <w:lang w:val="fr-CH"/>
      </w:rPr>
      <w:t>PALAIS DES NATIONS • 1211 GENEVA 10, SWITZERLAND</w:t>
    </w:r>
  </w:p>
  <w:p w14:paraId="20BBA3FA" w14:textId="77777777" w:rsidR="00155212" w:rsidRPr="0018507C" w:rsidRDefault="00155212">
    <w:pPr>
      <w:spacing w:before="80" w:after="360"/>
      <w:jc w:val="center"/>
      <w:rPr>
        <w:lang w:val="fr-CH"/>
      </w:rPr>
    </w:pPr>
    <w:r w:rsidRPr="0018507C">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85D"/>
    <w:multiLevelType w:val="hybridMultilevel"/>
    <w:tmpl w:val="5204CD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BE"/>
    <w:rsid w:val="00042646"/>
    <w:rsid w:val="000857CB"/>
    <w:rsid w:val="000A7453"/>
    <w:rsid w:val="0014099A"/>
    <w:rsid w:val="00155212"/>
    <w:rsid w:val="001704AE"/>
    <w:rsid w:val="001F72BE"/>
    <w:rsid w:val="00295338"/>
    <w:rsid w:val="004950CB"/>
    <w:rsid w:val="00495F2D"/>
    <w:rsid w:val="004F2283"/>
    <w:rsid w:val="00593EA2"/>
    <w:rsid w:val="005E2E5B"/>
    <w:rsid w:val="00623353"/>
    <w:rsid w:val="006F2CA7"/>
    <w:rsid w:val="00705512"/>
    <w:rsid w:val="00734A1F"/>
    <w:rsid w:val="007A6C98"/>
    <w:rsid w:val="008925C2"/>
    <w:rsid w:val="00946FA2"/>
    <w:rsid w:val="00980EED"/>
    <w:rsid w:val="00A101DB"/>
    <w:rsid w:val="00A34F39"/>
    <w:rsid w:val="00B71085"/>
    <w:rsid w:val="00BF4596"/>
    <w:rsid w:val="00C05620"/>
    <w:rsid w:val="00C970D3"/>
    <w:rsid w:val="00DD7241"/>
    <w:rsid w:val="00E43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2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72BE"/>
    <w:pPr>
      <w:spacing w:after="0" w:line="240" w:lineRule="auto"/>
    </w:pPr>
  </w:style>
  <w:style w:type="paragraph" w:styleId="Textonotapie">
    <w:name w:val="footnote text"/>
    <w:basedOn w:val="Normal"/>
    <w:link w:val="TextonotapieCar"/>
    <w:uiPriority w:val="99"/>
    <w:semiHidden/>
    <w:unhideWhenUsed/>
    <w:rsid w:val="001F72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2BE"/>
    <w:rPr>
      <w:sz w:val="20"/>
      <w:szCs w:val="20"/>
    </w:rPr>
  </w:style>
  <w:style w:type="character" w:styleId="Refdenotaalpie">
    <w:name w:val="footnote reference"/>
    <w:uiPriority w:val="99"/>
    <w:rsid w:val="001F72BE"/>
    <w:rPr>
      <w:rFonts w:cs="Times New Roman"/>
      <w:vertAlign w:val="superscript"/>
    </w:rPr>
  </w:style>
  <w:style w:type="character" w:styleId="Hipervnculo">
    <w:name w:val="Hyperlink"/>
    <w:rsid w:val="001F72BE"/>
    <w:rPr>
      <w:color w:val="0000FF"/>
      <w:u w:val="single"/>
    </w:rPr>
  </w:style>
  <w:style w:type="paragraph" w:styleId="Textodeglobo">
    <w:name w:val="Balloon Text"/>
    <w:basedOn w:val="Normal"/>
    <w:link w:val="TextodegloboCar"/>
    <w:uiPriority w:val="99"/>
    <w:semiHidden/>
    <w:unhideWhenUsed/>
    <w:rsid w:val="00734A1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4A1F"/>
    <w:rPr>
      <w:rFonts w:ascii="Lucida Grande" w:hAnsi="Lucida Grande" w:cs="Lucida Grande"/>
      <w:sz w:val="18"/>
      <w:szCs w:val="18"/>
    </w:rPr>
  </w:style>
  <w:style w:type="paragraph" w:styleId="Prrafodelista">
    <w:name w:val="List Paragraph"/>
    <w:basedOn w:val="Normal"/>
    <w:uiPriority w:val="34"/>
    <w:qFormat/>
    <w:rsid w:val="006F2C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72BE"/>
    <w:pPr>
      <w:spacing w:after="0" w:line="240" w:lineRule="auto"/>
    </w:pPr>
  </w:style>
  <w:style w:type="paragraph" w:styleId="Textonotapie">
    <w:name w:val="footnote text"/>
    <w:basedOn w:val="Normal"/>
    <w:link w:val="TextonotapieCar"/>
    <w:uiPriority w:val="99"/>
    <w:semiHidden/>
    <w:unhideWhenUsed/>
    <w:rsid w:val="001F72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2BE"/>
    <w:rPr>
      <w:sz w:val="20"/>
      <w:szCs w:val="20"/>
    </w:rPr>
  </w:style>
  <w:style w:type="character" w:styleId="Refdenotaalpie">
    <w:name w:val="footnote reference"/>
    <w:uiPriority w:val="99"/>
    <w:rsid w:val="001F72BE"/>
    <w:rPr>
      <w:rFonts w:cs="Times New Roman"/>
      <w:vertAlign w:val="superscript"/>
    </w:rPr>
  </w:style>
  <w:style w:type="character" w:styleId="Hipervnculo">
    <w:name w:val="Hyperlink"/>
    <w:rsid w:val="001F72BE"/>
    <w:rPr>
      <w:color w:val="0000FF"/>
      <w:u w:val="single"/>
    </w:rPr>
  </w:style>
  <w:style w:type="paragraph" w:styleId="Textodeglobo">
    <w:name w:val="Balloon Text"/>
    <w:basedOn w:val="Normal"/>
    <w:link w:val="TextodegloboCar"/>
    <w:uiPriority w:val="99"/>
    <w:semiHidden/>
    <w:unhideWhenUsed/>
    <w:rsid w:val="00734A1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4A1F"/>
    <w:rPr>
      <w:rFonts w:ascii="Lucida Grande" w:hAnsi="Lucida Grande" w:cs="Lucida Grande"/>
      <w:sz w:val="18"/>
      <w:szCs w:val="18"/>
    </w:rPr>
  </w:style>
  <w:style w:type="paragraph" w:styleId="Prrafodelista">
    <w:name w:val="List Paragraph"/>
    <w:basedOn w:val="Normal"/>
    <w:uiPriority w:val="34"/>
    <w:qFormat/>
    <w:rsid w:val="006F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608">
      <w:bodyDiv w:val="1"/>
      <w:marLeft w:val="0"/>
      <w:marRight w:val="0"/>
      <w:marTop w:val="0"/>
      <w:marBottom w:val="0"/>
      <w:divBdr>
        <w:top w:val="none" w:sz="0" w:space="0" w:color="auto"/>
        <w:left w:val="none" w:sz="0" w:space="0" w:color="auto"/>
        <w:bottom w:val="none" w:sz="0" w:space="0" w:color="auto"/>
        <w:right w:val="none" w:sz="0" w:space="0" w:color="auto"/>
      </w:divBdr>
    </w:div>
    <w:div w:id="348262893">
      <w:bodyDiv w:val="1"/>
      <w:marLeft w:val="0"/>
      <w:marRight w:val="0"/>
      <w:marTop w:val="0"/>
      <w:marBottom w:val="0"/>
      <w:divBdr>
        <w:top w:val="none" w:sz="0" w:space="0" w:color="auto"/>
        <w:left w:val="none" w:sz="0" w:space="0" w:color="auto"/>
        <w:bottom w:val="none" w:sz="0" w:space="0" w:color="auto"/>
        <w:right w:val="none" w:sz="0" w:space="0" w:color="auto"/>
      </w:divBdr>
    </w:div>
    <w:div w:id="578441121">
      <w:bodyDiv w:val="1"/>
      <w:marLeft w:val="0"/>
      <w:marRight w:val="0"/>
      <w:marTop w:val="0"/>
      <w:marBottom w:val="0"/>
      <w:divBdr>
        <w:top w:val="none" w:sz="0" w:space="0" w:color="auto"/>
        <w:left w:val="none" w:sz="0" w:space="0" w:color="auto"/>
        <w:bottom w:val="none" w:sz="0" w:space="0" w:color="auto"/>
        <w:right w:val="none" w:sz="0" w:space="0" w:color="auto"/>
      </w:divBdr>
    </w:div>
    <w:div w:id="680545920">
      <w:bodyDiv w:val="1"/>
      <w:marLeft w:val="0"/>
      <w:marRight w:val="0"/>
      <w:marTop w:val="0"/>
      <w:marBottom w:val="0"/>
      <w:divBdr>
        <w:top w:val="none" w:sz="0" w:space="0" w:color="auto"/>
        <w:left w:val="none" w:sz="0" w:space="0" w:color="auto"/>
        <w:bottom w:val="none" w:sz="0" w:space="0" w:color="auto"/>
        <w:right w:val="none" w:sz="0" w:space="0" w:color="auto"/>
      </w:divBdr>
    </w:div>
    <w:div w:id="713121755">
      <w:bodyDiv w:val="1"/>
      <w:marLeft w:val="0"/>
      <w:marRight w:val="0"/>
      <w:marTop w:val="0"/>
      <w:marBottom w:val="0"/>
      <w:divBdr>
        <w:top w:val="none" w:sz="0" w:space="0" w:color="auto"/>
        <w:left w:val="none" w:sz="0" w:space="0" w:color="auto"/>
        <w:bottom w:val="none" w:sz="0" w:space="0" w:color="auto"/>
        <w:right w:val="none" w:sz="0" w:space="0" w:color="auto"/>
      </w:divBdr>
    </w:div>
    <w:div w:id="1240866593">
      <w:bodyDiv w:val="1"/>
      <w:marLeft w:val="0"/>
      <w:marRight w:val="0"/>
      <w:marTop w:val="0"/>
      <w:marBottom w:val="0"/>
      <w:divBdr>
        <w:top w:val="none" w:sz="0" w:space="0" w:color="auto"/>
        <w:left w:val="none" w:sz="0" w:space="0" w:color="auto"/>
        <w:bottom w:val="none" w:sz="0" w:space="0" w:color="auto"/>
        <w:right w:val="none" w:sz="0" w:space="0" w:color="auto"/>
      </w:divBdr>
    </w:div>
    <w:div w:id="1531265375">
      <w:bodyDiv w:val="1"/>
      <w:marLeft w:val="0"/>
      <w:marRight w:val="0"/>
      <w:marTop w:val="0"/>
      <w:marBottom w:val="0"/>
      <w:divBdr>
        <w:top w:val="none" w:sz="0" w:space="0" w:color="auto"/>
        <w:left w:val="none" w:sz="0" w:space="0" w:color="auto"/>
        <w:bottom w:val="none" w:sz="0" w:space="0" w:color="auto"/>
        <w:right w:val="none" w:sz="0" w:space="0" w:color="auto"/>
      </w:divBdr>
    </w:div>
    <w:div w:id="1608123288">
      <w:bodyDiv w:val="1"/>
      <w:marLeft w:val="0"/>
      <w:marRight w:val="0"/>
      <w:marTop w:val="0"/>
      <w:marBottom w:val="0"/>
      <w:divBdr>
        <w:top w:val="none" w:sz="0" w:space="0" w:color="auto"/>
        <w:left w:val="none" w:sz="0" w:space="0" w:color="auto"/>
        <w:bottom w:val="none" w:sz="0" w:space="0" w:color="auto"/>
        <w:right w:val="none" w:sz="0" w:space="0" w:color="auto"/>
      </w:divBdr>
    </w:div>
    <w:div w:id="1613632590">
      <w:bodyDiv w:val="1"/>
      <w:marLeft w:val="0"/>
      <w:marRight w:val="0"/>
      <w:marTop w:val="0"/>
      <w:marBottom w:val="0"/>
      <w:divBdr>
        <w:top w:val="none" w:sz="0" w:space="0" w:color="auto"/>
        <w:left w:val="none" w:sz="0" w:space="0" w:color="auto"/>
        <w:bottom w:val="none" w:sz="0" w:space="0" w:color="auto"/>
        <w:right w:val="none" w:sz="0" w:space="0" w:color="auto"/>
      </w:divBdr>
    </w:div>
    <w:div w:id="1818380899">
      <w:bodyDiv w:val="1"/>
      <w:marLeft w:val="0"/>
      <w:marRight w:val="0"/>
      <w:marTop w:val="0"/>
      <w:marBottom w:val="0"/>
      <w:divBdr>
        <w:top w:val="none" w:sz="0" w:space="0" w:color="auto"/>
        <w:left w:val="none" w:sz="0" w:space="0" w:color="auto"/>
        <w:bottom w:val="none" w:sz="0" w:space="0" w:color="auto"/>
        <w:right w:val="none" w:sz="0" w:space="0" w:color="auto"/>
      </w:divBdr>
    </w:div>
    <w:div w:id="1853909534">
      <w:bodyDiv w:val="1"/>
      <w:marLeft w:val="0"/>
      <w:marRight w:val="0"/>
      <w:marTop w:val="0"/>
      <w:marBottom w:val="0"/>
      <w:divBdr>
        <w:top w:val="none" w:sz="0" w:space="0" w:color="auto"/>
        <w:left w:val="none" w:sz="0" w:space="0" w:color="auto"/>
        <w:bottom w:val="none" w:sz="0" w:space="0" w:color="auto"/>
        <w:right w:val="none" w:sz="0" w:space="0" w:color="auto"/>
      </w:divBdr>
    </w:div>
    <w:div w:id="1963732564">
      <w:bodyDiv w:val="1"/>
      <w:marLeft w:val="0"/>
      <w:marRight w:val="0"/>
      <w:marTop w:val="0"/>
      <w:marBottom w:val="0"/>
      <w:divBdr>
        <w:top w:val="none" w:sz="0" w:space="0" w:color="auto"/>
        <w:left w:val="none" w:sz="0" w:space="0" w:color="auto"/>
        <w:bottom w:val="none" w:sz="0" w:space="0" w:color="auto"/>
        <w:right w:val="none" w:sz="0" w:space="0" w:color="auto"/>
      </w:divBdr>
    </w:div>
    <w:div w:id="21340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ohchr.org/SP/NewsEvents/Pages/DisplayNews.aspx?NewsID=23092&amp;LangID=S" TargetMode="External"/><Relationship Id="rId12" Type="http://schemas.openxmlformats.org/officeDocument/2006/relationships/hyperlink" Target="http://documentos.bancomundial.org/curated/es/608921536847788293/A-Set-of-Proposed-Indicators-for-the-LGBTI-Inclusion-Index" TargetMode="External"/><Relationship Id="rId13" Type="http://schemas.openxmlformats.org/officeDocument/2006/relationships/hyperlink" Target="https://www.ohchr.org/Documents/Issues/HRIndicators/GuidanceNoteonApproachtoData.pdf" TargetMode="External"/><Relationship Id="rId14" Type="http://schemas.openxmlformats.org/officeDocument/2006/relationships/hyperlink" Target="https://hivlawcommission.org/wp-content/uploads/2019/01/Hiv-and-the-Law-supplement_2018_ES_Final.pdf" TargetMode="External"/><Relationship Id="rId15" Type="http://schemas.openxmlformats.org/officeDocument/2006/relationships/hyperlink" Target="mailto:ie-sogi@ohchr.org" TargetMode="External"/><Relationship Id="rId16" Type="http://schemas.openxmlformats.org/officeDocument/2006/relationships/hyperlink" Target="mailto:cdepreuxdebaets@ohchr.org" TargetMode="External"/><Relationship Id="rId17" Type="http://schemas.openxmlformats.org/officeDocument/2006/relationships/hyperlink" Target="mailto:aochsenbein@ohchr.org" TargetMode="External"/><Relationship Id="rId18" Type="http://schemas.openxmlformats.org/officeDocument/2006/relationships/image" Target="media/image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503AD-8567-46B1-8523-46A2E2AD7B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2331CA-D14D-4352-BC48-2096F326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05BBF-62F4-4C87-8D57-680D1F043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3298</Words>
  <Characters>18139</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dc:description/>
  <cp:lastModifiedBy>Jessica Agila</cp:lastModifiedBy>
  <cp:revision>8</cp:revision>
  <dcterms:created xsi:type="dcterms:W3CDTF">2019-02-05T16:19:00Z</dcterms:created>
  <dcterms:modified xsi:type="dcterms:W3CDTF">2019-02-28T22:22:00Z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