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D7" w:rsidRPr="009F06D7" w:rsidRDefault="009F06D7" w:rsidP="009F06D7">
      <w:pPr>
        <w:pStyle w:val="Default"/>
        <w:rPr>
          <w:rFonts w:ascii="BundesSerif Office" w:hAnsi="BundesSerif Office"/>
          <w:sz w:val="22"/>
          <w:szCs w:val="22"/>
          <w:lang w:val="en-US"/>
        </w:rPr>
      </w:pPr>
      <w:r w:rsidRPr="009F06D7">
        <w:rPr>
          <w:rFonts w:ascii="BundesSerif Office" w:hAnsi="BundesSerif Office"/>
          <w:sz w:val="22"/>
          <w:szCs w:val="22"/>
          <w:lang w:val="en-US"/>
        </w:rPr>
        <w:t xml:space="preserve">Questions 1 to 8e will be answered together. </w:t>
      </w:r>
    </w:p>
    <w:p w:rsidR="009F06D7" w:rsidRPr="009F06D7" w:rsidRDefault="009F06D7" w:rsidP="009F06D7">
      <w:pPr>
        <w:pStyle w:val="Default"/>
        <w:rPr>
          <w:rFonts w:ascii="BundesSerif Office" w:hAnsi="BundesSerif Office"/>
          <w:sz w:val="22"/>
          <w:szCs w:val="22"/>
          <w:lang w:val="en-US"/>
        </w:rPr>
      </w:pPr>
    </w:p>
    <w:p w:rsidR="00D33E25" w:rsidRPr="00D33E25" w:rsidRDefault="00D33E25" w:rsidP="00D33E25">
      <w:pPr>
        <w:pStyle w:val="Listenabsatz"/>
        <w:numPr>
          <w:ilvl w:val="0"/>
          <w:numId w:val="2"/>
        </w:numPr>
        <w:rPr>
          <w:b/>
          <w:lang w:val="en-US"/>
        </w:rPr>
      </w:pPr>
      <w:r w:rsidRPr="00D33E25">
        <w:rPr>
          <w:b/>
          <w:lang w:val="en-US"/>
        </w:rPr>
        <w:t>Conversion therapies in Germany</w:t>
      </w:r>
    </w:p>
    <w:p w:rsidR="00D33E25" w:rsidRPr="00D33E25" w:rsidRDefault="00D33E25" w:rsidP="00D33E25">
      <w:pPr>
        <w:pStyle w:val="Listenabsatz"/>
        <w:rPr>
          <w:lang w:val="en-US"/>
        </w:rPr>
      </w:pPr>
    </w:p>
    <w:p w:rsidR="009F06D7" w:rsidRPr="009F06D7" w:rsidRDefault="009F06D7" w:rsidP="009F06D7">
      <w:pPr>
        <w:rPr>
          <w:lang w:val="en-US"/>
        </w:rPr>
      </w:pPr>
      <w:r w:rsidRPr="009F06D7">
        <w:rPr>
          <w:lang w:val="en-US"/>
        </w:rPr>
        <w:t xml:space="preserve">In Germany, so-called “conversion therapies” are still being offered and conducted. By our definition, these are treatments that aim to change or suppress a person’s sexual orientation or their self-perceived gender identity. </w:t>
      </w:r>
    </w:p>
    <w:p w:rsidR="009F06D7" w:rsidRPr="009F06D7" w:rsidRDefault="009F06D7" w:rsidP="009F06D7">
      <w:pPr>
        <w:rPr>
          <w:lang w:val="en-US"/>
        </w:rPr>
      </w:pPr>
    </w:p>
    <w:p w:rsidR="009F06D7" w:rsidRPr="009F06D7" w:rsidRDefault="009F06D7" w:rsidP="009F06D7">
      <w:pPr>
        <w:rPr>
          <w:lang w:val="en-US"/>
        </w:rPr>
      </w:pPr>
      <w:r w:rsidRPr="009F06D7">
        <w:rPr>
          <w:sz w:val="21"/>
          <w:szCs w:val="21"/>
          <w:lang w:val="en-US"/>
        </w:rPr>
        <w:t xml:space="preserve">Conversion therapies impair the sexual and gender development and self-determination of affected persons and endanger their health. They cannot be reconciled with medical ethics. </w:t>
      </w:r>
      <w:r w:rsidRPr="009F06D7">
        <w:rPr>
          <w:lang w:val="en-US"/>
        </w:rPr>
        <w:t xml:space="preserve">This is why the Federal Government have taken a clear stance against conversion therapies, as have the German Medical Association, the relevant national and international scientific and psychotherapeutic </w:t>
      </w:r>
      <w:proofErr w:type="spellStart"/>
      <w:r w:rsidRPr="009F06D7">
        <w:rPr>
          <w:lang w:val="en-US"/>
        </w:rPr>
        <w:t>organisations</w:t>
      </w:r>
      <w:proofErr w:type="spellEnd"/>
      <w:r w:rsidRPr="009F06D7">
        <w:rPr>
          <w:lang w:val="en-US"/>
        </w:rPr>
        <w:t xml:space="preserve">, and the </w:t>
      </w:r>
      <w:r w:rsidRPr="009F06D7">
        <w:rPr>
          <w:i/>
          <w:iCs/>
          <w:lang w:val="en-US"/>
        </w:rPr>
        <w:t>Bundesrat</w:t>
      </w:r>
      <w:r>
        <w:rPr>
          <w:i/>
          <w:iCs/>
          <w:lang w:val="en-US"/>
        </w:rPr>
        <w:t xml:space="preserve"> </w:t>
      </w:r>
      <w:r w:rsidRPr="00D33E25">
        <w:rPr>
          <w:iCs/>
          <w:lang w:val="en-US"/>
        </w:rPr>
        <w:t>(Upper H</w:t>
      </w:r>
      <w:r>
        <w:rPr>
          <w:lang w:val="en-US"/>
        </w:rPr>
        <w:t xml:space="preserve">ouse of Parliament, with representatives of the </w:t>
      </w:r>
      <w:proofErr w:type="spellStart"/>
      <w:r>
        <w:rPr>
          <w:lang w:val="en-US"/>
        </w:rPr>
        <w:t>Länder</w:t>
      </w:r>
      <w:proofErr w:type="spellEnd"/>
      <w:r>
        <w:rPr>
          <w:lang w:val="en-US"/>
        </w:rPr>
        <w:t>)</w:t>
      </w:r>
      <w:r w:rsidRPr="009F06D7">
        <w:rPr>
          <w:lang w:val="en-US"/>
        </w:rPr>
        <w:t xml:space="preserve">. </w:t>
      </w:r>
    </w:p>
    <w:p w:rsidR="009F06D7" w:rsidRPr="009F06D7" w:rsidRDefault="009F06D7" w:rsidP="009F06D7">
      <w:pPr>
        <w:rPr>
          <w:lang w:val="en-US"/>
        </w:rPr>
      </w:pPr>
    </w:p>
    <w:p w:rsidR="009F06D7" w:rsidRPr="009F06D7" w:rsidRDefault="009F06D7" w:rsidP="009F06D7">
      <w:pPr>
        <w:rPr>
          <w:lang w:val="en-US"/>
        </w:rPr>
      </w:pPr>
      <w:r w:rsidRPr="009F06D7">
        <w:rPr>
          <w:lang w:val="en-US"/>
        </w:rPr>
        <w:t xml:space="preserve">The </w:t>
      </w:r>
      <w:r>
        <w:rPr>
          <w:lang w:val="en-US"/>
        </w:rPr>
        <w:t xml:space="preserve">Federal Government is planning a law to protect persons against such therapies. </w:t>
      </w:r>
      <w:r w:rsidRPr="009F06D7">
        <w:rPr>
          <w:lang w:val="en-US"/>
        </w:rPr>
        <w:t>Feder</w:t>
      </w:r>
      <w:r w:rsidR="00D33E25">
        <w:rPr>
          <w:lang w:val="en-US"/>
        </w:rPr>
        <w:t xml:space="preserve">al Ministry of Health is in the process of drafting a separate </w:t>
      </w:r>
      <w:r w:rsidRPr="009F06D7">
        <w:rPr>
          <w:lang w:val="en-US"/>
        </w:rPr>
        <w:t>law to protect persons against such therapies.</w:t>
      </w:r>
      <w:r w:rsidRPr="009F06D7">
        <w:rPr>
          <w:sz w:val="21"/>
          <w:szCs w:val="21"/>
          <w:lang w:val="en-US"/>
        </w:rPr>
        <w:t xml:space="preserve"> </w:t>
      </w:r>
      <w:r w:rsidRPr="009F06D7">
        <w:rPr>
          <w:lang w:val="en-US"/>
        </w:rPr>
        <w:t xml:space="preserve">In April 2019, while preparing the Bill, the Federal Ministry of Health convened an expert committee of concerned parties and their organizations, as well as experts in the fields of medicine, psychology, social sciences and law and conducted a two-day symposium. The </w:t>
      </w:r>
      <w:r w:rsidR="00D33E25">
        <w:rPr>
          <w:lang w:val="en-US"/>
        </w:rPr>
        <w:t>Federal Foundation</w:t>
      </w:r>
      <w:r w:rsidR="00D33E25" w:rsidRPr="009F06D7">
        <w:rPr>
          <w:lang w:val="en-US"/>
        </w:rPr>
        <w:t xml:space="preserve"> </w:t>
      </w:r>
      <w:r w:rsidR="00D33E25">
        <w:rPr>
          <w:lang w:val="en-US"/>
        </w:rPr>
        <w:t>Magnus-Hirschfeld</w:t>
      </w:r>
      <w:r w:rsidRPr="009F06D7">
        <w:rPr>
          <w:lang w:val="en-US"/>
        </w:rPr>
        <w:t xml:space="preserve"> supported the committee with their </w:t>
      </w:r>
      <w:r w:rsidR="00D33E25">
        <w:rPr>
          <w:lang w:val="en-US"/>
        </w:rPr>
        <w:t>professional and scientific</w:t>
      </w:r>
      <w:r w:rsidRPr="009F06D7">
        <w:rPr>
          <w:lang w:val="en-US"/>
        </w:rPr>
        <w:t xml:space="preserve"> expertise. The results of this symposium, including a scientific review, were published on 30 August 2019, in the form of a final report.</w:t>
      </w:r>
      <w:r>
        <w:rPr>
          <w:rStyle w:val="Funotenzeichen"/>
        </w:rPr>
        <w:footnoteReference w:id="1"/>
      </w:r>
      <w:r w:rsidRPr="009F06D7">
        <w:rPr>
          <w:lang w:val="en-US"/>
        </w:rPr>
        <w:t xml:space="preserve"> </w:t>
      </w:r>
    </w:p>
    <w:p w:rsidR="009F06D7" w:rsidRPr="009F06D7" w:rsidRDefault="009F06D7" w:rsidP="009F06D7">
      <w:pPr>
        <w:rPr>
          <w:lang w:val="en-US"/>
        </w:rPr>
      </w:pPr>
    </w:p>
    <w:p w:rsidR="009F06D7" w:rsidRPr="009F06D7" w:rsidRDefault="009F06D7" w:rsidP="009F06D7">
      <w:pPr>
        <w:rPr>
          <w:lang w:val="en-US"/>
        </w:rPr>
      </w:pPr>
      <w:r w:rsidRPr="009F06D7">
        <w:rPr>
          <w:lang w:val="en-US"/>
        </w:rPr>
        <w:t xml:space="preserve">The review revealed that no scientifically valid evidence exists for the alleged effect of such “therapies”. By contrast, scientific evidence does exist for the deleterious effects such practices have on those treated: depression, fears and increased risk of suicide, as well as </w:t>
      </w:r>
      <w:proofErr w:type="spellStart"/>
      <w:r w:rsidRPr="009F06D7">
        <w:rPr>
          <w:lang w:val="en-US"/>
        </w:rPr>
        <w:t>stigmatisation</w:t>
      </w:r>
      <w:proofErr w:type="spellEnd"/>
      <w:r w:rsidRPr="009F06D7">
        <w:rPr>
          <w:lang w:val="en-US"/>
        </w:rPr>
        <w:t xml:space="preserve"> and discrimination effects on third parties in the form of minority pressure. </w:t>
      </w:r>
      <w:r w:rsidR="00D33E25">
        <w:rPr>
          <w:lang w:val="en-US"/>
        </w:rPr>
        <w:t>V</w:t>
      </w:r>
      <w:r w:rsidRPr="009F06D7">
        <w:rPr>
          <w:lang w:val="en-US"/>
        </w:rPr>
        <w:t>ulnerable persons such as minors</w:t>
      </w:r>
      <w:r w:rsidR="00D33E25">
        <w:rPr>
          <w:lang w:val="en-US"/>
        </w:rPr>
        <w:t xml:space="preserve"> are particularly affected </w:t>
      </w:r>
      <w:r w:rsidRPr="009F06D7">
        <w:rPr>
          <w:lang w:val="en-US"/>
        </w:rPr>
        <w:t xml:space="preserve">as they are still in the identity-finding phase, and persons of legal age whose consent to conversion therapy is based on a lack of volition, for example because consent resulted from coercion or deception. </w:t>
      </w:r>
    </w:p>
    <w:p w:rsidR="009F06D7" w:rsidRPr="009F06D7" w:rsidRDefault="009F06D7" w:rsidP="009F06D7">
      <w:pPr>
        <w:rPr>
          <w:lang w:val="en-US"/>
        </w:rPr>
      </w:pPr>
    </w:p>
    <w:p w:rsidR="009F06D7" w:rsidRPr="009F06D7" w:rsidRDefault="009F06D7" w:rsidP="009F06D7">
      <w:pPr>
        <w:rPr>
          <w:lang w:val="en-US"/>
        </w:rPr>
      </w:pPr>
      <w:r w:rsidRPr="009F06D7">
        <w:rPr>
          <w:lang w:val="en-US"/>
        </w:rPr>
        <w:t xml:space="preserve">Furthermore, the symposium concluded that, in order to protect these particularly vulnerable persons, both therapies against sexual orientation and against a person’s self-perceived gender identity should be prohibited and criminally sanctioned. In order to prevent further victims and protect other persons from feelings of </w:t>
      </w:r>
      <w:proofErr w:type="spellStart"/>
      <w:r w:rsidRPr="009F06D7">
        <w:rPr>
          <w:lang w:val="en-US"/>
        </w:rPr>
        <w:t>stigmatisation</w:t>
      </w:r>
      <w:proofErr w:type="spellEnd"/>
      <w:r w:rsidRPr="009F06D7">
        <w:rPr>
          <w:lang w:val="en-US"/>
        </w:rPr>
        <w:t xml:space="preserve"> and discrimination, the advertising of conversion therapies should also be prohibited and made punishable by a fine. In addition, the need for the education and counselling of affected persons was acknowledged. </w:t>
      </w:r>
    </w:p>
    <w:p w:rsidR="009F06D7" w:rsidRPr="009F06D7" w:rsidRDefault="009F06D7" w:rsidP="009F06D7">
      <w:pPr>
        <w:rPr>
          <w:sz w:val="21"/>
          <w:szCs w:val="21"/>
          <w:lang w:val="en-US"/>
        </w:rPr>
      </w:pPr>
    </w:p>
    <w:p w:rsidR="009F06D7" w:rsidRPr="009F06D7" w:rsidRDefault="009F06D7" w:rsidP="009F06D7">
      <w:pPr>
        <w:rPr>
          <w:sz w:val="21"/>
          <w:szCs w:val="21"/>
          <w:lang w:val="en-US"/>
        </w:rPr>
      </w:pPr>
      <w:r w:rsidRPr="009F06D7">
        <w:rPr>
          <w:sz w:val="21"/>
          <w:szCs w:val="21"/>
          <w:lang w:val="en-US"/>
        </w:rPr>
        <w:t xml:space="preserve">The bill of law prepared by the Federal Ministry of Health based on these results provides for the following: </w:t>
      </w:r>
    </w:p>
    <w:p w:rsidR="009F06D7" w:rsidRPr="009F06D7" w:rsidRDefault="009F06D7" w:rsidP="009F06D7">
      <w:pPr>
        <w:pStyle w:val="Text"/>
        <w:numPr>
          <w:ilvl w:val="0"/>
          <w:numId w:val="1"/>
        </w:numPr>
        <w:spacing w:line="300" w:lineRule="atLeast"/>
        <w:ind w:left="504" w:hanging="357"/>
        <w:rPr>
          <w:rFonts w:ascii="BundesSerif Office" w:hAnsi="BundesSerif Office"/>
          <w:lang w:val="en-US"/>
        </w:rPr>
      </w:pPr>
      <w:r w:rsidRPr="009F06D7">
        <w:rPr>
          <w:rFonts w:ascii="BundesSerif Office" w:hAnsi="BundesSerif Office"/>
          <w:lang w:val="en-US"/>
        </w:rPr>
        <w:t xml:space="preserve">prohibition of the conduct of conversion therapies on minors and on persons of legal age whose consent is based on a lack of volition, </w:t>
      </w:r>
    </w:p>
    <w:p w:rsidR="009F06D7" w:rsidRPr="009F06D7" w:rsidRDefault="009F06D7" w:rsidP="009F06D7">
      <w:pPr>
        <w:pStyle w:val="Text"/>
        <w:numPr>
          <w:ilvl w:val="0"/>
          <w:numId w:val="1"/>
        </w:numPr>
        <w:spacing w:line="300" w:lineRule="atLeast"/>
        <w:ind w:left="504" w:hanging="357"/>
        <w:rPr>
          <w:rFonts w:ascii="BundesSerif Office" w:hAnsi="BundesSerif Office"/>
          <w:lang w:val="en-US"/>
        </w:rPr>
      </w:pPr>
      <w:r w:rsidRPr="009F06D7">
        <w:rPr>
          <w:rFonts w:ascii="BundesSerif Office" w:hAnsi="BundesSerif Office"/>
          <w:lang w:val="en-US"/>
        </w:rPr>
        <w:t xml:space="preserve">prohibition of the public advertising, offering and brokering of conversion therapies for the treatment of minors, even when not conducted publicly, </w:t>
      </w:r>
    </w:p>
    <w:p w:rsidR="009F06D7" w:rsidRPr="009F06D7" w:rsidRDefault="009F06D7" w:rsidP="009F06D7">
      <w:pPr>
        <w:pStyle w:val="Text"/>
        <w:numPr>
          <w:ilvl w:val="0"/>
          <w:numId w:val="1"/>
        </w:numPr>
        <w:spacing w:line="300" w:lineRule="atLeast"/>
        <w:ind w:left="504" w:hanging="357"/>
        <w:rPr>
          <w:rFonts w:ascii="BundesSerif Office" w:hAnsi="BundesSerif Office"/>
          <w:lang w:val="en-US"/>
        </w:rPr>
      </w:pPr>
      <w:r w:rsidRPr="009F06D7">
        <w:rPr>
          <w:rFonts w:ascii="BundesSerif Office" w:hAnsi="BundesSerif Office"/>
          <w:lang w:val="en-US"/>
        </w:rPr>
        <w:t xml:space="preserve">counselling opportunities at a central counselling </w:t>
      </w:r>
      <w:proofErr w:type="spellStart"/>
      <w:r w:rsidRPr="009F06D7">
        <w:rPr>
          <w:rFonts w:ascii="BundesSerif Office" w:hAnsi="BundesSerif Office"/>
          <w:lang w:val="en-US"/>
        </w:rPr>
        <w:t>centre</w:t>
      </w:r>
      <w:proofErr w:type="spellEnd"/>
      <w:r w:rsidRPr="009F06D7">
        <w:rPr>
          <w:rFonts w:ascii="BundesSerif Office" w:hAnsi="BundesSerif Office"/>
          <w:lang w:val="en-US"/>
        </w:rPr>
        <w:t xml:space="preserve"> for affected persons and their relatives, as well as for persons who deal with the topic on a professional or private basis,</w:t>
      </w:r>
    </w:p>
    <w:p w:rsidR="009F06D7" w:rsidRPr="009F06D7" w:rsidRDefault="009F06D7" w:rsidP="009F06D7">
      <w:pPr>
        <w:pStyle w:val="Text"/>
        <w:numPr>
          <w:ilvl w:val="0"/>
          <w:numId w:val="1"/>
        </w:numPr>
        <w:spacing w:line="300" w:lineRule="atLeast"/>
        <w:ind w:left="504" w:hanging="357"/>
        <w:rPr>
          <w:rFonts w:ascii="BundesSerif Office" w:hAnsi="BundesSerif Office"/>
          <w:lang w:val="en-US"/>
        </w:rPr>
      </w:pPr>
      <w:proofErr w:type="gramStart"/>
      <w:r w:rsidRPr="009F06D7">
        <w:rPr>
          <w:rFonts w:ascii="BundesSerif Office" w:hAnsi="BundesSerif Office"/>
          <w:lang w:val="en-US"/>
        </w:rPr>
        <w:t>application</w:t>
      </w:r>
      <w:proofErr w:type="gramEnd"/>
      <w:r w:rsidRPr="009F06D7">
        <w:rPr>
          <w:rFonts w:ascii="BundesSerif Office" w:hAnsi="BundesSerif Office"/>
          <w:lang w:val="en-US"/>
        </w:rPr>
        <w:t xml:space="preserve"> of penal provisions and provisions on administrative offences for violations of these prohibitions.</w:t>
      </w:r>
    </w:p>
    <w:p w:rsidR="009F06D7" w:rsidRPr="009F06D7" w:rsidRDefault="009F06D7" w:rsidP="009F06D7">
      <w:pPr>
        <w:pStyle w:val="Text"/>
        <w:numPr>
          <w:ilvl w:val="0"/>
          <w:numId w:val="1"/>
        </w:numPr>
        <w:spacing w:line="300" w:lineRule="atLeast"/>
        <w:ind w:left="504" w:hanging="357"/>
        <w:rPr>
          <w:rFonts w:ascii="BundesSerif Office" w:hAnsi="BundesSerif Office"/>
          <w:lang w:val="en-US"/>
        </w:rPr>
      </w:pPr>
      <w:r w:rsidRPr="009F06D7">
        <w:rPr>
          <w:rFonts w:ascii="BundesSerif Office" w:hAnsi="BundesSerif Office"/>
          <w:lang w:val="en-US"/>
        </w:rPr>
        <w:t xml:space="preserve">The prohibitions apply to all persons. In the case of legal guardians or persons holding parental authority, criminal liability is limited under specific conditions. </w:t>
      </w:r>
      <w:r w:rsidRPr="009F06D7">
        <w:rPr>
          <w:rFonts w:ascii="BundesSerif Office" w:hAnsi="BundesSerif Office"/>
          <w:lang w:val="en-US"/>
        </w:rPr>
        <w:tab/>
      </w:r>
    </w:p>
    <w:p w:rsidR="009F06D7" w:rsidRDefault="009F06D7" w:rsidP="009F06D7">
      <w:pPr>
        <w:rPr>
          <w:lang w:val="en-US"/>
        </w:rPr>
      </w:pPr>
      <w:r w:rsidRPr="009F06D7">
        <w:rPr>
          <w:lang w:val="en-US"/>
        </w:rPr>
        <w:t xml:space="preserve">Consultations on the Bill are currently still underway with </w:t>
      </w:r>
      <w:r w:rsidRPr="009F06D7">
        <w:rPr>
          <w:lang w:val="en-US"/>
        </w:rPr>
        <w:t xml:space="preserve">the </w:t>
      </w:r>
      <w:r w:rsidR="00D33E25">
        <w:rPr>
          <w:lang w:val="en-US"/>
        </w:rPr>
        <w:t xml:space="preserve">other </w:t>
      </w:r>
      <w:bookmarkStart w:id="0" w:name="_GoBack"/>
      <w:bookmarkEnd w:id="0"/>
      <w:r w:rsidRPr="009F06D7">
        <w:rPr>
          <w:lang w:val="en-US"/>
        </w:rPr>
        <w:t>minist</w:t>
      </w:r>
      <w:r w:rsidRPr="009F06D7">
        <w:rPr>
          <w:lang w:val="en-US"/>
        </w:rPr>
        <w:t xml:space="preserve">ries. Subsequently, it will be the subject of parliamentary deliberations that are expected to be concluded by May 2020. </w:t>
      </w:r>
    </w:p>
    <w:p w:rsidR="00D33E25" w:rsidRDefault="00D33E25" w:rsidP="009F06D7">
      <w:pPr>
        <w:rPr>
          <w:lang w:val="en-US"/>
        </w:rPr>
      </w:pPr>
    </w:p>
    <w:p w:rsidR="00D33E25" w:rsidRDefault="00D33E25" w:rsidP="00D33E25">
      <w:pPr>
        <w:pStyle w:val="Listenabsatz"/>
        <w:numPr>
          <w:ilvl w:val="0"/>
          <w:numId w:val="2"/>
        </w:numPr>
        <w:rPr>
          <w:lang w:val="en-US"/>
        </w:rPr>
      </w:pPr>
      <w:r>
        <w:rPr>
          <w:lang w:val="en-US"/>
        </w:rPr>
        <w:t>Conversion therapies and German development cooperation</w:t>
      </w:r>
    </w:p>
    <w:p w:rsidR="00D33E25" w:rsidRPr="00D33E25" w:rsidRDefault="00D33E25" w:rsidP="00D33E25">
      <w:pPr>
        <w:rPr>
          <w:lang w:val="en-US"/>
        </w:rPr>
      </w:pPr>
    </w:p>
    <w:p w:rsidR="00A2788B" w:rsidRPr="00D33E25" w:rsidRDefault="00A2788B" w:rsidP="00A2788B">
      <w:pPr>
        <w:rPr>
          <w:lang w:val="en-US"/>
        </w:rPr>
      </w:pPr>
      <w:r w:rsidRPr="00D33E25">
        <w:rPr>
          <w:lang w:val="en-US"/>
        </w:rPr>
        <w:t>Human rights are a guiding principle of German development cooperation. This includes non-discrimination of sexual minorities. On these grounds, we consider so-called “conversion therapy” a human rights violation. Organizations and institutions that practice “conversion therapy” and other human rights violations cannot be partners of German development cooperation.</w:t>
      </w:r>
    </w:p>
    <w:p w:rsidR="00A2788B" w:rsidRPr="009F06D7" w:rsidRDefault="00A2788B" w:rsidP="009F06D7">
      <w:pPr>
        <w:rPr>
          <w:lang w:val="en-US"/>
        </w:rPr>
      </w:pPr>
    </w:p>
    <w:p w:rsidR="000613A7" w:rsidRPr="009F06D7" w:rsidRDefault="000613A7">
      <w:pPr>
        <w:rPr>
          <w:lang w:val="en-US"/>
        </w:rPr>
      </w:pPr>
    </w:p>
    <w:sectPr w:rsidR="000613A7" w:rsidRPr="009F06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D7" w:rsidRDefault="009F06D7" w:rsidP="009F06D7">
      <w:pPr>
        <w:spacing w:line="240" w:lineRule="auto"/>
      </w:pPr>
      <w:r>
        <w:separator/>
      </w:r>
    </w:p>
  </w:endnote>
  <w:endnote w:type="continuationSeparator" w:id="0">
    <w:p w:rsidR="009F06D7" w:rsidRDefault="009F06D7" w:rsidP="009F0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Serif Office">
    <w:panose1 w:val="02050002050300000203"/>
    <w:charset w:val="00"/>
    <w:family w:val="roman"/>
    <w:pitch w:val="variable"/>
    <w:sig w:usb0="A00000BF"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D7" w:rsidRDefault="009F06D7" w:rsidP="009F06D7">
      <w:pPr>
        <w:spacing w:line="240" w:lineRule="auto"/>
      </w:pPr>
      <w:r>
        <w:separator/>
      </w:r>
    </w:p>
  </w:footnote>
  <w:footnote w:type="continuationSeparator" w:id="0">
    <w:p w:rsidR="009F06D7" w:rsidRDefault="009F06D7" w:rsidP="009F06D7">
      <w:pPr>
        <w:spacing w:line="240" w:lineRule="auto"/>
      </w:pPr>
      <w:r>
        <w:continuationSeparator/>
      </w:r>
    </w:p>
  </w:footnote>
  <w:footnote w:id="1">
    <w:p w:rsidR="009F06D7" w:rsidRDefault="009F06D7" w:rsidP="009F06D7">
      <w:pPr>
        <w:pStyle w:val="Funotentext"/>
      </w:pPr>
      <w:r>
        <w:rPr>
          <w:rStyle w:val="Funotenzeichen"/>
        </w:rPr>
        <w:footnoteRef/>
      </w:r>
      <w:r>
        <w:t xml:space="preserve"> </w:t>
      </w:r>
      <w:hyperlink r:id="rId1" w:history="1">
        <w:r>
          <w:rPr>
            <w:rStyle w:val="Hyperlink"/>
          </w:rPr>
          <w:t>https://www.bundesgesundheitsministerium.de/presse/pressemitteilungen/2019/2-quartal/kommission-verbot-konversionstherapien.html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5F4"/>
    <w:multiLevelType w:val="hybridMultilevel"/>
    <w:tmpl w:val="E77E9240"/>
    <w:lvl w:ilvl="0" w:tplc="DF123F54">
      <w:numFmt w:val="bullet"/>
      <w:lvlText w:val="-"/>
      <w:lvlJc w:val="left"/>
      <w:pPr>
        <w:ind w:left="720" w:hanging="360"/>
      </w:pPr>
      <w:rPr>
        <w:rFonts w:ascii="BundesSerif Office" w:eastAsiaTheme="minorHAnsi" w:hAnsi="BundesSerif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597ABF"/>
    <w:multiLevelType w:val="hybridMultilevel"/>
    <w:tmpl w:val="82243E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D6"/>
    <w:rsid w:val="000613A7"/>
    <w:rsid w:val="003340D6"/>
    <w:rsid w:val="009F06D7"/>
    <w:rsid w:val="00A2788B"/>
    <w:rsid w:val="00A4169F"/>
    <w:rsid w:val="00D33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06D7"/>
    <w:pPr>
      <w:spacing w:after="0" w:line="360" w:lineRule="atLeast"/>
    </w:pPr>
    <w:rPr>
      <w:rFonts w:ascii="BundesSerif Office" w:eastAsia="Times New Roman" w:hAnsi="BundesSerif Office"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F06D7"/>
    <w:rPr>
      <w:color w:val="0000FF"/>
      <w:u w:val="single"/>
    </w:rPr>
  </w:style>
  <w:style w:type="paragraph" w:customStyle="1" w:styleId="Default">
    <w:name w:val="Default"/>
    <w:rsid w:val="009F06D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
    <w:name w:val="Text"/>
    <w:basedOn w:val="Standard"/>
    <w:rsid w:val="009F06D7"/>
    <w:pPr>
      <w:spacing w:before="120" w:after="120" w:line="240" w:lineRule="auto"/>
      <w:jc w:val="both"/>
    </w:pPr>
    <w:rPr>
      <w:rFonts w:ascii="Arial" w:eastAsiaTheme="minorHAnsi" w:hAnsi="Arial" w:cs="Arial"/>
      <w:szCs w:val="22"/>
      <w:lang w:eastAsia="en-US"/>
    </w:rPr>
  </w:style>
  <w:style w:type="paragraph" w:styleId="Funotentext">
    <w:name w:val="footnote text"/>
    <w:basedOn w:val="Standard"/>
    <w:link w:val="FunotentextZchn"/>
    <w:rsid w:val="009F06D7"/>
    <w:pPr>
      <w:spacing w:line="240" w:lineRule="auto"/>
    </w:pPr>
    <w:rPr>
      <w:sz w:val="20"/>
    </w:rPr>
  </w:style>
  <w:style w:type="character" w:customStyle="1" w:styleId="FunotentextZchn">
    <w:name w:val="Fußnotentext Zchn"/>
    <w:basedOn w:val="Absatz-Standardschriftart"/>
    <w:link w:val="Funotentext"/>
    <w:rsid w:val="009F06D7"/>
    <w:rPr>
      <w:rFonts w:ascii="BundesSerif Office" w:eastAsia="Times New Roman" w:hAnsi="BundesSerif Office" w:cs="Times New Roman"/>
      <w:sz w:val="20"/>
      <w:szCs w:val="20"/>
      <w:lang w:eastAsia="de-DE"/>
    </w:rPr>
  </w:style>
  <w:style w:type="character" w:styleId="Funotenzeichen">
    <w:name w:val="footnote reference"/>
    <w:basedOn w:val="Absatz-Standardschriftart"/>
    <w:rsid w:val="009F06D7"/>
    <w:rPr>
      <w:vertAlign w:val="superscript"/>
    </w:rPr>
  </w:style>
  <w:style w:type="paragraph" w:styleId="Sprechblasentext">
    <w:name w:val="Balloon Text"/>
    <w:basedOn w:val="Standard"/>
    <w:link w:val="SprechblasentextZchn"/>
    <w:uiPriority w:val="99"/>
    <w:semiHidden/>
    <w:unhideWhenUsed/>
    <w:rsid w:val="009F06D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6D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9F06D7"/>
    <w:rPr>
      <w:sz w:val="16"/>
      <w:szCs w:val="16"/>
    </w:rPr>
  </w:style>
  <w:style w:type="paragraph" w:styleId="Kommentartext">
    <w:name w:val="annotation text"/>
    <w:basedOn w:val="Standard"/>
    <w:link w:val="KommentartextZchn"/>
    <w:uiPriority w:val="99"/>
    <w:semiHidden/>
    <w:unhideWhenUsed/>
    <w:rsid w:val="009F06D7"/>
    <w:pPr>
      <w:spacing w:line="240" w:lineRule="auto"/>
    </w:pPr>
    <w:rPr>
      <w:sz w:val="20"/>
    </w:rPr>
  </w:style>
  <w:style w:type="character" w:customStyle="1" w:styleId="KommentartextZchn">
    <w:name w:val="Kommentartext Zchn"/>
    <w:basedOn w:val="Absatz-Standardschriftart"/>
    <w:link w:val="Kommentartext"/>
    <w:uiPriority w:val="99"/>
    <w:semiHidden/>
    <w:rsid w:val="009F06D7"/>
    <w:rPr>
      <w:rFonts w:ascii="BundesSerif Office" w:eastAsia="Times New Roman" w:hAnsi="BundesSerif Office"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F06D7"/>
    <w:rPr>
      <w:b/>
      <w:bCs/>
    </w:rPr>
  </w:style>
  <w:style w:type="character" w:customStyle="1" w:styleId="KommentarthemaZchn">
    <w:name w:val="Kommentarthema Zchn"/>
    <w:basedOn w:val="KommentartextZchn"/>
    <w:link w:val="Kommentarthema"/>
    <w:uiPriority w:val="99"/>
    <w:semiHidden/>
    <w:rsid w:val="009F06D7"/>
    <w:rPr>
      <w:rFonts w:ascii="BundesSerif Office" w:eastAsia="Times New Roman" w:hAnsi="BundesSerif Office" w:cs="Times New Roman"/>
      <w:b/>
      <w:bCs/>
      <w:sz w:val="20"/>
      <w:szCs w:val="20"/>
      <w:lang w:eastAsia="de-DE"/>
    </w:rPr>
  </w:style>
  <w:style w:type="paragraph" w:styleId="Listenabsatz">
    <w:name w:val="List Paragraph"/>
    <w:basedOn w:val="Standard"/>
    <w:uiPriority w:val="34"/>
    <w:qFormat/>
    <w:rsid w:val="00D33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06D7"/>
    <w:pPr>
      <w:spacing w:after="0" w:line="360" w:lineRule="atLeast"/>
    </w:pPr>
    <w:rPr>
      <w:rFonts w:ascii="BundesSerif Office" w:eastAsia="Times New Roman" w:hAnsi="BundesSerif Office"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F06D7"/>
    <w:rPr>
      <w:color w:val="0000FF"/>
      <w:u w:val="single"/>
    </w:rPr>
  </w:style>
  <w:style w:type="paragraph" w:customStyle="1" w:styleId="Default">
    <w:name w:val="Default"/>
    <w:rsid w:val="009F06D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
    <w:name w:val="Text"/>
    <w:basedOn w:val="Standard"/>
    <w:rsid w:val="009F06D7"/>
    <w:pPr>
      <w:spacing w:before="120" w:after="120" w:line="240" w:lineRule="auto"/>
      <w:jc w:val="both"/>
    </w:pPr>
    <w:rPr>
      <w:rFonts w:ascii="Arial" w:eastAsiaTheme="minorHAnsi" w:hAnsi="Arial" w:cs="Arial"/>
      <w:szCs w:val="22"/>
      <w:lang w:eastAsia="en-US"/>
    </w:rPr>
  </w:style>
  <w:style w:type="paragraph" w:styleId="Funotentext">
    <w:name w:val="footnote text"/>
    <w:basedOn w:val="Standard"/>
    <w:link w:val="FunotentextZchn"/>
    <w:rsid w:val="009F06D7"/>
    <w:pPr>
      <w:spacing w:line="240" w:lineRule="auto"/>
    </w:pPr>
    <w:rPr>
      <w:sz w:val="20"/>
    </w:rPr>
  </w:style>
  <w:style w:type="character" w:customStyle="1" w:styleId="FunotentextZchn">
    <w:name w:val="Fußnotentext Zchn"/>
    <w:basedOn w:val="Absatz-Standardschriftart"/>
    <w:link w:val="Funotentext"/>
    <w:rsid w:val="009F06D7"/>
    <w:rPr>
      <w:rFonts w:ascii="BundesSerif Office" w:eastAsia="Times New Roman" w:hAnsi="BundesSerif Office" w:cs="Times New Roman"/>
      <w:sz w:val="20"/>
      <w:szCs w:val="20"/>
      <w:lang w:eastAsia="de-DE"/>
    </w:rPr>
  </w:style>
  <w:style w:type="character" w:styleId="Funotenzeichen">
    <w:name w:val="footnote reference"/>
    <w:basedOn w:val="Absatz-Standardschriftart"/>
    <w:rsid w:val="009F06D7"/>
    <w:rPr>
      <w:vertAlign w:val="superscript"/>
    </w:rPr>
  </w:style>
  <w:style w:type="paragraph" w:styleId="Sprechblasentext">
    <w:name w:val="Balloon Text"/>
    <w:basedOn w:val="Standard"/>
    <w:link w:val="SprechblasentextZchn"/>
    <w:uiPriority w:val="99"/>
    <w:semiHidden/>
    <w:unhideWhenUsed/>
    <w:rsid w:val="009F06D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6D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9F06D7"/>
    <w:rPr>
      <w:sz w:val="16"/>
      <w:szCs w:val="16"/>
    </w:rPr>
  </w:style>
  <w:style w:type="paragraph" w:styleId="Kommentartext">
    <w:name w:val="annotation text"/>
    <w:basedOn w:val="Standard"/>
    <w:link w:val="KommentartextZchn"/>
    <w:uiPriority w:val="99"/>
    <w:semiHidden/>
    <w:unhideWhenUsed/>
    <w:rsid w:val="009F06D7"/>
    <w:pPr>
      <w:spacing w:line="240" w:lineRule="auto"/>
    </w:pPr>
    <w:rPr>
      <w:sz w:val="20"/>
    </w:rPr>
  </w:style>
  <w:style w:type="character" w:customStyle="1" w:styleId="KommentartextZchn">
    <w:name w:val="Kommentartext Zchn"/>
    <w:basedOn w:val="Absatz-Standardschriftart"/>
    <w:link w:val="Kommentartext"/>
    <w:uiPriority w:val="99"/>
    <w:semiHidden/>
    <w:rsid w:val="009F06D7"/>
    <w:rPr>
      <w:rFonts w:ascii="BundesSerif Office" w:eastAsia="Times New Roman" w:hAnsi="BundesSerif Office"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F06D7"/>
    <w:rPr>
      <w:b/>
      <w:bCs/>
    </w:rPr>
  </w:style>
  <w:style w:type="character" w:customStyle="1" w:styleId="KommentarthemaZchn">
    <w:name w:val="Kommentarthema Zchn"/>
    <w:basedOn w:val="KommentartextZchn"/>
    <w:link w:val="Kommentarthema"/>
    <w:uiPriority w:val="99"/>
    <w:semiHidden/>
    <w:rsid w:val="009F06D7"/>
    <w:rPr>
      <w:rFonts w:ascii="BundesSerif Office" w:eastAsia="Times New Roman" w:hAnsi="BundesSerif Office" w:cs="Times New Roman"/>
      <w:b/>
      <w:bCs/>
      <w:sz w:val="20"/>
      <w:szCs w:val="20"/>
      <w:lang w:eastAsia="de-DE"/>
    </w:rPr>
  </w:style>
  <w:style w:type="paragraph" w:styleId="Listenabsatz">
    <w:name w:val="List Paragraph"/>
    <w:basedOn w:val="Standard"/>
    <w:uiPriority w:val="34"/>
    <w:qFormat/>
    <w:rsid w:val="00D3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gesundheitsministerium.de/presse/pressemitteilungen/2019/2-quartal/kommission-verbot-konversionstherapi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2DB1F7-0AD4-4CD3-9CE0-B842B0B55054}"/>
</file>

<file path=customXml/itemProps2.xml><?xml version="1.0" encoding="utf-8"?>
<ds:datastoreItem xmlns:ds="http://schemas.openxmlformats.org/officeDocument/2006/customXml" ds:itemID="{A3E0CCD7-701E-4260-A7C3-B042C03A587D}"/>
</file>

<file path=customXml/itemProps3.xml><?xml version="1.0" encoding="utf-8"?>
<ds:datastoreItem xmlns:ds="http://schemas.openxmlformats.org/officeDocument/2006/customXml" ds:itemID="{E5440755-6BC2-49B7-AFAB-DB2057CCAE45}"/>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 Hannah</dc:creator>
  <cp:lastModifiedBy>Rau, Hannah</cp:lastModifiedBy>
  <cp:revision>3</cp:revision>
  <dcterms:created xsi:type="dcterms:W3CDTF">2019-12-19T09:06:00Z</dcterms:created>
  <dcterms:modified xsi:type="dcterms:W3CDTF">2019-12-19T09:13:00Z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