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94" w:rsidRPr="00EB5E06" w:rsidRDefault="00860426" w:rsidP="00860426">
      <w:pPr>
        <w:pBdr>
          <w:bottom w:val="single" w:sz="8" w:space="4" w:color="5B9BD5" w:themeColor="accent1"/>
        </w:pBdr>
        <w:spacing w:before="0" w:after="300" w:line="240" w:lineRule="auto"/>
        <w:contextualSpacing/>
        <w:jc w:val="both"/>
        <w:rPr>
          <w:rFonts w:eastAsiaTheme="majorEastAsia" w:cstheme="majorBidi"/>
          <w:b/>
          <w:bCs/>
          <w:smallCaps/>
          <w:color w:val="2E74B5" w:themeColor="accent1" w:themeShade="BF"/>
          <w:kern w:val="28"/>
          <w:sz w:val="32"/>
          <w:szCs w:val="40"/>
          <w:lang w:val="fr-FR"/>
        </w:rPr>
      </w:pPr>
      <w:r w:rsidRPr="00EB5E06">
        <w:rPr>
          <w:rFonts w:eastAsiaTheme="majorEastAsia" w:cstheme="majorBidi"/>
          <w:b/>
          <w:bCs/>
          <w:smallCaps/>
          <w:color w:val="2E74B5" w:themeColor="accent1" w:themeShade="BF"/>
          <w:kern w:val="28"/>
          <w:sz w:val="32"/>
          <w:szCs w:val="40"/>
          <w:lang w:val="fr-FR"/>
        </w:rPr>
        <w:t>Appel à contribution de</w:t>
      </w:r>
      <w:r w:rsidR="00666794" w:rsidRPr="00EB5E06">
        <w:rPr>
          <w:rFonts w:eastAsiaTheme="majorEastAsia" w:cstheme="majorBidi"/>
          <w:b/>
          <w:bCs/>
          <w:smallCaps/>
          <w:color w:val="2E74B5" w:themeColor="accent1" w:themeShade="BF"/>
          <w:kern w:val="28"/>
          <w:sz w:val="32"/>
          <w:szCs w:val="40"/>
          <w:lang w:val="fr-FR"/>
        </w:rPr>
        <w:t xml:space="preserve"> l’Exper</w:t>
      </w:r>
      <w:r w:rsidRPr="00EB5E06">
        <w:rPr>
          <w:rFonts w:eastAsiaTheme="majorEastAsia" w:cstheme="majorBidi"/>
          <w:b/>
          <w:bCs/>
          <w:smallCaps/>
          <w:color w:val="2E74B5" w:themeColor="accent1" w:themeShade="BF"/>
          <w:kern w:val="28"/>
          <w:sz w:val="32"/>
          <w:szCs w:val="40"/>
          <w:lang w:val="fr-FR"/>
        </w:rPr>
        <w:t xml:space="preserve">t indépendant sur la protection </w:t>
      </w:r>
      <w:r w:rsidR="00666794" w:rsidRPr="00EB5E06">
        <w:rPr>
          <w:rFonts w:eastAsiaTheme="majorEastAsia" w:cstheme="majorBidi"/>
          <w:b/>
          <w:bCs/>
          <w:smallCaps/>
          <w:color w:val="2E74B5" w:themeColor="accent1" w:themeShade="BF"/>
          <w:kern w:val="28"/>
          <w:sz w:val="32"/>
          <w:szCs w:val="40"/>
          <w:lang w:val="fr-FR"/>
        </w:rPr>
        <w:t xml:space="preserve">contre la violence et la discrimination </w:t>
      </w:r>
      <w:r w:rsidRPr="00EB5E06">
        <w:rPr>
          <w:rFonts w:eastAsiaTheme="majorEastAsia" w:cstheme="majorBidi"/>
          <w:b/>
          <w:bCs/>
          <w:smallCaps/>
          <w:color w:val="2E74B5" w:themeColor="accent1" w:themeShade="BF"/>
          <w:kern w:val="28"/>
          <w:sz w:val="32"/>
          <w:szCs w:val="40"/>
          <w:lang w:val="fr-FR"/>
        </w:rPr>
        <w:t xml:space="preserve">fondée sur </w:t>
      </w:r>
      <w:r w:rsidR="00666794" w:rsidRPr="00EB5E06">
        <w:rPr>
          <w:rFonts w:eastAsiaTheme="majorEastAsia" w:cstheme="majorBidi"/>
          <w:b/>
          <w:bCs/>
          <w:smallCaps/>
          <w:color w:val="2E74B5" w:themeColor="accent1" w:themeShade="BF"/>
          <w:kern w:val="28"/>
          <w:sz w:val="32"/>
          <w:szCs w:val="40"/>
          <w:lang w:val="fr-FR"/>
        </w:rPr>
        <w:t>l’orientation sexuelle et de l’identité de genre</w:t>
      </w:r>
      <w:r w:rsidR="0023311B" w:rsidRPr="00EB5E06">
        <w:rPr>
          <w:rFonts w:eastAsiaTheme="majorEastAsia" w:cstheme="majorBidi"/>
          <w:b/>
          <w:bCs/>
          <w:smallCaps/>
          <w:color w:val="2E74B5" w:themeColor="accent1" w:themeShade="BF"/>
          <w:kern w:val="28"/>
          <w:sz w:val="32"/>
          <w:szCs w:val="40"/>
          <w:lang w:val="fr-FR"/>
        </w:rPr>
        <w:t xml:space="preserve">, </w:t>
      </w:r>
      <w:r w:rsidRPr="00EB5E06">
        <w:rPr>
          <w:rFonts w:eastAsiaTheme="majorEastAsia" w:cstheme="majorBidi"/>
          <w:b/>
          <w:bCs/>
          <w:smallCaps/>
          <w:color w:val="2E74B5" w:themeColor="accent1" w:themeShade="BF"/>
          <w:kern w:val="28"/>
          <w:sz w:val="32"/>
          <w:szCs w:val="40"/>
          <w:lang w:val="fr-FR"/>
        </w:rPr>
        <w:t xml:space="preserve">21 novembre 2019 </w:t>
      </w:r>
    </w:p>
    <w:p w:rsidR="00860426" w:rsidRPr="002B0592" w:rsidRDefault="00860426" w:rsidP="0075165B">
      <w:pPr>
        <w:pBdr>
          <w:bottom w:val="single" w:sz="8" w:space="4" w:color="5B9BD5" w:themeColor="accent1"/>
        </w:pBdr>
        <w:spacing w:before="0" w:after="300" w:line="240" w:lineRule="auto"/>
        <w:ind w:left="360" w:hanging="360"/>
        <w:contextualSpacing/>
        <w:rPr>
          <w:rFonts w:eastAsiaTheme="majorEastAsia" w:cstheme="majorBidi"/>
          <w:b/>
          <w:bCs/>
          <w:smallCaps/>
          <w:color w:val="2E74B5" w:themeColor="accent1" w:themeShade="BF"/>
          <w:kern w:val="28"/>
          <w:sz w:val="36"/>
          <w:szCs w:val="40"/>
          <w:lang w:val="fr-FR"/>
        </w:rPr>
      </w:pPr>
    </w:p>
    <w:p w:rsidR="00666794" w:rsidRPr="00EB5E06" w:rsidRDefault="00666794" w:rsidP="00666794">
      <w:pPr>
        <w:pBdr>
          <w:bottom w:val="single" w:sz="8" w:space="4" w:color="5B9BD5" w:themeColor="accent1"/>
        </w:pBdr>
        <w:spacing w:before="0" w:after="300" w:line="240" w:lineRule="auto"/>
        <w:ind w:left="360" w:hanging="360"/>
        <w:contextualSpacing/>
        <w:rPr>
          <w:rFonts w:eastAsiaTheme="majorEastAsia" w:cstheme="majorBidi"/>
          <w:b/>
          <w:bCs/>
          <w:smallCaps/>
          <w:color w:val="2E74B5" w:themeColor="accent1" w:themeShade="BF"/>
          <w:kern w:val="28"/>
          <w:sz w:val="28"/>
          <w:szCs w:val="40"/>
          <w:lang w:val="fr-FR"/>
        </w:rPr>
      </w:pPr>
      <w:r w:rsidRPr="00EB5E06">
        <w:rPr>
          <w:rFonts w:eastAsiaTheme="majorEastAsia" w:cstheme="majorBidi"/>
          <w:b/>
          <w:bCs/>
          <w:smallCaps/>
          <w:color w:val="2E74B5" w:themeColor="accent1" w:themeShade="BF"/>
          <w:kern w:val="28"/>
          <w:sz w:val="28"/>
          <w:szCs w:val="40"/>
          <w:lang w:val="fr-FR"/>
        </w:rPr>
        <w:t>Contribution du Luxembourg</w:t>
      </w:r>
    </w:p>
    <w:p w:rsidR="00666794" w:rsidRDefault="00666794" w:rsidP="0075165B">
      <w:pPr>
        <w:pBdr>
          <w:bottom w:val="single" w:sz="8" w:space="4" w:color="5B9BD5" w:themeColor="accent1"/>
        </w:pBdr>
        <w:spacing w:before="0" w:after="300" w:line="240" w:lineRule="auto"/>
        <w:ind w:left="360" w:hanging="360"/>
        <w:contextualSpacing/>
        <w:rPr>
          <w:rFonts w:eastAsiaTheme="majorEastAsia" w:cstheme="majorBidi"/>
          <w:b/>
          <w:bCs/>
          <w:smallCaps/>
          <w:color w:val="2E74B5" w:themeColor="accent1" w:themeShade="BF"/>
          <w:kern w:val="28"/>
          <w:sz w:val="40"/>
          <w:szCs w:val="40"/>
          <w:lang w:val="fr-FR"/>
        </w:rPr>
      </w:pPr>
    </w:p>
    <w:p w:rsidR="00860426" w:rsidRDefault="00EB5E06" w:rsidP="00860426">
      <w:pPr>
        <w:pBdr>
          <w:bottom w:val="single" w:sz="8" w:space="4" w:color="5B9BD5" w:themeColor="accent1"/>
        </w:pBdr>
        <w:spacing w:before="0" w:after="300" w:line="240" w:lineRule="auto"/>
        <w:ind w:left="360" w:hanging="360"/>
        <w:contextualSpacing/>
        <w:rPr>
          <w:rFonts w:eastAsiaTheme="majorEastAsia" w:cstheme="majorBidi"/>
          <w:b/>
          <w:bCs/>
          <w:smallCaps/>
          <w:color w:val="2E74B5" w:themeColor="accent1" w:themeShade="BF"/>
          <w:kern w:val="28"/>
          <w:sz w:val="28"/>
          <w:szCs w:val="28"/>
          <w:lang w:val="fr-FR"/>
        </w:rPr>
      </w:pPr>
      <w:r w:rsidRPr="00CB1C67">
        <w:rPr>
          <w:rFonts w:eastAsiaTheme="majorEastAsia" w:cstheme="majorBidi"/>
          <w:b/>
          <w:bCs/>
          <w:smallCaps/>
          <w:color w:val="2E74B5" w:themeColor="accent1" w:themeShade="BF"/>
          <w:kern w:val="28"/>
          <w:sz w:val="28"/>
          <w:szCs w:val="28"/>
          <w:lang w:val="fr-FR"/>
        </w:rPr>
        <w:t xml:space="preserve"> </w:t>
      </w:r>
      <w:r w:rsidR="00860426" w:rsidRPr="00CB1C67">
        <w:rPr>
          <w:rFonts w:eastAsiaTheme="majorEastAsia" w:cstheme="majorBidi"/>
          <w:b/>
          <w:bCs/>
          <w:smallCaps/>
          <w:color w:val="2E74B5" w:themeColor="accent1" w:themeShade="BF"/>
          <w:kern w:val="28"/>
          <w:sz w:val="28"/>
          <w:szCs w:val="28"/>
          <w:lang w:val="fr-FR"/>
        </w:rPr>
        <w:t xml:space="preserve">« Thérapies de conversion » des personnes lesbiennes, gays, bisexuelles, </w:t>
      </w:r>
      <w:proofErr w:type="spellStart"/>
      <w:r w:rsidR="00860426" w:rsidRPr="00CB1C67">
        <w:rPr>
          <w:rFonts w:eastAsiaTheme="majorEastAsia" w:cstheme="majorBidi"/>
          <w:b/>
          <w:bCs/>
          <w:smallCaps/>
          <w:color w:val="2E74B5" w:themeColor="accent1" w:themeShade="BF"/>
          <w:kern w:val="28"/>
          <w:sz w:val="28"/>
          <w:szCs w:val="28"/>
          <w:lang w:val="fr-FR"/>
        </w:rPr>
        <w:t>trans</w:t>
      </w:r>
      <w:proofErr w:type="spellEnd"/>
      <w:r w:rsidR="00860426" w:rsidRPr="00CB1C67">
        <w:rPr>
          <w:rFonts w:eastAsiaTheme="majorEastAsia" w:cstheme="majorBidi"/>
          <w:b/>
          <w:bCs/>
          <w:smallCaps/>
          <w:color w:val="2E74B5" w:themeColor="accent1" w:themeShade="BF"/>
          <w:kern w:val="28"/>
          <w:sz w:val="28"/>
          <w:szCs w:val="28"/>
          <w:lang w:val="fr-FR"/>
        </w:rPr>
        <w:t xml:space="preserve"> et de genre</w:t>
      </w:r>
      <w:r w:rsidR="00635245" w:rsidRPr="00CB1C67">
        <w:rPr>
          <w:rFonts w:eastAsiaTheme="majorEastAsia" w:cstheme="majorBidi"/>
          <w:b/>
          <w:bCs/>
          <w:smallCaps/>
          <w:color w:val="2E74B5" w:themeColor="accent1" w:themeShade="BF"/>
          <w:kern w:val="28"/>
          <w:sz w:val="28"/>
          <w:szCs w:val="28"/>
          <w:lang w:val="fr-FR"/>
        </w:rPr>
        <w:t xml:space="preserve"> divers</w:t>
      </w:r>
    </w:p>
    <w:p w:rsidR="00EB5E06" w:rsidRPr="00CB1C67" w:rsidRDefault="00EB5E06" w:rsidP="00860426">
      <w:pPr>
        <w:pBdr>
          <w:bottom w:val="single" w:sz="8" w:space="4" w:color="5B9BD5" w:themeColor="accent1"/>
        </w:pBdr>
        <w:spacing w:before="0" w:after="300" w:line="240" w:lineRule="auto"/>
        <w:ind w:left="360" w:hanging="360"/>
        <w:contextualSpacing/>
        <w:rPr>
          <w:rFonts w:eastAsiaTheme="majorEastAsia" w:cstheme="majorBidi"/>
          <w:b/>
          <w:bCs/>
          <w:smallCaps/>
          <w:color w:val="2E74B5" w:themeColor="accent1" w:themeShade="BF"/>
          <w:kern w:val="28"/>
          <w:sz w:val="28"/>
          <w:szCs w:val="28"/>
          <w:lang w:val="fr-FR"/>
        </w:rPr>
      </w:pPr>
    </w:p>
    <w:p w:rsidR="00415823" w:rsidRDefault="00415823" w:rsidP="00A8118C">
      <w:pPr>
        <w:jc w:val="both"/>
        <w:rPr>
          <w:sz w:val="24"/>
          <w:szCs w:val="24"/>
          <w:lang w:val="fr-FR"/>
        </w:rPr>
      </w:pPr>
      <w:bookmarkStart w:id="0" w:name="_GoBack"/>
      <w:bookmarkEnd w:id="0"/>
    </w:p>
    <w:p w:rsidR="009C3A51" w:rsidRPr="009C3A51" w:rsidRDefault="009C3A51" w:rsidP="009C3A51">
      <w:pPr>
        <w:spacing w:line="240" w:lineRule="auto"/>
        <w:jc w:val="both"/>
        <w:rPr>
          <w:color w:val="0070C0"/>
          <w:sz w:val="22"/>
          <w:szCs w:val="24"/>
          <w:lang w:val="fr-FR"/>
        </w:rPr>
      </w:pPr>
      <w:r w:rsidRPr="005879C9">
        <w:rPr>
          <w:color w:val="0070C0"/>
          <w:sz w:val="22"/>
          <w:szCs w:val="24"/>
          <w:lang w:val="fr-FR"/>
        </w:rPr>
        <w:t xml:space="preserve">Q1 - </w:t>
      </w:r>
      <w:r w:rsidRPr="009C3A51">
        <w:rPr>
          <w:color w:val="0070C0"/>
          <w:sz w:val="22"/>
          <w:szCs w:val="24"/>
          <w:lang w:val="fr-FR"/>
        </w:rPr>
        <w:t>Quelles sont les différentes pratique</w:t>
      </w:r>
      <w:r w:rsidRPr="005879C9">
        <w:rPr>
          <w:color w:val="0070C0"/>
          <w:sz w:val="22"/>
          <w:szCs w:val="24"/>
          <w:lang w:val="fr-FR"/>
        </w:rPr>
        <w:t>s qui entrent dans le champ des</w:t>
      </w:r>
      <w:r w:rsidRPr="009C3A51">
        <w:rPr>
          <w:color w:val="0070C0"/>
          <w:sz w:val="22"/>
          <w:szCs w:val="24"/>
          <w:lang w:val="fr-FR"/>
        </w:rPr>
        <w:t>dites « thérapie</w:t>
      </w:r>
      <w:r w:rsidRPr="005879C9">
        <w:rPr>
          <w:color w:val="0070C0"/>
          <w:sz w:val="22"/>
          <w:szCs w:val="24"/>
          <w:lang w:val="fr-FR"/>
        </w:rPr>
        <w:t>s</w:t>
      </w:r>
      <w:r w:rsidRPr="009C3A51">
        <w:rPr>
          <w:color w:val="0070C0"/>
          <w:sz w:val="22"/>
          <w:szCs w:val="24"/>
          <w:lang w:val="fr-FR"/>
        </w:rPr>
        <w:t xml:space="preserve"> de conversion » et quel est le dénominateur co</w:t>
      </w:r>
      <w:r w:rsidRPr="005879C9">
        <w:rPr>
          <w:color w:val="0070C0"/>
          <w:sz w:val="22"/>
          <w:szCs w:val="24"/>
          <w:lang w:val="fr-FR"/>
        </w:rPr>
        <w:t>mmun qui permet de les regrouper</w:t>
      </w:r>
      <w:r w:rsidRPr="009C3A51">
        <w:rPr>
          <w:color w:val="0070C0"/>
          <w:sz w:val="22"/>
          <w:szCs w:val="24"/>
          <w:lang w:val="fr-FR"/>
        </w:rPr>
        <w:t xml:space="preserve"> sous cette dénomination ? </w:t>
      </w:r>
    </w:p>
    <w:p w:rsidR="009C3A51" w:rsidRPr="009C3A51" w:rsidRDefault="009C3A51" w:rsidP="009C3A51">
      <w:pPr>
        <w:spacing w:before="0" w:after="160" w:line="259" w:lineRule="auto"/>
        <w:jc w:val="both"/>
        <w:rPr>
          <w:rFonts w:eastAsiaTheme="minorHAnsi" w:cstheme="minorHAnsi"/>
          <w:sz w:val="22"/>
          <w:szCs w:val="22"/>
          <w:lang w:val="fr-FR"/>
        </w:rPr>
      </w:pPr>
      <w:r w:rsidRPr="009C3A51">
        <w:rPr>
          <w:rFonts w:eastAsiaTheme="minorHAnsi" w:cstheme="minorHAnsi"/>
          <w:sz w:val="22"/>
          <w:szCs w:val="22"/>
          <w:lang w:val="fr-FR"/>
        </w:rPr>
        <w:t>Sous le terme de « thérapies de conversion</w:t>
      </w:r>
      <w:r w:rsidR="00626EF2" w:rsidRPr="005879C9">
        <w:rPr>
          <w:rFonts w:eastAsiaTheme="minorHAnsi" w:cstheme="minorHAnsi"/>
          <w:sz w:val="22"/>
          <w:szCs w:val="22"/>
          <w:lang w:val="fr-FR"/>
        </w:rPr>
        <w:t> » on</w:t>
      </w:r>
      <w:r w:rsidRPr="009C3A51">
        <w:rPr>
          <w:rFonts w:eastAsiaTheme="minorHAnsi" w:cstheme="minorHAnsi"/>
          <w:sz w:val="22"/>
          <w:szCs w:val="22"/>
          <w:lang w:val="fr-FR"/>
        </w:rPr>
        <w:t xml:space="preserve"> comprend des interventions psychologiques ou spirituelles censées changer l'orientation sexuelle ou l'identité de genre d'une personne, que ce soit par le biais d'une psychothérapie, de médicaments ou d'une combinaison des deux.</w:t>
      </w:r>
    </w:p>
    <w:p w:rsidR="00626EF2" w:rsidRDefault="00626EF2" w:rsidP="009C3A51">
      <w:pPr>
        <w:spacing w:line="240" w:lineRule="auto"/>
        <w:jc w:val="both"/>
        <w:rPr>
          <w:b/>
          <w:color w:val="0070C0"/>
          <w:sz w:val="24"/>
          <w:szCs w:val="24"/>
          <w:lang w:val="fr-FR"/>
        </w:rPr>
      </w:pPr>
    </w:p>
    <w:p w:rsidR="009C3A51" w:rsidRPr="005879C9" w:rsidRDefault="009C3A51" w:rsidP="009C3A51">
      <w:pPr>
        <w:spacing w:line="240" w:lineRule="auto"/>
        <w:jc w:val="both"/>
        <w:rPr>
          <w:color w:val="0070C0"/>
          <w:sz w:val="22"/>
          <w:szCs w:val="24"/>
          <w:lang w:val="fr-FR"/>
        </w:rPr>
      </w:pPr>
      <w:r w:rsidRPr="005879C9">
        <w:rPr>
          <w:color w:val="0070C0"/>
          <w:sz w:val="22"/>
          <w:szCs w:val="24"/>
          <w:lang w:val="fr-FR"/>
        </w:rPr>
        <w:t xml:space="preserve">Q2- </w:t>
      </w:r>
      <w:r w:rsidRPr="009C3A51">
        <w:rPr>
          <w:color w:val="0070C0"/>
          <w:sz w:val="22"/>
          <w:szCs w:val="24"/>
          <w:lang w:val="fr-FR"/>
        </w:rPr>
        <w:t xml:space="preserve">Existe-t-il des définitions qui ont été adoptées ou sont utilisées par les Etats pour qualifier les « thérapies de conversion » ? </w:t>
      </w:r>
    </w:p>
    <w:p w:rsidR="00626EF2" w:rsidRPr="005879C9" w:rsidRDefault="00626EF2" w:rsidP="00626EF2">
      <w:pPr>
        <w:spacing w:line="240" w:lineRule="auto"/>
        <w:jc w:val="both"/>
        <w:rPr>
          <w:rFonts w:eastAsiaTheme="minorHAnsi" w:cstheme="minorHAnsi"/>
          <w:sz w:val="22"/>
          <w:szCs w:val="22"/>
          <w:lang w:val="fr-FR"/>
        </w:rPr>
      </w:pPr>
      <w:r w:rsidRPr="005879C9">
        <w:rPr>
          <w:rFonts w:eastAsiaTheme="minorHAnsi" w:cstheme="minorHAnsi"/>
          <w:sz w:val="22"/>
          <w:szCs w:val="22"/>
          <w:lang w:val="fr-FR"/>
        </w:rPr>
        <w:t>L’expression « thérapies de conversion » n’est actuellement pas définie par l’État luxembourgeois.</w:t>
      </w:r>
    </w:p>
    <w:p w:rsidR="009C3A51" w:rsidRPr="009C3A51" w:rsidRDefault="009C3A51" w:rsidP="009C3A51">
      <w:pPr>
        <w:spacing w:before="0" w:after="160" w:line="259" w:lineRule="auto"/>
        <w:jc w:val="both"/>
        <w:rPr>
          <w:rFonts w:eastAsiaTheme="minorHAnsi" w:cstheme="minorHAnsi"/>
          <w:color w:val="393939"/>
          <w:sz w:val="22"/>
          <w:szCs w:val="22"/>
          <w:lang w:val="fr-FR"/>
        </w:rPr>
      </w:pPr>
    </w:p>
    <w:p w:rsidR="009C3A51" w:rsidRPr="005879C9" w:rsidRDefault="009C3A51" w:rsidP="00626EF2">
      <w:pPr>
        <w:spacing w:line="240" w:lineRule="auto"/>
        <w:jc w:val="both"/>
        <w:rPr>
          <w:color w:val="0070C0"/>
          <w:sz w:val="22"/>
          <w:szCs w:val="24"/>
          <w:lang w:val="fr-FR"/>
        </w:rPr>
      </w:pPr>
      <w:r w:rsidRPr="005879C9">
        <w:rPr>
          <w:color w:val="0070C0"/>
          <w:sz w:val="22"/>
          <w:szCs w:val="24"/>
          <w:lang w:val="fr-FR"/>
        </w:rPr>
        <w:t xml:space="preserve">Q3- </w:t>
      </w:r>
      <w:r w:rsidRPr="009C3A51">
        <w:rPr>
          <w:color w:val="0070C0"/>
          <w:sz w:val="22"/>
          <w:szCs w:val="24"/>
          <w:lang w:val="fr-FR"/>
        </w:rPr>
        <w:t>Quels sont les efforts</w:t>
      </w:r>
      <w:r w:rsidRPr="005879C9">
        <w:rPr>
          <w:color w:val="0070C0"/>
          <w:sz w:val="22"/>
          <w:szCs w:val="24"/>
          <w:lang w:val="fr-FR"/>
        </w:rPr>
        <w:t xml:space="preserve"> déployés actuellement par les É</w:t>
      </w:r>
      <w:r w:rsidRPr="009C3A51">
        <w:rPr>
          <w:color w:val="0070C0"/>
          <w:sz w:val="22"/>
          <w:szCs w:val="24"/>
          <w:lang w:val="fr-FR"/>
        </w:rPr>
        <w:t>tats pour améliorer leur connaissance des pratiques</w:t>
      </w:r>
      <w:r w:rsidR="00626EF2" w:rsidRPr="005879C9">
        <w:rPr>
          <w:color w:val="0070C0"/>
          <w:sz w:val="22"/>
          <w:szCs w:val="24"/>
          <w:lang w:val="fr-FR"/>
        </w:rPr>
        <w:t xml:space="preserve"> dits « thérapies de conversion » </w:t>
      </w:r>
      <w:r w:rsidRPr="009C3A51">
        <w:rPr>
          <w:color w:val="0070C0"/>
          <w:sz w:val="22"/>
          <w:szCs w:val="24"/>
          <w:lang w:val="fr-FR"/>
        </w:rPr>
        <w:t>? Des efforts sont-ils déployés pour collecter de l’information et des données sur ces pratiques ?</w:t>
      </w:r>
    </w:p>
    <w:p w:rsidR="00A11E41" w:rsidRPr="008B222F" w:rsidRDefault="00A11E41" w:rsidP="00FD4377">
      <w:pPr>
        <w:spacing w:before="0" w:after="160" w:line="240" w:lineRule="auto"/>
        <w:jc w:val="both"/>
        <w:rPr>
          <w:rFonts w:eastAsiaTheme="minorHAnsi" w:cstheme="minorHAnsi"/>
          <w:sz w:val="22"/>
          <w:szCs w:val="22"/>
          <w:lang w:val="fr-FR"/>
        </w:rPr>
      </w:pPr>
      <w:r w:rsidRPr="008B222F">
        <w:rPr>
          <w:rFonts w:eastAsiaTheme="minorHAnsi" w:cstheme="minorHAnsi"/>
          <w:sz w:val="22"/>
          <w:szCs w:val="22"/>
          <w:lang w:val="fr-FR"/>
        </w:rPr>
        <w:t xml:space="preserve">Le comité </w:t>
      </w:r>
      <w:r w:rsidR="002C4F01">
        <w:rPr>
          <w:rFonts w:eastAsiaTheme="minorHAnsi" w:cstheme="minorHAnsi"/>
          <w:sz w:val="22"/>
          <w:szCs w:val="22"/>
          <w:lang w:val="fr-FR"/>
        </w:rPr>
        <w:t>pro</w:t>
      </w:r>
      <w:r w:rsidR="005879C9" w:rsidRPr="008B222F">
        <w:rPr>
          <w:rFonts w:eastAsiaTheme="minorHAnsi" w:cstheme="minorHAnsi"/>
          <w:sz w:val="22"/>
          <w:szCs w:val="22"/>
          <w:lang w:val="fr-FR"/>
        </w:rPr>
        <w:t>mou</w:t>
      </w:r>
      <w:r w:rsidR="00C65BF1" w:rsidRPr="008B222F">
        <w:rPr>
          <w:rFonts w:eastAsiaTheme="minorHAnsi" w:cstheme="minorHAnsi"/>
          <w:sz w:val="22"/>
          <w:szCs w:val="22"/>
          <w:lang w:val="fr-FR"/>
        </w:rPr>
        <w:t xml:space="preserve">vant les droits des personnes </w:t>
      </w:r>
      <w:r w:rsidRPr="008B222F">
        <w:rPr>
          <w:rFonts w:eastAsiaTheme="minorHAnsi" w:cstheme="minorHAnsi"/>
          <w:sz w:val="22"/>
          <w:szCs w:val="22"/>
          <w:lang w:val="fr-FR"/>
        </w:rPr>
        <w:t>LGBTI regroupant dix ministères, les institutions</w:t>
      </w:r>
      <w:r w:rsidR="00FD4377" w:rsidRPr="008B222F">
        <w:rPr>
          <w:rFonts w:eastAsiaTheme="minorHAnsi" w:cstheme="minorHAnsi"/>
          <w:sz w:val="22"/>
          <w:szCs w:val="22"/>
          <w:lang w:val="fr-FR"/>
        </w:rPr>
        <w:t xml:space="preserve"> nationales </w:t>
      </w:r>
      <w:r w:rsidRPr="008B222F">
        <w:rPr>
          <w:rFonts w:eastAsiaTheme="minorHAnsi" w:cstheme="minorHAnsi"/>
          <w:sz w:val="22"/>
          <w:szCs w:val="22"/>
          <w:lang w:val="fr-FR"/>
        </w:rPr>
        <w:t xml:space="preserve">des droits humains et la société civile a été saisi du présent appel à contribution. </w:t>
      </w:r>
      <w:r w:rsidR="00C65BF1" w:rsidRPr="008B222F">
        <w:rPr>
          <w:rFonts w:eastAsiaTheme="minorHAnsi" w:cstheme="minorHAnsi"/>
          <w:sz w:val="22"/>
          <w:szCs w:val="22"/>
          <w:lang w:val="fr-FR"/>
        </w:rPr>
        <w:t>De plus, l</w:t>
      </w:r>
      <w:r w:rsidRPr="008B222F">
        <w:rPr>
          <w:rFonts w:eastAsiaTheme="minorHAnsi" w:cstheme="minorHAnsi"/>
          <w:sz w:val="22"/>
          <w:szCs w:val="22"/>
          <w:lang w:val="fr-FR"/>
        </w:rPr>
        <w:t xml:space="preserve">e comité se penchera sur la question </w:t>
      </w:r>
      <w:r w:rsidR="002C4F01">
        <w:rPr>
          <w:rFonts w:eastAsiaTheme="minorHAnsi" w:cstheme="minorHAnsi"/>
          <w:sz w:val="22"/>
          <w:szCs w:val="22"/>
          <w:lang w:val="fr-FR"/>
        </w:rPr>
        <w:t>lors de sa première réunion en</w:t>
      </w:r>
      <w:r w:rsidRPr="008B222F">
        <w:rPr>
          <w:rFonts w:eastAsiaTheme="minorHAnsi" w:cstheme="minorHAnsi"/>
          <w:sz w:val="22"/>
          <w:szCs w:val="22"/>
          <w:lang w:val="fr-FR"/>
        </w:rPr>
        <w:t xml:space="preserve"> 2020.</w:t>
      </w:r>
    </w:p>
    <w:p w:rsidR="0084163B" w:rsidRPr="008B222F" w:rsidRDefault="009C3A51" w:rsidP="00FD4377">
      <w:pPr>
        <w:spacing w:line="240" w:lineRule="auto"/>
        <w:jc w:val="both"/>
        <w:rPr>
          <w:rFonts w:eastAsiaTheme="minorHAnsi"/>
          <w:sz w:val="22"/>
          <w:lang w:val="fr-LU"/>
        </w:rPr>
      </w:pPr>
      <w:r w:rsidRPr="009C3A51">
        <w:rPr>
          <w:rFonts w:eastAsiaTheme="minorHAnsi" w:cstheme="minorHAnsi"/>
          <w:sz w:val="22"/>
          <w:szCs w:val="22"/>
          <w:lang w:val="fr-FR"/>
        </w:rPr>
        <w:t xml:space="preserve">Actuellement, il n’existe </w:t>
      </w:r>
      <w:r w:rsidR="00626EF2" w:rsidRPr="008B222F">
        <w:rPr>
          <w:rFonts w:eastAsiaTheme="minorHAnsi" w:cstheme="minorHAnsi"/>
          <w:sz w:val="22"/>
          <w:szCs w:val="22"/>
          <w:lang w:val="fr-FR"/>
        </w:rPr>
        <w:t xml:space="preserve">pas de collecte </w:t>
      </w:r>
      <w:r w:rsidR="00FD4377" w:rsidRPr="008B222F">
        <w:rPr>
          <w:rFonts w:eastAsiaTheme="minorHAnsi" w:cstheme="minorHAnsi"/>
          <w:sz w:val="22"/>
          <w:szCs w:val="22"/>
          <w:lang w:val="fr-FR"/>
        </w:rPr>
        <w:t xml:space="preserve">systématique </w:t>
      </w:r>
      <w:r w:rsidR="00626EF2" w:rsidRPr="008B222F">
        <w:rPr>
          <w:rFonts w:eastAsiaTheme="minorHAnsi" w:cstheme="minorHAnsi"/>
          <w:sz w:val="22"/>
          <w:szCs w:val="22"/>
          <w:lang w:val="fr-FR"/>
        </w:rPr>
        <w:t>d’information</w:t>
      </w:r>
      <w:r w:rsidR="00FD4377" w:rsidRPr="008B222F">
        <w:rPr>
          <w:rFonts w:eastAsiaTheme="minorHAnsi" w:cstheme="minorHAnsi"/>
          <w:sz w:val="22"/>
          <w:szCs w:val="22"/>
          <w:lang w:val="fr-FR"/>
        </w:rPr>
        <w:t>s</w:t>
      </w:r>
      <w:r w:rsidR="00626EF2" w:rsidRPr="008B222F">
        <w:rPr>
          <w:rFonts w:eastAsiaTheme="minorHAnsi" w:cstheme="minorHAnsi"/>
          <w:sz w:val="22"/>
          <w:szCs w:val="22"/>
          <w:lang w:val="fr-FR"/>
        </w:rPr>
        <w:t xml:space="preserve"> et de données sur</w:t>
      </w:r>
      <w:r w:rsidR="00FD4377" w:rsidRPr="008B222F">
        <w:rPr>
          <w:rFonts w:eastAsiaTheme="minorHAnsi" w:cstheme="minorHAnsi"/>
          <w:sz w:val="22"/>
          <w:szCs w:val="22"/>
          <w:lang w:val="fr-FR"/>
        </w:rPr>
        <w:t xml:space="preserve"> l</w:t>
      </w:r>
      <w:r w:rsidR="00626EF2" w:rsidRPr="009C3A51">
        <w:rPr>
          <w:rFonts w:eastAsiaTheme="minorHAnsi" w:cstheme="minorHAnsi"/>
          <w:sz w:val="22"/>
          <w:szCs w:val="22"/>
          <w:lang w:val="fr-FR"/>
        </w:rPr>
        <w:t>es pratiques</w:t>
      </w:r>
      <w:r w:rsidR="00FD4377" w:rsidRPr="008B222F">
        <w:rPr>
          <w:rFonts w:eastAsiaTheme="minorHAnsi" w:cstheme="minorHAnsi"/>
          <w:sz w:val="22"/>
          <w:szCs w:val="22"/>
          <w:lang w:val="fr-FR"/>
        </w:rPr>
        <w:t xml:space="preserve"> dites « thérapies de conversion »</w:t>
      </w:r>
      <w:r w:rsidR="00626EF2" w:rsidRPr="008B222F">
        <w:rPr>
          <w:rFonts w:eastAsiaTheme="minorHAnsi" w:cstheme="minorHAnsi"/>
          <w:sz w:val="22"/>
          <w:szCs w:val="22"/>
          <w:lang w:val="fr-FR"/>
        </w:rPr>
        <w:t xml:space="preserve">. Le Plan d’action national LGBTI prévoit dans son troisième chapitre de mener une étude sur les besoins de santé des personnes LGBTI (action n°2). Des questions </w:t>
      </w:r>
      <w:r w:rsidR="00C65BF1" w:rsidRPr="008B222F">
        <w:rPr>
          <w:rFonts w:eastAsiaTheme="minorHAnsi" w:cstheme="minorHAnsi"/>
          <w:sz w:val="22"/>
          <w:szCs w:val="22"/>
          <w:lang w:val="fr-FR"/>
        </w:rPr>
        <w:t>relatives aux « </w:t>
      </w:r>
      <w:r w:rsidR="00A11E41" w:rsidRPr="008B222F">
        <w:rPr>
          <w:rFonts w:eastAsiaTheme="minorHAnsi" w:cstheme="minorHAnsi"/>
          <w:sz w:val="22"/>
          <w:szCs w:val="22"/>
          <w:lang w:val="fr-FR"/>
        </w:rPr>
        <w:t>thérapies de conversion</w:t>
      </w:r>
      <w:r w:rsidR="00C65BF1" w:rsidRPr="008B222F">
        <w:rPr>
          <w:rFonts w:eastAsiaTheme="minorHAnsi" w:cstheme="minorHAnsi"/>
          <w:sz w:val="22"/>
          <w:szCs w:val="22"/>
          <w:lang w:val="fr-FR"/>
        </w:rPr>
        <w:t> »</w:t>
      </w:r>
      <w:r w:rsidR="00A11E41" w:rsidRPr="008B222F">
        <w:rPr>
          <w:rFonts w:eastAsiaTheme="minorHAnsi" w:cstheme="minorHAnsi"/>
          <w:sz w:val="22"/>
          <w:szCs w:val="22"/>
          <w:lang w:val="fr-FR"/>
        </w:rPr>
        <w:t xml:space="preserve"> pourraient </w:t>
      </w:r>
      <w:r w:rsidR="00C65BF1" w:rsidRPr="008B222F">
        <w:rPr>
          <w:rFonts w:eastAsiaTheme="minorHAnsi" w:cstheme="minorHAnsi"/>
          <w:sz w:val="22"/>
          <w:szCs w:val="22"/>
          <w:lang w:val="fr-FR"/>
        </w:rPr>
        <w:t xml:space="preserve">éventuellement </w:t>
      </w:r>
      <w:r w:rsidR="00A11E41" w:rsidRPr="008B222F">
        <w:rPr>
          <w:rFonts w:eastAsiaTheme="minorHAnsi" w:cstheme="minorHAnsi"/>
          <w:sz w:val="22"/>
          <w:szCs w:val="22"/>
          <w:lang w:val="fr-FR"/>
        </w:rPr>
        <w:t>y être intégrés.</w:t>
      </w:r>
      <w:r w:rsidR="00C65BF1" w:rsidRPr="008B222F">
        <w:rPr>
          <w:rFonts w:eastAsiaTheme="minorHAnsi" w:cstheme="minorHAnsi"/>
          <w:sz w:val="22"/>
          <w:szCs w:val="22"/>
          <w:lang w:val="fr-FR"/>
        </w:rPr>
        <w:t xml:space="preserve"> </w:t>
      </w:r>
      <w:r w:rsidR="003E68E6" w:rsidRPr="008B222F">
        <w:rPr>
          <w:rFonts w:eastAsiaTheme="minorHAnsi" w:cstheme="minorHAnsi"/>
          <w:sz w:val="22"/>
          <w:szCs w:val="22"/>
          <w:lang w:val="fr-FR"/>
        </w:rPr>
        <w:t xml:space="preserve">Aussi, </w:t>
      </w:r>
      <w:r w:rsidR="003E68E6" w:rsidRPr="008B222F">
        <w:rPr>
          <w:sz w:val="22"/>
          <w:lang w:val="fr-LU"/>
        </w:rPr>
        <w:t>i</w:t>
      </w:r>
      <w:r w:rsidR="0084163B" w:rsidRPr="008B222F">
        <w:rPr>
          <w:sz w:val="22"/>
          <w:lang w:val="fr-LU"/>
        </w:rPr>
        <w:t xml:space="preserve">l existe deux types d’études qui </w:t>
      </w:r>
      <w:r w:rsidR="0084163B" w:rsidRPr="008B222F">
        <w:rPr>
          <w:i/>
          <w:sz w:val="22"/>
          <w:lang w:val="fr-LU"/>
        </w:rPr>
        <w:t>pourraient</w:t>
      </w:r>
      <w:r w:rsidR="0084163B" w:rsidRPr="008B222F">
        <w:rPr>
          <w:sz w:val="22"/>
          <w:lang w:val="fr-LU"/>
        </w:rPr>
        <w:t xml:space="preserve"> recenser ce type d’informations et de données</w:t>
      </w:r>
      <w:r w:rsidR="003E68E6" w:rsidRPr="008B222F">
        <w:rPr>
          <w:sz w:val="22"/>
          <w:lang w:val="fr-LU"/>
        </w:rPr>
        <w:t xml:space="preserve"> dans le domaine de l’enfance et de la jeunesse</w:t>
      </w:r>
      <w:r w:rsidR="0084163B" w:rsidRPr="008B222F">
        <w:rPr>
          <w:sz w:val="22"/>
          <w:lang w:val="fr-LU"/>
        </w:rPr>
        <w:t>, mais qui actuellement ne sont pas prévues dans le cahier des charges:</w:t>
      </w:r>
    </w:p>
    <w:p w:rsidR="0084163B" w:rsidRPr="00FD4377" w:rsidRDefault="0084163B" w:rsidP="00FD4377">
      <w:pPr>
        <w:pStyle w:val="ListParagraph"/>
        <w:numPr>
          <w:ilvl w:val="0"/>
          <w:numId w:val="10"/>
        </w:numPr>
        <w:spacing w:before="0" w:after="160" w:line="240" w:lineRule="auto"/>
        <w:jc w:val="both"/>
        <w:rPr>
          <w:sz w:val="22"/>
          <w:lang w:val="fr-LU"/>
        </w:rPr>
      </w:pPr>
      <w:proofErr w:type="gramStart"/>
      <w:r w:rsidRPr="00FD4377">
        <w:rPr>
          <w:sz w:val="22"/>
          <w:lang w:val="fr-LU"/>
        </w:rPr>
        <w:t>l’étude</w:t>
      </w:r>
      <w:proofErr w:type="gramEnd"/>
      <w:r w:rsidRPr="00FD4377">
        <w:rPr>
          <w:sz w:val="22"/>
          <w:lang w:val="fr-LU"/>
        </w:rPr>
        <w:t xml:space="preserve"> HBSC « </w:t>
      </w:r>
      <w:proofErr w:type="spellStart"/>
      <w:r w:rsidRPr="00FD4377">
        <w:rPr>
          <w:sz w:val="22"/>
          <w:lang w:val="fr-LU"/>
        </w:rPr>
        <w:t>Health</w:t>
      </w:r>
      <w:proofErr w:type="spellEnd"/>
      <w:r w:rsidRPr="00FD4377">
        <w:rPr>
          <w:sz w:val="22"/>
          <w:lang w:val="fr-LU"/>
        </w:rPr>
        <w:t xml:space="preserve"> </w:t>
      </w:r>
      <w:proofErr w:type="spellStart"/>
      <w:r w:rsidRPr="00FD4377">
        <w:rPr>
          <w:sz w:val="22"/>
          <w:lang w:val="fr-LU"/>
        </w:rPr>
        <w:t>Behaviour</w:t>
      </w:r>
      <w:proofErr w:type="spellEnd"/>
      <w:r w:rsidRPr="00FD4377">
        <w:rPr>
          <w:sz w:val="22"/>
          <w:lang w:val="fr-LU"/>
        </w:rPr>
        <w:t xml:space="preserve"> in </w:t>
      </w:r>
      <w:proofErr w:type="spellStart"/>
      <w:r w:rsidRPr="00FD4377">
        <w:rPr>
          <w:sz w:val="22"/>
          <w:lang w:val="fr-LU"/>
        </w:rPr>
        <w:t>School-aged</w:t>
      </w:r>
      <w:proofErr w:type="spellEnd"/>
      <w:r w:rsidRPr="00FD4377">
        <w:rPr>
          <w:sz w:val="22"/>
          <w:lang w:val="fr-LU"/>
        </w:rPr>
        <w:t xml:space="preserve"> </w:t>
      </w:r>
      <w:proofErr w:type="spellStart"/>
      <w:r w:rsidRPr="00FD4377">
        <w:rPr>
          <w:sz w:val="22"/>
          <w:lang w:val="fr-LU"/>
        </w:rPr>
        <w:t>Children</w:t>
      </w:r>
      <w:proofErr w:type="spellEnd"/>
      <w:r w:rsidRPr="00FD4377">
        <w:rPr>
          <w:sz w:val="22"/>
          <w:lang w:val="fr-LU"/>
        </w:rPr>
        <w:t xml:space="preserve"> » est une collaboration internationale de recherche créée en 1982 qui vise à étudier les comportements de santé des enfants et des adolescents en âge scolaire, avec le soutien de l’Organisation Mondiale de la</w:t>
      </w:r>
      <w:r w:rsidR="003E68E6">
        <w:rPr>
          <w:sz w:val="22"/>
          <w:lang w:val="fr-LU"/>
        </w:rPr>
        <w:t xml:space="preserve"> Santé (OMS),</w:t>
      </w:r>
    </w:p>
    <w:p w:rsidR="0084163B" w:rsidRPr="00FD4377" w:rsidRDefault="0084163B" w:rsidP="00EB5E06">
      <w:pPr>
        <w:pStyle w:val="ListParagraph"/>
        <w:numPr>
          <w:ilvl w:val="0"/>
          <w:numId w:val="10"/>
        </w:numPr>
        <w:spacing w:before="240" w:after="160" w:line="240" w:lineRule="auto"/>
        <w:ind w:left="714" w:hanging="357"/>
        <w:contextualSpacing w:val="0"/>
        <w:jc w:val="both"/>
        <w:rPr>
          <w:sz w:val="22"/>
          <w:lang w:val="fr-LU"/>
        </w:rPr>
      </w:pPr>
      <w:r w:rsidRPr="00FD4377">
        <w:rPr>
          <w:sz w:val="22"/>
          <w:lang w:val="fr-LU"/>
        </w:rPr>
        <w:t xml:space="preserve">Le Rapport national sur la situation de la Jeunesse au </w:t>
      </w:r>
      <w:r w:rsidR="003E68E6">
        <w:rPr>
          <w:sz w:val="22"/>
          <w:lang w:val="fr-LU"/>
        </w:rPr>
        <w:t>Luxembourg.</w:t>
      </w:r>
    </w:p>
    <w:p w:rsidR="00626EF2" w:rsidRDefault="00626EF2" w:rsidP="009C3A51">
      <w:pPr>
        <w:spacing w:before="0" w:after="160" w:line="240" w:lineRule="auto"/>
        <w:contextualSpacing/>
        <w:jc w:val="both"/>
        <w:rPr>
          <w:b/>
          <w:color w:val="0070C0"/>
          <w:sz w:val="24"/>
          <w:szCs w:val="24"/>
          <w:lang w:val="fr-FR"/>
        </w:rPr>
      </w:pPr>
    </w:p>
    <w:p w:rsidR="009C3A51" w:rsidRPr="005879C9" w:rsidRDefault="009C3A51" w:rsidP="009C3A51">
      <w:pPr>
        <w:spacing w:before="0" w:after="160" w:line="240" w:lineRule="auto"/>
        <w:contextualSpacing/>
        <w:jc w:val="both"/>
        <w:rPr>
          <w:color w:val="0070C0"/>
          <w:sz w:val="22"/>
          <w:szCs w:val="24"/>
          <w:lang w:val="fr-FR"/>
        </w:rPr>
      </w:pPr>
      <w:r w:rsidRPr="005879C9">
        <w:rPr>
          <w:color w:val="0070C0"/>
          <w:sz w:val="22"/>
          <w:szCs w:val="24"/>
          <w:lang w:val="fr-FR"/>
        </w:rPr>
        <w:lastRenderedPageBreak/>
        <w:t xml:space="preserve">Q4- </w:t>
      </w:r>
      <w:r w:rsidRPr="009C3A51">
        <w:rPr>
          <w:color w:val="0070C0"/>
          <w:sz w:val="22"/>
          <w:szCs w:val="24"/>
          <w:lang w:val="fr-FR"/>
        </w:rPr>
        <w:t>Quel type d’informations et de données les Etats collectent-ils pour comprendre la nature et l’étendue des « thérapies de conversion » (par exemple au travers d’inspections, d’enquêtes, ou de sondages) ?</w:t>
      </w:r>
    </w:p>
    <w:p w:rsidR="009C3A51" w:rsidRPr="009C3A51" w:rsidRDefault="009C3A51" w:rsidP="009C3A51">
      <w:pPr>
        <w:spacing w:before="0" w:after="160" w:line="259" w:lineRule="auto"/>
        <w:contextualSpacing/>
        <w:jc w:val="both"/>
        <w:rPr>
          <w:rFonts w:eastAsiaTheme="minorHAnsi" w:cstheme="minorHAnsi"/>
          <w:color w:val="393939"/>
          <w:sz w:val="22"/>
          <w:szCs w:val="22"/>
          <w:lang w:val="fr-FR"/>
        </w:rPr>
      </w:pPr>
    </w:p>
    <w:p w:rsidR="003E68E6" w:rsidRPr="008B222F" w:rsidRDefault="003E68E6" w:rsidP="009C3A51">
      <w:pPr>
        <w:spacing w:before="0" w:after="160" w:line="259" w:lineRule="auto"/>
        <w:jc w:val="both"/>
        <w:rPr>
          <w:rFonts w:eastAsiaTheme="minorHAnsi" w:cstheme="minorHAnsi"/>
          <w:sz w:val="22"/>
          <w:szCs w:val="22"/>
          <w:lang w:val="fr-FR"/>
        </w:rPr>
      </w:pPr>
      <w:r w:rsidRPr="009C3A51">
        <w:rPr>
          <w:rFonts w:eastAsiaTheme="minorHAnsi" w:cstheme="minorHAnsi"/>
          <w:sz w:val="22"/>
          <w:szCs w:val="22"/>
          <w:lang w:val="fr-FR"/>
        </w:rPr>
        <w:t xml:space="preserve">Actuellement, il n’existe </w:t>
      </w:r>
      <w:r w:rsidRPr="008B222F">
        <w:rPr>
          <w:rFonts w:eastAsiaTheme="minorHAnsi" w:cstheme="minorHAnsi"/>
          <w:sz w:val="22"/>
          <w:szCs w:val="22"/>
          <w:lang w:val="fr-FR"/>
        </w:rPr>
        <w:t>pas de collecte systématique d’informations et de données sur l</w:t>
      </w:r>
      <w:r w:rsidRPr="009C3A51">
        <w:rPr>
          <w:rFonts w:eastAsiaTheme="minorHAnsi" w:cstheme="minorHAnsi"/>
          <w:sz w:val="22"/>
          <w:szCs w:val="22"/>
          <w:lang w:val="fr-FR"/>
        </w:rPr>
        <w:t>es pratiques</w:t>
      </w:r>
      <w:r w:rsidRPr="008B222F">
        <w:rPr>
          <w:rFonts w:eastAsiaTheme="minorHAnsi" w:cstheme="minorHAnsi"/>
          <w:sz w:val="22"/>
          <w:szCs w:val="22"/>
          <w:lang w:val="fr-FR"/>
        </w:rPr>
        <w:t xml:space="preserve"> </w:t>
      </w:r>
      <w:r w:rsidR="00682426">
        <w:rPr>
          <w:rFonts w:eastAsiaTheme="minorHAnsi" w:cstheme="minorHAnsi"/>
          <w:sz w:val="22"/>
          <w:szCs w:val="22"/>
          <w:lang w:val="fr-FR"/>
        </w:rPr>
        <w:t>appelées</w:t>
      </w:r>
      <w:r w:rsidRPr="008B222F">
        <w:rPr>
          <w:rFonts w:eastAsiaTheme="minorHAnsi" w:cstheme="minorHAnsi"/>
          <w:sz w:val="22"/>
          <w:szCs w:val="22"/>
          <w:lang w:val="fr-FR"/>
        </w:rPr>
        <w:t xml:space="preserve"> « thérapies de conversion ».</w:t>
      </w:r>
    </w:p>
    <w:p w:rsidR="009C3A51" w:rsidRPr="009C3A51" w:rsidRDefault="003E68E6" w:rsidP="009C3A51">
      <w:pPr>
        <w:spacing w:before="0" w:after="160" w:line="259" w:lineRule="auto"/>
        <w:jc w:val="both"/>
        <w:rPr>
          <w:rFonts w:eastAsiaTheme="minorHAnsi" w:cstheme="minorHAnsi"/>
          <w:color w:val="393939"/>
          <w:sz w:val="22"/>
          <w:szCs w:val="22"/>
          <w:lang w:val="fr-FR"/>
        </w:rPr>
      </w:pPr>
      <w:r w:rsidRPr="009C3A51">
        <w:rPr>
          <w:rFonts w:eastAsiaTheme="minorHAnsi" w:cstheme="minorHAnsi"/>
          <w:color w:val="393939"/>
          <w:sz w:val="22"/>
          <w:szCs w:val="22"/>
          <w:lang w:val="fr-FR"/>
        </w:rPr>
        <w:t xml:space="preserve"> </w:t>
      </w:r>
    </w:p>
    <w:p w:rsidR="009C3A51" w:rsidRPr="005879C9" w:rsidRDefault="009C3A51" w:rsidP="009C3A51">
      <w:pPr>
        <w:spacing w:before="0" w:after="160" w:line="259" w:lineRule="auto"/>
        <w:contextualSpacing/>
        <w:jc w:val="both"/>
        <w:rPr>
          <w:color w:val="0070C0"/>
          <w:sz w:val="22"/>
          <w:szCs w:val="24"/>
          <w:lang w:val="fr-FR"/>
        </w:rPr>
      </w:pPr>
      <w:r w:rsidRPr="005879C9">
        <w:rPr>
          <w:color w:val="0070C0"/>
          <w:sz w:val="22"/>
          <w:szCs w:val="24"/>
          <w:lang w:val="fr-FR"/>
        </w:rPr>
        <w:t xml:space="preserve">Q5- </w:t>
      </w:r>
      <w:r w:rsidRPr="009C3A51">
        <w:rPr>
          <w:color w:val="0070C0"/>
          <w:sz w:val="22"/>
          <w:szCs w:val="24"/>
          <w:lang w:val="fr-FR"/>
        </w:rPr>
        <w:t>Est-ce que les risques associés aux pratiques dites « thérapies de conversion » ont été identifiés ?</w:t>
      </w:r>
    </w:p>
    <w:p w:rsidR="009C3A51" w:rsidRPr="009C3A51" w:rsidRDefault="009C3A51" w:rsidP="009C3A51">
      <w:pPr>
        <w:spacing w:before="0" w:after="160" w:line="259" w:lineRule="auto"/>
        <w:contextualSpacing/>
        <w:jc w:val="both"/>
        <w:rPr>
          <w:rFonts w:eastAsiaTheme="minorHAnsi" w:cstheme="minorHAnsi"/>
          <w:color w:val="393939"/>
          <w:szCs w:val="22"/>
          <w:lang w:val="fr-FR"/>
        </w:rPr>
      </w:pPr>
    </w:p>
    <w:p w:rsidR="009C3A51" w:rsidRPr="009C3A51" w:rsidRDefault="009C3A51" w:rsidP="009C3A51">
      <w:pPr>
        <w:spacing w:before="0" w:after="160" w:line="259" w:lineRule="auto"/>
        <w:jc w:val="both"/>
        <w:rPr>
          <w:rFonts w:eastAsiaTheme="minorHAnsi" w:cstheme="minorHAnsi"/>
          <w:sz w:val="22"/>
          <w:szCs w:val="22"/>
          <w:lang w:val="fr-FR"/>
        </w:rPr>
      </w:pPr>
      <w:r w:rsidRPr="009C3A51">
        <w:rPr>
          <w:rFonts w:eastAsiaTheme="minorHAnsi" w:cstheme="minorHAnsi"/>
          <w:sz w:val="22"/>
          <w:szCs w:val="22"/>
          <w:lang w:val="fr-FR"/>
        </w:rPr>
        <w:t xml:space="preserve">Spécifiquement pour le Luxembourg, il n’existe pas d’identification des risques qui seraient associés à ces pratiques. </w:t>
      </w:r>
    </w:p>
    <w:p w:rsidR="009C3A51" w:rsidRPr="008B222F" w:rsidRDefault="009C3A51" w:rsidP="009C3A51">
      <w:pPr>
        <w:spacing w:before="0" w:after="160" w:line="259" w:lineRule="auto"/>
        <w:jc w:val="both"/>
        <w:rPr>
          <w:rFonts w:eastAsiaTheme="minorHAnsi" w:cstheme="minorHAnsi"/>
          <w:sz w:val="22"/>
          <w:szCs w:val="22"/>
          <w:lang w:val="fr-FR"/>
        </w:rPr>
      </w:pPr>
      <w:r w:rsidRPr="009C3A51">
        <w:rPr>
          <w:rFonts w:eastAsiaTheme="minorHAnsi" w:cstheme="minorHAnsi"/>
          <w:sz w:val="22"/>
          <w:szCs w:val="22"/>
          <w:lang w:val="fr-FR"/>
        </w:rPr>
        <w:t>De façon général</w:t>
      </w:r>
      <w:r w:rsidR="00DB2C80" w:rsidRPr="008B222F">
        <w:rPr>
          <w:rFonts w:eastAsiaTheme="minorHAnsi" w:cstheme="minorHAnsi"/>
          <w:sz w:val="22"/>
          <w:szCs w:val="22"/>
          <w:lang w:val="fr-FR"/>
        </w:rPr>
        <w:t>e</w:t>
      </w:r>
      <w:r w:rsidRPr="009C3A51">
        <w:rPr>
          <w:rFonts w:eastAsiaTheme="minorHAnsi" w:cstheme="minorHAnsi"/>
          <w:sz w:val="22"/>
          <w:szCs w:val="22"/>
          <w:lang w:val="fr-FR"/>
        </w:rPr>
        <w:t xml:space="preserve">, on peut partir du principe que des thérapies de ce type dites de conversion peuvent avoir avec une grande probabilité des conséquences négatives sur le psychisme de la personne concernée, avec expression de détresse psychique, de troubles anxieux, de dépression, voire de </w:t>
      </w:r>
      <w:proofErr w:type="spellStart"/>
      <w:r w:rsidRPr="009C3A51">
        <w:rPr>
          <w:rFonts w:eastAsiaTheme="minorHAnsi" w:cstheme="minorHAnsi"/>
          <w:sz w:val="22"/>
          <w:szCs w:val="22"/>
          <w:lang w:val="fr-FR"/>
        </w:rPr>
        <w:t>suicidalité</w:t>
      </w:r>
      <w:proofErr w:type="spellEnd"/>
      <w:r w:rsidRPr="009C3A51">
        <w:rPr>
          <w:rFonts w:eastAsiaTheme="minorHAnsi" w:cstheme="minorHAnsi"/>
          <w:sz w:val="22"/>
          <w:szCs w:val="22"/>
          <w:lang w:val="fr-FR"/>
        </w:rPr>
        <w:t xml:space="preserve"> latente chronique ou aigue, avec une construction identitaire d’échec personne</w:t>
      </w:r>
      <w:r w:rsidR="00DB2C80" w:rsidRPr="008B222F">
        <w:rPr>
          <w:rFonts w:eastAsiaTheme="minorHAnsi" w:cstheme="minorHAnsi"/>
          <w:sz w:val="22"/>
          <w:szCs w:val="22"/>
          <w:lang w:val="fr-FR"/>
        </w:rPr>
        <w:t>l</w:t>
      </w:r>
      <w:r w:rsidRPr="009C3A51">
        <w:rPr>
          <w:rFonts w:eastAsiaTheme="minorHAnsi" w:cstheme="minorHAnsi"/>
          <w:sz w:val="22"/>
          <w:szCs w:val="22"/>
          <w:lang w:val="fr-FR"/>
        </w:rPr>
        <w:t xml:space="preserve">, avec des difficultés à établir ou maintenir des relations stables avec dysfonctionnement sexuel. </w:t>
      </w:r>
    </w:p>
    <w:p w:rsidR="00DB2C80" w:rsidRPr="009C3A51" w:rsidRDefault="00DB2C80" w:rsidP="009C3A51">
      <w:pPr>
        <w:spacing w:before="0" w:after="160" w:line="259" w:lineRule="auto"/>
        <w:jc w:val="both"/>
        <w:rPr>
          <w:rFonts w:eastAsiaTheme="minorHAnsi" w:cstheme="minorHAnsi"/>
          <w:color w:val="393939"/>
          <w:sz w:val="22"/>
          <w:szCs w:val="22"/>
          <w:lang w:val="fr-FR"/>
        </w:rPr>
      </w:pPr>
    </w:p>
    <w:p w:rsidR="00333CCE" w:rsidRPr="00333CCE" w:rsidRDefault="00333CCE" w:rsidP="009C3A51">
      <w:pPr>
        <w:spacing w:line="240" w:lineRule="auto"/>
        <w:jc w:val="both"/>
        <w:rPr>
          <w:color w:val="0070C0"/>
          <w:sz w:val="22"/>
          <w:szCs w:val="24"/>
          <w:lang w:val="fr-FR"/>
        </w:rPr>
      </w:pPr>
      <w:r w:rsidRPr="005879C9">
        <w:rPr>
          <w:color w:val="0070C0"/>
          <w:sz w:val="22"/>
          <w:szCs w:val="24"/>
          <w:lang w:val="fr-FR"/>
        </w:rPr>
        <w:t>Q</w:t>
      </w:r>
      <w:r w:rsidR="009C3A51" w:rsidRPr="005879C9">
        <w:rPr>
          <w:color w:val="0070C0"/>
          <w:sz w:val="22"/>
          <w:szCs w:val="24"/>
          <w:lang w:val="fr-FR"/>
        </w:rPr>
        <w:t>6 - L’</w:t>
      </w:r>
      <w:r w:rsidRPr="00333CCE">
        <w:rPr>
          <w:color w:val="0070C0"/>
          <w:sz w:val="22"/>
          <w:szCs w:val="24"/>
          <w:lang w:val="fr-FR"/>
        </w:rPr>
        <w:t>État s’est-il prononcé sur les garanties considérées comme nécessaires et les garanties en place pour protéger les droits de l’homme des individus en relation avec les pratiques dites « thérapies de conversion » ? Cette question comprend les éléments suivants:</w:t>
      </w:r>
    </w:p>
    <w:p w:rsidR="009C3A51" w:rsidRPr="00333CCE" w:rsidRDefault="009C3A51" w:rsidP="00333CCE">
      <w:pPr>
        <w:spacing w:before="0" w:after="0" w:line="240" w:lineRule="auto"/>
        <w:contextualSpacing/>
        <w:rPr>
          <w:rFonts w:eastAsiaTheme="minorHAnsi"/>
          <w:b/>
          <w:sz w:val="22"/>
          <w:szCs w:val="22"/>
          <w:lang w:val="fr-FR"/>
        </w:rPr>
      </w:pPr>
    </w:p>
    <w:p w:rsidR="00333CCE" w:rsidRPr="004E4685" w:rsidRDefault="00333CCE" w:rsidP="00FD3732">
      <w:pPr>
        <w:numPr>
          <w:ilvl w:val="0"/>
          <w:numId w:val="7"/>
        </w:numPr>
        <w:spacing w:before="0" w:after="0" w:line="240" w:lineRule="auto"/>
        <w:contextualSpacing/>
        <w:jc w:val="both"/>
        <w:rPr>
          <w:rFonts w:eastAsiaTheme="minorHAnsi"/>
          <w:b/>
          <w:sz w:val="22"/>
          <w:szCs w:val="22"/>
          <w:lang w:val="fr-FR"/>
        </w:rPr>
      </w:pPr>
      <w:r w:rsidRPr="004E4685">
        <w:rPr>
          <w:rFonts w:eastAsiaTheme="minorHAnsi"/>
          <w:b/>
          <w:sz w:val="22"/>
          <w:szCs w:val="22"/>
          <w:lang w:val="fr-FR"/>
        </w:rPr>
        <w:t>Mesures de protection pour éviter que les personnes ne soient soumises à des « thérapies de conversion »</w:t>
      </w:r>
    </w:p>
    <w:p w:rsidR="00333CCE" w:rsidRPr="00333CCE" w:rsidRDefault="00333CCE" w:rsidP="00333CCE">
      <w:pPr>
        <w:spacing w:before="0" w:after="0" w:line="240" w:lineRule="auto"/>
        <w:ind w:left="720"/>
        <w:contextualSpacing/>
        <w:rPr>
          <w:rFonts w:eastAsiaTheme="minorHAnsi"/>
          <w:b/>
          <w:sz w:val="22"/>
          <w:szCs w:val="22"/>
          <w:lang w:val="fr-FR"/>
        </w:rPr>
      </w:pPr>
    </w:p>
    <w:p w:rsidR="00333CCE" w:rsidRPr="00333CCE" w:rsidRDefault="00333CCE" w:rsidP="002B41A6">
      <w:pPr>
        <w:numPr>
          <w:ilvl w:val="0"/>
          <w:numId w:val="11"/>
        </w:numPr>
        <w:spacing w:before="120" w:after="0" w:line="240" w:lineRule="auto"/>
        <w:ind w:left="714" w:hanging="357"/>
        <w:jc w:val="both"/>
        <w:rPr>
          <w:rFonts w:eastAsiaTheme="minorHAnsi"/>
          <w:sz w:val="22"/>
          <w:szCs w:val="22"/>
          <w:lang w:val="fr-FR"/>
        </w:rPr>
      </w:pPr>
      <w:r w:rsidRPr="00333CCE">
        <w:rPr>
          <w:rFonts w:eastAsiaTheme="minorHAnsi"/>
          <w:sz w:val="22"/>
          <w:szCs w:val="22"/>
          <w:lang w:val="fr-FR"/>
        </w:rPr>
        <w:t>L’interdiction des « thérapies de conversion »</w:t>
      </w:r>
      <w:r w:rsidR="00DF042B">
        <w:rPr>
          <w:rFonts w:eastAsiaTheme="minorHAnsi"/>
          <w:sz w:val="22"/>
          <w:szCs w:val="22"/>
          <w:lang w:val="fr-FR"/>
        </w:rPr>
        <w:t xml:space="preserve"> n’est </w:t>
      </w:r>
      <w:r w:rsidRPr="00333CCE">
        <w:rPr>
          <w:rFonts w:eastAsiaTheme="minorHAnsi"/>
          <w:sz w:val="22"/>
          <w:szCs w:val="22"/>
          <w:lang w:val="fr-FR"/>
        </w:rPr>
        <w:t xml:space="preserve">actuellement </w:t>
      </w:r>
      <w:r w:rsidR="00DF042B">
        <w:rPr>
          <w:rFonts w:eastAsiaTheme="minorHAnsi"/>
          <w:sz w:val="22"/>
          <w:szCs w:val="22"/>
          <w:lang w:val="fr-FR"/>
        </w:rPr>
        <w:t xml:space="preserve">pas </w:t>
      </w:r>
      <w:r w:rsidRPr="00333CCE">
        <w:rPr>
          <w:rFonts w:eastAsiaTheme="minorHAnsi"/>
          <w:sz w:val="22"/>
          <w:szCs w:val="22"/>
          <w:lang w:val="fr-FR"/>
        </w:rPr>
        <w:t xml:space="preserve">codifiée dans le droit luxembourgeois, mais les droits humains des individus sont protégés par des </w:t>
      </w:r>
      <w:r w:rsidRPr="00333CCE">
        <w:rPr>
          <w:rFonts w:eastAsiaTheme="minorHAnsi"/>
          <w:b/>
          <w:sz w:val="22"/>
          <w:szCs w:val="22"/>
          <w:lang w:val="fr-FR"/>
        </w:rPr>
        <w:t>lois relatives à la non-discrimination</w:t>
      </w:r>
      <w:r w:rsidRPr="00333CCE">
        <w:rPr>
          <w:rFonts w:eastAsiaTheme="minorHAnsi"/>
          <w:sz w:val="22"/>
          <w:szCs w:val="22"/>
          <w:lang w:val="fr-FR"/>
        </w:rPr>
        <w:t xml:space="preserve"> sur base d</w:t>
      </w:r>
      <w:r w:rsidR="004167B2" w:rsidRPr="008B222F">
        <w:rPr>
          <w:rFonts w:eastAsiaTheme="minorHAnsi"/>
          <w:sz w:val="22"/>
          <w:szCs w:val="22"/>
          <w:lang w:val="fr-FR"/>
        </w:rPr>
        <w:t>e l</w:t>
      </w:r>
      <w:r w:rsidRPr="00333CCE">
        <w:rPr>
          <w:rFonts w:eastAsiaTheme="minorHAnsi"/>
          <w:sz w:val="22"/>
          <w:szCs w:val="22"/>
          <w:lang w:val="fr-FR"/>
        </w:rPr>
        <w:t>’orientation sexuelle</w:t>
      </w:r>
      <w:r w:rsidR="004167B2" w:rsidRPr="008B222F">
        <w:rPr>
          <w:rFonts w:eastAsiaTheme="minorHAnsi"/>
          <w:sz w:val="22"/>
          <w:szCs w:val="22"/>
          <w:lang w:val="fr-FR"/>
        </w:rPr>
        <w:t xml:space="preserve"> et de l’identité de genre</w:t>
      </w:r>
      <w:r w:rsidRPr="00333CCE">
        <w:rPr>
          <w:rFonts w:eastAsiaTheme="minorHAnsi"/>
          <w:sz w:val="22"/>
          <w:szCs w:val="22"/>
          <w:lang w:val="fr-FR"/>
        </w:rPr>
        <w:t>, notamment</w:t>
      </w:r>
      <w:r w:rsidR="00D64630" w:rsidRPr="008B222F">
        <w:rPr>
          <w:rFonts w:eastAsiaTheme="minorHAnsi"/>
          <w:sz w:val="22"/>
          <w:szCs w:val="22"/>
          <w:lang w:val="fr-FR"/>
        </w:rPr>
        <w:t xml:space="preserve"> dans les secteurs des biens et services, de la santé</w:t>
      </w:r>
      <w:r w:rsidR="002B41A6" w:rsidRPr="008B222F">
        <w:rPr>
          <w:rFonts w:eastAsiaTheme="minorHAnsi"/>
          <w:sz w:val="22"/>
          <w:szCs w:val="22"/>
          <w:lang w:val="fr-FR"/>
        </w:rPr>
        <w:t xml:space="preserve">, </w:t>
      </w:r>
      <w:r w:rsidRPr="00333CCE">
        <w:rPr>
          <w:rFonts w:eastAsiaTheme="minorHAnsi"/>
          <w:sz w:val="22"/>
          <w:szCs w:val="22"/>
          <w:lang w:val="fr-FR"/>
        </w:rPr>
        <w:t>de l’</w:t>
      </w:r>
      <w:r w:rsidR="002B41A6" w:rsidRPr="008B222F">
        <w:rPr>
          <w:rFonts w:eastAsiaTheme="minorHAnsi"/>
          <w:sz w:val="22"/>
          <w:szCs w:val="22"/>
          <w:lang w:val="fr-FR"/>
        </w:rPr>
        <w:t>éducation et du travail.</w:t>
      </w:r>
    </w:p>
    <w:p w:rsidR="00333CCE" w:rsidRPr="00333CCE" w:rsidRDefault="00333CCE" w:rsidP="002B41A6">
      <w:pPr>
        <w:numPr>
          <w:ilvl w:val="0"/>
          <w:numId w:val="11"/>
        </w:numPr>
        <w:spacing w:before="120" w:after="0" w:line="240" w:lineRule="auto"/>
        <w:ind w:left="714" w:hanging="357"/>
        <w:jc w:val="both"/>
        <w:rPr>
          <w:rFonts w:eastAsiaTheme="minorHAnsi"/>
          <w:sz w:val="22"/>
          <w:szCs w:val="22"/>
          <w:lang w:val="fr-FR"/>
        </w:rPr>
      </w:pPr>
      <w:r w:rsidRPr="00333CCE">
        <w:rPr>
          <w:rFonts w:eastAsiaTheme="minorHAnsi"/>
          <w:sz w:val="22"/>
          <w:szCs w:val="22"/>
          <w:lang w:val="fr-FR"/>
        </w:rPr>
        <w:t xml:space="preserve">Les </w:t>
      </w:r>
      <w:r w:rsidRPr="00333CCE">
        <w:rPr>
          <w:rFonts w:eastAsiaTheme="minorHAnsi"/>
          <w:b/>
          <w:sz w:val="22"/>
          <w:szCs w:val="22"/>
          <w:lang w:val="fr-FR"/>
        </w:rPr>
        <w:t xml:space="preserve">discours d'incitation à la haine ainsi que les </w:t>
      </w:r>
      <w:r w:rsidRPr="00333CCE">
        <w:rPr>
          <w:rFonts w:eastAsiaTheme="minorHAnsi"/>
          <w:b/>
          <w:bCs/>
          <w:sz w:val="22"/>
          <w:szCs w:val="22"/>
          <w:lang w:val="fr-FR"/>
        </w:rPr>
        <w:t>crimes de haine</w:t>
      </w:r>
      <w:r w:rsidRPr="00333CCE">
        <w:rPr>
          <w:rFonts w:eastAsiaTheme="minorHAnsi"/>
          <w:bCs/>
          <w:sz w:val="22"/>
          <w:szCs w:val="22"/>
          <w:lang w:val="fr-FR"/>
        </w:rPr>
        <w:t xml:space="preserve"> relative à l’orientation sexuelle et l’identité du genre sont interdits par la loi</w:t>
      </w:r>
      <w:r w:rsidRPr="00333CCE">
        <w:rPr>
          <w:rFonts w:eastAsiaTheme="minorHAnsi"/>
          <w:b/>
          <w:bCs/>
          <w:sz w:val="22"/>
          <w:szCs w:val="22"/>
          <w:lang w:val="fr-FR"/>
        </w:rPr>
        <w:t xml:space="preserve"> </w:t>
      </w:r>
      <w:r w:rsidRPr="00333CCE">
        <w:rPr>
          <w:rFonts w:eastAsiaTheme="minorHAnsi"/>
          <w:bCs/>
          <w:sz w:val="22"/>
          <w:szCs w:val="22"/>
          <w:lang w:val="fr-FR"/>
        </w:rPr>
        <w:t>et sont passibles de peines pouvant aller de cinq à dix ans de prison.</w:t>
      </w:r>
    </w:p>
    <w:p w:rsidR="00333CCE" w:rsidRPr="004537CB" w:rsidRDefault="00333CCE" w:rsidP="002B41A6">
      <w:pPr>
        <w:numPr>
          <w:ilvl w:val="0"/>
          <w:numId w:val="11"/>
        </w:numPr>
        <w:spacing w:before="120" w:after="0" w:line="240" w:lineRule="auto"/>
        <w:ind w:left="714" w:hanging="357"/>
        <w:jc w:val="both"/>
        <w:rPr>
          <w:rFonts w:eastAsiaTheme="minorHAnsi"/>
          <w:sz w:val="22"/>
          <w:szCs w:val="22"/>
          <w:lang w:val="fr-FR"/>
        </w:rPr>
      </w:pPr>
      <w:r w:rsidRPr="004537CB">
        <w:rPr>
          <w:rFonts w:eastAsiaTheme="minorHAnsi"/>
          <w:sz w:val="22"/>
          <w:szCs w:val="22"/>
          <w:lang w:val="fr-FR"/>
        </w:rPr>
        <w:t xml:space="preserve">Les </w:t>
      </w:r>
      <w:r w:rsidRPr="004537CB">
        <w:rPr>
          <w:rFonts w:eastAsiaTheme="minorHAnsi"/>
          <w:b/>
          <w:sz w:val="22"/>
          <w:szCs w:val="22"/>
          <w:lang w:val="fr-FR"/>
        </w:rPr>
        <w:t>droits fondamentaux</w:t>
      </w:r>
      <w:r w:rsidRPr="004537CB">
        <w:rPr>
          <w:rFonts w:eastAsiaTheme="minorHAnsi"/>
          <w:sz w:val="22"/>
          <w:szCs w:val="22"/>
          <w:lang w:val="fr-FR"/>
        </w:rPr>
        <w:t xml:space="preserve"> et les </w:t>
      </w:r>
      <w:r w:rsidRPr="004537CB">
        <w:rPr>
          <w:rFonts w:eastAsiaTheme="minorHAnsi"/>
          <w:b/>
          <w:sz w:val="22"/>
          <w:szCs w:val="22"/>
          <w:lang w:val="fr-FR"/>
        </w:rPr>
        <w:t>droits humains consacrés dans les instruments internationaux</w:t>
      </w:r>
      <w:r w:rsidRPr="004537CB">
        <w:rPr>
          <w:rFonts w:eastAsiaTheme="minorHAnsi"/>
          <w:sz w:val="22"/>
          <w:szCs w:val="22"/>
          <w:lang w:val="fr-FR"/>
        </w:rPr>
        <w:t xml:space="preserve"> sont garantis sans discrimination à toute personne résidante au Luxembourg.  Dans le cas d’allégations de discriminations ou de mauvais traitements par une autorité publique, la victime est tenue de porter plainte auprès de la Police grand-ducale ou du Parquet ; dans les cas où </w:t>
      </w:r>
      <w:r w:rsidR="004537CB" w:rsidRPr="004537CB">
        <w:rPr>
          <w:rFonts w:eastAsiaTheme="minorHAnsi"/>
          <w:sz w:val="22"/>
          <w:szCs w:val="22"/>
          <w:lang w:val="fr-FR"/>
        </w:rPr>
        <w:t xml:space="preserve">la victime en question n’obtient pas justice, elle </w:t>
      </w:r>
      <w:r w:rsidRPr="004537CB">
        <w:rPr>
          <w:rFonts w:eastAsiaTheme="minorHAnsi"/>
          <w:sz w:val="22"/>
          <w:szCs w:val="22"/>
          <w:lang w:val="fr-FR"/>
        </w:rPr>
        <w:t>peut saisir le service de l’</w:t>
      </w:r>
      <w:r w:rsidRPr="004537CB">
        <w:rPr>
          <w:rFonts w:eastAsiaTheme="minorHAnsi"/>
          <w:b/>
          <w:sz w:val="22"/>
          <w:szCs w:val="22"/>
          <w:lang w:val="fr-FR"/>
        </w:rPr>
        <w:t>Ombudsman</w:t>
      </w:r>
      <w:r w:rsidRPr="004537CB">
        <w:rPr>
          <w:rFonts w:eastAsiaTheme="minorHAnsi"/>
          <w:sz w:val="22"/>
          <w:szCs w:val="22"/>
          <w:lang w:val="fr-FR"/>
        </w:rPr>
        <w:t>.</w:t>
      </w:r>
    </w:p>
    <w:p w:rsidR="00333CCE" w:rsidRDefault="00333CCE" w:rsidP="002B41A6">
      <w:pPr>
        <w:numPr>
          <w:ilvl w:val="0"/>
          <w:numId w:val="11"/>
        </w:numPr>
        <w:shd w:val="clear" w:color="auto" w:fill="FFFFFF"/>
        <w:spacing w:before="120" w:after="0" w:line="240" w:lineRule="auto"/>
        <w:ind w:left="714" w:hanging="357"/>
        <w:jc w:val="both"/>
        <w:rPr>
          <w:rFonts w:eastAsia="Times New Roman" w:cstheme="minorHAnsi"/>
          <w:sz w:val="22"/>
          <w:szCs w:val="22"/>
          <w:lang w:val="fr-FR"/>
        </w:rPr>
      </w:pPr>
      <w:r w:rsidRPr="00333CCE">
        <w:rPr>
          <w:rFonts w:eastAsia="Times New Roman" w:cstheme="minorHAnsi"/>
          <w:sz w:val="22"/>
          <w:szCs w:val="22"/>
          <w:lang w:val="fr-FR"/>
        </w:rPr>
        <w:t xml:space="preserve">Le </w:t>
      </w:r>
      <w:r w:rsidRPr="00333CCE">
        <w:rPr>
          <w:rFonts w:eastAsia="Times New Roman" w:cstheme="minorHAnsi"/>
          <w:b/>
          <w:sz w:val="22"/>
          <w:szCs w:val="22"/>
          <w:lang w:val="fr-FR"/>
        </w:rPr>
        <w:t>Centre pour l’égalité de traitement (CET)</w:t>
      </w:r>
      <w:r w:rsidRPr="00333CCE">
        <w:rPr>
          <w:rFonts w:eastAsia="Times New Roman" w:cstheme="minorHAnsi"/>
          <w:sz w:val="22"/>
          <w:szCs w:val="22"/>
          <w:lang w:val="fr-FR"/>
        </w:rPr>
        <w:t xml:space="preserve"> a été créé par la loi du 28 novembre 2006 et exerce ses missions en toute indépendance et a pour objet de promouvoir, d’analyser et de surveiller l’égalité de traitement entre toutes les personnes sans discrimination fondée sur la race ou l’origine ethnique, le sexe, l’orientation sexuelle, la religion ou les convictions, le handicap et l’âge : le CET peut être consulté ou s’autosaisir pour </w:t>
      </w:r>
      <w:r w:rsidR="00863886" w:rsidRPr="008B222F">
        <w:rPr>
          <w:rFonts w:eastAsia="Times New Roman" w:cstheme="minorHAnsi"/>
          <w:sz w:val="22"/>
          <w:szCs w:val="22"/>
          <w:lang w:val="fr-FR"/>
        </w:rPr>
        <w:t>l</w:t>
      </w:r>
      <w:r w:rsidRPr="00333CCE">
        <w:rPr>
          <w:rFonts w:eastAsia="Times New Roman" w:cstheme="minorHAnsi"/>
          <w:sz w:val="22"/>
          <w:szCs w:val="22"/>
          <w:lang w:val="fr-FR"/>
        </w:rPr>
        <w:t>es cas de discriminations qui n’impliquent pas une autorité publique (ces cas tombent sous la compétence de l’Ombudsman).</w:t>
      </w:r>
    </w:p>
    <w:p w:rsidR="00DF042B" w:rsidRPr="00EB5E06" w:rsidRDefault="00DF042B" w:rsidP="00857965">
      <w:pPr>
        <w:pStyle w:val="ListParagraph"/>
        <w:numPr>
          <w:ilvl w:val="0"/>
          <w:numId w:val="11"/>
        </w:numPr>
        <w:shd w:val="clear" w:color="auto" w:fill="FFFFFF"/>
        <w:spacing w:before="120" w:after="0" w:line="240" w:lineRule="auto"/>
        <w:ind w:left="714" w:hanging="357"/>
        <w:contextualSpacing w:val="0"/>
        <w:jc w:val="both"/>
        <w:rPr>
          <w:rFonts w:eastAsia="Times New Roman" w:cstheme="minorHAnsi"/>
          <w:sz w:val="22"/>
          <w:szCs w:val="22"/>
          <w:lang w:val="fr-FR"/>
        </w:rPr>
      </w:pPr>
      <w:r w:rsidRPr="00EB5E06">
        <w:rPr>
          <w:rFonts w:eastAsia="Times New Roman" w:cs="Times New Roman"/>
          <w:sz w:val="22"/>
          <w:szCs w:val="22"/>
          <w:lang w:val="fr-FR" w:eastAsia="fr-FR"/>
        </w:rPr>
        <w:t>Le 13 juillet 2018, le gouvernement luxembourgeois a adopté le premier</w:t>
      </w:r>
      <w:r w:rsidRPr="00EB5E06">
        <w:rPr>
          <w:sz w:val="22"/>
          <w:szCs w:val="22"/>
          <w:lang w:val="fr-FR"/>
        </w:rPr>
        <w:t xml:space="preserve"> </w:t>
      </w:r>
      <w:r w:rsidR="00A6257A" w:rsidRPr="00EB5E06">
        <w:rPr>
          <w:sz w:val="22"/>
          <w:szCs w:val="22"/>
          <w:lang w:val="fr-FR"/>
        </w:rPr>
        <w:t>« </w:t>
      </w:r>
      <w:r w:rsidR="00A6257A" w:rsidRPr="00EB5E06">
        <w:rPr>
          <w:b/>
          <w:sz w:val="22"/>
          <w:szCs w:val="22"/>
          <w:lang w:val="fr-FR"/>
        </w:rPr>
        <w:t>P</w:t>
      </w:r>
      <w:r w:rsidRPr="00EB5E06">
        <w:rPr>
          <w:b/>
          <w:sz w:val="22"/>
          <w:szCs w:val="22"/>
          <w:lang w:val="fr-FR"/>
        </w:rPr>
        <w:t xml:space="preserve">lan d’action national pour la promotion des droits des personnes lesbiennes, gays, bisexuelles, </w:t>
      </w:r>
      <w:r w:rsidRPr="00EB5E06">
        <w:rPr>
          <w:b/>
          <w:sz w:val="22"/>
          <w:szCs w:val="22"/>
          <w:lang w:val="fr-FR"/>
        </w:rPr>
        <w:lastRenderedPageBreak/>
        <w:t xml:space="preserve">transgenres et </w:t>
      </w:r>
      <w:proofErr w:type="spellStart"/>
      <w:r w:rsidRPr="00EB5E06">
        <w:rPr>
          <w:b/>
          <w:sz w:val="22"/>
          <w:szCs w:val="22"/>
          <w:lang w:val="fr-FR"/>
        </w:rPr>
        <w:t>intersexes</w:t>
      </w:r>
      <w:proofErr w:type="spellEnd"/>
      <w:r w:rsidR="00A6257A" w:rsidRPr="00EB5E06">
        <w:rPr>
          <w:b/>
          <w:sz w:val="22"/>
          <w:szCs w:val="22"/>
          <w:lang w:val="fr-FR"/>
        </w:rPr>
        <w:t> »</w:t>
      </w:r>
      <w:r w:rsidRPr="00EB5E06">
        <w:rPr>
          <w:sz w:val="22"/>
          <w:szCs w:val="22"/>
          <w:lang w:val="fr-FR"/>
        </w:rPr>
        <w:t>.</w:t>
      </w:r>
      <w:r w:rsidR="00EB5E06" w:rsidRPr="00EB5E06">
        <w:rPr>
          <w:sz w:val="22"/>
          <w:szCs w:val="22"/>
          <w:lang w:val="fr-FR"/>
        </w:rPr>
        <w:t xml:space="preserve"> </w:t>
      </w:r>
      <w:r w:rsidR="00EB5E06" w:rsidRPr="00EB5E06">
        <w:rPr>
          <w:rFonts w:eastAsia="Times New Roman" w:cs="Times New Roman"/>
          <w:sz w:val="22"/>
          <w:szCs w:val="22"/>
          <w:lang w:val="fr-FR" w:eastAsia="fr-FR"/>
        </w:rPr>
        <w:t xml:space="preserve">Ce plan est le résultat fructueux d'une concertation entre dix ministères et d'une collaboration avec les institutions des droits humains et la société civile. Il s'agit d'un plan pluriannuel qui est structuré en huit chapitres thématiques. </w:t>
      </w:r>
      <w:r w:rsidRPr="00EB5E06">
        <w:rPr>
          <w:sz w:val="22"/>
          <w:szCs w:val="22"/>
          <w:lang w:val="fr-FR"/>
        </w:rPr>
        <w:t xml:space="preserve">Le chapitre 3 relatif à la santé générale des personnes LGBTI ne traite pas les questions relatives aux « thérapies de conversion ». Le chapitre 7 </w:t>
      </w:r>
      <w:r w:rsidR="00A6257A" w:rsidRPr="00EB5E06">
        <w:rPr>
          <w:sz w:val="22"/>
          <w:szCs w:val="22"/>
          <w:lang w:val="fr-FR"/>
        </w:rPr>
        <w:t>relatif à</w:t>
      </w:r>
      <w:r w:rsidRPr="00EB5E06">
        <w:rPr>
          <w:sz w:val="22"/>
          <w:szCs w:val="22"/>
          <w:lang w:val="fr-FR"/>
        </w:rPr>
        <w:t xml:space="preserve"> l’égalité des droits de personnes transgenres prévoit dans son objectif 2 de « respecter les principes de la </w:t>
      </w:r>
      <w:proofErr w:type="spellStart"/>
      <w:r w:rsidRPr="00EB5E06">
        <w:rPr>
          <w:sz w:val="22"/>
          <w:szCs w:val="22"/>
          <w:lang w:val="fr-FR"/>
        </w:rPr>
        <w:t>dépathologisation</w:t>
      </w:r>
      <w:proofErr w:type="spellEnd"/>
      <w:r w:rsidRPr="00EB5E06">
        <w:rPr>
          <w:sz w:val="22"/>
          <w:szCs w:val="22"/>
          <w:lang w:val="fr-FR"/>
        </w:rPr>
        <w:t xml:space="preserve"> et de l’autodétermination des personnes transgenres en matière de santé ». Le chapitre </w:t>
      </w:r>
      <w:r w:rsidR="00A6257A" w:rsidRPr="00EB5E06">
        <w:rPr>
          <w:sz w:val="22"/>
          <w:szCs w:val="22"/>
          <w:lang w:val="fr-FR"/>
        </w:rPr>
        <w:t>8 relatif à</w:t>
      </w:r>
      <w:r w:rsidRPr="00EB5E06">
        <w:rPr>
          <w:sz w:val="22"/>
          <w:szCs w:val="22"/>
          <w:lang w:val="fr-FR"/>
        </w:rPr>
        <w:t xml:space="preserve"> l’égalité des droits de personnes </w:t>
      </w:r>
      <w:proofErr w:type="spellStart"/>
      <w:r w:rsidRPr="00EB5E06">
        <w:rPr>
          <w:sz w:val="22"/>
          <w:szCs w:val="22"/>
          <w:lang w:val="fr-FR"/>
        </w:rPr>
        <w:t>intersexes</w:t>
      </w:r>
      <w:proofErr w:type="spellEnd"/>
      <w:r w:rsidRPr="00EB5E06">
        <w:rPr>
          <w:sz w:val="22"/>
          <w:szCs w:val="22"/>
          <w:lang w:val="fr-FR"/>
        </w:rPr>
        <w:t xml:space="preserve"> prévoit dans son objectif 2 de « </w:t>
      </w:r>
      <w:r w:rsidRPr="00EB5E06">
        <w:rPr>
          <w:bCs/>
          <w:iCs/>
          <w:sz w:val="22"/>
          <w:szCs w:val="22"/>
          <w:lang w:val="fr-FR"/>
        </w:rPr>
        <w:t xml:space="preserve">respecter les droits à l’intégrité physique, à l’autodétermination et le principe du consentement libre et éclairé en matière de santé ». </w:t>
      </w:r>
    </w:p>
    <w:p w:rsidR="00DF042B" w:rsidRDefault="00DF042B" w:rsidP="00FD5C12">
      <w:pPr>
        <w:pStyle w:val="ListParagraph"/>
        <w:numPr>
          <w:ilvl w:val="0"/>
          <w:numId w:val="11"/>
        </w:numPr>
        <w:spacing w:before="120" w:after="0" w:line="240" w:lineRule="auto"/>
        <w:ind w:left="714" w:hanging="357"/>
        <w:contextualSpacing w:val="0"/>
        <w:jc w:val="both"/>
        <w:rPr>
          <w:sz w:val="22"/>
          <w:szCs w:val="22"/>
          <w:lang w:val="fr-FR"/>
        </w:rPr>
      </w:pPr>
      <w:r w:rsidRPr="00DF042B">
        <w:rPr>
          <w:sz w:val="22"/>
          <w:szCs w:val="22"/>
          <w:lang w:val="fr-FR"/>
        </w:rPr>
        <w:t xml:space="preserve">Afin de garantir la bonne mise en œuvre du plan </w:t>
      </w:r>
      <w:r>
        <w:rPr>
          <w:sz w:val="22"/>
          <w:szCs w:val="22"/>
          <w:lang w:val="fr-FR"/>
        </w:rPr>
        <w:t>LGBTI</w:t>
      </w:r>
      <w:r w:rsidR="001F1785">
        <w:rPr>
          <w:sz w:val="22"/>
          <w:szCs w:val="22"/>
          <w:lang w:val="fr-FR"/>
        </w:rPr>
        <w:t>, le</w:t>
      </w:r>
      <w:r w:rsidR="00FD5C12">
        <w:rPr>
          <w:sz w:val="22"/>
          <w:szCs w:val="22"/>
          <w:lang w:val="fr-FR"/>
        </w:rPr>
        <w:t> </w:t>
      </w:r>
      <w:r w:rsidR="00FD5C12">
        <w:rPr>
          <w:b/>
          <w:sz w:val="22"/>
          <w:szCs w:val="22"/>
          <w:lang w:val="fr-FR"/>
        </w:rPr>
        <w:t>C</w:t>
      </w:r>
      <w:r w:rsidRPr="00DF042B">
        <w:rPr>
          <w:b/>
          <w:sz w:val="22"/>
          <w:szCs w:val="22"/>
          <w:lang w:val="fr-FR"/>
        </w:rPr>
        <w:t xml:space="preserve">omité interministériel </w:t>
      </w:r>
      <w:r w:rsidR="00FD5C12">
        <w:rPr>
          <w:b/>
          <w:sz w:val="22"/>
          <w:szCs w:val="22"/>
          <w:lang w:val="fr-FR"/>
        </w:rPr>
        <w:t xml:space="preserve">promouvant les droits des personnes </w:t>
      </w:r>
      <w:r w:rsidRPr="00DF042B">
        <w:rPr>
          <w:b/>
          <w:sz w:val="22"/>
          <w:szCs w:val="22"/>
          <w:lang w:val="fr-FR"/>
        </w:rPr>
        <w:t>LGBTI</w:t>
      </w:r>
      <w:r w:rsidRPr="00FD5C12">
        <w:rPr>
          <w:sz w:val="22"/>
          <w:szCs w:val="22"/>
          <w:lang w:val="fr-FR"/>
        </w:rPr>
        <w:t xml:space="preserve"> </w:t>
      </w:r>
      <w:r w:rsidRPr="00DF042B">
        <w:rPr>
          <w:sz w:val="22"/>
          <w:szCs w:val="22"/>
          <w:lang w:val="fr-FR"/>
        </w:rPr>
        <w:t>a été créé, sous la présidence du ministère ayant la famille dans ses attributions. Ce comité a pour mission le suivi de l’implémentation du plan, une évaluation régulière de ses objectifs et actions, ainsi que la proposition de nouvelles priorités, objectifs et actions. Le comité se fait aider dans ses tâches par des experts, notamment les institutions des droits humains, les représentants de la société civile et des experts par expérience. Un bilan intermédiaire externe aura lieu après trois ans, suivi d’une évaluation externe après cinq ans.</w:t>
      </w:r>
    </w:p>
    <w:p w:rsidR="004E4685" w:rsidRPr="004E4685" w:rsidRDefault="004E4685" w:rsidP="00475D12">
      <w:pPr>
        <w:pStyle w:val="ListParagraph"/>
        <w:numPr>
          <w:ilvl w:val="0"/>
          <w:numId w:val="11"/>
        </w:numPr>
        <w:tabs>
          <w:tab w:val="left" w:pos="5523"/>
        </w:tabs>
        <w:spacing w:before="120" w:after="0" w:line="240" w:lineRule="auto"/>
        <w:ind w:left="714" w:hanging="357"/>
        <w:contextualSpacing w:val="0"/>
        <w:jc w:val="both"/>
        <w:rPr>
          <w:rFonts w:cs="Calibri"/>
          <w:sz w:val="22"/>
          <w:szCs w:val="22"/>
          <w:lang w:val="fr-FR"/>
        </w:rPr>
      </w:pPr>
      <w:r w:rsidRPr="004E4685">
        <w:rPr>
          <w:rFonts w:ascii="Calibri" w:hAnsi="Calibri" w:cs="Calibri"/>
          <w:sz w:val="22"/>
          <w:szCs w:val="22"/>
          <w:lang w:val="fr-FR"/>
        </w:rPr>
        <w:t xml:space="preserve">Le Luxembourg </w:t>
      </w:r>
      <w:r>
        <w:rPr>
          <w:rFonts w:ascii="Calibri" w:hAnsi="Calibri" w:cs="Calibri"/>
          <w:sz w:val="22"/>
          <w:szCs w:val="22"/>
          <w:lang w:val="fr-FR"/>
        </w:rPr>
        <w:t xml:space="preserve">s’est doté d’une loi basée sur un modèle d’auto-détermination en adoptant </w:t>
      </w:r>
      <w:r w:rsidRPr="004E4685">
        <w:rPr>
          <w:rFonts w:ascii="Calibri" w:hAnsi="Calibri" w:cs="Calibri"/>
          <w:b/>
          <w:sz w:val="22"/>
          <w:szCs w:val="22"/>
          <w:lang w:val="fr-FR"/>
        </w:rPr>
        <w:t xml:space="preserve">la </w:t>
      </w:r>
      <w:hyperlink r:id="rId8" w:history="1">
        <w:r w:rsidRPr="00AC55A2">
          <w:rPr>
            <w:rFonts w:ascii="Calibri" w:hAnsi="Calibri" w:cs="Calibri"/>
            <w:b/>
            <w:sz w:val="22"/>
            <w:szCs w:val="22"/>
            <w:lang w:val="fr-FR"/>
          </w:rPr>
          <w:t>loi du 10 août 2018 permettant de modifier le sexe et le ou les prénoms à l'état civil</w:t>
        </w:r>
      </w:hyperlink>
      <w:r w:rsidR="00AC55A2">
        <w:rPr>
          <w:rFonts w:ascii="Calibri" w:hAnsi="Calibri" w:cs="Calibri"/>
          <w:sz w:val="22"/>
          <w:szCs w:val="22"/>
          <w:lang w:val="fr-FR"/>
        </w:rPr>
        <w:t>.</w:t>
      </w:r>
      <w:r w:rsidR="00475D12">
        <w:rPr>
          <w:rFonts w:ascii="Calibri" w:hAnsi="Calibri" w:cs="Calibri"/>
          <w:sz w:val="22"/>
          <w:szCs w:val="22"/>
          <w:lang w:val="fr-FR"/>
        </w:rPr>
        <w:t xml:space="preserve"> Il s’agit </w:t>
      </w:r>
      <w:r w:rsidR="00475D12" w:rsidRPr="00475D12">
        <w:rPr>
          <w:rFonts w:ascii="Calibri" w:hAnsi="Calibri" w:cs="Calibri"/>
          <w:sz w:val="22"/>
          <w:szCs w:val="22"/>
          <w:lang w:val="fr-FR"/>
        </w:rPr>
        <w:t>d’une procédure administrative (</w:t>
      </w:r>
      <w:r w:rsidR="00475D12" w:rsidRPr="00475D12">
        <w:rPr>
          <w:color w:val="000000" w:themeColor="text1"/>
          <w:sz w:val="22"/>
          <w:szCs w:val="22"/>
          <w:lang w:val="fr-FR"/>
        </w:rPr>
        <w:t>sauf pour quelques cas spécifiques comme pour les mineurs âgés de moins de 5 ans ou pour les majeurs sous tutelle ou curatelle où une procédure judiciaire s’applique)</w:t>
      </w:r>
      <w:r w:rsidR="00475D12">
        <w:rPr>
          <w:color w:val="000000" w:themeColor="text1"/>
          <w:sz w:val="22"/>
          <w:szCs w:val="22"/>
          <w:lang w:val="fr-FR"/>
        </w:rPr>
        <w:t>. L</w:t>
      </w:r>
      <w:r w:rsidR="00475D12" w:rsidRPr="00475D12">
        <w:rPr>
          <w:color w:val="000000" w:themeColor="text1"/>
          <w:sz w:val="22"/>
          <w:szCs w:val="22"/>
          <w:lang w:val="fr-FR"/>
        </w:rPr>
        <w:t xml:space="preserve">es personnes transgenres et </w:t>
      </w:r>
      <w:proofErr w:type="spellStart"/>
      <w:r w:rsidR="00475D12" w:rsidRPr="00475D12">
        <w:rPr>
          <w:color w:val="000000" w:themeColor="text1"/>
          <w:sz w:val="22"/>
          <w:szCs w:val="22"/>
          <w:lang w:val="fr-FR"/>
        </w:rPr>
        <w:t>intersexes</w:t>
      </w:r>
      <w:proofErr w:type="spellEnd"/>
      <w:r w:rsidR="00475D12" w:rsidRPr="00475D12">
        <w:rPr>
          <w:color w:val="000000" w:themeColor="text1"/>
          <w:sz w:val="22"/>
          <w:szCs w:val="22"/>
          <w:lang w:val="fr-FR"/>
        </w:rPr>
        <w:t xml:space="preserve"> ne doivent plus fournir de pr</w:t>
      </w:r>
      <w:r w:rsidR="002F7B66">
        <w:rPr>
          <w:color w:val="000000" w:themeColor="text1"/>
          <w:sz w:val="22"/>
          <w:szCs w:val="22"/>
          <w:lang w:val="fr-FR"/>
        </w:rPr>
        <w:t xml:space="preserve">euve de traitements médicaux ou </w:t>
      </w:r>
      <w:r w:rsidR="00475D12" w:rsidRPr="00475D12">
        <w:rPr>
          <w:color w:val="000000" w:themeColor="text1"/>
          <w:sz w:val="22"/>
          <w:szCs w:val="22"/>
          <w:lang w:val="fr-FR"/>
        </w:rPr>
        <w:t xml:space="preserve">d’opérations, mais il suffit qu’elles peuvent prouver par tout moyen </w:t>
      </w:r>
      <w:r w:rsidR="00475D12" w:rsidRPr="00475D12">
        <w:rPr>
          <w:rFonts w:cs="Helvetica"/>
          <w:color w:val="000000"/>
          <w:sz w:val="22"/>
          <w:szCs w:val="22"/>
          <w:lang w:val="fr-FR"/>
        </w:rPr>
        <w:t>que la mention relative à son sexe dans les actes de l'état civil ne correspond pas à celui dans lequel elle se présente et dans lequel elle est connue.</w:t>
      </w:r>
    </w:p>
    <w:p w:rsidR="004E4685" w:rsidRPr="006369B8" w:rsidRDefault="00AC55A2" w:rsidP="004E4685">
      <w:pPr>
        <w:pStyle w:val="ListParagraph"/>
        <w:numPr>
          <w:ilvl w:val="0"/>
          <w:numId w:val="11"/>
        </w:numPr>
        <w:tabs>
          <w:tab w:val="left" w:pos="5523"/>
        </w:tabs>
        <w:spacing w:before="120" w:after="0" w:line="240" w:lineRule="auto"/>
        <w:contextualSpacing w:val="0"/>
        <w:jc w:val="both"/>
        <w:rPr>
          <w:rFonts w:ascii="Calibri" w:hAnsi="Calibri" w:cs="Calibri"/>
          <w:sz w:val="22"/>
          <w:szCs w:val="22"/>
          <w:lang w:val="fr-FR"/>
        </w:rPr>
      </w:pPr>
      <w:r>
        <w:rPr>
          <w:rFonts w:ascii="Calibri" w:hAnsi="Calibri" w:cs="Calibri"/>
          <w:sz w:val="22"/>
          <w:szCs w:val="22"/>
          <w:lang w:val="fr-FR"/>
        </w:rPr>
        <w:t xml:space="preserve">Le Ministère de la Famille, de l’Intégration et la Grande Région a lancé en octobre 2018 </w:t>
      </w:r>
      <w:r w:rsidRPr="006369B8">
        <w:rPr>
          <w:rFonts w:ascii="Calibri" w:hAnsi="Calibri" w:cs="Calibri"/>
          <w:b/>
          <w:sz w:val="22"/>
          <w:szCs w:val="22"/>
          <w:lang w:val="fr-FR"/>
        </w:rPr>
        <w:t xml:space="preserve">une campagne de sensibilisation sur le </w:t>
      </w:r>
      <w:r w:rsidR="006369B8">
        <w:rPr>
          <w:rFonts w:ascii="Calibri" w:hAnsi="Calibri" w:cs="Calibri"/>
          <w:b/>
          <w:sz w:val="22"/>
          <w:szCs w:val="22"/>
          <w:lang w:val="fr-FR"/>
        </w:rPr>
        <w:t xml:space="preserve">thème </w:t>
      </w:r>
      <w:r w:rsidR="006369B8" w:rsidRPr="006369B8">
        <w:rPr>
          <w:rFonts w:ascii="Calibri" w:hAnsi="Calibri" w:cs="Calibri"/>
          <w:b/>
          <w:sz w:val="22"/>
          <w:szCs w:val="22"/>
          <w:lang w:val="fr-FR"/>
        </w:rPr>
        <w:t>de l’</w:t>
      </w:r>
      <w:proofErr w:type="spellStart"/>
      <w:r w:rsidR="006369B8" w:rsidRPr="006369B8">
        <w:rPr>
          <w:rFonts w:ascii="Calibri" w:hAnsi="Calibri" w:cs="Calibri"/>
          <w:b/>
          <w:sz w:val="22"/>
          <w:szCs w:val="22"/>
          <w:lang w:val="fr-FR"/>
        </w:rPr>
        <w:t>intersexuation</w:t>
      </w:r>
      <w:proofErr w:type="spellEnd"/>
      <w:r w:rsidR="006369B8">
        <w:rPr>
          <w:rFonts w:ascii="Calibri" w:hAnsi="Calibri" w:cs="Calibri"/>
          <w:sz w:val="22"/>
          <w:szCs w:val="22"/>
          <w:lang w:val="fr-FR"/>
        </w:rPr>
        <w:t xml:space="preserve"> avec un site internet (</w:t>
      </w:r>
      <w:hyperlink r:id="rId9" w:history="1">
        <w:r w:rsidR="006369B8" w:rsidRPr="00AC4947">
          <w:rPr>
            <w:rStyle w:val="Hyperlink"/>
            <w:rFonts w:ascii="Calibri" w:hAnsi="Calibri" w:cs="Calibri"/>
            <w:sz w:val="22"/>
            <w:szCs w:val="22"/>
            <w:lang w:val="fr-FR"/>
          </w:rPr>
          <w:t>www.intersexe.lu</w:t>
        </w:r>
      </w:hyperlink>
      <w:r w:rsidR="006369B8">
        <w:rPr>
          <w:rFonts w:ascii="Calibri" w:hAnsi="Calibri" w:cs="Calibri"/>
          <w:sz w:val="22"/>
          <w:szCs w:val="22"/>
          <w:lang w:val="fr-FR"/>
        </w:rPr>
        <w:t xml:space="preserve">), des affiches et un dépliant à l’attention des parents d’un enfant </w:t>
      </w:r>
      <w:proofErr w:type="spellStart"/>
      <w:r w:rsidR="006369B8">
        <w:rPr>
          <w:rFonts w:ascii="Calibri" w:hAnsi="Calibri" w:cs="Calibri"/>
          <w:sz w:val="22"/>
          <w:szCs w:val="22"/>
          <w:lang w:val="fr-FR"/>
        </w:rPr>
        <w:t>intersexe</w:t>
      </w:r>
      <w:proofErr w:type="spellEnd"/>
      <w:r w:rsidR="006369B8">
        <w:rPr>
          <w:rFonts w:ascii="Calibri" w:hAnsi="Calibri" w:cs="Calibri"/>
          <w:sz w:val="22"/>
          <w:szCs w:val="22"/>
          <w:lang w:val="fr-FR"/>
        </w:rPr>
        <w:t xml:space="preserve">. </w:t>
      </w:r>
    </w:p>
    <w:p w:rsidR="00EA4B2F" w:rsidRPr="00333CCE" w:rsidRDefault="00EA4B2F" w:rsidP="00FD5C12">
      <w:pPr>
        <w:numPr>
          <w:ilvl w:val="0"/>
          <w:numId w:val="11"/>
        </w:numPr>
        <w:shd w:val="clear" w:color="auto" w:fill="FFFFFF"/>
        <w:spacing w:before="120" w:after="0" w:line="240" w:lineRule="auto"/>
        <w:ind w:left="714" w:hanging="357"/>
        <w:jc w:val="both"/>
        <w:rPr>
          <w:rFonts w:eastAsia="Times New Roman" w:cstheme="minorHAnsi"/>
          <w:sz w:val="22"/>
          <w:szCs w:val="22"/>
          <w:lang w:val="fr-FR"/>
        </w:rPr>
      </w:pPr>
      <w:r w:rsidRPr="008B222F">
        <w:rPr>
          <w:rFonts w:eastAsia="Times New Roman" w:cstheme="minorHAnsi"/>
          <w:sz w:val="22"/>
          <w:szCs w:val="22"/>
          <w:lang w:val="fr-FR"/>
        </w:rPr>
        <w:t xml:space="preserve">Dans le cadre du </w:t>
      </w:r>
      <w:r w:rsidRPr="008B222F">
        <w:rPr>
          <w:rFonts w:eastAsia="Times New Roman" w:cstheme="minorHAnsi"/>
          <w:b/>
          <w:sz w:val="22"/>
          <w:szCs w:val="22"/>
          <w:lang w:val="fr-FR"/>
        </w:rPr>
        <w:t>Programme national « Promotion de la santé affective et sexuelle »</w:t>
      </w:r>
      <w:r w:rsidRPr="008B222F">
        <w:rPr>
          <w:rFonts w:eastAsia="Times New Roman" w:cstheme="minorHAnsi"/>
          <w:sz w:val="22"/>
          <w:szCs w:val="22"/>
          <w:lang w:val="fr-FR"/>
        </w:rPr>
        <w:t xml:space="preserve">, un second plan d’action a été lancé en 2019 par </w:t>
      </w:r>
      <w:r w:rsidRPr="00333CCE">
        <w:rPr>
          <w:rFonts w:eastAsia="Times New Roman" w:cstheme="minorHAnsi"/>
          <w:sz w:val="22"/>
          <w:szCs w:val="22"/>
          <w:lang w:val="fr-FR"/>
        </w:rPr>
        <w:t>quatre ministères : le Ministère de la Santé</w:t>
      </w:r>
      <w:r w:rsidRPr="008B222F">
        <w:rPr>
          <w:rFonts w:eastAsia="Times New Roman" w:cstheme="minorHAnsi"/>
          <w:sz w:val="22"/>
          <w:szCs w:val="22"/>
          <w:lang w:val="fr-FR"/>
        </w:rPr>
        <w:t xml:space="preserve">, </w:t>
      </w:r>
      <w:r w:rsidRPr="00333CCE">
        <w:rPr>
          <w:rFonts w:eastAsia="Times New Roman" w:cstheme="minorHAnsi"/>
          <w:sz w:val="22"/>
          <w:szCs w:val="22"/>
          <w:lang w:val="fr-FR"/>
        </w:rPr>
        <w:t>le Ministère de l’Education nationale, de l’Enfance et de la Jeunesse, le Min</w:t>
      </w:r>
      <w:r w:rsidRPr="008B222F">
        <w:rPr>
          <w:rFonts w:eastAsia="Times New Roman" w:cstheme="minorHAnsi"/>
          <w:sz w:val="22"/>
          <w:szCs w:val="22"/>
          <w:lang w:val="fr-FR"/>
        </w:rPr>
        <w:t>istère de l’Egalité des Chances et</w:t>
      </w:r>
      <w:r w:rsidRPr="00333CCE">
        <w:rPr>
          <w:rFonts w:eastAsia="Times New Roman" w:cstheme="minorHAnsi"/>
          <w:sz w:val="22"/>
          <w:szCs w:val="22"/>
          <w:lang w:val="fr-FR"/>
        </w:rPr>
        <w:t xml:space="preserve"> le Ministère de la Famille, de l’Inté</w:t>
      </w:r>
      <w:r w:rsidRPr="008B222F">
        <w:rPr>
          <w:rFonts w:eastAsia="Times New Roman" w:cstheme="minorHAnsi"/>
          <w:sz w:val="22"/>
          <w:szCs w:val="22"/>
          <w:lang w:val="fr-FR"/>
        </w:rPr>
        <w:t>gration et à la Grande Région</w:t>
      </w:r>
      <w:r w:rsidRPr="00333CCE">
        <w:rPr>
          <w:rFonts w:eastAsia="Times New Roman" w:cstheme="minorHAnsi"/>
          <w:sz w:val="22"/>
          <w:szCs w:val="22"/>
          <w:lang w:val="fr-FR"/>
        </w:rPr>
        <w:t>.</w:t>
      </w:r>
      <w:r w:rsidR="005A1C76" w:rsidRPr="008B222F">
        <w:rPr>
          <w:rFonts w:eastAsia="Times New Roman" w:cstheme="minorHAnsi"/>
          <w:sz w:val="22"/>
          <w:szCs w:val="22"/>
          <w:lang w:val="fr-FR"/>
        </w:rPr>
        <w:t xml:space="preserve"> Ce programme se base entre autres sur les droits sexuels tels que définis par l’Organisation Mondiale de la Santé.</w:t>
      </w:r>
    </w:p>
    <w:p w:rsidR="00EA4B2F" w:rsidRDefault="005A1C76" w:rsidP="00FD5C12">
      <w:pPr>
        <w:numPr>
          <w:ilvl w:val="0"/>
          <w:numId w:val="12"/>
        </w:numPr>
        <w:shd w:val="clear" w:color="auto" w:fill="FFFFFF"/>
        <w:spacing w:before="120" w:after="0" w:line="240" w:lineRule="auto"/>
        <w:ind w:left="714" w:hanging="357"/>
        <w:jc w:val="both"/>
        <w:rPr>
          <w:rFonts w:eastAsia="Times New Roman" w:cstheme="minorHAnsi"/>
          <w:sz w:val="22"/>
          <w:szCs w:val="22"/>
          <w:lang w:val="fr-FR"/>
        </w:rPr>
      </w:pPr>
      <w:r w:rsidRPr="008B222F">
        <w:rPr>
          <w:rFonts w:eastAsia="Times New Roman" w:cstheme="minorHAnsi"/>
          <w:sz w:val="22"/>
          <w:szCs w:val="22"/>
          <w:lang w:val="fr-FR"/>
        </w:rPr>
        <w:t>Dans le cadre du programme susmentionné</w:t>
      </w:r>
      <w:r w:rsidR="00EA4B2F" w:rsidRPr="008B222F">
        <w:rPr>
          <w:rFonts w:eastAsia="Times New Roman" w:cstheme="minorHAnsi"/>
          <w:sz w:val="22"/>
          <w:szCs w:val="22"/>
          <w:lang w:val="fr-FR"/>
        </w:rPr>
        <w:t>, l</w:t>
      </w:r>
      <w:r w:rsidR="00333CCE" w:rsidRPr="00333CCE">
        <w:rPr>
          <w:rFonts w:eastAsia="Times New Roman" w:cstheme="minorHAnsi"/>
          <w:sz w:val="22"/>
          <w:szCs w:val="22"/>
          <w:lang w:val="fr-FR"/>
        </w:rPr>
        <w:t xml:space="preserve">e </w:t>
      </w:r>
      <w:r w:rsidR="00333CCE" w:rsidRPr="00333CCE">
        <w:rPr>
          <w:rFonts w:eastAsia="Times New Roman" w:cstheme="minorHAnsi"/>
          <w:b/>
          <w:sz w:val="22"/>
          <w:szCs w:val="22"/>
          <w:lang w:val="fr-FR"/>
        </w:rPr>
        <w:t>Centre national de référence pour la promotion de la santé affective et sexuelle</w:t>
      </w:r>
      <w:r w:rsidR="00333CCE" w:rsidRPr="00333CCE">
        <w:rPr>
          <w:rFonts w:eastAsia="Times New Roman" w:cstheme="minorHAnsi"/>
          <w:sz w:val="22"/>
          <w:szCs w:val="22"/>
          <w:lang w:val="fr-FR"/>
        </w:rPr>
        <w:t xml:space="preserve"> (</w:t>
      </w:r>
      <w:proofErr w:type="spellStart"/>
      <w:r w:rsidR="00333CCE" w:rsidRPr="00333CCE">
        <w:rPr>
          <w:rFonts w:eastAsia="Times New Roman" w:cstheme="minorHAnsi"/>
          <w:sz w:val="22"/>
          <w:szCs w:val="22"/>
          <w:lang w:val="fr-FR"/>
        </w:rPr>
        <w:t>Cesas</w:t>
      </w:r>
      <w:proofErr w:type="spellEnd"/>
      <w:r w:rsidR="00333CCE" w:rsidRPr="00333CCE">
        <w:rPr>
          <w:rFonts w:eastAsia="Times New Roman" w:cstheme="minorHAnsi"/>
          <w:sz w:val="22"/>
          <w:szCs w:val="22"/>
          <w:lang w:val="fr-FR"/>
        </w:rPr>
        <w:t xml:space="preserve">) </w:t>
      </w:r>
      <w:r w:rsidR="00EA4B2F" w:rsidRPr="008B222F">
        <w:rPr>
          <w:rFonts w:eastAsia="Times New Roman" w:cstheme="minorHAnsi"/>
          <w:sz w:val="22"/>
          <w:szCs w:val="22"/>
          <w:lang w:val="fr-FR"/>
        </w:rPr>
        <w:t xml:space="preserve">a été créé. Le </w:t>
      </w:r>
      <w:proofErr w:type="spellStart"/>
      <w:r w:rsidR="00EA4B2F" w:rsidRPr="008B222F">
        <w:rPr>
          <w:rFonts w:eastAsia="Times New Roman" w:cstheme="minorHAnsi"/>
          <w:sz w:val="22"/>
          <w:szCs w:val="22"/>
          <w:lang w:val="fr-FR"/>
        </w:rPr>
        <w:t>Cesas</w:t>
      </w:r>
      <w:proofErr w:type="spellEnd"/>
      <w:r w:rsidR="00EA4B2F" w:rsidRPr="008B222F">
        <w:rPr>
          <w:rFonts w:eastAsia="Times New Roman" w:cstheme="minorHAnsi"/>
          <w:sz w:val="22"/>
          <w:szCs w:val="22"/>
          <w:lang w:val="fr-FR"/>
        </w:rPr>
        <w:t xml:space="preserve"> </w:t>
      </w:r>
      <w:r w:rsidR="00333CCE" w:rsidRPr="00333CCE">
        <w:rPr>
          <w:rFonts w:eastAsia="Times New Roman" w:cstheme="minorHAnsi"/>
          <w:sz w:val="22"/>
          <w:szCs w:val="22"/>
          <w:lang w:val="fr-FR"/>
        </w:rPr>
        <w:t xml:space="preserve">est un facilitateur du réseau d’acteurs poursuivant l'objectif de promouvoir la santé affective et sexuelle à travers l’information, la sensibilisation, et la formation. </w:t>
      </w:r>
      <w:r w:rsidR="00EA4B2F" w:rsidRPr="008B222F">
        <w:rPr>
          <w:rFonts w:eastAsia="Times New Roman" w:cstheme="minorHAnsi"/>
          <w:sz w:val="22"/>
          <w:szCs w:val="22"/>
          <w:lang w:val="fr-FR"/>
        </w:rPr>
        <w:t>L</w:t>
      </w:r>
      <w:r w:rsidR="00863886" w:rsidRPr="008B222F">
        <w:rPr>
          <w:rFonts w:eastAsia="Times New Roman" w:cstheme="minorHAnsi"/>
          <w:sz w:val="22"/>
          <w:szCs w:val="22"/>
          <w:lang w:val="fr-FR"/>
        </w:rPr>
        <w:t xml:space="preserve">e </w:t>
      </w:r>
      <w:proofErr w:type="spellStart"/>
      <w:r w:rsidR="00863886" w:rsidRPr="008B222F">
        <w:rPr>
          <w:rFonts w:eastAsia="Times New Roman" w:cstheme="minorHAnsi"/>
          <w:sz w:val="22"/>
          <w:szCs w:val="22"/>
          <w:lang w:val="fr-FR"/>
        </w:rPr>
        <w:t>Cesas</w:t>
      </w:r>
      <w:proofErr w:type="spellEnd"/>
      <w:r w:rsidR="00863886" w:rsidRPr="008B222F">
        <w:rPr>
          <w:rFonts w:eastAsia="Times New Roman" w:cstheme="minorHAnsi"/>
          <w:sz w:val="22"/>
          <w:szCs w:val="22"/>
          <w:lang w:val="fr-FR"/>
        </w:rPr>
        <w:t xml:space="preserve"> a développé une charte d’engagement pour la promotion de la santé affective et sexuelle </w:t>
      </w:r>
      <w:r w:rsidR="00EA4B2F" w:rsidRPr="008B222F">
        <w:rPr>
          <w:rFonts w:eastAsia="Times New Roman" w:cstheme="minorHAnsi"/>
          <w:sz w:val="22"/>
          <w:szCs w:val="22"/>
          <w:lang w:val="fr-FR"/>
        </w:rPr>
        <w:t>dont l’un des engagements déontologiques est de « promouvoir le respect de la diversité sexuelle, des variations des caractéristiques sexuées et de la pluralité des genres ».</w:t>
      </w:r>
    </w:p>
    <w:p w:rsidR="008B222F" w:rsidRPr="008B222F" w:rsidRDefault="008B222F" w:rsidP="00FD5C12">
      <w:pPr>
        <w:pStyle w:val="ListParagraph"/>
        <w:numPr>
          <w:ilvl w:val="0"/>
          <w:numId w:val="12"/>
        </w:numPr>
        <w:tabs>
          <w:tab w:val="left" w:pos="5523"/>
        </w:tabs>
        <w:spacing w:before="120" w:after="0" w:line="240" w:lineRule="auto"/>
        <w:contextualSpacing w:val="0"/>
        <w:jc w:val="both"/>
        <w:rPr>
          <w:rFonts w:ascii="Calibri" w:eastAsiaTheme="minorHAnsi" w:hAnsi="Calibri"/>
          <w:sz w:val="22"/>
          <w:szCs w:val="22"/>
          <w:lang w:val="fr-FR"/>
        </w:rPr>
      </w:pPr>
      <w:r w:rsidRPr="008B222F">
        <w:rPr>
          <w:rFonts w:ascii="Calibri" w:hAnsi="Calibri" w:cs="Calibri"/>
          <w:sz w:val="22"/>
          <w:szCs w:val="22"/>
          <w:lang w:val="fr-FR"/>
        </w:rPr>
        <w:t xml:space="preserve">Les </w:t>
      </w:r>
      <w:r w:rsidRPr="008B222F">
        <w:rPr>
          <w:rFonts w:ascii="Calibri" w:hAnsi="Calibri"/>
          <w:sz w:val="22"/>
          <w:szCs w:val="22"/>
          <w:lang w:val="fr-FR"/>
        </w:rPr>
        <w:t>médecins sont tenus de re</w:t>
      </w:r>
      <w:r>
        <w:rPr>
          <w:rFonts w:ascii="Calibri" w:hAnsi="Calibri"/>
          <w:sz w:val="22"/>
          <w:szCs w:val="22"/>
          <w:lang w:val="fr-FR"/>
        </w:rPr>
        <w:t>spec</w:t>
      </w:r>
      <w:r w:rsidRPr="008B222F">
        <w:rPr>
          <w:rFonts w:ascii="Calibri" w:hAnsi="Calibri"/>
          <w:sz w:val="22"/>
          <w:szCs w:val="22"/>
          <w:lang w:val="fr-FR"/>
        </w:rPr>
        <w:t xml:space="preserve">ter le </w:t>
      </w:r>
      <w:r w:rsidRPr="008B222F">
        <w:rPr>
          <w:rFonts w:ascii="Calibri" w:hAnsi="Calibri"/>
          <w:b/>
          <w:sz w:val="22"/>
          <w:szCs w:val="22"/>
          <w:lang w:val="fr-FR"/>
        </w:rPr>
        <w:t>Code de déontologie médicale</w:t>
      </w:r>
      <w:r w:rsidRPr="008B222F">
        <w:rPr>
          <w:rFonts w:ascii="Calibri" w:hAnsi="Calibri"/>
          <w:sz w:val="22"/>
          <w:szCs w:val="22"/>
          <w:lang w:val="fr-FR"/>
        </w:rPr>
        <w:t xml:space="preserve"> et de respecter la </w:t>
      </w:r>
      <w:r w:rsidRPr="008B222F">
        <w:rPr>
          <w:rFonts w:ascii="Calibri" w:hAnsi="Calibri"/>
          <w:b/>
          <w:sz w:val="22"/>
          <w:szCs w:val="22"/>
          <w:lang w:val="fr-FR"/>
        </w:rPr>
        <w:t>loi du 24 juillet 2014 relative aux droits et obligations du patient,</w:t>
      </w:r>
      <w:r w:rsidRPr="008B222F">
        <w:rPr>
          <w:rFonts w:ascii="Calibri" w:hAnsi="Calibri"/>
          <w:sz w:val="22"/>
          <w:szCs w:val="22"/>
          <w:lang w:val="fr-FR"/>
        </w:rPr>
        <w:t xml:space="preserve"> portant création d'un service national d'information et de médiation dans le domaine de la santé qui prévoit le recueil du « consentemen</w:t>
      </w:r>
      <w:r>
        <w:rPr>
          <w:rFonts w:ascii="Calibri" w:hAnsi="Calibri"/>
          <w:sz w:val="22"/>
          <w:szCs w:val="22"/>
          <w:lang w:val="fr-FR"/>
        </w:rPr>
        <w:t>t préalable, libre et éclairé »</w:t>
      </w:r>
      <w:r w:rsidRPr="008B222F">
        <w:rPr>
          <w:rFonts w:ascii="Calibri" w:hAnsi="Calibri"/>
          <w:sz w:val="22"/>
          <w:szCs w:val="22"/>
          <w:lang w:val="fr-FR"/>
        </w:rPr>
        <w:t xml:space="preserve"> (Article 8, paragraphe 4).</w:t>
      </w:r>
    </w:p>
    <w:p w:rsidR="001D5BCF" w:rsidRPr="004E4685" w:rsidRDefault="001D5BCF" w:rsidP="00FD5C12">
      <w:pPr>
        <w:pStyle w:val="ListParagraph"/>
        <w:numPr>
          <w:ilvl w:val="0"/>
          <w:numId w:val="12"/>
        </w:numPr>
        <w:tabs>
          <w:tab w:val="left" w:pos="5523"/>
        </w:tabs>
        <w:spacing w:before="120" w:after="0" w:line="240" w:lineRule="auto"/>
        <w:contextualSpacing w:val="0"/>
        <w:jc w:val="both"/>
        <w:rPr>
          <w:rFonts w:ascii="Calibri" w:hAnsi="Calibri" w:cs="Calibri"/>
          <w:sz w:val="22"/>
          <w:szCs w:val="22"/>
          <w:lang w:val="fr-FR"/>
        </w:rPr>
      </w:pPr>
      <w:r w:rsidRPr="00DF042B">
        <w:rPr>
          <w:rFonts w:ascii="Calibri" w:hAnsi="Calibri" w:cs="Calibri"/>
          <w:sz w:val="22"/>
          <w:szCs w:val="22"/>
          <w:lang w:val="fr-FR"/>
        </w:rPr>
        <w:t>L'</w:t>
      </w:r>
      <w:r w:rsidRPr="00DF042B">
        <w:rPr>
          <w:rFonts w:ascii="Calibri" w:hAnsi="Calibri" w:cs="Calibri"/>
          <w:b/>
          <w:sz w:val="22"/>
          <w:szCs w:val="22"/>
          <w:lang w:val="fr-FR"/>
        </w:rPr>
        <w:t>assurance maladie</w:t>
      </w:r>
      <w:r w:rsidRPr="008B222F">
        <w:rPr>
          <w:rFonts w:ascii="Calibri" w:hAnsi="Calibri" w:cs="Calibri"/>
          <w:sz w:val="22"/>
          <w:szCs w:val="22"/>
          <w:lang w:val="fr-FR"/>
        </w:rPr>
        <w:t xml:space="preserve"> prend en charge des traitements pour autant qu'ils sont prévus dans la législation de l'assurance maladie et qu'ils sont dispensés selon les conditions et les modalités qui y sont prévues. Jusqu’à présent</w:t>
      </w:r>
      <w:r w:rsidR="008B222F">
        <w:rPr>
          <w:rFonts w:ascii="Calibri" w:hAnsi="Calibri" w:cs="Calibri"/>
          <w:sz w:val="22"/>
          <w:szCs w:val="22"/>
          <w:lang w:val="fr-FR"/>
        </w:rPr>
        <w:t>,</w:t>
      </w:r>
      <w:r w:rsidRPr="008B222F">
        <w:rPr>
          <w:rFonts w:ascii="Calibri" w:hAnsi="Calibri" w:cs="Calibri"/>
          <w:sz w:val="22"/>
          <w:szCs w:val="22"/>
          <w:lang w:val="fr-FR"/>
        </w:rPr>
        <w:t xml:space="preserve"> ni les nomenclatures ni les listes statutaires ne prévoient de codes spécifiques </w:t>
      </w:r>
      <w:r w:rsidRPr="004E4685">
        <w:rPr>
          <w:rFonts w:ascii="Calibri" w:hAnsi="Calibri" w:cs="Calibri"/>
          <w:sz w:val="22"/>
          <w:szCs w:val="22"/>
          <w:lang w:val="fr-FR"/>
        </w:rPr>
        <w:t>pouvant être mis en relation avec des thérapies de conversion.</w:t>
      </w:r>
    </w:p>
    <w:p w:rsidR="00244748" w:rsidRPr="00333CCE" w:rsidRDefault="00244748" w:rsidP="002B41A6">
      <w:pPr>
        <w:spacing w:before="0" w:after="0" w:line="240" w:lineRule="auto"/>
        <w:ind w:left="1440"/>
        <w:contextualSpacing/>
        <w:rPr>
          <w:rFonts w:eastAsiaTheme="minorHAnsi"/>
          <w:sz w:val="22"/>
          <w:szCs w:val="22"/>
          <w:lang w:val="fr-FR"/>
        </w:rPr>
      </w:pPr>
    </w:p>
    <w:p w:rsidR="00333CCE" w:rsidRPr="004E4685" w:rsidRDefault="00333CCE" w:rsidP="00A8689E">
      <w:pPr>
        <w:numPr>
          <w:ilvl w:val="0"/>
          <w:numId w:val="7"/>
        </w:numPr>
        <w:spacing w:before="0" w:after="0" w:line="240" w:lineRule="auto"/>
        <w:contextualSpacing/>
        <w:jc w:val="both"/>
        <w:rPr>
          <w:rFonts w:eastAsiaTheme="minorHAnsi"/>
          <w:b/>
          <w:sz w:val="22"/>
          <w:szCs w:val="22"/>
          <w:lang w:val="fr-FR"/>
        </w:rPr>
      </w:pPr>
      <w:r w:rsidRPr="004E4685">
        <w:rPr>
          <w:rFonts w:eastAsiaTheme="minorHAnsi"/>
          <w:b/>
          <w:sz w:val="22"/>
          <w:szCs w:val="22"/>
          <w:lang w:val="fr-FR"/>
        </w:rPr>
        <w:t>Elargissement des règles prévues par la loi ou des politiques administratives pour tenir les fournisseurs de soins de santé et autres personnes pratiquant ces « thérapies de conversion » responsables</w:t>
      </w:r>
      <w:r w:rsidR="009C3A51" w:rsidRPr="004E4685">
        <w:rPr>
          <w:rFonts w:eastAsiaTheme="minorHAnsi"/>
          <w:b/>
          <w:sz w:val="22"/>
          <w:szCs w:val="22"/>
          <w:lang w:val="fr-FR"/>
        </w:rPr>
        <w:t>.</w:t>
      </w:r>
    </w:p>
    <w:p w:rsidR="00244748" w:rsidRDefault="00244748" w:rsidP="00244748">
      <w:pPr>
        <w:spacing w:before="0" w:after="0" w:line="259" w:lineRule="auto"/>
        <w:ind w:firstLine="357"/>
        <w:jc w:val="both"/>
        <w:rPr>
          <w:rFonts w:eastAsiaTheme="minorHAnsi" w:cstheme="minorHAnsi"/>
          <w:sz w:val="22"/>
          <w:szCs w:val="22"/>
          <w:lang w:val="fr-FR"/>
        </w:rPr>
      </w:pPr>
    </w:p>
    <w:p w:rsidR="00A8689E" w:rsidRPr="009C3A51" w:rsidRDefault="00A8689E" w:rsidP="00A8689E">
      <w:pPr>
        <w:spacing w:before="0" w:after="160" w:line="259" w:lineRule="auto"/>
        <w:ind w:firstLine="360"/>
        <w:jc w:val="both"/>
        <w:rPr>
          <w:rFonts w:eastAsiaTheme="minorHAnsi" w:cstheme="minorHAnsi"/>
          <w:sz w:val="22"/>
          <w:szCs w:val="22"/>
          <w:lang w:val="fr-FR"/>
        </w:rPr>
      </w:pPr>
      <w:r w:rsidRPr="008B222F">
        <w:rPr>
          <w:rFonts w:eastAsiaTheme="minorHAnsi" w:cstheme="minorHAnsi"/>
          <w:sz w:val="22"/>
          <w:szCs w:val="22"/>
          <w:lang w:val="fr-FR"/>
        </w:rPr>
        <w:t>Actuellement, il n’y pas de connaissances à ce sujet.</w:t>
      </w:r>
    </w:p>
    <w:p w:rsidR="00EB5E06" w:rsidRDefault="00EB5E06" w:rsidP="009C3A51">
      <w:pPr>
        <w:spacing w:before="0" w:after="160" w:line="259" w:lineRule="auto"/>
        <w:jc w:val="both"/>
        <w:rPr>
          <w:b/>
          <w:color w:val="0070C0"/>
          <w:sz w:val="24"/>
          <w:szCs w:val="24"/>
          <w:lang w:val="fr-FR"/>
        </w:rPr>
      </w:pPr>
    </w:p>
    <w:p w:rsidR="009C3A51" w:rsidRPr="009C3A51" w:rsidRDefault="009C3A51" w:rsidP="009C3A51">
      <w:pPr>
        <w:spacing w:before="0" w:after="160" w:line="259" w:lineRule="auto"/>
        <w:contextualSpacing/>
        <w:jc w:val="both"/>
        <w:rPr>
          <w:color w:val="0070C0"/>
          <w:sz w:val="22"/>
          <w:szCs w:val="24"/>
          <w:lang w:val="fr-FR"/>
        </w:rPr>
      </w:pPr>
      <w:r w:rsidRPr="005879C9">
        <w:rPr>
          <w:color w:val="0070C0"/>
          <w:sz w:val="22"/>
          <w:szCs w:val="24"/>
          <w:lang w:val="fr-FR"/>
        </w:rPr>
        <w:t xml:space="preserve">Q7- </w:t>
      </w:r>
      <w:r w:rsidRPr="009C3A51">
        <w:rPr>
          <w:color w:val="0070C0"/>
          <w:sz w:val="22"/>
          <w:szCs w:val="24"/>
          <w:lang w:val="fr-FR"/>
        </w:rPr>
        <w:t>Existe-t-il des institutions, organisations ou entités publiques impliquées dans la mise en œuvre de pratiques dites « thérapies de conversion » ?</w:t>
      </w:r>
    </w:p>
    <w:p w:rsidR="008E4D02" w:rsidRDefault="008E4D02" w:rsidP="009C3A51">
      <w:pPr>
        <w:spacing w:before="0" w:after="160" w:line="259" w:lineRule="auto"/>
        <w:contextualSpacing/>
        <w:jc w:val="both"/>
        <w:rPr>
          <w:rFonts w:eastAsiaTheme="minorHAnsi" w:cstheme="minorHAnsi"/>
          <w:color w:val="393939"/>
          <w:sz w:val="22"/>
          <w:szCs w:val="22"/>
          <w:lang w:val="fr-FR"/>
        </w:rPr>
      </w:pPr>
    </w:p>
    <w:p w:rsidR="009C3A51" w:rsidRPr="00865FBB" w:rsidRDefault="008E4D02" w:rsidP="009C3A51">
      <w:pPr>
        <w:spacing w:before="0" w:after="160" w:line="259" w:lineRule="auto"/>
        <w:contextualSpacing/>
        <w:jc w:val="both"/>
        <w:rPr>
          <w:rFonts w:eastAsiaTheme="minorHAnsi" w:cstheme="minorHAnsi"/>
          <w:sz w:val="22"/>
          <w:szCs w:val="22"/>
          <w:lang w:val="fr-FR"/>
        </w:rPr>
      </w:pPr>
      <w:r w:rsidRPr="005879C9">
        <w:rPr>
          <w:rFonts w:eastAsiaTheme="minorHAnsi" w:cstheme="minorHAnsi"/>
          <w:sz w:val="22"/>
          <w:szCs w:val="22"/>
          <w:lang w:val="fr-FR"/>
        </w:rPr>
        <w:t>Non.</w:t>
      </w:r>
    </w:p>
    <w:p w:rsidR="000F3C1E" w:rsidRPr="00865FBB" w:rsidRDefault="000F3C1E" w:rsidP="009C3A51">
      <w:pPr>
        <w:spacing w:before="0" w:after="160" w:line="259" w:lineRule="auto"/>
        <w:jc w:val="both"/>
        <w:rPr>
          <w:b/>
          <w:color w:val="0070C0"/>
          <w:sz w:val="24"/>
          <w:szCs w:val="24"/>
          <w:lang w:val="fr-FR"/>
        </w:rPr>
      </w:pPr>
    </w:p>
    <w:p w:rsidR="009C3A51" w:rsidRPr="009C3A51" w:rsidRDefault="009C3A51" w:rsidP="009C3A51">
      <w:pPr>
        <w:spacing w:before="0" w:after="160" w:line="259" w:lineRule="auto"/>
        <w:contextualSpacing/>
        <w:jc w:val="both"/>
        <w:rPr>
          <w:color w:val="0070C0"/>
          <w:sz w:val="22"/>
          <w:szCs w:val="24"/>
          <w:lang w:val="fr-FR"/>
        </w:rPr>
      </w:pPr>
      <w:r w:rsidRPr="005879C9">
        <w:rPr>
          <w:color w:val="0070C0"/>
          <w:sz w:val="22"/>
          <w:szCs w:val="24"/>
          <w:lang w:val="fr-FR"/>
        </w:rPr>
        <w:t xml:space="preserve">Q8- </w:t>
      </w:r>
      <w:r w:rsidRPr="009C3A51">
        <w:rPr>
          <w:color w:val="0070C0"/>
          <w:sz w:val="22"/>
          <w:szCs w:val="24"/>
          <w:lang w:val="fr-FR"/>
        </w:rPr>
        <w:t xml:space="preserve">Des institutions étatiques </w:t>
      </w:r>
      <w:proofErr w:type="spellStart"/>
      <w:r w:rsidRPr="009C3A51">
        <w:rPr>
          <w:color w:val="0070C0"/>
          <w:sz w:val="22"/>
          <w:szCs w:val="24"/>
          <w:lang w:val="fr-FR"/>
        </w:rPr>
        <w:t>ont-elles</w:t>
      </w:r>
      <w:proofErr w:type="spellEnd"/>
      <w:r w:rsidRPr="009C3A51">
        <w:rPr>
          <w:color w:val="0070C0"/>
          <w:sz w:val="22"/>
          <w:szCs w:val="24"/>
          <w:lang w:val="fr-FR"/>
        </w:rPr>
        <w:t xml:space="preserve"> pris position en ce qui concerne les pratiques dites « thérapies de conversion » ?</w:t>
      </w:r>
    </w:p>
    <w:p w:rsidR="00A8689E" w:rsidRDefault="00A8689E" w:rsidP="009C3A51">
      <w:pPr>
        <w:spacing w:before="0" w:after="160" w:line="259" w:lineRule="auto"/>
        <w:contextualSpacing/>
        <w:jc w:val="both"/>
        <w:rPr>
          <w:rFonts w:eastAsiaTheme="minorHAnsi" w:cstheme="minorHAnsi"/>
          <w:color w:val="393939"/>
          <w:sz w:val="22"/>
          <w:szCs w:val="22"/>
          <w:lang w:val="fr-FR"/>
        </w:rPr>
      </w:pPr>
    </w:p>
    <w:p w:rsidR="000F3C1E" w:rsidRPr="006E205A" w:rsidRDefault="00C10EC2" w:rsidP="006E205A">
      <w:pPr>
        <w:pStyle w:val="ListParagraph"/>
        <w:numPr>
          <w:ilvl w:val="0"/>
          <w:numId w:val="13"/>
        </w:numPr>
        <w:spacing w:before="120" w:after="0" w:line="240" w:lineRule="auto"/>
        <w:ind w:left="360"/>
        <w:jc w:val="both"/>
        <w:rPr>
          <w:rFonts w:ascii="Calibri" w:eastAsiaTheme="minorHAnsi" w:hAnsi="Calibri"/>
          <w:b/>
          <w:sz w:val="22"/>
          <w:szCs w:val="22"/>
          <w:lang w:val="fr-FR"/>
        </w:rPr>
      </w:pPr>
      <w:r w:rsidRPr="00C10EC2">
        <w:rPr>
          <w:rFonts w:ascii="Calibri" w:hAnsi="Calibri"/>
          <w:b/>
          <w:sz w:val="22"/>
          <w:szCs w:val="22"/>
          <w:lang w:val="fr-FR"/>
        </w:rPr>
        <w:t>Des entités ou branches de l’État cha</w:t>
      </w:r>
      <w:r w:rsidR="000F3C1E">
        <w:rPr>
          <w:rFonts w:ascii="Calibri" w:hAnsi="Calibri"/>
          <w:b/>
          <w:sz w:val="22"/>
          <w:szCs w:val="22"/>
          <w:lang w:val="fr-FR"/>
        </w:rPr>
        <w:t>rgées des politiques publiques</w:t>
      </w:r>
      <w:r w:rsidR="00750CFD">
        <w:rPr>
          <w:rFonts w:ascii="Calibri" w:hAnsi="Calibri"/>
          <w:b/>
          <w:sz w:val="22"/>
          <w:szCs w:val="22"/>
          <w:lang w:val="fr-FR"/>
        </w:rPr>
        <w:t> ;</w:t>
      </w:r>
    </w:p>
    <w:p w:rsidR="000F3C1E" w:rsidRDefault="000F3C1E" w:rsidP="000F3C1E">
      <w:pPr>
        <w:pStyle w:val="ListParagraph"/>
        <w:numPr>
          <w:ilvl w:val="0"/>
          <w:numId w:val="16"/>
        </w:numPr>
        <w:spacing w:before="120" w:after="0" w:line="240" w:lineRule="auto"/>
        <w:ind w:left="714" w:hanging="357"/>
        <w:contextualSpacing w:val="0"/>
        <w:jc w:val="both"/>
        <w:rPr>
          <w:rFonts w:ascii="Calibri" w:hAnsi="Calibri"/>
          <w:sz w:val="22"/>
          <w:szCs w:val="22"/>
          <w:lang w:val="fr-FR"/>
        </w:rPr>
      </w:pPr>
      <w:r>
        <w:rPr>
          <w:rFonts w:ascii="Calibri" w:hAnsi="Calibri"/>
          <w:sz w:val="22"/>
          <w:szCs w:val="22"/>
          <w:lang w:val="fr-FR"/>
        </w:rPr>
        <w:t>Les actions au niveau national sont reprises sous la question Q6a).</w:t>
      </w:r>
    </w:p>
    <w:p w:rsidR="00C10EC2" w:rsidRPr="00C10EC2" w:rsidRDefault="00C10EC2" w:rsidP="000F3C1E">
      <w:pPr>
        <w:pStyle w:val="ListParagraph"/>
        <w:numPr>
          <w:ilvl w:val="0"/>
          <w:numId w:val="16"/>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Au niveau international, le Luxembourg a désigné en 2015 pour les questions LGBTI un point de contact gouvernemental auprès du Conseil de l’Europe et il s’est engagé à promouvoir les droits des personnes LGBTI e</w:t>
      </w:r>
      <w:r w:rsidR="000F3C1E">
        <w:rPr>
          <w:rFonts w:ascii="Calibri" w:hAnsi="Calibri" w:cs="MuseoSans-300"/>
          <w:sz w:val="22"/>
          <w:szCs w:val="22"/>
          <w:lang w:val="fr-FR"/>
        </w:rPr>
        <w:t>n signant en 2013, 2014, 2016,</w:t>
      </w:r>
      <w:r w:rsidRPr="00C10EC2">
        <w:rPr>
          <w:rFonts w:ascii="Calibri" w:hAnsi="Calibri" w:cs="MuseoSans-300"/>
          <w:sz w:val="22"/>
          <w:szCs w:val="22"/>
          <w:lang w:val="fr-FR"/>
        </w:rPr>
        <w:t xml:space="preserve"> 2017 </w:t>
      </w:r>
      <w:r w:rsidR="000F3C1E">
        <w:rPr>
          <w:rFonts w:ascii="Calibri" w:hAnsi="Calibri" w:cs="MuseoSans-300"/>
          <w:sz w:val="22"/>
          <w:szCs w:val="22"/>
          <w:lang w:val="fr-FR"/>
        </w:rPr>
        <w:t xml:space="preserve">et 2019 </w:t>
      </w:r>
      <w:r w:rsidRPr="00C10EC2">
        <w:rPr>
          <w:rFonts w:ascii="Calibri" w:hAnsi="Calibri" w:cs="MuseoSans-300"/>
          <w:sz w:val="22"/>
          <w:szCs w:val="22"/>
          <w:lang w:val="fr-FR"/>
        </w:rPr>
        <w:t xml:space="preserve">les déclarations IDAHOT (International Day </w:t>
      </w:r>
      <w:proofErr w:type="spellStart"/>
      <w:r w:rsidRPr="00C10EC2">
        <w:rPr>
          <w:rFonts w:ascii="Calibri" w:hAnsi="Calibri" w:cs="MuseoSans-300"/>
          <w:sz w:val="22"/>
          <w:szCs w:val="22"/>
          <w:lang w:val="fr-FR"/>
        </w:rPr>
        <w:t>against</w:t>
      </w:r>
      <w:proofErr w:type="spellEnd"/>
      <w:r w:rsidRPr="00C10EC2">
        <w:rPr>
          <w:rFonts w:ascii="Calibri" w:hAnsi="Calibri" w:cs="MuseoSans-300"/>
          <w:sz w:val="22"/>
          <w:szCs w:val="22"/>
          <w:lang w:val="fr-FR"/>
        </w:rPr>
        <w:t xml:space="preserve"> </w:t>
      </w:r>
      <w:proofErr w:type="spellStart"/>
      <w:r w:rsidRPr="00C10EC2">
        <w:rPr>
          <w:rFonts w:ascii="Calibri" w:hAnsi="Calibri" w:cs="MuseoSans-300"/>
          <w:sz w:val="22"/>
          <w:szCs w:val="22"/>
          <w:lang w:val="fr-FR"/>
        </w:rPr>
        <w:t>Homophobia</w:t>
      </w:r>
      <w:proofErr w:type="spellEnd"/>
      <w:r w:rsidRPr="00C10EC2">
        <w:rPr>
          <w:rFonts w:ascii="Calibri" w:hAnsi="Calibri" w:cs="MuseoSans-300"/>
          <w:sz w:val="22"/>
          <w:szCs w:val="22"/>
          <w:lang w:val="fr-FR"/>
        </w:rPr>
        <w:t xml:space="preserve">, </w:t>
      </w:r>
      <w:proofErr w:type="spellStart"/>
      <w:r w:rsidRPr="00C10EC2">
        <w:rPr>
          <w:rFonts w:ascii="Calibri" w:hAnsi="Calibri" w:cs="MuseoSans-300"/>
          <w:sz w:val="22"/>
          <w:szCs w:val="22"/>
          <w:lang w:val="fr-FR"/>
        </w:rPr>
        <w:t>Transphobia</w:t>
      </w:r>
      <w:proofErr w:type="spellEnd"/>
      <w:r w:rsidRPr="00C10EC2">
        <w:rPr>
          <w:rFonts w:ascii="Calibri" w:hAnsi="Calibri" w:cs="MuseoSans-300"/>
          <w:sz w:val="22"/>
          <w:szCs w:val="22"/>
          <w:lang w:val="fr-FR"/>
        </w:rPr>
        <w:t xml:space="preserve"> and </w:t>
      </w:r>
      <w:proofErr w:type="spellStart"/>
      <w:r w:rsidRPr="00C10EC2">
        <w:rPr>
          <w:rFonts w:ascii="Calibri" w:hAnsi="Calibri" w:cs="MuseoSans-300"/>
          <w:sz w:val="22"/>
          <w:szCs w:val="22"/>
          <w:lang w:val="fr-FR"/>
        </w:rPr>
        <w:t>Biphobia</w:t>
      </w:r>
      <w:proofErr w:type="spellEnd"/>
      <w:r w:rsidRPr="00C10EC2">
        <w:rPr>
          <w:rFonts w:ascii="Calibri" w:hAnsi="Calibri" w:cs="MuseoSans-300"/>
          <w:sz w:val="22"/>
          <w:szCs w:val="22"/>
          <w:lang w:val="fr-FR"/>
        </w:rPr>
        <w:t>), et en 2016 l’Appel ministériel à l’action pour une éducation inclusive et équitable, lancé par l’Organisation des Nations Unies pour l’éducation, la science et la culture (UNESCO).</w:t>
      </w:r>
    </w:p>
    <w:p w:rsidR="00C10EC2" w:rsidRPr="00C10EC2" w:rsidRDefault="00C10EC2" w:rsidP="000F3C1E">
      <w:pPr>
        <w:pStyle w:val="ListParagraph"/>
        <w:numPr>
          <w:ilvl w:val="0"/>
          <w:numId w:val="16"/>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A travers ses activités diplomatiques aux niveaux bilatéral et multilatéral, ainsi qu’à travers ses efforts de coopération au développement, le Luxembourg est également en mesure d’agir pour la protection et la promotion des droits des personnes LGBTI au niveau international.</w:t>
      </w:r>
    </w:p>
    <w:p w:rsidR="00F7468E" w:rsidRPr="006E205A" w:rsidRDefault="00C10EC2" w:rsidP="00A22000">
      <w:pPr>
        <w:pStyle w:val="ListParagraph"/>
        <w:numPr>
          <w:ilvl w:val="0"/>
          <w:numId w:val="13"/>
        </w:numPr>
        <w:spacing w:before="240" w:after="0" w:line="240" w:lineRule="auto"/>
        <w:ind w:left="357" w:hanging="357"/>
        <w:contextualSpacing w:val="0"/>
        <w:jc w:val="both"/>
        <w:rPr>
          <w:rFonts w:ascii="Calibri" w:hAnsi="Calibri"/>
          <w:b/>
          <w:sz w:val="22"/>
          <w:szCs w:val="22"/>
          <w:lang w:val="fr-FR"/>
        </w:rPr>
      </w:pPr>
      <w:r w:rsidRPr="00C10EC2">
        <w:rPr>
          <w:rFonts w:ascii="Calibri" w:hAnsi="Calibri"/>
          <w:b/>
          <w:sz w:val="22"/>
          <w:szCs w:val="22"/>
          <w:lang w:val="fr-FR"/>
        </w:rPr>
        <w:t>Des organes parlementaires;</w:t>
      </w:r>
    </w:p>
    <w:p w:rsidR="006E205A" w:rsidRPr="00A22000" w:rsidRDefault="006E205A" w:rsidP="00A22000">
      <w:pPr>
        <w:pStyle w:val="ListParagraph"/>
        <w:numPr>
          <w:ilvl w:val="0"/>
          <w:numId w:val="22"/>
        </w:numPr>
        <w:spacing w:before="120" w:after="0" w:line="240" w:lineRule="auto"/>
        <w:ind w:left="714" w:hanging="357"/>
        <w:contextualSpacing w:val="0"/>
        <w:jc w:val="both"/>
        <w:rPr>
          <w:rFonts w:ascii="Calibri" w:hAnsi="Calibri"/>
          <w:b/>
          <w:sz w:val="22"/>
          <w:szCs w:val="22"/>
          <w:lang w:val="fr-FR"/>
        </w:rPr>
      </w:pPr>
      <w:r>
        <w:rPr>
          <w:rFonts w:ascii="Calibri" w:hAnsi="Calibri" w:cs="MuseoSans-300"/>
          <w:sz w:val="22"/>
          <w:szCs w:val="22"/>
          <w:lang w:val="fr-FR"/>
        </w:rPr>
        <w:t xml:space="preserve">La loi </w:t>
      </w:r>
      <w:hyperlink r:id="rId10" w:history="1">
        <w:r w:rsidRPr="006E205A">
          <w:rPr>
            <w:rFonts w:ascii="Calibri" w:hAnsi="Calibri" w:cs="MuseoSans-300"/>
            <w:sz w:val="22"/>
            <w:szCs w:val="22"/>
            <w:lang w:val="fr-FR"/>
          </w:rPr>
          <w:t>du 10 août 2018 permettant de modifier le sexe et le ou les prénoms à l'état civil</w:t>
        </w:r>
      </w:hyperlink>
      <w:r>
        <w:rPr>
          <w:rFonts w:ascii="Calibri" w:hAnsi="Calibri" w:cs="MuseoSans-300"/>
          <w:sz w:val="22"/>
          <w:szCs w:val="22"/>
          <w:lang w:val="fr-FR"/>
        </w:rPr>
        <w:t xml:space="preserve"> basée sur un modèle de l’auto-détermination a été adoptée par 57 voix contre 3 voix.</w:t>
      </w:r>
    </w:p>
    <w:p w:rsidR="00C10EC2" w:rsidRPr="00A22000" w:rsidRDefault="00C10EC2" w:rsidP="00A22000">
      <w:pPr>
        <w:pStyle w:val="ListParagraph"/>
        <w:numPr>
          <w:ilvl w:val="0"/>
          <w:numId w:val="13"/>
        </w:numPr>
        <w:spacing w:before="240" w:after="0" w:line="240" w:lineRule="auto"/>
        <w:ind w:left="357" w:hanging="357"/>
        <w:contextualSpacing w:val="0"/>
        <w:jc w:val="both"/>
        <w:rPr>
          <w:rFonts w:ascii="Calibri" w:hAnsi="Calibri"/>
          <w:b/>
          <w:sz w:val="22"/>
          <w:szCs w:val="22"/>
          <w:lang w:val="fr-FR"/>
        </w:rPr>
      </w:pPr>
      <w:r w:rsidRPr="00C10EC2">
        <w:rPr>
          <w:rFonts w:ascii="Calibri" w:hAnsi="Calibri"/>
          <w:b/>
          <w:sz w:val="22"/>
          <w:szCs w:val="22"/>
          <w:lang w:val="fr-FR"/>
        </w:rPr>
        <w:t>Le pouvoir judiciaire;</w:t>
      </w:r>
    </w:p>
    <w:p w:rsidR="00C10EC2" w:rsidRPr="00C10EC2" w:rsidRDefault="00C10EC2" w:rsidP="00A22000">
      <w:pPr>
        <w:pStyle w:val="ListParagraph"/>
        <w:numPr>
          <w:ilvl w:val="0"/>
          <w:numId w:val="13"/>
        </w:numPr>
        <w:spacing w:before="240" w:after="0" w:line="240" w:lineRule="auto"/>
        <w:ind w:left="357" w:hanging="357"/>
        <w:contextualSpacing w:val="0"/>
        <w:jc w:val="both"/>
        <w:rPr>
          <w:rFonts w:ascii="Calibri" w:hAnsi="Calibri"/>
          <w:b/>
          <w:sz w:val="22"/>
          <w:szCs w:val="22"/>
          <w:lang w:val="fr-FR"/>
        </w:rPr>
      </w:pPr>
      <w:r w:rsidRPr="00C10EC2">
        <w:rPr>
          <w:rFonts w:ascii="Calibri" w:hAnsi="Calibri"/>
          <w:b/>
          <w:sz w:val="22"/>
          <w:szCs w:val="22"/>
          <w:lang w:val="fr-FR"/>
        </w:rPr>
        <w:t>Les institutions nationales des droits de l'homme ou autres institutions de publiques;</w:t>
      </w:r>
    </w:p>
    <w:p w:rsidR="00C10EC2" w:rsidRPr="00C10EC2" w:rsidRDefault="00C10EC2" w:rsidP="000F3C1E">
      <w:pPr>
        <w:pStyle w:val="ListParagraph"/>
        <w:numPr>
          <w:ilvl w:val="0"/>
          <w:numId w:val="18"/>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 xml:space="preserve">Au niveau du Conseil des droits de l’homme des Nations Unies, le Luxembourg a résolument appuyé la mise en place du mandat de l’expert indépendant sur l’orientation sexuelle et l’identité de genre et intervient lors des débats au CDH pour soutenir les activités du mandat. </w:t>
      </w:r>
    </w:p>
    <w:p w:rsidR="00C10EC2" w:rsidRPr="00C10EC2" w:rsidRDefault="00C10EC2" w:rsidP="000F3C1E">
      <w:pPr>
        <w:pStyle w:val="ListParagraph"/>
        <w:numPr>
          <w:ilvl w:val="0"/>
          <w:numId w:val="18"/>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Dans le cadre de sa campagne pour un siège au Conseil des droits de l’homme pour les années 2022-2024, le Luxembourg continuera d’œuvrer à la promotion et la protection des droits humains de toutes les personnes, notamment les personnes LGBTI.</w:t>
      </w:r>
    </w:p>
    <w:p w:rsidR="00C10EC2" w:rsidRPr="00A22000" w:rsidRDefault="00C10EC2" w:rsidP="00C10EC2">
      <w:pPr>
        <w:pStyle w:val="ListParagraph"/>
        <w:numPr>
          <w:ilvl w:val="0"/>
          <w:numId w:val="18"/>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Le Luxembourg fait régulièrement des recommandations pour l’amélioration de la situation des droits humains liés à l’orientation sexuelle et l’identité du genre dans le cadre de l’Examen Périodique Universel du Conseil des droits de l’homme.</w:t>
      </w:r>
    </w:p>
    <w:p w:rsidR="00C10EC2" w:rsidRPr="00C10EC2" w:rsidRDefault="00C10EC2" w:rsidP="00A22000">
      <w:pPr>
        <w:pStyle w:val="ListParagraph"/>
        <w:numPr>
          <w:ilvl w:val="0"/>
          <w:numId w:val="13"/>
        </w:numPr>
        <w:spacing w:before="240" w:after="0" w:line="240" w:lineRule="auto"/>
        <w:ind w:left="357" w:hanging="357"/>
        <w:contextualSpacing w:val="0"/>
        <w:jc w:val="both"/>
        <w:rPr>
          <w:rFonts w:ascii="Calibri" w:hAnsi="Calibri"/>
          <w:b/>
          <w:sz w:val="22"/>
          <w:szCs w:val="22"/>
          <w:lang w:val="fr-FR"/>
        </w:rPr>
      </w:pPr>
      <w:r w:rsidRPr="00C10EC2">
        <w:rPr>
          <w:rFonts w:ascii="Calibri" w:hAnsi="Calibri"/>
          <w:b/>
          <w:sz w:val="22"/>
          <w:szCs w:val="22"/>
          <w:lang w:val="fr-FR"/>
        </w:rPr>
        <w:t>Toute autre entité ou organisation ;</w:t>
      </w:r>
    </w:p>
    <w:p w:rsidR="00C10EC2" w:rsidRPr="00C10EC2" w:rsidRDefault="00C10EC2" w:rsidP="00EB5E06">
      <w:pPr>
        <w:pStyle w:val="ListParagraph"/>
        <w:numPr>
          <w:ilvl w:val="0"/>
          <w:numId w:val="19"/>
        </w:numPr>
        <w:spacing w:before="120" w:after="0" w:line="240" w:lineRule="auto"/>
        <w:ind w:left="714" w:hanging="357"/>
        <w:contextualSpacing w:val="0"/>
        <w:jc w:val="both"/>
        <w:rPr>
          <w:rFonts w:ascii="Calibri" w:hAnsi="Calibri"/>
          <w:b/>
          <w:sz w:val="22"/>
          <w:szCs w:val="22"/>
          <w:lang w:val="fr-FR"/>
        </w:rPr>
      </w:pPr>
      <w:r w:rsidRPr="00C10EC2">
        <w:rPr>
          <w:rFonts w:ascii="Calibri" w:hAnsi="Calibri" w:cs="MuseoSans-300"/>
          <w:sz w:val="22"/>
          <w:szCs w:val="22"/>
          <w:lang w:val="fr-FR"/>
        </w:rPr>
        <w:t>Le 26 mars 2018, le Luxembourg a officiellement rejoint la Coalition pour l’égalité des droits (</w:t>
      </w:r>
      <w:proofErr w:type="spellStart"/>
      <w:r w:rsidRPr="00C10EC2">
        <w:rPr>
          <w:rFonts w:ascii="Calibri" w:hAnsi="Calibri" w:cs="MuseoSans-300"/>
          <w:sz w:val="22"/>
          <w:szCs w:val="22"/>
          <w:lang w:val="fr-FR"/>
        </w:rPr>
        <w:t>Equal</w:t>
      </w:r>
      <w:proofErr w:type="spellEnd"/>
      <w:r w:rsidRPr="00C10EC2">
        <w:rPr>
          <w:rFonts w:ascii="Calibri" w:hAnsi="Calibri" w:cs="MuseoSans-300"/>
          <w:sz w:val="22"/>
          <w:szCs w:val="22"/>
          <w:lang w:val="fr-FR"/>
        </w:rPr>
        <w:t xml:space="preserve"> Rights Coalition). La Coalition pour l’Egalité des droits est une alliance internationale </w:t>
      </w:r>
      <w:r w:rsidRPr="00C10EC2">
        <w:rPr>
          <w:rFonts w:ascii="Calibri" w:hAnsi="Calibri" w:cs="MuseoSans-300"/>
          <w:sz w:val="22"/>
          <w:szCs w:val="22"/>
          <w:lang w:val="fr-FR"/>
        </w:rPr>
        <w:lastRenderedPageBreak/>
        <w:t>de 42 Etats qui œuvrent pour la reconnaissance et la protection des droits de toutes les personnes LGBTI à travers des déclarations communes dans des enceintes multilatérales, la coordination de leurs interventions diplomatiques et leur plaidoyer politique dans des contextes nationaux pertinents, ainsi que dans le domaine de la coopération au développement.</w:t>
      </w:r>
    </w:p>
    <w:p w:rsidR="00A56B4B" w:rsidRPr="00C10EC2" w:rsidRDefault="00A56B4B" w:rsidP="00C10EC2">
      <w:pPr>
        <w:spacing w:before="120" w:after="0"/>
        <w:jc w:val="both"/>
        <w:rPr>
          <w:sz w:val="22"/>
          <w:szCs w:val="22"/>
          <w:lang w:val="fr-FR"/>
        </w:rPr>
      </w:pPr>
    </w:p>
    <w:sectPr w:rsidR="00A56B4B" w:rsidRPr="00C10EC2" w:rsidSect="006F293D">
      <w:footerReference w:type="default" r:id="rId11"/>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D8" w:rsidRDefault="008372D8" w:rsidP="005A5AE9">
      <w:pPr>
        <w:spacing w:before="0" w:after="0" w:line="240" w:lineRule="auto"/>
      </w:pPr>
      <w:r>
        <w:separator/>
      </w:r>
    </w:p>
  </w:endnote>
  <w:endnote w:type="continuationSeparator" w:id="0">
    <w:p w:rsidR="008372D8" w:rsidRDefault="008372D8" w:rsidP="005A5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useoSans-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03476"/>
      <w:docPartObj>
        <w:docPartGallery w:val="Page Numbers (Bottom of Page)"/>
        <w:docPartUnique/>
      </w:docPartObj>
    </w:sdtPr>
    <w:sdtEndPr/>
    <w:sdtContent>
      <w:p w:rsidR="005A5AE9" w:rsidRDefault="005A5AE9">
        <w:pPr>
          <w:pStyle w:val="Footer"/>
          <w:jc w:val="right"/>
        </w:pPr>
        <w:r>
          <w:fldChar w:fldCharType="begin"/>
        </w:r>
        <w:r>
          <w:instrText>PAGE   \* MERGEFORMAT</w:instrText>
        </w:r>
        <w:r>
          <w:fldChar w:fldCharType="separate"/>
        </w:r>
        <w:r w:rsidR="00682426" w:rsidRPr="00682426">
          <w:rPr>
            <w:noProof/>
            <w:lang w:val="fr-FR"/>
          </w:rPr>
          <w:t>1</w:t>
        </w:r>
        <w:r>
          <w:fldChar w:fldCharType="end"/>
        </w:r>
      </w:p>
    </w:sdtContent>
  </w:sdt>
  <w:p w:rsidR="005A5AE9" w:rsidRDefault="005A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D8" w:rsidRDefault="008372D8" w:rsidP="005A5AE9">
      <w:pPr>
        <w:spacing w:before="0" w:after="0" w:line="240" w:lineRule="auto"/>
      </w:pPr>
      <w:r>
        <w:separator/>
      </w:r>
    </w:p>
  </w:footnote>
  <w:footnote w:type="continuationSeparator" w:id="0">
    <w:p w:rsidR="008372D8" w:rsidRDefault="008372D8" w:rsidP="005A5A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782"/>
    <w:multiLevelType w:val="hybridMultilevel"/>
    <w:tmpl w:val="BD2E1232"/>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start w:val="1"/>
      <w:numFmt w:val="bullet"/>
      <w:lvlText w:val=""/>
      <w:lvlJc w:val="left"/>
      <w:pPr>
        <w:ind w:left="2160" w:hanging="360"/>
      </w:pPr>
      <w:rPr>
        <w:rFonts w:ascii="Wingdings" w:hAnsi="Wingdings" w:hint="default"/>
      </w:rPr>
    </w:lvl>
    <w:lvl w:ilvl="3" w:tplc="046E0001">
      <w:start w:val="1"/>
      <w:numFmt w:val="bullet"/>
      <w:lvlText w:val=""/>
      <w:lvlJc w:val="left"/>
      <w:pPr>
        <w:ind w:left="2880" w:hanging="360"/>
      </w:pPr>
      <w:rPr>
        <w:rFonts w:ascii="Symbol" w:hAnsi="Symbol" w:hint="default"/>
      </w:rPr>
    </w:lvl>
    <w:lvl w:ilvl="4" w:tplc="046E0003">
      <w:start w:val="1"/>
      <w:numFmt w:val="bullet"/>
      <w:lvlText w:val="o"/>
      <w:lvlJc w:val="left"/>
      <w:pPr>
        <w:ind w:left="3600" w:hanging="360"/>
      </w:pPr>
      <w:rPr>
        <w:rFonts w:ascii="Courier New" w:hAnsi="Courier New" w:cs="Courier New" w:hint="default"/>
      </w:rPr>
    </w:lvl>
    <w:lvl w:ilvl="5" w:tplc="046E0005">
      <w:start w:val="1"/>
      <w:numFmt w:val="bullet"/>
      <w:lvlText w:val=""/>
      <w:lvlJc w:val="left"/>
      <w:pPr>
        <w:ind w:left="4320" w:hanging="360"/>
      </w:pPr>
      <w:rPr>
        <w:rFonts w:ascii="Wingdings" w:hAnsi="Wingdings" w:hint="default"/>
      </w:rPr>
    </w:lvl>
    <w:lvl w:ilvl="6" w:tplc="046E0001">
      <w:start w:val="1"/>
      <w:numFmt w:val="bullet"/>
      <w:lvlText w:val=""/>
      <w:lvlJc w:val="left"/>
      <w:pPr>
        <w:ind w:left="5040" w:hanging="360"/>
      </w:pPr>
      <w:rPr>
        <w:rFonts w:ascii="Symbol" w:hAnsi="Symbol" w:hint="default"/>
      </w:rPr>
    </w:lvl>
    <w:lvl w:ilvl="7" w:tplc="046E0003">
      <w:start w:val="1"/>
      <w:numFmt w:val="bullet"/>
      <w:lvlText w:val="o"/>
      <w:lvlJc w:val="left"/>
      <w:pPr>
        <w:ind w:left="5760" w:hanging="360"/>
      </w:pPr>
      <w:rPr>
        <w:rFonts w:ascii="Courier New" w:hAnsi="Courier New" w:cs="Courier New" w:hint="default"/>
      </w:rPr>
    </w:lvl>
    <w:lvl w:ilvl="8" w:tplc="046E0005">
      <w:start w:val="1"/>
      <w:numFmt w:val="bullet"/>
      <w:lvlText w:val=""/>
      <w:lvlJc w:val="left"/>
      <w:pPr>
        <w:ind w:left="6480" w:hanging="360"/>
      </w:pPr>
      <w:rPr>
        <w:rFonts w:ascii="Wingdings" w:hAnsi="Wingdings" w:hint="default"/>
      </w:rPr>
    </w:lvl>
  </w:abstractNum>
  <w:abstractNum w:abstractNumId="1" w15:restartNumberingAfterBreak="0">
    <w:nsid w:val="0A1154E7"/>
    <w:multiLevelType w:val="multilevel"/>
    <w:tmpl w:val="923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92D02"/>
    <w:multiLevelType w:val="multilevel"/>
    <w:tmpl w:val="9FC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2219F"/>
    <w:multiLevelType w:val="hybridMultilevel"/>
    <w:tmpl w:val="3866254E"/>
    <w:lvl w:ilvl="0" w:tplc="040C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C9949D6"/>
    <w:multiLevelType w:val="hybridMultilevel"/>
    <w:tmpl w:val="CBDE8B6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1A60A12"/>
    <w:multiLevelType w:val="hybridMultilevel"/>
    <w:tmpl w:val="712ADB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843099"/>
    <w:multiLevelType w:val="hybridMultilevel"/>
    <w:tmpl w:val="6D28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3F32"/>
    <w:multiLevelType w:val="hybridMultilevel"/>
    <w:tmpl w:val="65FAB6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4485ED6"/>
    <w:multiLevelType w:val="multilevel"/>
    <w:tmpl w:val="923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03ECF"/>
    <w:multiLevelType w:val="hybridMultilevel"/>
    <w:tmpl w:val="AE9E5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029F"/>
    <w:multiLevelType w:val="multilevel"/>
    <w:tmpl w:val="923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B7375"/>
    <w:multiLevelType w:val="hybridMultilevel"/>
    <w:tmpl w:val="39747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6B18CF"/>
    <w:multiLevelType w:val="hybridMultilevel"/>
    <w:tmpl w:val="E398E8CE"/>
    <w:lvl w:ilvl="0" w:tplc="1007000F">
      <w:start w:val="1"/>
      <w:numFmt w:val="decimal"/>
      <w:lvlText w:val="%1."/>
      <w:lvlJc w:val="left"/>
      <w:pPr>
        <w:ind w:left="720" w:hanging="360"/>
      </w:pPr>
      <w:rPr>
        <w:rFont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3" w15:restartNumberingAfterBreak="0">
    <w:nsid w:val="54CB382A"/>
    <w:multiLevelType w:val="hybridMultilevel"/>
    <w:tmpl w:val="D6DE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B3191F"/>
    <w:multiLevelType w:val="hybridMultilevel"/>
    <w:tmpl w:val="C85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41F70"/>
    <w:multiLevelType w:val="multilevel"/>
    <w:tmpl w:val="68C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8613A"/>
    <w:multiLevelType w:val="hybridMultilevel"/>
    <w:tmpl w:val="758C0CB2"/>
    <w:lvl w:ilvl="0" w:tplc="7DB04AD0">
      <w:start w:val="1"/>
      <w:numFmt w:val="bullet"/>
      <w:lvlText w:val="o"/>
      <w:lvlJc w:val="left"/>
      <w:pPr>
        <w:tabs>
          <w:tab w:val="num" w:pos="720"/>
        </w:tabs>
        <w:ind w:left="720" w:hanging="360"/>
      </w:pPr>
      <w:rPr>
        <w:rFonts w:ascii="Courier New" w:hAnsi="Courier New" w:hint="default"/>
      </w:rPr>
    </w:lvl>
    <w:lvl w:ilvl="1" w:tplc="862CC40C">
      <w:start w:val="1"/>
      <w:numFmt w:val="bullet"/>
      <w:lvlText w:val="o"/>
      <w:lvlJc w:val="left"/>
      <w:pPr>
        <w:tabs>
          <w:tab w:val="num" w:pos="1440"/>
        </w:tabs>
        <w:ind w:left="1440" w:hanging="360"/>
      </w:pPr>
      <w:rPr>
        <w:rFonts w:ascii="Courier New" w:hAnsi="Courier New" w:hint="default"/>
      </w:rPr>
    </w:lvl>
    <w:lvl w:ilvl="2" w:tplc="A74C8C2E" w:tentative="1">
      <w:start w:val="1"/>
      <w:numFmt w:val="bullet"/>
      <w:lvlText w:val="o"/>
      <w:lvlJc w:val="left"/>
      <w:pPr>
        <w:tabs>
          <w:tab w:val="num" w:pos="2160"/>
        </w:tabs>
        <w:ind w:left="2160" w:hanging="360"/>
      </w:pPr>
      <w:rPr>
        <w:rFonts w:ascii="Courier New" w:hAnsi="Courier New" w:hint="default"/>
      </w:rPr>
    </w:lvl>
    <w:lvl w:ilvl="3" w:tplc="49A4A2A2" w:tentative="1">
      <w:start w:val="1"/>
      <w:numFmt w:val="bullet"/>
      <w:lvlText w:val="o"/>
      <w:lvlJc w:val="left"/>
      <w:pPr>
        <w:tabs>
          <w:tab w:val="num" w:pos="2880"/>
        </w:tabs>
        <w:ind w:left="2880" w:hanging="360"/>
      </w:pPr>
      <w:rPr>
        <w:rFonts w:ascii="Courier New" w:hAnsi="Courier New" w:hint="default"/>
      </w:rPr>
    </w:lvl>
    <w:lvl w:ilvl="4" w:tplc="AB1A6E44" w:tentative="1">
      <w:start w:val="1"/>
      <w:numFmt w:val="bullet"/>
      <w:lvlText w:val="o"/>
      <w:lvlJc w:val="left"/>
      <w:pPr>
        <w:tabs>
          <w:tab w:val="num" w:pos="3600"/>
        </w:tabs>
        <w:ind w:left="3600" w:hanging="360"/>
      </w:pPr>
      <w:rPr>
        <w:rFonts w:ascii="Courier New" w:hAnsi="Courier New" w:hint="default"/>
      </w:rPr>
    </w:lvl>
    <w:lvl w:ilvl="5" w:tplc="A0381AE6" w:tentative="1">
      <w:start w:val="1"/>
      <w:numFmt w:val="bullet"/>
      <w:lvlText w:val="o"/>
      <w:lvlJc w:val="left"/>
      <w:pPr>
        <w:tabs>
          <w:tab w:val="num" w:pos="4320"/>
        </w:tabs>
        <w:ind w:left="4320" w:hanging="360"/>
      </w:pPr>
      <w:rPr>
        <w:rFonts w:ascii="Courier New" w:hAnsi="Courier New" w:hint="default"/>
      </w:rPr>
    </w:lvl>
    <w:lvl w:ilvl="6" w:tplc="55B2245A" w:tentative="1">
      <w:start w:val="1"/>
      <w:numFmt w:val="bullet"/>
      <w:lvlText w:val="o"/>
      <w:lvlJc w:val="left"/>
      <w:pPr>
        <w:tabs>
          <w:tab w:val="num" w:pos="5040"/>
        </w:tabs>
        <w:ind w:left="5040" w:hanging="360"/>
      </w:pPr>
      <w:rPr>
        <w:rFonts w:ascii="Courier New" w:hAnsi="Courier New" w:hint="default"/>
      </w:rPr>
    </w:lvl>
    <w:lvl w:ilvl="7" w:tplc="E210174A" w:tentative="1">
      <w:start w:val="1"/>
      <w:numFmt w:val="bullet"/>
      <w:lvlText w:val="o"/>
      <w:lvlJc w:val="left"/>
      <w:pPr>
        <w:tabs>
          <w:tab w:val="num" w:pos="5760"/>
        </w:tabs>
        <w:ind w:left="5760" w:hanging="360"/>
      </w:pPr>
      <w:rPr>
        <w:rFonts w:ascii="Courier New" w:hAnsi="Courier New" w:hint="default"/>
      </w:rPr>
    </w:lvl>
    <w:lvl w:ilvl="8" w:tplc="FA58A7A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5ECB620E"/>
    <w:multiLevelType w:val="hybridMultilevel"/>
    <w:tmpl w:val="16B8DB2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2F2EAA"/>
    <w:multiLevelType w:val="hybridMultilevel"/>
    <w:tmpl w:val="F42840B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BD67A9"/>
    <w:multiLevelType w:val="hybridMultilevel"/>
    <w:tmpl w:val="286AA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E5B3884"/>
    <w:multiLevelType w:val="hybridMultilevel"/>
    <w:tmpl w:val="CEC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5"/>
  </w:num>
  <w:num w:numId="4">
    <w:abstractNumId w:val="10"/>
  </w:num>
  <w:num w:numId="5">
    <w:abstractNumId w:val="1"/>
  </w:num>
  <w:num w:numId="6">
    <w:abstractNumId w:val="8"/>
  </w:num>
  <w:num w:numId="7">
    <w:abstractNumId w:val="5"/>
  </w:num>
  <w:num w:numId="8">
    <w:abstractNumId w:val="9"/>
  </w:num>
  <w:num w:numId="9">
    <w:abstractNumId w:val="6"/>
  </w:num>
  <w:num w:numId="10">
    <w:abstractNumId w:val="0"/>
  </w:num>
  <w:num w:numId="11">
    <w:abstractNumId w:val="14"/>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19"/>
  </w:num>
  <w:num w:numId="17">
    <w:abstractNumId w:val="3"/>
  </w:num>
  <w:num w:numId="18">
    <w:abstractNumId w:val="13"/>
  </w:num>
  <w:num w:numId="19">
    <w:abstractNumId w:val="18"/>
  </w:num>
  <w:num w:numId="20">
    <w:abstractNumId w:val="16"/>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1F"/>
    <w:rsid w:val="00031E4B"/>
    <w:rsid w:val="00037B02"/>
    <w:rsid w:val="000F1FA9"/>
    <w:rsid w:val="000F3C1E"/>
    <w:rsid w:val="0015099B"/>
    <w:rsid w:val="001A6665"/>
    <w:rsid w:val="001D5BCF"/>
    <w:rsid w:val="001F1785"/>
    <w:rsid w:val="0023311B"/>
    <w:rsid w:val="00244748"/>
    <w:rsid w:val="00260B82"/>
    <w:rsid w:val="00286038"/>
    <w:rsid w:val="002B0592"/>
    <w:rsid w:val="002B41A6"/>
    <w:rsid w:val="002C4F01"/>
    <w:rsid w:val="002F7B66"/>
    <w:rsid w:val="00315622"/>
    <w:rsid w:val="00333CCE"/>
    <w:rsid w:val="003E68E6"/>
    <w:rsid w:val="00415823"/>
    <w:rsid w:val="004167B2"/>
    <w:rsid w:val="004177D9"/>
    <w:rsid w:val="004537CB"/>
    <w:rsid w:val="00475D12"/>
    <w:rsid w:val="004923D2"/>
    <w:rsid w:val="004C0352"/>
    <w:rsid w:val="004D7FD7"/>
    <w:rsid w:val="004E4685"/>
    <w:rsid w:val="00530B0B"/>
    <w:rsid w:val="00565969"/>
    <w:rsid w:val="005879C9"/>
    <w:rsid w:val="005A1C76"/>
    <w:rsid w:val="005A5AE9"/>
    <w:rsid w:val="00626EF2"/>
    <w:rsid w:val="00635245"/>
    <w:rsid w:val="006369B8"/>
    <w:rsid w:val="00665900"/>
    <w:rsid w:val="00666794"/>
    <w:rsid w:val="00682426"/>
    <w:rsid w:val="006C5E48"/>
    <w:rsid w:val="006D0CE6"/>
    <w:rsid w:val="006E205A"/>
    <w:rsid w:val="006F293D"/>
    <w:rsid w:val="00702CD7"/>
    <w:rsid w:val="007326F2"/>
    <w:rsid w:val="00750CFD"/>
    <w:rsid w:val="0075165B"/>
    <w:rsid w:val="008372D8"/>
    <w:rsid w:val="0084163B"/>
    <w:rsid w:val="00860426"/>
    <w:rsid w:val="00863886"/>
    <w:rsid w:val="00865FBB"/>
    <w:rsid w:val="008B222F"/>
    <w:rsid w:val="008E4D02"/>
    <w:rsid w:val="009C3A51"/>
    <w:rsid w:val="00A11E41"/>
    <w:rsid w:val="00A22000"/>
    <w:rsid w:val="00A56B4B"/>
    <w:rsid w:val="00A6257A"/>
    <w:rsid w:val="00A74A55"/>
    <w:rsid w:val="00A8118C"/>
    <w:rsid w:val="00A8689E"/>
    <w:rsid w:val="00AB34AC"/>
    <w:rsid w:val="00AC55A2"/>
    <w:rsid w:val="00B44629"/>
    <w:rsid w:val="00C10EC2"/>
    <w:rsid w:val="00C4461F"/>
    <w:rsid w:val="00C65BF1"/>
    <w:rsid w:val="00CA36C9"/>
    <w:rsid w:val="00CB1C67"/>
    <w:rsid w:val="00CC00B2"/>
    <w:rsid w:val="00D64630"/>
    <w:rsid w:val="00DA4263"/>
    <w:rsid w:val="00DB2C80"/>
    <w:rsid w:val="00DF042B"/>
    <w:rsid w:val="00E13CD0"/>
    <w:rsid w:val="00EA4B2F"/>
    <w:rsid w:val="00EB5E06"/>
    <w:rsid w:val="00EB624C"/>
    <w:rsid w:val="00F65392"/>
    <w:rsid w:val="00F7468E"/>
    <w:rsid w:val="00FD2681"/>
    <w:rsid w:val="00FD3732"/>
    <w:rsid w:val="00FD4377"/>
    <w:rsid w:val="00FD5C12"/>
    <w:rsid w:val="00FF7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79B8"/>
  <w15:chartTrackingRefBased/>
  <w15:docId w15:val="{00A5FFA8-EB59-46FE-B102-75CF65F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1F"/>
    <w:pPr>
      <w:spacing w:before="100" w:after="200" w:line="276"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1F"/>
    <w:pPr>
      <w:ind w:left="720"/>
      <w:contextualSpacing/>
    </w:pPr>
  </w:style>
  <w:style w:type="paragraph" w:styleId="NormalWeb">
    <w:name w:val="Normal (Web)"/>
    <w:basedOn w:val="Normal"/>
    <w:uiPriority w:val="99"/>
    <w:semiHidden/>
    <w:unhideWhenUsed/>
    <w:rsid w:val="00C4461F"/>
    <w:rPr>
      <w:rFonts w:ascii="Times New Roman" w:hAnsi="Times New Roman" w:cs="Times New Roman"/>
      <w:sz w:val="24"/>
      <w:szCs w:val="24"/>
    </w:rPr>
  </w:style>
  <w:style w:type="paragraph" w:styleId="Header">
    <w:name w:val="header"/>
    <w:basedOn w:val="Normal"/>
    <w:link w:val="HeaderChar"/>
    <w:uiPriority w:val="99"/>
    <w:unhideWhenUsed/>
    <w:rsid w:val="005A5A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5AE9"/>
    <w:rPr>
      <w:rFonts w:eastAsiaTheme="minorEastAsia"/>
      <w:sz w:val="20"/>
      <w:szCs w:val="20"/>
      <w:lang w:val="en-US"/>
    </w:rPr>
  </w:style>
  <w:style w:type="paragraph" w:styleId="Footer">
    <w:name w:val="footer"/>
    <w:basedOn w:val="Normal"/>
    <w:link w:val="FooterChar"/>
    <w:uiPriority w:val="99"/>
    <w:unhideWhenUsed/>
    <w:rsid w:val="005A5A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5AE9"/>
    <w:rPr>
      <w:rFonts w:eastAsiaTheme="minorEastAsia"/>
      <w:sz w:val="20"/>
      <w:szCs w:val="20"/>
      <w:lang w:val="en-US"/>
    </w:rPr>
  </w:style>
  <w:style w:type="paragraph" w:styleId="BalloonText">
    <w:name w:val="Balloon Text"/>
    <w:basedOn w:val="Normal"/>
    <w:link w:val="BalloonTextChar"/>
    <w:uiPriority w:val="99"/>
    <w:semiHidden/>
    <w:unhideWhenUsed/>
    <w:rsid w:val="005879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C9"/>
    <w:rPr>
      <w:rFonts w:ascii="Segoe UI" w:eastAsiaTheme="minorEastAsia" w:hAnsi="Segoe UI" w:cs="Segoe UI"/>
      <w:sz w:val="18"/>
      <w:szCs w:val="18"/>
      <w:lang w:val="en-US"/>
    </w:rPr>
  </w:style>
  <w:style w:type="character" w:styleId="Hyperlink">
    <w:name w:val="Hyperlink"/>
    <w:basedOn w:val="DefaultParagraphFont"/>
    <w:uiPriority w:val="99"/>
    <w:unhideWhenUsed/>
    <w:rsid w:val="004E4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8532">
      <w:bodyDiv w:val="1"/>
      <w:marLeft w:val="0"/>
      <w:marRight w:val="0"/>
      <w:marTop w:val="0"/>
      <w:marBottom w:val="0"/>
      <w:divBdr>
        <w:top w:val="none" w:sz="0" w:space="0" w:color="auto"/>
        <w:left w:val="none" w:sz="0" w:space="0" w:color="auto"/>
        <w:bottom w:val="none" w:sz="0" w:space="0" w:color="auto"/>
        <w:right w:val="none" w:sz="0" w:space="0" w:color="auto"/>
      </w:divBdr>
      <w:divsChild>
        <w:div w:id="1144397953">
          <w:marLeft w:val="0"/>
          <w:marRight w:val="0"/>
          <w:marTop w:val="0"/>
          <w:marBottom w:val="0"/>
          <w:divBdr>
            <w:top w:val="none" w:sz="0" w:space="0" w:color="auto"/>
            <w:left w:val="none" w:sz="0" w:space="0" w:color="auto"/>
            <w:bottom w:val="none" w:sz="0" w:space="0" w:color="auto"/>
            <w:right w:val="none" w:sz="0" w:space="0" w:color="auto"/>
          </w:divBdr>
          <w:divsChild>
            <w:div w:id="1290428394">
              <w:marLeft w:val="0"/>
              <w:marRight w:val="0"/>
              <w:marTop w:val="0"/>
              <w:marBottom w:val="0"/>
              <w:divBdr>
                <w:top w:val="none" w:sz="0" w:space="0" w:color="auto"/>
                <w:left w:val="none" w:sz="0" w:space="0" w:color="auto"/>
                <w:bottom w:val="none" w:sz="0" w:space="0" w:color="auto"/>
                <w:right w:val="none" w:sz="0" w:space="0" w:color="auto"/>
              </w:divBdr>
              <w:divsChild>
                <w:div w:id="8316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3197">
      <w:bodyDiv w:val="1"/>
      <w:marLeft w:val="0"/>
      <w:marRight w:val="0"/>
      <w:marTop w:val="0"/>
      <w:marBottom w:val="0"/>
      <w:divBdr>
        <w:top w:val="none" w:sz="0" w:space="0" w:color="auto"/>
        <w:left w:val="none" w:sz="0" w:space="0" w:color="auto"/>
        <w:bottom w:val="none" w:sz="0" w:space="0" w:color="auto"/>
        <w:right w:val="none" w:sz="0" w:space="0" w:color="auto"/>
      </w:divBdr>
      <w:divsChild>
        <w:div w:id="1665818555">
          <w:marLeft w:val="1080"/>
          <w:marRight w:val="0"/>
          <w:marTop w:val="50"/>
          <w:marBottom w:val="50"/>
          <w:divBdr>
            <w:top w:val="none" w:sz="0" w:space="0" w:color="auto"/>
            <w:left w:val="none" w:sz="0" w:space="0" w:color="auto"/>
            <w:bottom w:val="none" w:sz="0" w:space="0" w:color="auto"/>
            <w:right w:val="none" w:sz="0" w:space="0" w:color="auto"/>
          </w:divBdr>
        </w:div>
      </w:divsChild>
    </w:div>
    <w:div w:id="603341969">
      <w:bodyDiv w:val="1"/>
      <w:marLeft w:val="0"/>
      <w:marRight w:val="0"/>
      <w:marTop w:val="0"/>
      <w:marBottom w:val="0"/>
      <w:divBdr>
        <w:top w:val="none" w:sz="0" w:space="0" w:color="auto"/>
        <w:left w:val="none" w:sz="0" w:space="0" w:color="auto"/>
        <w:bottom w:val="none" w:sz="0" w:space="0" w:color="auto"/>
        <w:right w:val="none" w:sz="0" w:space="0" w:color="auto"/>
      </w:divBdr>
      <w:divsChild>
        <w:div w:id="1359087137">
          <w:marLeft w:val="0"/>
          <w:marRight w:val="0"/>
          <w:marTop w:val="0"/>
          <w:marBottom w:val="0"/>
          <w:divBdr>
            <w:top w:val="none" w:sz="0" w:space="0" w:color="auto"/>
            <w:left w:val="none" w:sz="0" w:space="0" w:color="auto"/>
            <w:bottom w:val="none" w:sz="0" w:space="0" w:color="auto"/>
            <w:right w:val="none" w:sz="0" w:space="0" w:color="auto"/>
          </w:divBdr>
          <w:divsChild>
            <w:div w:id="2143886183">
              <w:marLeft w:val="0"/>
              <w:marRight w:val="0"/>
              <w:marTop w:val="0"/>
              <w:marBottom w:val="0"/>
              <w:divBdr>
                <w:top w:val="none" w:sz="0" w:space="0" w:color="auto"/>
                <w:left w:val="none" w:sz="0" w:space="0" w:color="auto"/>
                <w:bottom w:val="none" w:sz="0" w:space="0" w:color="auto"/>
                <w:right w:val="none" w:sz="0" w:space="0" w:color="auto"/>
              </w:divBdr>
              <w:divsChild>
                <w:div w:id="15825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2756">
      <w:bodyDiv w:val="1"/>
      <w:marLeft w:val="0"/>
      <w:marRight w:val="0"/>
      <w:marTop w:val="0"/>
      <w:marBottom w:val="0"/>
      <w:divBdr>
        <w:top w:val="none" w:sz="0" w:space="0" w:color="auto"/>
        <w:left w:val="none" w:sz="0" w:space="0" w:color="auto"/>
        <w:bottom w:val="none" w:sz="0" w:space="0" w:color="auto"/>
        <w:right w:val="none" w:sz="0" w:space="0" w:color="auto"/>
      </w:divBdr>
      <w:divsChild>
        <w:div w:id="941568341">
          <w:marLeft w:val="0"/>
          <w:marRight w:val="0"/>
          <w:marTop w:val="0"/>
          <w:marBottom w:val="0"/>
          <w:divBdr>
            <w:top w:val="none" w:sz="0" w:space="0" w:color="auto"/>
            <w:left w:val="none" w:sz="0" w:space="0" w:color="auto"/>
            <w:bottom w:val="none" w:sz="0" w:space="0" w:color="auto"/>
            <w:right w:val="none" w:sz="0" w:space="0" w:color="auto"/>
          </w:divBdr>
          <w:divsChild>
            <w:div w:id="1932857196">
              <w:marLeft w:val="0"/>
              <w:marRight w:val="0"/>
              <w:marTop w:val="0"/>
              <w:marBottom w:val="0"/>
              <w:divBdr>
                <w:top w:val="none" w:sz="0" w:space="0" w:color="auto"/>
                <w:left w:val="none" w:sz="0" w:space="0" w:color="auto"/>
                <w:bottom w:val="none" w:sz="0" w:space="0" w:color="auto"/>
                <w:right w:val="none" w:sz="0" w:space="0" w:color="auto"/>
              </w:divBdr>
              <w:divsChild>
                <w:div w:id="210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1158">
      <w:bodyDiv w:val="1"/>
      <w:marLeft w:val="0"/>
      <w:marRight w:val="0"/>
      <w:marTop w:val="0"/>
      <w:marBottom w:val="0"/>
      <w:divBdr>
        <w:top w:val="none" w:sz="0" w:space="0" w:color="auto"/>
        <w:left w:val="none" w:sz="0" w:space="0" w:color="auto"/>
        <w:bottom w:val="none" w:sz="0" w:space="0" w:color="auto"/>
        <w:right w:val="none" w:sz="0" w:space="0" w:color="auto"/>
      </w:divBdr>
    </w:div>
    <w:div w:id="1548685667">
      <w:bodyDiv w:val="1"/>
      <w:marLeft w:val="0"/>
      <w:marRight w:val="0"/>
      <w:marTop w:val="0"/>
      <w:marBottom w:val="0"/>
      <w:divBdr>
        <w:top w:val="none" w:sz="0" w:space="0" w:color="auto"/>
        <w:left w:val="none" w:sz="0" w:space="0" w:color="auto"/>
        <w:bottom w:val="none" w:sz="0" w:space="0" w:color="auto"/>
        <w:right w:val="none" w:sz="0" w:space="0" w:color="auto"/>
      </w:divBdr>
    </w:div>
    <w:div w:id="1808622975">
      <w:bodyDiv w:val="1"/>
      <w:marLeft w:val="0"/>
      <w:marRight w:val="0"/>
      <w:marTop w:val="0"/>
      <w:marBottom w:val="0"/>
      <w:divBdr>
        <w:top w:val="none" w:sz="0" w:space="0" w:color="auto"/>
        <w:left w:val="none" w:sz="0" w:space="0" w:color="auto"/>
        <w:bottom w:val="none" w:sz="0" w:space="0" w:color="auto"/>
        <w:right w:val="none" w:sz="0" w:space="0" w:color="auto"/>
      </w:divBdr>
    </w:div>
    <w:div w:id="1840151569">
      <w:bodyDiv w:val="1"/>
      <w:marLeft w:val="0"/>
      <w:marRight w:val="0"/>
      <w:marTop w:val="0"/>
      <w:marBottom w:val="0"/>
      <w:divBdr>
        <w:top w:val="none" w:sz="0" w:space="0" w:color="auto"/>
        <w:left w:val="none" w:sz="0" w:space="0" w:color="auto"/>
        <w:bottom w:val="none" w:sz="0" w:space="0" w:color="auto"/>
        <w:right w:val="none" w:sz="0" w:space="0" w:color="auto"/>
      </w:divBdr>
      <w:divsChild>
        <w:div w:id="805045464">
          <w:marLeft w:val="0"/>
          <w:marRight w:val="0"/>
          <w:marTop w:val="0"/>
          <w:marBottom w:val="0"/>
          <w:divBdr>
            <w:top w:val="none" w:sz="0" w:space="0" w:color="auto"/>
            <w:left w:val="none" w:sz="0" w:space="0" w:color="auto"/>
            <w:bottom w:val="none" w:sz="0" w:space="0" w:color="auto"/>
            <w:right w:val="none" w:sz="0" w:space="0" w:color="auto"/>
          </w:divBdr>
          <w:divsChild>
            <w:div w:id="1692412272">
              <w:marLeft w:val="0"/>
              <w:marRight w:val="0"/>
              <w:marTop w:val="0"/>
              <w:marBottom w:val="0"/>
              <w:divBdr>
                <w:top w:val="none" w:sz="0" w:space="0" w:color="auto"/>
                <w:left w:val="none" w:sz="0" w:space="0" w:color="auto"/>
                <w:bottom w:val="none" w:sz="0" w:space="0" w:color="auto"/>
                <w:right w:val="none" w:sz="0" w:space="0" w:color="auto"/>
              </w:divBdr>
              <w:divsChild>
                <w:div w:id="1780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lux.public.lu/eli/etat/leg/loi/2018/08/10/a797/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legilux.public.lu/eli/etat/leg/loi/2018/08/10/a797/jo" TargetMode="External"/><Relationship Id="rId4" Type="http://schemas.openxmlformats.org/officeDocument/2006/relationships/settings" Target="settings.xml"/><Relationship Id="rId9" Type="http://schemas.openxmlformats.org/officeDocument/2006/relationships/hyperlink" Target="http://www.intersexe.l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B537AD-F5EA-4D53-A143-CCFDE429DF95}">
  <ds:schemaRefs>
    <ds:schemaRef ds:uri="http://schemas.openxmlformats.org/officeDocument/2006/bibliography"/>
  </ds:schemaRefs>
</ds:datastoreItem>
</file>

<file path=customXml/itemProps2.xml><?xml version="1.0" encoding="utf-8"?>
<ds:datastoreItem xmlns:ds="http://schemas.openxmlformats.org/officeDocument/2006/customXml" ds:itemID="{5B8627ED-AE04-45A2-9E80-1CBB89E60145}"/>
</file>

<file path=customXml/itemProps3.xml><?xml version="1.0" encoding="utf-8"?>
<ds:datastoreItem xmlns:ds="http://schemas.openxmlformats.org/officeDocument/2006/customXml" ds:itemID="{DB4102BF-46F7-4F7B-A4EC-2D5354775E79}"/>
</file>

<file path=customXml/itemProps4.xml><?xml version="1.0" encoding="utf-8"?>
<ds:datastoreItem xmlns:ds="http://schemas.openxmlformats.org/officeDocument/2006/customXml" ds:itemID="{237195D5-E695-4688-B50A-F222AA664BF9}"/>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Boever</dc:creator>
  <cp:keywords/>
  <dc:description/>
  <cp:lastModifiedBy>Luc Dockendorf</cp:lastModifiedBy>
  <cp:revision>3</cp:revision>
  <cp:lastPrinted>2019-12-20T12:00:00Z</cp:lastPrinted>
  <dcterms:created xsi:type="dcterms:W3CDTF">2019-12-20T12:29:00Z</dcterms:created>
  <dcterms:modified xsi:type="dcterms:W3CDTF">2019-12-20T12:31:00Z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