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D35A8" w14:textId="77777777" w:rsidR="009969D1" w:rsidRPr="009969D1" w:rsidRDefault="009969D1" w:rsidP="009969D1">
      <w:pPr>
        <w:jc w:val="center"/>
        <w:rPr>
          <w:rFonts w:eastAsia="Arial"/>
          <w:b/>
          <w:color w:val="000000"/>
          <w:sz w:val="24"/>
          <w:szCs w:val="24"/>
          <w:lang w:val="es-ES_tradnl" w:eastAsia="zh-CN"/>
        </w:rPr>
      </w:pPr>
      <w:r w:rsidRPr="009969D1">
        <w:rPr>
          <w:rFonts w:eastAsia="Arial"/>
          <w:b/>
          <w:color w:val="000000"/>
          <w:sz w:val="24"/>
          <w:szCs w:val="24"/>
          <w:lang w:val="es-ES_tradnl" w:eastAsia="zh-CN"/>
        </w:rPr>
        <w:t>Solicitud de contribuciones</w:t>
      </w:r>
    </w:p>
    <w:p w14:paraId="0B003597" w14:textId="77777777" w:rsidR="009969D1" w:rsidRPr="009969D1" w:rsidRDefault="009969D1" w:rsidP="009969D1">
      <w:pPr>
        <w:jc w:val="center"/>
        <w:rPr>
          <w:rFonts w:eastAsia="Arial"/>
          <w:b/>
          <w:color w:val="000000"/>
          <w:sz w:val="24"/>
          <w:szCs w:val="24"/>
          <w:lang w:val="es-ES_tradnl" w:eastAsia="zh-CN"/>
        </w:rPr>
      </w:pPr>
    </w:p>
    <w:p w14:paraId="2214A73E" w14:textId="059285BF" w:rsidR="009969D1" w:rsidRPr="009969D1" w:rsidRDefault="009969D1" w:rsidP="009969D1">
      <w:pPr>
        <w:jc w:val="center"/>
        <w:rPr>
          <w:b/>
          <w:color w:val="000000"/>
          <w:sz w:val="24"/>
          <w:szCs w:val="24"/>
          <w:u w:val="single"/>
          <w:lang w:val="es-ES_tradnl" w:eastAsia="zh-CN"/>
        </w:rPr>
      </w:pPr>
      <w:r w:rsidRPr="009969D1">
        <w:rPr>
          <w:rFonts w:eastAsia="Arial"/>
          <w:b/>
          <w:color w:val="000000"/>
          <w:sz w:val="24"/>
          <w:szCs w:val="24"/>
          <w:u w:val="single"/>
          <w:lang w:val="es-ES_tradnl" w:eastAsia="zh-CN"/>
        </w:rPr>
        <w:t xml:space="preserve">Fecha límite 31 de mayo </w:t>
      </w:r>
      <w:r w:rsidR="00F85F70">
        <w:rPr>
          <w:rFonts w:eastAsia="Arial"/>
          <w:b/>
          <w:color w:val="000000"/>
          <w:sz w:val="24"/>
          <w:szCs w:val="24"/>
          <w:u w:val="single"/>
          <w:lang w:val="es-ES_tradnl" w:eastAsia="zh-CN"/>
        </w:rPr>
        <w:t xml:space="preserve">de </w:t>
      </w:r>
      <w:r w:rsidRPr="009969D1">
        <w:rPr>
          <w:rFonts w:eastAsia="Arial"/>
          <w:b/>
          <w:color w:val="000000"/>
          <w:sz w:val="24"/>
          <w:szCs w:val="24"/>
          <w:u w:val="single"/>
          <w:lang w:val="es-ES_tradnl" w:eastAsia="zh-CN"/>
        </w:rPr>
        <w:t>2019</w:t>
      </w:r>
    </w:p>
    <w:p w14:paraId="0D60B0A5" w14:textId="77777777" w:rsidR="009969D1" w:rsidRPr="009969D1" w:rsidRDefault="009969D1" w:rsidP="009969D1">
      <w:pPr>
        <w:rPr>
          <w:b/>
          <w:color w:val="000000"/>
          <w:sz w:val="24"/>
          <w:szCs w:val="24"/>
          <w:lang w:val="es-ES_tradnl" w:eastAsia="zh-CN"/>
        </w:rPr>
      </w:pPr>
    </w:p>
    <w:p w14:paraId="5165697B" w14:textId="05B11A9C" w:rsidR="009969D1" w:rsidRDefault="009969D1" w:rsidP="009969D1">
      <w:pPr>
        <w:autoSpaceDE w:val="0"/>
        <w:autoSpaceDN w:val="0"/>
        <w:adjustRightInd w:val="0"/>
        <w:jc w:val="center"/>
        <w:rPr>
          <w:rFonts w:eastAsia="Arial"/>
          <w:b/>
          <w:color w:val="000000"/>
          <w:sz w:val="24"/>
          <w:szCs w:val="24"/>
          <w:lang w:val="es-ES_tradnl" w:eastAsia="zh-CN"/>
        </w:rPr>
      </w:pPr>
      <w:r w:rsidRPr="009969D1">
        <w:rPr>
          <w:rFonts w:eastAsia="Arial"/>
          <w:b/>
          <w:color w:val="000000"/>
          <w:sz w:val="24"/>
          <w:szCs w:val="24"/>
          <w:lang w:val="es-ES_tradnl" w:eastAsia="zh-CN"/>
        </w:rPr>
        <w:t>Informe del Experto Independiente sobre la protección contra la violencia y la discriminación basadas en la orientación sexual y la identidad de género</w:t>
      </w:r>
    </w:p>
    <w:p w14:paraId="765679A2" w14:textId="6E852712" w:rsidR="00442D10" w:rsidRDefault="00442D10" w:rsidP="009969D1">
      <w:pPr>
        <w:autoSpaceDE w:val="0"/>
        <w:autoSpaceDN w:val="0"/>
        <w:adjustRightInd w:val="0"/>
        <w:jc w:val="center"/>
        <w:rPr>
          <w:rFonts w:eastAsia="Arial"/>
          <w:b/>
          <w:color w:val="000000"/>
          <w:sz w:val="24"/>
          <w:szCs w:val="24"/>
          <w:lang w:val="es-ES_tradnl" w:eastAsia="zh-CN"/>
        </w:rPr>
      </w:pPr>
    </w:p>
    <w:p w14:paraId="0538DB0C" w14:textId="5B1163FC" w:rsidR="00442D10" w:rsidRPr="00AA6265" w:rsidRDefault="00442D10" w:rsidP="009969D1">
      <w:pPr>
        <w:autoSpaceDE w:val="0"/>
        <w:autoSpaceDN w:val="0"/>
        <w:adjustRightInd w:val="0"/>
        <w:jc w:val="center"/>
        <w:rPr>
          <w:rFonts w:eastAsia="Arial"/>
          <w:bCs/>
          <w:color w:val="000000"/>
          <w:sz w:val="24"/>
          <w:szCs w:val="24"/>
          <w:lang w:val="es-ES" w:eastAsia="zh-CN"/>
        </w:rPr>
      </w:pPr>
      <w:r w:rsidRPr="00442D10">
        <w:rPr>
          <w:rFonts w:eastAsia="Arial"/>
          <w:color w:val="000000"/>
          <w:sz w:val="24"/>
          <w:szCs w:val="24"/>
          <w:lang w:val="es-ES_tradnl" w:eastAsia="zh-CN"/>
        </w:rPr>
        <w:tab/>
      </w:r>
      <w:r w:rsidRPr="00442D10">
        <w:rPr>
          <w:rFonts w:eastAsia="Arial"/>
          <w:color w:val="000000"/>
          <w:sz w:val="24"/>
          <w:szCs w:val="24"/>
          <w:lang w:val="es-ES_tradnl" w:eastAsia="zh-CN"/>
        </w:rPr>
        <w:tab/>
      </w:r>
      <w:r w:rsidRPr="00442D10">
        <w:rPr>
          <w:rFonts w:eastAsia="Arial"/>
          <w:color w:val="000000"/>
          <w:sz w:val="24"/>
          <w:szCs w:val="24"/>
          <w:lang w:val="es-ES_tradnl" w:eastAsia="zh-CN"/>
        </w:rPr>
        <w:tab/>
      </w:r>
      <w:r w:rsidRPr="00442D10">
        <w:rPr>
          <w:rFonts w:eastAsia="Arial"/>
          <w:color w:val="000000"/>
          <w:sz w:val="24"/>
          <w:szCs w:val="24"/>
          <w:lang w:val="es-ES_tradnl" w:eastAsia="zh-CN"/>
        </w:rPr>
        <w:tab/>
      </w:r>
      <w:r w:rsidRPr="00442D10">
        <w:rPr>
          <w:rFonts w:eastAsia="Arial"/>
          <w:color w:val="000000"/>
          <w:sz w:val="24"/>
          <w:szCs w:val="24"/>
          <w:lang w:val="es-ES_tradnl" w:eastAsia="zh-CN"/>
        </w:rPr>
        <w:tab/>
      </w:r>
      <w:r>
        <w:rPr>
          <w:rFonts w:eastAsia="Arial"/>
          <w:color w:val="000000"/>
          <w:sz w:val="24"/>
          <w:szCs w:val="24"/>
          <w:lang w:val="es-ES_tradnl" w:eastAsia="zh-CN"/>
        </w:rPr>
        <w:tab/>
      </w:r>
      <w:r>
        <w:rPr>
          <w:rFonts w:eastAsia="Arial"/>
          <w:color w:val="000000"/>
          <w:sz w:val="24"/>
          <w:szCs w:val="24"/>
          <w:lang w:val="es-ES_tradnl" w:eastAsia="zh-CN"/>
        </w:rPr>
        <w:tab/>
      </w:r>
      <w:r w:rsidR="00E95AB6">
        <w:rPr>
          <w:rFonts w:eastAsia="Arial"/>
          <w:color w:val="000000"/>
          <w:sz w:val="24"/>
          <w:szCs w:val="24"/>
          <w:lang w:val="es-ES_tradnl" w:eastAsia="zh-CN"/>
        </w:rPr>
        <w:tab/>
      </w:r>
      <w:r w:rsidR="00E95AB6">
        <w:rPr>
          <w:rFonts w:eastAsia="Arial"/>
          <w:color w:val="000000"/>
          <w:sz w:val="24"/>
          <w:szCs w:val="24"/>
          <w:lang w:val="es-ES_tradnl" w:eastAsia="zh-CN"/>
        </w:rPr>
        <w:tab/>
      </w:r>
      <w:r w:rsidR="00D94E3E" w:rsidRPr="00AA6265">
        <w:rPr>
          <w:rFonts w:eastAsia="Arial"/>
          <w:color w:val="000000"/>
          <w:sz w:val="24"/>
          <w:szCs w:val="24"/>
          <w:lang w:val="es-ES" w:eastAsia="zh-CN"/>
        </w:rPr>
        <w:t>6</w:t>
      </w:r>
      <w:r w:rsidR="00377941" w:rsidRPr="00AA6265">
        <w:rPr>
          <w:rFonts w:eastAsia="Arial"/>
          <w:color w:val="000000"/>
          <w:sz w:val="24"/>
          <w:szCs w:val="24"/>
          <w:lang w:val="es-ES" w:eastAsia="zh-CN"/>
        </w:rPr>
        <w:t xml:space="preserve"> de mayo</w:t>
      </w:r>
      <w:r w:rsidRPr="00AA6265">
        <w:rPr>
          <w:rFonts w:eastAsia="Arial"/>
          <w:color w:val="000000"/>
          <w:sz w:val="24"/>
          <w:szCs w:val="24"/>
          <w:lang w:val="es-ES" w:eastAsia="zh-CN"/>
        </w:rPr>
        <w:t xml:space="preserve"> de 2019</w:t>
      </w:r>
    </w:p>
    <w:p w14:paraId="38807D48" w14:textId="5BDE996F" w:rsidR="009969D1" w:rsidRPr="00AA6265" w:rsidRDefault="009969D1" w:rsidP="009969D1">
      <w:pPr>
        <w:autoSpaceDE w:val="0"/>
        <w:autoSpaceDN w:val="0"/>
        <w:adjustRightInd w:val="0"/>
        <w:rPr>
          <w:rFonts w:eastAsia="Arial"/>
          <w:sz w:val="24"/>
          <w:szCs w:val="24"/>
          <w:lang w:val="es-ES" w:eastAsia="zh-CN"/>
        </w:rPr>
      </w:pPr>
    </w:p>
    <w:p w14:paraId="5067C28A" w14:textId="77777777" w:rsidR="009B488D" w:rsidRPr="00AA6265" w:rsidRDefault="009B488D" w:rsidP="009969D1">
      <w:pPr>
        <w:autoSpaceDE w:val="0"/>
        <w:autoSpaceDN w:val="0"/>
        <w:adjustRightInd w:val="0"/>
        <w:jc w:val="both"/>
        <w:rPr>
          <w:rFonts w:eastAsia="Arial"/>
          <w:sz w:val="24"/>
          <w:szCs w:val="24"/>
          <w:lang w:val="es-ES_tradnl" w:eastAsia="zh-CN"/>
        </w:rPr>
      </w:pPr>
    </w:p>
    <w:p w14:paraId="5AD81900" w14:textId="7F9945C2" w:rsidR="009969D1" w:rsidRPr="009969D1" w:rsidRDefault="00F91D4D" w:rsidP="00AA6265">
      <w:pPr>
        <w:autoSpaceDE w:val="0"/>
        <w:autoSpaceDN w:val="0"/>
        <w:adjustRightInd w:val="0"/>
        <w:ind w:firstLine="720"/>
        <w:jc w:val="both"/>
        <w:rPr>
          <w:rFonts w:eastAsia="Arial"/>
          <w:sz w:val="24"/>
          <w:szCs w:val="24"/>
          <w:lang w:val="es-ES_tradnl" w:eastAsia="zh-CN"/>
        </w:rPr>
      </w:pPr>
      <w:r>
        <w:rPr>
          <w:rFonts w:eastAsia="Arial"/>
          <w:sz w:val="24"/>
          <w:szCs w:val="24"/>
          <w:lang w:val="es-ES_tradnl" w:eastAsia="zh-CN"/>
        </w:rPr>
        <w:t>De conformidad con mi mandato como</w:t>
      </w:r>
      <w:r w:rsidR="009969D1" w:rsidRPr="009969D1">
        <w:rPr>
          <w:rFonts w:eastAsia="Arial"/>
          <w:sz w:val="24"/>
          <w:szCs w:val="24"/>
          <w:lang w:val="es-ES_tradnl" w:eastAsia="zh-CN"/>
        </w:rPr>
        <w:t xml:space="preserve"> Experto Independiente sobre la protección contra la violencia y la discriminación basadas en la orientación sexual y la identidad de género, de conformidad con la resolución 32/2 del Consejo de Derechos Humanos</w:t>
      </w:r>
      <w:r w:rsidR="00871381">
        <w:rPr>
          <w:rFonts w:eastAsia="Arial"/>
          <w:sz w:val="24"/>
          <w:szCs w:val="24"/>
          <w:lang w:val="es-ES_tradnl" w:eastAsia="zh-CN"/>
        </w:rPr>
        <w:t>.</w:t>
      </w:r>
      <w:r w:rsidR="009969D1" w:rsidRPr="009969D1">
        <w:rPr>
          <w:rFonts w:eastAsia="Arial"/>
          <w:sz w:val="24"/>
          <w:szCs w:val="24"/>
          <w:lang w:val="es-ES_tradnl" w:eastAsia="zh-CN"/>
        </w:rPr>
        <w:t xml:space="preserve"> </w:t>
      </w:r>
      <w:r w:rsidR="00871381">
        <w:rPr>
          <w:rFonts w:eastAsia="Arial"/>
          <w:sz w:val="24"/>
          <w:szCs w:val="24"/>
          <w:lang w:val="es-ES_tradnl" w:eastAsia="zh-CN"/>
        </w:rPr>
        <w:t>T</w:t>
      </w:r>
      <w:r w:rsidR="009969D1" w:rsidRPr="009969D1">
        <w:rPr>
          <w:rFonts w:eastAsia="Arial"/>
          <w:sz w:val="24"/>
          <w:szCs w:val="24"/>
          <w:lang w:val="es-ES_tradnl" w:eastAsia="zh-CN"/>
        </w:rPr>
        <w:t xml:space="preserve">engo la intención de presentar un informe temático en el 74º período de sesiones de la Asamblea General, que se centrará en la marginación y la exclusión de los entornos socioculturales. En el informe se examinará la forma en que la inclusión protege a las personas de la violencia y la discriminación, y el papel fundamental del Estado en la promoción y el fomento de esa inclusión en las esferas social, cultural, política, y otras esferas.  Por último, formulará recomendaciones a los Estados y a otras partes interesadas relevantes. </w:t>
      </w:r>
    </w:p>
    <w:p w14:paraId="2F43F0A3" w14:textId="77777777" w:rsidR="009969D1" w:rsidRPr="009969D1" w:rsidRDefault="009969D1" w:rsidP="009969D1">
      <w:pPr>
        <w:autoSpaceDE w:val="0"/>
        <w:autoSpaceDN w:val="0"/>
        <w:adjustRightInd w:val="0"/>
        <w:jc w:val="both"/>
        <w:rPr>
          <w:rFonts w:eastAsia="Arial"/>
          <w:sz w:val="24"/>
          <w:szCs w:val="24"/>
          <w:lang w:val="es-ES_tradnl" w:eastAsia="zh-CN"/>
        </w:rPr>
      </w:pPr>
    </w:p>
    <w:p w14:paraId="5C737CAC" w14:textId="1A2D6F90" w:rsidR="009969D1" w:rsidRPr="009969D1" w:rsidRDefault="009969D1" w:rsidP="00AA6265">
      <w:pPr>
        <w:autoSpaceDE w:val="0"/>
        <w:autoSpaceDN w:val="0"/>
        <w:adjustRightInd w:val="0"/>
        <w:ind w:firstLine="720"/>
        <w:jc w:val="both"/>
        <w:rPr>
          <w:rFonts w:eastAsia="Arial"/>
          <w:sz w:val="24"/>
          <w:szCs w:val="24"/>
          <w:lang w:val="es-ES_tradnl" w:eastAsia="zh-CN"/>
        </w:rPr>
      </w:pPr>
      <w:r w:rsidRPr="009969D1">
        <w:rPr>
          <w:rFonts w:eastAsia="Arial"/>
          <w:sz w:val="24"/>
          <w:szCs w:val="24"/>
          <w:lang w:val="es-ES_tradnl" w:eastAsia="zh-CN"/>
        </w:rPr>
        <w:t>Mi informe examinará estas cuestiones en relación con los temas de la educación, la vivienda, el empl</w:t>
      </w:r>
      <w:r w:rsidR="003E1061">
        <w:rPr>
          <w:rFonts w:eastAsia="Arial"/>
          <w:sz w:val="24"/>
          <w:szCs w:val="24"/>
          <w:lang w:val="es-ES_tradnl" w:eastAsia="zh-CN"/>
        </w:rPr>
        <w:t xml:space="preserve">eo y la capacitación económica </w:t>
      </w:r>
      <w:r w:rsidRPr="009969D1">
        <w:rPr>
          <w:rFonts w:eastAsia="Arial"/>
          <w:sz w:val="24"/>
          <w:szCs w:val="24"/>
          <w:lang w:val="es-ES_tradnl" w:eastAsia="zh-CN"/>
        </w:rPr>
        <w:t xml:space="preserve">y un nivel de vida adecuado. También consideraré los siguientes subtemas/actores (entre otros): cultura, familia, fe, migración, urbano/rural, personas mayores, jóvenes, participación política, seguridad social/beneficios, sector empresarial y medios de comunicación. </w:t>
      </w:r>
    </w:p>
    <w:p w14:paraId="137562AB" w14:textId="6C10CEE8" w:rsidR="009969D1" w:rsidRPr="009969D1" w:rsidRDefault="009969D1" w:rsidP="00442D10">
      <w:pPr>
        <w:autoSpaceDE w:val="0"/>
        <w:autoSpaceDN w:val="0"/>
        <w:adjustRightInd w:val="0"/>
        <w:jc w:val="both"/>
        <w:rPr>
          <w:rFonts w:eastAsia="Arial"/>
          <w:sz w:val="24"/>
          <w:szCs w:val="24"/>
          <w:lang w:val="es-ES_tradnl" w:eastAsia="zh-CN"/>
        </w:rPr>
      </w:pPr>
    </w:p>
    <w:p w14:paraId="1956FE15" w14:textId="77777777" w:rsidR="009969D1" w:rsidRPr="009969D1" w:rsidRDefault="009969D1" w:rsidP="009969D1">
      <w:pPr>
        <w:autoSpaceDE w:val="0"/>
        <w:autoSpaceDN w:val="0"/>
        <w:adjustRightInd w:val="0"/>
        <w:rPr>
          <w:rFonts w:eastAsia="Arial"/>
          <w:b/>
          <w:sz w:val="24"/>
          <w:szCs w:val="24"/>
          <w:u w:val="single"/>
          <w:lang w:val="es-ES_tradnl" w:eastAsia="zh-CN"/>
        </w:rPr>
      </w:pPr>
      <w:r w:rsidRPr="009969D1">
        <w:rPr>
          <w:rFonts w:eastAsia="Arial"/>
          <w:b/>
          <w:sz w:val="24"/>
          <w:szCs w:val="24"/>
          <w:u w:val="single"/>
          <w:lang w:val="es-ES_tradnl" w:eastAsia="zh-CN"/>
        </w:rPr>
        <w:t>Información general</w:t>
      </w:r>
    </w:p>
    <w:p w14:paraId="395E3BCE" w14:textId="77777777" w:rsidR="009969D1" w:rsidRPr="009969D1" w:rsidRDefault="009969D1" w:rsidP="009969D1">
      <w:pPr>
        <w:autoSpaceDE w:val="0"/>
        <w:autoSpaceDN w:val="0"/>
        <w:adjustRightInd w:val="0"/>
        <w:ind w:firstLine="567"/>
        <w:rPr>
          <w:rFonts w:eastAsia="Arial"/>
          <w:b/>
          <w:sz w:val="24"/>
          <w:szCs w:val="24"/>
          <w:u w:val="single"/>
          <w:lang w:val="es-ES_tradnl" w:eastAsia="zh-CN"/>
        </w:rPr>
      </w:pPr>
    </w:p>
    <w:p w14:paraId="6F290EF2" w14:textId="77777777" w:rsidR="009969D1" w:rsidRPr="009969D1" w:rsidRDefault="009969D1" w:rsidP="00F85F70">
      <w:pPr>
        <w:autoSpaceDE w:val="0"/>
        <w:autoSpaceDN w:val="0"/>
        <w:adjustRightInd w:val="0"/>
        <w:jc w:val="both"/>
        <w:rPr>
          <w:rFonts w:eastAsia="Arial"/>
          <w:sz w:val="24"/>
          <w:szCs w:val="24"/>
          <w:lang w:val="es-ES_tradnl" w:eastAsia="zh-CN"/>
        </w:rPr>
      </w:pPr>
      <w:r w:rsidRPr="009969D1">
        <w:rPr>
          <w:rFonts w:eastAsia="Arial"/>
          <w:sz w:val="24"/>
          <w:szCs w:val="24"/>
          <w:lang w:val="es-ES_tradnl" w:eastAsia="zh-CN"/>
        </w:rPr>
        <w:t xml:space="preserve">Las leyes discriminatorias y las normas socioculturales siguen marginando y excluyendo a las personas lesbianas, </w:t>
      </w:r>
      <w:proofErr w:type="spellStart"/>
      <w:r w:rsidRPr="009969D1">
        <w:rPr>
          <w:rFonts w:eastAsia="Arial"/>
          <w:sz w:val="24"/>
          <w:szCs w:val="24"/>
          <w:lang w:val="es-ES_tradnl" w:eastAsia="zh-CN"/>
        </w:rPr>
        <w:t>gays</w:t>
      </w:r>
      <w:proofErr w:type="spellEnd"/>
      <w:r w:rsidRPr="009969D1">
        <w:rPr>
          <w:rFonts w:eastAsia="Arial"/>
          <w:sz w:val="24"/>
          <w:szCs w:val="24"/>
          <w:lang w:val="es-ES_tradnl" w:eastAsia="zh-CN"/>
        </w:rPr>
        <w:t xml:space="preserve">, bisexuales, transexuales y personas de género diverso de la educación, la atención de la salud, el empleo y la ocupación, la vivienda y otros sectores. La marginación y la </w:t>
      </w:r>
      <w:proofErr w:type="spellStart"/>
      <w:r w:rsidRPr="009969D1">
        <w:rPr>
          <w:rFonts w:eastAsia="Arial"/>
          <w:sz w:val="24"/>
          <w:szCs w:val="24"/>
          <w:lang w:val="es-ES_tradnl" w:eastAsia="zh-CN"/>
        </w:rPr>
        <w:t>periferalización</w:t>
      </w:r>
      <w:proofErr w:type="spellEnd"/>
      <w:r w:rsidRPr="009969D1">
        <w:rPr>
          <w:rFonts w:eastAsia="Arial"/>
          <w:sz w:val="24"/>
          <w:szCs w:val="24"/>
          <w:lang w:val="es-ES_tradnl" w:eastAsia="zh-CN"/>
        </w:rPr>
        <w:t xml:space="preserve"> forman parte de un círculo vicioso que da lugar a una serie de otros problemas; en un contexto en el que se dificulta el acceso a los derechos económicos, sociales y culturales, se observan graves efectos negativos en las personas, sus familias, grupos y comunidades, lo que da lugar a la pobreza y la exclusión, a una situación socioeconómica inferior y a la limitación del acceso a bienes que son esenciales para disfrutar de toda la gama de derechos humanos. El entorno excluyente se presta inevitablemente a la violencia y la discriminación, ya que dificulta el acceso a sus derechos, crea desigualdad de oportunidades y en el acceso a los recursos. </w:t>
      </w:r>
    </w:p>
    <w:p w14:paraId="152F5433" w14:textId="77777777" w:rsidR="009969D1" w:rsidRPr="009969D1" w:rsidRDefault="009969D1" w:rsidP="00F85F70">
      <w:pPr>
        <w:autoSpaceDE w:val="0"/>
        <w:autoSpaceDN w:val="0"/>
        <w:adjustRightInd w:val="0"/>
        <w:jc w:val="both"/>
        <w:rPr>
          <w:rFonts w:eastAsia="Arial"/>
          <w:sz w:val="24"/>
          <w:szCs w:val="24"/>
          <w:lang w:val="es-ES_tradnl" w:eastAsia="zh-CN"/>
        </w:rPr>
      </w:pPr>
    </w:p>
    <w:p w14:paraId="1A746C7E" w14:textId="77777777" w:rsidR="00365FEB" w:rsidRPr="009969D1" w:rsidRDefault="00365FEB" w:rsidP="00365FEB">
      <w:pPr>
        <w:autoSpaceDE w:val="0"/>
        <w:autoSpaceDN w:val="0"/>
        <w:adjustRightInd w:val="0"/>
        <w:jc w:val="both"/>
        <w:rPr>
          <w:rFonts w:eastAsia="Arial"/>
          <w:sz w:val="24"/>
          <w:szCs w:val="24"/>
          <w:lang w:val="es-ES_tradnl" w:eastAsia="zh-CN"/>
        </w:rPr>
      </w:pPr>
      <w:r w:rsidRPr="009969D1">
        <w:rPr>
          <w:rFonts w:eastAsia="Arial"/>
          <w:sz w:val="24"/>
          <w:szCs w:val="24"/>
          <w:lang w:val="es-ES_tradnl" w:eastAsia="zh-CN"/>
        </w:rPr>
        <w:t xml:space="preserve">En una </w:t>
      </w:r>
      <w:hyperlink r:id="rId11" w:history="1">
        <w:r w:rsidRPr="00683AEF">
          <w:rPr>
            <w:rStyle w:val="Hyperlink"/>
            <w:rFonts w:eastAsia="Arial"/>
            <w:sz w:val="24"/>
            <w:szCs w:val="24"/>
            <w:lang w:val="es-ES_tradnl" w:eastAsia="zh-CN"/>
          </w:rPr>
          <w:t>declaración conjunta</w:t>
        </w:r>
      </w:hyperlink>
      <w:r w:rsidRPr="009969D1">
        <w:rPr>
          <w:rFonts w:eastAsia="Arial"/>
          <w:sz w:val="24"/>
          <w:szCs w:val="24"/>
          <w:lang w:val="es-ES_tradnl" w:eastAsia="zh-CN"/>
        </w:rPr>
        <w:t xml:space="preserve"> emitida por 12 entidades de las Naciones Unidas en 2015 se expresó preocupación por estas cuestiones: </w:t>
      </w:r>
    </w:p>
    <w:p w14:paraId="7F72EE51" w14:textId="77777777" w:rsidR="00365FEB" w:rsidRPr="009969D1" w:rsidRDefault="00365FEB" w:rsidP="00365FEB">
      <w:pPr>
        <w:autoSpaceDE w:val="0"/>
        <w:autoSpaceDN w:val="0"/>
        <w:adjustRightInd w:val="0"/>
        <w:ind w:left="720"/>
        <w:rPr>
          <w:rFonts w:eastAsia="Arial"/>
          <w:sz w:val="24"/>
          <w:szCs w:val="24"/>
          <w:lang w:val="es-ES_tradnl" w:eastAsia="zh-CN"/>
        </w:rPr>
      </w:pPr>
    </w:p>
    <w:p w14:paraId="772DA3BE" w14:textId="77777777" w:rsidR="00365FEB" w:rsidRPr="009969D1" w:rsidRDefault="00365FEB" w:rsidP="00365FEB">
      <w:pPr>
        <w:spacing w:after="160" w:line="259" w:lineRule="auto"/>
        <w:ind w:left="720"/>
        <w:jc w:val="both"/>
        <w:rPr>
          <w:rFonts w:eastAsia="Arial"/>
          <w:sz w:val="22"/>
          <w:szCs w:val="22"/>
          <w:lang w:val="es-ES_tradnl" w:eastAsia="zh-CN"/>
        </w:rPr>
      </w:pPr>
      <w:r w:rsidRPr="009969D1">
        <w:rPr>
          <w:rFonts w:eastAsia="Arial"/>
          <w:sz w:val="22"/>
          <w:szCs w:val="22"/>
          <w:lang w:val="es-ES_tradnl" w:eastAsia="zh-CN"/>
        </w:rPr>
        <w:lastRenderedPageBreak/>
        <w:t xml:space="preserve">"Los niños se enfrentan al acoso, a la discriminación o la expulsión de las escuelas sobre la base de su orientación sexual o identidad de género real o percibida, o de la de sus padres. La discriminación y la violencia contribuyen a la marginación de las personas LGBTI y a su vulnerabilidad a la mala salud, incluida la infección por el VIH, y </w:t>
      </w:r>
      <w:proofErr w:type="spellStart"/>
      <w:r w:rsidRPr="009969D1">
        <w:rPr>
          <w:rFonts w:eastAsia="Arial"/>
          <w:sz w:val="22"/>
          <w:szCs w:val="22"/>
          <w:lang w:val="es-ES_tradnl" w:eastAsia="zh-CN"/>
        </w:rPr>
        <w:t>aún</w:t>
      </w:r>
      <w:proofErr w:type="spellEnd"/>
      <w:r w:rsidRPr="009969D1">
        <w:rPr>
          <w:rFonts w:eastAsia="Arial"/>
          <w:sz w:val="22"/>
          <w:szCs w:val="22"/>
          <w:lang w:val="es-ES_tradnl" w:eastAsia="zh-CN"/>
        </w:rPr>
        <w:t xml:space="preserve"> así se enfrentan a la negación de atención médica, a actitudes discriminatorias y a la patologización en el ámbito médico y de otro tipo. [...] La exclusión de las personas LGBTI del diseño, </w:t>
      </w:r>
      <w:r w:rsidRPr="00E53783">
        <w:rPr>
          <w:rFonts w:eastAsia="Arial"/>
          <w:sz w:val="22"/>
          <w:szCs w:val="22"/>
          <w:lang w:val="es-ES_tradnl" w:eastAsia="zh-CN"/>
        </w:rPr>
        <w:t xml:space="preserve">la </w:t>
      </w:r>
      <w:r w:rsidRPr="009969D1">
        <w:rPr>
          <w:rFonts w:eastAsia="Arial"/>
          <w:sz w:val="22"/>
          <w:szCs w:val="22"/>
          <w:lang w:val="es-ES_tradnl" w:eastAsia="zh-CN"/>
        </w:rPr>
        <w:t xml:space="preserve">implementación y </w:t>
      </w:r>
      <w:r w:rsidRPr="00E53783">
        <w:rPr>
          <w:rFonts w:eastAsia="Arial"/>
          <w:sz w:val="22"/>
          <w:szCs w:val="22"/>
          <w:lang w:val="es-ES_tradnl" w:eastAsia="zh-CN"/>
        </w:rPr>
        <w:t xml:space="preserve">el </w:t>
      </w:r>
      <w:r w:rsidRPr="009969D1">
        <w:rPr>
          <w:rFonts w:eastAsia="Arial"/>
          <w:sz w:val="22"/>
          <w:szCs w:val="22"/>
          <w:lang w:val="es-ES_tradnl" w:eastAsia="zh-CN"/>
        </w:rPr>
        <w:t>monitoreo de las leyes y políticas que las afectan perpetúa su marginación social y económica."</w:t>
      </w:r>
    </w:p>
    <w:p w14:paraId="2CEF95DA" w14:textId="77777777" w:rsidR="00365FEB" w:rsidRPr="00683AEF" w:rsidRDefault="00365FEB" w:rsidP="00365FEB">
      <w:pPr>
        <w:autoSpaceDE w:val="0"/>
        <w:autoSpaceDN w:val="0"/>
        <w:adjustRightInd w:val="0"/>
        <w:jc w:val="both"/>
        <w:rPr>
          <w:rFonts w:eastAsia="Arial"/>
          <w:sz w:val="24"/>
          <w:szCs w:val="24"/>
          <w:lang w:val="es-ES_tradnl" w:eastAsia="zh-CN"/>
        </w:rPr>
      </w:pPr>
      <w:r w:rsidRPr="009969D1">
        <w:rPr>
          <w:rFonts w:eastAsia="Arial"/>
          <w:sz w:val="24"/>
          <w:szCs w:val="24"/>
          <w:lang w:val="es-ES_tradnl" w:eastAsia="zh-CN"/>
        </w:rPr>
        <w:t xml:space="preserve">Ya se están adoptando algunas medidas importantes a nivel internacional, regional y nacional para abordar estas cuestiones. Por ejemplo, la UNESCO convocó en 2011 una </w:t>
      </w:r>
      <w:hyperlink r:id="rId12" w:history="1">
        <w:r w:rsidRPr="00683AEF">
          <w:rPr>
            <w:rStyle w:val="Hyperlink"/>
            <w:rFonts w:eastAsia="Arial"/>
            <w:sz w:val="24"/>
            <w:szCs w:val="24"/>
            <w:lang w:val="es-ES_tradnl" w:eastAsia="zh-CN"/>
          </w:rPr>
          <w:t>consulta internacional sobre el acoso homofóbico en las instituciones educativas</w:t>
        </w:r>
      </w:hyperlink>
      <w:r w:rsidRPr="009969D1">
        <w:rPr>
          <w:rFonts w:eastAsia="Arial"/>
          <w:sz w:val="24"/>
          <w:szCs w:val="24"/>
          <w:lang w:val="es-ES_tradnl" w:eastAsia="zh-CN"/>
        </w:rPr>
        <w:t xml:space="preserve">, en la que participaron ministerios de educación, organismos de las Naciones Unidas, organizaciones no gubernamentales y círculos académicos de más de 25 países de todo el mundo.  El Banco Mundial está gestionando </w:t>
      </w:r>
      <w:hyperlink r:id="rId13" w:history="1">
        <w:r w:rsidRPr="00683AEF">
          <w:rPr>
            <w:rStyle w:val="Hyperlink"/>
            <w:rFonts w:eastAsia="Arial"/>
            <w:sz w:val="24"/>
            <w:szCs w:val="24"/>
            <w:lang w:val="es-ES_tradnl" w:eastAsia="zh-CN"/>
          </w:rPr>
          <w:t>un proyecto</w:t>
        </w:r>
      </w:hyperlink>
      <w:r w:rsidRPr="009969D1">
        <w:rPr>
          <w:rFonts w:eastAsia="Arial"/>
          <w:sz w:val="24"/>
          <w:szCs w:val="24"/>
          <w:lang w:val="es-ES_tradnl" w:eastAsia="zh-CN"/>
        </w:rPr>
        <w:t xml:space="preserve"> destinado a llenar el vacío de información</w:t>
      </w:r>
      <w:r>
        <w:rPr>
          <w:rFonts w:eastAsia="Arial"/>
          <w:sz w:val="24"/>
          <w:szCs w:val="24"/>
          <w:lang w:val="es-ES_tradnl" w:eastAsia="zh-CN"/>
        </w:rPr>
        <w:t xml:space="preserve"> y datos sobre personas LGBTI, </w:t>
      </w:r>
      <w:r w:rsidRPr="009969D1">
        <w:rPr>
          <w:rFonts w:eastAsia="Arial"/>
          <w:sz w:val="24"/>
          <w:szCs w:val="24"/>
          <w:lang w:val="es-ES_tradnl" w:eastAsia="zh-CN"/>
        </w:rPr>
        <w:t xml:space="preserve">centrado en la inclusión en mercados, servicios y otros espacios. </w:t>
      </w:r>
      <w:r w:rsidRPr="00683AEF">
        <w:rPr>
          <w:rFonts w:eastAsia="Arial"/>
          <w:sz w:val="24"/>
          <w:szCs w:val="24"/>
          <w:lang w:val="es-ES_tradnl" w:eastAsia="zh-CN"/>
        </w:rPr>
        <w:t xml:space="preserve">El PNUD está liderando y colaborando en el desarrollo del Índice de Inclusión LGBTI, que medirá la inclusión de las personas LGBTI en </w:t>
      </w:r>
      <w:r>
        <w:rPr>
          <w:rFonts w:eastAsia="Arial"/>
          <w:sz w:val="24"/>
          <w:szCs w:val="24"/>
          <w:lang w:val="es-ES_tradnl" w:eastAsia="zh-CN"/>
        </w:rPr>
        <w:t xml:space="preserve">la </w:t>
      </w:r>
      <w:r w:rsidRPr="00683AEF">
        <w:rPr>
          <w:rFonts w:eastAsia="Arial"/>
          <w:sz w:val="24"/>
          <w:szCs w:val="24"/>
          <w:lang w:val="es-ES" w:eastAsia="zh-CN"/>
        </w:rPr>
        <w:t xml:space="preserve">salud, </w:t>
      </w:r>
      <w:r>
        <w:rPr>
          <w:rFonts w:eastAsia="Arial"/>
          <w:sz w:val="24"/>
          <w:szCs w:val="24"/>
          <w:lang w:val="es-ES" w:eastAsia="zh-CN"/>
        </w:rPr>
        <w:t xml:space="preserve">el </w:t>
      </w:r>
      <w:r w:rsidRPr="00683AEF">
        <w:rPr>
          <w:rFonts w:eastAsia="Arial"/>
          <w:sz w:val="24"/>
          <w:szCs w:val="24"/>
          <w:lang w:val="es-ES" w:eastAsia="zh-CN"/>
        </w:rPr>
        <w:t xml:space="preserve">bienestar económico, </w:t>
      </w:r>
      <w:r>
        <w:rPr>
          <w:rFonts w:eastAsia="Arial"/>
          <w:sz w:val="24"/>
          <w:szCs w:val="24"/>
          <w:lang w:val="es-ES" w:eastAsia="zh-CN"/>
        </w:rPr>
        <w:t xml:space="preserve">la </w:t>
      </w:r>
      <w:r w:rsidRPr="00683AEF">
        <w:rPr>
          <w:rFonts w:eastAsia="Arial"/>
          <w:sz w:val="24"/>
          <w:szCs w:val="24"/>
          <w:lang w:val="es-ES" w:eastAsia="zh-CN"/>
        </w:rPr>
        <w:t xml:space="preserve">educación, </w:t>
      </w:r>
      <w:r>
        <w:rPr>
          <w:rFonts w:eastAsia="Arial"/>
          <w:sz w:val="24"/>
          <w:szCs w:val="24"/>
          <w:lang w:val="es-ES" w:eastAsia="zh-CN"/>
        </w:rPr>
        <w:t xml:space="preserve">la </w:t>
      </w:r>
      <w:r w:rsidRPr="00683AEF">
        <w:rPr>
          <w:rFonts w:eastAsia="Arial"/>
          <w:sz w:val="24"/>
          <w:szCs w:val="24"/>
          <w:lang w:val="es-ES" w:eastAsia="zh-CN"/>
        </w:rPr>
        <w:t xml:space="preserve">participación política y cívica, y </w:t>
      </w:r>
      <w:r>
        <w:rPr>
          <w:rFonts w:eastAsia="Arial"/>
          <w:sz w:val="24"/>
          <w:szCs w:val="24"/>
          <w:lang w:val="es-ES" w:eastAsia="zh-CN"/>
        </w:rPr>
        <w:t xml:space="preserve">la </w:t>
      </w:r>
      <w:r w:rsidRPr="00683AEF">
        <w:rPr>
          <w:rFonts w:eastAsia="Arial"/>
          <w:sz w:val="24"/>
          <w:szCs w:val="24"/>
          <w:lang w:val="es-ES" w:eastAsia="zh-CN"/>
        </w:rPr>
        <w:t>seguridad personal y violencia.</w:t>
      </w:r>
      <w:r>
        <w:rPr>
          <w:rFonts w:eastAsia="Arial"/>
          <w:sz w:val="24"/>
          <w:szCs w:val="24"/>
          <w:lang w:val="es-ES_tradnl" w:eastAsia="zh-CN"/>
        </w:rPr>
        <w:t xml:space="preserve"> </w:t>
      </w:r>
      <w:r w:rsidRPr="00683AEF">
        <w:rPr>
          <w:rFonts w:eastAsia="Arial"/>
          <w:sz w:val="24"/>
          <w:szCs w:val="24"/>
          <w:lang w:val="es-ES_tradnl" w:eastAsia="zh-CN"/>
        </w:rPr>
        <w:t xml:space="preserve">Junto con el Banco Mundial, la sociedad civil, los gobiernos y los académicos, el PNUD ha desarrollado un conjunto propuesto de </w:t>
      </w:r>
      <w:hyperlink r:id="rId14" w:history="1">
        <w:r w:rsidRPr="00683AEF">
          <w:rPr>
            <w:rStyle w:val="Hyperlink"/>
            <w:rFonts w:eastAsia="Arial"/>
            <w:sz w:val="24"/>
            <w:szCs w:val="24"/>
            <w:lang w:val="es-ES_tradnl" w:eastAsia="zh-CN"/>
          </w:rPr>
          <w:t>51 indicadores para el Índice de Inclusión LGBTI</w:t>
        </w:r>
      </w:hyperlink>
      <w:r w:rsidRPr="00683AEF">
        <w:rPr>
          <w:rFonts w:eastAsia="Arial"/>
          <w:sz w:val="24"/>
          <w:szCs w:val="24"/>
          <w:lang w:val="es-ES_tradnl" w:eastAsia="zh-CN"/>
        </w:rPr>
        <w:t>, alineados con el marco del SDG con vistas a identificar quién se queda atrás y por qué.</w:t>
      </w:r>
      <w:r>
        <w:rPr>
          <w:rFonts w:eastAsia="Arial"/>
          <w:sz w:val="24"/>
          <w:szCs w:val="24"/>
          <w:lang w:val="es-ES_tradnl" w:eastAsia="zh-CN"/>
        </w:rPr>
        <w:t xml:space="preserve"> </w:t>
      </w:r>
      <w:r w:rsidRPr="009969D1">
        <w:rPr>
          <w:rFonts w:eastAsia="Arial"/>
          <w:sz w:val="24"/>
          <w:szCs w:val="24"/>
          <w:lang w:val="es-ES_tradnl" w:eastAsia="zh-CN"/>
        </w:rPr>
        <w:t>Los sindicatos y las organizaciones de empresarios han trabajado para promover la inclusión significativa de las personas LGBT en el lugar de trabajo, y alrededor de</w:t>
      </w:r>
      <w:r>
        <w:rPr>
          <w:rFonts w:eastAsia="Arial"/>
          <w:sz w:val="24"/>
          <w:szCs w:val="24"/>
          <w:lang w:val="es-ES_tradnl" w:eastAsia="zh-CN"/>
        </w:rPr>
        <w:t xml:space="preserve"> 240</w:t>
      </w:r>
      <w:r w:rsidRPr="009969D1">
        <w:rPr>
          <w:rFonts w:eastAsia="Arial"/>
          <w:sz w:val="24"/>
          <w:szCs w:val="24"/>
          <w:lang w:val="es-ES_tradnl" w:eastAsia="zh-CN"/>
        </w:rPr>
        <w:t xml:space="preserve">  empresas han expresado su apoyo a las </w:t>
      </w:r>
      <w:hyperlink r:id="rId15" w:history="1">
        <w:r w:rsidRPr="00683AEF">
          <w:rPr>
            <w:rStyle w:val="Hyperlink"/>
            <w:rFonts w:eastAsia="Arial"/>
            <w:sz w:val="24"/>
            <w:szCs w:val="24"/>
            <w:lang w:val="es-ES_tradnl" w:eastAsia="zh-CN"/>
          </w:rPr>
          <w:t>Normas de Conducta para las Empresas</w:t>
        </w:r>
      </w:hyperlink>
      <w:r w:rsidRPr="009969D1">
        <w:rPr>
          <w:rFonts w:eastAsia="Arial"/>
          <w:sz w:val="24"/>
          <w:szCs w:val="24"/>
          <w:lang w:val="es-ES_tradnl" w:eastAsia="zh-CN"/>
        </w:rPr>
        <w:t xml:space="preserve"> en la lucha contra la discriminación basada en la orientación sexual y la identidad de géner</w:t>
      </w:r>
      <w:r>
        <w:rPr>
          <w:rFonts w:eastAsia="Arial"/>
          <w:sz w:val="24"/>
          <w:szCs w:val="24"/>
          <w:lang w:val="es-ES_tradnl" w:eastAsia="zh-CN"/>
        </w:rPr>
        <w:t>o.</w:t>
      </w:r>
      <w:r w:rsidRPr="009969D1">
        <w:rPr>
          <w:rFonts w:eastAsia="Arial"/>
          <w:sz w:val="24"/>
          <w:szCs w:val="24"/>
          <w:lang w:val="es-ES_tradnl" w:eastAsia="zh-CN"/>
        </w:rPr>
        <w:t xml:space="preserve"> Los Estados han aprobado leyes que protegen explícitamente a las personas LGBT de la discriminación en la vivienda y el acceso a la seguridad social. </w:t>
      </w:r>
    </w:p>
    <w:p w14:paraId="4735C52B" w14:textId="77777777" w:rsidR="009969D1" w:rsidRPr="009969D1" w:rsidRDefault="009969D1" w:rsidP="009969D1">
      <w:pPr>
        <w:spacing w:line="276" w:lineRule="auto"/>
        <w:jc w:val="both"/>
        <w:rPr>
          <w:sz w:val="24"/>
          <w:szCs w:val="24"/>
          <w:lang w:val="es-ES_tradnl" w:eastAsia="zh-CN"/>
        </w:rPr>
      </w:pPr>
    </w:p>
    <w:p w14:paraId="74D9E8F8" w14:textId="77777777" w:rsidR="009969D1" w:rsidRPr="009969D1" w:rsidRDefault="009969D1" w:rsidP="009969D1">
      <w:pPr>
        <w:autoSpaceDE w:val="0"/>
        <w:autoSpaceDN w:val="0"/>
        <w:adjustRightInd w:val="0"/>
        <w:jc w:val="both"/>
        <w:rPr>
          <w:rFonts w:eastAsia="Arial"/>
          <w:sz w:val="24"/>
          <w:szCs w:val="24"/>
          <w:lang w:val="es-ES" w:eastAsia="zh-CN"/>
        </w:rPr>
      </w:pPr>
      <w:r w:rsidRPr="009969D1">
        <w:rPr>
          <w:rFonts w:eastAsia="Arial"/>
          <w:sz w:val="24"/>
          <w:szCs w:val="24"/>
          <w:lang w:val="es-ES_tradnl" w:eastAsia="zh-CN"/>
        </w:rPr>
        <w:t xml:space="preserve">Una mirada a estos temas afirma rápidamente la interdependencia e interrelación de todos los derechos humanos. Abordar los derechos sociales y económicos de las personas LGBT es fundamental en cualquier esfuerzo por abordar la violencia y la discriminación sobre la base de la orientación sexual y la identidad de género. En el marco de la Agenda de Desarrollo Sostenible para 2030, la comunidad internacional se comprometió a no dejar a nadie atrás. </w:t>
      </w:r>
      <w:r w:rsidRPr="009969D1">
        <w:rPr>
          <w:rFonts w:eastAsia="Arial"/>
          <w:sz w:val="24"/>
          <w:szCs w:val="24"/>
          <w:lang w:val="es-ES" w:eastAsia="zh-CN"/>
        </w:rPr>
        <w:t>Para sacar a las personas LGBT de los ciclos de exclusión y abuso, debemos examinar críticamente estos temas, así como las buenas prácticas emergentes. Con mi informe trato además de destacar el papel único de los líderes en diferentes ámbitos, que permitirá romper el ciclo de exclusión y que puede tener un impacto positivo en los conceptos erróneos, los temores y los prejuicios que alimentan la violencia y la discriminación.</w:t>
      </w:r>
    </w:p>
    <w:p w14:paraId="66CB76F1" w14:textId="77777777" w:rsidR="009969D1" w:rsidRPr="009969D1" w:rsidRDefault="009969D1" w:rsidP="009969D1">
      <w:pPr>
        <w:autoSpaceDE w:val="0"/>
        <w:autoSpaceDN w:val="0"/>
        <w:adjustRightInd w:val="0"/>
        <w:jc w:val="both"/>
        <w:rPr>
          <w:rFonts w:eastAsia="Arial"/>
          <w:sz w:val="24"/>
          <w:szCs w:val="24"/>
          <w:lang w:val="es-ES" w:eastAsia="zh-CN"/>
        </w:rPr>
      </w:pPr>
    </w:p>
    <w:p w14:paraId="269ED757" w14:textId="71B8E8D9" w:rsidR="009969D1" w:rsidRPr="009969D1" w:rsidRDefault="009969D1" w:rsidP="009969D1">
      <w:pPr>
        <w:autoSpaceDE w:val="0"/>
        <w:autoSpaceDN w:val="0"/>
        <w:adjustRightInd w:val="0"/>
        <w:rPr>
          <w:rFonts w:eastAsia="Arial"/>
          <w:b/>
          <w:sz w:val="24"/>
          <w:szCs w:val="24"/>
          <w:u w:val="single"/>
          <w:lang w:val="es-ES_tradnl" w:eastAsia="zh-CN"/>
        </w:rPr>
      </w:pPr>
      <w:r w:rsidRPr="009969D1">
        <w:rPr>
          <w:rFonts w:eastAsia="Arial"/>
          <w:b/>
          <w:sz w:val="24"/>
          <w:szCs w:val="24"/>
          <w:u w:val="single"/>
          <w:lang w:val="es-ES_tradnl" w:eastAsia="zh-CN"/>
        </w:rPr>
        <w:t xml:space="preserve">Solicitud </w:t>
      </w:r>
      <w:r w:rsidR="00871381">
        <w:rPr>
          <w:rFonts w:eastAsia="Arial"/>
          <w:b/>
          <w:sz w:val="24"/>
          <w:szCs w:val="24"/>
          <w:u w:val="single"/>
          <w:lang w:val="es-ES_tradnl" w:eastAsia="zh-CN"/>
        </w:rPr>
        <w:t>de</w:t>
      </w:r>
      <w:r w:rsidRPr="009969D1">
        <w:rPr>
          <w:rFonts w:eastAsia="Arial"/>
          <w:b/>
          <w:sz w:val="24"/>
          <w:szCs w:val="24"/>
          <w:u w:val="single"/>
          <w:lang w:val="es-ES_tradnl" w:eastAsia="zh-CN"/>
        </w:rPr>
        <w:t xml:space="preserve"> contribuciones</w:t>
      </w:r>
    </w:p>
    <w:p w14:paraId="36B7EBA3" w14:textId="77777777" w:rsidR="009969D1" w:rsidRPr="009969D1" w:rsidRDefault="009969D1" w:rsidP="009969D1">
      <w:pPr>
        <w:autoSpaceDE w:val="0"/>
        <w:autoSpaceDN w:val="0"/>
        <w:adjustRightInd w:val="0"/>
        <w:ind w:firstLine="567"/>
        <w:rPr>
          <w:rFonts w:eastAsia="Arial"/>
          <w:b/>
          <w:sz w:val="24"/>
          <w:szCs w:val="24"/>
          <w:u w:val="single"/>
          <w:lang w:val="es-ES_tradnl" w:eastAsia="zh-CN"/>
        </w:rPr>
      </w:pPr>
    </w:p>
    <w:p w14:paraId="1529ABD4" w14:textId="5DC9CF35" w:rsidR="009969D1" w:rsidRDefault="009969D1" w:rsidP="00AA6265">
      <w:pPr>
        <w:pBdr>
          <w:top w:val="nil"/>
          <w:left w:val="nil"/>
          <w:bottom w:val="nil"/>
          <w:right w:val="nil"/>
          <w:between w:val="nil"/>
        </w:pBdr>
        <w:jc w:val="both"/>
        <w:rPr>
          <w:rFonts w:eastAsia="Helvetica Neue"/>
          <w:sz w:val="24"/>
          <w:szCs w:val="24"/>
          <w:lang w:val="es-ES_tradnl" w:eastAsia="zh-CN"/>
        </w:rPr>
      </w:pPr>
      <w:r w:rsidRPr="009969D1">
        <w:rPr>
          <w:rFonts w:eastAsia="Helvetica Neue"/>
          <w:sz w:val="24"/>
          <w:szCs w:val="24"/>
          <w:lang w:val="es-ES_tradnl" w:eastAsia="zh-CN"/>
        </w:rPr>
        <w:t>Para respaldar mi informe, estoy buscando aportaciones por parte de las partes interesadas relevantes (Estados Miembros, instituciones nacionales de derechos humanos, organizaciones de la sociedad civil, organismos de las Naciones Unidas, instituciones regionales, empresas, etc.) sobre los siguientes temas:</w:t>
      </w:r>
    </w:p>
    <w:p w14:paraId="0B8643E6" w14:textId="77777777" w:rsidR="00442D10" w:rsidRPr="009969D1" w:rsidRDefault="00442D10" w:rsidP="00AA6265">
      <w:pPr>
        <w:pBdr>
          <w:top w:val="nil"/>
          <w:left w:val="nil"/>
          <w:bottom w:val="nil"/>
          <w:right w:val="nil"/>
          <w:between w:val="nil"/>
        </w:pBdr>
        <w:jc w:val="both"/>
        <w:rPr>
          <w:rFonts w:eastAsia="Helvetica Neue"/>
          <w:sz w:val="24"/>
          <w:szCs w:val="24"/>
          <w:lang w:val="es-ES_tradnl" w:eastAsia="zh-CN"/>
        </w:rPr>
      </w:pPr>
    </w:p>
    <w:p w14:paraId="7AB1A0EE" w14:textId="4A7B5E4E" w:rsidR="009969D1" w:rsidRDefault="009969D1" w:rsidP="00AA6265">
      <w:pPr>
        <w:pStyle w:val="ListParagraph"/>
        <w:numPr>
          <w:ilvl w:val="0"/>
          <w:numId w:val="27"/>
        </w:numPr>
        <w:pBdr>
          <w:top w:val="nil"/>
          <w:left w:val="nil"/>
          <w:bottom w:val="nil"/>
          <w:right w:val="nil"/>
          <w:between w:val="nil"/>
        </w:pBdr>
        <w:jc w:val="both"/>
        <w:rPr>
          <w:rFonts w:eastAsia="Helvetica Neue"/>
          <w:sz w:val="24"/>
          <w:szCs w:val="24"/>
          <w:lang w:val="es-ES_tradnl" w:eastAsia="zh-CN"/>
        </w:rPr>
      </w:pPr>
      <w:r w:rsidRPr="00301542">
        <w:rPr>
          <w:rFonts w:eastAsia="Helvetica Neue"/>
          <w:sz w:val="24"/>
          <w:szCs w:val="24"/>
          <w:lang w:val="es-ES_tradnl" w:eastAsia="zh-CN"/>
        </w:rPr>
        <w:t xml:space="preserve">Áreas clave en las que las personas (en su país, región o en todo el mundo) sufren exclusión sociocultural y económica como resultado de la violencia y la </w:t>
      </w:r>
      <w:r w:rsidRPr="00301542">
        <w:rPr>
          <w:rFonts w:eastAsia="Helvetica Neue"/>
          <w:sz w:val="24"/>
          <w:szCs w:val="24"/>
          <w:lang w:val="es-ES_tradnl" w:eastAsia="zh-CN"/>
        </w:rPr>
        <w:lastRenderedPageBreak/>
        <w:t>discriminación por motivos de orientación sexual y/o identidad de género; en particular,</w:t>
      </w:r>
    </w:p>
    <w:p w14:paraId="79DDB0B2" w14:textId="77777777" w:rsidR="00245DDE" w:rsidRPr="00301542" w:rsidRDefault="00245DDE" w:rsidP="00245DDE">
      <w:pPr>
        <w:pStyle w:val="ListParagraph"/>
        <w:pBdr>
          <w:top w:val="nil"/>
          <w:left w:val="nil"/>
          <w:bottom w:val="nil"/>
          <w:right w:val="nil"/>
          <w:between w:val="nil"/>
        </w:pBdr>
        <w:jc w:val="both"/>
        <w:rPr>
          <w:rFonts w:eastAsia="Helvetica Neue"/>
          <w:sz w:val="24"/>
          <w:szCs w:val="24"/>
          <w:lang w:val="es-ES_tradnl" w:eastAsia="zh-CN"/>
        </w:rPr>
      </w:pPr>
    </w:p>
    <w:p w14:paraId="0B77BE27" w14:textId="77777777" w:rsidR="009969D1" w:rsidRPr="00301542" w:rsidRDefault="009969D1" w:rsidP="00AA6265">
      <w:pPr>
        <w:pStyle w:val="ListParagraph"/>
        <w:numPr>
          <w:ilvl w:val="0"/>
          <w:numId w:val="34"/>
        </w:numPr>
        <w:pBdr>
          <w:top w:val="nil"/>
          <w:left w:val="nil"/>
          <w:bottom w:val="nil"/>
          <w:right w:val="nil"/>
          <w:between w:val="nil"/>
        </w:pBdr>
        <w:jc w:val="both"/>
        <w:rPr>
          <w:rFonts w:eastAsia="Helvetica Neue"/>
          <w:sz w:val="24"/>
          <w:szCs w:val="24"/>
          <w:lang w:val="es-ES_tradnl" w:eastAsia="zh-CN"/>
        </w:rPr>
      </w:pPr>
      <w:r w:rsidRPr="00301542">
        <w:rPr>
          <w:rFonts w:eastAsia="Helvetica Neue"/>
          <w:sz w:val="24"/>
          <w:szCs w:val="24"/>
          <w:lang w:val="es-ES_tradnl" w:eastAsia="zh-CN"/>
        </w:rPr>
        <w:t>¿Qué conocimientos, incluyendo la información y los datos, existen en las bases de planificación del Estado en relación con la exclusión sociocultural y económica basada en la orientación sexual y la identidad de género, incluidos los niveles de pobreza, la falta de vivienda, la educación, el empleo, la salud, la participación política y cualquier otro indicador social pertinente?</w:t>
      </w:r>
    </w:p>
    <w:p w14:paraId="0BC6A308" w14:textId="77777777" w:rsidR="009969D1" w:rsidRPr="00301542" w:rsidRDefault="009969D1" w:rsidP="00AA6265">
      <w:pPr>
        <w:pStyle w:val="ListParagraph"/>
        <w:numPr>
          <w:ilvl w:val="0"/>
          <w:numId w:val="34"/>
        </w:numPr>
        <w:pBdr>
          <w:top w:val="nil"/>
          <w:left w:val="nil"/>
          <w:bottom w:val="nil"/>
          <w:right w:val="nil"/>
          <w:between w:val="nil"/>
        </w:pBdr>
        <w:jc w:val="both"/>
        <w:rPr>
          <w:rFonts w:eastAsia="Helvetica Neue"/>
          <w:sz w:val="24"/>
          <w:szCs w:val="24"/>
          <w:lang w:val="es-ES_tradnl" w:eastAsia="zh-CN"/>
        </w:rPr>
      </w:pPr>
      <w:r w:rsidRPr="00301542">
        <w:rPr>
          <w:rFonts w:eastAsia="Helvetica Neue"/>
          <w:sz w:val="24"/>
          <w:szCs w:val="24"/>
          <w:lang w:val="es-ES_tradnl" w:eastAsia="zh-CN"/>
        </w:rPr>
        <w:t>¿Cómo se ven afectados de manera diferente los individuos, grupos o comunidades, en función de su orientación sexual y/o identidad de género?</w:t>
      </w:r>
    </w:p>
    <w:p w14:paraId="79F6AC07" w14:textId="48D09F1D" w:rsidR="00301542" w:rsidRDefault="009969D1" w:rsidP="00AA6265">
      <w:pPr>
        <w:pStyle w:val="ListParagraph"/>
        <w:numPr>
          <w:ilvl w:val="0"/>
          <w:numId w:val="34"/>
        </w:numPr>
        <w:pBdr>
          <w:top w:val="nil"/>
          <w:left w:val="nil"/>
          <w:bottom w:val="nil"/>
          <w:right w:val="nil"/>
          <w:between w:val="nil"/>
        </w:pBdr>
        <w:jc w:val="both"/>
        <w:rPr>
          <w:rFonts w:eastAsia="Helvetica Neue"/>
          <w:sz w:val="24"/>
          <w:szCs w:val="24"/>
          <w:lang w:val="es-ES_tradnl" w:eastAsia="zh-CN"/>
        </w:rPr>
      </w:pPr>
      <w:r w:rsidRPr="00301542">
        <w:rPr>
          <w:rFonts w:eastAsia="Helvetica Neue"/>
          <w:sz w:val="24"/>
          <w:szCs w:val="24"/>
          <w:lang w:val="es-ES_tradnl" w:eastAsia="zh-CN"/>
        </w:rPr>
        <w:t>¿Cuáles son los principales obstáculos para garantizar la igualdad de acceso a la educación, la atención de la salud, el empleo y la ocupación, la vivienda y otros sectores pertinentes?</w:t>
      </w:r>
    </w:p>
    <w:p w14:paraId="0674FE85" w14:textId="77777777" w:rsidR="00245DDE" w:rsidRPr="00B82625" w:rsidRDefault="00245DDE" w:rsidP="00245DDE">
      <w:pPr>
        <w:pStyle w:val="ListParagraph"/>
        <w:pBdr>
          <w:top w:val="nil"/>
          <w:left w:val="nil"/>
          <w:bottom w:val="nil"/>
          <w:right w:val="nil"/>
          <w:between w:val="nil"/>
        </w:pBdr>
        <w:ind w:left="1080"/>
        <w:jc w:val="both"/>
        <w:rPr>
          <w:rFonts w:eastAsia="Helvetica Neue"/>
          <w:sz w:val="24"/>
          <w:szCs w:val="24"/>
          <w:lang w:val="es-ES_tradnl" w:eastAsia="zh-CN"/>
        </w:rPr>
      </w:pPr>
    </w:p>
    <w:p w14:paraId="378CC661" w14:textId="5154E5C5" w:rsidR="00301542" w:rsidRDefault="009969D1" w:rsidP="00AA6265">
      <w:pPr>
        <w:pStyle w:val="ListParagraph"/>
        <w:numPr>
          <w:ilvl w:val="0"/>
          <w:numId w:val="27"/>
        </w:numPr>
        <w:pBdr>
          <w:top w:val="nil"/>
          <w:left w:val="nil"/>
          <w:bottom w:val="nil"/>
          <w:right w:val="nil"/>
          <w:between w:val="nil"/>
        </w:pBdr>
        <w:jc w:val="both"/>
        <w:rPr>
          <w:rFonts w:eastAsia="Helvetica Neue"/>
          <w:sz w:val="24"/>
          <w:szCs w:val="24"/>
          <w:lang w:val="es-ES_tradnl" w:eastAsia="zh-CN"/>
        </w:rPr>
      </w:pPr>
      <w:r w:rsidRPr="00301542">
        <w:rPr>
          <w:rFonts w:eastAsia="Helvetica Neue"/>
          <w:sz w:val="24"/>
          <w:szCs w:val="24"/>
          <w:lang w:val="es-ES_tradnl" w:eastAsia="zh-CN"/>
        </w:rPr>
        <w:t>¿Cuáles son las causas fundamentales y factores estructurales responsables de la marginación y la exclusión sociocultural y económica, como las leyes, las políticas públicas, las prácticas institucionales, los comportamientos organizativos y las ideologías, valores y creencias predominantes?</w:t>
      </w:r>
    </w:p>
    <w:p w14:paraId="40FF8BE9" w14:textId="77777777" w:rsidR="00245DDE" w:rsidRPr="00B82625" w:rsidRDefault="00245DDE" w:rsidP="00245DDE">
      <w:pPr>
        <w:pStyle w:val="ListParagraph"/>
        <w:pBdr>
          <w:top w:val="nil"/>
          <w:left w:val="nil"/>
          <w:bottom w:val="nil"/>
          <w:right w:val="nil"/>
          <w:between w:val="nil"/>
        </w:pBdr>
        <w:jc w:val="both"/>
        <w:rPr>
          <w:rFonts w:eastAsia="Helvetica Neue"/>
          <w:sz w:val="24"/>
          <w:szCs w:val="24"/>
          <w:lang w:val="es-ES_tradnl" w:eastAsia="zh-CN"/>
        </w:rPr>
      </w:pPr>
    </w:p>
    <w:p w14:paraId="16F8A4AB" w14:textId="26A73F37" w:rsidR="009969D1" w:rsidRDefault="009969D1" w:rsidP="00AA6265">
      <w:pPr>
        <w:pStyle w:val="ListParagraph"/>
        <w:numPr>
          <w:ilvl w:val="0"/>
          <w:numId w:val="27"/>
        </w:numPr>
        <w:pBdr>
          <w:top w:val="nil"/>
          <w:left w:val="nil"/>
          <w:bottom w:val="nil"/>
          <w:right w:val="nil"/>
          <w:between w:val="nil"/>
        </w:pBdr>
        <w:jc w:val="both"/>
        <w:rPr>
          <w:rFonts w:eastAsia="Helvetica Neue"/>
          <w:sz w:val="24"/>
          <w:szCs w:val="24"/>
          <w:lang w:val="es-ES_tradnl" w:eastAsia="zh-CN"/>
        </w:rPr>
      </w:pPr>
      <w:r w:rsidRPr="00301542">
        <w:rPr>
          <w:rFonts w:eastAsia="Helvetica Neue"/>
          <w:sz w:val="24"/>
          <w:szCs w:val="24"/>
          <w:lang w:val="es-ES_tradnl" w:eastAsia="zh-CN"/>
        </w:rPr>
        <w:t>Esfuerzos del Estado para abordar la exclusión sociocultural y económica a través de la legislación, las políticas, la recopilación de datos y otros medios, por ejemplo:</w:t>
      </w:r>
    </w:p>
    <w:p w14:paraId="7930E516" w14:textId="77777777" w:rsidR="00245DDE" w:rsidRPr="00301542" w:rsidRDefault="00245DDE" w:rsidP="00245DDE">
      <w:pPr>
        <w:pStyle w:val="ListParagraph"/>
        <w:pBdr>
          <w:top w:val="nil"/>
          <w:left w:val="nil"/>
          <w:bottom w:val="nil"/>
          <w:right w:val="nil"/>
          <w:between w:val="nil"/>
        </w:pBdr>
        <w:jc w:val="both"/>
        <w:rPr>
          <w:rFonts w:eastAsia="Helvetica Neue"/>
          <w:sz w:val="24"/>
          <w:szCs w:val="24"/>
          <w:lang w:val="es-ES_tradnl" w:eastAsia="zh-CN"/>
        </w:rPr>
      </w:pPr>
    </w:p>
    <w:p w14:paraId="5BD20125" w14:textId="10C9CC6F" w:rsidR="009969D1" w:rsidRPr="009969D1" w:rsidRDefault="009969D1" w:rsidP="00AA6265">
      <w:pPr>
        <w:numPr>
          <w:ilvl w:val="0"/>
          <w:numId w:val="35"/>
        </w:numPr>
        <w:pBdr>
          <w:top w:val="nil"/>
          <w:left w:val="nil"/>
          <w:bottom w:val="nil"/>
          <w:right w:val="nil"/>
          <w:between w:val="nil"/>
        </w:pBdr>
        <w:jc w:val="both"/>
        <w:rPr>
          <w:rFonts w:eastAsia="Helvetica Neue"/>
          <w:sz w:val="24"/>
          <w:szCs w:val="24"/>
          <w:lang w:val="es-ES_tradnl" w:eastAsia="zh-CN"/>
        </w:rPr>
      </w:pPr>
      <w:r w:rsidRPr="009969D1">
        <w:rPr>
          <w:rFonts w:eastAsia="Helvetica Neue"/>
          <w:sz w:val="24"/>
          <w:szCs w:val="24"/>
          <w:lang w:val="es-ES_tradnl" w:eastAsia="zh-CN"/>
        </w:rPr>
        <w:t>Destitución y pobreza</w:t>
      </w:r>
      <w:r w:rsidR="0012357F">
        <w:rPr>
          <w:rFonts w:eastAsia="Helvetica Neue"/>
          <w:sz w:val="24"/>
          <w:szCs w:val="24"/>
          <w:lang w:val="es-ES_tradnl" w:eastAsia="zh-CN"/>
        </w:rPr>
        <w:t>;</w:t>
      </w:r>
    </w:p>
    <w:p w14:paraId="2282DE28" w14:textId="2A64CC31" w:rsidR="009969D1" w:rsidRPr="009969D1" w:rsidRDefault="009969D1" w:rsidP="00AA6265">
      <w:pPr>
        <w:numPr>
          <w:ilvl w:val="0"/>
          <w:numId w:val="35"/>
        </w:numPr>
        <w:pBdr>
          <w:top w:val="nil"/>
          <w:left w:val="nil"/>
          <w:bottom w:val="nil"/>
          <w:right w:val="nil"/>
          <w:between w:val="nil"/>
        </w:pBdr>
        <w:jc w:val="both"/>
        <w:rPr>
          <w:rFonts w:eastAsia="Helvetica Neue"/>
          <w:sz w:val="24"/>
          <w:szCs w:val="24"/>
          <w:lang w:val="es-ES_tradnl" w:eastAsia="zh-CN"/>
        </w:rPr>
      </w:pPr>
      <w:r w:rsidRPr="009969D1">
        <w:rPr>
          <w:rFonts w:eastAsia="Helvetica Neue"/>
          <w:sz w:val="24"/>
          <w:szCs w:val="24"/>
          <w:lang w:val="es-ES_tradnl" w:eastAsia="zh-CN"/>
        </w:rPr>
        <w:t>Esfuerzos actuales de los Estados para abordar el acoso y la exclusión de las personas LGBT de la educación, incluida la formación de profesores en los planes de estudio y cualquier medida para promover la educación continua o la reinserción en el entorno educa</w:t>
      </w:r>
      <w:r w:rsidR="0012357F">
        <w:rPr>
          <w:rFonts w:eastAsia="Helvetica Neue"/>
          <w:sz w:val="24"/>
          <w:szCs w:val="24"/>
          <w:lang w:val="es-ES_tradnl" w:eastAsia="zh-CN"/>
        </w:rPr>
        <w:t>tivo y la formación profesional;</w:t>
      </w:r>
    </w:p>
    <w:p w14:paraId="119165B9" w14:textId="7C00B66D" w:rsidR="009969D1" w:rsidRPr="009969D1" w:rsidRDefault="00442D10" w:rsidP="00AA6265">
      <w:pPr>
        <w:numPr>
          <w:ilvl w:val="0"/>
          <w:numId w:val="35"/>
        </w:numPr>
        <w:pBdr>
          <w:top w:val="nil"/>
          <w:left w:val="nil"/>
          <w:bottom w:val="nil"/>
          <w:right w:val="nil"/>
          <w:between w:val="nil"/>
        </w:pBdr>
        <w:jc w:val="both"/>
        <w:rPr>
          <w:rFonts w:eastAsia="Helvetica Neue"/>
          <w:sz w:val="24"/>
          <w:szCs w:val="24"/>
          <w:lang w:val="es-ES_tradnl" w:eastAsia="zh-CN"/>
        </w:rPr>
      </w:pPr>
      <w:r>
        <w:rPr>
          <w:rFonts w:eastAsia="Helvetica Neue"/>
          <w:sz w:val="24"/>
          <w:szCs w:val="24"/>
          <w:lang w:val="es-ES_tradnl" w:eastAsia="zh-CN"/>
        </w:rPr>
        <w:t>L</w:t>
      </w:r>
      <w:r w:rsidR="009969D1" w:rsidRPr="009969D1">
        <w:rPr>
          <w:rFonts w:eastAsia="Helvetica Neue"/>
          <w:sz w:val="24"/>
          <w:szCs w:val="24"/>
          <w:lang w:val="es-ES_tradnl" w:eastAsia="zh-CN"/>
        </w:rPr>
        <w:t xml:space="preserve">a falta de vivienda entre las personas LGBT, en particular los jóvenes, y la inclusión en programas de refugio;  </w:t>
      </w:r>
    </w:p>
    <w:p w14:paraId="2ECEEBF7" w14:textId="77777777" w:rsidR="0012357F" w:rsidRDefault="00442D10" w:rsidP="00AA6265">
      <w:pPr>
        <w:numPr>
          <w:ilvl w:val="0"/>
          <w:numId w:val="35"/>
        </w:numPr>
        <w:pBdr>
          <w:top w:val="nil"/>
          <w:left w:val="nil"/>
          <w:bottom w:val="nil"/>
          <w:right w:val="nil"/>
          <w:between w:val="nil"/>
        </w:pBdr>
        <w:jc w:val="both"/>
        <w:rPr>
          <w:rFonts w:eastAsia="Helvetica Neue"/>
          <w:sz w:val="24"/>
          <w:szCs w:val="24"/>
          <w:lang w:val="es-ES_tradnl" w:eastAsia="zh-CN"/>
        </w:rPr>
      </w:pPr>
      <w:r>
        <w:rPr>
          <w:rFonts w:eastAsia="Helvetica Neue"/>
          <w:sz w:val="24"/>
          <w:szCs w:val="24"/>
          <w:lang w:val="es-ES_tradnl" w:eastAsia="zh-CN"/>
        </w:rPr>
        <w:t>L</w:t>
      </w:r>
      <w:r w:rsidR="009969D1" w:rsidRPr="009969D1">
        <w:rPr>
          <w:rFonts w:eastAsia="Helvetica Neue"/>
          <w:sz w:val="24"/>
          <w:szCs w:val="24"/>
          <w:lang w:val="es-ES_tradnl" w:eastAsia="zh-CN"/>
        </w:rPr>
        <w:t xml:space="preserve">a cobertura de la seguridad social y las prestaciones, así como de los seguros de salud públicos y privados (teniendo en cuenta las pensiones de supervivencia para las parejas del mismo sexo, la cobertura de los seguros de atención a la afirmación del género, la vivienda social para los jóvenes y las personas mayores LGBT, etc.); </w:t>
      </w:r>
    </w:p>
    <w:p w14:paraId="17B247F1" w14:textId="63D18177" w:rsidR="0012357F" w:rsidRDefault="00442D10" w:rsidP="00AA6265">
      <w:pPr>
        <w:numPr>
          <w:ilvl w:val="0"/>
          <w:numId w:val="35"/>
        </w:numPr>
        <w:pBdr>
          <w:top w:val="nil"/>
          <w:left w:val="nil"/>
          <w:bottom w:val="nil"/>
          <w:right w:val="nil"/>
          <w:between w:val="nil"/>
        </w:pBdr>
        <w:jc w:val="both"/>
        <w:rPr>
          <w:rFonts w:eastAsia="Helvetica Neue"/>
          <w:sz w:val="24"/>
          <w:szCs w:val="24"/>
          <w:lang w:val="es-ES_tradnl" w:eastAsia="zh-CN"/>
        </w:rPr>
      </w:pPr>
      <w:r w:rsidRPr="0012357F">
        <w:rPr>
          <w:rFonts w:eastAsia="Helvetica Neue"/>
          <w:sz w:val="24"/>
          <w:szCs w:val="24"/>
          <w:lang w:val="es-ES_tradnl" w:eastAsia="zh-CN"/>
        </w:rPr>
        <w:t>La</w:t>
      </w:r>
      <w:r w:rsidR="009969D1" w:rsidRPr="0012357F">
        <w:rPr>
          <w:rFonts w:eastAsia="Helvetica Neue"/>
          <w:sz w:val="24"/>
          <w:szCs w:val="24"/>
          <w:lang w:val="es-ES_tradnl" w:eastAsia="zh-CN"/>
        </w:rPr>
        <w:t xml:space="preserve"> igualdad de acceso a la salud (incluso mediante la formación y la sensibilización del personal de atención de la salud), independientemente de la orientación sexual, la identidad o la expresión de género</w:t>
      </w:r>
      <w:r w:rsidR="0012357F">
        <w:rPr>
          <w:rFonts w:eastAsia="Helvetica Neue"/>
          <w:sz w:val="24"/>
          <w:szCs w:val="24"/>
          <w:lang w:val="es-ES_tradnl" w:eastAsia="zh-CN"/>
        </w:rPr>
        <w:t>;</w:t>
      </w:r>
    </w:p>
    <w:p w14:paraId="77609176" w14:textId="77777777" w:rsidR="00245DDE" w:rsidRPr="00B82625" w:rsidRDefault="00245DDE" w:rsidP="00245DDE">
      <w:pPr>
        <w:pBdr>
          <w:top w:val="nil"/>
          <w:left w:val="nil"/>
          <w:bottom w:val="nil"/>
          <w:right w:val="nil"/>
          <w:between w:val="nil"/>
        </w:pBdr>
        <w:ind w:left="1080"/>
        <w:jc w:val="both"/>
        <w:rPr>
          <w:rFonts w:eastAsia="Helvetica Neue"/>
          <w:sz w:val="24"/>
          <w:szCs w:val="24"/>
          <w:lang w:val="es-ES_tradnl" w:eastAsia="zh-CN"/>
        </w:rPr>
      </w:pPr>
    </w:p>
    <w:p w14:paraId="6E203F9C" w14:textId="4EB956E6" w:rsidR="0012357F" w:rsidRDefault="009969D1" w:rsidP="00AA6265">
      <w:pPr>
        <w:numPr>
          <w:ilvl w:val="0"/>
          <w:numId w:val="27"/>
        </w:numPr>
        <w:pBdr>
          <w:top w:val="nil"/>
          <w:left w:val="nil"/>
          <w:bottom w:val="nil"/>
          <w:right w:val="nil"/>
          <w:between w:val="nil"/>
        </w:pBdr>
        <w:jc w:val="both"/>
        <w:rPr>
          <w:rFonts w:eastAsia="Helvetica Neue"/>
          <w:sz w:val="24"/>
          <w:szCs w:val="24"/>
          <w:lang w:val="es-ES_tradnl" w:eastAsia="zh-CN"/>
        </w:rPr>
      </w:pPr>
      <w:r w:rsidRPr="009969D1">
        <w:rPr>
          <w:rFonts w:eastAsia="Helvetica Neue"/>
          <w:sz w:val="24"/>
          <w:szCs w:val="24"/>
          <w:lang w:val="es-ES_tradnl" w:eastAsia="zh-CN"/>
        </w:rPr>
        <w:t>Mecanismos de denuncia disponibles y accesibles para las personas LGBT que sufren discriminación</w:t>
      </w:r>
      <w:r w:rsidR="00B82625">
        <w:rPr>
          <w:rFonts w:eastAsia="Helvetica Neue"/>
          <w:sz w:val="24"/>
          <w:szCs w:val="24"/>
          <w:lang w:val="es-ES_tradnl" w:eastAsia="zh-CN"/>
        </w:rPr>
        <w:t>.</w:t>
      </w:r>
    </w:p>
    <w:p w14:paraId="37479949" w14:textId="77777777" w:rsidR="00245DDE" w:rsidRPr="009969D1" w:rsidRDefault="00245DDE" w:rsidP="00245DDE">
      <w:pPr>
        <w:pBdr>
          <w:top w:val="nil"/>
          <w:left w:val="nil"/>
          <w:bottom w:val="nil"/>
          <w:right w:val="nil"/>
          <w:between w:val="nil"/>
        </w:pBdr>
        <w:ind w:left="720"/>
        <w:jc w:val="both"/>
        <w:rPr>
          <w:rFonts w:eastAsia="Helvetica Neue"/>
          <w:sz w:val="24"/>
          <w:szCs w:val="24"/>
          <w:lang w:val="es-ES_tradnl" w:eastAsia="zh-CN"/>
        </w:rPr>
      </w:pPr>
    </w:p>
    <w:p w14:paraId="1E373771" w14:textId="50D0564B" w:rsidR="00B82625" w:rsidRDefault="009969D1" w:rsidP="00AA6265">
      <w:pPr>
        <w:numPr>
          <w:ilvl w:val="0"/>
          <w:numId w:val="27"/>
        </w:numPr>
        <w:pBdr>
          <w:top w:val="nil"/>
          <w:left w:val="nil"/>
          <w:bottom w:val="nil"/>
          <w:right w:val="nil"/>
          <w:between w:val="nil"/>
        </w:pBdr>
        <w:jc w:val="both"/>
        <w:rPr>
          <w:rFonts w:eastAsia="Helvetica Neue"/>
          <w:sz w:val="24"/>
          <w:szCs w:val="24"/>
          <w:lang w:val="es-ES_tradnl" w:eastAsia="zh-CN"/>
        </w:rPr>
      </w:pPr>
      <w:r w:rsidRPr="009969D1">
        <w:rPr>
          <w:rFonts w:eastAsia="Helvetica Neue"/>
          <w:sz w:val="24"/>
          <w:szCs w:val="24"/>
          <w:lang w:val="es-ES_tradnl" w:eastAsia="zh-CN"/>
        </w:rPr>
        <w:t>Medidas para garantizar la inclusión sociocultural y económica basada en la orientación sexual y la identidad de género en las medidas adoptadas para garantizar la consecución de los objetivos de desarrollo sostenible en los planos nacional y regional.</w:t>
      </w:r>
    </w:p>
    <w:p w14:paraId="638B4DBE" w14:textId="77777777" w:rsidR="00245DDE" w:rsidRPr="009969D1" w:rsidRDefault="00245DDE" w:rsidP="00245DDE">
      <w:pPr>
        <w:pBdr>
          <w:top w:val="nil"/>
          <w:left w:val="nil"/>
          <w:bottom w:val="nil"/>
          <w:right w:val="nil"/>
          <w:between w:val="nil"/>
        </w:pBdr>
        <w:ind w:left="720"/>
        <w:jc w:val="both"/>
        <w:rPr>
          <w:rFonts w:eastAsia="Helvetica Neue"/>
          <w:sz w:val="24"/>
          <w:szCs w:val="24"/>
          <w:lang w:val="es-ES_tradnl" w:eastAsia="zh-CN"/>
        </w:rPr>
      </w:pPr>
      <w:bookmarkStart w:id="0" w:name="_GoBack"/>
      <w:bookmarkEnd w:id="0"/>
    </w:p>
    <w:p w14:paraId="63BA751F" w14:textId="662A7DE6" w:rsidR="00B82625" w:rsidRPr="009969D1" w:rsidRDefault="009969D1" w:rsidP="00AA6265">
      <w:pPr>
        <w:numPr>
          <w:ilvl w:val="0"/>
          <w:numId w:val="27"/>
        </w:numPr>
        <w:pBdr>
          <w:top w:val="nil"/>
          <w:left w:val="nil"/>
          <w:bottom w:val="nil"/>
          <w:right w:val="nil"/>
          <w:between w:val="nil"/>
        </w:pBdr>
        <w:jc w:val="both"/>
        <w:rPr>
          <w:rFonts w:eastAsia="Helvetica Neue"/>
          <w:sz w:val="24"/>
          <w:szCs w:val="24"/>
          <w:lang w:val="es-ES_tradnl" w:eastAsia="zh-CN"/>
        </w:rPr>
      </w:pPr>
      <w:r w:rsidRPr="009969D1">
        <w:rPr>
          <w:rFonts w:eastAsia="Helvetica Neue"/>
          <w:sz w:val="24"/>
          <w:szCs w:val="24"/>
          <w:lang w:val="es-ES_tradnl" w:eastAsia="zh-CN"/>
        </w:rPr>
        <w:t>Medidas adoptadas para concienciar y sensibilizar a la opinión pública sobre cuestiones de orientación sexual e identidad de género, a fin de promover la inclusión sociocultural y económica significativa de las personas LGBT.</w:t>
      </w:r>
    </w:p>
    <w:p w14:paraId="3B0FFA23" w14:textId="3E7B1C62" w:rsidR="009969D1" w:rsidRDefault="009969D1" w:rsidP="00AA6265">
      <w:pPr>
        <w:numPr>
          <w:ilvl w:val="0"/>
          <w:numId w:val="27"/>
        </w:numPr>
        <w:pBdr>
          <w:top w:val="nil"/>
          <w:left w:val="nil"/>
          <w:bottom w:val="nil"/>
          <w:right w:val="nil"/>
          <w:between w:val="nil"/>
        </w:pBdr>
        <w:jc w:val="both"/>
        <w:rPr>
          <w:rFonts w:eastAsia="Helvetica Neue"/>
          <w:sz w:val="24"/>
          <w:szCs w:val="24"/>
          <w:lang w:val="es-ES_tradnl" w:eastAsia="zh-CN"/>
        </w:rPr>
      </w:pPr>
      <w:r w:rsidRPr="009969D1">
        <w:rPr>
          <w:rFonts w:eastAsia="Helvetica Neue"/>
          <w:sz w:val="24"/>
          <w:szCs w:val="24"/>
          <w:lang w:val="es-ES_tradnl" w:eastAsia="zh-CN"/>
        </w:rPr>
        <w:t>Servicios prestados por la sociedad civil a personas LGBT excluidas y marginadas.</w:t>
      </w:r>
    </w:p>
    <w:p w14:paraId="13FCC09C" w14:textId="77777777" w:rsidR="0012357F" w:rsidRPr="009969D1" w:rsidRDefault="0012357F" w:rsidP="00AA6265">
      <w:pPr>
        <w:pBdr>
          <w:top w:val="nil"/>
          <w:left w:val="nil"/>
          <w:bottom w:val="nil"/>
          <w:right w:val="nil"/>
          <w:between w:val="nil"/>
        </w:pBdr>
        <w:ind w:left="1080"/>
        <w:jc w:val="both"/>
        <w:rPr>
          <w:rFonts w:eastAsia="Helvetica Neue"/>
          <w:sz w:val="24"/>
          <w:szCs w:val="24"/>
          <w:lang w:val="es-ES_tradnl" w:eastAsia="zh-CN"/>
        </w:rPr>
      </w:pPr>
    </w:p>
    <w:p w14:paraId="6EFBF6FD" w14:textId="77777777" w:rsidR="009969D1" w:rsidRPr="009969D1" w:rsidRDefault="009969D1" w:rsidP="00F85F70">
      <w:pPr>
        <w:autoSpaceDE w:val="0"/>
        <w:autoSpaceDN w:val="0"/>
        <w:adjustRightInd w:val="0"/>
        <w:ind w:firstLine="567"/>
        <w:jc w:val="both"/>
        <w:rPr>
          <w:rFonts w:eastAsia="Arial"/>
          <w:sz w:val="24"/>
          <w:szCs w:val="24"/>
          <w:lang w:val="es-ES_tradnl" w:eastAsia="zh-CN"/>
        </w:rPr>
      </w:pPr>
      <w:r w:rsidRPr="009969D1">
        <w:rPr>
          <w:rFonts w:eastAsia="Arial"/>
          <w:sz w:val="24"/>
          <w:szCs w:val="24"/>
          <w:lang w:val="es-ES_tradnl" w:eastAsia="zh-CN"/>
        </w:rPr>
        <w:t xml:space="preserve">Las respuestas a las preguntas anteriores pueden enviarse en inglés, francés o español, y en formato Word. Por favor, tenga en cuenta </w:t>
      </w:r>
      <w:proofErr w:type="gramStart"/>
      <w:r w:rsidRPr="009969D1">
        <w:rPr>
          <w:rFonts w:eastAsia="Arial"/>
          <w:sz w:val="24"/>
          <w:szCs w:val="24"/>
          <w:lang w:val="es-ES_tradnl" w:eastAsia="zh-CN"/>
        </w:rPr>
        <w:t>que</w:t>
      </w:r>
      <w:proofErr w:type="gramEnd"/>
      <w:r w:rsidRPr="009969D1">
        <w:rPr>
          <w:rFonts w:eastAsia="Arial"/>
          <w:sz w:val="24"/>
          <w:szCs w:val="24"/>
          <w:lang w:val="es-ES_tradnl" w:eastAsia="zh-CN"/>
        </w:rPr>
        <w:t xml:space="preserve"> si desea que sus envíos sean confidenciales, se le pedirá que haga una solicitud explícita en su envío, ya que de lo contrario la información puede ser referenciada en el informe o / y publicada.</w:t>
      </w:r>
    </w:p>
    <w:p w14:paraId="533F45CA" w14:textId="77777777" w:rsidR="009969D1" w:rsidRPr="009969D1" w:rsidRDefault="009969D1" w:rsidP="00F85F70">
      <w:pPr>
        <w:autoSpaceDE w:val="0"/>
        <w:autoSpaceDN w:val="0"/>
        <w:adjustRightInd w:val="0"/>
        <w:ind w:firstLine="567"/>
        <w:jc w:val="both"/>
        <w:rPr>
          <w:rFonts w:eastAsia="Arial"/>
          <w:sz w:val="24"/>
          <w:szCs w:val="24"/>
          <w:lang w:val="es-ES_tradnl" w:eastAsia="zh-CN"/>
        </w:rPr>
      </w:pPr>
    </w:p>
    <w:p w14:paraId="3D653637" w14:textId="1A572CC6" w:rsidR="009969D1" w:rsidRPr="009969D1" w:rsidRDefault="009969D1">
      <w:pPr>
        <w:autoSpaceDE w:val="0"/>
        <w:autoSpaceDN w:val="0"/>
        <w:adjustRightInd w:val="0"/>
        <w:ind w:firstLine="567"/>
        <w:jc w:val="both"/>
        <w:rPr>
          <w:rFonts w:eastAsia="Arial"/>
          <w:sz w:val="24"/>
          <w:szCs w:val="24"/>
          <w:lang w:val="es-ES_tradnl" w:eastAsia="zh-CN"/>
        </w:rPr>
      </w:pPr>
      <w:r w:rsidRPr="009969D1">
        <w:rPr>
          <w:rFonts w:eastAsia="Arial"/>
          <w:sz w:val="24"/>
          <w:szCs w:val="24"/>
          <w:lang w:val="es-ES_tradnl" w:eastAsia="zh-CN"/>
        </w:rPr>
        <w:t>Agradecería especialmente recibir la información solicitada lo antes posible, y preferiblemente antes del 31 de mayo de 2019. Las respuestas pueden dirigirse al Experto Independiente de la Oficina del Alto Comisionado de las Naciones Unidas para los Derechos Humanos y pueden enviarse por correo electrónico (</w:t>
      </w:r>
      <w:hyperlink r:id="rId16" w:history="1">
        <w:r w:rsidRPr="009969D1">
          <w:rPr>
            <w:rFonts w:eastAsia="Arial"/>
            <w:sz w:val="24"/>
            <w:szCs w:val="24"/>
            <w:u w:val="single"/>
            <w:lang w:val="es-ES_tradnl" w:eastAsia="zh-CN"/>
          </w:rPr>
          <w:t>ie-sogi@ohchr.org</w:t>
        </w:r>
      </w:hyperlink>
      <w:r w:rsidRPr="009969D1">
        <w:rPr>
          <w:rFonts w:eastAsia="Arial"/>
          <w:sz w:val="24"/>
          <w:szCs w:val="24"/>
          <w:lang w:val="es-ES_tradnl" w:eastAsia="zh-CN"/>
        </w:rPr>
        <w:t>).</w:t>
      </w:r>
    </w:p>
    <w:p w14:paraId="6EDDC208" w14:textId="77777777" w:rsidR="009969D1" w:rsidRPr="009969D1" w:rsidRDefault="009969D1">
      <w:pPr>
        <w:autoSpaceDE w:val="0"/>
        <w:autoSpaceDN w:val="0"/>
        <w:adjustRightInd w:val="0"/>
        <w:jc w:val="both"/>
        <w:rPr>
          <w:rFonts w:eastAsia="Arial"/>
          <w:sz w:val="24"/>
          <w:szCs w:val="24"/>
          <w:lang w:val="es-ES_tradnl" w:eastAsia="zh-CN"/>
        </w:rPr>
      </w:pPr>
    </w:p>
    <w:p w14:paraId="4C6995E1" w14:textId="77777777" w:rsidR="009969D1" w:rsidRPr="009969D1" w:rsidRDefault="009969D1">
      <w:pPr>
        <w:autoSpaceDE w:val="0"/>
        <w:autoSpaceDN w:val="0"/>
        <w:adjustRightInd w:val="0"/>
        <w:ind w:firstLine="567"/>
        <w:jc w:val="both"/>
        <w:rPr>
          <w:rFonts w:eastAsia="Arial"/>
          <w:sz w:val="24"/>
          <w:szCs w:val="24"/>
          <w:lang w:val="es-ES_tradnl" w:eastAsia="zh-CN"/>
        </w:rPr>
      </w:pPr>
      <w:r w:rsidRPr="009969D1">
        <w:rPr>
          <w:rFonts w:eastAsia="Arial"/>
          <w:sz w:val="24"/>
          <w:szCs w:val="24"/>
          <w:lang w:val="es-ES_tradnl" w:eastAsia="zh-CN"/>
        </w:rPr>
        <w:t xml:space="preserve">Para cualquier otra pregunta o aclaración, no duden en ponerse en contacto conmigo a través de la Oficina del Alto Comisionado de las Naciones Unidas para los Derechos Humanos (Sra. Catherine de </w:t>
      </w:r>
      <w:proofErr w:type="spellStart"/>
      <w:r w:rsidRPr="009969D1">
        <w:rPr>
          <w:rFonts w:eastAsia="Arial"/>
          <w:sz w:val="24"/>
          <w:szCs w:val="24"/>
          <w:lang w:val="es-ES_tradnl" w:eastAsia="zh-CN"/>
        </w:rPr>
        <w:t>Preux</w:t>
      </w:r>
      <w:proofErr w:type="spellEnd"/>
      <w:r w:rsidRPr="009969D1">
        <w:rPr>
          <w:rFonts w:eastAsia="Arial"/>
          <w:sz w:val="24"/>
          <w:szCs w:val="24"/>
          <w:lang w:val="es-ES_tradnl" w:eastAsia="zh-CN"/>
        </w:rPr>
        <w:t xml:space="preserve"> De </w:t>
      </w:r>
      <w:proofErr w:type="spellStart"/>
      <w:r w:rsidRPr="009969D1">
        <w:rPr>
          <w:rFonts w:eastAsia="Arial"/>
          <w:sz w:val="24"/>
          <w:szCs w:val="24"/>
          <w:lang w:val="es-ES_tradnl" w:eastAsia="zh-CN"/>
        </w:rPr>
        <w:t>Baets</w:t>
      </w:r>
      <w:proofErr w:type="spellEnd"/>
      <w:r w:rsidRPr="009969D1">
        <w:rPr>
          <w:rFonts w:eastAsia="Arial"/>
          <w:sz w:val="24"/>
          <w:szCs w:val="24"/>
          <w:lang w:val="es-ES_tradnl" w:eastAsia="zh-CN"/>
        </w:rPr>
        <w:t xml:space="preserve">, teléfono: 022 917 93 27, email: </w:t>
      </w:r>
      <w:hyperlink r:id="rId17" w:history="1">
        <w:r w:rsidRPr="009969D1">
          <w:rPr>
            <w:rFonts w:eastAsia="Arial"/>
            <w:sz w:val="24"/>
            <w:szCs w:val="24"/>
            <w:u w:val="single"/>
            <w:lang w:val="es-ES_tradnl" w:eastAsia="zh-CN"/>
          </w:rPr>
          <w:t>cdepreuxdebaets@ohchr.org</w:t>
        </w:r>
      </w:hyperlink>
      <w:r w:rsidRPr="009969D1">
        <w:rPr>
          <w:rFonts w:eastAsia="Arial"/>
          <w:sz w:val="24"/>
          <w:szCs w:val="24"/>
          <w:lang w:val="es-ES_tradnl" w:eastAsia="zh-CN"/>
        </w:rPr>
        <w:t xml:space="preserve"> o la Sra. Alice </w:t>
      </w:r>
      <w:proofErr w:type="spellStart"/>
      <w:r w:rsidRPr="009969D1">
        <w:rPr>
          <w:rFonts w:eastAsia="Arial"/>
          <w:sz w:val="24"/>
          <w:szCs w:val="24"/>
          <w:lang w:val="es-ES_tradnl" w:eastAsia="zh-CN"/>
        </w:rPr>
        <w:t>Ochsenbein</w:t>
      </w:r>
      <w:proofErr w:type="spellEnd"/>
      <w:r w:rsidRPr="009969D1">
        <w:rPr>
          <w:rFonts w:eastAsia="Arial"/>
          <w:sz w:val="24"/>
          <w:szCs w:val="24"/>
          <w:lang w:val="es-ES_tradnl" w:eastAsia="zh-CN"/>
        </w:rPr>
        <w:t xml:space="preserve">, teléfono: 022 917 32 98, </w:t>
      </w:r>
      <w:hyperlink r:id="rId18" w:history="1">
        <w:r w:rsidRPr="009969D1">
          <w:rPr>
            <w:rFonts w:eastAsia="Arial"/>
            <w:sz w:val="24"/>
            <w:szCs w:val="24"/>
            <w:u w:val="single"/>
            <w:lang w:val="es-ES_tradnl" w:eastAsia="zh-CN"/>
          </w:rPr>
          <w:t>aochsenbein@ohchr.org</w:t>
        </w:r>
      </w:hyperlink>
      <w:r w:rsidRPr="009969D1">
        <w:rPr>
          <w:rFonts w:eastAsia="Arial"/>
          <w:sz w:val="24"/>
          <w:szCs w:val="24"/>
          <w:lang w:val="es-ES_tradnl" w:eastAsia="zh-CN"/>
        </w:rPr>
        <w:t xml:space="preserve">). </w:t>
      </w:r>
    </w:p>
    <w:p w14:paraId="09A7C503" w14:textId="77777777" w:rsidR="009969D1" w:rsidRPr="009969D1" w:rsidRDefault="009969D1">
      <w:pPr>
        <w:autoSpaceDE w:val="0"/>
        <w:autoSpaceDN w:val="0"/>
        <w:adjustRightInd w:val="0"/>
        <w:ind w:firstLine="567"/>
        <w:rPr>
          <w:rFonts w:eastAsia="Arial"/>
          <w:sz w:val="24"/>
          <w:szCs w:val="24"/>
          <w:lang w:val="es-ES_tradnl" w:eastAsia="zh-CN"/>
        </w:rPr>
      </w:pPr>
    </w:p>
    <w:p w14:paraId="043DC9A1" w14:textId="02ACADA4" w:rsidR="009969D1" w:rsidRPr="00AA6265" w:rsidRDefault="008E5B48" w:rsidP="008E5B48">
      <w:pPr>
        <w:ind w:firstLine="720"/>
        <w:jc w:val="center"/>
        <w:rPr>
          <w:rFonts w:eastAsia="Arial"/>
          <w:sz w:val="24"/>
          <w:szCs w:val="24"/>
          <w:lang w:val="es-ES_tradnl" w:eastAsia="zh-CN"/>
        </w:rPr>
      </w:pPr>
      <w:r>
        <w:rPr>
          <w:rFonts w:eastAsia="Arial"/>
          <w:sz w:val="24"/>
          <w:szCs w:val="24"/>
          <w:lang w:val="es-ES_tradnl" w:eastAsia="zh-CN"/>
        </w:rPr>
        <w:t>Un afectuoso saludo,</w:t>
      </w:r>
    </w:p>
    <w:p w14:paraId="516CC82E" w14:textId="77777777" w:rsidR="009969D1" w:rsidRPr="00AA6265" w:rsidRDefault="009969D1" w:rsidP="009B488D">
      <w:pPr>
        <w:jc w:val="both"/>
        <w:rPr>
          <w:rFonts w:eastAsia="Arial"/>
          <w:color w:val="000000"/>
          <w:sz w:val="22"/>
          <w:szCs w:val="22"/>
          <w:lang w:val="es-ES_tradnl" w:eastAsia="zh-CN"/>
        </w:rPr>
      </w:pPr>
    </w:p>
    <w:p w14:paraId="55486A5F" w14:textId="77777777" w:rsidR="009969D1" w:rsidRPr="009969D1" w:rsidRDefault="009969D1" w:rsidP="009B488D">
      <w:pPr>
        <w:jc w:val="center"/>
        <w:rPr>
          <w:rFonts w:eastAsia="Arial"/>
          <w:color w:val="000000"/>
          <w:sz w:val="22"/>
          <w:szCs w:val="22"/>
          <w:lang w:eastAsia="zh-CN"/>
        </w:rPr>
      </w:pPr>
      <w:r w:rsidRPr="009969D1">
        <w:rPr>
          <w:rFonts w:eastAsia="Arial"/>
          <w:noProof/>
          <w:color w:val="000000"/>
          <w:sz w:val="22"/>
          <w:szCs w:val="22"/>
          <w:lang w:eastAsia="en-GB"/>
        </w:rPr>
        <w:drawing>
          <wp:inline distT="0" distB="0" distL="0" distR="0" wp14:anchorId="03DDAAB5" wp14:editId="69EAA5A3">
            <wp:extent cx="2158365" cy="902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8365" cy="902335"/>
                    </a:xfrm>
                    <a:prstGeom prst="rect">
                      <a:avLst/>
                    </a:prstGeom>
                    <a:noFill/>
                  </pic:spPr>
                </pic:pic>
              </a:graphicData>
            </a:graphic>
          </wp:inline>
        </w:drawing>
      </w:r>
    </w:p>
    <w:p w14:paraId="56259A4C" w14:textId="77777777" w:rsidR="009969D1" w:rsidRPr="009969D1" w:rsidRDefault="009969D1">
      <w:pPr>
        <w:jc w:val="both"/>
        <w:rPr>
          <w:rFonts w:eastAsia="Arial"/>
          <w:color w:val="000000"/>
          <w:sz w:val="22"/>
          <w:szCs w:val="22"/>
          <w:lang w:eastAsia="zh-CN"/>
        </w:rPr>
      </w:pPr>
    </w:p>
    <w:p w14:paraId="7B9D4300" w14:textId="216BB7C0" w:rsidR="009969D1" w:rsidRPr="009969D1" w:rsidRDefault="00871381">
      <w:pPr>
        <w:jc w:val="center"/>
        <w:rPr>
          <w:sz w:val="24"/>
          <w:szCs w:val="24"/>
          <w:lang w:val="es-ES" w:eastAsia="en-GB"/>
        </w:rPr>
      </w:pPr>
      <w:r>
        <w:rPr>
          <w:sz w:val="24"/>
          <w:szCs w:val="24"/>
          <w:lang w:val="es-ES" w:eastAsia="en-GB"/>
        </w:rPr>
        <w:t>Víctor</w:t>
      </w:r>
      <w:r w:rsidR="0013175C">
        <w:rPr>
          <w:sz w:val="24"/>
          <w:szCs w:val="24"/>
          <w:lang w:val="es-ES" w:eastAsia="en-GB"/>
        </w:rPr>
        <w:t xml:space="preserve"> </w:t>
      </w:r>
      <w:r w:rsidR="009969D1" w:rsidRPr="009969D1">
        <w:rPr>
          <w:sz w:val="24"/>
          <w:szCs w:val="24"/>
          <w:lang w:val="es-ES" w:eastAsia="en-GB"/>
        </w:rPr>
        <w:t>Madrigal</w:t>
      </w:r>
      <w:r w:rsidR="0013175C">
        <w:rPr>
          <w:sz w:val="24"/>
          <w:szCs w:val="24"/>
          <w:lang w:val="es-ES" w:eastAsia="en-GB"/>
        </w:rPr>
        <w:t>-Borloz</w:t>
      </w:r>
    </w:p>
    <w:p w14:paraId="4EB73E41" w14:textId="6B3D14C0" w:rsidR="00062C5F" w:rsidRPr="00301542" w:rsidRDefault="009969D1" w:rsidP="00AA6265">
      <w:pPr>
        <w:jc w:val="center"/>
        <w:rPr>
          <w:rFonts w:ascii="Calibri" w:eastAsia="Calibri" w:hAnsi="Calibri" w:cs="Arial"/>
          <w:sz w:val="22"/>
          <w:szCs w:val="22"/>
          <w:lang w:val="es-ES_tradnl"/>
        </w:rPr>
      </w:pPr>
      <w:r w:rsidRPr="009969D1">
        <w:rPr>
          <w:rFonts w:eastAsia="Arial"/>
          <w:color w:val="000000"/>
          <w:sz w:val="24"/>
          <w:szCs w:val="24"/>
          <w:lang w:val="es-ES_tradnl" w:eastAsia="zh-CN"/>
        </w:rPr>
        <w:t>Experto Independiente sobre la protección contra la violencia y la discriminación basadas en la orientación sexual y la identidad de género</w:t>
      </w:r>
    </w:p>
    <w:sectPr w:rsidR="00062C5F" w:rsidRPr="00301542" w:rsidSect="008E2A3C">
      <w:headerReference w:type="default" r:id="rId20"/>
      <w:headerReference w:type="first" r:id="rId21"/>
      <w:footerReference w:type="first" r:id="rId22"/>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C43ED" w14:textId="77777777" w:rsidR="00562977" w:rsidRDefault="00562977">
      <w:r>
        <w:separator/>
      </w:r>
    </w:p>
  </w:endnote>
  <w:endnote w:type="continuationSeparator" w:id="0">
    <w:p w14:paraId="7146D2AD" w14:textId="77777777" w:rsidR="00562977" w:rsidRDefault="00562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elvetica Neue">
    <w:altName w:val="Malgun Gothic"/>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F3534" w14:textId="77777777" w:rsidR="005449A9" w:rsidRDefault="00245DDE" w:rsidP="008E2A3C">
    <w:pPr>
      <w:pStyle w:val="Footer"/>
    </w:pPr>
  </w:p>
  <w:p w14:paraId="3C98E92D" w14:textId="77777777" w:rsidR="005449A9" w:rsidRDefault="00245DDE" w:rsidP="008E2A3C">
    <w:pPr>
      <w:pStyle w:val="Footer"/>
    </w:pPr>
  </w:p>
  <w:p w14:paraId="513642A8" w14:textId="77777777" w:rsidR="005449A9" w:rsidRPr="00AA6265" w:rsidRDefault="00245DDE" w:rsidP="008E2A3C">
    <w:pPr>
      <w:pStyle w:val="Footer"/>
      <w:rPr>
        <w:sz w:val="24"/>
        <w:szCs w:val="24"/>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CA216" w14:textId="77777777" w:rsidR="00562977" w:rsidRDefault="00562977">
      <w:r>
        <w:separator/>
      </w:r>
    </w:p>
  </w:footnote>
  <w:footnote w:type="continuationSeparator" w:id="0">
    <w:p w14:paraId="75245903" w14:textId="77777777" w:rsidR="00562977" w:rsidRDefault="00562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77CC0" w14:textId="77777777" w:rsidR="005449A9" w:rsidRPr="00AD4CA9" w:rsidRDefault="00B82625" w:rsidP="008E2A3C">
    <w:pPr>
      <w:pStyle w:val="Header"/>
      <w:tabs>
        <w:tab w:val="right" w:pos="9214"/>
      </w:tabs>
      <w:spacing w:before="360" w:after="840"/>
      <w:rPr>
        <w:sz w:val="14"/>
        <w:szCs w:val="14"/>
      </w:rPr>
    </w:pPr>
    <w:r>
      <w:rPr>
        <w:sz w:val="14"/>
        <w:szCs w:val="1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F758A" w14:textId="7270D3BA" w:rsidR="005449A9" w:rsidRPr="00AA6265" w:rsidRDefault="00F85F70" w:rsidP="008E2A3C">
    <w:pPr>
      <w:pStyle w:val="Header"/>
      <w:jc w:val="center"/>
      <w:rPr>
        <w:sz w:val="14"/>
        <w:szCs w:val="14"/>
        <w:lang w:val="es-ES"/>
      </w:rPr>
    </w:pPr>
    <w:r w:rsidRPr="00AA6265">
      <w:rPr>
        <w:noProof/>
        <w:sz w:val="14"/>
        <w:szCs w:val="14"/>
        <w:lang w:val="en-GB" w:eastAsia="en-GB"/>
      </w:rPr>
      <w:drawing>
        <wp:inline distT="0" distB="0" distL="0" distR="0" wp14:anchorId="49818A62" wp14:editId="09A6AA8C">
          <wp:extent cx="2842260" cy="1226820"/>
          <wp:effectExtent l="0" t="0" r="0" b="0"/>
          <wp:docPr id="1" name="Picture 1" descr="SP Logo black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spanis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42260" cy="1226820"/>
                  </a:xfrm>
                  <a:prstGeom prst="rect">
                    <a:avLst/>
                  </a:prstGeom>
                  <a:noFill/>
                  <a:ln>
                    <a:noFill/>
                  </a:ln>
                </pic:spPr>
              </pic:pic>
            </a:graphicData>
          </a:graphic>
        </wp:inline>
      </w:drawing>
    </w:r>
  </w:p>
  <w:p w14:paraId="30CCEED3" w14:textId="77777777" w:rsidR="005449A9" w:rsidRPr="002745FF" w:rsidRDefault="00B82625" w:rsidP="008E2A3C">
    <w:pPr>
      <w:pStyle w:val="Header"/>
      <w:tabs>
        <w:tab w:val="right" w:pos="3686"/>
        <w:tab w:val="left" w:pos="5812"/>
      </w:tabs>
      <w:jc w:val="center"/>
      <w:rPr>
        <w:sz w:val="14"/>
        <w:szCs w:val="14"/>
        <w:lang w:val="fr-CH"/>
      </w:rPr>
    </w:pPr>
    <w:r w:rsidRPr="002745FF">
      <w:rPr>
        <w:sz w:val="14"/>
        <w:szCs w:val="14"/>
        <w:lang w:val="fr-CH"/>
      </w:rPr>
      <w:t>PALAIS DES NATIONS • 1211 GENEVA 10, SWITZERLAND</w:t>
    </w:r>
  </w:p>
  <w:p w14:paraId="40F2D744" w14:textId="77777777" w:rsidR="005449A9" w:rsidRPr="002745FF" w:rsidRDefault="00B82625" w:rsidP="008E2A3C">
    <w:pPr>
      <w:pStyle w:val="Header"/>
      <w:tabs>
        <w:tab w:val="right" w:pos="3686"/>
        <w:tab w:val="left" w:pos="5812"/>
      </w:tabs>
      <w:spacing w:before="80" w:after="360"/>
      <w:jc w:val="center"/>
      <w:rPr>
        <w:sz w:val="14"/>
        <w:szCs w:val="14"/>
        <w:lang w:val="fr-CH"/>
      </w:rPr>
    </w:pPr>
    <w:r w:rsidRPr="002745FF">
      <w:rPr>
        <w:sz w:val="14"/>
        <w:szCs w:val="14"/>
        <w:lang w:val="fr-CH"/>
      </w:rPr>
      <w:t xml:space="preserve">www.ohchr.org • TEL:  +41 22 917 9000 • FAX:  +41 22 917 9008 • E-MAIL:  </w:t>
    </w:r>
    <w:r>
      <w:rPr>
        <w:sz w:val="14"/>
        <w:szCs w:val="14"/>
        <w:lang w:val="fr-CH"/>
      </w:rPr>
      <w:t>iesogi</w:t>
    </w:r>
    <w:r w:rsidRPr="002745FF">
      <w:rPr>
        <w:sz w:val="14"/>
        <w:szCs w:val="14"/>
        <w:lang w:val="fr-CH"/>
      </w:rPr>
      <w:t>@ohchr.org</w:t>
    </w:r>
  </w:p>
  <w:p w14:paraId="3F391189" w14:textId="77777777" w:rsidR="005449A9" w:rsidRPr="00B73FD1" w:rsidRDefault="00245DDE" w:rsidP="008E2A3C">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456790"/>
    <w:multiLevelType w:val="hybridMultilevel"/>
    <w:tmpl w:val="7F323C7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4E456C2"/>
    <w:multiLevelType w:val="hybridMultilevel"/>
    <w:tmpl w:val="8D8490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6" w15:restartNumberingAfterBreak="0">
    <w:nsid w:val="11075D3B"/>
    <w:multiLevelType w:val="hybridMultilevel"/>
    <w:tmpl w:val="B64042B4"/>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0"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4C3F07"/>
    <w:multiLevelType w:val="hybridMultilevel"/>
    <w:tmpl w:val="65FE429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15:restartNumberingAfterBreak="0">
    <w:nsid w:val="3D23274C"/>
    <w:multiLevelType w:val="hybridMultilevel"/>
    <w:tmpl w:val="B174575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0D1135"/>
    <w:multiLevelType w:val="hybridMultilevel"/>
    <w:tmpl w:val="AD90E342"/>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9" w15:restartNumberingAfterBreak="0">
    <w:nsid w:val="4F564CE0"/>
    <w:multiLevelType w:val="hybridMultilevel"/>
    <w:tmpl w:val="1A0A4874"/>
    <w:lvl w:ilvl="0" w:tplc="B940439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1" w15:restartNumberingAfterBreak="0">
    <w:nsid w:val="549E6F6F"/>
    <w:multiLevelType w:val="hybridMultilevel"/>
    <w:tmpl w:val="8CC27E42"/>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4"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9C35ECA"/>
    <w:multiLevelType w:val="hybridMultilevel"/>
    <w:tmpl w:val="7B0E6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8"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9"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6CA0085B"/>
    <w:multiLevelType w:val="hybridMultilevel"/>
    <w:tmpl w:val="C79E790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B0C435E"/>
    <w:multiLevelType w:val="hybridMultilevel"/>
    <w:tmpl w:val="608C50A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1F0D33"/>
    <w:multiLevelType w:val="multilevel"/>
    <w:tmpl w:val="12AA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3"/>
  </w:num>
  <w:num w:numId="3">
    <w:abstractNumId w:val="24"/>
  </w:num>
  <w:num w:numId="4">
    <w:abstractNumId w:val="10"/>
  </w:num>
  <w:num w:numId="5">
    <w:abstractNumId w:val="26"/>
  </w:num>
  <w:num w:numId="6">
    <w:abstractNumId w:val="12"/>
  </w:num>
  <w:num w:numId="7">
    <w:abstractNumId w:val="2"/>
  </w:num>
  <w:num w:numId="8">
    <w:abstractNumId w:val="14"/>
  </w:num>
  <w:num w:numId="9">
    <w:abstractNumId w:val="5"/>
  </w:num>
  <w:num w:numId="10">
    <w:abstractNumId w:val="1"/>
  </w:num>
  <w:num w:numId="11">
    <w:abstractNumId w:val="11"/>
  </w:num>
  <w:num w:numId="12">
    <w:abstractNumId w:val="29"/>
  </w:num>
  <w:num w:numId="13">
    <w:abstractNumId w:val="31"/>
  </w:num>
  <w:num w:numId="14">
    <w:abstractNumId w:val="20"/>
  </w:num>
  <w:num w:numId="15">
    <w:abstractNumId w:val="8"/>
  </w:num>
  <w:num w:numId="16">
    <w:abstractNumId w:val="0"/>
  </w:num>
  <w:num w:numId="17">
    <w:abstractNumId w:val="28"/>
  </w:num>
  <w:num w:numId="18">
    <w:abstractNumId w:val="9"/>
  </w:num>
  <w:num w:numId="19">
    <w:abstractNumId w:val="18"/>
  </w:num>
  <w:num w:numId="20">
    <w:abstractNumId w:val="7"/>
  </w:num>
  <w:num w:numId="21">
    <w:abstractNumId w:val="27"/>
  </w:num>
  <w:num w:numId="22">
    <w:abstractNumId w:val="23"/>
  </w:num>
  <w:num w:numId="23">
    <w:abstractNumId w:val="16"/>
  </w:num>
  <w:num w:numId="24">
    <w:abstractNumId w:val="34"/>
  </w:num>
  <w:num w:numId="25">
    <w:abstractNumId w:val="19"/>
  </w:num>
  <w:num w:numId="26">
    <w:abstractNumId w:val="15"/>
  </w:num>
  <w:num w:numId="27">
    <w:abstractNumId w:val="4"/>
  </w:num>
  <w:num w:numId="28">
    <w:abstractNumId w:val="30"/>
  </w:num>
  <w:num w:numId="29">
    <w:abstractNumId w:val="21"/>
  </w:num>
  <w:num w:numId="30">
    <w:abstractNumId w:val="25"/>
  </w:num>
  <w:num w:numId="31">
    <w:abstractNumId w:val="17"/>
  </w:num>
  <w:num w:numId="32">
    <w:abstractNumId w:val="32"/>
  </w:num>
  <w:num w:numId="33">
    <w:abstractNumId w:val="3"/>
  </w:num>
  <w:num w:numId="34">
    <w:abstractNumId w:val="1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38F6"/>
    <w:rsid w:val="00026D1F"/>
    <w:rsid w:val="00026D52"/>
    <w:rsid w:val="0003674D"/>
    <w:rsid w:val="000441FA"/>
    <w:rsid w:val="0005390B"/>
    <w:rsid w:val="00062C5F"/>
    <w:rsid w:val="00063BFD"/>
    <w:rsid w:val="00077294"/>
    <w:rsid w:val="000875C6"/>
    <w:rsid w:val="00091BF0"/>
    <w:rsid w:val="000A2B89"/>
    <w:rsid w:val="000A3446"/>
    <w:rsid w:val="000A6F03"/>
    <w:rsid w:val="000B38AF"/>
    <w:rsid w:val="000B7176"/>
    <w:rsid w:val="000C3C43"/>
    <w:rsid w:val="000D210E"/>
    <w:rsid w:val="000D34F2"/>
    <w:rsid w:val="000D5C3C"/>
    <w:rsid w:val="000E42EE"/>
    <w:rsid w:val="000F183C"/>
    <w:rsid w:val="00106F64"/>
    <w:rsid w:val="00115798"/>
    <w:rsid w:val="001205D6"/>
    <w:rsid w:val="0012357F"/>
    <w:rsid w:val="001247ED"/>
    <w:rsid w:val="0013175C"/>
    <w:rsid w:val="001456CB"/>
    <w:rsid w:val="001537CC"/>
    <w:rsid w:val="0015615C"/>
    <w:rsid w:val="00160251"/>
    <w:rsid w:val="00167018"/>
    <w:rsid w:val="001676BA"/>
    <w:rsid w:val="00187399"/>
    <w:rsid w:val="00192B7D"/>
    <w:rsid w:val="00194332"/>
    <w:rsid w:val="00196DBF"/>
    <w:rsid w:val="001B7B09"/>
    <w:rsid w:val="001C4360"/>
    <w:rsid w:val="001D3313"/>
    <w:rsid w:val="001E3384"/>
    <w:rsid w:val="001E5118"/>
    <w:rsid w:val="001E5478"/>
    <w:rsid w:val="002028A9"/>
    <w:rsid w:val="0021296A"/>
    <w:rsid w:val="002129D5"/>
    <w:rsid w:val="00214B9D"/>
    <w:rsid w:val="00214CDE"/>
    <w:rsid w:val="00221893"/>
    <w:rsid w:val="00224386"/>
    <w:rsid w:val="00227E2F"/>
    <w:rsid w:val="00230775"/>
    <w:rsid w:val="00235A1A"/>
    <w:rsid w:val="002431DB"/>
    <w:rsid w:val="00244860"/>
    <w:rsid w:val="0024583B"/>
    <w:rsid w:val="00245DDE"/>
    <w:rsid w:val="0025174E"/>
    <w:rsid w:val="002571C7"/>
    <w:rsid w:val="00266D70"/>
    <w:rsid w:val="0028119B"/>
    <w:rsid w:val="00282E14"/>
    <w:rsid w:val="0028624E"/>
    <w:rsid w:val="002863A2"/>
    <w:rsid w:val="00293243"/>
    <w:rsid w:val="002969BF"/>
    <w:rsid w:val="002A4FEE"/>
    <w:rsid w:val="002D540D"/>
    <w:rsid w:val="002E65F4"/>
    <w:rsid w:val="00301542"/>
    <w:rsid w:val="00304BC7"/>
    <w:rsid w:val="00305B08"/>
    <w:rsid w:val="003134FA"/>
    <w:rsid w:val="00335FB9"/>
    <w:rsid w:val="003372CC"/>
    <w:rsid w:val="0035125B"/>
    <w:rsid w:val="00356299"/>
    <w:rsid w:val="003577DB"/>
    <w:rsid w:val="00365FEB"/>
    <w:rsid w:val="00377941"/>
    <w:rsid w:val="00380489"/>
    <w:rsid w:val="00384D4A"/>
    <w:rsid w:val="00396E4C"/>
    <w:rsid w:val="003A3957"/>
    <w:rsid w:val="003A737A"/>
    <w:rsid w:val="003C1870"/>
    <w:rsid w:val="003C37C3"/>
    <w:rsid w:val="003D0C10"/>
    <w:rsid w:val="003D27A6"/>
    <w:rsid w:val="003D3D66"/>
    <w:rsid w:val="003E1061"/>
    <w:rsid w:val="003E552B"/>
    <w:rsid w:val="00401CEA"/>
    <w:rsid w:val="00401FD2"/>
    <w:rsid w:val="00410560"/>
    <w:rsid w:val="004153DE"/>
    <w:rsid w:val="00415EFC"/>
    <w:rsid w:val="00433548"/>
    <w:rsid w:val="00440385"/>
    <w:rsid w:val="00440E30"/>
    <w:rsid w:val="00440ED0"/>
    <w:rsid w:val="00442240"/>
    <w:rsid w:val="00442D10"/>
    <w:rsid w:val="00443DF5"/>
    <w:rsid w:val="00447412"/>
    <w:rsid w:val="00455C6D"/>
    <w:rsid w:val="00456419"/>
    <w:rsid w:val="00460258"/>
    <w:rsid w:val="00475ED6"/>
    <w:rsid w:val="004B4CAC"/>
    <w:rsid w:val="004C044F"/>
    <w:rsid w:val="004D21C9"/>
    <w:rsid w:val="004D5D19"/>
    <w:rsid w:val="004E0AB6"/>
    <w:rsid w:val="004E16ED"/>
    <w:rsid w:val="004E49EC"/>
    <w:rsid w:val="004E4D86"/>
    <w:rsid w:val="004F0520"/>
    <w:rsid w:val="004F4DB0"/>
    <w:rsid w:val="00520DCB"/>
    <w:rsid w:val="00530EF5"/>
    <w:rsid w:val="005417E4"/>
    <w:rsid w:val="005455F8"/>
    <w:rsid w:val="0055573E"/>
    <w:rsid w:val="00562977"/>
    <w:rsid w:val="00562D63"/>
    <w:rsid w:val="00570A1B"/>
    <w:rsid w:val="00570E41"/>
    <w:rsid w:val="00575819"/>
    <w:rsid w:val="00576638"/>
    <w:rsid w:val="00583C65"/>
    <w:rsid w:val="005849E6"/>
    <w:rsid w:val="00585F8E"/>
    <w:rsid w:val="005871D9"/>
    <w:rsid w:val="005957ED"/>
    <w:rsid w:val="005E7C37"/>
    <w:rsid w:val="005F283E"/>
    <w:rsid w:val="0060068B"/>
    <w:rsid w:val="0060785C"/>
    <w:rsid w:val="00614FFD"/>
    <w:rsid w:val="00627A52"/>
    <w:rsid w:val="0063240F"/>
    <w:rsid w:val="00635102"/>
    <w:rsid w:val="00636BD7"/>
    <w:rsid w:val="006375A5"/>
    <w:rsid w:val="006412EA"/>
    <w:rsid w:val="00645695"/>
    <w:rsid w:val="00650CD4"/>
    <w:rsid w:val="00650D4D"/>
    <w:rsid w:val="006605E5"/>
    <w:rsid w:val="00660EDA"/>
    <w:rsid w:val="006617A4"/>
    <w:rsid w:val="00664080"/>
    <w:rsid w:val="00667227"/>
    <w:rsid w:val="00671485"/>
    <w:rsid w:val="006749F6"/>
    <w:rsid w:val="00682D26"/>
    <w:rsid w:val="00682DDB"/>
    <w:rsid w:val="006834E4"/>
    <w:rsid w:val="00687E4F"/>
    <w:rsid w:val="006915CC"/>
    <w:rsid w:val="00695D3E"/>
    <w:rsid w:val="006A7352"/>
    <w:rsid w:val="006B3547"/>
    <w:rsid w:val="006B5A71"/>
    <w:rsid w:val="006B5EDA"/>
    <w:rsid w:val="006E6CC3"/>
    <w:rsid w:val="006F790C"/>
    <w:rsid w:val="00712363"/>
    <w:rsid w:val="00712EFD"/>
    <w:rsid w:val="00716D30"/>
    <w:rsid w:val="007210F6"/>
    <w:rsid w:val="00723438"/>
    <w:rsid w:val="00725DF4"/>
    <w:rsid w:val="00733660"/>
    <w:rsid w:val="00741EBC"/>
    <w:rsid w:val="007432E5"/>
    <w:rsid w:val="007450E8"/>
    <w:rsid w:val="007625BA"/>
    <w:rsid w:val="00776BDB"/>
    <w:rsid w:val="0078306B"/>
    <w:rsid w:val="00790C76"/>
    <w:rsid w:val="00790CBE"/>
    <w:rsid w:val="00792050"/>
    <w:rsid w:val="007922D3"/>
    <w:rsid w:val="0079503A"/>
    <w:rsid w:val="00795469"/>
    <w:rsid w:val="00796729"/>
    <w:rsid w:val="00797214"/>
    <w:rsid w:val="007A375D"/>
    <w:rsid w:val="007B01A6"/>
    <w:rsid w:val="007B5929"/>
    <w:rsid w:val="007C4483"/>
    <w:rsid w:val="007C4A8E"/>
    <w:rsid w:val="007C5369"/>
    <w:rsid w:val="007D1657"/>
    <w:rsid w:val="007D47FE"/>
    <w:rsid w:val="007E39E1"/>
    <w:rsid w:val="007F4648"/>
    <w:rsid w:val="007F7DA3"/>
    <w:rsid w:val="0081788D"/>
    <w:rsid w:val="00827A9A"/>
    <w:rsid w:val="00842120"/>
    <w:rsid w:val="00842220"/>
    <w:rsid w:val="008427AA"/>
    <w:rsid w:val="00846B4A"/>
    <w:rsid w:val="008553DE"/>
    <w:rsid w:val="008568EA"/>
    <w:rsid w:val="008654BC"/>
    <w:rsid w:val="008656FA"/>
    <w:rsid w:val="00871381"/>
    <w:rsid w:val="00874280"/>
    <w:rsid w:val="008774E3"/>
    <w:rsid w:val="008A2957"/>
    <w:rsid w:val="008A5301"/>
    <w:rsid w:val="008B33E8"/>
    <w:rsid w:val="008B4B78"/>
    <w:rsid w:val="008B4DD7"/>
    <w:rsid w:val="008B4F3E"/>
    <w:rsid w:val="008C2924"/>
    <w:rsid w:val="008C5897"/>
    <w:rsid w:val="008C60C0"/>
    <w:rsid w:val="008D1A3C"/>
    <w:rsid w:val="008D3B8A"/>
    <w:rsid w:val="008E46C1"/>
    <w:rsid w:val="008E5B48"/>
    <w:rsid w:val="00917759"/>
    <w:rsid w:val="00917CB9"/>
    <w:rsid w:val="009240B2"/>
    <w:rsid w:val="00925A9D"/>
    <w:rsid w:val="009337F5"/>
    <w:rsid w:val="009358CD"/>
    <w:rsid w:val="00944040"/>
    <w:rsid w:val="00944E25"/>
    <w:rsid w:val="00945265"/>
    <w:rsid w:val="009469B5"/>
    <w:rsid w:val="00951601"/>
    <w:rsid w:val="009704B2"/>
    <w:rsid w:val="00977C96"/>
    <w:rsid w:val="00982FCF"/>
    <w:rsid w:val="0098565E"/>
    <w:rsid w:val="00986237"/>
    <w:rsid w:val="009969D1"/>
    <w:rsid w:val="00997618"/>
    <w:rsid w:val="009A2849"/>
    <w:rsid w:val="009B459A"/>
    <w:rsid w:val="009B488D"/>
    <w:rsid w:val="009C101C"/>
    <w:rsid w:val="009D76A9"/>
    <w:rsid w:val="009F18EC"/>
    <w:rsid w:val="009F2043"/>
    <w:rsid w:val="00A01741"/>
    <w:rsid w:val="00A03F1A"/>
    <w:rsid w:val="00A12BE4"/>
    <w:rsid w:val="00A153DB"/>
    <w:rsid w:val="00A21EF1"/>
    <w:rsid w:val="00A23512"/>
    <w:rsid w:val="00A34DA7"/>
    <w:rsid w:val="00A364CF"/>
    <w:rsid w:val="00A3761B"/>
    <w:rsid w:val="00A40490"/>
    <w:rsid w:val="00A439B9"/>
    <w:rsid w:val="00A51809"/>
    <w:rsid w:val="00A54482"/>
    <w:rsid w:val="00A564C7"/>
    <w:rsid w:val="00A619C0"/>
    <w:rsid w:val="00A61E26"/>
    <w:rsid w:val="00A63977"/>
    <w:rsid w:val="00A82BAD"/>
    <w:rsid w:val="00A86B19"/>
    <w:rsid w:val="00A86E08"/>
    <w:rsid w:val="00A9048E"/>
    <w:rsid w:val="00AA3895"/>
    <w:rsid w:val="00AA6265"/>
    <w:rsid w:val="00AB70CD"/>
    <w:rsid w:val="00AC50E4"/>
    <w:rsid w:val="00AD1796"/>
    <w:rsid w:val="00AD4CA9"/>
    <w:rsid w:val="00AE2231"/>
    <w:rsid w:val="00AE69A2"/>
    <w:rsid w:val="00AE796C"/>
    <w:rsid w:val="00AF291B"/>
    <w:rsid w:val="00B04529"/>
    <w:rsid w:val="00B13589"/>
    <w:rsid w:val="00B14752"/>
    <w:rsid w:val="00B246B4"/>
    <w:rsid w:val="00B31236"/>
    <w:rsid w:val="00B326D5"/>
    <w:rsid w:val="00B35208"/>
    <w:rsid w:val="00B42B30"/>
    <w:rsid w:val="00B43D96"/>
    <w:rsid w:val="00B458F6"/>
    <w:rsid w:val="00B54DD5"/>
    <w:rsid w:val="00B61545"/>
    <w:rsid w:val="00B7425B"/>
    <w:rsid w:val="00B82625"/>
    <w:rsid w:val="00B84F46"/>
    <w:rsid w:val="00B85B97"/>
    <w:rsid w:val="00BD2C78"/>
    <w:rsid w:val="00BD6119"/>
    <w:rsid w:val="00BF35E8"/>
    <w:rsid w:val="00BF574E"/>
    <w:rsid w:val="00BF69D2"/>
    <w:rsid w:val="00C07B5F"/>
    <w:rsid w:val="00C10B95"/>
    <w:rsid w:val="00C12BED"/>
    <w:rsid w:val="00C234D8"/>
    <w:rsid w:val="00C23DDD"/>
    <w:rsid w:val="00C35851"/>
    <w:rsid w:val="00C6141D"/>
    <w:rsid w:val="00C64254"/>
    <w:rsid w:val="00C677B5"/>
    <w:rsid w:val="00C73CD7"/>
    <w:rsid w:val="00C74811"/>
    <w:rsid w:val="00C772EF"/>
    <w:rsid w:val="00C82CCE"/>
    <w:rsid w:val="00C840A9"/>
    <w:rsid w:val="00CA65D2"/>
    <w:rsid w:val="00CB1C6E"/>
    <w:rsid w:val="00CB414C"/>
    <w:rsid w:val="00CC5BEF"/>
    <w:rsid w:val="00CD6060"/>
    <w:rsid w:val="00CE6A0E"/>
    <w:rsid w:val="00D00DDC"/>
    <w:rsid w:val="00D02F61"/>
    <w:rsid w:val="00D1125E"/>
    <w:rsid w:val="00D115F7"/>
    <w:rsid w:val="00D16EFF"/>
    <w:rsid w:val="00D230B7"/>
    <w:rsid w:val="00D32E5B"/>
    <w:rsid w:val="00D35B0E"/>
    <w:rsid w:val="00D3608E"/>
    <w:rsid w:val="00D36635"/>
    <w:rsid w:val="00D462FB"/>
    <w:rsid w:val="00D5082F"/>
    <w:rsid w:val="00D525DA"/>
    <w:rsid w:val="00D64A69"/>
    <w:rsid w:val="00D67524"/>
    <w:rsid w:val="00D70178"/>
    <w:rsid w:val="00D75FA2"/>
    <w:rsid w:val="00D774EE"/>
    <w:rsid w:val="00D84C7E"/>
    <w:rsid w:val="00D85D82"/>
    <w:rsid w:val="00D94E3E"/>
    <w:rsid w:val="00D94E49"/>
    <w:rsid w:val="00D968C8"/>
    <w:rsid w:val="00DA5FC2"/>
    <w:rsid w:val="00DB5055"/>
    <w:rsid w:val="00DB5616"/>
    <w:rsid w:val="00DC0CA6"/>
    <w:rsid w:val="00DC6253"/>
    <w:rsid w:val="00DD4909"/>
    <w:rsid w:val="00DE5572"/>
    <w:rsid w:val="00E15347"/>
    <w:rsid w:val="00E22392"/>
    <w:rsid w:val="00E30296"/>
    <w:rsid w:val="00E4367D"/>
    <w:rsid w:val="00E60057"/>
    <w:rsid w:val="00E679E8"/>
    <w:rsid w:val="00E84288"/>
    <w:rsid w:val="00E95AB6"/>
    <w:rsid w:val="00EA31BF"/>
    <w:rsid w:val="00EA6B3E"/>
    <w:rsid w:val="00EC123F"/>
    <w:rsid w:val="00EC3E83"/>
    <w:rsid w:val="00EC4C31"/>
    <w:rsid w:val="00EE0A7C"/>
    <w:rsid w:val="00EE5BA8"/>
    <w:rsid w:val="00EE6765"/>
    <w:rsid w:val="00EE6B9C"/>
    <w:rsid w:val="00EF0B0D"/>
    <w:rsid w:val="00F006B5"/>
    <w:rsid w:val="00F44CBB"/>
    <w:rsid w:val="00F47B64"/>
    <w:rsid w:val="00F611C6"/>
    <w:rsid w:val="00F62027"/>
    <w:rsid w:val="00F80A14"/>
    <w:rsid w:val="00F80D28"/>
    <w:rsid w:val="00F85F70"/>
    <w:rsid w:val="00F91D4D"/>
    <w:rsid w:val="00FA61F7"/>
    <w:rsid w:val="00FA6AD5"/>
    <w:rsid w:val="00FB1650"/>
    <w:rsid w:val="00FB365F"/>
    <w:rsid w:val="00FB41B6"/>
    <w:rsid w:val="00FC0B84"/>
    <w:rsid w:val="00FC1DDB"/>
    <w:rsid w:val="00FC26C9"/>
    <w:rsid w:val="00FD41D3"/>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EB7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NoSpacing">
    <w:name w:val="No Spacing"/>
    <w:uiPriority w:val="1"/>
    <w:qFormat/>
    <w:rsid w:val="00917CB9"/>
    <w:rPr>
      <w:rFonts w:ascii="Arial" w:eastAsia="Arial" w:hAnsi="Arial" w:cs="Arial"/>
      <w:color w:val="000000"/>
      <w:sz w:val="22"/>
      <w:szCs w:val="22"/>
      <w:lang w:eastAsia="zh-CN"/>
    </w:rPr>
  </w:style>
  <w:style w:type="paragraph" w:styleId="FootnoteText">
    <w:name w:val="footnote text"/>
    <w:basedOn w:val="Normal"/>
    <w:link w:val="FootnoteTextChar"/>
    <w:uiPriority w:val="99"/>
    <w:semiHidden/>
    <w:unhideWhenUsed/>
    <w:rsid w:val="00917CB9"/>
    <w:rPr>
      <w:rFonts w:ascii="Arial" w:eastAsia="Arial" w:hAnsi="Arial" w:cs="Arial"/>
      <w:color w:val="000000"/>
      <w:lang w:eastAsia="zh-CN"/>
    </w:rPr>
  </w:style>
  <w:style w:type="character" w:customStyle="1" w:styleId="FootnoteTextChar">
    <w:name w:val="Footnote Text Char"/>
    <w:basedOn w:val="DefaultParagraphFont"/>
    <w:link w:val="FootnoteText"/>
    <w:uiPriority w:val="99"/>
    <w:semiHidden/>
    <w:rsid w:val="00917CB9"/>
    <w:rPr>
      <w:rFonts w:ascii="Arial" w:eastAsia="Arial" w:hAnsi="Arial" w:cs="Arial"/>
      <w:color w:val="000000"/>
      <w:lang w:eastAsia="zh-CN"/>
    </w:rPr>
  </w:style>
  <w:style w:type="character" w:styleId="FollowedHyperlink">
    <w:name w:val="FollowedHyperlink"/>
    <w:basedOn w:val="DefaultParagraphFont"/>
    <w:semiHidden/>
    <w:unhideWhenUsed/>
    <w:rsid w:val="00AB70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363890">
      <w:bodyDiv w:val="1"/>
      <w:marLeft w:val="0"/>
      <w:marRight w:val="0"/>
      <w:marTop w:val="0"/>
      <w:marBottom w:val="0"/>
      <w:divBdr>
        <w:top w:val="none" w:sz="0" w:space="0" w:color="auto"/>
        <w:left w:val="none" w:sz="0" w:space="0" w:color="auto"/>
        <w:bottom w:val="none" w:sz="0" w:space="0" w:color="auto"/>
        <w:right w:val="none" w:sz="0" w:space="0" w:color="auto"/>
      </w:divBdr>
      <w:divsChild>
        <w:div w:id="103154356">
          <w:marLeft w:val="0"/>
          <w:marRight w:val="0"/>
          <w:marTop w:val="0"/>
          <w:marBottom w:val="0"/>
          <w:divBdr>
            <w:top w:val="none" w:sz="0" w:space="0" w:color="auto"/>
            <w:left w:val="none" w:sz="0" w:space="0" w:color="auto"/>
            <w:bottom w:val="none" w:sz="0" w:space="0" w:color="auto"/>
            <w:right w:val="none" w:sz="0" w:space="0" w:color="auto"/>
          </w:divBdr>
          <w:divsChild>
            <w:div w:id="579170105">
              <w:marLeft w:val="0"/>
              <w:marRight w:val="0"/>
              <w:marTop w:val="0"/>
              <w:marBottom w:val="0"/>
              <w:divBdr>
                <w:top w:val="none" w:sz="0" w:space="0" w:color="auto"/>
                <w:left w:val="none" w:sz="0" w:space="0" w:color="auto"/>
                <w:bottom w:val="none" w:sz="0" w:space="0" w:color="auto"/>
                <w:right w:val="none" w:sz="0" w:space="0" w:color="auto"/>
              </w:divBdr>
              <w:divsChild>
                <w:div w:id="370082437">
                  <w:marLeft w:val="0"/>
                  <w:marRight w:val="0"/>
                  <w:marTop w:val="0"/>
                  <w:marBottom w:val="0"/>
                  <w:divBdr>
                    <w:top w:val="none" w:sz="0" w:space="0" w:color="auto"/>
                    <w:left w:val="none" w:sz="0" w:space="0" w:color="auto"/>
                    <w:bottom w:val="none" w:sz="0" w:space="0" w:color="auto"/>
                    <w:right w:val="none" w:sz="0" w:space="0" w:color="auto"/>
                  </w:divBdr>
                  <w:divsChild>
                    <w:div w:id="1095396704">
                      <w:marLeft w:val="0"/>
                      <w:marRight w:val="0"/>
                      <w:marTop w:val="0"/>
                      <w:marBottom w:val="0"/>
                      <w:divBdr>
                        <w:top w:val="none" w:sz="0" w:space="0" w:color="auto"/>
                        <w:left w:val="none" w:sz="0" w:space="0" w:color="auto"/>
                        <w:bottom w:val="none" w:sz="0" w:space="0" w:color="auto"/>
                        <w:right w:val="none" w:sz="0" w:space="0" w:color="auto"/>
                      </w:divBdr>
                      <w:divsChild>
                        <w:div w:id="1899977753">
                          <w:marLeft w:val="0"/>
                          <w:marRight w:val="0"/>
                          <w:marTop w:val="0"/>
                          <w:marBottom w:val="0"/>
                          <w:divBdr>
                            <w:top w:val="none" w:sz="0" w:space="0" w:color="auto"/>
                            <w:left w:val="none" w:sz="0" w:space="0" w:color="auto"/>
                            <w:bottom w:val="none" w:sz="0" w:space="0" w:color="auto"/>
                            <w:right w:val="none" w:sz="0" w:space="0" w:color="auto"/>
                          </w:divBdr>
                          <w:divsChild>
                            <w:div w:id="1496726148">
                              <w:marLeft w:val="0"/>
                              <w:marRight w:val="0"/>
                              <w:marTop w:val="0"/>
                              <w:marBottom w:val="0"/>
                              <w:divBdr>
                                <w:top w:val="none" w:sz="0" w:space="0" w:color="auto"/>
                                <w:left w:val="none" w:sz="0" w:space="0" w:color="auto"/>
                                <w:bottom w:val="none" w:sz="0" w:space="0" w:color="auto"/>
                                <w:right w:val="none" w:sz="0" w:space="0" w:color="auto"/>
                              </w:divBdr>
                              <w:divsChild>
                                <w:div w:id="1692562796">
                                  <w:marLeft w:val="0"/>
                                  <w:marRight w:val="0"/>
                                  <w:marTop w:val="0"/>
                                  <w:marBottom w:val="0"/>
                                  <w:divBdr>
                                    <w:top w:val="none" w:sz="0" w:space="0" w:color="auto"/>
                                    <w:left w:val="none" w:sz="0" w:space="0" w:color="auto"/>
                                    <w:bottom w:val="none" w:sz="0" w:space="0" w:color="auto"/>
                                    <w:right w:val="none" w:sz="0" w:space="0" w:color="auto"/>
                                  </w:divBdr>
                                  <w:divsChild>
                                    <w:div w:id="763497665">
                                      <w:marLeft w:val="0"/>
                                      <w:marRight w:val="0"/>
                                      <w:marTop w:val="0"/>
                                      <w:marBottom w:val="0"/>
                                      <w:divBdr>
                                        <w:top w:val="none" w:sz="0" w:space="0" w:color="auto"/>
                                        <w:left w:val="none" w:sz="0" w:space="0" w:color="auto"/>
                                        <w:bottom w:val="none" w:sz="0" w:space="0" w:color="auto"/>
                                        <w:right w:val="none" w:sz="0" w:space="0" w:color="auto"/>
                                      </w:divBdr>
                                      <w:divsChild>
                                        <w:div w:id="919099146">
                                          <w:marLeft w:val="0"/>
                                          <w:marRight w:val="0"/>
                                          <w:marTop w:val="0"/>
                                          <w:marBottom w:val="0"/>
                                          <w:divBdr>
                                            <w:top w:val="none" w:sz="0" w:space="0" w:color="auto"/>
                                            <w:left w:val="none" w:sz="0" w:space="0" w:color="auto"/>
                                            <w:bottom w:val="none" w:sz="0" w:space="0" w:color="auto"/>
                                            <w:right w:val="none" w:sz="0" w:space="0" w:color="auto"/>
                                          </w:divBdr>
                                          <w:divsChild>
                                            <w:div w:id="767039734">
                                              <w:marLeft w:val="-225"/>
                                              <w:marRight w:val="-225"/>
                                              <w:marTop w:val="0"/>
                                              <w:marBottom w:val="0"/>
                                              <w:divBdr>
                                                <w:top w:val="single" w:sz="24" w:space="0" w:color="auto"/>
                                                <w:left w:val="single" w:sz="24" w:space="0" w:color="auto"/>
                                                <w:bottom w:val="single" w:sz="24" w:space="0" w:color="auto"/>
                                                <w:right w:val="single" w:sz="24" w:space="0" w:color="auto"/>
                                              </w:divBdr>
                                              <w:divsChild>
                                                <w:div w:id="1623267631">
                                                  <w:marLeft w:val="0"/>
                                                  <w:marRight w:val="0"/>
                                                  <w:marTop w:val="0"/>
                                                  <w:marBottom w:val="0"/>
                                                  <w:divBdr>
                                                    <w:top w:val="single" w:sz="24" w:space="0" w:color="auto"/>
                                                    <w:left w:val="single" w:sz="24" w:space="0" w:color="auto"/>
                                                    <w:bottom w:val="single" w:sz="24" w:space="0" w:color="auto"/>
                                                    <w:right w:val="single" w:sz="24" w:space="0" w:color="auto"/>
                                                  </w:divBdr>
                                                  <w:divsChild>
                                                    <w:div w:id="1898587815">
                                                      <w:marLeft w:val="0"/>
                                                      <w:marRight w:val="0"/>
                                                      <w:marTop w:val="0"/>
                                                      <w:marBottom w:val="0"/>
                                                      <w:divBdr>
                                                        <w:top w:val="single" w:sz="24" w:space="0" w:color="auto"/>
                                                        <w:left w:val="single" w:sz="24" w:space="0" w:color="auto"/>
                                                        <w:bottom w:val="single" w:sz="24" w:space="0" w:color="auto"/>
                                                        <w:right w:val="single" w:sz="24" w:space="0" w:color="auto"/>
                                                      </w:divBdr>
                                                      <w:divsChild>
                                                        <w:div w:id="336886966">
                                                          <w:marLeft w:val="0"/>
                                                          <w:marRight w:val="0"/>
                                                          <w:marTop w:val="0"/>
                                                          <w:marBottom w:val="0"/>
                                                          <w:divBdr>
                                                            <w:top w:val="none" w:sz="0" w:space="0" w:color="auto"/>
                                                            <w:left w:val="none" w:sz="0" w:space="0" w:color="auto"/>
                                                            <w:bottom w:val="none" w:sz="0" w:space="0" w:color="auto"/>
                                                            <w:right w:val="none" w:sz="0" w:space="0" w:color="auto"/>
                                                          </w:divBdr>
                                                          <w:divsChild>
                                                            <w:div w:id="771121090">
                                                              <w:marLeft w:val="0"/>
                                                              <w:marRight w:val="0"/>
                                                              <w:marTop w:val="0"/>
                                                              <w:marBottom w:val="0"/>
                                                              <w:divBdr>
                                                                <w:top w:val="none" w:sz="0" w:space="0" w:color="auto"/>
                                                                <w:left w:val="none" w:sz="0" w:space="0" w:color="auto"/>
                                                                <w:bottom w:val="none" w:sz="0" w:space="0" w:color="auto"/>
                                                                <w:right w:val="none" w:sz="0" w:space="0" w:color="auto"/>
                                                              </w:divBdr>
                                                              <w:divsChild>
                                                                <w:div w:id="1296136021">
                                                                  <w:marLeft w:val="0"/>
                                                                  <w:marRight w:val="0"/>
                                                                  <w:marTop w:val="0"/>
                                                                  <w:marBottom w:val="0"/>
                                                                  <w:divBdr>
                                                                    <w:top w:val="none" w:sz="0" w:space="0" w:color="auto"/>
                                                                    <w:left w:val="none" w:sz="0" w:space="0" w:color="auto"/>
                                                                    <w:bottom w:val="none" w:sz="0" w:space="0" w:color="auto"/>
                                                                    <w:right w:val="none" w:sz="0" w:space="0" w:color="auto"/>
                                                                  </w:divBdr>
                                                                </w:div>
                                                              </w:divsChild>
                                                            </w:div>
                                                            <w:div w:id="325476706">
                                                              <w:marLeft w:val="0"/>
                                                              <w:marRight w:val="0"/>
                                                              <w:marTop w:val="0"/>
                                                              <w:marBottom w:val="0"/>
                                                              <w:divBdr>
                                                                <w:top w:val="none" w:sz="0" w:space="0" w:color="auto"/>
                                                                <w:left w:val="none" w:sz="0" w:space="0" w:color="auto"/>
                                                                <w:bottom w:val="none" w:sz="0" w:space="0" w:color="auto"/>
                                                                <w:right w:val="none" w:sz="0" w:space="0" w:color="auto"/>
                                                              </w:divBdr>
                                                              <w:divsChild>
                                                                <w:div w:id="11069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064222">
      <w:bodyDiv w:val="1"/>
      <w:marLeft w:val="0"/>
      <w:marRight w:val="0"/>
      <w:marTop w:val="0"/>
      <w:marBottom w:val="0"/>
      <w:divBdr>
        <w:top w:val="none" w:sz="0" w:space="0" w:color="auto"/>
        <w:left w:val="none" w:sz="0" w:space="0" w:color="auto"/>
        <w:bottom w:val="none" w:sz="0" w:space="0" w:color="auto"/>
        <w:right w:val="none" w:sz="0" w:space="0" w:color="auto"/>
      </w:divBdr>
      <w:divsChild>
        <w:div w:id="1359308950">
          <w:marLeft w:val="0"/>
          <w:marRight w:val="0"/>
          <w:marTop w:val="0"/>
          <w:marBottom w:val="0"/>
          <w:divBdr>
            <w:top w:val="none" w:sz="0" w:space="0" w:color="auto"/>
            <w:left w:val="none" w:sz="0" w:space="0" w:color="auto"/>
            <w:bottom w:val="none" w:sz="0" w:space="0" w:color="auto"/>
            <w:right w:val="none" w:sz="0" w:space="0" w:color="auto"/>
          </w:divBdr>
          <w:divsChild>
            <w:div w:id="1666084597">
              <w:marLeft w:val="0"/>
              <w:marRight w:val="0"/>
              <w:marTop w:val="0"/>
              <w:marBottom w:val="0"/>
              <w:divBdr>
                <w:top w:val="none" w:sz="0" w:space="0" w:color="auto"/>
                <w:left w:val="none" w:sz="0" w:space="0" w:color="auto"/>
                <w:bottom w:val="none" w:sz="0" w:space="0" w:color="auto"/>
                <w:right w:val="none" w:sz="0" w:space="0" w:color="auto"/>
              </w:divBdr>
              <w:divsChild>
                <w:div w:id="1231696905">
                  <w:marLeft w:val="0"/>
                  <w:marRight w:val="0"/>
                  <w:marTop w:val="0"/>
                  <w:marBottom w:val="0"/>
                  <w:divBdr>
                    <w:top w:val="none" w:sz="0" w:space="0" w:color="auto"/>
                    <w:left w:val="none" w:sz="0" w:space="0" w:color="auto"/>
                    <w:bottom w:val="none" w:sz="0" w:space="0" w:color="auto"/>
                    <w:right w:val="none" w:sz="0" w:space="0" w:color="auto"/>
                  </w:divBdr>
                  <w:divsChild>
                    <w:div w:id="1414426363">
                      <w:marLeft w:val="0"/>
                      <w:marRight w:val="0"/>
                      <w:marTop w:val="0"/>
                      <w:marBottom w:val="0"/>
                      <w:divBdr>
                        <w:top w:val="none" w:sz="0" w:space="0" w:color="auto"/>
                        <w:left w:val="none" w:sz="0" w:space="0" w:color="auto"/>
                        <w:bottom w:val="none" w:sz="0" w:space="0" w:color="auto"/>
                        <w:right w:val="none" w:sz="0" w:space="0" w:color="auto"/>
                      </w:divBdr>
                      <w:divsChild>
                        <w:div w:id="144011367">
                          <w:marLeft w:val="0"/>
                          <w:marRight w:val="0"/>
                          <w:marTop w:val="0"/>
                          <w:marBottom w:val="0"/>
                          <w:divBdr>
                            <w:top w:val="none" w:sz="0" w:space="0" w:color="auto"/>
                            <w:left w:val="none" w:sz="0" w:space="0" w:color="auto"/>
                            <w:bottom w:val="none" w:sz="0" w:space="0" w:color="auto"/>
                            <w:right w:val="none" w:sz="0" w:space="0" w:color="auto"/>
                          </w:divBdr>
                          <w:divsChild>
                            <w:div w:id="1927766213">
                              <w:marLeft w:val="0"/>
                              <w:marRight w:val="0"/>
                              <w:marTop w:val="0"/>
                              <w:marBottom w:val="0"/>
                              <w:divBdr>
                                <w:top w:val="none" w:sz="0" w:space="0" w:color="auto"/>
                                <w:left w:val="none" w:sz="0" w:space="0" w:color="auto"/>
                                <w:bottom w:val="none" w:sz="0" w:space="0" w:color="auto"/>
                                <w:right w:val="none" w:sz="0" w:space="0" w:color="auto"/>
                              </w:divBdr>
                              <w:divsChild>
                                <w:div w:id="1233002611">
                                  <w:marLeft w:val="0"/>
                                  <w:marRight w:val="0"/>
                                  <w:marTop w:val="0"/>
                                  <w:marBottom w:val="0"/>
                                  <w:divBdr>
                                    <w:top w:val="none" w:sz="0" w:space="0" w:color="auto"/>
                                    <w:left w:val="none" w:sz="0" w:space="0" w:color="auto"/>
                                    <w:bottom w:val="none" w:sz="0" w:space="0" w:color="auto"/>
                                    <w:right w:val="none" w:sz="0" w:space="0" w:color="auto"/>
                                  </w:divBdr>
                                  <w:divsChild>
                                    <w:div w:id="1226919306">
                                      <w:marLeft w:val="0"/>
                                      <w:marRight w:val="0"/>
                                      <w:marTop w:val="0"/>
                                      <w:marBottom w:val="0"/>
                                      <w:divBdr>
                                        <w:top w:val="none" w:sz="0" w:space="0" w:color="auto"/>
                                        <w:left w:val="none" w:sz="0" w:space="0" w:color="auto"/>
                                        <w:bottom w:val="none" w:sz="0" w:space="0" w:color="auto"/>
                                        <w:right w:val="none" w:sz="0" w:space="0" w:color="auto"/>
                                      </w:divBdr>
                                      <w:divsChild>
                                        <w:div w:id="608245076">
                                          <w:marLeft w:val="0"/>
                                          <w:marRight w:val="0"/>
                                          <w:marTop w:val="0"/>
                                          <w:marBottom w:val="0"/>
                                          <w:divBdr>
                                            <w:top w:val="none" w:sz="0" w:space="0" w:color="auto"/>
                                            <w:left w:val="none" w:sz="0" w:space="0" w:color="auto"/>
                                            <w:bottom w:val="none" w:sz="0" w:space="0" w:color="auto"/>
                                            <w:right w:val="none" w:sz="0" w:space="0" w:color="auto"/>
                                          </w:divBdr>
                                          <w:divsChild>
                                            <w:div w:id="2040083354">
                                              <w:marLeft w:val="-225"/>
                                              <w:marRight w:val="-225"/>
                                              <w:marTop w:val="0"/>
                                              <w:marBottom w:val="0"/>
                                              <w:divBdr>
                                                <w:top w:val="single" w:sz="24" w:space="0" w:color="auto"/>
                                                <w:left w:val="single" w:sz="24" w:space="0" w:color="auto"/>
                                                <w:bottom w:val="single" w:sz="24" w:space="0" w:color="auto"/>
                                                <w:right w:val="single" w:sz="24" w:space="0" w:color="auto"/>
                                              </w:divBdr>
                                              <w:divsChild>
                                                <w:div w:id="1772161261">
                                                  <w:marLeft w:val="0"/>
                                                  <w:marRight w:val="0"/>
                                                  <w:marTop w:val="0"/>
                                                  <w:marBottom w:val="0"/>
                                                  <w:divBdr>
                                                    <w:top w:val="single" w:sz="24" w:space="0" w:color="auto"/>
                                                    <w:left w:val="single" w:sz="24" w:space="0" w:color="auto"/>
                                                    <w:bottom w:val="single" w:sz="24" w:space="0" w:color="auto"/>
                                                    <w:right w:val="single" w:sz="24" w:space="0" w:color="auto"/>
                                                  </w:divBdr>
                                                  <w:divsChild>
                                                    <w:div w:id="1129863977">
                                                      <w:marLeft w:val="0"/>
                                                      <w:marRight w:val="0"/>
                                                      <w:marTop w:val="0"/>
                                                      <w:marBottom w:val="0"/>
                                                      <w:divBdr>
                                                        <w:top w:val="single" w:sz="24" w:space="0" w:color="auto"/>
                                                        <w:left w:val="single" w:sz="24" w:space="0" w:color="auto"/>
                                                        <w:bottom w:val="single" w:sz="24" w:space="0" w:color="auto"/>
                                                        <w:right w:val="single" w:sz="24" w:space="0" w:color="auto"/>
                                                      </w:divBdr>
                                                      <w:divsChild>
                                                        <w:div w:id="40322575">
                                                          <w:marLeft w:val="0"/>
                                                          <w:marRight w:val="0"/>
                                                          <w:marTop w:val="0"/>
                                                          <w:marBottom w:val="0"/>
                                                          <w:divBdr>
                                                            <w:top w:val="none" w:sz="0" w:space="0" w:color="auto"/>
                                                            <w:left w:val="none" w:sz="0" w:space="0" w:color="auto"/>
                                                            <w:bottom w:val="none" w:sz="0" w:space="0" w:color="auto"/>
                                                            <w:right w:val="none" w:sz="0" w:space="0" w:color="auto"/>
                                                          </w:divBdr>
                                                          <w:divsChild>
                                                            <w:div w:id="1403482690">
                                                              <w:marLeft w:val="0"/>
                                                              <w:marRight w:val="0"/>
                                                              <w:marTop w:val="0"/>
                                                              <w:marBottom w:val="0"/>
                                                              <w:divBdr>
                                                                <w:top w:val="none" w:sz="0" w:space="0" w:color="auto"/>
                                                                <w:left w:val="none" w:sz="0" w:space="0" w:color="auto"/>
                                                                <w:bottom w:val="none" w:sz="0" w:space="0" w:color="auto"/>
                                                                <w:right w:val="none" w:sz="0" w:space="0" w:color="auto"/>
                                                              </w:divBdr>
                                                              <w:divsChild>
                                                                <w:div w:id="1415930088">
                                                                  <w:marLeft w:val="0"/>
                                                                  <w:marRight w:val="0"/>
                                                                  <w:marTop w:val="0"/>
                                                                  <w:marBottom w:val="0"/>
                                                                  <w:divBdr>
                                                                    <w:top w:val="none" w:sz="0" w:space="0" w:color="auto"/>
                                                                    <w:left w:val="none" w:sz="0" w:space="0" w:color="auto"/>
                                                                    <w:bottom w:val="none" w:sz="0" w:space="0" w:color="auto"/>
                                                                    <w:right w:val="none" w:sz="0" w:space="0" w:color="auto"/>
                                                                  </w:divBdr>
                                                                </w:div>
                                                              </w:divsChild>
                                                            </w:div>
                                                            <w:div w:id="945424865">
                                                              <w:marLeft w:val="0"/>
                                                              <w:marRight w:val="0"/>
                                                              <w:marTop w:val="0"/>
                                                              <w:marBottom w:val="0"/>
                                                              <w:divBdr>
                                                                <w:top w:val="none" w:sz="0" w:space="0" w:color="auto"/>
                                                                <w:left w:val="none" w:sz="0" w:space="0" w:color="auto"/>
                                                                <w:bottom w:val="none" w:sz="0" w:space="0" w:color="auto"/>
                                                                <w:right w:val="none" w:sz="0" w:space="0" w:color="auto"/>
                                                              </w:divBdr>
                                                              <w:divsChild>
                                                                <w:div w:id="1122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0408137">
      <w:bodyDiv w:val="1"/>
      <w:marLeft w:val="0"/>
      <w:marRight w:val="0"/>
      <w:marTop w:val="0"/>
      <w:marBottom w:val="0"/>
      <w:divBdr>
        <w:top w:val="none" w:sz="0" w:space="0" w:color="auto"/>
        <w:left w:val="none" w:sz="0" w:space="0" w:color="auto"/>
        <w:bottom w:val="none" w:sz="0" w:space="0" w:color="auto"/>
        <w:right w:val="none" w:sz="0" w:space="0" w:color="auto"/>
      </w:divBdr>
      <w:divsChild>
        <w:div w:id="1936790739">
          <w:marLeft w:val="0"/>
          <w:marRight w:val="0"/>
          <w:marTop w:val="0"/>
          <w:marBottom w:val="0"/>
          <w:divBdr>
            <w:top w:val="none" w:sz="0" w:space="0" w:color="auto"/>
            <w:left w:val="none" w:sz="0" w:space="0" w:color="auto"/>
            <w:bottom w:val="none" w:sz="0" w:space="0" w:color="auto"/>
            <w:right w:val="none" w:sz="0" w:space="0" w:color="auto"/>
          </w:divBdr>
          <w:divsChild>
            <w:div w:id="1960647798">
              <w:marLeft w:val="0"/>
              <w:marRight w:val="0"/>
              <w:marTop w:val="0"/>
              <w:marBottom w:val="0"/>
              <w:divBdr>
                <w:top w:val="none" w:sz="0" w:space="0" w:color="auto"/>
                <w:left w:val="none" w:sz="0" w:space="0" w:color="auto"/>
                <w:bottom w:val="none" w:sz="0" w:space="0" w:color="auto"/>
                <w:right w:val="none" w:sz="0" w:space="0" w:color="auto"/>
              </w:divBdr>
              <w:divsChild>
                <w:div w:id="766269446">
                  <w:marLeft w:val="0"/>
                  <w:marRight w:val="0"/>
                  <w:marTop w:val="0"/>
                  <w:marBottom w:val="0"/>
                  <w:divBdr>
                    <w:top w:val="none" w:sz="0" w:space="0" w:color="auto"/>
                    <w:left w:val="none" w:sz="0" w:space="0" w:color="auto"/>
                    <w:bottom w:val="none" w:sz="0" w:space="0" w:color="auto"/>
                    <w:right w:val="none" w:sz="0" w:space="0" w:color="auto"/>
                  </w:divBdr>
                  <w:divsChild>
                    <w:div w:id="1641692088">
                      <w:marLeft w:val="0"/>
                      <w:marRight w:val="0"/>
                      <w:marTop w:val="0"/>
                      <w:marBottom w:val="0"/>
                      <w:divBdr>
                        <w:top w:val="none" w:sz="0" w:space="0" w:color="auto"/>
                        <w:left w:val="none" w:sz="0" w:space="0" w:color="auto"/>
                        <w:bottom w:val="none" w:sz="0" w:space="0" w:color="auto"/>
                        <w:right w:val="none" w:sz="0" w:space="0" w:color="auto"/>
                      </w:divBdr>
                      <w:divsChild>
                        <w:div w:id="418866399">
                          <w:marLeft w:val="0"/>
                          <w:marRight w:val="0"/>
                          <w:marTop w:val="0"/>
                          <w:marBottom w:val="0"/>
                          <w:divBdr>
                            <w:top w:val="none" w:sz="0" w:space="0" w:color="auto"/>
                            <w:left w:val="none" w:sz="0" w:space="0" w:color="auto"/>
                            <w:bottom w:val="none" w:sz="0" w:space="0" w:color="auto"/>
                            <w:right w:val="none" w:sz="0" w:space="0" w:color="auto"/>
                          </w:divBdr>
                          <w:divsChild>
                            <w:div w:id="221795908">
                              <w:marLeft w:val="0"/>
                              <w:marRight w:val="0"/>
                              <w:marTop w:val="0"/>
                              <w:marBottom w:val="0"/>
                              <w:divBdr>
                                <w:top w:val="none" w:sz="0" w:space="0" w:color="auto"/>
                                <w:left w:val="none" w:sz="0" w:space="0" w:color="auto"/>
                                <w:bottom w:val="none" w:sz="0" w:space="0" w:color="auto"/>
                                <w:right w:val="none" w:sz="0" w:space="0" w:color="auto"/>
                              </w:divBdr>
                              <w:divsChild>
                                <w:div w:id="1333025752">
                                  <w:marLeft w:val="0"/>
                                  <w:marRight w:val="0"/>
                                  <w:marTop w:val="0"/>
                                  <w:marBottom w:val="0"/>
                                  <w:divBdr>
                                    <w:top w:val="none" w:sz="0" w:space="0" w:color="auto"/>
                                    <w:left w:val="none" w:sz="0" w:space="0" w:color="auto"/>
                                    <w:bottom w:val="none" w:sz="0" w:space="0" w:color="auto"/>
                                    <w:right w:val="none" w:sz="0" w:space="0" w:color="auto"/>
                                  </w:divBdr>
                                  <w:divsChild>
                                    <w:div w:id="497310665">
                                      <w:marLeft w:val="0"/>
                                      <w:marRight w:val="0"/>
                                      <w:marTop w:val="0"/>
                                      <w:marBottom w:val="0"/>
                                      <w:divBdr>
                                        <w:top w:val="none" w:sz="0" w:space="0" w:color="auto"/>
                                        <w:left w:val="none" w:sz="0" w:space="0" w:color="auto"/>
                                        <w:bottom w:val="none" w:sz="0" w:space="0" w:color="auto"/>
                                        <w:right w:val="none" w:sz="0" w:space="0" w:color="auto"/>
                                      </w:divBdr>
                                      <w:divsChild>
                                        <w:div w:id="2105757962">
                                          <w:marLeft w:val="0"/>
                                          <w:marRight w:val="0"/>
                                          <w:marTop w:val="0"/>
                                          <w:marBottom w:val="0"/>
                                          <w:divBdr>
                                            <w:top w:val="none" w:sz="0" w:space="0" w:color="auto"/>
                                            <w:left w:val="none" w:sz="0" w:space="0" w:color="auto"/>
                                            <w:bottom w:val="none" w:sz="0" w:space="0" w:color="auto"/>
                                            <w:right w:val="none" w:sz="0" w:space="0" w:color="auto"/>
                                          </w:divBdr>
                                          <w:divsChild>
                                            <w:div w:id="1660159276">
                                              <w:marLeft w:val="-225"/>
                                              <w:marRight w:val="-225"/>
                                              <w:marTop w:val="0"/>
                                              <w:marBottom w:val="0"/>
                                              <w:divBdr>
                                                <w:top w:val="single" w:sz="24" w:space="0" w:color="auto"/>
                                                <w:left w:val="single" w:sz="24" w:space="0" w:color="auto"/>
                                                <w:bottom w:val="single" w:sz="24" w:space="0" w:color="auto"/>
                                                <w:right w:val="single" w:sz="24" w:space="0" w:color="auto"/>
                                              </w:divBdr>
                                              <w:divsChild>
                                                <w:div w:id="945966912">
                                                  <w:marLeft w:val="0"/>
                                                  <w:marRight w:val="0"/>
                                                  <w:marTop w:val="0"/>
                                                  <w:marBottom w:val="0"/>
                                                  <w:divBdr>
                                                    <w:top w:val="single" w:sz="24" w:space="0" w:color="auto"/>
                                                    <w:left w:val="single" w:sz="24" w:space="0" w:color="auto"/>
                                                    <w:bottom w:val="single" w:sz="24" w:space="0" w:color="auto"/>
                                                    <w:right w:val="single" w:sz="24" w:space="0" w:color="auto"/>
                                                  </w:divBdr>
                                                  <w:divsChild>
                                                    <w:div w:id="1957176427">
                                                      <w:marLeft w:val="0"/>
                                                      <w:marRight w:val="0"/>
                                                      <w:marTop w:val="0"/>
                                                      <w:marBottom w:val="0"/>
                                                      <w:divBdr>
                                                        <w:top w:val="single" w:sz="24" w:space="0" w:color="auto"/>
                                                        <w:left w:val="single" w:sz="24" w:space="0" w:color="auto"/>
                                                        <w:bottom w:val="single" w:sz="24" w:space="0" w:color="auto"/>
                                                        <w:right w:val="single" w:sz="24" w:space="0" w:color="auto"/>
                                                      </w:divBdr>
                                                      <w:divsChild>
                                                        <w:div w:id="1976182453">
                                                          <w:marLeft w:val="0"/>
                                                          <w:marRight w:val="0"/>
                                                          <w:marTop w:val="0"/>
                                                          <w:marBottom w:val="0"/>
                                                          <w:divBdr>
                                                            <w:top w:val="none" w:sz="0" w:space="0" w:color="auto"/>
                                                            <w:left w:val="none" w:sz="0" w:space="0" w:color="auto"/>
                                                            <w:bottom w:val="none" w:sz="0" w:space="0" w:color="auto"/>
                                                            <w:right w:val="none" w:sz="0" w:space="0" w:color="auto"/>
                                                          </w:divBdr>
                                                          <w:divsChild>
                                                            <w:div w:id="155534701">
                                                              <w:marLeft w:val="0"/>
                                                              <w:marRight w:val="0"/>
                                                              <w:marTop w:val="0"/>
                                                              <w:marBottom w:val="0"/>
                                                              <w:divBdr>
                                                                <w:top w:val="none" w:sz="0" w:space="0" w:color="auto"/>
                                                                <w:left w:val="none" w:sz="0" w:space="0" w:color="auto"/>
                                                                <w:bottom w:val="none" w:sz="0" w:space="0" w:color="auto"/>
                                                                <w:right w:val="none" w:sz="0" w:space="0" w:color="auto"/>
                                                              </w:divBdr>
                                                              <w:divsChild>
                                                                <w:div w:id="556208293">
                                                                  <w:marLeft w:val="0"/>
                                                                  <w:marRight w:val="0"/>
                                                                  <w:marTop w:val="0"/>
                                                                  <w:marBottom w:val="0"/>
                                                                  <w:divBdr>
                                                                    <w:top w:val="none" w:sz="0" w:space="0" w:color="auto"/>
                                                                    <w:left w:val="none" w:sz="0" w:space="0" w:color="auto"/>
                                                                    <w:bottom w:val="none" w:sz="0" w:space="0" w:color="auto"/>
                                                                    <w:right w:val="none" w:sz="0" w:space="0" w:color="auto"/>
                                                                  </w:divBdr>
                                                                </w:div>
                                                              </w:divsChild>
                                                            </w:div>
                                                            <w:div w:id="2099279653">
                                                              <w:marLeft w:val="0"/>
                                                              <w:marRight w:val="0"/>
                                                              <w:marTop w:val="0"/>
                                                              <w:marBottom w:val="0"/>
                                                              <w:divBdr>
                                                                <w:top w:val="none" w:sz="0" w:space="0" w:color="auto"/>
                                                                <w:left w:val="none" w:sz="0" w:space="0" w:color="auto"/>
                                                                <w:bottom w:val="none" w:sz="0" w:space="0" w:color="auto"/>
                                                                <w:right w:val="none" w:sz="0" w:space="0" w:color="auto"/>
                                                              </w:divBdr>
                                                              <w:divsChild>
                                                                <w:div w:id="1665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ncomundial.org/es/topic/sexual-orientation-and-gender-identity" TargetMode="External"/><Relationship Id="rId18" Type="http://schemas.openxmlformats.org/officeDocument/2006/relationships/hyperlink" Target="mailto:aochsenbein@ohchr.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unesdoc.unesco.org/ark:/48223/pf0000216493" TargetMode="External"/><Relationship Id="rId17" Type="http://schemas.openxmlformats.org/officeDocument/2006/relationships/hyperlink" Target="mailto:cdepreuxdebaets@ohchr.org" TargetMode="External"/><Relationship Id="rId2" Type="http://schemas.openxmlformats.org/officeDocument/2006/relationships/customXml" Target="../customXml/item2.xml"/><Relationship Id="rId16" Type="http://schemas.openxmlformats.org/officeDocument/2006/relationships/hyperlink" Target="mailto:ie-sogi@ohchr.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Discrimination/Pages/JointLGBTIstatement.asp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unfe.org/standard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dp.org/content/undp/en/home/librarypage/hiv-aids/lgbti-index.html"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C6326-2CBB-44B4-A293-FCB884177F3A}">
  <ds:schemaRefs>
    <ds:schemaRef ds:uri="http://purl.org/dc/elements/1.1/"/>
    <ds:schemaRef ds:uri="http://schemas.microsoft.com/office/2006/metadata/properties"/>
    <ds:schemaRef ds:uri="f62cadcd-e163-4118-ac05-a32b5a627a7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7463703-32DF-43A6-AE9B-CA335FD92C45}"/>
</file>

<file path=customXml/itemProps3.xml><?xml version="1.0" encoding="utf-8"?>
<ds:datastoreItem xmlns:ds="http://schemas.openxmlformats.org/officeDocument/2006/customXml" ds:itemID="{65D1F592-FC67-429A-9EC0-8FE8E844DFFB}">
  <ds:schemaRefs>
    <ds:schemaRef ds:uri="http://schemas.microsoft.com/sharepoint/v3/contenttype/forms"/>
  </ds:schemaRefs>
</ds:datastoreItem>
</file>

<file path=customXml/itemProps4.xml><?xml version="1.0" encoding="utf-8"?>
<ds:datastoreItem xmlns:ds="http://schemas.openxmlformats.org/officeDocument/2006/customXml" ds:itemID="{2C1C63CE-DB37-4618-8A9F-ABACFC55F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1621</Words>
  <Characters>9230</Characters>
  <Application>Microsoft Office Word</Application>
  <DocSecurity>0</DocSecurity>
  <Lines>76</Lines>
  <Paragraphs>21</Paragraphs>
  <ScaleCrop>false</ScaleCrop>
  <HeadingPairs>
    <vt:vector size="4" baseType="variant">
      <vt:variant>
        <vt:lpstr>Title</vt:lpstr>
      </vt:variant>
      <vt:variant>
        <vt:i4>1</vt:i4>
      </vt:variant>
      <vt:variant>
        <vt:lpstr>Misión Permanente del Reino Unido de Gran Bretaña e Irlanda del Norte ante la Oficina de las Naciones Unidas y otras organizaciones internacionales en Ginebra</vt:lpstr>
      </vt:variant>
      <vt:variant>
        <vt:i4>1</vt:i4>
      </vt:variant>
    </vt:vector>
  </HeadingPairs>
  <TitlesOfParts>
    <vt:vector size="2" baseType="lpstr">
      <vt:lpstr/>
      <vt:lpstr/>
    </vt:vector>
  </TitlesOfParts>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Questionnaire_SCE_GA_SP</dc:title>
  <dc:creator/>
  <cp:lastModifiedBy/>
  <cp:revision>1</cp:revision>
  <dcterms:created xsi:type="dcterms:W3CDTF">2019-05-06T11:03:00Z</dcterms:created>
  <dcterms:modified xsi:type="dcterms:W3CDTF">2019-05-06T11:29:00Z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