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37AB" w14:textId="77777777" w:rsidR="0076716A" w:rsidRDefault="0076716A">
      <w:pPr>
        <w:spacing w:after="280"/>
        <w:rPr>
          <w:rFonts w:asciiTheme="minorHAnsi" w:eastAsia="Times New Roman" w:hAnsiTheme="minorHAnsi" w:cstheme="minorHAnsi"/>
          <w:b/>
          <w:sz w:val="28"/>
          <w:szCs w:val="28"/>
        </w:rPr>
      </w:pPr>
      <w:bookmarkStart w:id="0" w:name="_heading=h.gjdgxs" w:colFirst="0" w:colLast="0"/>
      <w:bookmarkStart w:id="1" w:name="_GoBack"/>
      <w:bookmarkEnd w:id="0"/>
      <w:bookmarkEnd w:id="1"/>
    </w:p>
    <w:p w14:paraId="00000001" w14:textId="757FF083" w:rsidR="00E518FE" w:rsidRPr="00A749B2" w:rsidRDefault="00A749B2">
      <w:pPr>
        <w:spacing w:after="280"/>
        <w:rPr>
          <w:rFonts w:asciiTheme="minorHAnsi" w:eastAsia="Times New Roman" w:hAnsiTheme="minorHAnsi" w:cstheme="minorHAnsi"/>
          <w:sz w:val="28"/>
          <w:szCs w:val="28"/>
        </w:rPr>
      </w:pPr>
      <w:r w:rsidRPr="00A749B2">
        <w:rPr>
          <w:rFonts w:asciiTheme="minorHAnsi" w:eastAsia="Times New Roman" w:hAnsiTheme="minorHAnsi" w:cstheme="minorHAnsi"/>
          <w:b/>
          <w:sz w:val="28"/>
          <w:szCs w:val="28"/>
        </w:rPr>
        <w:t xml:space="preserve">ANNEX 01 – </w:t>
      </w:r>
      <w:r w:rsidR="009A49AE" w:rsidRPr="00A749B2">
        <w:rPr>
          <w:rFonts w:asciiTheme="minorHAnsi" w:eastAsia="Times New Roman" w:hAnsiTheme="minorHAnsi" w:cstheme="minorHAnsi"/>
          <w:b/>
          <w:sz w:val="28"/>
          <w:szCs w:val="28"/>
        </w:rPr>
        <w:t>Legislative framework</w:t>
      </w:r>
      <w:r w:rsidR="006A021F">
        <w:rPr>
          <w:rFonts w:asciiTheme="minorHAnsi" w:eastAsia="Times New Roman" w:hAnsiTheme="minorHAnsi" w:cstheme="minorHAnsi"/>
          <w:b/>
          <w:sz w:val="28"/>
          <w:szCs w:val="28"/>
        </w:rPr>
        <w:t xml:space="preserve"> Spain </w:t>
      </w:r>
    </w:p>
    <w:p w14:paraId="00000002"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color w:val="4472C4"/>
        </w:rPr>
      </w:pPr>
      <w:r w:rsidRPr="00A749B2">
        <w:rPr>
          <w:rFonts w:asciiTheme="minorHAnsi" w:eastAsia="Times New Roman" w:hAnsiTheme="minorHAnsi" w:cstheme="minorHAnsi"/>
          <w:b/>
          <w:color w:val="000000"/>
        </w:rPr>
        <w:t>3a 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w:t>
      </w:r>
      <w:r w:rsidRPr="00A749B2">
        <w:rPr>
          <w:rFonts w:asciiTheme="minorHAnsi" w:eastAsia="Times New Roman" w:hAnsiTheme="minorHAnsi" w:cstheme="minorHAnsi"/>
          <w:color w:val="000000"/>
        </w:rPr>
        <w:t xml:space="preserve"> </w:t>
      </w:r>
    </w:p>
    <w:p w14:paraId="00000003"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According to Art. 570 bis 1 of the Spanish Criminal Code, a criminal organisation is defined by the following elements:  </w:t>
      </w:r>
    </w:p>
    <w:p w14:paraId="00000004"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1°) the plurality of persons, </w:t>
      </w:r>
    </w:p>
    <w:p w14:paraId="00000005"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2°) stability over time, </w:t>
      </w:r>
    </w:p>
    <w:p w14:paraId="00000006"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3°) the distribution of functions among its members,</w:t>
      </w:r>
    </w:p>
    <w:p w14:paraId="00000007"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4°) the criminal purpose, or the repeated commission of offences.</w:t>
      </w:r>
    </w:p>
    <w:p w14:paraId="00000008"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In Spain, there is a specialised prosecutor's office dealing with corruption and organised crime. However, other crimes, such as the crime of trafficking in human beings or the crime of smuggling of migrants, which can be committed by criminal organisations too, fall within the mandate of the prosecutor's office specialized on migration-related crimes, </w:t>
      </w:r>
    </w:p>
    <w:p w14:paraId="00000009"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On the other hand, the Intelligence Centre against Terrorism and Organised Crime (Centro de Inteligencia contra el Terrorismo y el Crimen Organizado) is the body within the Ministry of the Interior in charge of providing figures and statistics on organised crime</w:t>
      </w:r>
      <w:r w:rsidRPr="00A749B2">
        <w:rPr>
          <w:rFonts w:asciiTheme="minorHAnsi" w:eastAsia="Times New Roman" w:hAnsiTheme="minorHAnsi" w:cstheme="minorHAnsi"/>
          <w:vertAlign w:val="superscript"/>
        </w:rPr>
        <w:footnoteReference w:id="1"/>
      </w:r>
      <w:r w:rsidRPr="00A749B2">
        <w:rPr>
          <w:rFonts w:asciiTheme="minorHAnsi" w:eastAsia="Times New Roman" w:hAnsiTheme="minorHAnsi" w:cstheme="minorHAnsi"/>
        </w:rPr>
        <w:t>.</w:t>
      </w:r>
    </w:p>
    <w:p w14:paraId="0000000B" w14:textId="77777777" w:rsidR="00E518FE" w:rsidRPr="00A749B2" w:rsidRDefault="009A49AE">
      <w:pPr>
        <w:shd w:val="clear" w:color="auto" w:fill="FFFFFF"/>
        <w:spacing w:before="120" w:after="120" w:line="240" w:lineRule="auto"/>
        <w:rPr>
          <w:rFonts w:asciiTheme="minorHAnsi" w:eastAsia="Times New Roman" w:hAnsiTheme="minorHAnsi" w:cstheme="minorHAnsi"/>
          <w:color w:val="000000"/>
        </w:rPr>
      </w:pPr>
      <w:r w:rsidRPr="00A749B2">
        <w:rPr>
          <w:rFonts w:asciiTheme="minorHAnsi" w:eastAsia="Times New Roman" w:hAnsiTheme="minorHAnsi" w:cstheme="minorHAnsi"/>
          <w:b/>
          <w:color w:val="000000"/>
        </w:rPr>
        <w:t xml:space="preserve">3b. Do the legislative frameworks on contemporary forms of slavery stipulate the involvement of organised criminal group as an aggravating factor increasing penalties? </w:t>
      </w:r>
      <w:r w:rsidRPr="00A749B2">
        <w:rPr>
          <w:rFonts w:asciiTheme="minorHAnsi" w:eastAsia="Times New Roman" w:hAnsiTheme="minorHAnsi" w:cstheme="minorHAnsi"/>
          <w:color w:val="000000"/>
        </w:rPr>
        <w:t xml:space="preserve"> </w:t>
      </w:r>
    </w:p>
    <w:p w14:paraId="0000000C"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Art. 570 bis of the Criminal Code distinguishes between the degree of </w:t>
      </w:r>
      <w:r w:rsidRPr="00A749B2">
        <w:rPr>
          <w:rFonts w:asciiTheme="minorHAnsi" w:eastAsia="Times New Roman" w:hAnsiTheme="minorHAnsi" w:cstheme="minorHAnsi"/>
          <w:b/>
        </w:rPr>
        <w:t>participation</w:t>
      </w:r>
      <w:r w:rsidRPr="00A749B2">
        <w:rPr>
          <w:rFonts w:asciiTheme="minorHAnsi" w:eastAsia="Times New Roman" w:hAnsiTheme="minorHAnsi" w:cstheme="minorHAnsi"/>
        </w:rPr>
        <w:t xml:space="preserve"> in the criminal organisation, and the</w:t>
      </w:r>
      <w:r w:rsidRPr="00A749B2">
        <w:rPr>
          <w:rFonts w:asciiTheme="minorHAnsi" w:eastAsia="Times New Roman" w:hAnsiTheme="minorHAnsi" w:cstheme="minorHAnsi"/>
          <w:b/>
        </w:rPr>
        <w:t xml:space="preserve"> seriousness</w:t>
      </w:r>
      <w:r w:rsidRPr="00A749B2">
        <w:rPr>
          <w:rFonts w:asciiTheme="minorHAnsi" w:eastAsia="Times New Roman" w:hAnsiTheme="minorHAnsi" w:cstheme="minorHAnsi"/>
        </w:rPr>
        <w:t xml:space="preserve"> of the offences committed. </w:t>
      </w:r>
    </w:p>
    <w:p w14:paraId="0000000E" w14:textId="77777777" w:rsidR="00E518FE" w:rsidRPr="00A749B2" w:rsidRDefault="009A49AE">
      <w:pPr>
        <w:shd w:val="clear" w:color="auto" w:fill="FFFFFF"/>
        <w:spacing w:before="120" w:after="120" w:line="240" w:lineRule="auto"/>
        <w:jc w:val="both"/>
        <w:rPr>
          <w:rFonts w:asciiTheme="minorHAnsi" w:eastAsia="Times New Roman" w:hAnsiTheme="minorHAnsi" w:cstheme="minorHAnsi"/>
          <w:color w:val="4472C4"/>
        </w:rPr>
      </w:pPr>
      <w:r w:rsidRPr="00A749B2">
        <w:rPr>
          <w:rFonts w:asciiTheme="minorHAnsi" w:eastAsia="Times New Roman" w:hAnsiTheme="minorHAnsi" w:cstheme="minorHAnsi"/>
          <w:b/>
          <w:color w:val="000000"/>
        </w:rPr>
        <w:t xml:space="preserve">4. Are confiscated criminal proceeds redistributed to enhance protection and assistance to victims and survivors? Please provide details. </w:t>
      </w:r>
    </w:p>
    <w:p w14:paraId="00000011" w14:textId="2AD4BC43" w:rsidR="00E518FE" w:rsidRPr="00A749B2" w:rsidRDefault="009A49AE">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rPr>
      </w:pPr>
      <w:r w:rsidRPr="00A749B2">
        <w:rPr>
          <w:rFonts w:asciiTheme="minorHAnsi" w:eastAsia="Times New Roman" w:hAnsiTheme="minorHAnsi" w:cstheme="minorHAnsi"/>
        </w:rPr>
        <w:t>In accordance with Directive 2014/42/EU, the latest reform of the Criminal Code in 2015 introduced the following three categories in regards to confiscation:  non-conviction-based confiscation, extended confiscation, and confiscation of third-party assets</w:t>
      </w:r>
      <w:r w:rsidR="00A749B2">
        <w:rPr>
          <w:rFonts w:asciiTheme="minorHAnsi" w:eastAsia="Times New Roman" w:hAnsiTheme="minorHAnsi" w:cstheme="minorHAnsi"/>
        </w:rPr>
        <w:t xml:space="preserve">. </w:t>
      </w:r>
      <w:r w:rsidRPr="00A749B2">
        <w:rPr>
          <w:rFonts w:asciiTheme="minorHAnsi" w:eastAsia="Times New Roman" w:hAnsiTheme="minorHAnsi" w:cstheme="minorHAnsi"/>
        </w:rPr>
        <w:t>This reform also created the Office for the Recovery and Management of Assets (ORGA)</w:t>
      </w:r>
      <w:r w:rsidRPr="00A749B2">
        <w:rPr>
          <w:rFonts w:asciiTheme="minorHAnsi" w:eastAsia="Times New Roman" w:hAnsiTheme="minorHAnsi" w:cstheme="minorHAnsi"/>
          <w:vertAlign w:val="superscript"/>
        </w:rPr>
        <w:footnoteReference w:id="2"/>
      </w:r>
      <w:r w:rsidRPr="00A749B2">
        <w:rPr>
          <w:rFonts w:asciiTheme="minorHAnsi" w:eastAsia="Times New Roman" w:hAnsiTheme="minorHAnsi" w:cstheme="minorHAnsi"/>
        </w:rPr>
        <w:t xml:space="preserve">, whose function are: </w:t>
      </w:r>
    </w:p>
    <w:p w14:paraId="64BD090A" w14:textId="77777777" w:rsidR="00A749B2" w:rsidRPr="00A749B2" w:rsidRDefault="00A749B2">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rPr>
      </w:pPr>
    </w:p>
    <w:p w14:paraId="00000012" w14:textId="77777777" w:rsidR="00E518FE" w:rsidRPr="00A749B2" w:rsidRDefault="009A49AE">
      <w:pPr>
        <w:numPr>
          <w:ilvl w:val="0"/>
          <w:numId w:val="1"/>
        </w:num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to locate and recover the proceeds of crime, </w:t>
      </w:r>
    </w:p>
    <w:p w14:paraId="00000013" w14:textId="77777777" w:rsidR="00E518FE" w:rsidRPr="00A749B2" w:rsidRDefault="009A49AE">
      <w:pPr>
        <w:numPr>
          <w:ilvl w:val="0"/>
          <w:numId w:val="1"/>
        </w:num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rPr>
      </w:pPr>
      <w:r w:rsidRPr="00A749B2">
        <w:rPr>
          <w:rFonts w:asciiTheme="minorHAnsi" w:eastAsia="Times New Roman" w:hAnsiTheme="minorHAnsi" w:cstheme="minorHAnsi"/>
        </w:rPr>
        <w:t>to place them at the disposal of the courts, with a view to their future confiscation, and</w:t>
      </w:r>
    </w:p>
    <w:p w14:paraId="00000014" w14:textId="77777777" w:rsidR="00E518FE" w:rsidRPr="00A749B2" w:rsidRDefault="009A49AE">
      <w:pPr>
        <w:numPr>
          <w:ilvl w:val="0"/>
          <w:numId w:val="1"/>
        </w:num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rPr>
      </w:pPr>
      <w:r w:rsidRPr="00A749B2">
        <w:rPr>
          <w:rFonts w:asciiTheme="minorHAnsi" w:eastAsia="Times New Roman" w:hAnsiTheme="minorHAnsi" w:cstheme="minorHAnsi"/>
        </w:rPr>
        <w:t>to ensure that, once the corresponding compensation has been paid to the victims, part of the confiscated amounts are returned to society in projects to help victims and fight organised crime.</w:t>
      </w:r>
    </w:p>
    <w:p w14:paraId="00000015" w14:textId="77777777" w:rsidR="00E518FE" w:rsidRPr="00A749B2" w:rsidRDefault="009A49AE">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rPr>
      </w:pPr>
      <w:r w:rsidRPr="00A749B2">
        <w:rPr>
          <w:rFonts w:asciiTheme="minorHAnsi" w:eastAsia="Times New Roman" w:hAnsiTheme="minorHAnsi" w:cstheme="minorHAnsi"/>
        </w:rPr>
        <w:t xml:space="preserve"> </w:t>
      </w:r>
    </w:p>
    <w:p w14:paraId="0000001A" w14:textId="7FC5D75F" w:rsidR="00E518FE" w:rsidRPr="00A749B2" w:rsidRDefault="009A49AE" w:rsidP="00A749B2">
      <w:pPr>
        <w:shd w:val="clear" w:color="auto" w:fill="FFFFFF"/>
        <w:spacing w:after="0" w:line="240" w:lineRule="auto"/>
        <w:jc w:val="both"/>
        <w:rPr>
          <w:rFonts w:asciiTheme="minorHAnsi" w:eastAsia="Times New Roman" w:hAnsiTheme="minorHAnsi" w:cstheme="minorHAnsi"/>
          <w:b/>
          <w:color w:val="FF0000"/>
        </w:rPr>
      </w:pPr>
      <w:r w:rsidRPr="00A749B2">
        <w:rPr>
          <w:rFonts w:asciiTheme="minorHAnsi" w:eastAsia="Times New Roman" w:hAnsiTheme="minorHAnsi" w:cstheme="minorHAnsi"/>
        </w:rPr>
        <w:t xml:space="preserve">As organisations specialised in providing comprehensive assistance (including legal assistance) to victims of human trafficking, we are unaware of  the overall number of cases in which the confiscation </w:t>
      </w:r>
      <w:r w:rsidRPr="00A749B2">
        <w:rPr>
          <w:rFonts w:asciiTheme="minorHAnsi" w:eastAsia="Times New Roman" w:hAnsiTheme="minorHAnsi" w:cstheme="minorHAnsi"/>
        </w:rPr>
        <w:lastRenderedPageBreak/>
        <w:t>of assets resulting from a proper investigation during criminal proceedings has been used to pay compensation to victims, and/or have been allocated to organizations helping victims and fighting organised crime.</w:t>
      </w:r>
    </w:p>
    <w:sectPr w:rsidR="00E518FE" w:rsidRPr="00A749B2">
      <w:head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B2BF" w14:textId="77777777" w:rsidR="00B06D29" w:rsidRDefault="00B06D29">
      <w:pPr>
        <w:spacing w:after="0" w:line="240" w:lineRule="auto"/>
      </w:pPr>
      <w:r>
        <w:separator/>
      </w:r>
    </w:p>
  </w:endnote>
  <w:endnote w:type="continuationSeparator" w:id="0">
    <w:p w14:paraId="00952931" w14:textId="77777777" w:rsidR="00B06D29" w:rsidRDefault="00B0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796F" w14:textId="77777777" w:rsidR="00B06D29" w:rsidRDefault="00B06D29">
      <w:pPr>
        <w:spacing w:after="0" w:line="240" w:lineRule="auto"/>
      </w:pPr>
      <w:r>
        <w:separator/>
      </w:r>
    </w:p>
  </w:footnote>
  <w:footnote w:type="continuationSeparator" w:id="0">
    <w:p w14:paraId="1C1DDC1C" w14:textId="77777777" w:rsidR="00B06D29" w:rsidRDefault="00B06D29">
      <w:pPr>
        <w:spacing w:after="0" w:line="240" w:lineRule="auto"/>
      </w:pPr>
      <w:r>
        <w:continuationSeparator/>
      </w:r>
    </w:p>
  </w:footnote>
  <w:footnote w:id="1">
    <w:p w14:paraId="0000001B" w14:textId="77777777" w:rsidR="00E518FE" w:rsidRDefault="009A49AE">
      <w:pPr>
        <w:spacing w:after="0" w:line="240" w:lineRule="auto"/>
        <w:rPr>
          <w:sz w:val="20"/>
          <w:szCs w:val="20"/>
        </w:rPr>
      </w:pPr>
      <w:r>
        <w:rPr>
          <w:vertAlign w:val="superscript"/>
        </w:rPr>
        <w:footnoteRef/>
      </w:r>
      <w:r>
        <w:rPr>
          <w:sz w:val="18"/>
          <w:szCs w:val="18"/>
        </w:rPr>
        <w:t xml:space="preserve"> Available at: </w:t>
      </w:r>
      <w:hyperlink r:id="rId1">
        <w:r>
          <w:rPr>
            <w:color w:val="0000FF"/>
            <w:sz w:val="18"/>
            <w:szCs w:val="18"/>
            <w:u w:val="single"/>
          </w:rPr>
          <w:t>http://www.interior.gob.es/en/prensa/noticias/-/asset_publisher/GHU8Ap6ztgsg/content/id/2624738</w:t>
        </w:r>
      </w:hyperlink>
    </w:p>
  </w:footnote>
  <w:footnote w:id="2">
    <w:p w14:paraId="0000001C" w14:textId="77777777" w:rsidR="00E518FE" w:rsidRDefault="009A49AE">
      <w:pPr>
        <w:spacing w:after="0" w:line="240" w:lineRule="auto"/>
        <w:rPr>
          <w:sz w:val="18"/>
          <w:szCs w:val="18"/>
        </w:rPr>
      </w:pPr>
      <w:r>
        <w:rPr>
          <w:vertAlign w:val="superscript"/>
        </w:rPr>
        <w:footnoteRef/>
      </w:r>
      <w:r>
        <w:rPr>
          <w:sz w:val="18"/>
          <w:szCs w:val="18"/>
        </w:rPr>
        <w:t xml:space="preserve"> </w:t>
      </w:r>
      <w:r>
        <w:rPr>
          <w:sz w:val="18"/>
          <w:szCs w:val="18"/>
        </w:rPr>
        <w:t xml:space="preserve">Available </w:t>
      </w:r>
      <w:r>
        <w:rPr>
          <w:sz w:val="18"/>
          <w:szCs w:val="18"/>
        </w:rPr>
        <w:t xml:space="preserve">at: </w:t>
      </w:r>
      <w:hyperlink r:id="rId2">
        <w:r>
          <w:rPr>
            <w:color w:val="0000FF"/>
            <w:sz w:val="18"/>
            <w:szCs w:val="18"/>
            <w:u w:val="single"/>
          </w:rPr>
          <w:t>https://www.mjusticia.gob.es/ca/areas-tematicas/oficina-recuperacion-gestion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6D57" w14:textId="77777777" w:rsidR="0076716A" w:rsidRPr="00493B2F" w:rsidRDefault="0076716A" w:rsidP="0076716A">
    <w:pPr>
      <w:pStyle w:val="Header"/>
      <w:rPr>
        <w:b/>
        <w:bCs/>
        <w:lang w:val="en-GB"/>
      </w:rPr>
    </w:pPr>
    <w:r w:rsidRPr="00493B2F">
      <w:rPr>
        <w:b/>
        <w:bCs/>
        <w:noProof/>
        <w:lang w:val="en-GB" w:eastAsia="en-GB"/>
      </w:rPr>
      <w:drawing>
        <wp:anchor distT="0" distB="0" distL="114300" distR="114300" simplePos="0" relativeHeight="251659264" behindDoc="1" locked="0" layoutInCell="1" allowOverlap="1" wp14:anchorId="01BEBF0C" wp14:editId="0DB3E16A">
          <wp:simplePos x="0" y="0"/>
          <wp:positionH relativeFrom="margin">
            <wp:align>left</wp:align>
          </wp:positionH>
          <wp:positionV relativeFrom="paragraph">
            <wp:posOffset>-55880</wp:posOffset>
          </wp:positionV>
          <wp:extent cx="1009650" cy="1109345"/>
          <wp:effectExtent l="0" t="0" r="0" b="0"/>
          <wp:wrapTight wrapText="bothSides">
            <wp:wrapPolygon edited="0">
              <wp:start x="0" y="0"/>
              <wp:lineTo x="0" y="21143"/>
              <wp:lineTo x="21192" y="21143"/>
              <wp:lineTo x="2119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B2F">
      <w:rPr>
        <w:b/>
        <w:bCs/>
        <w:lang w:val="en-GB"/>
      </w:rPr>
      <w:t xml:space="preserve">La Strada International </w:t>
    </w:r>
  </w:p>
  <w:p w14:paraId="6A0D7AF2" w14:textId="77777777" w:rsidR="0076716A" w:rsidRPr="00493B2F" w:rsidRDefault="0076716A" w:rsidP="0076716A">
    <w:pPr>
      <w:pStyle w:val="Header"/>
      <w:rPr>
        <w:b/>
        <w:bCs/>
        <w:lang w:val="en-GB"/>
      </w:rPr>
    </w:pPr>
    <w:r w:rsidRPr="00493B2F">
      <w:rPr>
        <w:b/>
        <w:bCs/>
        <w:lang w:val="en-GB"/>
      </w:rPr>
      <w:t>European NGO Platform against Trafficking in Human Beings</w:t>
    </w:r>
  </w:p>
  <w:p w14:paraId="22328123" w14:textId="77777777" w:rsidR="0076716A" w:rsidRDefault="0076716A" w:rsidP="0076716A">
    <w:pPr>
      <w:pStyle w:val="Header"/>
      <w:rPr>
        <w:lang w:val="en-GB"/>
      </w:rPr>
    </w:pPr>
  </w:p>
  <w:p w14:paraId="0690F2C9" w14:textId="77777777" w:rsidR="0076716A" w:rsidRPr="008B1331" w:rsidRDefault="0076716A" w:rsidP="0076716A">
    <w:pPr>
      <w:pStyle w:val="Header"/>
      <w:jc w:val="both"/>
      <w:rPr>
        <w:lang w:val="en-GB"/>
      </w:rPr>
    </w:pPr>
    <w:r w:rsidRPr="008B1331">
      <w:rPr>
        <w:lang w:val="en-GB"/>
      </w:rPr>
      <w:t>Submission upcoming Report on the role of organised criminal groups with regard to contemporary forms of slavery</w:t>
    </w:r>
    <w:r>
      <w:rPr>
        <w:lang w:val="en-GB"/>
      </w:rPr>
      <w:t xml:space="preserve">, by the </w:t>
    </w:r>
    <w:r w:rsidRPr="008B1331">
      <w:rPr>
        <w:lang w:val="en-GB"/>
      </w:rPr>
      <w:t>UN Special Rapporteur on contemporary forms of slavery, including its causes and consequences</w:t>
    </w:r>
    <w:r>
      <w:rPr>
        <w:lang w:val="en-GB"/>
      </w:rPr>
      <w:t>.</w:t>
    </w:r>
  </w:p>
  <w:p w14:paraId="66B12A88" w14:textId="77777777" w:rsidR="0076716A" w:rsidRPr="0076716A" w:rsidRDefault="0076716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807"/>
    <w:multiLevelType w:val="multilevel"/>
    <w:tmpl w:val="F306D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FE"/>
    <w:rsid w:val="00085183"/>
    <w:rsid w:val="00371ED4"/>
    <w:rsid w:val="00396DBB"/>
    <w:rsid w:val="00482F5D"/>
    <w:rsid w:val="006A021F"/>
    <w:rsid w:val="0076716A"/>
    <w:rsid w:val="00845E41"/>
    <w:rsid w:val="009A49AE"/>
    <w:rsid w:val="00A749B2"/>
    <w:rsid w:val="00B06D29"/>
    <w:rsid w:val="00CF28CD"/>
    <w:rsid w:val="00E51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C899"/>
  <w15:docId w15:val="{0A393539-720C-4372-A0BC-37FE50D0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9355F"/>
    <w:pPr>
      <w:spacing w:before="100" w:beforeAutospacing="1" w:after="100" w:afterAutospacing="1" w:line="240" w:lineRule="auto"/>
      <w:outlineLvl w:val="2"/>
    </w:pPr>
    <w:rPr>
      <w:rFonts w:ascii="Times New Roman" w:eastAsia="Times New Roman" w:hAnsi="Times New Roman" w:cs="Times New Roman"/>
      <w:b/>
      <w:bCs/>
      <w:sz w:val="27"/>
      <w:szCs w:val="27"/>
      <w:lang w:val="de-D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2606F0"/>
    <w:pPr>
      <w:ind w:left="720"/>
      <w:contextualSpacing/>
    </w:pPr>
  </w:style>
  <w:style w:type="paragraph" w:styleId="NormalWeb">
    <w:name w:val="Normal (Web)"/>
    <w:basedOn w:val="Normal"/>
    <w:uiPriority w:val="99"/>
    <w:semiHidden/>
    <w:unhideWhenUsed/>
    <w:rsid w:val="002606F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trong">
    <w:name w:val="Strong"/>
    <w:basedOn w:val="DefaultParagraphFont"/>
    <w:uiPriority w:val="22"/>
    <w:qFormat/>
    <w:rsid w:val="002606F0"/>
    <w:rPr>
      <w:b/>
      <w:bCs/>
    </w:rPr>
  </w:style>
  <w:style w:type="character" w:styleId="Hyperlink">
    <w:name w:val="Hyperlink"/>
    <w:basedOn w:val="DefaultParagraphFont"/>
    <w:uiPriority w:val="99"/>
    <w:unhideWhenUsed/>
    <w:rsid w:val="002606F0"/>
    <w:rPr>
      <w:color w:val="0000FF"/>
      <w:u w:val="single"/>
    </w:rPr>
  </w:style>
  <w:style w:type="character" w:customStyle="1" w:styleId="Heading3Char">
    <w:name w:val="Heading 3 Char"/>
    <w:basedOn w:val="DefaultParagraphFont"/>
    <w:link w:val="Heading3"/>
    <w:uiPriority w:val="9"/>
    <w:rsid w:val="00B9355F"/>
    <w:rPr>
      <w:rFonts w:ascii="Times New Roman" w:eastAsia="Times New Roman" w:hAnsi="Times New Roman" w:cs="Times New Roman"/>
      <w:b/>
      <w:bCs/>
      <w:sz w:val="27"/>
      <w:szCs w:val="27"/>
      <w:lang w:eastAsia="de-DE"/>
    </w:rPr>
  </w:style>
  <w:style w:type="paragraph" w:styleId="FootnoteText">
    <w:name w:val="footnote text"/>
    <w:basedOn w:val="Normal"/>
    <w:link w:val="FootnoteTextChar"/>
    <w:uiPriority w:val="99"/>
    <w:unhideWhenUsed/>
    <w:rsid w:val="00392D2F"/>
    <w:pPr>
      <w:spacing w:after="0" w:line="240" w:lineRule="auto"/>
    </w:pPr>
    <w:rPr>
      <w:sz w:val="20"/>
      <w:szCs w:val="20"/>
    </w:rPr>
  </w:style>
  <w:style w:type="character" w:customStyle="1" w:styleId="FootnoteTextChar">
    <w:name w:val="Footnote Text Char"/>
    <w:basedOn w:val="DefaultParagraphFont"/>
    <w:link w:val="FootnoteText"/>
    <w:uiPriority w:val="99"/>
    <w:rsid w:val="00392D2F"/>
    <w:rPr>
      <w:sz w:val="20"/>
      <w:szCs w:val="20"/>
      <w:lang w:val="ca-ES"/>
    </w:rPr>
  </w:style>
  <w:style w:type="character" w:styleId="FootnoteReference">
    <w:name w:val="footnote reference"/>
    <w:basedOn w:val="DefaultParagraphFont"/>
    <w:uiPriority w:val="99"/>
    <w:semiHidden/>
    <w:unhideWhenUsed/>
    <w:rsid w:val="00392D2F"/>
    <w:rPr>
      <w:vertAlign w:val="superscript"/>
    </w:rPr>
  </w:style>
  <w:style w:type="character" w:customStyle="1" w:styleId="UnresolvedMention">
    <w:name w:val="Unresolved Mention"/>
    <w:basedOn w:val="DefaultParagraphFont"/>
    <w:uiPriority w:val="99"/>
    <w:semiHidden/>
    <w:unhideWhenUsed/>
    <w:rsid w:val="00392D2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71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16A"/>
  </w:style>
  <w:style w:type="paragraph" w:styleId="Footer">
    <w:name w:val="footer"/>
    <w:basedOn w:val="Normal"/>
    <w:link w:val="FooterChar"/>
    <w:uiPriority w:val="99"/>
    <w:unhideWhenUsed/>
    <w:rsid w:val="007671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justicia.gob.es/ca/areas-tematicas/oficina-recuperacion-gestion" TargetMode="External"/><Relationship Id="rId1" Type="http://schemas.openxmlformats.org/officeDocument/2006/relationships/hyperlink" Target="http://www.interior.gob.es/en/prensa/noticias/-/asset_publisher/GHU8Ap6ztgsg/content/id/26247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5BmqZhgMARDo5kcHZWF+9xageQ==">AMUW2mUIMjb4crWKeLgeIdmYFfu6L96pPZdd+p52kfZLnenu+2At5/QBSKF26XEYQ27VAuCTxgIia/imd6ZZWT4ytooNuwvwbhi3l9i5ECzrW2GmlwTLC4e4HYONJ/YF0vyNn7zmwIHH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BAADBF-679B-4015-806B-A20A12331558}"/>
</file>

<file path=customXml/itemProps3.xml><?xml version="1.0" encoding="utf-8"?>
<ds:datastoreItem xmlns:ds="http://schemas.openxmlformats.org/officeDocument/2006/customXml" ds:itemID="{64A4A26C-F612-450D-B2AF-9441F4DF3334}"/>
</file>

<file path=customXml/itemProps4.xml><?xml version="1.0" encoding="utf-8"?>
<ds:datastoreItem xmlns:ds="http://schemas.openxmlformats.org/officeDocument/2006/customXml" ds:itemID="{75ED3311-2C99-4766-A2E9-DE490A44322F}"/>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camacho padilla</dc:creator>
  <cp:lastModifiedBy>Satya Jennings</cp:lastModifiedBy>
  <cp:revision>2</cp:revision>
  <dcterms:created xsi:type="dcterms:W3CDTF">2021-04-19T07:28:00Z</dcterms:created>
  <dcterms:modified xsi:type="dcterms:W3CDTF">2021-04-19T07:28:00Z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