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865" w:rsidRPr="00503612" w:rsidRDefault="002932B6" w:rsidP="00503612">
      <w:pPr>
        <w:spacing w:after="0" w:line="276" w:lineRule="auto"/>
        <w:jc w:val="center"/>
        <w:rPr>
          <w:rFonts w:ascii="Times New Roman" w:hAnsi="Times New Roman" w:cs="Times New Roman"/>
          <w:sz w:val="24"/>
          <w:szCs w:val="24"/>
        </w:rPr>
      </w:pPr>
      <w:bookmarkStart w:id="0" w:name="_GoBack"/>
      <w:bookmarkEnd w:id="0"/>
      <w:r w:rsidRPr="00503612">
        <w:rPr>
          <w:rFonts w:ascii="Times New Roman" w:hAnsi="Times New Roman" w:cs="Times New Roman"/>
          <w:b/>
          <w:sz w:val="28"/>
          <w:szCs w:val="24"/>
        </w:rPr>
        <w:t xml:space="preserve">Contribution of </w:t>
      </w:r>
      <w:r w:rsidR="00FE234A" w:rsidRPr="00503612">
        <w:rPr>
          <w:rFonts w:ascii="Times New Roman" w:hAnsi="Times New Roman" w:cs="Times New Roman"/>
          <w:b/>
          <w:sz w:val="28"/>
          <w:szCs w:val="24"/>
        </w:rPr>
        <w:t>Hungar</w:t>
      </w:r>
      <w:r w:rsidRPr="00503612">
        <w:rPr>
          <w:rFonts w:ascii="Times New Roman" w:hAnsi="Times New Roman" w:cs="Times New Roman"/>
          <w:b/>
          <w:sz w:val="28"/>
          <w:szCs w:val="24"/>
        </w:rPr>
        <w:t>y</w:t>
      </w:r>
      <w:r w:rsidR="00FE234A" w:rsidRPr="00503612">
        <w:rPr>
          <w:rFonts w:ascii="Times New Roman" w:hAnsi="Times New Roman" w:cs="Times New Roman"/>
          <w:b/>
          <w:sz w:val="28"/>
          <w:szCs w:val="24"/>
        </w:rPr>
        <w:t xml:space="preserve"> to the report of the OHCHR</w:t>
      </w:r>
      <w:r w:rsidR="00494B88" w:rsidRPr="00503612">
        <w:rPr>
          <w:rFonts w:ascii="Times New Roman" w:hAnsi="Times New Roman" w:cs="Times New Roman"/>
          <w:b/>
          <w:sz w:val="28"/>
          <w:szCs w:val="24"/>
        </w:rPr>
        <w:t xml:space="preserve"> on</w:t>
      </w:r>
      <w:r w:rsidR="00FE234A" w:rsidRPr="00503612">
        <w:rPr>
          <w:rFonts w:ascii="Times New Roman" w:hAnsi="Times New Roman" w:cs="Times New Roman"/>
          <w:b/>
          <w:sz w:val="28"/>
          <w:szCs w:val="24"/>
        </w:rPr>
        <w:t xml:space="preserve"> </w:t>
      </w:r>
      <w:r w:rsidR="00494B88" w:rsidRPr="00503612">
        <w:rPr>
          <w:rFonts w:ascii="Times New Roman" w:hAnsi="Times New Roman" w:cs="Times New Roman"/>
          <w:b/>
          <w:bCs/>
          <w:iCs/>
          <w:sz w:val="28"/>
          <w:szCs w:val="24"/>
        </w:rPr>
        <w:t>the r</w:t>
      </w:r>
      <w:r w:rsidR="00FE234A" w:rsidRPr="00503612">
        <w:rPr>
          <w:rFonts w:ascii="Times New Roman" w:hAnsi="Times New Roman" w:cs="Times New Roman"/>
          <w:b/>
          <w:bCs/>
          <w:iCs/>
          <w:sz w:val="28"/>
          <w:szCs w:val="24"/>
        </w:rPr>
        <w:t>ole of organized criminal groups with regard t</w:t>
      </w:r>
      <w:r w:rsidR="00494B88" w:rsidRPr="00503612">
        <w:rPr>
          <w:rFonts w:ascii="Times New Roman" w:hAnsi="Times New Roman" w:cs="Times New Roman"/>
          <w:b/>
          <w:bCs/>
          <w:iCs/>
          <w:sz w:val="28"/>
          <w:szCs w:val="24"/>
        </w:rPr>
        <w:t>o contemporary forms of slavery</w:t>
      </w:r>
    </w:p>
    <w:p w:rsidR="00FE234A" w:rsidRPr="00503612" w:rsidRDefault="00FE234A" w:rsidP="00503612">
      <w:pPr>
        <w:spacing w:after="0" w:line="276" w:lineRule="auto"/>
        <w:rPr>
          <w:rFonts w:ascii="Times New Roman" w:hAnsi="Times New Roman" w:cs="Times New Roman"/>
          <w:sz w:val="24"/>
          <w:szCs w:val="24"/>
        </w:rPr>
      </w:pPr>
    </w:p>
    <w:p w:rsidR="004B16A3" w:rsidRPr="00503612" w:rsidRDefault="004B16A3" w:rsidP="00503612">
      <w:pPr>
        <w:autoSpaceDE w:val="0"/>
        <w:autoSpaceDN w:val="0"/>
        <w:adjustRightInd w:val="0"/>
        <w:spacing w:after="0" w:line="276" w:lineRule="auto"/>
        <w:jc w:val="both"/>
        <w:rPr>
          <w:rFonts w:ascii="Times New Roman" w:eastAsia="Calibri" w:hAnsi="Times New Roman" w:cs="Times New Roman"/>
          <w:b/>
          <w:bCs/>
          <w:color w:val="000000"/>
          <w:sz w:val="24"/>
          <w:szCs w:val="24"/>
          <w:u w:val="single"/>
        </w:rPr>
      </w:pPr>
      <w:r w:rsidRPr="00503612">
        <w:rPr>
          <w:rFonts w:ascii="Times New Roman" w:eastAsia="Calibri" w:hAnsi="Times New Roman" w:cs="Times New Roman"/>
          <w:b/>
          <w:color w:val="000000"/>
          <w:sz w:val="24"/>
          <w:szCs w:val="24"/>
          <w:u w:val="single"/>
        </w:rPr>
        <w:t>1)</w:t>
      </w:r>
      <w:r w:rsidR="00D43D06" w:rsidRPr="00503612">
        <w:rPr>
          <w:rFonts w:ascii="Times New Roman" w:eastAsia="Calibri" w:hAnsi="Times New Roman" w:cs="Times New Roman"/>
          <w:b/>
          <w:color w:val="000000"/>
          <w:sz w:val="24"/>
          <w:szCs w:val="24"/>
          <w:u w:val="single"/>
        </w:rPr>
        <w:t xml:space="preserve"> </w:t>
      </w:r>
      <w:r w:rsidR="00D43D06" w:rsidRPr="00503612">
        <w:rPr>
          <w:rFonts w:ascii="Times New Roman" w:eastAsia="Calibri" w:hAnsi="Times New Roman" w:cs="Times New Roman"/>
          <w:b/>
          <w:bCs/>
          <w:color w:val="000000"/>
          <w:sz w:val="24"/>
          <w:szCs w:val="24"/>
          <w:u w:val="single"/>
        </w:rPr>
        <w:t>Types of criminal groups involved in contemporary forms of slavery</w:t>
      </w:r>
      <w:r w:rsidR="00D43D06" w:rsidRPr="00503612">
        <w:rPr>
          <w:rFonts w:ascii="Times New Roman" w:eastAsia="Calibri" w:hAnsi="Times New Roman" w:cs="Times New Roman"/>
          <w:bCs/>
          <w:color w:val="000000"/>
          <w:sz w:val="24"/>
          <w:szCs w:val="24"/>
        </w:rPr>
        <w:t xml:space="preserve"> </w:t>
      </w:r>
      <w:r w:rsidR="00C64291" w:rsidRPr="00503612">
        <w:rPr>
          <w:rFonts w:ascii="Times New Roman" w:eastAsia="Calibri" w:hAnsi="Times New Roman" w:cs="Times New Roman"/>
          <w:bCs/>
          <w:i/>
          <w:color w:val="000000"/>
          <w:sz w:val="24"/>
          <w:szCs w:val="24"/>
        </w:rPr>
        <w:t xml:space="preserve">and </w:t>
      </w:r>
      <w:r w:rsidRPr="00503612">
        <w:rPr>
          <w:rFonts w:ascii="Times New Roman" w:eastAsia="Calibri" w:hAnsi="Times New Roman" w:cs="Times New Roman"/>
          <w:b/>
          <w:bCs/>
          <w:color w:val="000000"/>
          <w:sz w:val="24"/>
          <w:szCs w:val="24"/>
          <w:u w:val="single"/>
        </w:rPr>
        <w:t>2)</w:t>
      </w:r>
      <w:r w:rsidRPr="00503612">
        <w:rPr>
          <w:rFonts w:ascii="Times New Roman" w:hAnsi="Times New Roman" w:cs="Times New Roman"/>
          <w:color w:val="000000"/>
          <w:sz w:val="24"/>
          <w:szCs w:val="24"/>
          <w:u w:val="single"/>
        </w:rPr>
        <w:t xml:space="preserve"> </w:t>
      </w:r>
      <w:r w:rsidRPr="00503612">
        <w:rPr>
          <w:rFonts w:ascii="Times New Roman" w:eastAsia="Calibri" w:hAnsi="Times New Roman" w:cs="Times New Roman"/>
          <w:b/>
          <w:bCs/>
          <w:color w:val="000000"/>
          <w:sz w:val="24"/>
          <w:szCs w:val="24"/>
          <w:u w:val="single"/>
        </w:rPr>
        <w:t xml:space="preserve">The nature and extent of criminal groups’ involvement in contemporary forms of slavery </w:t>
      </w:r>
    </w:p>
    <w:p w:rsidR="004B16A3" w:rsidRPr="00503612" w:rsidRDefault="004B16A3" w:rsidP="00503612">
      <w:pPr>
        <w:autoSpaceDE w:val="0"/>
        <w:autoSpaceDN w:val="0"/>
        <w:adjustRightInd w:val="0"/>
        <w:spacing w:after="0" w:line="276" w:lineRule="auto"/>
        <w:rPr>
          <w:rFonts w:ascii="Times New Roman" w:eastAsia="Calibri" w:hAnsi="Times New Roman" w:cs="Times New Roman"/>
          <w:b/>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Instead of highly organized crime groups or even mafia-like criminality, the presence of smaller criminal conspiracies is more characteristic of human traffickers in Hungary. Usually the perpetrators are loosely connected to each other, based on family ties or similar personal networks. They discuss the details of the crime directly among each other, making it more difficult for the authorities to detect.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Specifically, in case of </w:t>
      </w:r>
      <w:r w:rsidRPr="00503612">
        <w:rPr>
          <w:rFonts w:ascii="Times New Roman" w:eastAsia="Calibri" w:hAnsi="Times New Roman" w:cs="Times New Roman"/>
          <w:b/>
          <w:color w:val="000000"/>
          <w:sz w:val="24"/>
          <w:szCs w:val="24"/>
        </w:rPr>
        <w:t>sexual exploitation</w:t>
      </w:r>
      <w:r w:rsidRPr="00503612">
        <w:rPr>
          <w:rFonts w:ascii="Times New Roman" w:eastAsia="Calibri" w:hAnsi="Times New Roman" w:cs="Times New Roman"/>
          <w:color w:val="000000"/>
          <w:sz w:val="24"/>
          <w:szCs w:val="24"/>
        </w:rPr>
        <w:t xml:space="preserve"> for prostitution the traffickers often recruit girls between the age of 16 and 25 from their own family and living environment, whose personal and financial background they are well aware of.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ED6759"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Concerning labour exploitation, there are different path</w:t>
      </w:r>
      <w:r w:rsidR="00ED6759" w:rsidRPr="00503612">
        <w:rPr>
          <w:rFonts w:ascii="Times New Roman" w:eastAsia="Calibri" w:hAnsi="Times New Roman" w:cs="Times New Roman"/>
          <w:color w:val="000000"/>
          <w:sz w:val="24"/>
          <w:szCs w:val="24"/>
        </w:rPr>
        <w:t>s</w:t>
      </w:r>
      <w:r w:rsidRPr="00503612">
        <w:rPr>
          <w:rFonts w:ascii="Times New Roman" w:eastAsia="Calibri" w:hAnsi="Times New Roman" w:cs="Times New Roman"/>
          <w:color w:val="000000"/>
          <w:sz w:val="24"/>
          <w:szCs w:val="24"/>
        </w:rPr>
        <w:t xml:space="preserve"> of victimization but ultimately these can be divided into two main forms. Those who can easily be persuaded of the benefits of </w:t>
      </w:r>
      <w:r w:rsidRPr="00503612">
        <w:rPr>
          <w:rFonts w:ascii="Times New Roman" w:eastAsia="Calibri" w:hAnsi="Times New Roman" w:cs="Times New Roman"/>
          <w:b/>
          <w:color w:val="000000"/>
          <w:sz w:val="24"/>
          <w:szCs w:val="24"/>
        </w:rPr>
        <w:t>working abroad</w:t>
      </w:r>
      <w:r w:rsidRPr="00503612">
        <w:rPr>
          <w:rFonts w:ascii="Times New Roman" w:eastAsia="Calibri" w:hAnsi="Times New Roman" w:cs="Times New Roman"/>
          <w:color w:val="000000"/>
          <w:sz w:val="24"/>
          <w:szCs w:val="24"/>
        </w:rPr>
        <w:t xml:space="preserve"> (construction, catering, manufacturing) are definitely at risk. The deceptive job offers are typically advertised in newspapers and on the internet; subsequently, when the victim arrives in the destination countries in Western Europe, the conditions of the actual employment greatly differ from what have been promised during the recruitment. Employment contract is not concluded, or the real circumstances are much worse. </w:t>
      </w:r>
    </w:p>
    <w:p w:rsidR="00ED6759" w:rsidRPr="00503612" w:rsidRDefault="00ED6759"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Domestic slavery</w:t>
      </w:r>
      <w:r w:rsidRPr="00503612">
        <w:rPr>
          <w:rFonts w:ascii="Times New Roman" w:eastAsia="Calibri" w:hAnsi="Times New Roman" w:cs="Times New Roman"/>
          <w:color w:val="000000"/>
          <w:sz w:val="24"/>
          <w:szCs w:val="24"/>
        </w:rPr>
        <w:t xml:space="preserve">, however, </w:t>
      </w:r>
      <w:r w:rsidR="00F96AE5" w:rsidRPr="00503612">
        <w:rPr>
          <w:rFonts w:ascii="Times New Roman" w:eastAsia="Calibri" w:hAnsi="Times New Roman" w:cs="Times New Roman"/>
          <w:color w:val="000000"/>
          <w:sz w:val="24"/>
          <w:szCs w:val="24"/>
        </w:rPr>
        <w:t>is a more common problem in Hungary</w:t>
      </w:r>
      <w:r w:rsidRPr="00503612">
        <w:rPr>
          <w:rFonts w:ascii="Times New Roman" w:eastAsia="Calibri" w:hAnsi="Times New Roman" w:cs="Times New Roman"/>
          <w:color w:val="000000"/>
          <w:sz w:val="24"/>
          <w:szCs w:val="24"/>
        </w:rPr>
        <w:t xml:space="preserve">. The offenders usually target and lure unemployed men </w:t>
      </w:r>
      <w:r w:rsidRPr="00503612">
        <w:rPr>
          <w:rFonts w:ascii="Times New Roman" w:eastAsia="Calibri" w:hAnsi="Times New Roman" w:cs="Times New Roman"/>
          <w:bCs/>
          <w:iCs/>
          <w:sz w:val="24"/>
          <w:szCs w:val="24"/>
        </w:rPr>
        <w:t>with daily life struggles and vulnerabilities</w:t>
      </w:r>
      <w:r w:rsidRPr="00503612">
        <w:rPr>
          <w:rFonts w:ascii="Times New Roman" w:eastAsia="Calibri" w:hAnsi="Times New Roman" w:cs="Times New Roman"/>
          <w:color w:val="000000"/>
          <w:sz w:val="24"/>
          <w:szCs w:val="24"/>
        </w:rPr>
        <w:t xml:space="preserve"> (e.g. homelessness, limb deficiency) through personal contacts. The exploitation </w:t>
      </w:r>
      <w:r w:rsidR="00CF0B09" w:rsidRPr="00503612">
        <w:rPr>
          <w:rFonts w:ascii="Times New Roman" w:eastAsia="Calibri" w:hAnsi="Times New Roman" w:cs="Times New Roman"/>
          <w:color w:val="000000"/>
          <w:sz w:val="24"/>
          <w:szCs w:val="24"/>
        </w:rPr>
        <w:t>usually</w:t>
      </w:r>
      <w:r w:rsidRPr="00503612">
        <w:rPr>
          <w:rFonts w:ascii="Times New Roman" w:eastAsia="Calibri" w:hAnsi="Times New Roman" w:cs="Times New Roman"/>
          <w:color w:val="000000"/>
          <w:sz w:val="24"/>
          <w:szCs w:val="24"/>
        </w:rPr>
        <w:t xml:space="preserve"> includes work around the house and in the agriculture, without decent pay, if any, with poor housing conditions and little food.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96AE5"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Forced begging is a form of slavery having both </w:t>
      </w:r>
      <w:r w:rsidR="00FE234A" w:rsidRPr="00503612">
        <w:rPr>
          <w:rFonts w:ascii="Times New Roman" w:eastAsia="Calibri" w:hAnsi="Times New Roman" w:cs="Times New Roman"/>
          <w:color w:val="000000"/>
          <w:sz w:val="24"/>
          <w:szCs w:val="24"/>
        </w:rPr>
        <w:t>domestic and international element</w:t>
      </w:r>
      <w:r w:rsidRPr="00503612">
        <w:rPr>
          <w:rFonts w:ascii="Times New Roman" w:eastAsia="Calibri" w:hAnsi="Times New Roman" w:cs="Times New Roman"/>
          <w:color w:val="000000"/>
          <w:sz w:val="24"/>
          <w:szCs w:val="24"/>
        </w:rPr>
        <w:t>s</w:t>
      </w:r>
      <w:r w:rsidR="00FE234A" w:rsidRPr="00503612">
        <w:rPr>
          <w:rFonts w:ascii="Times New Roman" w:eastAsia="Calibri" w:hAnsi="Times New Roman" w:cs="Times New Roman"/>
          <w:color w:val="000000"/>
          <w:sz w:val="24"/>
          <w:szCs w:val="24"/>
        </w:rPr>
        <w:t xml:space="preserve">. In general, the background of the victims is the same as explained </w:t>
      </w:r>
      <w:r w:rsidR="00CF0B09" w:rsidRPr="00503612">
        <w:rPr>
          <w:rFonts w:ascii="Times New Roman" w:eastAsia="Calibri" w:hAnsi="Times New Roman" w:cs="Times New Roman"/>
          <w:color w:val="000000"/>
          <w:sz w:val="24"/>
          <w:szCs w:val="24"/>
        </w:rPr>
        <w:t>above</w:t>
      </w:r>
      <w:r w:rsidR="00AF7498" w:rsidRPr="00503612">
        <w:rPr>
          <w:rFonts w:ascii="Times New Roman" w:eastAsia="Calibri" w:hAnsi="Times New Roman" w:cs="Times New Roman"/>
          <w:color w:val="000000"/>
          <w:sz w:val="24"/>
          <w:szCs w:val="24"/>
        </w:rPr>
        <w:t xml:space="preserve"> </w:t>
      </w:r>
      <w:r w:rsidR="00FE234A" w:rsidRPr="00503612">
        <w:rPr>
          <w:rFonts w:ascii="Times New Roman" w:eastAsia="Calibri" w:hAnsi="Times New Roman" w:cs="Times New Roman"/>
          <w:color w:val="000000"/>
          <w:sz w:val="24"/>
          <w:szCs w:val="24"/>
        </w:rPr>
        <w:t xml:space="preserve">(homeless and disabled people), but they are transported abroad on a regular basis in hope of higher income (though border restrictions of the past one year have decreased </w:t>
      </w:r>
      <w:r w:rsidRPr="00503612">
        <w:rPr>
          <w:rFonts w:ascii="Times New Roman" w:eastAsia="Calibri" w:hAnsi="Times New Roman" w:cs="Times New Roman"/>
          <w:color w:val="000000"/>
          <w:sz w:val="24"/>
          <w:szCs w:val="24"/>
        </w:rPr>
        <w:t xml:space="preserve">such </w:t>
      </w:r>
      <w:r w:rsidR="00FE234A" w:rsidRPr="00503612">
        <w:rPr>
          <w:rFonts w:ascii="Times New Roman" w:eastAsia="Calibri" w:hAnsi="Times New Roman" w:cs="Times New Roman"/>
          <w:color w:val="000000"/>
          <w:sz w:val="24"/>
          <w:szCs w:val="24"/>
        </w:rPr>
        <w:t>movements).</w:t>
      </w:r>
    </w:p>
    <w:p w:rsidR="00CF0B09" w:rsidRPr="00503612" w:rsidRDefault="00CF0B09"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Victims of modern slavery are less likely to come forward, seek assistance and testify for fear of retaliation by the perpetrators, making victim identification and criminal proceedings more challenging. In many cases the traffickers indeed attempt to intimidate or influence in any other way the victims/ witnesses of the criminal proceedings. Therefore, once a human trafficking case is detected, the investigative authorities are strongly in favour of placing the suspects under arrest in penitentiary institution rather than the more lenient coercive measures restricting personal freedom (e.g. restraining order, criminal supervision).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lastRenderedPageBreak/>
        <w:t xml:space="preserve">Since sexual and labour exploitation of Hungarian victims may both take place abroad, we attach great significance to international cooperation. In complex cases of trafficking in human beings the Hungarian authorities prefer </w:t>
      </w:r>
      <w:r w:rsidRPr="00503612">
        <w:rPr>
          <w:rFonts w:ascii="Times New Roman" w:eastAsia="Calibri" w:hAnsi="Times New Roman" w:cs="Times New Roman"/>
          <w:b/>
          <w:color w:val="000000"/>
          <w:sz w:val="24"/>
          <w:szCs w:val="24"/>
        </w:rPr>
        <w:t>joint investigation teams</w:t>
      </w:r>
      <w:r w:rsidRPr="00503612">
        <w:rPr>
          <w:rFonts w:ascii="Times New Roman" w:eastAsia="Calibri" w:hAnsi="Times New Roman" w:cs="Times New Roman"/>
          <w:color w:val="000000"/>
          <w:sz w:val="24"/>
          <w:szCs w:val="24"/>
        </w:rPr>
        <w:t xml:space="preserve"> (JIT) as a faster, closer and more flexible cooperation to the traditional tools of Mutual Legal Assistance (MLA) or European Investigation Orders (EIO). While JITs allow common investigative goals to be established, if the cooperation is limited, for instance, to the issuing of EIOs, there is a risk that those criminal activities not known about in the issuing country escape prosecution and in general, it is difficult to keep pace with the traffickers this way. In the course of the past years, the Hungarian Police participated in several JITs with the foreign law enforcement agencies, the latest one of which was set up in October 2020 with the Germany and Romania.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Times New Roman" w:hAnsi="Times New Roman" w:cs="Times New Roman"/>
          <w:sz w:val="24"/>
          <w:szCs w:val="24"/>
          <w:lang w:eastAsia="fi-FI"/>
        </w:rPr>
        <w:t xml:space="preserve">Another direction of action is the establishment of </w:t>
      </w:r>
      <w:r w:rsidRPr="00503612">
        <w:rPr>
          <w:rFonts w:ascii="Times New Roman" w:eastAsia="Times New Roman" w:hAnsi="Times New Roman" w:cs="Times New Roman"/>
          <w:b/>
          <w:sz w:val="24"/>
          <w:szCs w:val="24"/>
          <w:lang w:eastAsia="fi-FI"/>
        </w:rPr>
        <w:t>transnational referral mechanisms</w:t>
      </w:r>
      <w:r w:rsidRPr="00503612">
        <w:rPr>
          <w:rFonts w:ascii="Times New Roman" w:eastAsia="Times New Roman" w:hAnsi="Times New Roman" w:cs="Times New Roman"/>
          <w:sz w:val="24"/>
          <w:szCs w:val="24"/>
          <w:lang w:eastAsia="fi-FI"/>
        </w:rPr>
        <w:t xml:space="preserve">. In the past few years, such cooperation frameworks were set up </w:t>
      </w:r>
      <w:r w:rsidR="00F96AE5" w:rsidRPr="00503612">
        <w:rPr>
          <w:rFonts w:ascii="Times New Roman" w:eastAsia="Times New Roman" w:hAnsi="Times New Roman" w:cs="Times New Roman"/>
          <w:sz w:val="24"/>
          <w:szCs w:val="24"/>
          <w:lang w:eastAsia="fi-FI"/>
        </w:rPr>
        <w:t>with the Netherlands, Belgium and Switzerland</w:t>
      </w:r>
      <w:r w:rsidRPr="00503612">
        <w:rPr>
          <w:rFonts w:ascii="Times New Roman" w:eastAsia="Times New Roman" w:hAnsi="Times New Roman" w:cs="Times New Roman"/>
          <w:sz w:val="24"/>
          <w:szCs w:val="24"/>
          <w:lang w:eastAsia="fi-FI"/>
        </w:rPr>
        <w:t xml:space="preserve">, creating a robust network of the Hungarian and foreign actors that can facilitate prevention activities, early warning </w:t>
      </w:r>
      <w:r w:rsidR="00F96AE5" w:rsidRPr="00503612">
        <w:rPr>
          <w:rFonts w:ascii="Times New Roman" w:eastAsia="Times New Roman" w:hAnsi="Times New Roman" w:cs="Times New Roman"/>
          <w:sz w:val="24"/>
          <w:szCs w:val="24"/>
          <w:lang w:eastAsia="fi-FI"/>
        </w:rPr>
        <w:t xml:space="preserve">as well as </w:t>
      </w:r>
      <w:r w:rsidRPr="00503612">
        <w:rPr>
          <w:rFonts w:ascii="Times New Roman" w:eastAsia="Times New Roman" w:hAnsi="Times New Roman" w:cs="Times New Roman"/>
          <w:sz w:val="24"/>
          <w:szCs w:val="24"/>
          <w:lang w:eastAsia="fi-FI"/>
        </w:rPr>
        <w:t xml:space="preserve">victim referral.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Times New Roman" w:hAnsi="Times New Roman" w:cs="Times New Roman"/>
          <w:sz w:val="24"/>
          <w:szCs w:val="24"/>
          <w:lang w:eastAsia="fi-FI"/>
        </w:rPr>
        <w:t xml:space="preserve">The soon-to-open </w:t>
      </w:r>
      <w:r w:rsidRPr="00503612">
        <w:rPr>
          <w:rFonts w:ascii="Times New Roman" w:eastAsia="Times New Roman" w:hAnsi="Times New Roman" w:cs="Times New Roman"/>
          <w:b/>
          <w:sz w:val="24"/>
          <w:szCs w:val="24"/>
          <w:lang w:eastAsia="fi-FI"/>
        </w:rPr>
        <w:t>anti-trafficking research center</w:t>
      </w:r>
      <w:r w:rsidRPr="00503612">
        <w:rPr>
          <w:rFonts w:ascii="Times New Roman" w:eastAsia="Times New Roman" w:hAnsi="Times New Roman" w:cs="Times New Roman"/>
          <w:sz w:val="24"/>
          <w:szCs w:val="24"/>
          <w:lang w:eastAsia="fi-FI"/>
        </w:rPr>
        <w:t xml:space="preserve"> at University of Pécs is also worth mentioning in the context of international relations. It will be established in </w:t>
      </w:r>
      <w:r w:rsidR="005A3802" w:rsidRPr="00503612">
        <w:rPr>
          <w:rFonts w:ascii="Times New Roman" w:eastAsia="Times New Roman" w:hAnsi="Times New Roman" w:cs="Times New Roman"/>
          <w:sz w:val="24"/>
          <w:szCs w:val="24"/>
          <w:lang w:eastAsia="fi-FI"/>
        </w:rPr>
        <w:t xml:space="preserve">a </w:t>
      </w:r>
      <w:r w:rsidRPr="00503612">
        <w:rPr>
          <w:rFonts w:ascii="Times New Roman" w:eastAsia="Times New Roman" w:hAnsi="Times New Roman" w:cs="Times New Roman"/>
          <w:sz w:val="24"/>
          <w:szCs w:val="24"/>
          <w:lang w:eastAsia="fi-FI"/>
        </w:rPr>
        <w:t xml:space="preserve">joint effort </w:t>
      </w:r>
      <w:r w:rsidR="005A3802" w:rsidRPr="00503612">
        <w:rPr>
          <w:rFonts w:ascii="Times New Roman" w:eastAsia="Times New Roman" w:hAnsi="Times New Roman" w:cs="Times New Roman"/>
          <w:sz w:val="24"/>
          <w:szCs w:val="24"/>
          <w:lang w:eastAsia="fi-FI"/>
        </w:rPr>
        <w:t xml:space="preserve">by </w:t>
      </w:r>
      <w:r w:rsidRPr="00503612">
        <w:rPr>
          <w:rFonts w:ascii="Times New Roman" w:eastAsia="Times New Roman" w:hAnsi="Times New Roman" w:cs="Times New Roman"/>
          <w:sz w:val="24"/>
          <w:szCs w:val="24"/>
          <w:lang w:eastAsia="fi-FI"/>
        </w:rPr>
        <w:t>The Netherlands and Hungary raising the well-functioning police cooperation to a scientific level. In March 2021</w:t>
      </w:r>
      <w:r w:rsidR="00417E0B" w:rsidRPr="00503612">
        <w:rPr>
          <w:rFonts w:ascii="Times New Roman" w:eastAsia="Times New Roman" w:hAnsi="Times New Roman" w:cs="Times New Roman"/>
          <w:sz w:val="24"/>
          <w:szCs w:val="24"/>
          <w:lang w:eastAsia="fi-FI"/>
        </w:rPr>
        <w:t>,</w:t>
      </w:r>
      <w:r w:rsidRPr="00503612">
        <w:rPr>
          <w:rFonts w:ascii="Times New Roman" w:eastAsia="Times New Roman" w:hAnsi="Times New Roman" w:cs="Times New Roman"/>
          <w:sz w:val="24"/>
          <w:szCs w:val="24"/>
          <w:lang w:eastAsia="fi-FI"/>
        </w:rPr>
        <w:t xml:space="preserve"> the ambassadors of the two countries have signed a letter of intent for this purpose. </w:t>
      </w:r>
    </w:p>
    <w:p w:rsidR="00FE234A" w:rsidRPr="00503612" w:rsidRDefault="00FE234A" w:rsidP="00503612">
      <w:pPr>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b/>
          <w:color w:val="000000"/>
          <w:sz w:val="24"/>
          <w:szCs w:val="24"/>
          <w:u w:val="single"/>
        </w:rPr>
      </w:pPr>
      <w:r w:rsidRPr="00503612">
        <w:rPr>
          <w:rFonts w:ascii="Times New Roman" w:eastAsia="Times New Roman" w:hAnsi="Times New Roman" w:cs="Times New Roman"/>
          <w:b/>
          <w:sz w:val="24"/>
          <w:szCs w:val="24"/>
          <w:u w:val="single"/>
          <w:lang w:eastAsia="fi-FI"/>
        </w:rPr>
        <w:t xml:space="preserve">3) </w:t>
      </w:r>
      <w:r w:rsidRPr="00503612">
        <w:rPr>
          <w:rFonts w:ascii="Times New Roman" w:eastAsia="Calibri" w:hAnsi="Times New Roman" w:cs="Times New Roman"/>
          <w:b/>
          <w:color w:val="000000"/>
          <w:sz w:val="24"/>
          <w:szCs w:val="24"/>
          <w:u w:val="single"/>
        </w:rPr>
        <w:t xml:space="preserve">Legislative </w:t>
      </w:r>
      <w:r w:rsidR="00376878" w:rsidRPr="00503612">
        <w:rPr>
          <w:rFonts w:ascii="Times New Roman" w:eastAsia="Calibri" w:hAnsi="Times New Roman" w:cs="Times New Roman"/>
          <w:b/>
          <w:color w:val="000000"/>
          <w:sz w:val="24"/>
          <w:szCs w:val="24"/>
          <w:u w:val="single"/>
        </w:rPr>
        <w:t>f</w:t>
      </w:r>
      <w:r w:rsidRPr="00503612">
        <w:rPr>
          <w:rFonts w:ascii="Times New Roman" w:eastAsia="Calibri" w:hAnsi="Times New Roman" w:cs="Times New Roman"/>
          <w:b/>
          <w:color w:val="000000"/>
          <w:sz w:val="24"/>
          <w:szCs w:val="24"/>
          <w:u w:val="single"/>
        </w:rPr>
        <w:t xml:space="preserve">rameworks </w:t>
      </w:r>
    </w:p>
    <w:p w:rsidR="00C8063C" w:rsidRPr="00503612" w:rsidRDefault="00C8063C" w:rsidP="00503612">
      <w:pPr>
        <w:suppressAutoHyphens/>
        <w:autoSpaceDE w:val="0"/>
        <w:autoSpaceDN w:val="0"/>
        <w:adjustRightInd w:val="0"/>
        <w:spacing w:after="0" w:line="276" w:lineRule="auto"/>
        <w:rPr>
          <w:rFonts w:ascii="Times New Roman" w:eastAsia="Calibri" w:hAnsi="Times New Roman" w:cs="Times New Roman"/>
          <w:color w:val="000000"/>
          <w:sz w:val="24"/>
          <w:szCs w:val="24"/>
          <w:highlight w:val="lightGray"/>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a)</w:t>
      </w:r>
      <w:r w:rsidRPr="00503612">
        <w:rPr>
          <w:rFonts w:ascii="Times New Roman" w:eastAsia="Calibri" w:hAnsi="Times New Roman" w:cs="Times New Roman"/>
          <w:color w:val="000000"/>
          <w:sz w:val="24"/>
          <w:szCs w:val="24"/>
        </w:rPr>
        <w:t xml:space="preserve"> </w:t>
      </w:r>
      <w:r w:rsidR="00C8063C" w:rsidRPr="00503612">
        <w:rPr>
          <w:rFonts w:ascii="Times New Roman" w:eastAsia="Calibri" w:hAnsi="Times New Roman" w:cs="Times New Roman"/>
          <w:color w:val="000000"/>
          <w:sz w:val="24"/>
          <w:szCs w:val="24"/>
        </w:rPr>
        <w:t xml:space="preserve"> </w:t>
      </w:r>
      <w:r w:rsidRPr="00503612">
        <w:rPr>
          <w:rFonts w:ascii="Times New Roman" w:eastAsia="Calibri" w:hAnsi="Times New Roman" w:cs="Times New Roman"/>
          <w:color w:val="000000"/>
          <w:sz w:val="24"/>
          <w:szCs w:val="24"/>
        </w:rPr>
        <w:t>Yes, most importantly, the provisions on the sentencing of Act C of 2012 on the Criminal Code (from now on: Criminal Code</w:t>
      </w:r>
      <w:r w:rsidRPr="00503612">
        <w:rPr>
          <w:rFonts w:ascii="Times New Roman" w:eastAsia="Calibri" w:hAnsi="Times New Roman" w:cs="Times New Roman"/>
          <w:color w:val="000000"/>
          <w:sz w:val="24"/>
          <w:szCs w:val="24"/>
          <w:vertAlign w:val="superscript"/>
        </w:rPr>
        <w:footnoteReference w:id="1"/>
      </w:r>
      <w:r w:rsidRPr="00503612">
        <w:rPr>
          <w:rFonts w:ascii="Times New Roman" w:eastAsia="Calibri" w:hAnsi="Times New Roman" w:cs="Times New Roman"/>
          <w:color w:val="000000"/>
          <w:sz w:val="24"/>
          <w:szCs w:val="24"/>
        </w:rPr>
        <w:t>) have a special rule, thus, „</w:t>
      </w:r>
      <w:r w:rsidRPr="00503612">
        <w:rPr>
          <w:rFonts w:ascii="Times New Roman" w:eastAsia="Calibri" w:hAnsi="Times New Roman" w:cs="Times New Roman"/>
          <w:b/>
          <w:i/>
          <w:color w:val="000000"/>
          <w:sz w:val="24"/>
          <w:szCs w:val="24"/>
        </w:rPr>
        <w:t>if a person committed an intentional criminal offence in a criminal</w:t>
      </w:r>
      <w:r w:rsidRPr="00503612">
        <w:rPr>
          <w:rFonts w:ascii="Times New Roman" w:eastAsia="Calibri" w:hAnsi="Times New Roman" w:cs="Times New Roman"/>
          <w:b/>
          <w:color w:val="000000"/>
          <w:sz w:val="24"/>
          <w:szCs w:val="24"/>
        </w:rPr>
        <w:t xml:space="preserve"> </w:t>
      </w:r>
      <w:r w:rsidRPr="00503612">
        <w:rPr>
          <w:rFonts w:ascii="Times New Roman" w:eastAsia="Calibri" w:hAnsi="Times New Roman" w:cs="Times New Roman"/>
          <w:b/>
          <w:i/>
          <w:color w:val="000000"/>
          <w:sz w:val="24"/>
          <w:szCs w:val="24"/>
        </w:rPr>
        <w:t>organisation, the maximum of the penalty range applicable to the criminal offence shall be</w:t>
      </w:r>
      <w:r w:rsidRPr="00503612">
        <w:rPr>
          <w:rFonts w:ascii="Times New Roman" w:eastAsia="Calibri" w:hAnsi="Times New Roman" w:cs="Times New Roman"/>
          <w:b/>
          <w:color w:val="000000"/>
          <w:sz w:val="24"/>
          <w:szCs w:val="24"/>
        </w:rPr>
        <w:t xml:space="preserve"> </w:t>
      </w:r>
      <w:r w:rsidRPr="00503612">
        <w:rPr>
          <w:rFonts w:ascii="Times New Roman" w:eastAsia="Calibri" w:hAnsi="Times New Roman" w:cs="Times New Roman"/>
          <w:b/>
          <w:i/>
          <w:color w:val="000000"/>
          <w:sz w:val="24"/>
          <w:szCs w:val="24"/>
        </w:rPr>
        <w:t>doubled, but it shall not exceed twenty-five years</w:t>
      </w:r>
      <w:r w:rsidRPr="00503612">
        <w:rPr>
          <w:rFonts w:ascii="Times New Roman" w:eastAsia="Calibri" w:hAnsi="Times New Roman" w:cs="Times New Roman"/>
          <w:i/>
          <w:color w:val="000000"/>
          <w:sz w:val="24"/>
          <w:szCs w:val="24"/>
        </w:rPr>
        <w:t xml:space="preserve">”[section 91 (1)]. </w:t>
      </w:r>
      <w:r w:rsidRPr="00503612">
        <w:rPr>
          <w:rFonts w:ascii="Times New Roman" w:eastAsia="Calibri" w:hAnsi="Times New Roman" w:cs="Times New Roman"/>
          <w:color w:val="000000"/>
          <w:sz w:val="24"/>
          <w:szCs w:val="24"/>
        </w:rPr>
        <w:t xml:space="preserve">The Criminal Code defines an organised group as </w:t>
      </w:r>
      <w:r w:rsidRPr="00503612">
        <w:rPr>
          <w:rFonts w:ascii="Times New Roman" w:eastAsia="Calibri" w:hAnsi="Times New Roman" w:cs="Times New Roman"/>
          <w:sz w:val="24"/>
          <w:szCs w:val="24"/>
        </w:rPr>
        <w:t>„</w:t>
      </w:r>
      <w:r w:rsidRPr="00503612">
        <w:rPr>
          <w:rFonts w:ascii="Times New Roman" w:eastAsia="Calibri" w:hAnsi="Times New Roman" w:cs="Times New Roman"/>
          <w:b/>
          <w:i/>
          <w:color w:val="000000"/>
          <w:sz w:val="24"/>
          <w:szCs w:val="24"/>
        </w:rPr>
        <w:t>a criminal organisation</w:t>
      </w:r>
      <w:r w:rsidRPr="00503612">
        <w:rPr>
          <w:rFonts w:ascii="Times New Roman" w:eastAsia="Calibri" w:hAnsi="Times New Roman" w:cs="Times New Roman"/>
          <w:i/>
          <w:color w:val="000000"/>
          <w:sz w:val="24"/>
          <w:szCs w:val="24"/>
        </w:rPr>
        <w:t xml:space="preserve"> means a group that consists of at least three persons, is established for a longer period of time, is organised hierarchically and operates in a conspiratorial manner with the aim to commit intentional criminal offences punishable by at least five years of imprisonment” </w:t>
      </w:r>
      <w:r w:rsidRPr="00503612">
        <w:rPr>
          <w:rFonts w:ascii="Times New Roman" w:eastAsia="Calibri" w:hAnsi="Times New Roman" w:cs="Times New Roman"/>
          <w:color w:val="000000"/>
          <w:sz w:val="24"/>
          <w:szCs w:val="24"/>
        </w:rPr>
        <w:t>(section 459 1.).</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i/>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penalty range means the minimum and maximum penalty prescribed for every criminal offence by the Special Part of the Criminal Code. This sentencing principle can be used regarding every criminal offence. The twenty-five years of imprisonment is an ultimate maximum; it can never be exceeded. This means that the perpetrators can anticipate a punishment up</w:t>
      </w:r>
      <w:r w:rsidR="00C8063C" w:rsidRPr="00503612">
        <w:rPr>
          <w:rFonts w:ascii="Times New Roman" w:eastAsia="Calibri" w:hAnsi="Times New Roman" w:cs="Times New Roman"/>
          <w:color w:val="000000"/>
          <w:sz w:val="24"/>
          <w:szCs w:val="24"/>
        </w:rPr>
        <w:t xml:space="preserve"> </w:t>
      </w:r>
      <w:r w:rsidRPr="00503612">
        <w:rPr>
          <w:rFonts w:ascii="Times New Roman" w:eastAsia="Calibri" w:hAnsi="Times New Roman" w:cs="Times New Roman"/>
          <w:color w:val="000000"/>
          <w:sz w:val="24"/>
          <w:szCs w:val="24"/>
        </w:rPr>
        <w:t>to ten years of imprisonment in the best-case scenario.</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i/>
          <w:sz w:val="24"/>
          <w:szCs w:val="24"/>
        </w:rPr>
      </w:pPr>
      <w:r w:rsidRPr="00503612">
        <w:rPr>
          <w:rFonts w:ascii="Times New Roman" w:eastAsia="Calibri" w:hAnsi="Times New Roman" w:cs="Times New Roman"/>
          <w:color w:val="000000"/>
          <w:sz w:val="24"/>
          <w:szCs w:val="24"/>
        </w:rPr>
        <w:t xml:space="preserve">We also have to mention that there is a special rule regarding concurrent sentencing. Thus, when </w:t>
      </w:r>
      <w:r w:rsidRPr="00503612">
        <w:rPr>
          <w:rFonts w:ascii="Times New Roman" w:eastAsia="Times New Roman" w:hAnsi="Times New Roman" w:cs="Times New Roman"/>
          <w:sz w:val="24"/>
          <w:szCs w:val="24"/>
          <w:lang w:eastAsia="en-GB"/>
        </w:rPr>
        <w:t xml:space="preserve">the same perpetrator committed several criminal offences that are adjudicated in one </w:t>
      </w:r>
      <w:r w:rsidRPr="00503612">
        <w:rPr>
          <w:rFonts w:ascii="Times New Roman" w:eastAsia="Times New Roman" w:hAnsi="Times New Roman" w:cs="Times New Roman"/>
          <w:sz w:val="24"/>
          <w:szCs w:val="24"/>
          <w:lang w:eastAsia="en-GB"/>
        </w:rPr>
        <w:lastRenderedPageBreak/>
        <w:t>criminal proceeding, one judgment is delivered for all the offences. In this case, the application of section 91 shall precede the provisions on concurrent sentencing, which means that the concurrent sentence shall be imposed based on the increased penalty range determined under section 91. [section 81 (4)]</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Besides, if a person committed a criminal offence in a criminal organisation, a ban on entering certain areas shall also be ordered. [section 91 (2)] This means that a ban on entering areas shall be imposed when the legal conditions, therefore (section 57) are met, and the perpetrator committed such a criminal offence, in case of which ban on entering areas can be imposed, in a criminal organisation.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C8063C"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There are </w:t>
      </w:r>
      <w:r w:rsidRPr="00503612">
        <w:rPr>
          <w:rFonts w:ascii="Times New Roman" w:eastAsia="Calibri" w:hAnsi="Times New Roman" w:cs="Times New Roman"/>
          <w:b/>
          <w:color w:val="000000"/>
          <w:sz w:val="24"/>
          <w:szCs w:val="24"/>
        </w:rPr>
        <w:t xml:space="preserve">other detrimental legal consequences </w:t>
      </w:r>
      <w:r w:rsidRPr="00503612">
        <w:rPr>
          <w:rFonts w:ascii="Times New Roman" w:eastAsia="Calibri" w:hAnsi="Times New Roman" w:cs="Times New Roman"/>
          <w:color w:val="000000"/>
          <w:sz w:val="24"/>
          <w:szCs w:val="24"/>
        </w:rPr>
        <w:t>for persons who had committed a criminal offence in a criminal organisation, including:</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active repentance cannot be applied [section 29 (3) 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the general maximum of fixed-term imprisonment is 25 years (section 36),</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the imprisonment of two years or more shall be enforced in a high-security penal institution [section 37 (3) bb)],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in the case of fixed-term imprisonment, parole cannot be granted [section 38 (4) c)],</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in case of life imprisonment, parole cannot be granted if the perpetrator committed any of the criminal offences listed under section 44 (1) in a criminal organisation [section 44 (2) 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a person who committed the criminal offence in a criminal organisation cannot be exempted from permanent disqualification from a profession [section 53 (4)],</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the person cannot be released on probation [section 65 (2) 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reparation work cannot be imposed on the person [section 67 (2) 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confiscation cannot be omitted [section 73 b)],</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unless provided otherwise, assets obtained by the perpetrator during the period of participating in a criminal organisation shall be deemed assets to subject to forfeiture of assets [section 74/A (1) a)] and</w:t>
      </w:r>
    </w:p>
    <w:p w:rsidR="00FE234A" w:rsidRPr="00503612" w:rsidRDefault="00FE234A" w:rsidP="00503612">
      <w:pPr>
        <w:numPr>
          <w:ilvl w:val="0"/>
          <w:numId w:val="1"/>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the enforcement of a sentence of imprisonment cannot be suspended [section 89 (1) b)].</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Moreover, participation in a criminal organisation (section 321) is a criminal offence</w:t>
      </w:r>
      <w:r w:rsidR="00417E0B" w:rsidRPr="00503612">
        <w:rPr>
          <w:rFonts w:ascii="Times New Roman" w:eastAsia="Calibri" w:hAnsi="Times New Roman" w:cs="Times New Roman"/>
          <w:color w:val="000000"/>
          <w:sz w:val="24"/>
          <w:szCs w:val="24"/>
        </w:rPr>
        <w:t xml:space="preserve"> itself</w:t>
      </w:r>
      <w:r w:rsidRPr="00503612">
        <w:rPr>
          <w:rFonts w:ascii="Times New Roman" w:eastAsia="Calibri" w:hAnsi="Times New Roman" w:cs="Times New Roman"/>
          <w:color w:val="000000"/>
          <w:sz w:val="24"/>
          <w:szCs w:val="24"/>
        </w:rPr>
        <w:t>, and it renders punishable the following acts concerning organised activities:</w:t>
      </w:r>
    </w:p>
    <w:p w:rsidR="00FE234A" w:rsidRPr="00503612" w:rsidRDefault="00FE234A" w:rsidP="00503612">
      <w:pPr>
        <w:numPr>
          <w:ilvl w:val="0"/>
          <w:numId w:val="2"/>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inviting to commit,</w:t>
      </w:r>
    </w:p>
    <w:p w:rsidR="00FE234A" w:rsidRPr="00503612" w:rsidRDefault="00FE234A" w:rsidP="00503612">
      <w:pPr>
        <w:numPr>
          <w:ilvl w:val="0"/>
          <w:numId w:val="2"/>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offering to commit,</w:t>
      </w:r>
    </w:p>
    <w:p w:rsidR="00FE234A" w:rsidRPr="00503612" w:rsidRDefault="00FE234A" w:rsidP="00503612">
      <w:pPr>
        <w:numPr>
          <w:ilvl w:val="0"/>
          <w:numId w:val="2"/>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undertaking to commit,</w:t>
      </w:r>
    </w:p>
    <w:p w:rsidR="00FE234A" w:rsidRPr="00503612" w:rsidRDefault="00FE234A" w:rsidP="00503612">
      <w:pPr>
        <w:numPr>
          <w:ilvl w:val="0"/>
          <w:numId w:val="2"/>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agreeing to commit jointly</w:t>
      </w:r>
      <w:r w:rsidR="00417E0B" w:rsidRPr="00503612">
        <w:rPr>
          <w:rFonts w:ascii="Times New Roman" w:eastAsia="Calibri" w:hAnsi="Times New Roman" w:cs="Times New Roman"/>
          <w:color w:val="000000"/>
          <w:sz w:val="24"/>
          <w:szCs w:val="24"/>
        </w:rPr>
        <w:t xml:space="preserve"> </w:t>
      </w:r>
      <w:r w:rsidR="00417E0B" w:rsidRPr="00503612">
        <w:rPr>
          <w:rFonts w:ascii="Times New Roman" w:eastAsia="Times New Roman" w:hAnsi="Times New Roman" w:cs="Times New Roman"/>
          <w:color w:val="000000"/>
          <w:sz w:val="24"/>
          <w:szCs w:val="24"/>
        </w:rPr>
        <w:t>a criminal offence in a criminal organisation;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numPr>
          <w:ilvl w:val="0"/>
          <w:numId w:val="2"/>
        </w:numPr>
        <w:suppressAutoHyphens/>
        <w:autoSpaceDE w:val="0"/>
        <w:autoSpaceDN w:val="0"/>
        <w:adjustRightInd w:val="0"/>
        <w:spacing w:after="0" w:line="276" w:lineRule="auto"/>
        <w:contextualSpacing/>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providing the conditions necessary for or facilitating the commission of a criminal offence in a criminal organisation.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b)</w:t>
      </w:r>
      <w:r w:rsidRPr="00503612">
        <w:rPr>
          <w:rFonts w:ascii="Times New Roman" w:eastAsia="Calibri" w:hAnsi="Times New Roman" w:cs="Times New Roman"/>
          <w:color w:val="000000"/>
          <w:sz w:val="24"/>
          <w:szCs w:val="24"/>
        </w:rPr>
        <w:t xml:space="preserve"> Yes, but in a general way, as it is described above. Section 91 (1) can be applied regarding all contemporary forms of slavery.</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lastRenderedPageBreak/>
        <w:t>c)</w:t>
      </w:r>
      <w:r w:rsidRPr="00503612">
        <w:rPr>
          <w:rFonts w:ascii="Times New Roman" w:eastAsia="Calibri" w:hAnsi="Times New Roman" w:cs="Times New Roman"/>
          <w:color w:val="000000"/>
          <w:sz w:val="24"/>
          <w:szCs w:val="24"/>
        </w:rPr>
        <w:t xml:space="preserve"> Yes, Part Six (Section 214-260) of Act XC of 2017 on the criminal procedure (from now on: CCP) lays down the detailed rules of covert means. </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According to Section 214(4) of CCP, the following covert means may be used in a criminal proceeding:</w:t>
      </w:r>
    </w:p>
    <w:p w:rsidR="00C8063C" w:rsidRPr="00503612" w:rsidRDefault="00C8063C"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numPr>
          <w:ilvl w:val="0"/>
          <w:numId w:val="3"/>
        </w:numPr>
        <w:suppressAutoHyphens/>
        <w:autoSpaceDE w:val="0"/>
        <w:autoSpaceDN w:val="0"/>
        <w:adjustRightInd w:val="0"/>
        <w:spacing w:after="0" w:line="276" w:lineRule="auto"/>
        <w:ind w:left="360"/>
        <w:jc w:val="both"/>
        <w:rPr>
          <w:rFonts w:ascii="Times New Roman" w:eastAsia="Calibri" w:hAnsi="Times New Roman" w:cs="Times New Roman"/>
          <w:color w:val="000000"/>
          <w:sz w:val="24"/>
          <w:szCs w:val="24"/>
        </w:rPr>
      </w:pPr>
      <w:r w:rsidRPr="00503612">
        <w:rPr>
          <w:rFonts w:ascii="Times New Roman" w:eastAsia="Calibri" w:hAnsi="Times New Roman" w:cs="Times New Roman"/>
          <w:b/>
          <w:bCs/>
          <w:color w:val="000000"/>
          <w:sz w:val="24"/>
          <w:szCs w:val="24"/>
        </w:rPr>
        <w:t xml:space="preserve">not subject to permission of a judge or a prosecutor </w:t>
      </w:r>
      <w:r w:rsidRPr="00503612">
        <w:rPr>
          <w:rFonts w:ascii="Times New Roman" w:eastAsia="Calibri" w:hAnsi="Times New Roman" w:cs="Times New Roman"/>
          <w:color w:val="000000"/>
          <w:sz w:val="24"/>
          <w:szCs w:val="24"/>
        </w:rPr>
        <w:t>[Section 215 of CCP]</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utilising a person cooperating in secret</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collecting and verifying information relating to a criminal offence </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use a trap not causing injury or damaging health</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replacing an aggrieved party or another person to protect his life and physical integrity</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covertly surveil a person, home, other room, fenced area, public area, premises open to the public, or vehicle, or an object serving as means of physical evidence, and collecting information on events taking place, and use technical means to record such events</w:t>
      </w:r>
    </w:p>
    <w:p w:rsidR="00FE234A" w:rsidRPr="00503612" w:rsidRDefault="00FE234A" w:rsidP="00503612">
      <w:pPr>
        <w:numPr>
          <w:ilvl w:val="0"/>
          <w:numId w:val="4"/>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disclosing false or misleading information to the person concerned (disinformation)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numPr>
          <w:ilvl w:val="0"/>
          <w:numId w:val="3"/>
        </w:numPr>
        <w:suppressAutoHyphens/>
        <w:autoSpaceDE w:val="0"/>
        <w:autoSpaceDN w:val="0"/>
        <w:adjustRightInd w:val="0"/>
        <w:spacing w:after="0" w:line="276" w:lineRule="auto"/>
        <w:ind w:left="360"/>
        <w:jc w:val="both"/>
        <w:rPr>
          <w:rFonts w:ascii="Times New Roman" w:eastAsia="Calibri" w:hAnsi="Times New Roman" w:cs="Times New Roman"/>
          <w:b/>
          <w:bCs/>
          <w:color w:val="000000"/>
          <w:sz w:val="24"/>
          <w:szCs w:val="24"/>
        </w:rPr>
      </w:pPr>
      <w:r w:rsidRPr="00503612">
        <w:rPr>
          <w:rFonts w:ascii="Times New Roman" w:eastAsia="Calibri" w:hAnsi="Times New Roman" w:cs="Times New Roman"/>
          <w:b/>
          <w:bCs/>
          <w:color w:val="000000"/>
          <w:sz w:val="24"/>
          <w:szCs w:val="24"/>
        </w:rPr>
        <w:t xml:space="preserve">subject to permission of a prosecutor </w:t>
      </w:r>
      <w:r w:rsidRPr="00503612">
        <w:rPr>
          <w:rFonts w:ascii="Times New Roman" w:eastAsia="Calibri" w:hAnsi="Times New Roman" w:cs="Times New Roman"/>
          <w:color w:val="000000"/>
          <w:sz w:val="24"/>
          <w:szCs w:val="24"/>
        </w:rPr>
        <w:t>[Section 2016-230 of CCP]</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surveillance of payment transactions</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offering avoidance of the establishment of criminal liability</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consented surveillance</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ghost purchases</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undercover investigators</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ghost purchases by members of organs authorised to use covert means and persons cooperating in secret</w:t>
      </w:r>
    </w:p>
    <w:p w:rsidR="00FE234A" w:rsidRPr="00503612" w:rsidRDefault="00FE234A" w:rsidP="00503612">
      <w:pPr>
        <w:numPr>
          <w:ilvl w:val="0"/>
          <w:numId w:val="5"/>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cover deeds, cover institutes, and cover data</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numPr>
          <w:ilvl w:val="0"/>
          <w:numId w:val="3"/>
        </w:numPr>
        <w:suppressAutoHyphens/>
        <w:autoSpaceDE w:val="0"/>
        <w:autoSpaceDN w:val="0"/>
        <w:adjustRightInd w:val="0"/>
        <w:spacing w:after="0" w:line="276" w:lineRule="auto"/>
        <w:ind w:left="360"/>
        <w:jc w:val="both"/>
        <w:rPr>
          <w:rFonts w:ascii="Times New Roman" w:eastAsia="Calibri" w:hAnsi="Times New Roman" w:cs="Times New Roman"/>
          <w:b/>
          <w:bCs/>
          <w:color w:val="000000"/>
          <w:sz w:val="24"/>
          <w:szCs w:val="24"/>
        </w:rPr>
      </w:pPr>
      <w:r w:rsidRPr="00503612">
        <w:rPr>
          <w:rFonts w:ascii="Times New Roman" w:eastAsia="Calibri" w:hAnsi="Times New Roman" w:cs="Times New Roman"/>
          <w:b/>
          <w:bCs/>
          <w:color w:val="000000"/>
          <w:sz w:val="24"/>
          <w:szCs w:val="24"/>
        </w:rPr>
        <w:t xml:space="preserve">subject to permission of a judge </w:t>
      </w:r>
      <w:r w:rsidRPr="00503612">
        <w:rPr>
          <w:rFonts w:ascii="Times New Roman" w:eastAsia="Calibri" w:hAnsi="Times New Roman" w:cs="Times New Roman"/>
          <w:color w:val="000000"/>
          <w:sz w:val="24"/>
          <w:szCs w:val="24"/>
        </w:rPr>
        <w:t>[Section 231-242 of CCP]</w:t>
      </w:r>
    </w:p>
    <w:p w:rsidR="00FE234A" w:rsidRPr="00503612" w:rsidRDefault="00FE234A" w:rsidP="00503612">
      <w:pPr>
        <w:numPr>
          <w:ilvl w:val="0"/>
          <w:numId w:val="6"/>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secret surveillance of an information system</w:t>
      </w:r>
    </w:p>
    <w:p w:rsidR="00FE234A" w:rsidRPr="00503612" w:rsidRDefault="00FE234A" w:rsidP="00503612">
      <w:pPr>
        <w:numPr>
          <w:ilvl w:val="0"/>
          <w:numId w:val="6"/>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secret search</w:t>
      </w:r>
    </w:p>
    <w:p w:rsidR="00FE234A" w:rsidRPr="00503612" w:rsidRDefault="00FE234A" w:rsidP="00503612">
      <w:pPr>
        <w:numPr>
          <w:ilvl w:val="0"/>
          <w:numId w:val="6"/>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secret surveillance of a locality</w:t>
      </w:r>
    </w:p>
    <w:p w:rsidR="00FE234A" w:rsidRPr="00503612" w:rsidRDefault="00FE234A" w:rsidP="00503612">
      <w:pPr>
        <w:numPr>
          <w:ilvl w:val="0"/>
          <w:numId w:val="6"/>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secret interception of a consignment</w:t>
      </w:r>
    </w:p>
    <w:p w:rsidR="00FE234A" w:rsidRPr="00503612" w:rsidRDefault="00FE234A" w:rsidP="00503612">
      <w:pPr>
        <w:numPr>
          <w:ilvl w:val="0"/>
          <w:numId w:val="6"/>
        </w:numPr>
        <w:suppressAutoHyphens/>
        <w:autoSpaceDE w:val="0"/>
        <w:autoSpaceDN w:val="0"/>
        <w:adjustRightInd w:val="0"/>
        <w:spacing w:after="0" w:line="276" w:lineRule="auto"/>
        <w:ind w:left="1080"/>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interception of communications.</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CCP provides a transparent and straightforward system for covert means, it also invented some new instruments and lawful means; see examples as follows:</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CCP regulates the measure called “disinformation” that sets up the legal framework, within which the investigative authorities can transmit false information through a person aiming to interrupt a crime in progress, identify the perpetrator of a crime, or gather evidence,</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surveillance of financial transactions is also a new measure; it allows the authorities to obtain the details of specified bank accounts and of banking operations, which have been carried out during a defined period through an account in a financial institution, including the details of any sending or recipient account. The authorities also have the authorisation to suspend or stop the transaction and thus to be able to make the necessary measures to order the confiscation of the financial instrument concerned. This new measure allows the authorities to obtain transaction information in real-time and enhances the investigative authorities' capability to react quickly, efficiently to criminal situations connected to financial transactions.</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CCP regulates the rules concerning the operations of undercover officers in line with the ruling of the European Court of Human Rights; therefore the prohibition to provoke was laid down, more flexible rules were introduced to the legal limits of operations, the connection to other covert measures and the combined application of them are defined clearly, and, as an improvement, officers are now entitled to go undercover in terrorist groups as well,</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when carrying out ghost shopping, the CCP paves the way for civil informers or the regular members of police staff as well to go undercover beside official undercover agents,</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CCP broadens the framework of using the information gathered through covert measures permitted by a judge as a piece of evidence, and it also allows the data to be used as evidence in the case of a crime committed by a person not included in the judicial permission,</w:t>
      </w:r>
    </w:p>
    <w:p w:rsidR="00FE234A" w:rsidRPr="00503612" w:rsidRDefault="00FE234A" w:rsidP="00503612">
      <w:pPr>
        <w:pStyle w:val="ListParagraph"/>
        <w:numPr>
          <w:ilvl w:val="0"/>
          <w:numId w:val="15"/>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time limit for applying covert measures permitted by a judge has been raised up to 360 days instead of the former regulation, which allowed the use of those only for 180 days during a formal investigation.</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The CCP abolished the necessity of an ex-post verification by a judge regarding data gathered through a covert measure permitted by a judge if it concerned a crime or a person not included in the judicial permission. Simultaneously, the new code lays down clear and objective conditions the authority operating a covert measure has to meet when the data gathered is intended to be used as a piece of evidence.</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Finally, the CCP improved the rules concerning the use of data collected by national security organisations. Therefore, the CCP ensures that the result of the intelligence gathering by a national security service can be used in the criminal procedure broadly and flexibly.</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 xml:space="preserve">The CCP also regulates a new procedural phase, namely, the </w:t>
      </w:r>
      <w:r w:rsidRPr="00503612">
        <w:rPr>
          <w:rFonts w:ascii="Times New Roman" w:eastAsia="Calibri" w:hAnsi="Times New Roman" w:cs="Times New Roman"/>
          <w:b/>
          <w:color w:val="000000"/>
          <w:sz w:val="24"/>
          <w:szCs w:val="24"/>
        </w:rPr>
        <w:t>preliminary proceeding</w:t>
      </w:r>
      <w:r w:rsidRPr="00503612">
        <w:rPr>
          <w:rFonts w:ascii="Times New Roman" w:eastAsia="Calibri" w:hAnsi="Times New Roman" w:cs="Times New Roman"/>
          <w:color w:val="000000"/>
          <w:sz w:val="24"/>
          <w:szCs w:val="24"/>
        </w:rPr>
        <w:t>. This proceeding can be launched before the commencement of an investigation, with the aim to clarify if it can be determined whether there is an eventual suspicion that a crime was committed. The authorities have powers to collect data and to apply covert measures during this kind of proceeding. The new provisions enhance the effectiveness of guarantees in this field: since the prosecution service gains control powers over this kind of pre-investigative information gathering from the very beginning of the process, while the CPC also contains rules, which exclude the possibility of “fishing expedition”.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d)</w:t>
      </w:r>
      <w:r w:rsidRPr="00503612">
        <w:rPr>
          <w:rFonts w:ascii="Times New Roman" w:eastAsia="Calibri" w:hAnsi="Times New Roman" w:cs="Times New Roman"/>
          <w:color w:val="000000"/>
          <w:sz w:val="24"/>
          <w:szCs w:val="24"/>
        </w:rPr>
        <w:t xml:space="preserve"> Yes, see above for the required permissions. Besides, the CCP expressis verbis provides for an obligation to meet the requirement of necessity and proportionality when it comes to applying covert means and the limitation of fundamental rights. Thus, </w:t>
      </w:r>
      <w:r w:rsidRPr="00503612">
        <w:rPr>
          <w:rFonts w:ascii="Times New Roman" w:eastAsia="Times New Roman" w:hAnsi="Times New Roman" w:cs="Times New Roman"/>
          <w:color w:val="000000"/>
          <w:sz w:val="24"/>
          <w:szCs w:val="24"/>
        </w:rPr>
        <w:t>a covert means may be used if it is reasonable to assume that a piece of information or evidence to be acquired is indispensable for achieving the purpose of a criminal proceeding, and it cannot be acquired by other means; its use does not restrict any fundamental right of the person concerned, or any other person, in a disproportionate manner considering the attainable law enforcement goal; and it is likely that information or evidence relating to a criminal offence may be obtained by its use. The CCP also provides for the deletion and protection of data acquired during the use of covert means (Chapter XL) and the restrictions on using the result of the covert means (Chapter XLI).</w:t>
      </w:r>
    </w:p>
    <w:p w:rsidR="00FE234A" w:rsidRPr="00503612" w:rsidRDefault="00FE234A" w:rsidP="00503612">
      <w:pPr>
        <w:spacing w:after="0" w:line="276" w:lineRule="auto"/>
        <w:rPr>
          <w:rFonts w:ascii="Times New Roman" w:eastAsia="Calibri" w:hAnsi="Times New Roman" w:cs="Times New Roman"/>
          <w:color w:val="000000"/>
          <w:sz w:val="24"/>
          <w:szCs w:val="24"/>
        </w:rPr>
      </w:pP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r w:rsidRPr="00503612">
        <w:rPr>
          <w:rFonts w:ascii="Times New Roman" w:eastAsia="Calibri" w:hAnsi="Times New Roman" w:cs="Times New Roman"/>
          <w:color w:val="000000"/>
          <w:sz w:val="24"/>
          <w:szCs w:val="24"/>
        </w:rPr>
        <w:t xml:space="preserve">In addition, the right to privacy and fair trial are fundamental rights provided for by the Fundamental Law of Hungary. The CCP </w:t>
      </w:r>
      <w:r w:rsidRPr="00503612">
        <w:rPr>
          <w:rFonts w:ascii="Times New Roman" w:eastAsia="Calibri" w:hAnsi="Times New Roman" w:cs="Times New Roman"/>
          <w:i/>
          <w:color w:val="000000"/>
          <w:sz w:val="24"/>
          <w:szCs w:val="24"/>
        </w:rPr>
        <w:t>expresis verbis</w:t>
      </w:r>
      <w:r w:rsidRPr="00503612">
        <w:rPr>
          <w:rFonts w:ascii="Times New Roman" w:eastAsia="Calibri" w:hAnsi="Times New Roman" w:cs="Times New Roman"/>
          <w:color w:val="000000"/>
          <w:sz w:val="24"/>
          <w:szCs w:val="24"/>
        </w:rPr>
        <w:t xml:space="preserve"> states that </w:t>
      </w:r>
      <w:r w:rsidRPr="00503612">
        <w:rPr>
          <w:rFonts w:ascii="Times New Roman" w:eastAsia="Times New Roman" w:hAnsi="Times New Roman" w:cs="Times New Roman"/>
          <w:color w:val="000000"/>
          <w:sz w:val="24"/>
          <w:szCs w:val="24"/>
        </w:rPr>
        <w:t>a fundamental right may be restricted only in a proceeding for a reason, in a manner, and to an extent determined by the CCP, provided that the purpose to be achieved may not be guaranteed by any other procedural act or measure involving any lesser restriction. Regarding victims and witnesses of contemporary types of slavery, who can qualify as persons requiring special treatment, additional rules protecting their privacy also apply.</w:t>
      </w:r>
    </w:p>
    <w:p w:rsidR="00FE234A" w:rsidRPr="00503612" w:rsidRDefault="00FE234A" w:rsidP="00503612">
      <w:pPr>
        <w:spacing w:after="0" w:line="276" w:lineRule="auto"/>
        <w:rPr>
          <w:rFonts w:ascii="Times New Roman" w:eastAsia="Times New Roman" w:hAnsi="Times New Roman" w:cs="Times New Roman"/>
          <w:color w:val="000000"/>
          <w:sz w:val="24"/>
          <w:szCs w:val="24"/>
        </w:rPr>
      </w:pP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Also, a separate chapter is dedicated to the protection of personal data handled during a criminal procedure (Chapter XV of the CCP). As a general rule, the court, the prosecution service and the investigating authority shall ensure that no protected data processed during the criminal proceeding is published or disclosed to an unauthorised person unnecessarily and that the protection of personal data is ensured.</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e)</w:t>
      </w:r>
      <w:r w:rsidRPr="00503612">
        <w:rPr>
          <w:rFonts w:ascii="Times New Roman" w:eastAsia="Calibri" w:hAnsi="Times New Roman" w:cs="Times New Roman"/>
          <w:color w:val="000000"/>
          <w:sz w:val="24"/>
          <w:szCs w:val="24"/>
        </w:rPr>
        <w:t xml:space="preserve"> </w:t>
      </w:r>
      <w:r w:rsidRPr="00503612">
        <w:rPr>
          <w:rFonts w:ascii="Times New Roman" w:eastAsia="Calibri" w:hAnsi="Times New Roman" w:cs="Times New Roman"/>
          <w:sz w:val="24"/>
          <w:szCs w:val="24"/>
        </w:rPr>
        <w:t xml:space="preserve">Sections 399-400 of the Criminal Code are the main sections defining the crime of </w:t>
      </w:r>
      <w:r w:rsidRPr="00503612">
        <w:rPr>
          <w:rFonts w:ascii="Times New Roman" w:eastAsia="Calibri" w:hAnsi="Times New Roman" w:cs="Times New Roman"/>
          <w:b/>
          <w:sz w:val="24"/>
          <w:szCs w:val="24"/>
        </w:rPr>
        <w:t>money laundering</w:t>
      </w:r>
      <w:r w:rsidRPr="00503612">
        <w:rPr>
          <w:rFonts w:ascii="Times New Roman" w:eastAsia="Calibri" w:hAnsi="Times New Roman" w:cs="Times New Roman"/>
          <w:sz w:val="24"/>
          <w:szCs w:val="24"/>
        </w:rPr>
        <w:t>. According to the current provisions, the predicate offence of money laundering can be any crime that is punishable by imprisonment, and the perpetrator uses the thing obtained from criminal activities in his business activities, uses financial or bank transaction in connection with proceeds obtained from the abovementioned offence. These offences are typically crimes against property, financial and economic crimes, for example, fraud, embezzlement, tax and social security fraud, fraudulent breach of trust, negligent administration, unauthorised financial service activities, etc.). Money laundering may be based on domestic or foreign predicate offence. The location of the commission and the nationality of the offender are indifferent. The only condition is that the predicative offence shall be punishable under the Criminal Code.</w:t>
      </w:r>
    </w:p>
    <w:p w:rsidR="00FE234A" w:rsidRPr="00503612" w:rsidRDefault="00FE234A" w:rsidP="00503612">
      <w:pPr>
        <w:spacing w:after="0" w:line="276" w:lineRule="auto"/>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Offences relating to avoidance of direct income and corporate taxation are considered to be covered as the criminal offence of </w:t>
      </w:r>
      <w:r w:rsidRPr="00503612">
        <w:rPr>
          <w:rFonts w:ascii="Times New Roman" w:eastAsia="Calibri" w:hAnsi="Times New Roman" w:cs="Times New Roman"/>
          <w:b/>
          <w:sz w:val="24"/>
          <w:szCs w:val="24"/>
        </w:rPr>
        <w:t>budgetary fraud</w:t>
      </w:r>
      <w:r w:rsidRPr="00503612">
        <w:rPr>
          <w:rFonts w:ascii="Times New Roman" w:eastAsia="Calibri" w:hAnsi="Times New Roman" w:cs="Times New Roman"/>
          <w:sz w:val="24"/>
          <w:szCs w:val="24"/>
        </w:rPr>
        <w:t xml:space="preserve"> (Section 396). The crime extends to the persons who “frustrate the criminal proceedings against the other person who committed a punishable act” [section 399 (1) ab) of the Criminal Code]. As an explanatory provision, section 402 (1) of the Criminal Code notes that for the purposes of sections 399-400, “object” shall also include documents and dematerialised securities embodying rights of pecuniary value which ensure disposal over the pecuniary value or right attested therein to the holder, or, in the case of dematerialised securities, to the beneficiary of the securities account. Regarding the concealment and disguise of the “true nature” of the criminal assets as prescribed by international obligations, the wording “origin of the object” covers both the “true nature” and the “source”, as one cannot interpret the “true nature” otherwise than in the framework of the criminal origin of the assets. Self-laundering is also criminalised in the Criminal Code under section 399 (3).</w:t>
      </w:r>
    </w:p>
    <w:p w:rsidR="00FE234A" w:rsidRPr="00503612" w:rsidRDefault="00FE234A" w:rsidP="00503612">
      <w:pPr>
        <w:spacing w:after="0" w:line="276" w:lineRule="auto"/>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color w:val="000000"/>
          <w:sz w:val="24"/>
          <w:szCs w:val="24"/>
        </w:rPr>
        <w:t xml:space="preserve">The Criminal Code provides rules for </w:t>
      </w:r>
      <w:r w:rsidRPr="00503612">
        <w:rPr>
          <w:rFonts w:ascii="Times New Roman" w:eastAsia="Calibri" w:hAnsi="Times New Roman" w:cs="Times New Roman"/>
          <w:b/>
          <w:color w:val="000000"/>
          <w:sz w:val="24"/>
          <w:szCs w:val="24"/>
        </w:rPr>
        <w:t>confiscation</w:t>
      </w:r>
      <w:r w:rsidRPr="00503612">
        <w:rPr>
          <w:rFonts w:ascii="Times New Roman" w:eastAsia="Calibri" w:hAnsi="Times New Roman" w:cs="Times New Roman"/>
          <w:color w:val="000000"/>
          <w:sz w:val="24"/>
          <w:szCs w:val="24"/>
        </w:rPr>
        <w:t xml:space="preserve"> (section 72-73) and </w:t>
      </w:r>
      <w:r w:rsidRPr="00503612">
        <w:rPr>
          <w:rFonts w:ascii="Times New Roman" w:eastAsia="Calibri" w:hAnsi="Times New Roman" w:cs="Times New Roman"/>
          <w:b/>
          <w:color w:val="000000"/>
          <w:sz w:val="24"/>
          <w:szCs w:val="24"/>
        </w:rPr>
        <w:t>forfeiture of assets</w:t>
      </w:r>
      <w:r w:rsidRPr="00503612">
        <w:rPr>
          <w:rFonts w:ascii="Times New Roman" w:eastAsia="Calibri" w:hAnsi="Times New Roman" w:cs="Times New Roman"/>
          <w:color w:val="000000"/>
          <w:sz w:val="24"/>
          <w:szCs w:val="24"/>
        </w:rPr>
        <w:t xml:space="preserve"> (section 74-76) as criminal measures to be imposed in the final judgment, while the CCP provides the procedural rules for </w:t>
      </w:r>
      <w:r w:rsidRPr="00503612">
        <w:rPr>
          <w:rFonts w:ascii="Times New Roman" w:eastAsia="Calibri" w:hAnsi="Times New Roman" w:cs="Times New Roman"/>
          <w:b/>
          <w:sz w:val="24"/>
          <w:szCs w:val="24"/>
        </w:rPr>
        <w:t>seizure</w:t>
      </w:r>
      <w:r w:rsidRPr="00503612">
        <w:rPr>
          <w:rFonts w:ascii="Times New Roman" w:eastAsia="Calibri" w:hAnsi="Times New Roman" w:cs="Times New Roman"/>
          <w:sz w:val="24"/>
          <w:szCs w:val="24"/>
        </w:rPr>
        <w:t xml:space="preserve"> (section 308-323), </w:t>
      </w:r>
      <w:r w:rsidRPr="00503612">
        <w:rPr>
          <w:rFonts w:ascii="Times New Roman" w:eastAsia="Calibri" w:hAnsi="Times New Roman" w:cs="Times New Roman"/>
          <w:b/>
          <w:sz w:val="24"/>
          <w:szCs w:val="24"/>
        </w:rPr>
        <w:t>sequestration</w:t>
      </w:r>
      <w:r w:rsidRPr="00503612">
        <w:rPr>
          <w:rFonts w:ascii="Times New Roman" w:eastAsia="Calibri" w:hAnsi="Times New Roman" w:cs="Times New Roman"/>
          <w:sz w:val="24"/>
          <w:szCs w:val="24"/>
        </w:rPr>
        <w:t xml:space="preserve"> (section 324-332) and </w:t>
      </w:r>
      <w:r w:rsidRPr="00503612">
        <w:rPr>
          <w:rFonts w:ascii="Times New Roman" w:eastAsia="Calibri" w:hAnsi="Times New Roman" w:cs="Times New Roman"/>
          <w:b/>
          <w:sz w:val="24"/>
          <w:szCs w:val="24"/>
        </w:rPr>
        <w:t>asset management</w:t>
      </w:r>
      <w:r w:rsidRPr="00503612">
        <w:rPr>
          <w:rFonts w:ascii="Times New Roman" w:eastAsia="Calibri" w:hAnsi="Times New Roman" w:cs="Times New Roman"/>
          <w:sz w:val="24"/>
          <w:szCs w:val="24"/>
        </w:rPr>
        <w:t xml:space="preserve"> (section 333-334) ensuring confiscation and forfeiture of assets.</w:t>
      </w:r>
    </w:p>
    <w:p w:rsidR="00FE234A" w:rsidRPr="00503612" w:rsidRDefault="00FE234A" w:rsidP="00503612">
      <w:pPr>
        <w:spacing w:after="0" w:line="276" w:lineRule="auto"/>
        <w:rPr>
          <w:rFonts w:ascii="Times New Roman" w:eastAsia="Calibri" w:hAnsi="Times New Roman" w:cs="Times New Roman"/>
          <w:sz w:val="24"/>
          <w:szCs w:val="24"/>
        </w:rPr>
      </w:pPr>
    </w:p>
    <w:p w:rsidR="004B16A3"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The confiscated things and forfeited asset or the sequestrated asset (from now on: criminal asset) shall be managed according to the rules of decent management during seizure and sequestration. During seizure and sequestration, it should be ensured that the criminal asset's value does not decrease more than it would occur naturally. During the management of the criminal asset, only such measures can be taken, the aim of which is the preservation of the value of the criminal asset. The asset transformed due to the measures taken as part of the criminal asset management shall replace the original criminal asset. (section 333) Otherwise, the court shall order the seized property's sale if it is not necessary to be kept for the interests of the evidentiary procedure, or no substantiated claim had been submitted for the property. </w:t>
      </w:r>
    </w:p>
    <w:p w:rsidR="004B16A3" w:rsidRPr="00503612" w:rsidRDefault="004B16A3"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Additional conditions to sell the property include that it is liable to fast deterioration, or it is unsuitable for long-term storage, or if management, storage and safekeeping of the property – taking into consideration in particular, the value or the foreseeable long term of the storage thereof – involves unreasonable and high expenses, or the value of the property significantly diminished owing to the foreseeable long term of the storage thereof. The amount realised on the sale of the seized property shall replace the seized property. (section 319)</w:t>
      </w:r>
    </w:p>
    <w:p w:rsidR="00C8063C" w:rsidRPr="00503612" w:rsidRDefault="00C8063C"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CCP goes further to minimise losses arising from asset management. The affected person, from whom the property had been seized, can motion the redemption of a seized property on the condition that the aim of seizure is exclusively to ensure confiscation of property and no lawful claim has been submitted for return. If authorities grant the motion, they specify the amount of redemption, and if it is accepted, the amount will replace the seized property. </w:t>
      </w:r>
    </w:p>
    <w:p w:rsidR="00C8063C" w:rsidRPr="00503612" w:rsidRDefault="00C8063C"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Another invention of CPC is that it lays the foundations of a distinct authority responsible for the management of criminal property and criminal assets. </w:t>
      </w:r>
    </w:p>
    <w:p w:rsidR="00FE234A" w:rsidRPr="00503612" w:rsidRDefault="00FE234A" w:rsidP="00503612">
      <w:pPr>
        <w:spacing w:after="0" w:line="276" w:lineRule="auto"/>
        <w:rPr>
          <w:rFonts w:ascii="Times New Roman" w:eastAsia="Calibri" w:hAnsi="Times New Roman" w:cs="Times New Roman"/>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f)</w:t>
      </w:r>
      <w:r w:rsidRPr="00503612">
        <w:rPr>
          <w:rFonts w:ascii="Times New Roman" w:eastAsia="Calibri" w:hAnsi="Times New Roman" w:cs="Times New Roman"/>
          <w:color w:val="000000"/>
          <w:sz w:val="24"/>
          <w:szCs w:val="24"/>
        </w:rPr>
        <w:t xml:space="preserve"> The CCP has a </w:t>
      </w:r>
      <w:r w:rsidRPr="00503612">
        <w:rPr>
          <w:rFonts w:ascii="Times New Roman" w:eastAsia="Calibri" w:hAnsi="Times New Roman" w:cs="Times New Roman"/>
          <w:b/>
          <w:color w:val="000000"/>
          <w:sz w:val="24"/>
          <w:szCs w:val="24"/>
        </w:rPr>
        <w:t>separate proceeding for removing assets or things relating to a criminal offence (</w:t>
      </w:r>
      <w:r w:rsidRPr="00503612">
        <w:rPr>
          <w:rFonts w:ascii="Times New Roman" w:eastAsia="Calibri" w:hAnsi="Times New Roman" w:cs="Times New Roman"/>
          <w:color w:val="000000"/>
          <w:sz w:val="24"/>
          <w:szCs w:val="24"/>
        </w:rPr>
        <w:t>section 818-826), when confiscation, forfeiture of assets, or taking a seized thing into State ownership is necessary, but</w:t>
      </w:r>
    </w:p>
    <w:p w:rsidR="00FE234A" w:rsidRPr="00503612" w:rsidRDefault="00FE234A" w:rsidP="00503612">
      <w:pPr>
        <w:pStyle w:val="ListParagraph"/>
        <w:numPr>
          <w:ilvl w:val="0"/>
          <w:numId w:val="16"/>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no investigation was instituted,</w:t>
      </w:r>
    </w:p>
    <w:p w:rsidR="00FE234A" w:rsidRPr="00503612" w:rsidRDefault="00FE234A" w:rsidP="00503612">
      <w:pPr>
        <w:pStyle w:val="ListParagraph"/>
        <w:numPr>
          <w:ilvl w:val="0"/>
          <w:numId w:val="16"/>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a criminal proceeding was terminated, or</w:t>
      </w:r>
    </w:p>
    <w:p w:rsidR="00FE234A" w:rsidRPr="00503612" w:rsidRDefault="00FE234A" w:rsidP="00503612">
      <w:pPr>
        <w:pStyle w:val="ListParagraph"/>
        <w:numPr>
          <w:ilvl w:val="0"/>
          <w:numId w:val="16"/>
        </w:num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a criminal proceeding was suspended because the whereabouts of the perpetrator is unknown or he is staying abroad; the perpetrator cannot participate in the proceeding due to his permanent and severe illness, or a mental disorder that occurred after the commission of the crime, or the identity of the perpetrator could not be determined during the investigation.</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r w:rsidRPr="00503612">
        <w:rPr>
          <w:rFonts w:ascii="Times New Roman" w:eastAsia="Calibri" w:hAnsi="Times New Roman" w:cs="Times New Roman"/>
          <w:color w:val="000000"/>
          <w:sz w:val="24"/>
          <w:szCs w:val="24"/>
        </w:rPr>
        <w:t xml:space="preserve">Besides, this proceeding can also be conducted if, after the </w:t>
      </w:r>
      <w:r w:rsidRPr="00503612">
        <w:rPr>
          <w:rFonts w:ascii="Times New Roman" w:eastAsia="Times New Roman" w:hAnsi="Times New Roman" w:cs="Times New Roman"/>
          <w:color w:val="000000"/>
          <w:sz w:val="24"/>
          <w:szCs w:val="24"/>
        </w:rPr>
        <w:t>final and binding conclusive decision is passed by a court, but recovering assets originating from a criminal offence or ordering confiscation, forfeiture of assets retrospectively is necessary.</w:t>
      </w: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r w:rsidRPr="00503612">
        <w:rPr>
          <w:rFonts w:ascii="Times New Roman" w:eastAsia="Times New Roman" w:hAnsi="Times New Roman" w:cs="Times New Roman"/>
          <w:color w:val="000000"/>
          <w:sz w:val="24"/>
          <w:szCs w:val="24"/>
        </w:rPr>
        <w:t>This procedure, however, cannot be conducted if the report of the crime was dismissed because the act does not constitute a criminal offence; the proceeding was terminated because the act does not constitute a criminal offence; a simplified review procedure is in order; or more than five years had passed after the conclusive decision of the court became final and binding.</w:t>
      </w:r>
    </w:p>
    <w:p w:rsidR="00FE234A" w:rsidRPr="00503612" w:rsidRDefault="00FE234A" w:rsidP="00503612">
      <w:pPr>
        <w:spacing w:after="0" w:line="276" w:lineRule="auto"/>
        <w:jc w:val="both"/>
        <w:rPr>
          <w:rFonts w:ascii="Times New Roman" w:eastAsia="Times New Roman"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color w:val="000000"/>
          <w:sz w:val="24"/>
          <w:szCs w:val="24"/>
        </w:rPr>
        <w:t>Thus, the CCP makes it possible to take measures regarding assets related to criminal offences even if the perpetrator cannot be held criminally liable while all the fundamental guarantees of a criminal procedure also apply.</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p>
    <w:p w:rsidR="00FE234A" w:rsidRPr="00503612" w:rsidRDefault="00C8063C"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g)</w:t>
      </w:r>
      <w:r w:rsidRPr="00503612">
        <w:rPr>
          <w:rFonts w:ascii="Times New Roman" w:eastAsia="Calibri" w:hAnsi="Times New Roman" w:cs="Times New Roman"/>
          <w:color w:val="000000"/>
          <w:sz w:val="24"/>
          <w:szCs w:val="24"/>
        </w:rPr>
        <w:t xml:space="preserve"> </w:t>
      </w:r>
      <w:r w:rsidR="00FE234A" w:rsidRPr="00503612">
        <w:rPr>
          <w:rFonts w:ascii="Times New Roman" w:eastAsia="Calibri" w:hAnsi="Times New Roman" w:cs="Times New Roman"/>
          <w:color w:val="000000"/>
          <w:sz w:val="24"/>
          <w:szCs w:val="24"/>
        </w:rPr>
        <w:t>Section 91 (1) can also be applied regarding criminal offences of corruption (Chapter XXVII-XXVIII of the Criminal Code), and obstruction of justice (Chapter XXVI of the Criminal Code).</w:t>
      </w:r>
    </w:p>
    <w:p w:rsidR="00FE234A" w:rsidRPr="00503612" w:rsidRDefault="00FE234A" w:rsidP="00503612">
      <w:pPr>
        <w:suppressAutoHyphens/>
        <w:autoSpaceDE w:val="0"/>
        <w:autoSpaceDN w:val="0"/>
        <w:adjustRightInd w:val="0"/>
        <w:spacing w:after="0" w:line="276" w:lineRule="auto"/>
        <w:rPr>
          <w:rFonts w:ascii="Times New Roman" w:eastAsia="Calibri" w:hAnsi="Times New Roman" w:cs="Times New Roman"/>
          <w:color w:val="000000"/>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color w:val="000000"/>
          <w:sz w:val="24"/>
          <w:szCs w:val="24"/>
        </w:rPr>
      </w:pPr>
      <w:r w:rsidRPr="00503612">
        <w:rPr>
          <w:rFonts w:ascii="Times New Roman" w:eastAsia="Calibri" w:hAnsi="Times New Roman" w:cs="Times New Roman"/>
          <w:b/>
          <w:color w:val="000000"/>
          <w:sz w:val="24"/>
          <w:szCs w:val="24"/>
        </w:rPr>
        <w:t>h)</w:t>
      </w:r>
      <w:r w:rsidRPr="00503612">
        <w:rPr>
          <w:rFonts w:ascii="Times New Roman" w:eastAsia="Calibri" w:hAnsi="Times New Roman" w:cs="Times New Roman"/>
          <w:color w:val="000000"/>
          <w:sz w:val="24"/>
          <w:szCs w:val="24"/>
        </w:rPr>
        <w:t xml:space="preserve"> </w:t>
      </w:r>
      <w:r w:rsidRPr="00503612">
        <w:rPr>
          <w:rFonts w:ascii="Times New Roman" w:eastAsia="Calibri" w:hAnsi="Times New Roman" w:cs="Times New Roman"/>
          <w:sz w:val="24"/>
          <w:szCs w:val="24"/>
        </w:rPr>
        <w:t xml:space="preserve">The CPC has a separate chapter on </w:t>
      </w:r>
      <w:r w:rsidRPr="00503612">
        <w:rPr>
          <w:rFonts w:ascii="Times New Roman" w:eastAsia="Calibri" w:hAnsi="Times New Roman" w:cs="Times New Roman"/>
          <w:b/>
          <w:sz w:val="24"/>
          <w:szCs w:val="24"/>
        </w:rPr>
        <w:t>persons requiring special treatment</w:t>
      </w:r>
      <w:r w:rsidRPr="00503612">
        <w:rPr>
          <w:rFonts w:ascii="Times New Roman" w:eastAsia="Calibri" w:hAnsi="Times New Roman" w:cs="Times New Roman"/>
          <w:sz w:val="24"/>
          <w:szCs w:val="24"/>
        </w:rPr>
        <w:t xml:space="preserve"> (Chapter XIV). According to this, not only victims </w:t>
      </w:r>
      <w:r w:rsidR="00C94BC7" w:rsidRPr="00503612">
        <w:rPr>
          <w:rFonts w:ascii="Times New Roman" w:eastAsia="Calibri" w:hAnsi="Times New Roman" w:cs="Times New Roman"/>
          <w:sz w:val="24"/>
          <w:szCs w:val="24"/>
        </w:rPr>
        <w:t>but also</w:t>
      </w:r>
      <w:r w:rsidRPr="00503612">
        <w:rPr>
          <w:rFonts w:ascii="Times New Roman" w:eastAsia="Calibri" w:hAnsi="Times New Roman" w:cs="Times New Roman"/>
          <w:sz w:val="24"/>
          <w:szCs w:val="24"/>
        </w:rPr>
        <w:t xml:space="preserve"> witnesses can also be classified as such persons. The main conditions, which determine whether a person can be classified as a person requiring special treatment is based on:</w:t>
      </w:r>
    </w:p>
    <w:p w:rsidR="00FE234A" w:rsidRPr="00503612" w:rsidRDefault="00FE234A" w:rsidP="00503612">
      <w:pPr>
        <w:pStyle w:val="ListParagraph"/>
        <w:numPr>
          <w:ilvl w:val="0"/>
          <w:numId w:val="14"/>
        </w:numPr>
        <w:suppressAutoHyphens/>
        <w:spacing w:after="0" w:line="276" w:lineRule="auto"/>
        <w:rPr>
          <w:rFonts w:ascii="Times New Roman" w:hAnsi="Times New Roman" w:cs="Times New Roman"/>
        </w:rPr>
      </w:pPr>
      <w:r w:rsidRPr="00503612">
        <w:rPr>
          <w:rFonts w:ascii="Times New Roman" w:hAnsi="Times New Roman" w:cs="Times New Roman"/>
        </w:rPr>
        <w:t>age,</w:t>
      </w:r>
    </w:p>
    <w:p w:rsidR="00FE234A" w:rsidRPr="00503612" w:rsidRDefault="00FE234A" w:rsidP="00503612">
      <w:pPr>
        <w:pStyle w:val="ListParagraph"/>
        <w:numPr>
          <w:ilvl w:val="0"/>
          <w:numId w:val="14"/>
        </w:numPr>
        <w:suppressAutoHyphens/>
        <w:spacing w:after="0" w:line="276" w:lineRule="auto"/>
        <w:rPr>
          <w:rFonts w:ascii="Times New Roman" w:hAnsi="Times New Roman" w:cs="Times New Roman"/>
        </w:rPr>
      </w:pPr>
      <w:r w:rsidRPr="00503612">
        <w:rPr>
          <w:rFonts w:ascii="Times New Roman" w:hAnsi="Times New Roman" w:cs="Times New Roman"/>
        </w:rPr>
        <w:t>mental, physical and health condition,</w:t>
      </w:r>
    </w:p>
    <w:p w:rsidR="00FE234A" w:rsidRPr="00503612" w:rsidRDefault="00FE234A" w:rsidP="00503612">
      <w:pPr>
        <w:pStyle w:val="ListParagraph"/>
        <w:numPr>
          <w:ilvl w:val="0"/>
          <w:numId w:val="14"/>
        </w:numPr>
        <w:suppressAutoHyphens/>
        <w:spacing w:after="0" w:line="276" w:lineRule="auto"/>
        <w:rPr>
          <w:rFonts w:ascii="Times New Roman" w:hAnsi="Times New Roman" w:cs="Times New Roman"/>
        </w:rPr>
      </w:pPr>
      <w:r w:rsidRPr="00503612">
        <w:rPr>
          <w:rFonts w:ascii="Times New Roman" w:hAnsi="Times New Roman" w:cs="Times New Roman"/>
        </w:rPr>
        <w:t>the grossly violent nature of the act subject to the criminal proceedings,</w:t>
      </w:r>
    </w:p>
    <w:p w:rsidR="00FE234A" w:rsidRPr="00503612" w:rsidRDefault="00FE234A" w:rsidP="00503612">
      <w:pPr>
        <w:pStyle w:val="ListParagraph"/>
        <w:numPr>
          <w:ilvl w:val="0"/>
          <w:numId w:val="14"/>
        </w:numPr>
        <w:suppressAutoHyphens/>
        <w:spacing w:after="0" w:line="276" w:lineRule="auto"/>
        <w:rPr>
          <w:rFonts w:ascii="Times New Roman" w:hAnsi="Times New Roman" w:cs="Times New Roman"/>
        </w:rPr>
      </w:pPr>
      <w:r w:rsidRPr="00503612">
        <w:rPr>
          <w:rFonts w:ascii="Times New Roman" w:hAnsi="Times New Roman" w:cs="Times New Roman"/>
        </w:rPr>
        <w:t>relationship of the concerned person to other participants of the criminal proceedings.</w:t>
      </w:r>
    </w:p>
    <w:p w:rsidR="00FE234A" w:rsidRPr="00503612" w:rsidRDefault="00FE234A" w:rsidP="00503612">
      <w:pPr>
        <w:suppressAutoHyphens/>
        <w:spacing w:after="0" w:line="276" w:lineRule="auto"/>
        <w:rPr>
          <w:rFonts w:ascii="Times New Roman" w:eastAsia="Calibri" w:hAnsi="Times New Roman" w:cs="Times New Roman"/>
          <w:sz w:val="24"/>
          <w:szCs w:val="24"/>
        </w:rPr>
      </w:pPr>
    </w:p>
    <w:p w:rsidR="00FE234A" w:rsidRPr="00503612" w:rsidRDefault="00FE234A" w:rsidP="00503612">
      <w:pPr>
        <w:suppressAutoHyphens/>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From among the supportive and protective measures available for persons requiring special treatment, the followings have to be emphasised: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ensure that persons requiring special treatment could exercise their rights despite the obstacles deriving from their circumstances;</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pay increased attention during communication with persons requiring special treatment;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act with increased diligence during procedural actions to protect the private life of persons requiring special treatment;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give enhanced protection to the personal data justifying the special treatment;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 xml:space="preserve">the authorities shall assist a person requiring special treatment to benefit from the participation of a supporting person;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when conducting procedural actions, pay special attention to the special needs of the person requiring special treatment;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prepare procedural action in a way to avoid its repetitions;</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 xml:space="preserve">the authorities shall ensure to avoid the unnecessary encounters between the victim and the perpetrator during the proceedings and at the place of the procedural action;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shall conduct procedural action in a room specially equipped for this reason</w:t>
      </w:r>
      <w:r w:rsidR="00C94BC7" w:rsidRPr="00503612">
        <w:rPr>
          <w:rFonts w:ascii="Times New Roman" w:eastAsia="Times New Roman" w:hAnsi="Times New Roman" w:cs="Times New Roman"/>
          <w:sz w:val="24"/>
          <w:szCs w:val="24"/>
        </w:rPr>
        <w: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record procedural action involving the presence of a person requiring special treatment</w:t>
      </w:r>
      <w:r w:rsidR="00C94BC7" w:rsidRPr="00503612">
        <w:rPr>
          <w:rFonts w:ascii="Times New Roman" w:eastAsia="Times New Roman" w:hAnsi="Times New Roman" w:cs="Times New Roman"/>
          <w:sz w:val="24"/>
          <w:szCs w:val="24"/>
        </w:rPr>
        <w:t>;</w:t>
      </w:r>
      <w:r w:rsidRPr="00503612">
        <w:rPr>
          <w:rFonts w:ascii="Times New Roman" w:eastAsia="Times New Roman" w:hAnsi="Times New Roman" w:cs="Times New Roman"/>
          <w:sz w:val="24"/>
          <w:szCs w:val="24"/>
        </w:rPr>
        <w:t xml:space="preserve">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 xml:space="preserve">the presence of persons requiring special treatment can also be ensured via telecommunication link;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order to distort the unique characteristics of the person concerned during telecommunication link</w:t>
      </w:r>
      <w:r w:rsidR="00C94BC7" w:rsidRPr="00503612">
        <w:rPr>
          <w:rFonts w:ascii="Times New Roman" w:eastAsia="Times New Roman" w:hAnsi="Times New Roman" w:cs="Times New Roman"/>
          <w:sz w:val="24"/>
          <w:szCs w:val="24"/>
        </w:rPr>
        <w:t>;</w:t>
      </w:r>
      <w:r w:rsidRPr="00503612">
        <w:rPr>
          <w:rFonts w:ascii="Times New Roman" w:eastAsia="Times New Roman" w:hAnsi="Times New Roman" w:cs="Times New Roman"/>
          <w:sz w:val="24"/>
          <w:szCs w:val="24"/>
        </w:rPr>
        <w:t xml:space="preserve"> </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if a recording is taken of the procedural action, authorities may order making a copy, on which the person’s unique characteristics is technically distorted</w:t>
      </w:r>
      <w:r w:rsidR="00C94BC7" w:rsidRPr="00503612">
        <w:rPr>
          <w:rFonts w:ascii="Times New Roman" w:eastAsia="Times New Roman" w:hAnsi="Times New Roman" w:cs="Times New Roman"/>
          <w:sz w:val="24"/>
          <w:szCs w:val="24"/>
        </w:rPr>
        <w: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restrict the right of the defendant or the defence counsel to be present at the procedural action</w:t>
      </w:r>
      <w:r w:rsidR="00C94BC7" w:rsidRPr="00503612">
        <w:rPr>
          <w:rFonts w:ascii="Times New Roman" w:eastAsia="Times New Roman" w:hAnsi="Times New Roman" w:cs="Times New Roman"/>
          <w:sz w:val="24"/>
          <w:szCs w:val="24"/>
        </w:rPr>
        <w: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restrict the right to ask questions of persons present at the procedural action by only allowing them to propose a question</w:t>
      </w:r>
      <w:r w:rsidR="00C94BC7" w:rsidRPr="00503612">
        <w:rPr>
          <w:rFonts w:ascii="Times New Roman" w:eastAsia="Times New Roman" w:hAnsi="Times New Roman" w:cs="Times New Roman"/>
          <w:sz w:val="24"/>
          <w:szCs w:val="24"/>
        </w:rPr>
        <w: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refrain from confronting a witness requiring special treatment;</w:t>
      </w:r>
    </w:p>
    <w:p w:rsidR="00FE234A" w:rsidRPr="00503612" w:rsidRDefault="00FE234A" w:rsidP="00503612">
      <w:pPr>
        <w:numPr>
          <w:ilvl w:val="0"/>
          <w:numId w:val="7"/>
        </w:numPr>
        <w:suppressAutoHyphens/>
        <w:spacing w:after="0" w:line="276" w:lineRule="auto"/>
        <w:contextualSpacing/>
        <w:jc w:val="both"/>
        <w:rPr>
          <w:rFonts w:ascii="Times New Roman" w:eastAsia="Times New Roman" w:hAnsi="Times New Roman" w:cs="Times New Roman"/>
          <w:sz w:val="24"/>
          <w:szCs w:val="24"/>
        </w:rPr>
      </w:pPr>
      <w:r w:rsidRPr="00503612">
        <w:rPr>
          <w:rFonts w:ascii="Times New Roman" w:eastAsia="Times New Roman" w:hAnsi="Times New Roman" w:cs="Times New Roman"/>
          <w:sz w:val="24"/>
          <w:szCs w:val="24"/>
        </w:rPr>
        <w:t>the authorities may ex officio order the personal data of the person concerned to be treated confidentially.</w:t>
      </w:r>
    </w:p>
    <w:p w:rsidR="00FE234A" w:rsidRPr="00503612" w:rsidRDefault="00FE234A" w:rsidP="00503612">
      <w:pPr>
        <w:suppressAutoHyphens/>
        <w:spacing w:after="0" w:line="276" w:lineRule="auto"/>
        <w:rPr>
          <w:rFonts w:ascii="Times New Roman" w:eastAsia="Calibri" w:hAnsi="Times New Roman" w:cs="Times New Roman"/>
          <w:sz w:val="24"/>
          <w:szCs w:val="24"/>
        </w:rPr>
      </w:pP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Additionally, there are special rules of witness protection, which aim to protect the life, physical integrity and personal freedom of a person requiring special treatment (and his relatives) and to guarantee that such a person meets his obligation to give testimony</w:t>
      </w:r>
      <w:r w:rsidR="00C8063C" w:rsidRPr="00503612">
        <w:rPr>
          <w:rFonts w:ascii="Times New Roman" w:eastAsia="Calibri" w:hAnsi="Times New Roman" w:cs="Times New Roman"/>
          <w:sz w:val="24"/>
          <w:szCs w:val="24"/>
        </w:rPr>
        <w:t>,</w:t>
      </w:r>
      <w:r w:rsidRPr="00503612">
        <w:rPr>
          <w:rFonts w:ascii="Times New Roman" w:eastAsia="Calibri" w:hAnsi="Times New Roman" w:cs="Times New Roman"/>
          <w:sz w:val="24"/>
          <w:szCs w:val="24"/>
        </w:rPr>
        <w:t xml:space="preserve"> which needs to be given without any intimidation. Such measures of witness protection include classifying the person requiring special treatment as a </w:t>
      </w:r>
      <w:r w:rsidRPr="00503612">
        <w:rPr>
          <w:rFonts w:ascii="Times New Roman" w:eastAsia="Calibri" w:hAnsi="Times New Roman" w:cs="Times New Roman"/>
          <w:b/>
          <w:sz w:val="24"/>
          <w:szCs w:val="24"/>
        </w:rPr>
        <w:t>specially protected witness</w:t>
      </w:r>
      <w:r w:rsidRPr="00503612">
        <w:rPr>
          <w:rFonts w:ascii="Times New Roman" w:eastAsia="Calibri" w:hAnsi="Times New Roman" w:cs="Times New Roman"/>
          <w:sz w:val="24"/>
          <w:szCs w:val="24"/>
        </w:rPr>
        <w:t xml:space="preserve"> (section 90-93), granting </w:t>
      </w:r>
      <w:r w:rsidRPr="00503612">
        <w:rPr>
          <w:rFonts w:ascii="Times New Roman" w:eastAsia="Calibri" w:hAnsi="Times New Roman" w:cs="Times New Roman"/>
          <w:b/>
          <w:sz w:val="24"/>
          <w:szCs w:val="24"/>
        </w:rPr>
        <w:t>personal protection</w:t>
      </w:r>
      <w:r w:rsidRPr="00503612">
        <w:rPr>
          <w:rFonts w:ascii="Times New Roman" w:eastAsia="Calibri" w:hAnsi="Times New Roman" w:cs="Times New Roman"/>
          <w:sz w:val="24"/>
          <w:szCs w:val="24"/>
        </w:rPr>
        <w:t xml:space="preserve"> (section 94) to them and ensuring them to participate in a </w:t>
      </w:r>
      <w:r w:rsidRPr="00503612">
        <w:rPr>
          <w:rFonts w:ascii="Times New Roman" w:eastAsia="Calibri" w:hAnsi="Times New Roman" w:cs="Times New Roman"/>
          <w:b/>
          <w:sz w:val="24"/>
          <w:szCs w:val="24"/>
        </w:rPr>
        <w:t xml:space="preserve">Protection Program </w:t>
      </w:r>
      <w:r w:rsidRPr="00503612">
        <w:rPr>
          <w:rFonts w:ascii="Times New Roman" w:eastAsia="Calibri" w:hAnsi="Times New Roman" w:cs="Times New Roman"/>
          <w:sz w:val="24"/>
          <w:szCs w:val="24"/>
        </w:rPr>
        <w:t xml:space="preserve">(section 95). Besides, the CPC has specific rules pertaining to the </w:t>
      </w:r>
      <w:r w:rsidRPr="00503612">
        <w:rPr>
          <w:rFonts w:ascii="Times New Roman" w:eastAsia="Calibri" w:hAnsi="Times New Roman" w:cs="Times New Roman"/>
          <w:b/>
          <w:sz w:val="24"/>
          <w:szCs w:val="24"/>
        </w:rPr>
        <w:t>protection of personal data</w:t>
      </w:r>
      <w:r w:rsidRPr="00503612">
        <w:rPr>
          <w:rFonts w:ascii="Times New Roman" w:eastAsia="Calibri" w:hAnsi="Times New Roman" w:cs="Times New Roman"/>
          <w:sz w:val="24"/>
          <w:szCs w:val="24"/>
        </w:rPr>
        <w:t xml:space="preserve"> during criminal proceedings (Chapter XV).</w:t>
      </w:r>
    </w:p>
    <w:p w:rsidR="00FE234A" w:rsidRPr="00503612" w:rsidRDefault="00FE234A" w:rsidP="00503612">
      <w:pPr>
        <w:suppressAutoHyphens/>
        <w:autoSpaceDE w:val="0"/>
        <w:autoSpaceDN w:val="0"/>
        <w:adjustRightInd w:val="0"/>
        <w:spacing w:after="0" w:line="276" w:lineRule="auto"/>
        <w:jc w:val="both"/>
        <w:rPr>
          <w:rFonts w:ascii="Times New Roman" w:eastAsia="Calibri" w:hAnsi="Times New Roman" w:cs="Times New Roman"/>
          <w:sz w:val="24"/>
          <w:szCs w:val="24"/>
        </w:rPr>
      </w:pPr>
    </w:p>
    <w:p w:rsidR="00FE234A" w:rsidRPr="00503612" w:rsidRDefault="00FE234A" w:rsidP="00503612">
      <w:pPr>
        <w:suppressAutoHyphens/>
        <w:spacing w:after="0" w:line="276" w:lineRule="auto"/>
        <w:jc w:val="both"/>
        <w:rPr>
          <w:rFonts w:ascii="Times New Roman" w:eastAsia="Calibri" w:hAnsi="Times New Roman" w:cs="Times New Roman"/>
          <w:sz w:val="24"/>
          <w:szCs w:val="24"/>
          <w:lang w:bidi="en-GB"/>
        </w:rPr>
      </w:pPr>
      <w:r w:rsidRPr="00503612">
        <w:rPr>
          <w:rFonts w:ascii="Times New Roman" w:eastAsia="Calibri" w:hAnsi="Times New Roman" w:cs="Times New Roman"/>
          <w:sz w:val="24"/>
          <w:szCs w:val="24"/>
        </w:rPr>
        <w:t xml:space="preserve">Moreover, the CPC makes it possible to issue a </w:t>
      </w:r>
      <w:r w:rsidRPr="00503612">
        <w:rPr>
          <w:rFonts w:ascii="Times New Roman" w:eastAsia="Calibri" w:hAnsi="Times New Roman" w:cs="Times New Roman"/>
          <w:b/>
          <w:sz w:val="24"/>
          <w:szCs w:val="24"/>
        </w:rPr>
        <w:t>restraining order</w:t>
      </w:r>
      <w:r w:rsidRPr="00503612">
        <w:rPr>
          <w:rFonts w:ascii="Times New Roman" w:eastAsia="Calibri" w:hAnsi="Times New Roman" w:cs="Times New Roman"/>
          <w:sz w:val="24"/>
          <w:szCs w:val="24"/>
        </w:rPr>
        <w:t xml:space="preserve"> to prevent the hindering of or interfering with taking evidence, prevent reoffending against the victim, or order </w:t>
      </w:r>
      <w:r w:rsidRPr="00503612">
        <w:rPr>
          <w:rFonts w:ascii="Times New Roman" w:eastAsia="Calibri" w:hAnsi="Times New Roman" w:cs="Times New Roman"/>
          <w:b/>
          <w:sz w:val="24"/>
          <w:szCs w:val="24"/>
        </w:rPr>
        <w:t>criminal supervision</w:t>
      </w:r>
      <w:r w:rsidRPr="00503612">
        <w:rPr>
          <w:rFonts w:ascii="Times New Roman" w:eastAsia="Calibri" w:hAnsi="Times New Roman" w:cs="Times New Roman"/>
          <w:sz w:val="24"/>
          <w:szCs w:val="24"/>
        </w:rPr>
        <w:t xml:space="preserve"> of the same reasons. The two measures can be ordered simultaneously. </w:t>
      </w:r>
      <w:r w:rsidRPr="00503612">
        <w:rPr>
          <w:rFonts w:ascii="Times New Roman" w:eastAsia="Calibri" w:hAnsi="Times New Roman" w:cs="Times New Roman"/>
          <w:sz w:val="24"/>
          <w:szCs w:val="24"/>
          <w:lang w:bidi="en-GB"/>
        </w:rPr>
        <w:t>The compliance with both the restraining order and the criminal supervision can be ensured by the electronic device monitoring the defendant's movement. The duration of the restraining order (to be ordered during criminal proceedings) is lengthened significantly. If it is ordered before the indictment is filed, it can last up to 4 months, which can be reordered for another 4 months. If the restraining order is issued or upheld during the court proceedings, depending on the instance of the proceeding court ordering or upholding the restraining order, it can last until the final judgment is delivered or the procedure is concluded. (sections 276-295 of the CPC)</w:t>
      </w:r>
    </w:p>
    <w:p w:rsidR="00FE234A" w:rsidRPr="00503612" w:rsidRDefault="00FE234A" w:rsidP="00503612">
      <w:pPr>
        <w:autoSpaceDE w:val="0"/>
        <w:autoSpaceDN w:val="0"/>
        <w:adjustRightInd w:val="0"/>
        <w:spacing w:after="0" w:line="276" w:lineRule="auto"/>
        <w:jc w:val="both"/>
        <w:rPr>
          <w:rFonts w:ascii="Times New Roman" w:eastAsia="Times New Roman" w:hAnsi="Times New Roman" w:cs="Times New Roman"/>
          <w:b/>
          <w:sz w:val="24"/>
          <w:szCs w:val="24"/>
          <w:lang w:val="en-US" w:eastAsia="fi-FI"/>
        </w:rPr>
      </w:pPr>
    </w:p>
    <w:p w:rsidR="00C94BC7" w:rsidRPr="00503612" w:rsidRDefault="00C94BC7" w:rsidP="00503612">
      <w:pPr>
        <w:spacing w:after="0" w:line="276" w:lineRule="auto"/>
        <w:jc w:val="both"/>
        <w:rPr>
          <w:rFonts w:ascii="Times New Roman" w:eastAsia="Times New Roman" w:hAnsi="Times New Roman" w:cs="Times New Roman"/>
          <w:b/>
          <w:sz w:val="24"/>
          <w:szCs w:val="24"/>
          <w:u w:val="single"/>
          <w:lang w:eastAsia="fi-FI"/>
        </w:rPr>
      </w:pP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Pursuant to Section 15 of the Criminal Code, it is possible that competent national authorities are entitled not to prosecute or impose penalties on victims of trafficking in human beings for their involvement in criminal activities which they have been compelled to commit as a direct consequence of the trafficking in human beings.</w:t>
      </w: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 xml:space="preserve"> </w:t>
      </w: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According to Section 15 of CC, the perpetrator may be totally or partially exempted from criminal responsibility, or an act may be fully or partly exempted from criminalisation on the following grounds:</w:t>
      </w: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being below the age of criminal responsibility;</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insanity;</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coercion and threat;</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mistake;</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justifiable defence;</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means of last resort;</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statutory authorisation;</w:t>
      </w:r>
    </w:p>
    <w:p w:rsidR="00C94BC7" w:rsidRPr="00503612" w:rsidRDefault="00C94BC7" w:rsidP="00503612">
      <w:pPr>
        <w:pStyle w:val="ListParagraph"/>
        <w:numPr>
          <w:ilvl w:val="0"/>
          <w:numId w:val="12"/>
        </w:num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other grounds defined by law.</w:t>
      </w: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 xml:space="preserve"> </w:t>
      </w:r>
    </w:p>
    <w:p w:rsidR="00C94BC7" w:rsidRPr="00503612" w:rsidRDefault="00C94BC7"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Of these, points a) to d) are of primary importance for the non-punishment principle. According to these, the exemption is ensured for a person under the age of fourteen years (section 6), and for a person who commits a punishable act under coercion or threat which prevents him from acting in line with his own will, and punishment may be reduced without limitation if the coercion or threat limits the ability of the perpetrator of a criminal offence to act in line with his own will. (section 19)</w:t>
      </w:r>
    </w:p>
    <w:p w:rsidR="004B16A3" w:rsidRPr="00503612" w:rsidRDefault="004B16A3" w:rsidP="00503612">
      <w:pPr>
        <w:spacing w:after="0" w:line="276" w:lineRule="auto"/>
        <w:jc w:val="both"/>
        <w:rPr>
          <w:rFonts w:ascii="Times New Roman" w:eastAsia="Times New Roman" w:hAnsi="Times New Roman" w:cs="Times New Roman"/>
          <w:b/>
          <w:sz w:val="24"/>
          <w:szCs w:val="24"/>
          <w:lang w:val="hu-HU" w:eastAsia="fi-FI"/>
        </w:rPr>
      </w:pPr>
    </w:p>
    <w:p w:rsidR="00FE234A" w:rsidRPr="00503612" w:rsidRDefault="002932B6" w:rsidP="00503612">
      <w:pPr>
        <w:spacing w:after="0" w:line="276" w:lineRule="auto"/>
        <w:jc w:val="both"/>
        <w:rPr>
          <w:rFonts w:ascii="Times New Roman" w:eastAsia="Calibri" w:hAnsi="Times New Roman" w:cs="Times New Roman"/>
          <w:sz w:val="24"/>
          <w:szCs w:val="24"/>
          <w:lang w:val="en-US"/>
        </w:rPr>
      </w:pPr>
      <w:r w:rsidRPr="00503612">
        <w:rPr>
          <w:rFonts w:ascii="Times New Roman" w:eastAsia="Times New Roman" w:hAnsi="Times New Roman" w:cs="Times New Roman"/>
          <w:b/>
          <w:sz w:val="24"/>
          <w:szCs w:val="24"/>
          <w:u w:val="single"/>
          <w:lang w:eastAsia="fi-FI"/>
        </w:rPr>
        <w:t>4) Victims’/survivors’ access to justice and to remedies</w:t>
      </w: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Times New Roman" w:hAnsi="Times New Roman" w:cs="Times New Roman"/>
          <w:sz w:val="24"/>
          <w:szCs w:val="24"/>
          <w:lang w:val="en-US" w:eastAsia="fi-FI"/>
        </w:rPr>
        <w:t xml:space="preserve">In Hungary, the state shall provide the following services to the crime victims after assessing their needs: facilitating the enforcement of interests (provision of information and legal advice, emotional help), instant monetary aid, state compensation, certificate of victim status, witness care, sheltered accommodation. </w:t>
      </w:r>
    </w:p>
    <w:p w:rsidR="00FE234A" w:rsidRPr="00503612" w:rsidRDefault="00FE234A"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Times New Roman" w:hAnsi="Times New Roman" w:cs="Times New Roman"/>
          <w:sz w:val="24"/>
          <w:szCs w:val="24"/>
          <w:lang w:eastAsia="fi-FI"/>
        </w:rPr>
        <w:t xml:space="preserve">In our experience, </w:t>
      </w:r>
      <w:r w:rsidRPr="00503612">
        <w:rPr>
          <w:rFonts w:ascii="Times New Roman" w:eastAsia="Times New Roman" w:hAnsi="Times New Roman" w:cs="Times New Roman"/>
          <w:b/>
          <w:sz w:val="24"/>
          <w:szCs w:val="24"/>
          <w:lang w:eastAsia="fi-FI"/>
        </w:rPr>
        <w:t>sheltered accommodation</w:t>
      </w:r>
      <w:r w:rsidRPr="00503612">
        <w:rPr>
          <w:rFonts w:ascii="Times New Roman" w:eastAsia="Times New Roman" w:hAnsi="Times New Roman" w:cs="Times New Roman"/>
          <w:sz w:val="24"/>
          <w:szCs w:val="24"/>
          <w:lang w:eastAsia="fi-FI"/>
        </w:rPr>
        <w:t xml:space="preserve"> is best suited to the needs of victims of modern slavery in order </w:t>
      </w:r>
      <w:r w:rsidRPr="00503612">
        <w:rPr>
          <w:rFonts w:ascii="Times New Roman" w:eastAsia="Times New Roman" w:hAnsi="Times New Roman" w:cs="Times New Roman"/>
          <w:color w:val="000000"/>
          <w:sz w:val="24"/>
          <w:szCs w:val="24"/>
          <w:lang w:eastAsia="hu-HU"/>
        </w:rPr>
        <w:t>to escape the influence of the perpetrators, regain mental strength and embark on the path of a different life.</w:t>
      </w:r>
      <w:r w:rsidRPr="00503612">
        <w:rPr>
          <w:rFonts w:ascii="Times New Roman" w:eastAsia="Times New Roman" w:hAnsi="Times New Roman" w:cs="Times New Roman"/>
          <w:sz w:val="24"/>
          <w:szCs w:val="24"/>
          <w:lang w:eastAsia="fi-FI"/>
        </w:rPr>
        <w:t xml:space="preserve"> Currently in Hungary, four non-governmental organizations operate a total of 6 shelters for victims of modern slavery. These institutions can be accessed regardless of police report / the initiation of criminal proceedings. The shelters provide housing in safe location, full care (meals, medical care, clothing, etc.) and the availability of a team of professionals (social worker, psychologist, lawyer). </w:t>
      </w:r>
    </w:p>
    <w:p w:rsidR="00FE234A" w:rsidRPr="00503612" w:rsidRDefault="00FE234A"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Times New Roman" w:hAnsi="Times New Roman" w:cs="Times New Roman"/>
          <w:sz w:val="24"/>
          <w:szCs w:val="24"/>
          <w:lang w:eastAsia="fi-FI"/>
        </w:rPr>
      </w:pPr>
      <w:r w:rsidRPr="00503612">
        <w:rPr>
          <w:rFonts w:ascii="Times New Roman" w:eastAsia="Times New Roman" w:hAnsi="Times New Roman" w:cs="Times New Roman"/>
          <w:sz w:val="24"/>
          <w:szCs w:val="24"/>
          <w:lang w:eastAsia="fi-FI"/>
        </w:rPr>
        <w:t xml:space="preserve">So-called </w:t>
      </w:r>
      <w:r w:rsidRPr="00503612">
        <w:rPr>
          <w:rFonts w:ascii="Times New Roman" w:eastAsia="Times New Roman" w:hAnsi="Times New Roman" w:cs="Times New Roman"/>
          <w:b/>
          <w:sz w:val="24"/>
          <w:szCs w:val="24"/>
          <w:lang w:eastAsia="fi-FI"/>
        </w:rPr>
        <w:t>half-way houses</w:t>
      </w:r>
      <w:r w:rsidRPr="00503612">
        <w:rPr>
          <w:rFonts w:ascii="Times New Roman" w:eastAsia="Times New Roman" w:hAnsi="Times New Roman" w:cs="Times New Roman"/>
          <w:sz w:val="24"/>
          <w:szCs w:val="24"/>
          <w:lang w:eastAsia="fi-FI"/>
        </w:rPr>
        <w:t xml:space="preserve"> connected to the shelters also form part of the complex assistance, designed to establish and strengthen independent living after the first few months of crisis intervention.</w:t>
      </w:r>
    </w:p>
    <w:p w:rsidR="00FE234A" w:rsidRPr="00503612" w:rsidRDefault="00FE234A" w:rsidP="00503612">
      <w:pPr>
        <w:spacing w:after="0" w:line="276" w:lineRule="auto"/>
        <w:jc w:val="both"/>
        <w:rPr>
          <w:rFonts w:ascii="Times New Roman" w:eastAsia="Times New Roman" w:hAnsi="Times New Roman" w:cs="Times New Roman"/>
          <w:sz w:val="24"/>
          <w:szCs w:val="24"/>
          <w:lang w:eastAsia="fi-FI"/>
        </w:rPr>
      </w:pPr>
    </w:p>
    <w:p w:rsidR="00FE234A" w:rsidRPr="00503612" w:rsidRDefault="00FE234A" w:rsidP="00503612">
      <w:pPr>
        <w:spacing w:after="0" w:line="276" w:lineRule="auto"/>
        <w:jc w:val="both"/>
        <w:rPr>
          <w:rFonts w:ascii="Times New Roman" w:eastAsia="Times New Roman" w:hAnsi="Times New Roman" w:cs="Times New Roman"/>
          <w:bCs/>
          <w:iCs/>
          <w:sz w:val="24"/>
          <w:szCs w:val="24"/>
          <w:lang w:eastAsia="fi-FI"/>
        </w:rPr>
      </w:pPr>
      <w:r w:rsidRPr="00503612">
        <w:rPr>
          <w:rFonts w:ascii="Times New Roman" w:eastAsia="Times New Roman" w:hAnsi="Times New Roman" w:cs="Times New Roman"/>
          <w:sz w:val="24"/>
          <w:szCs w:val="24"/>
          <w:lang w:eastAsia="fi-FI"/>
        </w:rPr>
        <w:t xml:space="preserve">The special needs of those fallen victim to modern slavery are taken into account during the criminal proceedings as well. As a factor justifying special treatment, the </w:t>
      </w:r>
      <w:r w:rsidRPr="00503612">
        <w:rPr>
          <w:rFonts w:ascii="Times New Roman" w:eastAsia="Times New Roman" w:hAnsi="Times New Roman" w:cs="Times New Roman"/>
          <w:i/>
          <w:sz w:val="24"/>
          <w:szCs w:val="24"/>
          <w:lang w:eastAsia="fi-FI"/>
        </w:rPr>
        <w:t>Criminal Procedure Code</w:t>
      </w:r>
      <w:r w:rsidRPr="00503612">
        <w:rPr>
          <w:rFonts w:ascii="Times New Roman" w:eastAsia="Times New Roman" w:hAnsi="Times New Roman" w:cs="Times New Roman"/>
          <w:sz w:val="24"/>
          <w:szCs w:val="24"/>
          <w:lang w:eastAsia="fi-FI"/>
        </w:rPr>
        <w:t xml:space="preserve"> explicitly refers to the risk arising from the victim’s relationship with another person involved in the criminal proceedings – a common feature of trafficking cases. Protective measures and safeguards applicable to such persons mean, for instance, that face to face meeting with the defendant can be avoided: confrontations during the investigation are skipped, any procedural act may be performed in separate rooms, and the presence in court can possibly be ensured through telecommunications devices (remote hearing). The restriction of the defendant’s right to ask questions and the use of voice and video recordings also</w:t>
      </w:r>
      <w:r w:rsidRPr="00503612">
        <w:rPr>
          <w:rFonts w:ascii="Times New Roman" w:eastAsia="Times New Roman" w:hAnsi="Times New Roman" w:cs="Times New Roman"/>
          <w:bCs/>
          <w:iCs/>
          <w:sz w:val="24"/>
          <w:szCs w:val="24"/>
          <w:lang w:eastAsia="fi-FI"/>
        </w:rPr>
        <w:t xml:space="preserve"> play an important role in reducing the risk of secondary victimization and enhancing victims' willingness to testify.</w:t>
      </w:r>
    </w:p>
    <w:p w:rsidR="00FE234A" w:rsidRPr="00503612" w:rsidRDefault="00FE234A" w:rsidP="00503612">
      <w:pPr>
        <w:spacing w:after="0" w:line="276" w:lineRule="auto"/>
        <w:jc w:val="both"/>
        <w:rPr>
          <w:rFonts w:ascii="Times New Roman" w:eastAsia="Times New Roman" w:hAnsi="Times New Roman" w:cs="Times New Roman"/>
          <w:bCs/>
          <w:iCs/>
          <w:sz w:val="24"/>
          <w:szCs w:val="24"/>
          <w:lang w:eastAsia="fi-FI"/>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In the criminal proceedings</w:t>
      </w:r>
      <w:r w:rsidR="00C94BC7" w:rsidRPr="00503612">
        <w:rPr>
          <w:rFonts w:ascii="Times New Roman" w:eastAsia="Calibri" w:hAnsi="Times New Roman" w:cs="Times New Roman"/>
          <w:sz w:val="24"/>
          <w:szCs w:val="24"/>
        </w:rPr>
        <w:t>,</w:t>
      </w:r>
      <w:r w:rsidR="00BF24BB" w:rsidRPr="00503612">
        <w:rPr>
          <w:rFonts w:ascii="Times New Roman" w:eastAsia="Calibri" w:hAnsi="Times New Roman" w:cs="Times New Roman"/>
          <w:sz w:val="24"/>
          <w:szCs w:val="24"/>
        </w:rPr>
        <w:t xml:space="preserve"> </w:t>
      </w:r>
      <w:r w:rsidRPr="00503612">
        <w:rPr>
          <w:rFonts w:ascii="Times New Roman" w:eastAsia="Calibri" w:hAnsi="Times New Roman" w:cs="Times New Roman"/>
          <w:sz w:val="24"/>
          <w:szCs w:val="24"/>
        </w:rPr>
        <w:t xml:space="preserve">the investigative authorities detect and seize the proceeds of the crime to secure a civil claim or the confiscation of property, and also a separate Asset Recovery Office operates within the organization of the National Bureau of Investigation. </w:t>
      </w:r>
    </w:p>
    <w:p w:rsidR="00FE234A" w:rsidRPr="00503612" w:rsidRDefault="00FE234A" w:rsidP="00503612">
      <w:pPr>
        <w:spacing w:after="0" w:line="276" w:lineRule="auto"/>
        <w:jc w:val="both"/>
        <w:rPr>
          <w:rFonts w:ascii="Times New Roman" w:eastAsia="Calibri" w:hAnsi="Times New Roman" w:cs="Times New Roman"/>
          <w:sz w:val="24"/>
          <w:szCs w:val="24"/>
        </w:rPr>
      </w:pPr>
    </w:p>
    <w:p w:rsidR="00FE234A" w:rsidRPr="00503612" w:rsidRDefault="00FE234A" w:rsidP="00503612">
      <w:pPr>
        <w:spacing w:after="0" w:line="276" w:lineRule="auto"/>
        <w:jc w:val="both"/>
        <w:rPr>
          <w:rFonts w:ascii="Times New Roman" w:eastAsia="Calibri" w:hAnsi="Times New Roman" w:cs="Times New Roman"/>
          <w:sz w:val="24"/>
          <w:szCs w:val="24"/>
        </w:rPr>
      </w:pPr>
      <w:r w:rsidRPr="00503612">
        <w:rPr>
          <w:rFonts w:ascii="Times New Roman" w:eastAsia="Calibri" w:hAnsi="Times New Roman" w:cs="Times New Roman"/>
          <w:sz w:val="24"/>
          <w:szCs w:val="24"/>
        </w:rPr>
        <w:t xml:space="preserve">Victims of intentional violent crimes against a person may claim </w:t>
      </w:r>
      <w:r w:rsidRPr="00503612">
        <w:rPr>
          <w:rFonts w:ascii="Times New Roman" w:eastAsia="Calibri" w:hAnsi="Times New Roman" w:cs="Times New Roman"/>
          <w:b/>
          <w:sz w:val="24"/>
          <w:szCs w:val="24"/>
        </w:rPr>
        <w:t>state compensation</w:t>
      </w:r>
      <w:r w:rsidRPr="00503612">
        <w:rPr>
          <w:rFonts w:ascii="Times New Roman" w:eastAsia="Calibri" w:hAnsi="Times New Roman" w:cs="Times New Roman"/>
          <w:sz w:val="24"/>
          <w:szCs w:val="24"/>
        </w:rPr>
        <w:t xml:space="preserve">, the maximum amount of which is currently </w:t>
      </w:r>
      <w:r w:rsidRPr="00503612">
        <w:rPr>
          <w:rFonts w:ascii="Times New Roman" w:eastAsia="Calibri" w:hAnsi="Times New Roman" w:cs="Times New Roman"/>
          <w:color w:val="000000"/>
          <w:sz w:val="24"/>
          <w:szCs w:val="24"/>
          <w:lang w:eastAsia="hu-HU"/>
        </w:rPr>
        <w:t xml:space="preserve">HUF 2,372,520 (equal to approx. EUR 6,600). As of 1 January 2021 several new provisions entered into force to facilitate the recourse </w:t>
      </w:r>
      <w:r w:rsidRPr="00503612">
        <w:rPr>
          <w:rFonts w:ascii="Times New Roman" w:eastAsia="Calibri" w:hAnsi="Times New Roman" w:cs="Times New Roman"/>
          <w:sz w:val="24"/>
          <w:szCs w:val="24"/>
        </w:rPr>
        <w:t xml:space="preserve">to state compensation which can be recommended as best practice to the Member States participating in the present review. The previous condition of need (social deprivation calculated on the basis of the monthly net income of the applicant) was abolished and the time frame for the application for compensation to be submitted was raised from 3 months to 1 year after the crime in question was committed/suffered. </w:t>
      </w:r>
    </w:p>
    <w:p w:rsidR="00C8063C" w:rsidRPr="00503612" w:rsidRDefault="00C8063C" w:rsidP="00503612">
      <w:pPr>
        <w:spacing w:after="0" w:line="276" w:lineRule="auto"/>
        <w:jc w:val="both"/>
        <w:rPr>
          <w:rFonts w:ascii="Times New Roman" w:eastAsia="Calibri" w:hAnsi="Times New Roman" w:cs="Times New Roman"/>
          <w:sz w:val="24"/>
          <w:szCs w:val="24"/>
        </w:rPr>
      </w:pPr>
    </w:p>
    <w:p w:rsidR="00C8063C" w:rsidRPr="00503612" w:rsidRDefault="00C8063C" w:rsidP="00503612">
      <w:pPr>
        <w:spacing w:after="0" w:line="276" w:lineRule="auto"/>
        <w:jc w:val="both"/>
        <w:rPr>
          <w:rFonts w:ascii="Times New Roman" w:eastAsia="Calibri" w:hAnsi="Times New Roman" w:cs="Times New Roman"/>
          <w:sz w:val="24"/>
          <w:szCs w:val="24"/>
          <w:lang w:val="en-US"/>
        </w:rPr>
      </w:pPr>
    </w:p>
    <w:p w:rsidR="004B16A3" w:rsidRPr="00503612" w:rsidRDefault="00FE234A" w:rsidP="00503612">
      <w:pPr>
        <w:spacing w:after="0" w:line="276" w:lineRule="auto"/>
        <w:jc w:val="both"/>
        <w:rPr>
          <w:rFonts w:ascii="Times New Roman" w:eastAsia="Calibri" w:hAnsi="Times New Roman" w:cs="Times New Roman"/>
          <w:b/>
          <w:color w:val="000000"/>
          <w:sz w:val="24"/>
          <w:szCs w:val="24"/>
          <w:u w:val="single"/>
          <w:lang w:val="hu-HU"/>
        </w:rPr>
      </w:pPr>
      <w:r w:rsidRPr="00503612">
        <w:rPr>
          <w:rFonts w:ascii="Times New Roman" w:eastAsia="Calibri" w:hAnsi="Times New Roman" w:cs="Times New Roman"/>
          <w:b/>
          <w:color w:val="000000"/>
          <w:sz w:val="24"/>
          <w:szCs w:val="24"/>
          <w:u w:val="single"/>
          <w:lang w:val="en-US"/>
        </w:rPr>
        <w:t xml:space="preserve">5) </w:t>
      </w:r>
      <w:r w:rsidR="004B16A3" w:rsidRPr="00503612">
        <w:rPr>
          <w:rFonts w:ascii="Times New Roman" w:eastAsia="Calibri" w:hAnsi="Times New Roman" w:cs="Times New Roman"/>
          <w:b/>
          <w:color w:val="000000"/>
          <w:sz w:val="24"/>
          <w:szCs w:val="24"/>
          <w:u w:val="single"/>
        </w:rPr>
        <w:t>Other Questions</w:t>
      </w:r>
      <w:r w:rsidR="004B16A3" w:rsidRPr="00503612">
        <w:rPr>
          <w:rFonts w:ascii="Times New Roman" w:eastAsia="Calibri" w:hAnsi="Times New Roman" w:cs="Times New Roman"/>
          <w:b/>
          <w:color w:val="000000"/>
          <w:sz w:val="24"/>
          <w:szCs w:val="24"/>
          <w:u w:val="single"/>
          <w:lang w:val="hu-HU"/>
        </w:rPr>
        <w:t xml:space="preserve"> </w:t>
      </w:r>
    </w:p>
    <w:p w:rsidR="004B16A3" w:rsidRPr="00503612" w:rsidRDefault="004B16A3" w:rsidP="00503612">
      <w:pPr>
        <w:spacing w:after="0" w:line="276" w:lineRule="auto"/>
        <w:jc w:val="both"/>
        <w:rPr>
          <w:rFonts w:ascii="Times New Roman" w:eastAsia="Calibri" w:hAnsi="Times New Roman" w:cs="Times New Roman"/>
          <w:b/>
          <w:color w:val="000000"/>
          <w:sz w:val="24"/>
          <w:szCs w:val="24"/>
          <w:lang w:val="en-US"/>
        </w:rPr>
      </w:pPr>
    </w:p>
    <w:p w:rsidR="00FE234A" w:rsidRPr="00503612" w:rsidRDefault="00FE234A" w:rsidP="00503612">
      <w:pPr>
        <w:spacing w:after="0" w:line="276" w:lineRule="auto"/>
        <w:jc w:val="both"/>
        <w:rPr>
          <w:rFonts w:ascii="Times New Roman" w:eastAsia="Calibri" w:hAnsi="Times New Roman" w:cs="Times New Roman"/>
          <w:sz w:val="24"/>
          <w:szCs w:val="24"/>
          <w:lang w:val="en-US"/>
        </w:rPr>
      </w:pPr>
      <w:r w:rsidRPr="00503612">
        <w:rPr>
          <w:rFonts w:ascii="Times New Roman" w:eastAsia="Calibri" w:hAnsi="Times New Roman" w:cs="Times New Roman"/>
          <w:b/>
          <w:color w:val="000000"/>
          <w:sz w:val="24"/>
          <w:szCs w:val="24"/>
          <w:lang w:val="en-US"/>
        </w:rPr>
        <w:t xml:space="preserve">Implications of the COVID-19 pandemic </w:t>
      </w:r>
    </w:p>
    <w:p w:rsidR="00FE234A" w:rsidRPr="00503612" w:rsidRDefault="00FE234A" w:rsidP="00503612">
      <w:pPr>
        <w:spacing w:after="0" w:line="276" w:lineRule="auto"/>
        <w:jc w:val="both"/>
        <w:rPr>
          <w:rFonts w:ascii="Times New Roman" w:eastAsia="Calibri" w:hAnsi="Times New Roman" w:cs="Times New Roman"/>
          <w:sz w:val="24"/>
          <w:szCs w:val="24"/>
          <w:lang w:val="en-US"/>
        </w:rPr>
      </w:pPr>
    </w:p>
    <w:p w:rsidR="00FE234A" w:rsidRPr="00503612" w:rsidRDefault="00FE234A" w:rsidP="00503612">
      <w:pPr>
        <w:spacing w:after="0" w:line="276" w:lineRule="auto"/>
        <w:jc w:val="both"/>
        <w:rPr>
          <w:rFonts w:ascii="Times New Roman" w:eastAsia="Calibri" w:hAnsi="Times New Roman" w:cs="Times New Roman"/>
          <w:sz w:val="24"/>
          <w:szCs w:val="24"/>
          <w:lang w:val="en-US"/>
        </w:rPr>
      </w:pPr>
      <w:r w:rsidRPr="00503612">
        <w:rPr>
          <w:rFonts w:ascii="Times New Roman" w:eastAsia="Calibri" w:hAnsi="Times New Roman" w:cs="Times New Roman"/>
          <w:color w:val="000000"/>
          <w:sz w:val="24"/>
          <w:szCs w:val="24"/>
          <w:lang w:val="en-US"/>
        </w:rPr>
        <w:t xml:space="preserve">In view of the epidemiological situation, many countries, including Hungary, had tightened the rules of entry: partial or full border closures have been ordered and lockdown measures have been put in place. </w:t>
      </w:r>
      <w:r w:rsidRPr="00503612">
        <w:rPr>
          <w:rFonts w:ascii="Times New Roman" w:eastAsia="Calibri" w:hAnsi="Times New Roman" w:cs="Times New Roman"/>
          <w:iCs/>
          <w:color w:val="000000"/>
          <w:sz w:val="24"/>
          <w:szCs w:val="24"/>
          <w:lang w:val="en-US"/>
        </w:rPr>
        <w:t xml:space="preserve">As a result of these restrictions, most brothels, sauna clubs and buildings for window prostitution in the former destination countries of Western Europe have closed, </w:t>
      </w:r>
      <w:r w:rsidRPr="00503612">
        <w:rPr>
          <w:rFonts w:ascii="Times New Roman" w:eastAsia="Calibri" w:hAnsi="Times New Roman" w:cs="Times New Roman"/>
          <w:color w:val="000000"/>
          <w:sz w:val="24"/>
          <w:szCs w:val="24"/>
          <w:lang w:val="en-US"/>
        </w:rPr>
        <w:t>and opportunities to offer sexual services in public space have been significantly shrunk.</w:t>
      </w:r>
      <w:r w:rsidRPr="00503612">
        <w:rPr>
          <w:rFonts w:ascii="Times New Roman" w:eastAsia="Calibri" w:hAnsi="Times New Roman" w:cs="Times New Roman"/>
          <w:iCs/>
          <w:color w:val="000000"/>
          <w:sz w:val="24"/>
          <w:szCs w:val="24"/>
          <w:lang w:val="en-US"/>
        </w:rPr>
        <w:t xml:space="preserve"> In addition to partial curfews, the fear of infection has also played an important role in the reduction of the demand side of prostitution services. </w:t>
      </w:r>
    </w:p>
    <w:p w:rsidR="00FE234A" w:rsidRPr="00503612" w:rsidRDefault="00FE234A" w:rsidP="00503612">
      <w:pPr>
        <w:spacing w:after="0" w:line="276" w:lineRule="auto"/>
        <w:jc w:val="both"/>
        <w:rPr>
          <w:rFonts w:ascii="Times New Roman" w:eastAsia="Calibri" w:hAnsi="Times New Roman" w:cs="Times New Roman"/>
          <w:sz w:val="24"/>
          <w:szCs w:val="24"/>
          <w:lang w:val="en-US"/>
        </w:rPr>
      </w:pPr>
    </w:p>
    <w:p w:rsidR="00FE234A" w:rsidRPr="00503612" w:rsidRDefault="00FE234A" w:rsidP="00503612">
      <w:pPr>
        <w:spacing w:after="0" w:line="276" w:lineRule="auto"/>
        <w:jc w:val="both"/>
        <w:rPr>
          <w:rFonts w:ascii="Times New Roman" w:eastAsia="Calibri" w:hAnsi="Times New Roman" w:cs="Times New Roman"/>
          <w:sz w:val="24"/>
          <w:szCs w:val="24"/>
          <w:lang w:val="en-US"/>
        </w:rPr>
      </w:pPr>
      <w:r w:rsidRPr="00503612">
        <w:rPr>
          <w:rFonts w:ascii="Times New Roman" w:eastAsia="Calibri" w:hAnsi="Times New Roman" w:cs="Times New Roman"/>
          <w:color w:val="000000"/>
          <w:sz w:val="24"/>
          <w:szCs w:val="24"/>
          <w:lang w:val="en-US"/>
        </w:rPr>
        <w:t xml:space="preserve">The combined effect of border closures, the introduction of travel restrictions, and the closure of the above-mentioned facilities have led to a near complete reduction in the </w:t>
      </w:r>
      <w:r w:rsidR="00C94BC7" w:rsidRPr="00503612">
        <w:rPr>
          <w:rFonts w:ascii="Times New Roman" w:eastAsia="Calibri" w:hAnsi="Times New Roman" w:cs="Times New Roman"/>
          <w:color w:val="000000"/>
          <w:sz w:val="24"/>
          <w:szCs w:val="24"/>
          <w:lang w:val="en-US"/>
        </w:rPr>
        <w:t>THB</w:t>
      </w:r>
      <w:r w:rsidRPr="00503612">
        <w:rPr>
          <w:rFonts w:ascii="Times New Roman" w:eastAsia="Calibri" w:hAnsi="Times New Roman" w:cs="Times New Roman"/>
          <w:color w:val="000000"/>
          <w:sz w:val="24"/>
          <w:szCs w:val="24"/>
          <w:lang w:val="en-US"/>
        </w:rPr>
        <w:t>-related movements to foreign countries. In this context, t</w:t>
      </w:r>
      <w:r w:rsidRPr="00503612">
        <w:rPr>
          <w:rFonts w:ascii="Times New Roman" w:eastAsia="Calibri" w:hAnsi="Times New Roman" w:cs="Times New Roman"/>
          <w:iCs/>
          <w:color w:val="000000"/>
          <w:sz w:val="24"/>
          <w:szCs w:val="24"/>
          <w:lang w:val="en-US"/>
        </w:rPr>
        <w:t xml:space="preserve">he Hungarian authorities have noticed that some of sexual services are being shifted to Hungary, </w:t>
      </w:r>
      <w:r w:rsidRPr="00503612">
        <w:rPr>
          <w:rFonts w:ascii="Times New Roman" w:eastAsia="Calibri" w:hAnsi="Times New Roman" w:cs="Times New Roman"/>
          <w:color w:val="000000"/>
          <w:sz w:val="24"/>
          <w:szCs w:val="24"/>
          <w:lang w:val="en-US"/>
        </w:rPr>
        <w:t xml:space="preserve">where domestic restrictions have only periodically made pursuing it difficult. </w:t>
      </w:r>
    </w:p>
    <w:p w:rsidR="00FE234A" w:rsidRPr="00503612" w:rsidRDefault="00FE234A" w:rsidP="00503612">
      <w:pPr>
        <w:spacing w:after="0" w:line="276" w:lineRule="auto"/>
        <w:jc w:val="both"/>
        <w:rPr>
          <w:rFonts w:ascii="Times New Roman" w:eastAsia="Calibri" w:hAnsi="Times New Roman" w:cs="Times New Roman"/>
          <w:sz w:val="24"/>
          <w:szCs w:val="24"/>
          <w:lang w:val="en-US"/>
        </w:rPr>
      </w:pPr>
    </w:p>
    <w:p w:rsidR="00FE234A" w:rsidRPr="00503612" w:rsidRDefault="00FE234A" w:rsidP="00503612">
      <w:pPr>
        <w:spacing w:after="0" w:line="276" w:lineRule="auto"/>
        <w:jc w:val="both"/>
        <w:rPr>
          <w:rFonts w:ascii="Times New Roman" w:eastAsia="Calibri" w:hAnsi="Times New Roman" w:cs="Times New Roman"/>
          <w:sz w:val="24"/>
          <w:szCs w:val="24"/>
          <w:lang w:val="en-US"/>
        </w:rPr>
      </w:pPr>
      <w:r w:rsidRPr="00503612">
        <w:rPr>
          <w:rFonts w:ascii="Times New Roman" w:eastAsia="Calibri" w:hAnsi="Times New Roman" w:cs="Times New Roman"/>
          <w:color w:val="000000"/>
          <w:sz w:val="24"/>
          <w:szCs w:val="24"/>
          <w:lang w:val="en-US"/>
        </w:rPr>
        <w:t xml:space="preserve">Despite the recent hardship, it can now be stated that the Hungarian victim support system has withstood the emergency: all types of assistance for victims of human trafficking, including the Victim Support Centers and sheltered accommodations were available without interruptions in the past year. </w:t>
      </w:r>
      <w:r w:rsidRPr="00503612">
        <w:rPr>
          <w:rFonts w:ascii="Times New Roman" w:eastAsia="Calibri" w:hAnsi="Times New Roman" w:cs="Times New Roman"/>
          <w:sz w:val="24"/>
          <w:szCs w:val="24"/>
          <w:lang w:val="en"/>
        </w:rPr>
        <w:t xml:space="preserve">None of the shelters reported infections; the service providers have taken necessary precautionary measures, and they can ensure that the newly-arrived victims are isolated at all times. </w:t>
      </w:r>
    </w:p>
    <w:p w:rsidR="00FE234A" w:rsidRPr="00503612" w:rsidRDefault="00FE234A" w:rsidP="00503612">
      <w:pPr>
        <w:spacing w:line="276" w:lineRule="auto"/>
        <w:rPr>
          <w:rFonts w:ascii="Times New Roman" w:hAnsi="Times New Roman" w:cs="Times New Roman"/>
          <w:sz w:val="24"/>
          <w:szCs w:val="24"/>
        </w:rPr>
      </w:pPr>
    </w:p>
    <w:sectPr w:rsidR="00FE234A" w:rsidRPr="005036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FB" w:rsidRDefault="00AE2DFB" w:rsidP="00FE234A">
      <w:pPr>
        <w:spacing w:after="0" w:line="240" w:lineRule="auto"/>
      </w:pPr>
      <w:r>
        <w:separator/>
      </w:r>
    </w:p>
  </w:endnote>
  <w:endnote w:type="continuationSeparator" w:id="0">
    <w:p w:rsidR="00AE2DFB" w:rsidRDefault="00AE2DFB" w:rsidP="00FE2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FB" w:rsidRDefault="00AE2DFB" w:rsidP="00FE234A">
      <w:pPr>
        <w:spacing w:after="0" w:line="240" w:lineRule="auto"/>
      </w:pPr>
      <w:r>
        <w:separator/>
      </w:r>
    </w:p>
  </w:footnote>
  <w:footnote w:type="continuationSeparator" w:id="0">
    <w:p w:rsidR="00AE2DFB" w:rsidRDefault="00AE2DFB" w:rsidP="00FE234A">
      <w:pPr>
        <w:spacing w:after="0" w:line="240" w:lineRule="auto"/>
      </w:pPr>
      <w:r>
        <w:continuationSeparator/>
      </w:r>
    </w:p>
  </w:footnote>
  <w:footnote w:id="1">
    <w:p w:rsidR="00FE234A" w:rsidRPr="0063722B" w:rsidRDefault="00FE234A" w:rsidP="00FE234A">
      <w:pPr>
        <w:pStyle w:val="FootnoteText"/>
        <w:rPr>
          <w:rFonts w:ascii="Times New Roman" w:hAnsi="Times New Roman" w:cs="Times New Roman"/>
        </w:rPr>
      </w:pPr>
      <w:r w:rsidRPr="0063722B">
        <w:rPr>
          <w:rStyle w:val="FootnoteReference"/>
          <w:rFonts w:ascii="Times New Roman" w:hAnsi="Times New Roman" w:cs="Times New Roman"/>
        </w:rPr>
        <w:footnoteRef/>
      </w:r>
      <w:r w:rsidRPr="0063722B">
        <w:rPr>
          <w:rFonts w:ascii="Times New Roman" w:hAnsi="Times New Roman" w:cs="Times New Roman"/>
        </w:rPr>
        <w:t xml:space="preserve"> Official translation of the Criminal Code: </w:t>
      </w:r>
      <w:hyperlink r:id="rId1" w:history="1">
        <w:r w:rsidR="00C8063C" w:rsidRPr="0063722B">
          <w:rPr>
            <w:rStyle w:val="Hyperlink"/>
            <w:rFonts w:ascii="Times New Roman" w:hAnsi="Times New Roman" w:cs="Times New Roman"/>
          </w:rPr>
          <w:t>http://njt.hu/translated/doc/J2012T0100P_20200716_FIN.PDF</w:t>
        </w:r>
      </w:hyperlink>
      <w:r w:rsidR="00C8063C" w:rsidRPr="0063722B">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6D29"/>
    <w:multiLevelType w:val="hybridMultilevel"/>
    <w:tmpl w:val="10420EEE"/>
    <w:lvl w:ilvl="0" w:tplc="931ACB02">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521032E"/>
    <w:multiLevelType w:val="hybridMultilevel"/>
    <w:tmpl w:val="1BDE7EC6"/>
    <w:lvl w:ilvl="0" w:tplc="29A02270">
      <w:start w:val="5"/>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15523256"/>
    <w:multiLevelType w:val="hybridMultilevel"/>
    <w:tmpl w:val="CAB626EE"/>
    <w:lvl w:ilvl="0" w:tplc="2704337E">
      <w:start w:val="2"/>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1BC34B36"/>
    <w:multiLevelType w:val="hybridMultilevel"/>
    <w:tmpl w:val="594C328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F832AE0"/>
    <w:multiLevelType w:val="hybridMultilevel"/>
    <w:tmpl w:val="090C4B7C"/>
    <w:lvl w:ilvl="0" w:tplc="931ACB02">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4EC247F"/>
    <w:multiLevelType w:val="hybridMultilevel"/>
    <w:tmpl w:val="86341B2E"/>
    <w:lvl w:ilvl="0" w:tplc="931ACB02">
      <w:start w:val="1"/>
      <w:numFmt w:val="bullet"/>
      <w:lvlText w:val="-"/>
      <w:lvlJc w:val="left"/>
      <w:pPr>
        <w:ind w:left="644" w:hanging="360"/>
      </w:pPr>
      <w:rPr>
        <w:rFonts w:ascii="Times New Roman" w:eastAsiaTheme="minorHAnsi"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6" w15:restartNumberingAfterBreak="0">
    <w:nsid w:val="2597448B"/>
    <w:multiLevelType w:val="hybridMultilevel"/>
    <w:tmpl w:val="98CA09EA"/>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7" w15:restartNumberingAfterBreak="0">
    <w:nsid w:val="2CCB136A"/>
    <w:multiLevelType w:val="hybridMultilevel"/>
    <w:tmpl w:val="126E6886"/>
    <w:lvl w:ilvl="0" w:tplc="040E0003">
      <w:start w:val="1"/>
      <w:numFmt w:val="bullet"/>
      <w:lvlText w:val="o"/>
      <w:lvlJc w:val="left"/>
      <w:pPr>
        <w:ind w:left="2160" w:hanging="360"/>
      </w:pPr>
      <w:rPr>
        <w:rFonts w:ascii="Courier New" w:hAnsi="Courier New" w:cs="Courier New"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8" w15:restartNumberingAfterBreak="0">
    <w:nsid w:val="3618739F"/>
    <w:multiLevelType w:val="hybridMultilevel"/>
    <w:tmpl w:val="E69CAAB2"/>
    <w:lvl w:ilvl="0" w:tplc="931ACB02">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45231EB"/>
    <w:multiLevelType w:val="hybridMultilevel"/>
    <w:tmpl w:val="9F3068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5E74873"/>
    <w:multiLevelType w:val="hybridMultilevel"/>
    <w:tmpl w:val="5400F7A2"/>
    <w:lvl w:ilvl="0" w:tplc="040E0003">
      <w:start w:val="1"/>
      <w:numFmt w:val="bullet"/>
      <w:lvlText w:val="o"/>
      <w:lvlJc w:val="left"/>
      <w:pPr>
        <w:ind w:left="2160" w:hanging="360"/>
      </w:pPr>
      <w:rPr>
        <w:rFonts w:ascii="Courier New" w:hAnsi="Courier New" w:cs="Courier New"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1" w15:restartNumberingAfterBreak="0">
    <w:nsid w:val="632F5D09"/>
    <w:multiLevelType w:val="hybridMultilevel"/>
    <w:tmpl w:val="A79A6592"/>
    <w:lvl w:ilvl="0" w:tplc="931ACB02">
      <w:start w:val="1"/>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6339564D"/>
    <w:multiLevelType w:val="hybridMultilevel"/>
    <w:tmpl w:val="38765BCE"/>
    <w:lvl w:ilvl="0" w:tplc="040E0003">
      <w:start w:val="1"/>
      <w:numFmt w:val="bullet"/>
      <w:lvlText w:val="o"/>
      <w:lvlJc w:val="left"/>
      <w:pPr>
        <w:ind w:left="2160" w:hanging="360"/>
      </w:pPr>
      <w:rPr>
        <w:rFonts w:ascii="Courier New" w:hAnsi="Courier New" w:cs="Courier New" w:hint="default"/>
      </w:rPr>
    </w:lvl>
    <w:lvl w:ilvl="1" w:tplc="040E0003">
      <w:start w:val="1"/>
      <w:numFmt w:val="bullet"/>
      <w:lvlText w:val="o"/>
      <w:lvlJc w:val="left"/>
      <w:pPr>
        <w:ind w:left="2880" w:hanging="360"/>
      </w:pPr>
      <w:rPr>
        <w:rFonts w:ascii="Courier New" w:hAnsi="Courier New" w:cs="Courier New" w:hint="default"/>
      </w:rPr>
    </w:lvl>
    <w:lvl w:ilvl="2" w:tplc="040E0005">
      <w:start w:val="1"/>
      <w:numFmt w:val="bullet"/>
      <w:lvlText w:val=""/>
      <w:lvlJc w:val="left"/>
      <w:pPr>
        <w:ind w:left="3600" w:hanging="360"/>
      </w:pPr>
      <w:rPr>
        <w:rFonts w:ascii="Wingdings" w:hAnsi="Wingdings" w:hint="default"/>
      </w:rPr>
    </w:lvl>
    <w:lvl w:ilvl="3" w:tplc="040E0001">
      <w:start w:val="1"/>
      <w:numFmt w:val="bullet"/>
      <w:lvlText w:val=""/>
      <w:lvlJc w:val="left"/>
      <w:pPr>
        <w:ind w:left="4320" w:hanging="360"/>
      </w:pPr>
      <w:rPr>
        <w:rFonts w:ascii="Symbol" w:hAnsi="Symbol" w:hint="default"/>
      </w:rPr>
    </w:lvl>
    <w:lvl w:ilvl="4" w:tplc="040E0003">
      <w:start w:val="1"/>
      <w:numFmt w:val="bullet"/>
      <w:lvlText w:val="o"/>
      <w:lvlJc w:val="left"/>
      <w:pPr>
        <w:ind w:left="5040" w:hanging="360"/>
      </w:pPr>
      <w:rPr>
        <w:rFonts w:ascii="Courier New" w:hAnsi="Courier New" w:cs="Courier New" w:hint="default"/>
      </w:rPr>
    </w:lvl>
    <w:lvl w:ilvl="5" w:tplc="040E0005">
      <w:start w:val="1"/>
      <w:numFmt w:val="bullet"/>
      <w:lvlText w:val=""/>
      <w:lvlJc w:val="left"/>
      <w:pPr>
        <w:ind w:left="5760" w:hanging="360"/>
      </w:pPr>
      <w:rPr>
        <w:rFonts w:ascii="Wingdings" w:hAnsi="Wingdings" w:hint="default"/>
      </w:rPr>
    </w:lvl>
    <w:lvl w:ilvl="6" w:tplc="040E0001">
      <w:start w:val="1"/>
      <w:numFmt w:val="bullet"/>
      <w:lvlText w:val=""/>
      <w:lvlJc w:val="left"/>
      <w:pPr>
        <w:ind w:left="6480" w:hanging="360"/>
      </w:pPr>
      <w:rPr>
        <w:rFonts w:ascii="Symbol" w:hAnsi="Symbol" w:hint="default"/>
      </w:rPr>
    </w:lvl>
    <w:lvl w:ilvl="7" w:tplc="040E0003">
      <w:start w:val="1"/>
      <w:numFmt w:val="bullet"/>
      <w:lvlText w:val="o"/>
      <w:lvlJc w:val="left"/>
      <w:pPr>
        <w:ind w:left="7200" w:hanging="360"/>
      </w:pPr>
      <w:rPr>
        <w:rFonts w:ascii="Courier New" w:hAnsi="Courier New" w:cs="Courier New" w:hint="default"/>
      </w:rPr>
    </w:lvl>
    <w:lvl w:ilvl="8" w:tplc="040E0005">
      <w:start w:val="1"/>
      <w:numFmt w:val="bullet"/>
      <w:lvlText w:val=""/>
      <w:lvlJc w:val="left"/>
      <w:pPr>
        <w:ind w:left="7920" w:hanging="360"/>
      </w:pPr>
      <w:rPr>
        <w:rFonts w:ascii="Wingdings" w:hAnsi="Wingdings" w:hint="default"/>
      </w:rPr>
    </w:lvl>
  </w:abstractNum>
  <w:abstractNum w:abstractNumId="13" w15:restartNumberingAfterBreak="0">
    <w:nsid w:val="688037FB"/>
    <w:multiLevelType w:val="hybridMultilevel"/>
    <w:tmpl w:val="4CB08ACA"/>
    <w:lvl w:ilvl="0" w:tplc="3E663400">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D687999"/>
    <w:multiLevelType w:val="hybridMultilevel"/>
    <w:tmpl w:val="5086759C"/>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15" w15:restartNumberingAfterBreak="0">
    <w:nsid w:val="7B176CCF"/>
    <w:multiLevelType w:val="hybridMultilevel"/>
    <w:tmpl w:val="1B1AFAD4"/>
    <w:lvl w:ilvl="0" w:tplc="3E663400">
      <w:numFmt w:val="bullet"/>
      <w:lvlText w:val="–"/>
      <w:lvlJc w:val="left"/>
      <w:pPr>
        <w:ind w:left="1080" w:hanging="360"/>
      </w:pPr>
      <w:rPr>
        <w:rFonts w:ascii="Times New Roman" w:eastAsia="Calibri"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11"/>
  </w:num>
  <w:num w:numId="2">
    <w:abstractNumId w:val="2"/>
  </w:num>
  <w:num w:numId="3">
    <w:abstractNumId w:val="6"/>
  </w:num>
  <w:num w:numId="4">
    <w:abstractNumId w:val="7"/>
  </w:num>
  <w:num w:numId="5">
    <w:abstractNumId w:val="12"/>
  </w:num>
  <w:num w:numId="6">
    <w:abstractNumId w:val="10"/>
  </w:num>
  <w:num w:numId="7">
    <w:abstractNumId w:val="1"/>
  </w:num>
  <w:num w:numId="8">
    <w:abstractNumId w:val="13"/>
  </w:num>
  <w:num w:numId="9">
    <w:abstractNumId w:val="15"/>
  </w:num>
  <w:num w:numId="10">
    <w:abstractNumId w:val="14"/>
  </w:num>
  <w:num w:numId="11">
    <w:abstractNumId w:val="0"/>
  </w:num>
  <w:num w:numId="12">
    <w:abstractNumId w:val="9"/>
  </w:num>
  <w:num w:numId="13">
    <w:abstractNumId w:val="3"/>
  </w:num>
  <w:num w:numId="14">
    <w:abstractNumId w:val="8"/>
  </w:num>
  <w:num w:numId="15">
    <w:abstractNumId w:val="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34A"/>
    <w:rsid w:val="000561D2"/>
    <w:rsid w:val="000824B1"/>
    <w:rsid w:val="000965BD"/>
    <w:rsid w:val="000C16E9"/>
    <w:rsid w:val="000C1C6E"/>
    <w:rsid w:val="000E5CEF"/>
    <w:rsid w:val="00142218"/>
    <w:rsid w:val="0014527E"/>
    <w:rsid w:val="001B07ED"/>
    <w:rsid w:val="001D5DCD"/>
    <w:rsid w:val="001E44EB"/>
    <w:rsid w:val="002008B3"/>
    <w:rsid w:val="0021610B"/>
    <w:rsid w:val="00221A38"/>
    <w:rsid w:val="00237955"/>
    <w:rsid w:val="00251D47"/>
    <w:rsid w:val="00254B17"/>
    <w:rsid w:val="002932B6"/>
    <w:rsid w:val="002C0F60"/>
    <w:rsid w:val="003516D4"/>
    <w:rsid w:val="00376878"/>
    <w:rsid w:val="003824A4"/>
    <w:rsid w:val="00417E0B"/>
    <w:rsid w:val="00472BCF"/>
    <w:rsid w:val="00484825"/>
    <w:rsid w:val="00494B88"/>
    <w:rsid w:val="004A549A"/>
    <w:rsid w:val="004B16A3"/>
    <w:rsid w:val="004D25C5"/>
    <w:rsid w:val="004D4E66"/>
    <w:rsid w:val="00503612"/>
    <w:rsid w:val="00524E61"/>
    <w:rsid w:val="0056259A"/>
    <w:rsid w:val="00564C90"/>
    <w:rsid w:val="0059305F"/>
    <w:rsid w:val="005A3802"/>
    <w:rsid w:val="005D48A7"/>
    <w:rsid w:val="00615C56"/>
    <w:rsid w:val="0063722B"/>
    <w:rsid w:val="006F1E67"/>
    <w:rsid w:val="007617F2"/>
    <w:rsid w:val="00824236"/>
    <w:rsid w:val="00826B03"/>
    <w:rsid w:val="00830175"/>
    <w:rsid w:val="00831787"/>
    <w:rsid w:val="00836526"/>
    <w:rsid w:val="008A3F77"/>
    <w:rsid w:val="00901C3B"/>
    <w:rsid w:val="0090355B"/>
    <w:rsid w:val="0093054E"/>
    <w:rsid w:val="009D0070"/>
    <w:rsid w:val="009E574E"/>
    <w:rsid w:val="009E7409"/>
    <w:rsid w:val="00A464E7"/>
    <w:rsid w:val="00A63310"/>
    <w:rsid w:val="00AB104A"/>
    <w:rsid w:val="00AE2DFB"/>
    <w:rsid w:val="00AF7498"/>
    <w:rsid w:val="00B44ACF"/>
    <w:rsid w:val="00BB0440"/>
    <w:rsid w:val="00BB613A"/>
    <w:rsid w:val="00BC267D"/>
    <w:rsid w:val="00BF24BB"/>
    <w:rsid w:val="00BF6985"/>
    <w:rsid w:val="00C40757"/>
    <w:rsid w:val="00C64291"/>
    <w:rsid w:val="00C762B0"/>
    <w:rsid w:val="00C8063C"/>
    <w:rsid w:val="00C9467C"/>
    <w:rsid w:val="00C94BC7"/>
    <w:rsid w:val="00CA68DC"/>
    <w:rsid w:val="00CD503D"/>
    <w:rsid w:val="00CF0B09"/>
    <w:rsid w:val="00D23A47"/>
    <w:rsid w:val="00D3278E"/>
    <w:rsid w:val="00D43D06"/>
    <w:rsid w:val="00D50CB4"/>
    <w:rsid w:val="00D677ED"/>
    <w:rsid w:val="00DD03B7"/>
    <w:rsid w:val="00E02A9C"/>
    <w:rsid w:val="00E41F58"/>
    <w:rsid w:val="00E65801"/>
    <w:rsid w:val="00E93654"/>
    <w:rsid w:val="00EA3A52"/>
    <w:rsid w:val="00EB3588"/>
    <w:rsid w:val="00EB6F04"/>
    <w:rsid w:val="00ED6759"/>
    <w:rsid w:val="00EF2C11"/>
    <w:rsid w:val="00F139B2"/>
    <w:rsid w:val="00F1681C"/>
    <w:rsid w:val="00F41792"/>
    <w:rsid w:val="00F96AE5"/>
    <w:rsid w:val="00FE234A"/>
    <w:rsid w:val="00FF40D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B52B64-777E-422E-AC36-95584F3F9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234A"/>
    <w:pPr>
      <w:ind w:left="720"/>
      <w:contextualSpacing/>
    </w:pPr>
  </w:style>
  <w:style w:type="paragraph" w:styleId="FootnoteText">
    <w:name w:val="footnote text"/>
    <w:aliases w:val="Footnote,Char1,labjegyzet_szo,Fußnotentext Char2,Fußnotentext Char Char1,Fußnotentext Char1 Char1 Char,Fußnotentext Char Char Char Char Char,Fußnotentext Char1 Char Char Char Char1,Fußnotentext Char Char Char,Footnote Text Imre, Char1,o"/>
    <w:basedOn w:val="Normal"/>
    <w:link w:val="FootnoteTextChar"/>
    <w:uiPriority w:val="99"/>
    <w:unhideWhenUsed/>
    <w:qFormat/>
    <w:rsid w:val="00FE234A"/>
    <w:pPr>
      <w:spacing w:after="0" w:line="240" w:lineRule="auto"/>
    </w:pPr>
    <w:rPr>
      <w:sz w:val="20"/>
      <w:szCs w:val="20"/>
    </w:rPr>
  </w:style>
  <w:style w:type="character" w:customStyle="1" w:styleId="FootnoteTextChar">
    <w:name w:val="Footnote Text Char"/>
    <w:aliases w:val="Footnote Char,Char1 Char,labjegyzet_szo Char,Fußnotentext Char2 Char,Fußnotentext Char Char1 Char,Fußnotentext Char1 Char1 Char Char,Fußnotentext Char Char Char Char Char Char,Fußnotentext Char1 Char Char Char Char1 Char, Char1 Char"/>
    <w:basedOn w:val="DefaultParagraphFont"/>
    <w:link w:val="FootnoteText"/>
    <w:uiPriority w:val="99"/>
    <w:qFormat/>
    <w:rsid w:val="00FE234A"/>
    <w:rPr>
      <w:sz w:val="20"/>
      <w:szCs w:val="20"/>
    </w:rPr>
  </w:style>
  <w:style w:type="character" w:styleId="FootnoteReference">
    <w:name w:val="footnote reference"/>
    <w:aliases w:val="Footnote symbol,BVI fnr,(Diplomarbeit FZ),(Diplomarbeit FZ)1,(Diplomarbeit FZ)2,(Diplomarbeit FZ)3,(Diplomarbeit FZ)4,(Diplomarbeit FZ)5,SUPERS,Footnote Reference Arial,Footnote Reference Superscript,Footnote symboFußnotenzeichen"/>
    <w:basedOn w:val="DefaultParagraphFont"/>
    <w:link w:val="FootnotesymbolCarZchn"/>
    <w:uiPriority w:val="99"/>
    <w:unhideWhenUsed/>
    <w:qFormat/>
    <w:rsid w:val="00FE234A"/>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FE234A"/>
    <w:pPr>
      <w:spacing w:line="240" w:lineRule="exact"/>
      <w:jc w:val="both"/>
    </w:pPr>
    <w:rPr>
      <w:vertAlign w:val="superscript"/>
    </w:rPr>
  </w:style>
  <w:style w:type="character" w:styleId="Hyperlink">
    <w:name w:val="Hyperlink"/>
    <w:basedOn w:val="DefaultParagraphFont"/>
    <w:uiPriority w:val="99"/>
    <w:unhideWhenUsed/>
    <w:rsid w:val="00C8063C"/>
    <w:rPr>
      <w:color w:val="0563C1" w:themeColor="hyperlink"/>
      <w:u w:val="single"/>
    </w:rPr>
  </w:style>
  <w:style w:type="paragraph" w:styleId="BalloonText">
    <w:name w:val="Balloon Text"/>
    <w:basedOn w:val="Normal"/>
    <w:link w:val="BalloonTextChar"/>
    <w:uiPriority w:val="99"/>
    <w:semiHidden/>
    <w:unhideWhenUsed/>
    <w:rsid w:val="00417E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7E0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1" Type="http://schemas.openxmlformats.org/officeDocument/2006/relationships/hyperlink" Target="http://njt.hu/translated/doc/J2012T0100P_20200716_FIN.PDF"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268B68B-2331-41A5-9AEF-8E61C646EDC7}"/>
</file>

<file path=customXml/itemProps2.xml><?xml version="1.0" encoding="utf-8"?>
<ds:datastoreItem xmlns:ds="http://schemas.openxmlformats.org/officeDocument/2006/customXml" ds:itemID="{358A9848-C80B-4173-8274-D6C7C3F3E42C}"/>
</file>

<file path=customXml/itemProps3.xml><?xml version="1.0" encoding="utf-8"?>
<ds:datastoreItem xmlns:ds="http://schemas.openxmlformats.org/officeDocument/2006/customXml" ds:itemID="{3F4260C4-70D1-497B-8D7B-A2E0A5311391}"/>
</file>

<file path=docProps/app.xml><?xml version="1.0" encoding="utf-8"?>
<Properties xmlns="http://schemas.openxmlformats.org/officeDocument/2006/extended-properties" xmlns:vt="http://schemas.openxmlformats.org/officeDocument/2006/docPropsVTypes">
  <Template>Normal.dotm</Template>
  <TotalTime>1</TotalTime>
  <Pages>4</Pages>
  <Words>4800</Words>
  <Characters>27366</Characters>
  <Application>Microsoft Office Word</Application>
  <DocSecurity>0</DocSecurity>
  <Lines>228</Lines>
  <Paragraphs>64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KKM</Company>
  <LinksUpToDate>false</LinksUpToDate>
  <CharactersWithSpaces>32102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Kőhalmi Barbara dr.</dc:creator>
  <cp:keywords/>
  <dc:description/>
  <cp:lastModifiedBy>Satya Jennings</cp:lastModifiedBy>
  <cp:revision>2</cp:revision>
  <dcterms:created xsi:type="dcterms:W3CDTF">2021-04-16T12:23:00Z</dcterms:created>
  <dcterms:modified xsi:type="dcterms:W3CDTF">2021-04-16T12:23:00Z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