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3B" w:rsidRPr="00196F8E" w:rsidRDefault="00AC743B" w:rsidP="00AC743B">
      <w:pPr>
        <w:spacing w:line="60" w:lineRule="exact"/>
        <w:rPr>
          <w:color w:val="010000"/>
          <w:sz w:val="6"/>
        </w:rPr>
        <w:sectPr w:rsidR="00AC743B" w:rsidRPr="00196F8E" w:rsidSect="00AC74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196F8E">
        <w:rPr>
          <w:rStyle w:val="CommentReference"/>
        </w:rPr>
        <w:commentReference w:id="0"/>
      </w:r>
      <w:bookmarkStart w:id="1" w:name="_GoBack"/>
      <w:bookmarkEnd w:id="1"/>
    </w:p>
    <w:p w:rsidR="00196F8E" w:rsidRPr="00196F8E" w:rsidRDefault="00196F8E" w:rsidP="00196F8E">
      <w:pPr>
        <w:rPr>
          <w:b/>
          <w:bCs/>
        </w:rPr>
      </w:pPr>
      <w:r w:rsidRPr="00196F8E">
        <w:rPr>
          <w:b/>
        </w:rPr>
        <w:lastRenderedPageBreak/>
        <w:t>Семидесятая сессия</w:t>
      </w:r>
    </w:p>
    <w:p w:rsidR="00196F8E" w:rsidRPr="00196F8E" w:rsidRDefault="00196F8E" w:rsidP="00196F8E">
      <w:r w:rsidRPr="00196F8E">
        <w:t>Пункт 73(а) предварительной повестки дня</w:t>
      </w:r>
      <w:r w:rsidRPr="009B4A1B">
        <w:rPr>
          <w:rStyle w:val="FootnoteReference"/>
          <w:color w:val="auto"/>
        </w:rPr>
        <w:footnoteReference w:customMarkFollows="1" w:id="1"/>
        <w:t>*</w:t>
      </w:r>
    </w:p>
    <w:p w:rsidR="00196F8E" w:rsidRPr="00196F8E" w:rsidRDefault="00196F8E" w:rsidP="00196F8E">
      <w:pPr>
        <w:rPr>
          <w:b/>
          <w:bCs/>
        </w:rPr>
      </w:pPr>
      <w:r w:rsidRPr="00196F8E">
        <w:rPr>
          <w:b/>
        </w:rPr>
        <w:t>Поощрение и защита прав человека:</w:t>
      </w:r>
    </w:p>
    <w:p w:rsidR="00196F8E" w:rsidRPr="00926820" w:rsidRDefault="00196F8E" w:rsidP="00196F8E">
      <w:pPr>
        <w:rPr>
          <w:b/>
        </w:rPr>
      </w:pPr>
      <w:r w:rsidRPr="00196F8E">
        <w:rPr>
          <w:b/>
        </w:rPr>
        <w:t>осуществление документов по правам человека</w:t>
      </w:r>
    </w:p>
    <w:p w:rsidR="00196F8E" w:rsidRPr="00926820" w:rsidRDefault="00196F8E" w:rsidP="00196F8E">
      <w:pPr>
        <w:spacing w:line="120" w:lineRule="exact"/>
        <w:rPr>
          <w:sz w:val="10"/>
        </w:rPr>
      </w:pPr>
    </w:p>
    <w:p w:rsidR="00196F8E" w:rsidRPr="00926820" w:rsidRDefault="00196F8E" w:rsidP="00196F8E">
      <w:pPr>
        <w:spacing w:line="120" w:lineRule="exact"/>
        <w:rPr>
          <w:sz w:val="10"/>
        </w:rPr>
      </w:pPr>
    </w:p>
    <w:p w:rsidR="00196F8E" w:rsidRPr="00926820" w:rsidRDefault="00196F8E" w:rsidP="00196F8E">
      <w:pPr>
        <w:spacing w:line="120" w:lineRule="exact"/>
        <w:rPr>
          <w:sz w:val="10"/>
        </w:rPr>
      </w:pPr>
    </w:p>
    <w:p w:rsidR="00196F8E" w:rsidRPr="00926820" w:rsidRDefault="00196F8E" w:rsidP="00196F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6820">
        <w:tab/>
      </w:r>
      <w:r w:rsidRPr="00926820">
        <w:tab/>
      </w:r>
      <w:r w:rsidRPr="00196F8E">
        <w:t>Целевой фонд добровольных взносов Организации Объединенных Наций по современным формам рабства</w:t>
      </w:r>
    </w:p>
    <w:p w:rsidR="00196F8E" w:rsidRPr="00926820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926820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6820">
        <w:tab/>
      </w:r>
      <w:r w:rsidRPr="00926820">
        <w:tab/>
      </w:r>
      <w:r w:rsidRPr="00196F8E">
        <w:t>Доклад Генерального секретаря</w:t>
      </w:r>
    </w:p>
    <w:p w:rsidR="00196F8E" w:rsidRDefault="00196F8E" w:rsidP="00196F8E">
      <w:pPr>
        <w:pStyle w:val="SingleTxt"/>
        <w:rPr>
          <w:lang w:val="en-US"/>
        </w:rPr>
      </w:pPr>
    </w:p>
    <w:tbl>
      <w:tblPr>
        <w:tblW w:w="9922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196F8E" w:rsidTr="00196F8E">
        <w:tc>
          <w:tcPr>
            <w:tcW w:w="9922" w:type="dxa"/>
            <w:tcBorders>
              <w:top w:val="single" w:sz="2" w:space="0" w:color="auto"/>
            </w:tcBorders>
            <w:shd w:val="clear" w:color="auto" w:fill="auto"/>
          </w:tcPr>
          <w:p w:rsidR="00196F8E" w:rsidRPr="00CB5BEF" w:rsidRDefault="00196F8E" w:rsidP="00196F8E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ab/>
              <w:t>Резюме</w:t>
            </w:r>
          </w:p>
        </w:tc>
      </w:tr>
      <w:tr w:rsidR="00196F8E" w:rsidRPr="00196F8E" w:rsidTr="00196F8E">
        <w:tc>
          <w:tcPr>
            <w:tcW w:w="9922" w:type="dxa"/>
            <w:shd w:val="clear" w:color="auto" w:fill="auto"/>
          </w:tcPr>
          <w:p w:rsidR="00196F8E" w:rsidRPr="00196F8E" w:rsidRDefault="00196F8E" w:rsidP="00196F8E">
            <w:pPr>
              <w:pStyle w:val="SingleTxt"/>
            </w:pPr>
            <w:r w:rsidRPr="00196F8E">
              <w:tab/>
              <w:t xml:space="preserve">Настоящий доклад, представленный в соответствии с резолюцией 46/122 Генеральной Ассамблеи, содержит рекомендации о субсидиях для организаций-бенефициаров, принятые Советом попечителей Целевого фонда добровольных взносов  Организации  Объединенных Наций по современным формам рабства на его девятнадцатой сессии, </w:t>
            </w:r>
            <w:r>
              <w:t xml:space="preserve">состоявшейся </w:t>
            </w:r>
            <w:r w:rsidRPr="00196F8E">
              <w:t>в Женеве 24–28 ноября 2014</w:t>
            </w:r>
            <w:r w:rsidR="00AD3DFA">
              <w:t> год</w:t>
            </w:r>
            <w:r w:rsidRPr="00196F8E">
              <w:t>а. В докладе также содержится информация о других рекомендациях, принятых С</w:t>
            </w:r>
            <w:r w:rsidRPr="00196F8E">
              <w:t>о</w:t>
            </w:r>
            <w:r w:rsidRPr="00196F8E">
              <w:t>ветом попечителей.</w:t>
            </w:r>
          </w:p>
        </w:tc>
      </w:tr>
      <w:tr w:rsidR="00196F8E" w:rsidRPr="00196F8E" w:rsidTr="00196F8E">
        <w:tc>
          <w:tcPr>
            <w:tcW w:w="9922" w:type="dxa"/>
            <w:tcBorders>
              <w:bottom w:val="single" w:sz="2" w:space="0" w:color="auto"/>
            </w:tcBorders>
            <w:shd w:val="clear" w:color="auto" w:fill="auto"/>
          </w:tcPr>
          <w:p w:rsidR="00196F8E" w:rsidRPr="00196F8E" w:rsidRDefault="00196F8E" w:rsidP="00196F8E">
            <w:pPr>
              <w:pStyle w:val="SingleTxt"/>
            </w:pPr>
          </w:p>
        </w:tc>
      </w:tr>
    </w:tbl>
    <w:p w:rsidR="00196F8E" w:rsidRDefault="00196F8E" w:rsidP="00196F8E">
      <w:pPr>
        <w:pStyle w:val="SingleTxt"/>
      </w:pPr>
    </w:p>
    <w:p w:rsidR="00196F8E" w:rsidRDefault="00196F8E" w:rsidP="00196F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 w:rsidRPr="00196F8E">
        <w:t>I.</w:t>
      </w:r>
      <w:r>
        <w:tab/>
      </w:r>
      <w:r w:rsidRPr="00196F8E">
        <w:t>Введение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96F8E">
        <w:t>A.</w:t>
      </w:r>
      <w:r>
        <w:tab/>
      </w:r>
      <w:r w:rsidRPr="00196F8E">
        <w:t>Представление доклада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SingleTxt"/>
      </w:pPr>
      <w:r w:rsidRPr="00196F8E">
        <w:t>1.</w:t>
      </w:r>
      <w:r>
        <w:tab/>
      </w:r>
      <w:r w:rsidRPr="00196F8E">
        <w:t xml:space="preserve">Настоящий доклад </w:t>
      </w:r>
      <w:r>
        <w:t xml:space="preserve">подготовлен </w:t>
      </w:r>
      <w:r w:rsidRPr="00196F8E">
        <w:t>в соответствии с решениями Генеральной Ассамблеи, содержащимися в резолюции 46/122, согласно которой был учр</w:t>
      </w:r>
      <w:r w:rsidRPr="00196F8E">
        <w:t>е</w:t>
      </w:r>
      <w:r w:rsidRPr="00196F8E">
        <w:t>жден Целевой фонд добровольных взносов Организации Объединенных Наций по современным формам рабства. В докладе содержатся рекомендации относ</w:t>
      </w:r>
      <w:r w:rsidRPr="00196F8E">
        <w:t>и</w:t>
      </w:r>
      <w:r w:rsidRPr="00196F8E">
        <w:t xml:space="preserve">тельно субсидий, принятые Советом попечителей Фонда на его девятнадцатой сессии, </w:t>
      </w:r>
      <w:r>
        <w:t xml:space="preserve">состоявшейся </w:t>
      </w:r>
      <w:r w:rsidRPr="00196F8E">
        <w:t>в Женеве 24–28 ноября 2014</w:t>
      </w:r>
      <w:r w:rsidR="00AD3DFA">
        <w:t> год</w:t>
      </w:r>
      <w:r w:rsidRPr="00196F8E">
        <w:t>а. Эти рекомендации б</w:t>
      </w:r>
      <w:r w:rsidRPr="00196F8E">
        <w:t>ы</w:t>
      </w:r>
      <w:r w:rsidRPr="00196F8E">
        <w:t>ли утверждены Верховным комиссаром Организации Объединенных Наций по правам человека от имени Генерального секретаря 10 декабря 2014</w:t>
      </w:r>
      <w:r w:rsidR="00AD3DFA">
        <w:t> год</w:t>
      </w:r>
      <w:r w:rsidRPr="00196F8E">
        <w:t>а.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96F8E">
        <w:t>B.</w:t>
      </w:r>
      <w:r>
        <w:tab/>
      </w:r>
      <w:r w:rsidRPr="00196F8E">
        <w:t>Мандат Фонда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SingleTxt"/>
      </w:pPr>
      <w:r w:rsidRPr="00196F8E">
        <w:t>2.</w:t>
      </w:r>
      <w:r>
        <w:tab/>
        <w:t xml:space="preserve">В соответствии с </w:t>
      </w:r>
      <w:r w:rsidRPr="00196F8E">
        <w:t>резолюци</w:t>
      </w:r>
      <w:r>
        <w:t>ей</w:t>
      </w:r>
      <w:r w:rsidRPr="00196F8E">
        <w:t xml:space="preserve"> 46/122 Фонд был </w:t>
      </w:r>
      <w:r>
        <w:t xml:space="preserve">учрежден </w:t>
      </w:r>
      <w:r w:rsidRPr="00196F8E">
        <w:t>для оказания гуманитарной, юридической и финансовой помощи лицам, права человека к</w:t>
      </w:r>
      <w:r w:rsidRPr="00196F8E">
        <w:t>о</w:t>
      </w:r>
      <w:r w:rsidRPr="00196F8E">
        <w:t>торых серьезно нарушаются в результате современных форм рабства. Фонд принимает добровольные взносы от правительств, неправительственных орг</w:t>
      </w:r>
      <w:r w:rsidRPr="00196F8E">
        <w:t>а</w:t>
      </w:r>
      <w:r w:rsidRPr="00196F8E">
        <w:t>низаций, частных и государственных структур, а также от частных лиц.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96F8E">
        <w:t>C.</w:t>
      </w:r>
      <w:r>
        <w:tab/>
      </w:r>
      <w:r w:rsidRPr="00196F8E">
        <w:t>Руководство Фондом и работа Совета попечителей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</w:pPr>
      <w:r w:rsidRPr="00196F8E">
        <w:t>3.</w:t>
      </w:r>
      <w:r>
        <w:tab/>
      </w:r>
      <w:r w:rsidRPr="00196F8E">
        <w:t>Генеральный секретарь руководит Фондом через Управление Верховного комиссара Организации Объединенных Наций по правам человека (УВКПЧ) в соответствии с рекомендациями Совета попечителей, а также с Финансовыми положениями и правилами Организации Объединенных Наций.</w:t>
      </w:r>
    </w:p>
    <w:p w:rsidR="00196F8E" w:rsidRDefault="00196F8E" w:rsidP="00196F8E">
      <w:pPr>
        <w:pStyle w:val="SingleTxt"/>
      </w:pPr>
      <w:r w:rsidRPr="00196F8E">
        <w:t>4.</w:t>
      </w:r>
      <w:r>
        <w:tab/>
        <w:t xml:space="preserve">В состав </w:t>
      </w:r>
      <w:r w:rsidRPr="00196F8E">
        <w:t>Совет</w:t>
      </w:r>
      <w:r>
        <w:t>а</w:t>
      </w:r>
      <w:r w:rsidRPr="00196F8E">
        <w:t xml:space="preserve"> попечителей </w:t>
      </w:r>
      <w:r>
        <w:t xml:space="preserve">входят </w:t>
      </w:r>
      <w:r w:rsidR="00CB5BEF">
        <w:t>пять</w:t>
      </w:r>
      <w:r w:rsidRPr="00196F8E">
        <w:t xml:space="preserve"> человек, которые </w:t>
      </w:r>
      <w:r>
        <w:t xml:space="preserve">обладают </w:t>
      </w:r>
      <w:r w:rsidRPr="00196F8E">
        <w:t>с</w:t>
      </w:r>
      <w:r w:rsidRPr="00196F8E">
        <w:t>о</w:t>
      </w:r>
      <w:r w:rsidRPr="00196F8E">
        <w:t>ответствующи</w:t>
      </w:r>
      <w:r>
        <w:t>м</w:t>
      </w:r>
      <w:r w:rsidRPr="00196F8E">
        <w:t xml:space="preserve"> опыт</w:t>
      </w:r>
      <w:r>
        <w:t>ом</w:t>
      </w:r>
      <w:r w:rsidRPr="00196F8E">
        <w:t xml:space="preserve"> в области прав человека, включая вопросы, касающи</w:t>
      </w:r>
      <w:r w:rsidRPr="00196F8E">
        <w:t>е</w:t>
      </w:r>
      <w:r w:rsidRPr="00196F8E">
        <w:t>ся современных форм рабства. Они выполняют эти функции в личном качестве и утверждаются Генеральным секретарем с должным учетом принципа спр</w:t>
      </w:r>
      <w:r w:rsidRPr="00196F8E">
        <w:t>а</w:t>
      </w:r>
      <w:r w:rsidRPr="00196F8E">
        <w:t>ведливого географического распределения. В январе 2014</w:t>
      </w:r>
      <w:r w:rsidR="00AD3DFA">
        <w:t> год</w:t>
      </w:r>
      <w:r w:rsidRPr="00196F8E">
        <w:t>а Генеральный секретарь продлил мандаты Асмы Джахангиры (Пакистан), Джорджа Омоны (Уганда) и Майкла Берсфорда Доттриджа (Соединенное Королевство Велик</w:t>
      </w:r>
      <w:r w:rsidRPr="00196F8E">
        <w:t>о</w:t>
      </w:r>
      <w:r w:rsidRPr="00196F8E">
        <w:t>британии и Северной Ирландии) на заключительный трехгодичный период, з</w:t>
      </w:r>
      <w:r w:rsidRPr="00196F8E">
        <w:t>а</w:t>
      </w:r>
      <w:r w:rsidRPr="00196F8E">
        <w:t>канчивающийся 31 декабря 2016</w:t>
      </w:r>
      <w:r w:rsidR="00AD3DFA">
        <w:t> год</w:t>
      </w:r>
      <w:r w:rsidRPr="00196F8E">
        <w:t>а. 10 июля 2014</w:t>
      </w:r>
      <w:r w:rsidR="00AD3DFA">
        <w:t> год</w:t>
      </w:r>
      <w:r w:rsidRPr="00196F8E">
        <w:t>а Генеральный секр</w:t>
      </w:r>
      <w:r w:rsidRPr="00196F8E">
        <w:t>е</w:t>
      </w:r>
      <w:r w:rsidRPr="00196F8E">
        <w:t>тарь назначил на первый трехлетний срок, который заканчивается 10 июля 2017</w:t>
      </w:r>
      <w:r w:rsidR="00AD3DFA">
        <w:t> год</w:t>
      </w:r>
      <w:r w:rsidRPr="00196F8E">
        <w:t>а и может быть продлен только один раз, Леонардо Сакамато (Браз</w:t>
      </w:r>
      <w:r w:rsidRPr="00196F8E">
        <w:t>и</w:t>
      </w:r>
      <w:r w:rsidRPr="00196F8E">
        <w:t>лия) и Невену Вучкович-Захович (Сербия), которые приходят на смену Вирх</w:t>
      </w:r>
      <w:r w:rsidRPr="00196F8E">
        <w:t>и</w:t>
      </w:r>
      <w:r w:rsidRPr="00196F8E">
        <w:t>нии Эррере Мурильо (Коста-Рика) и Кларе Скриванковой (Чешская Республ</w:t>
      </w:r>
      <w:r w:rsidRPr="00196F8E">
        <w:t>и</w:t>
      </w:r>
      <w:r w:rsidRPr="00196F8E">
        <w:t>ка). В связи с уходом в отставку г-жи Джахангир в октябре 2014</w:t>
      </w:r>
      <w:r w:rsidR="00AD3DFA">
        <w:t> год</w:t>
      </w:r>
      <w:r w:rsidRPr="00196F8E">
        <w:t>а Ген</w:t>
      </w:r>
      <w:r w:rsidRPr="00196F8E">
        <w:t>е</w:t>
      </w:r>
      <w:r w:rsidRPr="00196F8E">
        <w:t>ральный секретарь 13 июля 2015</w:t>
      </w:r>
      <w:r w:rsidR="00AD3DFA">
        <w:t> год</w:t>
      </w:r>
      <w:r w:rsidRPr="00196F8E">
        <w:t>а назначил на первый срок, который з</w:t>
      </w:r>
      <w:r w:rsidRPr="00196F8E">
        <w:t>а</w:t>
      </w:r>
      <w:r w:rsidRPr="00196F8E">
        <w:t>канчивается 31 декабря 2016</w:t>
      </w:r>
      <w:r w:rsidR="00AD3DFA">
        <w:t> год</w:t>
      </w:r>
      <w:r w:rsidRPr="00196F8E">
        <w:t>а и может быть продлен только один раз, Рену Раджбхандари (Непал).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 w:rsidRPr="00196F8E">
        <w:t>II</w:t>
      </w:r>
      <w:r w:rsidR="00407C6F">
        <w:t>.</w:t>
      </w:r>
      <w:r>
        <w:tab/>
      </w:r>
      <w:r w:rsidRPr="00196F8E">
        <w:t>Управление субсидиями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96F8E">
        <w:t>A.</w:t>
      </w:r>
      <w:r>
        <w:tab/>
      </w:r>
      <w:r w:rsidRPr="00196F8E">
        <w:t>Критерии приемлемости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</w:pPr>
      <w:r w:rsidRPr="00196F8E">
        <w:t>5.</w:t>
      </w:r>
      <w:r>
        <w:tab/>
      </w:r>
      <w:r w:rsidRPr="00196F8E">
        <w:t>В соответствии с мандатом Фонда, учрежденного резолюцией 46/122 Г</w:t>
      </w:r>
      <w:r w:rsidRPr="00196F8E">
        <w:t>е</w:t>
      </w:r>
      <w:r w:rsidRPr="00196F8E">
        <w:t>неральной Ассамблеи, помощь Фонда получают лица, права человека которых серьезно нарушаются в результате современных форм рабства. Критерии пр</w:t>
      </w:r>
      <w:r w:rsidRPr="00196F8E">
        <w:t>и</w:t>
      </w:r>
      <w:r w:rsidRPr="00196F8E">
        <w:t>емлемости проектов описаны в руководящих принципах Фонда, которые были пересмотрены на восемнадцатой сессии Совета. Круг бенефициаров проектов ограничивается жертвами современных форм рабства и — в соответствующих случаях — членами их семей. В число современных форм рабства, которые с</w:t>
      </w:r>
      <w:r w:rsidRPr="00196F8E">
        <w:t>о</w:t>
      </w:r>
      <w:r w:rsidRPr="00196F8E">
        <w:t>ответствуют критериям для выдачи субсидий в рамках проектов, входят трад</w:t>
      </w:r>
      <w:r w:rsidRPr="00196F8E">
        <w:t>и</w:t>
      </w:r>
      <w:r w:rsidRPr="00196F8E">
        <w:t>ционные формы рабства, крепостничество, порабощение, подневольный труд, долговая кабала, наихудшие формы детского труда, принудительные и ранние браки, продажа жен и унаследованных вдов, торговля людьми и человеческими органами, сексуальное рабство, продажа детей, коммерческая сексуальная эк</w:t>
      </w:r>
      <w:r w:rsidRPr="00196F8E">
        <w:t>с</w:t>
      </w:r>
      <w:r w:rsidRPr="00196F8E">
        <w:t>плуатация детей и использование детей в вооруженном конфликте.</w:t>
      </w:r>
    </w:p>
    <w:p w:rsidR="00196F8E" w:rsidRPr="00196F8E" w:rsidRDefault="00196F8E" w:rsidP="00196F8E">
      <w:pPr>
        <w:pStyle w:val="SingleTxt"/>
      </w:pPr>
      <w:r w:rsidRPr="00196F8E">
        <w:t>6.</w:t>
      </w:r>
      <w:r>
        <w:tab/>
      </w:r>
      <w:r w:rsidRPr="00196F8E">
        <w:t>В ходе распределения субсидий первоочередное внимание уделяется пр</w:t>
      </w:r>
      <w:r w:rsidRPr="00196F8E">
        <w:t>о</w:t>
      </w:r>
      <w:r w:rsidRPr="00196F8E">
        <w:t>ектам, направленным на расширение прав и возможностей и социальную инт</w:t>
      </w:r>
      <w:r w:rsidRPr="00196F8E">
        <w:t>е</w:t>
      </w:r>
      <w:r w:rsidRPr="00196F8E">
        <w:t xml:space="preserve">грацию жертв современных форм рабства </w:t>
      </w:r>
      <w:r>
        <w:t xml:space="preserve">путем </w:t>
      </w:r>
      <w:r w:rsidRPr="00196F8E">
        <w:t>оказани</w:t>
      </w:r>
      <w:r>
        <w:t>я им</w:t>
      </w:r>
      <w:r w:rsidRPr="00196F8E">
        <w:t xml:space="preserve"> прямой помощи. Такая помощь может включать медицинскую, психологическую, социальную, юридическую и гуманитарную помощь, помощь в области образования, пр</w:t>
      </w:r>
      <w:r w:rsidRPr="00196F8E">
        <w:t>о</w:t>
      </w:r>
      <w:r w:rsidRPr="00196F8E">
        <w:t>фессионально-технического обучения или приобретения навыков, а также др</w:t>
      </w:r>
      <w:r w:rsidRPr="00196F8E">
        <w:t>у</w:t>
      </w:r>
      <w:r w:rsidRPr="00196F8E">
        <w:t xml:space="preserve">гие виды помощи, содействующие </w:t>
      </w:r>
      <w:r>
        <w:t>обеспечению индивидуальных возможн</w:t>
      </w:r>
      <w:r>
        <w:t>о</w:t>
      </w:r>
      <w:r>
        <w:t>стей получения средств к существованию</w:t>
      </w:r>
      <w:r w:rsidRPr="00196F8E">
        <w:t xml:space="preserve">. С подробной информацией о видах помощи, которая оказывалась по линии проектов, финансируемых Фондом, а также о ее значении для бенефициаров можно </w:t>
      </w:r>
      <w:r>
        <w:t>ознакомиться на</w:t>
      </w:r>
      <w:r w:rsidRPr="00196F8E">
        <w:t xml:space="preserve"> веб-сайте по адресу: www.ohchr.org/slaveryfund.</w:t>
      </w:r>
      <w:r>
        <w:t xml:space="preserve"> На этом веб-сайте размещаются брошюры и буклеты, касающиеся деятельности Фонда.</w:t>
      </w:r>
    </w:p>
    <w:p w:rsidR="00196F8E" w:rsidRPr="00196F8E" w:rsidRDefault="00196F8E" w:rsidP="00196F8E">
      <w:pPr>
        <w:pStyle w:val="SingleTxt"/>
      </w:pPr>
      <w:r w:rsidRPr="00196F8E">
        <w:t>7.</w:t>
      </w:r>
      <w:r>
        <w:tab/>
      </w:r>
      <w:r w:rsidRPr="00196F8E">
        <w:t>К 1 марта 2014</w:t>
      </w:r>
      <w:r w:rsidR="00AD3DFA">
        <w:t> год</w:t>
      </w:r>
      <w:r w:rsidRPr="00196F8E">
        <w:t>а</w:t>
      </w:r>
      <w:r w:rsidR="00407C6F">
        <w:t xml:space="preserve"> — </w:t>
      </w:r>
      <w:r w:rsidRPr="00196F8E">
        <w:t xml:space="preserve">крайнему сроку </w:t>
      </w:r>
      <w:r>
        <w:t xml:space="preserve">представления </w:t>
      </w:r>
      <w:r w:rsidRPr="00196F8E">
        <w:t>заявок на субсидии в 2015</w:t>
      </w:r>
      <w:r w:rsidR="00AD3DFA">
        <w:t> год</w:t>
      </w:r>
      <w:r w:rsidRPr="00196F8E">
        <w:t>у</w:t>
      </w:r>
      <w:r w:rsidR="00407C6F">
        <w:t xml:space="preserve"> — </w:t>
      </w:r>
      <w:r w:rsidRPr="00196F8E">
        <w:t>Фонд получил 126</w:t>
      </w:r>
      <w:r w:rsidR="00407C6F">
        <w:t> </w:t>
      </w:r>
      <w:r w:rsidRPr="00196F8E">
        <w:t>заявок. После проверки заявок секретариат</w:t>
      </w:r>
      <w:r>
        <w:t xml:space="preserve">ом Совета попечителей </w:t>
      </w:r>
      <w:r w:rsidRPr="00196F8E">
        <w:t>93 из них были рассмотрены Советом на его девятнадц</w:t>
      </w:r>
      <w:r w:rsidRPr="00196F8E">
        <w:t>а</w:t>
      </w:r>
      <w:r w:rsidRPr="00196F8E">
        <w:t>той сессии, состоявшейся 24</w:t>
      </w:r>
      <w:r>
        <w:t>–</w:t>
      </w:r>
      <w:r w:rsidRPr="00196F8E">
        <w:t>28 ноября 2014</w:t>
      </w:r>
      <w:r w:rsidR="00AD3DFA">
        <w:t> год</w:t>
      </w:r>
      <w:r w:rsidRPr="00196F8E">
        <w:t>а.</w:t>
      </w:r>
    </w:p>
    <w:p w:rsidR="00196F8E" w:rsidRDefault="00196F8E" w:rsidP="00196F8E">
      <w:pPr>
        <w:pStyle w:val="SingleTxt"/>
      </w:pPr>
      <w:r w:rsidRPr="00196F8E">
        <w:t>8.</w:t>
      </w:r>
      <w:r>
        <w:tab/>
        <w:t xml:space="preserve">Крайний срок подачи </w:t>
      </w:r>
      <w:r w:rsidRPr="00196F8E">
        <w:t xml:space="preserve">заявок на получение субсидий </w:t>
      </w:r>
      <w:r>
        <w:t xml:space="preserve">для осуществления проектов </w:t>
      </w:r>
      <w:r w:rsidRPr="00196F8E">
        <w:t>в 2016</w:t>
      </w:r>
      <w:r w:rsidR="00AD3DFA">
        <w:t> год</w:t>
      </w:r>
      <w:r w:rsidRPr="00196F8E">
        <w:t>у</w:t>
      </w:r>
      <w:r>
        <w:t xml:space="preserve"> — </w:t>
      </w:r>
      <w:r w:rsidRPr="00196F8E">
        <w:t>1</w:t>
      </w:r>
      <w:r w:rsidR="00407C6F">
        <w:t> </w:t>
      </w:r>
      <w:r w:rsidRPr="00196F8E">
        <w:t>марта 2015</w:t>
      </w:r>
      <w:r w:rsidR="00AD3DFA">
        <w:t> год</w:t>
      </w:r>
      <w:r w:rsidRPr="00196F8E">
        <w:t>а. Приемлемые заявки будут рассмо</w:t>
      </w:r>
      <w:r w:rsidRPr="00196F8E">
        <w:t>т</w:t>
      </w:r>
      <w:r w:rsidRPr="00196F8E">
        <w:t xml:space="preserve">рены Советом попечителей на его двадцатой сессии, которая </w:t>
      </w:r>
      <w:r>
        <w:t xml:space="preserve">состоится </w:t>
      </w:r>
      <w:r w:rsidRPr="00196F8E">
        <w:t>в Ж</w:t>
      </w:r>
      <w:r w:rsidRPr="00196F8E">
        <w:t>е</w:t>
      </w:r>
      <w:r w:rsidRPr="00196F8E">
        <w:t>неве 23–27 ноября 2015</w:t>
      </w:r>
      <w:r w:rsidR="00AD3DFA">
        <w:t> год</w:t>
      </w:r>
      <w:r w:rsidRPr="00196F8E">
        <w:t>а.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96F8E">
        <w:t>B.</w:t>
      </w:r>
      <w:r>
        <w:tab/>
      </w:r>
      <w:r w:rsidRPr="00196F8E">
        <w:t>Мониторинг и оценка секретариатом Совета попечителей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SingleTxt"/>
      </w:pPr>
      <w:r w:rsidRPr="00196F8E">
        <w:t>9.</w:t>
      </w:r>
      <w:r w:rsidR="00407C6F">
        <w:tab/>
      </w:r>
      <w:r w:rsidRPr="00196F8E">
        <w:t>На девятнадцатой сессии Совету были представлены 93</w:t>
      </w:r>
      <w:r w:rsidR="00407C6F">
        <w:t> </w:t>
      </w:r>
      <w:r w:rsidRPr="00196F8E">
        <w:t xml:space="preserve">заявки на </w:t>
      </w:r>
      <w:r>
        <w:t>пол</w:t>
      </w:r>
      <w:r>
        <w:t>у</w:t>
      </w:r>
      <w:r>
        <w:t xml:space="preserve">чение субсидий для осуществления </w:t>
      </w:r>
      <w:r w:rsidRPr="00196F8E">
        <w:t>проектов в 2015</w:t>
      </w:r>
      <w:r w:rsidR="00AD3DFA">
        <w:t> год</w:t>
      </w:r>
      <w:r w:rsidRPr="00196F8E">
        <w:t>у. До начала сессии секретариат Совета попечителей Фонда, члены Совета, представители стран</w:t>
      </w:r>
      <w:r w:rsidRPr="00196F8E">
        <w:t>о</w:t>
      </w:r>
      <w:r w:rsidRPr="00196F8E">
        <w:t>вых и региональных отделени</w:t>
      </w:r>
      <w:r w:rsidR="00407C6F">
        <w:t>й</w:t>
      </w:r>
      <w:r w:rsidRPr="00196F8E">
        <w:t xml:space="preserve"> УВКПЧ и компонентов по правам человека, входящих в состав миротворческих миссий, провели </w:t>
      </w:r>
      <w:r>
        <w:t xml:space="preserve">на местах </w:t>
      </w:r>
      <w:r w:rsidRPr="00196F8E">
        <w:t>оценку 42 из этих проектов.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196F8E">
        <w:t>III.</w:t>
      </w:r>
      <w:r>
        <w:tab/>
      </w:r>
      <w:r w:rsidRPr="00196F8E">
        <w:t>Финансовое положение Фонда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</w:pPr>
      <w:r w:rsidRPr="00196F8E">
        <w:t>10.</w:t>
      </w:r>
      <w:r>
        <w:tab/>
      </w:r>
      <w:r w:rsidRPr="00196F8E">
        <w:t>Несмотря на непрекращающиеся усилия государств-членов и секретари</w:t>
      </w:r>
      <w:r w:rsidRPr="00196F8E">
        <w:t>а</w:t>
      </w:r>
      <w:r w:rsidRPr="00196F8E">
        <w:t xml:space="preserve">та Совета, в том числе распространение различных публикаций о роли Фонда в поддержке организаций, занимающихся оказанием непосредственной помощи пострадавшим, Фонд </w:t>
      </w:r>
      <w:r w:rsidR="00407C6F">
        <w:t>по</w:t>
      </w:r>
      <w:r w:rsidR="00407C6F">
        <w:noBreakHyphen/>
        <w:t xml:space="preserve">прежнему </w:t>
      </w:r>
      <w:r>
        <w:t xml:space="preserve">не получает достаточного </w:t>
      </w:r>
      <w:r w:rsidRPr="00196F8E">
        <w:t>финансирования. В период с 2009 по 2014</w:t>
      </w:r>
      <w:r w:rsidR="00AD3DFA">
        <w:t> год</w:t>
      </w:r>
      <w:r w:rsidRPr="00196F8E">
        <w:t xml:space="preserve"> вследствие мирового финансового кризиса объем ежегодных добровольных взносов в Фонд сократился на 20 процентов — с 886</w:t>
      </w:r>
      <w:r>
        <w:t> </w:t>
      </w:r>
      <w:r w:rsidRPr="00196F8E">
        <w:t>482</w:t>
      </w:r>
      <w:r w:rsidR="00407C6F">
        <w:t> </w:t>
      </w:r>
      <w:r w:rsidRPr="00196F8E">
        <w:t>долл. США в 2009</w:t>
      </w:r>
      <w:r w:rsidR="00AD3DFA">
        <w:t> год</w:t>
      </w:r>
      <w:r w:rsidRPr="00196F8E">
        <w:t>у до 683</w:t>
      </w:r>
      <w:r w:rsidR="00407C6F">
        <w:t> </w:t>
      </w:r>
      <w:r w:rsidRPr="00196F8E">
        <w:t>005</w:t>
      </w:r>
      <w:r w:rsidR="00407C6F">
        <w:t> </w:t>
      </w:r>
      <w:r w:rsidRPr="00196F8E">
        <w:t>долл. США в 2014</w:t>
      </w:r>
      <w:r w:rsidR="00AD3DFA">
        <w:t> год</w:t>
      </w:r>
      <w:r w:rsidRPr="00196F8E">
        <w:t xml:space="preserve">у. </w:t>
      </w:r>
      <w:r>
        <w:t>Для реал</w:t>
      </w:r>
      <w:r>
        <w:t>ь</w:t>
      </w:r>
      <w:r>
        <w:t xml:space="preserve">ного выполнения своего мандата и </w:t>
      </w:r>
      <w:r w:rsidR="00CB5BEF">
        <w:t>адекватного</w:t>
      </w:r>
      <w:r>
        <w:t xml:space="preserve"> реагирования </w:t>
      </w:r>
      <w:r w:rsidRPr="00196F8E">
        <w:t xml:space="preserve">на потребности пострадавших Фонду требуется не менее 2 млн. долл. США в виде </w:t>
      </w:r>
      <w:r>
        <w:t xml:space="preserve">ежегодных </w:t>
      </w:r>
      <w:r w:rsidRPr="00196F8E">
        <w:t>взносов. Взносы, полученные в 2014</w:t>
      </w:r>
      <w:r w:rsidR="00AD3DFA">
        <w:t> год</w:t>
      </w:r>
      <w:r w:rsidRPr="00196F8E">
        <w:t xml:space="preserve">у, покрыли лишь треть от </w:t>
      </w:r>
      <w:r>
        <w:t xml:space="preserve">этого </w:t>
      </w:r>
      <w:r w:rsidRPr="00196F8E">
        <w:t>цел</w:t>
      </w:r>
      <w:r w:rsidRPr="00196F8E">
        <w:t>е</w:t>
      </w:r>
      <w:r w:rsidRPr="00196F8E">
        <w:t>вого показателя.</w:t>
      </w:r>
    </w:p>
    <w:p w:rsidR="00196F8E" w:rsidRDefault="00196F8E" w:rsidP="00196F8E">
      <w:pPr>
        <w:pStyle w:val="SingleTxt"/>
      </w:pPr>
      <w:r w:rsidRPr="00196F8E">
        <w:t>11.</w:t>
      </w:r>
      <w:r>
        <w:tab/>
      </w:r>
      <w:r w:rsidRPr="00196F8E">
        <w:t xml:space="preserve">В таблицах 1 и 2 показаны объявленные </w:t>
      </w:r>
      <w:r>
        <w:t xml:space="preserve">и </w:t>
      </w:r>
      <w:r w:rsidRPr="00196F8E">
        <w:t>полученные взносы за 2014</w:t>
      </w:r>
      <w:r w:rsidR="00AD3DFA">
        <w:t> год</w:t>
      </w:r>
      <w:r>
        <w:t xml:space="preserve"> и на период по </w:t>
      </w:r>
      <w:r w:rsidRPr="00196F8E">
        <w:t>31 июля 2015</w:t>
      </w:r>
      <w:r w:rsidR="00AD3DFA">
        <w:t> год</w:t>
      </w:r>
      <w:r w:rsidRPr="00196F8E">
        <w:t>а.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tab/>
      </w:r>
      <w:r>
        <w:tab/>
      </w:r>
      <w:r w:rsidRPr="00196F8E">
        <w:t>Таблица 1</w:t>
      </w:r>
    </w:p>
    <w:p w:rsidR="00196F8E" w:rsidRDefault="00196F8E" w:rsidP="00196F8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196F8E">
        <w:t>Полученные и объявленные взносы за 2014</w:t>
      </w:r>
      <w:r w:rsidR="00AD3DFA">
        <w:t> год</w:t>
      </w: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Default="00196F8E" w:rsidP="00196F8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196F8E">
        <w:t>(В долл. США)</w:t>
      </w:r>
    </w:p>
    <w:p w:rsidR="00926820" w:rsidRPr="00926820" w:rsidRDefault="00926820" w:rsidP="0092682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1539"/>
        <w:gridCol w:w="2622"/>
      </w:tblGrid>
      <w:tr w:rsidR="00926820" w:rsidRPr="00926820" w:rsidTr="00926820">
        <w:trPr>
          <w:tblHeader/>
        </w:trPr>
        <w:tc>
          <w:tcPr>
            <w:tcW w:w="3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Донор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32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Сумма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/>
              <w:rPr>
                <w:i/>
                <w:sz w:val="14"/>
              </w:rPr>
            </w:pPr>
            <w:r>
              <w:rPr>
                <w:i/>
                <w:sz w:val="14"/>
              </w:rPr>
              <w:t>Дата получения</w:t>
            </w:r>
          </w:p>
        </w:tc>
      </w:tr>
      <w:tr w:rsidR="00926820" w:rsidRPr="00926820" w:rsidTr="00926820">
        <w:trPr>
          <w:trHeight w:hRule="exact" w:val="115"/>
          <w:tblHeader/>
        </w:trPr>
        <w:tc>
          <w:tcPr>
            <w:tcW w:w="31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</w:p>
        </w:tc>
        <w:tc>
          <w:tcPr>
            <w:tcW w:w="26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Австралия</w:t>
            </w:r>
          </w:p>
        </w:tc>
        <w:tc>
          <w:tcPr>
            <w:tcW w:w="1539" w:type="dxa"/>
            <w:shd w:val="clear" w:color="auto" w:fill="auto"/>
          </w:tcPr>
          <w:p w:rsidR="00926820" w:rsidRPr="00AD7642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174 520</w:t>
            </w:r>
          </w:p>
        </w:tc>
        <w:tc>
          <w:tcPr>
            <w:tcW w:w="2622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25 ноября 2014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Германия</w:t>
            </w:r>
          </w:p>
        </w:tc>
        <w:tc>
          <w:tcPr>
            <w:tcW w:w="1539" w:type="dxa"/>
            <w:shd w:val="clear" w:color="auto" w:fill="auto"/>
          </w:tcPr>
          <w:p w:rsidR="00926820" w:rsidRPr="00AD7642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341 997</w:t>
            </w:r>
          </w:p>
        </w:tc>
        <w:tc>
          <w:tcPr>
            <w:tcW w:w="2622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27 марта 2014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Греция</w:t>
            </w:r>
          </w:p>
        </w:tc>
        <w:tc>
          <w:tcPr>
            <w:tcW w:w="1539" w:type="dxa"/>
            <w:shd w:val="clear" w:color="auto" w:fill="auto"/>
          </w:tcPr>
          <w:p w:rsidR="00926820" w:rsidRPr="00AD7642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25 031</w:t>
            </w:r>
          </w:p>
        </w:tc>
        <w:tc>
          <w:tcPr>
            <w:tcW w:w="2622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11 декабря 2014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Святой Престол</w:t>
            </w:r>
          </w:p>
        </w:tc>
        <w:tc>
          <w:tcPr>
            <w:tcW w:w="1539" w:type="dxa"/>
            <w:shd w:val="clear" w:color="auto" w:fill="auto"/>
          </w:tcPr>
          <w:p w:rsidR="00926820" w:rsidRPr="00AD7642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916</w:t>
            </w:r>
          </w:p>
        </w:tc>
        <w:tc>
          <w:tcPr>
            <w:tcW w:w="2622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11 марта 2014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Святой Престол</w:t>
            </w:r>
          </w:p>
        </w:tc>
        <w:tc>
          <w:tcPr>
            <w:tcW w:w="1539" w:type="dxa"/>
            <w:shd w:val="clear" w:color="auto" w:fill="auto"/>
          </w:tcPr>
          <w:p w:rsidR="00926820" w:rsidRPr="00AD7642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922</w:t>
            </w:r>
          </w:p>
        </w:tc>
        <w:tc>
          <w:tcPr>
            <w:tcW w:w="2622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28 октября 2014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Индия</w:t>
            </w:r>
          </w:p>
        </w:tc>
        <w:tc>
          <w:tcPr>
            <w:tcW w:w="1539" w:type="dxa"/>
            <w:shd w:val="clear" w:color="auto" w:fill="auto"/>
          </w:tcPr>
          <w:p w:rsidR="00926820" w:rsidRPr="00AD7642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25 000</w:t>
            </w:r>
          </w:p>
        </w:tc>
        <w:tc>
          <w:tcPr>
            <w:tcW w:w="2622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28 октября 2013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Люксембург</w:t>
            </w:r>
          </w:p>
        </w:tc>
        <w:tc>
          <w:tcPr>
            <w:tcW w:w="1539" w:type="dxa"/>
            <w:shd w:val="clear" w:color="auto" w:fill="auto"/>
          </w:tcPr>
          <w:p w:rsidR="00926820" w:rsidRPr="00AD7642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12 391</w:t>
            </w:r>
          </w:p>
        </w:tc>
        <w:tc>
          <w:tcPr>
            <w:tcW w:w="2622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18 февраля 2015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Португалия</w:t>
            </w:r>
          </w:p>
        </w:tc>
        <w:tc>
          <w:tcPr>
            <w:tcW w:w="1539" w:type="dxa"/>
            <w:shd w:val="clear" w:color="auto" w:fill="auto"/>
          </w:tcPr>
          <w:p w:rsidR="00926820" w:rsidRPr="00AD7642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6 226</w:t>
            </w:r>
          </w:p>
        </w:tc>
        <w:tc>
          <w:tcPr>
            <w:tcW w:w="2622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23 декабря 2014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Катар</w:t>
            </w:r>
          </w:p>
        </w:tc>
        <w:tc>
          <w:tcPr>
            <w:tcW w:w="1539" w:type="dxa"/>
            <w:shd w:val="clear" w:color="auto" w:fill="auto"/>
          </w:tcPr>
          <w:p w:rsidR="00926820" w:rsidRPr="00AD7642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10 000</w:t>
            </w:r>
          </w:p>
        </w:tc>
        <w:tc>
          <w:tcPr>
            <w:tcW w:w="2622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22 сентября 2014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Нидерланды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50 000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29 декабря 2014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Турция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6 000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30 мая 2014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Объединенные Арабские Эмираты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30 000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left="144"/>
              <w:rPr>
                <w:sz w:val="17"/>
              </w:rPr>
            </w:pPr>
            <w:r w:rsidRPr="00926820">
              <w:rPr>
                <w:sz w:val="17"/>
              </w:rPr>
              <w:t>5 июня 2014</w:t>
            </w:r>
            <w:r w:rsidR="00AD3DFA">
              <w:rPr>
                <w:sz w:val="17"/>
              </w:rPr>
              <w:t> год</w:t>
            </w:r>
            <w:r w:rsidRPr="00926820">
              <w:rPr>
                <w:sz w:val="17"/>
              </w:rPr>
              <w:t>а</w:t>
            </w:r>
          </w:p>
        </w:tc>
      </w:tr>
      <w:tr w:rsidR="00926820" w:rsidRPr="00926820" w:rsidTr="00926820">
        <w:tc>
          <w:tcPr>
            <w:tcW w:w="3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ind w:right="40"/>
              <w:rPr>
                <w:b/>
                <w:sz w:val="17"/>
              </w:rPr>
            </w:pPr>
            <w:r w:rsidRPr="00926820">
              <w:rPr>
                <w:b/>
                <w:sz w:val="17"/>
              </w:rPr>
              <w:tab/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2"/>
              <w:jc w:val="right"/>
              <w:rPr>
                <w:b/>
                <w:sz w:val="17"/>
              </w:rPr>
            </w:pPr>
            <w:r w:rsidRPr="00926820">
              <w:rPr>
                <w:b/>
                <w:sz w:val="17"/>
              </w:rPr>
              <w:t>683 005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26820" w:rsidRPr="00926820" w:rsidRDefault="00926820" w:rsidP="009268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left="144"/>
              <w:rPr>
                <w:b/>
                <w:sz w:val="17"/>
              </w:rPr>
            </w:pPr>
          </w:p>
        </w:tc>
      </w:tr>
    </w:tbl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196F8E" w:rsidRPr="00196F8E" w:rsidRDefault="00196F8E" w:rsidP="00196F8E">
      <w:pPr>
        <w:pStyle w:val="SingleTxt"/>
        <w:spacing w:after="0" w:line="120" w:lineRule="exact"/>
        <w:rPr>
          <w:sz w:val="10"/>
        </w:rPr>
      </w:pPr>
    </w:p>
    <w:p w:rsidR="00C00363" w:rsidRPr="00C00363" w:rsidRDefault="00C00363" w:rsidP="00C00363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br w:type="page"/>
      </w:r>
      <w:r>
        <w:lastRenderedPageBreak/>
        <w:tab/>
      </w:r>
      <w:r>
        <w:tab/>
      </w:r>
      <w:r w:rsidRPr="00C00363">
        <w:t>Таблица 2</w:t>
      </w:r>
    </w:p>
    <w:p w:rsidR="00C00363" w:rsidRDefault="00C00363" w:rsidP="00C003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C00363">
        <w:t>Полученные и объявленные взносы за период с 1 января по 31 июля 2015</w:t>
      </w:r>
      <w:r w:rsidR="00AD3DFA">
        <w:t> год</w:t>
      </w:r>
      <w:r w:rsidRPr="00C00363">
        <w:t>а</w:t>
      </w:r>
    </w:p>
    <w:p w:rsidR="00C00363" w:rsidRPr="00C00363" w:rsidRDefault="00C00363" w:rsidP="00C00363">
      <w:pPr>
        <w:pStyle w:val="SingleTxt"/>
        <w:spacing w:after="0" w:line="120" w:lineRule="exact"/>
        <w:rPr>
          <w:sz w:val="10"/>
        </w:rPr>
      </w:pPr>
    </w:p>
    <w:p w:rsidR="00C00363" w:rsidRPr="00C00363" w:rsidRDefault="00C00363" w:rsidP="00C0036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</w:rPr>
      </w:pPr>
      <w:r>
        <w:tab/>
      </w:r>
      <w:r>
        <w:tab/>
      </w:r>
      <w:r w:rsidRPr="00C00363">
        <w:t>(В долл. США)</w:t>
      </w:r>
    </w:p>
    <w:p w:rsidR="00C00363" w:rsidRPr="00926820" w:rsidRDefault="00C00363" w:rsidP="00C0036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1539"/>
        <w:gridCol w:w="2622"/>
      </w:tblGrid>
      <w:tr w:rsidR="00C00363" w:rsidRPr="00926820" w:rsidTr="00CA22E0">
        <w:trPr>
          <w:tblHeader/>
        </w:trPr>
        <w:tc>
          <w:tcPr>
            <w:tcW w:w="3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00363" w:rsidRPr="00926820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Донор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00363" w:rsidRPr="00926820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32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Сумма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00363" w:rsidRPr="00926820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/>
              <w:rPr>
                <w:i/>
                <w:sz w:val="14"/>
              </w:rPr>
            </w:pPr>
            <w:r>
              <w:rPr>
                <w:i/>
                <w:sz w:val="14"/>
              </w:rPr>
              <w:t>Дата получения</w:t>
            </w:r>
          </w:p>
        </w:tc>
      </w:tr>
      <w:tr w:rsidR="00C00363" w:rsidRPr="00926820" w:rsidTr="00CA22E0">
        <w:trPr>
          <w:trHeight w:hRule="exact" w:val="115"/>
          <w:tblHeader/>
        </w:trPr>
        <w:tc>
          <w:tcPr>
            <w:tcW w:w="31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00363" w:rsidRPr="00926820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00363" w:rsidRPr="00926820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</w:p>
        </w:tc>
        <w:tc>
          <w:tcPr>
            <w:tcW w:w="26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00363" w:rsidRPr="00926820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</w:p>
        </w:tc>
      </w:tr>
      <w:tr w:rsidR="00C00363" w:rsidRPr="00926820" w:rsidTr="00CA22E0">
        <w:tc>
          <w:tcPr>
            <w:tcW w:w="3159" w:type="dxa"/>
            <w:shd w:val="clear" w:color="auto" w:fill="auto"/>
          </w:tcPr>
          <w:p w:rsidR="00C00363" w:rsidRPr="00926820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Германия</w:t>
            </w:r>
          </w:p>
        </w:tc>
        <w:tc>
          <w:tcPr>
            <w:tcW w:w="1539" w:type="dxa"/>
            <w:shd w:val="clear" w:color="auto" w:fill="auto"/>
          </w:tcPr>
          <w:p w:rsidR="00C00363" w:rsidRPr="00AD7642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265 111</w:t>
            </w:r>
          </w:p>
        </w:tc>
        <w:tc>
          <w:tcPr>
            <w:tcW w:w="2622" w:type="dxa"/>
            <w:shd w:val="clear" w:color="auto" w:fill="auto"/>
          </w:tcPr>
          <w:p w:rsidR="00C00363" w:rsidRPr="00AD7642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AD7642">
              <w:rPr>
                <w:sz w:val="17"/>
              </w:rPr>
              <w:t>24 марта 2015</w:t>
            </w:r>
            <w:r w:rsidR="00AD3DFA">
              <w:rPr>
                <w:sz w:val="17"/>
              </w:rPr>
              <w:t> год</w:t>
            </w:r>
            <w:r w:rsidRPr="00AD7642">
              <w:rPr>
                <w:sz w:val="17"/>
              </w:rPr>
              <w:t>а</w:t>
            </w:r>
          </w:p>
        </w:tc>
      </w:tr>
      <w:tr w:rsidR="00C00363" w:rsidRPr="00926820" w:rsidTr="00CA22E0">
        <w:tc>
          <w:tcPr>
            <w:tcW w:w="3159" w:type="dxa"/>
            <w:shd w:val="clear" w:color="auto" w:fill="auto"/>
          </w:tcPr>
          <w:p w:rsidR="00C00363" w:rsidRPr="00926820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Индия</w:t>
            </w:r>
          </w:p>
        </w:tc>
        <w:tc>
          <w:tcPr>
            <w:tcW w:w="1539" w:type="dxa"/>
            <w:shd w:val="clear" w:color="auto" w:fill="auto"/>
          </w:tcPr>
          <w:p w:rsidR="00C00363" w:rsidRPr="00AD7642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25 000</w:t>
            </w:r>
          </w:p>
        </w:tc>
        <w:tc>
          <w:tcPr>
            <w:tcW w:w="2622" w:type="dxa"/>
            <w:shd w:val="clear" w:color="auto" w:fill="auto"/>
          </w:tcPr>
          <w:p w:rsidR="00C00363" w:rsidRPr="00AD7642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AD7642">
              <w:rPr>
                <w:sz w:val="17"/>
              </w:rPr>
              <w:t>26 января 2015</w:t>
            </w:r>
            <w:r w:rsidR="00AD3DFA">
              <w:rPr>
                <w:sz w:val="17"/>
              </w:rPr>
              <w:t> год</w:t>
            </w:r>
            <w:r w:rsidRPr="00AD7642">
              <w:rPr>
                <w:sz w:val="17"/>
              </w:rPr>
              <w:t>а</w:t>
            </w:r>
          </w:p>
        </w:tc>
      </w:tr>
      <w:tr w:rsidR="00C00363" w:rsidRPr="00926820" w:rsidTr="00CA22E0">
        <w:tc>
          <w:tcPr>
            <w:tcW w:w="3159" w:type="dxa"/>
            <w:shd w:val="clear" w:color="auto" w:fill="auto"/>
          </w:tcPr>
          <w:p w:rsidR="00C00363" w:rsidRPr="00926820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926820">
              <w:rPr>
                <w:sz w:val="17"/>
              </w:rPr>
              <w:t>Люксембург</w:t>
            </w:r>
          </w:p>
        </w:tc>
        <w:tc>
          <w:tcPr>
            <w:tcW w:w="1539" w:type="dxa"/>
            <w:shd w:val="clear" w:color="auto" w:fill="auto"/>
          </w:tcPr>
          <w:p w:rsidR="00C00363" w:rsidRPr="00AD7642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10 834</w:t>
            </w:r>
          </w:p>
        </w:tc>
        <w:tc>
          <w:tcPr>
            <w:tcW w:w="2622" w:type="dxa"/>
            <w:shd w:val="clear" w:color="auto" w:fill="auto"/>
          </w:tcPr>
          <w:p w:rsidR="00C00363" w:rsidRPr="00AD7642" w:rsidRDefault="00C00363" w:rsidP="00CA22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/>
              <w:rPr>
                <w:sz w:val="17"/>
              </w:rPr>
            </w:pPr>
            <w:r w:rsidRPr="00AD7642">
              <w:rPr>
                <w:sz w:val="17"/>
              </w:rPr>
              <w:t>27 апреля 2015</w:t>
            </w:r>
            <w:r w:rsidR="00AD3DFA">
              <w:rPr>
                <w:sz w:val="17"/>
              </w:rPr>
              <w:t> год</w:t>
            </w:r>
            <w:r w:rsidRPr="00AD7642">
              <w:rPr>
                <w:sz w:val="17"/>
              </w:rPr>
              <w:t>а</w:t>
            </w:r>
          </w:p>
        </w:tc>
      </w:tr>
      <w:tr w:rsidR="00C00363" w:rsidRPr="00926820" w:rsidTr="00C00363"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C00363" w:rsidRPr="00926820" w:rsidRDefault="00CB5BEF" w:rsidP="00C003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Южная</w:t>
            </w:r>
            <w:r w:rsidR="00C00363">
              <w:rPr>
                <w:sz w:val="17"/>
              </w:rPr>
              <w:t xml:space="preserve"> Африка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C00363" w:rsidRPr="00AD7642" w:rsidRDefault="00C00363" w:rsidP="00C003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2"/>
              <w:jc w:val="right"/>
              <w:rPr>
                <w:sz w:val="17"/>
              </w:rPr>
            </w:pPr>
            <w:r w:rsidRPr="00AD7642">
              <w:rPr>
                <w:sz w:val="17"/>
              </w:rPr>
              <w:t>7 845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C00363" w:rsidRPr="00AD7642" w:rsidRDefault="00C00363" w:rsidP="00C003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left="144"/>
              <w:rPr>
                <w:sz w:val="17"/>
              </w:rPr>
            </w:pPr>
            <w:r w:rsidRPr="00AD7642">
              <w:rPr>
                <w:sz w:val="17"/>
              </w:rPr>
              <w:t>30 марта 2015</w:t>
            </w:r>
            <w:r w:rsidR="00AD3DFA">
              <w:rPr>
                <w:sz w:val="17"/>
              </w:rPr>
              <w:t> год</w:t>
            </w:r>
            <w:r w:rsidRPr="00AD7642">
              <w:rPr>
                <w:sz w:val="17"/>
              </w:rPr>
              <w:t>а</w:t>
            </w:r>
          </w:p>
        </w:tc>
      </w:tr>
      <w:tr w:rsidR="00C00363" w:rsidRPr="00C00363" w:rsidTr="000A6A02">
        <w:tc>
          <w:tcPr>
            <w:tcW w:w="3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00363" w:rsidRPr="00C00363" w:rsidRDefault="00C00363" w:rsidP="00C003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ind w:right="40"/>
              <w:rPr>
                <w:b/>
                <w:sz w:val="17"/>
              </w:rPr>
            </w:pPr>
            <w:r w:rsidRPr="00C00363">
              <w:rPr>
                <w:b/>
                <w:sz w:val="17"/>
              </w:rPr>
              <w:tab/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0363" w:rsidRPr="00C00363" w:rsidRDefault="00C00363" w:rsidP="00C003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2"/>
              <w:jc w:val="right"/>
              <w:rPr>
                <w:b/>
                <w:sz w:val="17"/>
              </w:rPr>
            </w:pPr>
            <w:r w:rsidRPr="00C00363">
              <w:rPr>
                <w:b/>
                <w:sz w:val="17"/>
              </w:rPr>
              <w:t>308 790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00363" w:rsidRPr="00C00363" w:rsidRDefault="00C00363" w:rsidP="00C0036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left="144"/>
              <w:rPr>
                <w:b/>
                <w:sz w:val="17"/>
              </w:rPr>
            </w:pPr>
          </w:p>
        </w:tc>
      </w:tr>
    </w:tbl>
    <w:p w:rsidR="00C00363" w:rsidRPr="00196F8E" w:rsidRDefault="00C00363" w:rsidP="00C00363">
      <w:pPr>
        <w:pStyle w:val="SingleTxt"/>
        <w:spacing w:after="0" w:line="120" w:lineRule="exact"/>
        <w:rPr>
          <w:sz w:val="10"/>
        </w:rPr>
      </w:pPr>
    </w:p>
    <w:p w:rsidR="00C00363" w:rsidRPr="00C00363" w:rsidRDefault="00C00363" w:rsidP="00C00363">
      <w:pPr>
        <w:pStyle w:val="SingleTxt"/>
        <w:spacing w:after="0" w:line="120" w:lineRule="exact"/>
        <w:rPr>
          <w:sz w:val="10"/>
        </w:rPr>
      </w:pPr>
    </w:p>
    <w:p w:rsidR="00E35189" w:rsidRDefault="00E35189" w:rsidP="00E351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35189">
        <w:t>IV.</w:t>
      </w:r>
      <w:r>
        <w:tab/>
      </w:r>
      <w:r w:rsidRPr="00E35189">
        <w:t>Девятнадцатая сессия Совета попечителей</w:t>
      </w:r>
    </w:p>
    <w:p w:rsidR="00E35189" w:rsidRPr="00E35189" w:rsidRDefault="00E35189" w:rsidP="00E35189">
      <w:pPr>
        <w:pStyle w:val="SingleTxt"/>
        <w:spacing w:after="0" w:line="120" w:lineRule="exact"/>
        <w:rPr>
          <w:sz w:val="10"/>
        </w:rPr>
      </w:pPr>
    </w:p>
    <w:p w:rsidR="00E35189" w:rsidRPr="00E35189" w:rsidRDefault="00E35189" w:rsidP="00E35189">
      <w:pPr>
        <w:pStyle w:val="SingleTxt"/>
        <w:spacing w:after="0" w:line="120" w:lineRule="exact"/>
        <w:rPr>
          <w:sz w:val="10"/>
        </w:rPr>
      </w:pPr>
    </w:p>
    <w:p w:rsidR="00E35189" w:rsidRDefault="00E35189" w:rsidP="00E35189">
      <w:pPr>
        <w:pStyle w:val="SingleTxt"/>
      </w:pPr>
      <w:r w:rsidRPr="00E35189">
        <w:t>12.</w:t>
      </w:r>
      <w:r>
        <w:tab/>
      </w:r>
      <w:r w:rsidRPr="00E35189">
        <w:t xml:space="preserve">Девятнадцатая сессия Совета попечителей Фонда </w:t>
      </w:r>
      <w:r>
        <w:t xml:space="preserve">состоялась </w:t>
      </w:r>
      <w:r w:rsidRPr="00E35189">
        <w:t>в Женеве 24–28 ноября 2014</w:t>
      </w:r>
      <w:r w:rsidR="00AD3DFA">
        <w:t> год</w:t>
      </w:r>
      <w:r w:rsidRPr="00E35189">
        <w:t>а. В ходе этой сессии Совет провел неофициальную встречу с 24 государствами-членами. Совет провел также встречи с Директ</w:t>
      </w:r>
      <w:r w:rsidRPr="00E35189">
        <w:t>о</w:t>
      </w:r>
      <w:r w:rsidRPr="00E35189">
        <w:t>ром Отдела договоров по правам человека и Начальником Службы внешних связей УВКПЧ для того, чтобы обсудить критическое финансовое положение и необходимость активизации информационно-пропагандистской деятельности в целях освещения результатов работы Фонда.</w:t>
      </w:r>
    </w:p>
    <w:p w:rsidR="00E35189" w:rsidRPr="00E35189" w:rsidRDefault="00E35189" w:rsidP="00E35189">
      <w:pPr>
        <w:pStyle w:val="SingleTxt"/>
        <w:spacing w:after="0" w:line="120" w:lineRule="exact"/>
        <w:rPr>
          <w:sz w:val="10"/>
        </w:rPr>
      </w:pPr>
    </w:p>
    <w:p w:rsidR="00E35189" w:rsidRPr="00E35189" w:rsidRDefault="00E35189" w:rsidP="00E35189">
      <w:pPr>
        <w:pStyle w:val="SingleTxt"/>
        <w:spacing w:after="0" w:line="120" w:lineRule="exact"/>
        <w:rPr>
          <w:sz w:val="10"/>
        </w:rPr>
      </w:pPr>
    </w:p>
    <w:p w:rsidR="00E35189" w:rsidRDefault="00E35189" w:rsidP="00E3518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5189">
        <w:tab/>
        <w:t>А.</w:t>
      </w:r>
      <w:r>
        <w:tab/>
      </w:r>
      <w:r w:rsidRPr="00E35189">
        <w:t>Рекомендации относительно предоставления субсидий</w:t>
      </w:r>
    </w:p>
    <w:p w:rsidR="00E35189" w:rsidRPr="00E35189" w:rsidRDefault="00E35189" w:rsidP="00E35189">
      <w:pPr>
        <w:pStyle w:val="SingleTxt"/>
        <w:spacing w:after="0" w:line="120" w:lineRule="exact"/>
        <w:rPr>
          <w:sz w:val="10"/>
        </w:rPr>
      </w:pPr>
    </w:p>
    <w:p w:rsidR="00E35189" w:rsidRPr="00E35189" w:rsidRDefault="00E35189" w:rsidP="00E35189">
      <w:pPr>
        <w:pStyle w:val="SingleTxt"/>
        <w:spacing w:after="0" w:line="120" w:lineRule="exact"/>
        <w:rPr>
          <w:sz w:val="10"/>
        </w:rPr>
      </w:pPr>
    </w:p>
    <w:p w:rsidR="00E35189" w:rsidRPr="00E35189" w:rsidRDefault="00E35189" w:rsidP="00E35189">
      <w:pPr>
        <w:pStyle w:val="SingleTxt"/>
      </w:pPr>
      <w:r w:rsidRPr="00E35189">
        <w:t>13.</w:t>
      </w:r>
      <w:r>
        <w:tab/>
      </w:r>
      <w:r w:rsidRPr="00E35189">
        <w:t>На рассмотрение Совет</w:t>
      </w:r>
      <w:r>
        <w:t>у</w:t>
      </w:r>
      <w:r w:rsidRPr="00E35189">
        <w:t xml:space="preserve"> были представлены 93 заявки на </w:t>
      </w:r>
      <w:r>
        <w:t>выделение су</w:t>
      </w:r>
      <w:r>
        <w:t>б</w:t>
      </w:r>
      <w:r>
        <w:t xml:space="preserve">сидий по проектам </w:t>
      </w:r>
      <w:r w:rsidRPr="00E35189">
        <w:t xml:space="preserve">на общую сумму примерно 1,4 млн. долл. США, </w:t>
      </w:r>
      <w:r>
        <w:t xml:space="preserve">которые были проанализированы </w:t>
      </w:r>
      <w:r w:rsidRPr="00E35189">
        <w:t>секретариат</w:t>
      </w:r>
      <w:r>
        <w:t>ом</w:t>
      </w:r>
      <w:r w:rsidRPr="00E35189">
        <w:t xml:space="preserve"> Совета. Совет принял решение уделять приоритетное внимание рассмотрению 61</w:t>
      </w:r>
      <w:r>
        <w:t> </w:t>
      </w:r>
      <w:r w:rsidRPr="00E35189">
        <w:t xml:space="preserve">проекта, которые </w:t>
      </w:r>
      <w:r>
        <w:t xml:space="preserve">настоятельно </w:t>
      </w:r>
      <w:r w:rsidR="00CB5BEF">
        <w:t>р</w:t>
      </w:r>
      <w:r w:rsidR="00CB5BEF">
        <w:t>е</w:t>
      </w:r>
      <w:r w:rsidR="00CB5BEF">
        <w:t>комендовал</w:t>
      </w:r>
      <w:r>
        <w:t xml:space="preserve"> </w:t>
      </w:r>
      <w:r w:rsidRPr="00E35189">
        <w:t>финансировать секретариат, а также рекомендовал одобрить выд</w:t>
      </w:r>
      <w:r w:rsidRPr="00E35189">
        <w:t>е</w:t>
      </w:r>
      <w:r w:rsidRPr="00E35189">
        <w:t>ление субсидий на осуществление 44 проектов на общую сумму 588 900 долл. США. Из-за не</w:t>
      </w:r>
      <w:r>
        <w:t xml:space="preserve">достаточного </w:t>
      </w:r>
      <w:r w:rsidRPr="00E35189">
        <w:t xml:space="preserve">финансирования Совет не смог </w:t>
      </w:r>
      <w:r>
        <w:t xml:space="preserve">увеличить </w:t>
      </w:r>
      <w:r w:rsidRPr="00E35189">
        <w:t xml:space="preserve">средний размер субсидии до 20 000 долл. США, как это было рекомендовано </w:t>
      </w:r>
      <w:r>
        <w:t xml:space="preserve">на </w:t>
      </w:r>
      <w:r w:rsidRPr="00E35189">
        <w:t>его в</w:t>
      </w:r>
      <w:r w:rsidRPr="00E35189">
        <w:t>о</w:t>
      </w:r>
      <w:r w:rsidRPr="00E35189">
        <w:t>семнадцатой сессии.</w:t>
      </w:r>
    </w:p>
    <w:p w:rsidR="00E35189" w:rsidRPr="00E35189" w:rsidRDefault="00E35189" w:rsidP="00E35189">
      <w:pPr>
        <w:pStyle w:val="SingleTxt"/>
      </w:pPr>
      <w:r w:rsidRPr="00E35189">
        <w:t>14.</w:t>
      </w:r>
      <w:r>
        <w:tab/>
      </w:r>
      <w:r w:rsidRPr="00E35189">
        <w:t>Благодаря этим субсидиям Фонд окажет помощь неправительственным организациям в 35 странах мира: поддержку получат 16 проектов в Азии, 12</w:t>
      </w:r>
      <w:r w:rsidR="00407C6F">
        <w:t xml:space="preserve"> — </w:t>
      </w:r>
      <w:r w:rsidRPr="00E35189">
        <w:t>в Африке, 5</w:t>
      </w:r>
      <w:r w:rsidR="00407C6F">
        <w:t xml:space="preserve"> — </w:t>
      </w:r>
      <w:r w:rsidRPr="00E35189">
        <w:t>в Восточной Европе, 4</w:t>
      </w:r>
      <w:r w:rsidR="00407C6F">
        <w:t xml:space="preserve"> — </w:t>
      </w:r>
      <w:r w:rsidRPr="00E35189">
        <w:t>в Латинской Америке и Карибском бассейне и 7</w:t>
      </w:r>
      <w:r w:rsidR="00407C6F">
        <w:t xml:space="preserve"> — </w:t>
      </w:r>
      <w:r w:rsidRPr="00E35189">
        <w:t>в странах, которые входят в группу западноевропейских и др</w:t>
      </w:r>
      <w:r w:rsidRPr="00E35189">
        <w:t>у</w:t>
      </w:r>
      <w:r w:rsidRPr="00E35189">
        <w:t>гих государств. Благодаря этим проектам компенсаци</w:t>
      </w:r>
      <w:r>
        <w:t>ю</w:t>
      </w:r>
      <w:r w:rsidRPr="00E35189">
        <w:t xml:space="preserve"> и реабилитационную помощь получат 29</w:t>
      </w:r>
      <w:r w:rsidR="00466163">
        <w:t> </w:t>
      </w:r>
      <w:r w:rsidRPr="00E35189">
        <w:t>000</w:t>
      </w:r>
      <w:r w:rsidR="00466163">
        <w:t> </w:t>
      </w:r>
      <w:r w:rsidRPr="00E35189">
        <w:t>лиц, подвергши</w:t>
      </w:r>
      <w:r>
        <w:t>х</w:t>
      </w:r>
      <w:r w:rsidRPr="00E35189">
        <w:t>ся современным формам рабства, т</w:t>
      </w:r>
      <w:r w:rsidRPr="00E35189">
        <w:t>а</w:t>
      </w:r>
      <w:r w:rsidRPr="00E35189">
        <w:t>ким как наихудшие формы детского труда, домашнее порабощение, принуд</w:t>
      </w:r>
      <w:r w:rsidRPr="00E35189">
        <w:t>и</w:t>
      </w:r>
      <w:r w:rsidRPr="00E35189">
        <w:t>тельные и ранние браки, кабальный и подневольный труд, сексуальная экспл</w:t>
      </w:r>
      <w:r w:rsidRPr="00E35189">
        <w:t>у</w:t>
      </w:r>
      <w:r w:rsidRPr="00E35189">
        <w:t xml:space="preserve">атация и торговля людьми </w:t>
      </w:r>
      <w:r>
        <w:t xml:space="preserve">для </w:t>
      </w:r>
      <w:r w:rsidRPr="00E35189">
        <w:t>цел</w:t>
      </w:r>
      <w:r>
        <w:t xml:space="preserve">ей </w:t>
      </w:r>
      <w:r w:rsidRPr="00E35189">
        <w:t>прину</w:t>
      </w:r>
      <w:r>
        <w:t xml:space="preserve">дительного </w:t>
      </w:r>
      <w:r w:rsidRPr="00E35189">
        <w:t>труд</w:t>
      </w:r>
      <w:r>
        <w:t>а</w:t>
      </w:r>
      <w:r w:rsidRPr="00E35189">
        <w:t xml:space="preserve"> или сексуальной эксплуатации.</w:t>
      </w:r>
    </w:p>
    <w:p w:rsidR="00E35189" w:rsidRPr="00E35189" w:rsidRDefault="00E35189" w:rsidP="00E35189">
      <w:pPr>
        <w:pStyle w:val="SingleTxt"/>
      </w:pPr>
      <w:r w:rsidRPr="00E35189">
        <w:t>15</w:t>
      </w:r>
      <w:r>
        <w:t>.</w:t>
      </w:r>
      <w:r>
        <w:tab/>
      </w:r>
      <w:r w:rsidRPr="00E35189">
        <w:t>На диаграммах</w:t>
      </w:r>
      <w:r w:rsidR="00466163">
        <w:t> </w:t>
      </w:r>
      <w:r w:rsidRPr="00E35189">
        <w:t>I и II ниже приводится информация о 44</w:t>
      </w:r>
      <w:r w:rsidR="00466163">
        <w:t> </w:t>
      </w:r>
      <w:r w:rsidRPr="00E35189">
        <w:t>утвержденных субсидиях в разбивке по регионам и современным формам рабства</w:t>
      </w:r>
      <w:r>
        <w:t>.</w:t>
      </w:r>
    </w:p>
    <w:p w:rsidR="00E35189" w:rsidRPr="00E35189" w:rsidRDefault="00E35189" w:rsidP="00E35189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lastRenderedPageBreak/>
        <w:tab/>
      </w:r>
      <w:r>
        <w:tab/>
      </w:r>
      <w:r w:rsidRPr="00E35189">
        <w:t>Диаграмма I</w:t>
      </w:r>
    </w:p>
    <w:p w:rsidR="00E35189" w:rsidRPr="00E35189" w:rsidRDefault="00E35189" w:rsidP="00E3518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35189">
        <w:t xml:space="preserve">Субсидии, </w:t>
      </w:r>
      <w:r w:rsidR="00CB5BEF">
        <w:t>выделенные</w:t>
      </w:r>
      <w:r>
        <w:t xml:space="preserve"> в </w:t>
      </w:r>
      <w:r w:rsidRPr="00E35189">
        <w:t>2015</w:t>
      </w:r>
      <w:r w:rsidR="00AD3DFA">
        <w:t> год</w:t>
      </w:r>
      <w:r>
        <w:t>у</w:t>
      </w:r>
      <w:r w:rsidRPr="00E35189">
        <w:t>, в разбивке по регионам</w:t>
      </w:r>
    </w:p>
    <w:p w:rsidR="00C00363" w:rsidRPr="00FC1B25" w:rsidRDefault="00C00363" w:rsidP="00FC1B25">
      <w:pPr>
        <w:pStyle w:val="SingleTxt"/>
        <w:spacing w:after="0" w:line="120" w:lineRule="exact"/>
        <w:rPr>
          <w:sz w:val="10"/>
        </w:rPr>
      </w:pPr>
    </w:p>
    <w:p w:rsidR="00FC1B25" w:rsidRPr="00FC1B25" w:rsidRDefault="00466163" w:rsidP="00FC1B25">
      <w:pPr>
        <w:pStyle w:val="SingleTxt"/>
        <w:spacing w:after="0" w:line="120" w:lineRule="exact"/>
        <w:rPr>
          <w:sz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6C19525" wp14:editId="7B839830">
            <wp:simplePos x="0" y="0"/>
            <wp:positionH relativeFrom="column">
              <wp:posOffset>803275</wp:posOffset>
            </wp:positionH>
            <wp:positionV relativeFrom="paragraph">
              <wp:posOffset>34290</wp:posOffset>
            </wp:positionV>
            <wp:extent cx="5420360" cy="3072130"/>
            <wp:effectExtent l="0" t="0" r="27940" b="13970"/>
            <wp:wrapNone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4A" w:rsidRDefault="00EA3B4A" w:rsidP="00196F8E">
      <w:pPr>
        <w:pStyle w:val="SingleTxt"/>
      </w:pPr>
    </w:p>
    <w:p w:rsidR="00FC1B25" w:rsidRDefault="00FC1B25" w:rsidP="00FC1B25">
      <w:pPr>
        <w:pStyle w:val="SingleTxt"/>
        <w:spacing w:line="240" w:lineRule="auto"/>
      </w:pPr>
    </w:p>
    <w:p w:rsidR="00FC1B25" w:rsidRDefault="00FC1B25" w:rsidP="00EA3B4A">
      <w:pPr>
        <w:pStyle w:val="SingleTxt"/>
        <w:spacing w:line="240" w:lineRule="auto"/>
      </w:pPr>
    </w:p>
    <w:p w:rsidR="00FC1B25" w:rsidRDefault="00FC1B25" w:rsidP="00EA3B4A">
      <w:pPr>
        <w:pStyle w:val="SingleTxt"/>
        <w:spacing w:line="240" w:lineRule="auto"/>
      </w:pPr>
    </w:p>
    <w:p w:rsidR="00FC1B25" w:rsidRDefault="00FC1B25" w:rsidP="00EA3B4A">
      <w:pPr>
        <w:pStyle w:val="SingleTxt"/>
        <w:spacing w:line="240" w:lineRule="auto"/>
      </w:pPr>
    </w:p>
    <w:p w:rsidR="00466163" w:rsidRDefault="00466163" w:rsidP="00EA3B4A">
      <w:pPr>
        <w:pStyle w:val="SingleTxt"/>
        <w:spacing w:line="240" w:lineRule="auto"/>
      </w:pPr>
    </w:p>
    <w:p w:rsidR="00466163" w:rsidRDefault="00466163" w:rsidP="00EA3B4A">
      <w:pPr>
        <w:pStyle w:val="SingleTxt"/>
        <w:spacing w:line="240" w:lineRule="auto"/>
      </w:pPr>
    </w:p>
    <w:p w:rsidR="00466163" w:rsidRDefault="00466163" w:rsidP="00EA3B4A">
      <w:pPr>
        <w:pStyle w:val="SingleTxt"/>
        <w:spacing w:line="240" w:lineRule="auto"/>
      </w:pPr>
    </w:p>
    <w:p w:rsidR="00466163" w:rsidRDefault="00466163" w:rsidP="00EA3B4A">
      <w:pPr>
        <w:pStyle w:val="SingleTxt"/>
        <w:spacing w:line="240" w:lineRule="auto"/>
      </w:pPr>
    </w:p>
    <w:p w:rsidR="00466163" w:rsidRDefault="00466163" w:rsidP="00EA3B4A">
      <w:pPr>
        <w:pStyle w:val="SingleTxt"/>
        <w:spacing w:line="240" w:lineRule="auto"/>
      </w:pPr>
    </w:p>
    <w:p w:rsidR="00466163" w:rsidRDefault="00466163" w:rsidP="00EA3B4A">
      <w:pPr>
        <w:pStyle w:val="SingleTxt"/>
        <w:spacing w:line="240" w:lineRule="auto"/>
      </w:pPr>
    </w:p>
    <w:p w:rsidR="00466163" w:rsidRDefault="00466163" w:rsidP="00EA3B4A">
      <w:pPr>
        <w:pStyle w:val="SingleTxt"/>
        <w:spacing w:line="240" w:lineRule="auto"/>
      </w:pPr>
    </w:p>
    <w:p w:rsidR="00466163" w:rsidRDefault="00466163" w:rsidP="00EA3B4A">
      <w:pPr>
        <w:pStyle w:val="SingleTxt"/>
        <w:spacing w:line="240" w:lineRule="auto"/>
      </w:pPr>
    </w:p>
    <w:p w:rsidR="00466163" w:rsidRDefault="00466163" w:rsidP="00EA3B4A">
      <w:pPr>
        <w:pStyle w:val="SingleTxt"/>
        <w:spacing w:line="240" w:lineRule="auto"/>
      </w:pPr>
    </w:p>
    <w:p w:rsidR="00AD3DFA" w:rsidRPr="00AD3DFA" w:rsidRDefault="00AD3DFA" w:rsidP="00AD3DFA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D3DFA" w:rsidRPr="00AD3DFA" w:rsidRDefault="00AD3DFA" w:rsidP="00AD3DFA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D3DFA" w:rsidRPr="00665840" w:rsidRDefault="00AD3DFA" w:rsidP="00AD3DFA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D3DFA">
        <w:tab/>
      </w:r>
      <w:r w:rsidRPr="00AD3DFA">
        <w:tab/>
      </w:r>
      <w:r>
        <w:t>Диаграмма II</w:t>
      </w:r>
    </w:p>
    <w:p w:rsidR="00AD3DFA" w:rsidRPr="00665840" w:rsidRDefault="00AD3DFA" w:rsidP="00AD3D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65840">
        <w:tab/>
      </w:r>
      <w:r w:rsidRPr="00665840">
        <w:tab/>
        <w:t xml:space="preserve">Субсидии, </w:t>
      </w:r>
      <w:r>
        <w:t>выделенные в</w:t>
      </w:r>
      <w:r w:rsidRPr="00665840">
        <w:t xml:space="preserve"> 2015</w:t>
      </w:r>
      <w:r>
        <w:t> году</w:t>
      </w:r>
      <w:r w:rsidRPr="00665840">
        <w:t>, в разбивке по современным формам рабства</w:t>
      </w:r>
    </w:p>
    <w:p w:rsidR="00AD3DFA" w:rsidRPr="00665840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Default="00AD3DFA" w:rsidP="00AD3DFA">
      <w:pPr>
        <w:pStyle w:val="SingleTxt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272EE48" wp14:editId="7E2BFF9E">
            <wp:simplePos x="0" y="0"/>
            <wp:positionH relativeFrom="column">
              <wp:posOffset>803275</wp:posOffset>
            </wp:positionH>
            <wp:positionV relativeFrom="paragraph">
              <wp:posOffset>-635</wp:posOffset>
            </wp:positionV>
            <wp:extent cx="5396865" cy="3039745"/>
            <wp:effectExtent l="0" t="0" r="13335" b="27305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Default="00AD3DFA" w:rsidP="00AD3DFA">
      <w:pPr>
        <w:pStyle w:val="SingleTxt"/>
      </w:pPr>
    </w:p>
    <w:p w:rsidR="00AD3DFA" w:rsidRPr="006B0E39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6B0E39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Default="00AD3DFA" w:rsidP="00AD3DF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В.</w:t>
      </w:r>
      <w:r>
        <w:tab/>
      </w:r>
      <w:r w:rsidRPr="005B5917">
        <w:t>Стратегические рекомендации</w:t>
      </w: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</w:pPr>
      <w:r w:rsidRPr="005B5917">
        <w:t>16.</w:t>
      </w:r>
      <w:r>
        <w:tab/>
      </w:r>
      <w:r w:rsidRPr="005B5917">
        <w:t xml:space="preserve">Совет подчеркнул необходимость активизации сотрудничества с другими сторонами, </w:t>
      </w:r>
      <w:r>
        <w:t xml:space="preserve">занимающимися </w:t>
      </w:r>
      <w:r w:rsidRPr="005B5917">
        <w:t>проблематикой современны</w:t>
      </w:r>
      <w:r>
        <w:t>х</w:t>
      </w:r>
      <w:r w:rsidRPr="005B5917">
        <w:t xml:space="preserve"> форм рабства</w:t>
      </w:r>
      <w:r>
        <w:t xml:space="preserve"> в ра</w:t>
      </w:r>
      <w:r>
        <w:t>м</w:t>
      </w:r>
      <w:r>
        <w:t xml:space="preserve">ках системы </w:t>
      </w:r>
      <w:r w:rsidRPr="005B5917">
        <w:t>Организации Объединенных Наций</w:t>
      </w:r>
      <w:r>
        <w:t xml:space="preserve">, с тем </w:t>
      </w:r>
      <w:r w:rsidRPr="005B5917">
        <w:t>чтобы избежать дубл</w:t>
      </w:r>
      <w:r w:rsidRPr="005B5917">
        <w:t>и</w:t>
      </w:r>
      <w:r w:rsidRPr="005B5917">
        <w:t xml:space="preserve">рования </w:t>
      </w:r>
      <w:r>
        <w:t xml:space="preserve">усилий и конкурентной борьбы </w:t>
      </w:r>
      <w:r w:rsidRPr="005B5917">
        <w:t xml:space="preserve">за ресурсы и </w:t>
      </w:r>
      <w:r>
        <w:t xml:space="preserve">добиться надлежащего удовлетворения потребностей </w:t>
      </w:r>
      <w:r w:rsidRPr="005B5917">
        <w:t>пострадавших и защиту их прав. В связи с этим было проведено совещание с соответствующими субъектами (см.</w:t>
      </w:r>
      <w:r>
        <w:t> </w:t>
      </w:r>
      <w:r w:rsidRPr="005B5917">
        <w:t>раздел</w:t>
      </w:r>
      <w:r>
        <w:t> </w:t>
      </w:r>
      <w:r w:rsidRPr="005B5917">
        <w:t>C).</w:t>
      </w:r>
    </w:p>
    <w:p w:rsidR="00AD3DFA" w:rsidRPr="005B5917" w:rsidRDefault="00AD3DFA" w:rsidP="00AD3DFA">
      <w:pPr>
        <w:pStyle w:val="SingleTxt"/>
      </w:pPr>
      <w:r>
        <w:t>17.</w:t>
      </w:r>
      <w:r>
        <w:tab/>
      </w:r>
      <w:r w:rsidRPr="005B5917">
        <w:t xml:space="preserve">Совет особо отметил необходимость </w:t>
      </w:r>
      <w:r>
        <w:t xml:space="preserve">оказывать содействие Фонду как платформе </w:t>
      </w:r>
      <w:r w:rsidRPr="005B5917">
        <w:t>для обмена знаниями об эффективных методах оказания помощи жертвам и соглас</w:t>
      </w:r>
      <w:r>
        <w:t>ился размещать имеющиеся справочные материалы</w:t>
      </w:r>
      <w:r w:rsidRPr="005B5917">
        <w:t xml:space="preserve"> в онла</w:t>
      </w:r>
      <w:r w:rsidRPr="005B5917">
        <w:t>й</w:t>
      </w:r>
      <w:r w:rsidRPr="005B5917">
        <w:t>новом режиме.</w:t>
      </w:r>
    </w:p>
    <w:p w:rsidR="00AD3DFA" w:rsidRDefault="00AD3DFA" w:rsidP="00AD3DFA">
      <w:pPr>
        <w:pStyle w:val="SingleTxt"/>
      </w:pPr>
      <w:r>
        <w:t>18.</w:t>
      </w:r>
      <w:r>
        <w:tab/>
        <w:t xml:space="preserve">С тем чтобы обеспечить более сбалансированный подход к различным формам </w:t>
      </w:r>
      <w:r w:rsidRPr="005B5917">
        <w:t xml:space="preserve">рабства </w:t>
      </w:r>
      <w:r>
        <w:t xml:space="preserve">в рамках портфеля проектов Фонда </w:t>
      </w:r>
      <w:r w:rsidRPr="005B5917">
        <w:t>на 2016</w:t>
      </w:r>
      <w:r>
        <w:t xml:space="preserve"> год, Совет принял решение </w:t>
      </w:r>
      <w:r w:rsidRPr="005B5917">
        <w:t>уделять особое внимание заявкам по проектам, связанным с вопрос</w:t>
      </w:r>
      <w:r w:rsidRPr="005B5917">
        <w:t>а</w:t>
      </w:r>
      <w:r w:rsidRPr="005B5917">
        <w:t>ми традиционного рабства и принудительного труда, наихудших форм детского труда, принудительных и ранних браков, а также предложениям по проектам</w:t>
      </w:r>
      <w:r>
        <w:t xml:space="preserve">, направленным на оказание </w:t>
      </w:r>
      <w:r w:rsidRPr="005B5917">
        <w:t>правовой помощи жертвам современных форм ра</w:t>
      </w:r>
      <w:r w:rsidRPr="005B5917">
        <w:t>б</w:t>
      </w:r>
      <w:r w:rsidRPr="005B5917">
        <w:t xml:space="preserve">ства, особенно таким проектам, которые </w:t>
      </w:r>
      <w:r>
        <w:t xml:space="preserve">направлены на оказание поддержки в проведении </w:t>
      </w:r>
      <w:r w:rsidRPr="005B5917">
        <w:t>судебных разбирательств по принципиально важным де</w:t>
      </w:r>
      <w:r>
        <w:t>лам.</w:t>
      </w: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Default="00AD3DFA" w:rsidP="00AD3DFA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5B5917">
        <w:t>С.</w:t>
      </w:r>
      <w:r>
        <w:tab/>
      </w:r>
      <w:r w:rsidRPr="005B5917">
        <w:t>Сотрудничество с учреждениями и механизмами Организации Объединенных Наций</w:t>
      </w:r>
    </w:p>
    <w:p w:rsidR="00AD3DFA" w:rsidRPr="005B5917" w:rsidRDefault="00AD3DFA" w:rsidP="00AD3DFA">
      <w:pPr>
        <w:pStyle w:val="SingleTxt"/>
        <w:keepNext/>
        <w:keepLines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  <w:keepNext/>
        <w:keepLines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  <w:keepNext/>
        <w:keepLines/>
      </w:pPr>
      <w:r>
        <w:t>19.</w:t>
      </w:r>
      <w:r>
        <w:tab/>
      </w:r>
      <w:r w:rsidRPr="005B5917">
        <w:t xml:space="preserve">Совет провел встречи с другими </w:t>
      </w:r>
      <w:r>
        <w:t>мандатариями</w:t>
      </w:r>
      <w:r w:rsidRPr="005B5917">
        <w:t>, а также учреждениями, работа которых связана с темами, представляющими общий интерес.</w:t>
      </w:r>
    </w:p>
    <w:p w:rsidR="00AD3DFA" w:rsidRPr="005B5917" w:rsidRDefault="00AD3DFA" w:rsidP="00AD3DFA">
      <w:pPr>
        <w:pStyle w:val="SingleTxt"/>
      </w:pPr>
      <w:r w:rsidRPr="005B5917">
        <w:t>20.</w:t>
      </w:r>
      <w:r>
        <w:tab/>
      </w:r>
      <w:r w:rsidRPr="005B5917">
        <w:t>26</w:t>
      </w:r>
      <w:r>
        <w:t> </w:t>
      </w:r>
      <w:r w:rsidRPr="005B5917">
        <w:t>ноября 2014</w:t>
      </w:r>
      <w:r>
        <w:t> год</w:t>
      </w:r>
      <w:r w:rsidRPr="005B5917">
        <w:t>а Совет провел совещание по вопросу о сотруднич</w:t>
      </w:r>
      <w:r w:rsidRPr="005B5917">
        <w:t>е</w:t>
      </w:r>
      <w:r w:rsidRPr="005B5917">
        <w:t>стве с руководителем Специальной программы действий по борьбе с принуд</w:t>
      </w:r>
      <w:r w:rsidRPr="005B5917">
        <w:t>и</w:t>
      </w:r>
      <w:r w:rsidRPr="005B5917">
        <w:t>тельным трудом</w:t>
      </w:r>
      <w:r>
        <w:t xml:space="preserve"> Международной организации труда</w:t>
      </w:r>
      <w:r w:rsidRPr="005B5917">
        <w:t xml:space="preserve"> Беатой Андрес. Особое внимание было уделено Протоколу к Конвенции 1930</w:t>
      </w:r>
      <w:r>
        <w:t> год</w:t>
      </w:r>
      <w:r w:rsidRPr="005B5917">
        <w:t>а о принудительном труде, принятому в 2014</w:t>
      </w:r>
      <w:r>
        <w:t> год</w:t>
      </w:r>
      <w:r w:rsidRPr="005B5917">
        <w:t>у,</w:t>
      </w:r>
      <w:r>
        <w:t xml:space="preserve"> — </w:t>
      </w:r>
      <w:r w:rsidRPr="005B5917">
        <w:t>одному из важнейших новых инструментов по борьбе с современным рабством, в котором содержатся положения, касающи</w:t>
      </w:r>
      <w:r w:rsidRPr="005B5917">
        <w:t>е</w:t>
      </w:r>
      <w:r w:rsidRPr="005B5917">
        <w:t>ся защиты пострадавших, в том числе правовой, и обязанности государств-участников разработать национальные планы действий.</w:t>
      </w:r>
    </w:p>
    <w:p w:rsidR="00AD3DFA" w:rsidRPr="005B5917" w:rsidRDefault="00AD3DFA" w:rsidP="00AD3DFA">
      <w:pPr>
        <w:pStyle w:val="SingleTxt"/>
      </w:pPr>
      <w:r>
        <w:t>21.</w:t>
      </w:r>
      <w:r>
        <w:tab/>
      </w:r>
      <w:r w:rsidRPr="005B5917">
        <w:t xml:space="preserve">Совет провел селекторные совещания </w:t>
      </w:r>
      <w:r>
        <w:t xml:space="preserve">по вопросам </w:t>
      </w:r>
      <w:r w:rsidRPr="005B5917">
        <w:t>сотрудничеств</w:t>
      </w:r>
      <w:r>
        <w:t>а</w:t>
      </w:r>
      <w:r w:rsidRPr="005B5917">
        <w:t xml:space="preserve"> с уч</w:t>
      </w:r>
      <w:r w:rsidRPr="005B5917">
        <w:t>а</w:t>
      </w:r>
      <w:r w:rsidRPr="005B5917">
        <w:t xml:space="preserve">стием Специального докладчика по вопросу о современных формах рабства, включая его причины и последствия, Урмилой Бхула, а также Специального докладчика по вопросу о торговле людьми, особенно женщинами и детьми, Марией Грацией Джаммаринаро. </w:t>
      </w:r>
      <w:r>
        <w:t>Г</w:t>
      </w:r>
      <w:r>
        <w:noBreakHyphen/>
      </w:r>
      <w:r w:rsidRPr="005B5917">
        <w:t>жа</w:t>
      </w:r>
      <w:r>
        <w:t> </w:t>
      </w:r>
      <w:r w:rsidRPr="005B5917">
        <w:t xml:space="preserve">Бхула </w:t>
      </w:r>
      <w:r>
        <w:t xml:space="preserve">представила Совету обновленную информацию </w:t>
      </w:r>
      <w:r w:rsidRPr="005B5917">
        <w:t>о своей поездке в Нигер, где она встречалась с одним из бывших получателей субсидии Фонда. Она выразила свою глубокую признательность за проделанную Фондом работу, согласилась и в будущем рекомендовать се</w:t>
      </w:r>
      <w:r w:rsidRPr="005B5917">
        <w:t>к</w:t>
      </w:r>
      <w:r w:rsidRPr="005B5917">
        <w:t xml:space="preserve">ретариату Фонда надежные организации, а также заявила о своем намерении обратиться с личным призывом к государствам-членам </w:t>
      </w:r>
      <w:r>
        <w:t xml:space="preserve">вносить </w:t>
      </w:r>
      <w:r w:rsidRPr="005B5917">
        <w:t xml:space="preserve">взносы в Фонд. </w:t>
      </w:r>
      <w:r>
        <w:t>Г</w:t>
      </w:r>
      <w:r>
        <w:noBreakHyphen/>
      </w:r>
      <w:r w:rsidRPr="005B5917">
        <w:t>жа</w:t>
      </w:r>
      <w:r>
        <w:t> </w:t>
      </w:r>
      <w:r w:rsidRPr="005B5917">
        <w:t xml:space="preserve">Джаммаринаро представила Совету </w:t>
      </w:r>
      <w:r>
        <w:t>краткую информацию по конкретным вопросам</w:t>
      </w:r>
      <w:r w:rsidRPr="005B5917">
        <w:t>, на которых она намерена сосредоточить внимание в течение срока действия своего мандата.</w:t>
      </w:r>
    </w:p>
    <w:p w:rsidR="00AD3DFA" w:rsidRPr="005B5917" w:rsidRDefault="00AD3DFA" w:rsidP="00AD3DFA">
      <w:pPr>
        <w:pStyle w:val="SingleTxt"/>
      </w:pPr>
      <w:r>
        <w:lastRenderedPageBreak/>
        <w:t>22.</w:t>
      </w:r>
      <w:r>
        <w:tab/>
      </w:r>
      <w:r w:rsidRPr="005B5917">
        <w:t>Совет также провел селекторное совещание с Председателем Совета п</w:t>
      </w:r>
      <w:r w:rsidRPr="005B5917">
        <w:t>о</w:t>
      </w:r>
      <w:r w:rsidRPr="005B5917">
        <w:t>печителей Целевого фонда добровольных взносов Организации Объединенных Наций для жертв торговли людьми, особенно женщинами и детьми, Бенитой Ферреро-Вальднер, в ходе которого обсуждались приоритеты в области фина</w:t>
      </w:r>
      <w:r w:rsidRPr="005B5917">
        <w:t>н</w:t>
      </w:r>
      <w:r w:rsidRPr="005B5917">
        <w:t xml:space="preserve">сирования и критерии предоставления помощи. Было решено по-прежнему обмениваться списками заявителей и получателей субсидий во избежание </w:t>
      </w:r>
      <w:r>
        <w:t>ду</w:t>
      </w:r>
      <w:r>
        <w:t>б</w:t>
      </w:r>
      <w:r>
        <w:t xml:space="preserve">лирования усилий по обеспечению </w:t>
      </w:r>
      <w:r w:rsidRPr="005B5917">
        <w:t xml:space="preserve">финансирования, а также информацией о передовой практике в области оказания помощи пострадавшим, </w:t>
      </w:r>
      <w:r>
        <w:t xml:space="preserve">обеспечения контроля за осуществлением </w:t>
      </w:r>
      <w:r w:rsidRPr="005B5917">
        <w:t>проектов и управления целевыми фондами.</w:t>
      </w:r>
    </w:p>
    <w:p w:rsidR="00AD3DFA" w:rsidRDefault="00AD3DFA" w:rsidP="00AD3DFA">
      <w:pPr>
        <w:pStyle w:val="SingleTxt"/>
      </w:pPr>
      <w:r>
        <w:t>23.</w:t>
      </w:r>
      <w:r>
        <w:tab/>
      </w:r>
      <w:r w:rsidRPr="005B5917">
        <w:t xml:space="preserve">И наконец, Совет провел встречу с </w:t>
      </w:r>
      <w:r>
        <w:t>с</w:t>
      </w:r>
      <w:r w:rsidRPr="005B5917">
        <w:t>оветником УВКПЧ по вопрос</w:t>
      </w:r>
      <w:r>
        <w:t>у</w:t>
      </w:r>
      <w:r w:rsidRPr="005B5917">
        <w:t xml:space="preserve"> </w:t>
      </w:r>
      <w:r>
        <w:t xml:space="preserve">о </w:t>
      </w:r>
      <w:r w:rsidRPr="005B5917">
        <w:t>то</w:t>
      </w:r>
      <w:r w:rsidRPr="005B5917">
        <w:t>р</w:t>
      </w:r>
      <w:r w:rsidRPr="005B5917">
        <w:t>говл</w:t>
      </w:r>
      <w:r>
        <w:t>е</w:t>
      </w:r>
      <w:r w:rsidRPr="005B5917">
        <w:t xml:space="preserve"> людьми </w:t>
      </w:r>
      <w:r>
        <w:t xml:space="preserve">для обсуждения способов активизации </w:t>
      </w:r>
      <w:r w:rsidRPr="005B5917">
        <w:t xml:space="preserve">взаимодействия, </w:t>
      </w:r>
      <w:r>
        <w:t>в час</w:t>
      </w:r>
      <w:r>
        <w:t>т</w:t>
      </w:r>
      <w:r>
        <w:t xml:space="preserve">ности, стремясь заручиться ее поддержкой </w:t>
      </w:r>
      <w:r w:rsidRPr="005B5917">
        <w:t>в выявлении потенциальных пол</w:t>
      </w:r>
      <w:r w:rsidRPr="005B5917">
        <w:t>у</w:t>
      </w:r>
      <w:r w:rsidRPr="005B5917">
        <w:t>чателей субсиди</w:t>
      </w:r>
      <w:r>
        <w:t>й и</w:t>
      </w:r>
      <w:r w:rsidRPr="005B5917">
        <w:t xml:space="preserve"> информировани</w:t>
      </w:r>
      <w:r>
        <w:t>и</w:t>
      </w:r>
      <w:r w:rsidRPr="005B5917">
        <w:t xml:space="preserve"> Совета о деятельности межучрежденч</w:t>
      </w:r>
      <w:r w:rsidRPr="005B5917">
        <w:t>е</w:t>
      </w:r>
      <w:r w:rsidRPr="005B5917">
        <w:t>ской координационной группы по борьбе с торговлей людьми.</w:t>
      </w: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Default="00AD3DFA" w:rsidP="00AD3DF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5B5917">
        <w:rPr>
          <w:lang w:val="en-US"/>
        </w:rPr>
        <w:t>D</w:t>
      </w:r>
      <w:r>
        <w:t>.</w:t>
      </w:r>
      <w:r>
        <w:tab/>
      </w:r>
      <w:r w:rsidRPr="005B5917">
        <w:t>Международный день борьбы за отмену рабства</w:t>
      </w: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</w:pPr>
      <w:r w:rsidRPr="005B5917">
        <w:t>24.</w:t>
      </w:r>
      <w:r>
        <w:tab/>
      </w:r>
      <w:r w:rsidRPr="005B5917">
        <w:t xml:space="preserve">По случаю </w:t>
      </w:r>
      <w:r>
        <w:t xml:space="preserve">празднования 2 декабря 2014 года </w:t>
      </w:r>
      <w:r w:rsidRPr="005B5917">
        <w:t>Международного дня бор</w:t>
      </w:r>
      <w:r w:rsidRPr="005B5917">
        <w:t>ь</w:t>
      </w:r>
      <w:r w:rsidRPr="005B5917">
        <w:t>бы за отмену рабства Генеральный секретарь выступил со следующим заявл</w:t>
      </w:r>
      <w:r w:rsidRPr="005B5917">
        <w:t>е</w:t>
      </w:r>
      <w:r w:rsidRPr="005B5917">
        <w:t>нием:</w:t>
      </w:r>
    </w:p>
    <w:p w:rsidR="00AD3DFA" w:rsidRPr="005B5917" w:rsidRDefault="00AD3DFA" w:rsidP="00AD3DFA">
      <w:pPr>
        <w:pStyle w:val="SingleTxt"/>
        <w:ind w:left="1742" w:hanging="475"/>
      </w:pPr>
      <w:r>
        <w:tab/>
      </w:r>
      <w:r>
        <w:tab/>
      </w:r>
      <w:r w:rsidRPr="005B5917">
        <w:t>«Согласно оценкам Организации Объединенных Наций, число тех, кого вынуждают заниматься рабским трудом, превышает 18 миллионов человек. Каждый день женщины становятся объектами торговли людьми, продаются и попадают в бордели. Каждый день молодые девушки насильно выдаются замуж, подвергаются сексуальным надругательствам или эксплуатируются как домашние работники. По прошествии 25</w:t>
      </w:r>
      <w:r>
        <w:t> </w:t>
      </w:r>
      <w:r w:rsidRPr="005B5917">
        <w:t xml:space="preserve">лет после принятия Конвенции о правах ребенка мальчики и девочки </w:t>
      </w:r>
      <w:r>
        <w:t>по</w:t>
      </w:r>
      <w:r>
        <w:noBreakHyphen/>
        <w:t xml:space="preserve">прежнему </w:t>
      </w:r>
      <w:r w:rsidRPr="005B5917">
        <w:t>работают в ужасающих условиях. Разъединенные со своими семьями мужчины по-прежнему трудятся в запертых помещениях на по</w:t>
      </w:r>
      <w:r w:rsidRPr="005B5917">
        <w:t>д</w:t>
      </w:r>
      <w:r w:rsidRPr="005B5917">
        <w:t>польных фабриках, находясь в подневольном положении, получая н</w:t>
      </w:r>
      <w:r w:rsidRPr="005B5917">
        <w:t>и</w:t>
      </w:r>
      <w:r w:rsidRPr="005B5917">
        <w:t>чтожно малую плату за свой труд и фактически не имея шансов к</w:t>
      </w:r>
      <w:r w:rsidRPr="005B5917">
        <w:t>о</w:t>
      </w:r>
      <w:r w:rsidRPr="005B5917">
        <w:t>гда</w:t>
      </w:r>
      <w:r>
        <w:noBreakHyphen/>
      </w:r>
      <w:r w:rsidRPr="005B5917">
        <w:t>либо погасить свои долги.</w:t>
      </w:r>
    </w:p>
    <w:p w:rsidR="00AD3DFA" w:rsidRPr="005B5917" w:rsidRDefault="00AD3DFA" w:rsidP="00AD3DFA">
      <w:pPr>
        <w:pStyle w:val="SingleTxt"/>
        <w:ind w:left="1742" w:hanging="475"/>
      </w:pPr>
      <w:r>
        <w:tab/>
      </w:r>
      <w:r>
        <w:tab/>
      </w:r>
      <w:r w:rsidRPr="005B5917">
        <w:t xml:space="preserve">В </w:t>
      </w:r>
      <w:r>
        <w:t>XIX </w:t>
      </w:r>
      <w:r w:rsidRPr="005B5917">
        <w:t>веке международное сообщество единодушно заявило о том, что рабство представляет собой явление, оскорбляющее наше общечел</w:t>
      </w:r>
      <w:r w:rsidRPr="005B5917">
        <w:t>о</w:t>
      </w:r>
      <w:r w:rsidRPr="005B5917">
        <w:t>веческое достоинство. Сегодня правительства, гражданское общество и частный сектор должны объединить усилия для искоренения всех совр</w:t>
      </w:r>
      <w:r w:rsidRPr="005B5917">
        <w:t>е</w:t>
      </w:r>
      <w:r w:rsidRPr="005B5917">
        <w:t>менных форм рабства, включая принудительный труд.</w:t>
      </w:r>
    </w:p>
    <w:p w:rsidR="00AD3DFA" w:rsidRPr="005B5917" w:rsidRDefault="00AD3DFA" w:rsidP="00AD3DFA">
      <w:pPr>
        <w:pStyle w:val="SingleTxt"/>
        <w:ind w:left="1742" w:hanging="475"/>
      </w:pPr>
      <w:r>
        <w:tab/>
      </w:r>
      <w:r>
        <w:tab/>
      </w:r>
      <w:r w:rsidRPr="005B5917">
        <w:t>Основания для оптимизма имеются. Боровшийся на протяжении всей своей жизни против принудительного детского труда Каилаш Сат</w:t>
      </w:r>
      <w:r w:rsidRPr="005B5917">
        <w:t>ь</w:t>
      </w:r>
      <w:r w:rsidRPr="005B5917">
        <w:t>яртхи стал в этом</w:t>
      </w:r>
      <w:r>
        <w:t> год</w:t>
      </w:r>
      <w:r w:rsidRPr="005B5917">
        <w:t>у одним из лауреатов Нобелевской премии мира, что способствует повышению осведомленности об этой проблеме. Недавнее проведение Недели борьбы против детского рабства привлекло внимание мирового сообщества к этой сохраняющейся форме нарушения прав ч</w:t>
      </w:r>
      <w:r w:rsidRPr="005B5917">
        <w:t>е</w:t>
      </w:r>
      <w:r w:rsidRPr="005B5917">
        <w:t>ловека. Благодаря впервые проведенному в этом</w:t>
      </w:r>
      <w:r>
        <w:t> год</w:t>
      </w:r>
      <w:r w:rsidRPr="005B5917">
        <w:t>у Всемирному дню борьбы с торговлей людьми (30</w:t>
      </w:r>
      <w:r>
        <w:t> </w:t>
      </w:r>
      <w:r w:rsidRPr="005B5917">
        <w:t>июля), а также мерам по совершенствов</w:t>
      </w:r>
      <w:r w:rsidRPr="005B5917">
        <w:t>а</w:t>
      </w:r>
      <w:r w:rsidRPr="005B5917">
        <w:t>нию норм международного права, связанных с принудительным трудом, многие укрепились в решимости покончить с этой варварской практикой.</w:t>
      </w:r>
    </w:p>
    <w:p w:rsidR="00AD3DFA" w:rsidRPr="005B5917" w:rsidRDefault="00AD3DFA" w:rsidP="00AD3DFA">
      <w:pPr>
        <w:pStyle w:val="SingleTxt"/>
        <w:ind w:left="1742" w:hanging="475"/>
      </w:pPr>
      <w:r>
        <w:lastRenderedPageBreak/>
        <w:tab/>
      </w:r>
      <w:r>
        <w:tab/>
      </w:r>
      <w:r w:rsidRPr="005B5917">
        <w:t>Вместе с тем необходимо сделать гораздо больше. Я настоятельно призываю государства-члены, деловые круги, фонды и других доноров оказать поддержку Целевому фонду добровольных взносов Организации Объединенных Наций по современным формам рабства, с тем чтобы гражданское общество могло осуществлять важные проекты в целях ре</w:t>
      </w:r>
      <w:r w:rsidRPr="005B5917">
        <w:t>а</w:t>
      </w:r>
      <w:r w:rsidRPr="005B5917">
        <w:t xml:space="preserve">билитации жертв и компенсации им </w:t>
      </w:r>
      <w:r>
        <w:t xml:space="preserve">причиненного </w:t>
      </w:r>
      <w:r w:rsidRPr="005B5917">
        <w:t>ущерба. Нам также необходимы перспективные стратегии, действенное национальное зак</w:t>
      </w:r>
      <w:r w:rsidRPr="005B5917">
        <w:t>о</w:t>
      </w:r>
      <w:r w:rsidRPr="005B5917">
        <w:t>нодательство и целенаправленная координация усилий для борьбы с этим преступлением. Я настоятельно призываю все государства ратифицир</w:t>
      </w:r>
      <w:r w:rsidRPr="005B5917">
        <w:t>о</w:t>
      </w:r>
      <w:r w:rsidRPr="005B5917">
        <w:t xml:space="preserve">вать и </w:t>
      </w:r>
      <w:r>
        <w:t xml:space="preserve">осуществить </w:t>
      </w:r>
      <w:r w:rsidRPr="005B5917">
        <w:t>соответствующие международно-правовые докуме</w:t>
      </w:r>
      <w:r w:rsidRPr="005B5917">
        <w:t>н</w:t>
      </w:r>
      <w:r w:rsidRPr="005B5917">
        <w:t>ты, в частности подготовленный Международной организацией труда н</w:t>
      </w:r>
      <w:r w:rsidRPr="005B5917">
        <w:t>о</w:t>
      </w:r>
      <w:r w:rsidRPr="005B5917">
        <w:t xml:space="preserve">вый Протокол, который призван </w:t>
      </w:r>
      <w:r>
        <w:t>содействовать активизации глобальных усилий по искоренению</w:t>
      </w:r>
      <w:r w:rsidRPr="005B5917">
        <w:t xml:space="preserve"> принудительного труда.</w:t>
      </w:r>
    </w:p>
    <w:p w:rsidR="00AD3DFA" w:rsidRPr="005B5917" w:rsidRDefault="00AD3DFA" w:rsidP="00AD3DFA">
      <w:pPr>
        <w:pStyle w:val="SingleTxt"/>
        <w:ind w:left="1742" w:hanging="475"/>
      </w:pPr>
      <w:r>
        <w:tab/>
      </w:r>
      <w:r>
        <w:tab/>
      </w:r>
      <w:r w:rsidRPr="005B5917">
        <w:t>Давайте же вместе сделаем все возможное для тех миллионов жертв во всем мире, которые находятся в рабском положении и лишены прав и достоинства человека».</w:t>
      </w:r>
    </w:p>
    <w:p w:rsidR="00AD3DFA" w:rsidRDefault="00AD3DFA" w:rsidP="00AD3DFA">
      <w:pPr>
        <w:pStyle w:val="SingleTxt"/>
      </w:pPr>
      <w:r>
        <w:t>25.</w:t>
      </w:r>
      <w:r>
        <w:tab/>
      </w:r>
      <w:r w:rsidRPr="005B5917">
        <w:t>В тот же день Специальный докладчик по вопросу о современных формах рабства, включая его причины и последствия, Специальный докладчик по в</w:t>
      </w:r>
      <w:r w:rsidRPr="005B5917">
        <w:t>о</w:t>
      </w:r>
      <w:r w:rsidRPr="005B5917">
        <w:t>просу о торговле детьми, детской проституции и д</w:t>
      </w:r>
      <w:r>
        <w:t>етской порнографии и</w:t>
      </w:r>
      <w:r w:rsidRPr="005B5917">
        <w:t xml:space="preserve"> Сп</w:t>
      </w:r>
      <w:r w:rsidRPr="005B5917">
        <w:t>е</w:t>
      </w:r>
      <w:r w:rsidRPr="005B5917">
        <w:t>циальный докладчик по вопросу о торговле людьми, особенно женщинами и детьми</w:t>
      </w:r>
      <w:r>
        <w:t xml:space="preserve">, </w:t>
      </w:r>
      <w:r w:rsidRPr="005B5917">
        <w:t>выступили с совместным заявлением по вопросу о необходимости п</w:t>
      </w:r>
      <w:r w:rsidRPr="005B5917">
        <w:t>о</w:t>
      </w:r>
      <w:r w:rsidRPr="005B5917">
        <w:t>вышения подотчетности</w:t>
      </w:r>
      <w:r>
        <w:t>,</w:t>
      </w:r>
      <w:r w:rsidRPr="005B5917">
        <w:t xml:space="preserve"> чтобы покончить с </w:t>
      </w:r>
      <w:r>
        <w:t>принимающим угрожающие ра</w:t>
      </w:r>
      <w:r>
        <w:t>з</w:t>
      </w:r>
      <w:r>
        <w:t>меры рабством</w:t>
      </w:r>
      <w:r w:rsidRPr="005B5917">
        <w:t xml:space="preserve"> в наши дни. </w:t>
      </w: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Default="00AD3DFA" w:rsidP="00AD3DF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5B5917">
        <w:t>V.</w:t>
      </w:r>
      <w:r>
        <w:tab/>
      </w:r>
      <w:r w:rsidRPr="005B5917">
        <w:t>Порядок внесения взносов в Фонд</w:t>
      </w: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</w:pPr>
      <w:r w:rsidRPr="005B5917">
        <w:t>26.</w:t>
      </w:r>
      <w:r>
        <w:tab/>
      </w:r>
      <w:r w:rsidRPr="005B5917">
        <w:t>Деятельность Фонда зависит от добровольных взносов правительств, н</w:t>
      </w:r>
      <w:r w:rsidRPr="005B5917">
        <w:t>е</w:t>
      </w:r>
      <w:r w:rsidRPr="005B5917">
        <w:t>правительственных организаций и других частных и государственных стру</w:t>
      </w:r>
      <w:r w:rsidRPr="005B5917">
        <w:t>к</w:t>
      </w:r>
      <w:r w:rsidRPr="005B5917">
        <w:t>тур. Донорам следует указать на платежном документе «Для Целевого фонда борьбы с рабством, счет </w:t>
      </w:r>
      <w:r w:rsidRPr="008F4132">
        <w:t>“</w:t>
      </w:r>
      <w:r w:rsidRPr="005B5917">
        <w:t>SH</w:t>
      </w:r>
      <w:r w:rsidRPr="008F4132">
        <w:t>”</w:t>
      </w:r>
      <w:r w:rsidRPr="005B5917">
        <w:t>. Для получения информации о том, как можно делать взносы, доноры могут обратиться по адресу:</w:t>
      </w:r>
    </w:p>
    <w:p w:rsidR="00AD3DFA" w:rsidRPr="005B5917" w:rsidRDefault="00AD3DFA" w:rsidP="00AD3DFA">
      <w:pPr>
        <w:pStyle w:val="SingleTxt"/>
        <w:ind w:left="1742" w:hanging="475"/>
        <w:jc w:val="left"/>
      </w:pPr>
      <w:r>
        <w:tab/>
      </w:r>
      <w:r w:rsidRPr="005B5917">
        <w:t>Секретарит Целевого фонда добровольных взносов Организации</w:t>
      </w:r>
      <w:r>
        <w:br/>
      </w:r>
      <w:r w:rsidRPr="005B5917">
        <w:t>Объединенных Наций по борьбе с современными формами рабства</w:t>
      </w:r>
    </w:p>
    <w:p w:rsidR="00AD3DFA" w:rsidRPr="005B5917" w:rsidRDefault="00AD3DFA" w:rsidP="00AD3DFA">
      <w:pPr>
        <w:pStyle w:val="SingleTxt"/>
        <w:ind w:left="1742" w:hanging="475"/>
        <w:jc w:val="left"/>
      </w:pPr>
      <w:r>
        <w:tab/>
      </w:r>
      <w:r w:rsidRPr="005B5917">
        <w:t>Управление Верховного комиссара Организации Объединенных Наций</w:t>
      </w:r>
      <w:r>
        <w:br/>
      </w:r>
      <w:r w:rsidRPr="005B5917">
        <w:t>по правам человека</w:t>
      </w:r>
    </w:p>
    <w:p w:rsidR="00AD3DFA" w:rsidRDefault="00AD3DFA" w:rsidP="00AD3DFA">
      <w:pPr>
        <w:pStyle w:val="SingleTxt"/>
        <w:jc w:val="left"/>
      </w:pPr>
      <w:r>
        <w:tab/>
      </w:r>
      <w:r w:rsidRPr="005B5917">
        <w:t>Организация Объединенных Наций</w:t>
      </w:r>
      <w:r>
        <w:br/>
      </w:r>
      <w:r>
        <w:tab/>
      </w:r>
      <w:r w:rsidRPr="005B5917">
        <w:t xml:space="preserve">CH 1211 </w:t>
      </w:r>
      <w:r w:rsidRPr="005B5917">
        <w:rPr>
          <w:lang w:val="en-US"/>
        </w:rPr>
        <w:t>Geneva</w:t>
      </w:r>
      <w:r w:rsidRPr="005B5917">
        <w:t xml:space="preserve"> 10</w:t>
      </w:r>
      <w:r>
        <w:br/>
      </w:r>
      <w:r>
        <w:tab/>
      </w:r>
      <w:r w:rsidRPr="005B5917">
        <w:t>Швейцария</w:t>
      </w:r>
    </w:p>
    <w:p w:rsidR="00AD3DFA" w:rsidRDefault="00AD3DFA" w:rsidP="00AD3DFA">
      <w:pPr>
        <w:pStyle w:val="SingleTxt"/>
        <w:jc w:val="left"/>
      </w:pPr>
      <w:r>
        <w:tab/>
      </w:r>
      <w:r w:rsidRPr="005B5917">
        <w:t>Адрес электронной почты: slaveryfund@ohchr.org</w:t>
      </w:r>
      <w:r>
        <w:br/>
      </w:r>
      <w:r>
        <w:tab/>
      </w:r>
      <w:r w:rsidRPr="005B5917">
        <w:t>Телефон: 41 22 917 9376</w:t>
      </w:r>
      <w:r>
        <w:br/>
      </w:r>
      <w:r>
        <w:tab/>
      </w:r>
      <w:r w:rsidRPr="005B5917">
        <w:t>Факс: 41 22 917 9017</w:t>
      </w:r>
    </w:p>
    <w:p w:rsidR="00AD3DFA" w:rsidRPr="005B5917" w:rsidRDefault="00AD3DFA" w:rsidP="00AD3DFA">
      <w:pPr>
        <w:pStyle w:val="SingleTxt"/>
        <w:spacing w:after="0" w:line="120" w:lineRule="exact"/>
        <w:jc w:val="left"/>
        <w:rPr>
          <w:sz w:val="10"/>
        </w:rPr>
      </w:pPr>
    </w:p>
    <w:p w:rsidR="00AD3DFA" w:rsidRPr="005B5917" w:rsidRDefault="00AD3DFA" w:rsidP="00AD3DFA">
      <w:pPr>
        <w:pStyle w:val="SingleTxt"/>
        <w:spacing w:after="0" w:line="120" w:lineRule="exact"/>
        <w:jc w:val="left"/>
        <w:rPr>
          <w:sz w:val="10"/>
        </w:rPr>
      </w:pPr>
    </w:p>
    <w:p w:rsidR="00AD3DFA" w:rsidRPr="005B5917" w:rsidRDefault="00AD3DFA" w:rsidP="00AD3DFA">
      <w:pPr>
        <w:pStyle w:val="SingleTxt"/>
        <w:spacing w:after="0" w:line="120" w:lineRule="exact"/>
        <w:jc w:val="left"/>
        <w:rPr>
          <w:sz w:val="10"/>
        </w:rPr>
      </w:pPr>
    </w:p>
    <w:p w:rsidR="00AD3DFA" w:rsidRDefault="00AD3DFA" w:rsidP="00AD3DF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VI.</w:t>
      </w:r>
      <w:r>
        <w:tab/>
      </w:r>
      <w:r w:rsidRPr="005B5917">
        <w:t>Выводы и рекомендации</w:t>
      </w: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  <w:spacing w:after="0" w:line="120" w:lineRule="exact"/>
        <w:rPr>
          <w:sz w:val="10"/>
        </w:rPr>
      </w:pPr>
    </w:p>
    <w:p w:rsidR="00AD3DFA" w:rsidRPr="005B5917" w:rsidRDefault="00AD3DFA" w:rsidP="00AD3DFA">
      <w:pPr>
        <w:pStyle w:val="SingleTxt"/>
        <w:rPr>
          <w:b/>
        </w:rPr>
      </w:pPr>
      <w:r w:rsidRPr="005B5917">
        <w:t>27.</w:t>
      </w:r>
      <w:r w:rsidRPr="005B5917">
        <w:tab/>
      </w:r>
      <w:r w:rsidRPr="005B5917">
        <w:rPr>
          <w:b/>
        </w:rPr>
        <w:t xml:space="preserve">Вследствие финансовых затруднений Совет попечителей на своей девятнадцатой сессии смог рекомендовать </w:t>
      </w:r>
      <w:r>
        <w:rPr>
          <w:b/>
        </w:rPr>
        <w:t xml:space="preserve">выделение </w:t>
      </w:r>
      <w:r w:rsidRPr="005B5917">
        <w:rPr>
          <w:b/>
        </w:rPr>
        <w:t>на 2015</w:t>
      </w:r>
      <w:r>
        <w:rPr>
          <w:b/>
        </w:rPr>
        <w:t> год</w:t>
      </w:r>
      <w:r w:rsidRPr="005B5917">
        <w:rPr>
          <w:b/>
        </w:rPr>
        <w:t xml:space="preserve"> только 44</w:t>
      </w:r>
      <w:r>
        <w:rPr>
          <w:b/>
        </w:rPr>
        <w:t> </w:t>
      </w:r>
      <w:r w:rsidRPr="005B5917">
        <w:rPr>
          <w:b/>
        </w:rPr>
        <w:t>субсидии на общую сумму в 588</w:t>
      </w:r>
      <w:r>
        <w:rPr>
          <w:b/>
          <w:lang w:val="en-US"/>
        </w:rPr>
        <w:t> </w:t>
      </w:r>
      <w:r w:rsidRPr="005B5917">
        <w:rPr>
          <w:b/>
        </w:rPr>
        <w:t>900</w:t>
      </w:r>
      <w:r>
        <w:rPr>
          <w:b/>
        </w:rPr>
        <w:t> долл.</w:t>
      </w:r>
      <w:r w:rsidRPr="005B5917">
        <w:rPr>
          <w:b/>
        </w:rPr>
        <w:t xml:space="preserve"> США. Совет озабочен тем, что объем поступивших взносов недостаточен, и подтверждает, что Фонду требуется не менее 2</w:t>
      </w:r>
      <w:r>
        <w:rPr>
          <w:b/>
        </w:rPr>
        <w:t> млн. долл.</w:t>
      </w:r>
      <w:r w:rsidRPr="005B5917">
        <w:rPr>
          <w:b/>
        </w:rPr>
        <w:t xml:space="preserve"> США в</w:t>
      </w:r>
      <w:r>
        <w:rPr>
          <w:b/>
        </w:rPr>
        <w:t> год</w:t>
      </w:r>
      <w:r w:rsidRPr="005B5917">
        <w:rPr>
          <w:b/>
        </w:rPr>
        <w:t xml:space="preserve"> для </w:t>
      </w:r>
      <w:r>
        <w:rPr>
          <w:b/>
        </w:rPr>
        <w:t xml:space="preserve">реального </w:t>
      </w:r>
      <w:r w:rsidRPr="005B5917">
        <w:rPr>
          <w:b/>
        </w:rPr>
        <w:t>выполнения своего мандата по оказанию помощи пострадавшим.</w:t>
      </w:r>
    </w:p>
    <w:p w:rsidR="00AD3DFA" w:rsidRPr="005B5917" w:rsidRDefault="00AD3DFA" w:rsidP="00AD3DFA">
      <w:pPr>
        <w:pStyle w:val="SingleTxt"/>
        <w:rPr>
          <w:b/>
        </w:rPr>
      </w:pPr>
      <w:r w:rsidRPr="005B5917">
        <w:t>28.</w:t>
      </w:r>
      <w:r>
        <w:rPr>
          <w:b/>
        </w:rPr>
        <w:tab/>
      </w:r>
      <w:r w:rsidRPr="005B5917">
        <w:rPr>
          <w:b/>
        </w:rPr>
        <w:t>С учетом послания Генерального секретаря по случаю Международного дня борьбы за отмену рабства</w:t>
      </w:r>
      <w:r>
        <w:rPr>
          <w:b/>
        </w:rPr>
        <w:t xml:space="preserve"> </w:t>
      </w:r>
      <w:r w:rsidRPr="005B5917">
        <w:rPr>
          <w:b/>
        </w:rPr>
        <w:t>(2</w:t>
      </w:r>
      <w:r>
        <w:rPr>
          <w:b/>
        </w:rPr>
        <w:t> декабря</w:t>
      </w:r>
      <w:r w:rsidRPr="005B5917">
        <w:rPr>
          <w:b/>
        </w:rPr>
        <w:t xml:space="preserve"> 2014</w:t>
      </w:r>
      <w:r>
        <w:rPr>
          <w:b/>
        </w:rPr>
        <w:t> год</w:t>
      </w:r>
      <w:r w:rsidRPr="005B5917">
        <w:rPr>
          <w:b/>
        </w:rPr>
        <w:t xml:space="preserve">а) </w:t>
      </w:r>
      <w:r>
        <w:rPr>
          <w:b/>
        </w:rPr>
        <w:t xml:space="preserve">государствам-членам, деловым кругам, фондам и другим </w:t>
      </w:r>
      <w:r w:rsidRPr="005B5917">
        <w:rPr>
          <w:b/>
        </w:rPr>
        <w:t xml:space="preserve">потенциальным донорам предлагается оказать поддержку Фонду, </w:t>
      </w:r>
      <w:r>
        <w:rPr>
          <w:b/>
        </w:rPr>
        <w:t xml:space="preserve">с тем </w:t>
      </w:r>
      <w:r w:rsidRPr="005B5917">
        <w:rPr>
          <w:b/>
        </w:rPr>
        <w:t>чтобы он мог предоставлять чрезвычайно важную помощь для реабилитации жертв рабства во всем мире. Желательно, чтобы такие взносы поступили в Фонд до ноября 2015</w:t>
      </w:r>
      <w:r>
        <w:rPr>
          <w:b/>
        </w:rPr>
        <w:t> год</w:t>
      </w:r>
      <w:r w:rsidRPr="005B5917">
        <w:rPr>
          <w:b/>
        </w:rPr>
        <w:t>а, благодаря чему Казначей Организации Объединенных Наций сможет должным образом зарегистрировать эти взносы до начала двадцатой сессии Совета попечителей, которая состоится 23</w:t>
      </w:r>
      <w:r>
        <w:rPr>
          <w:b/>
        </w:rPr>
        <w:t>–</w:t>
      </w:r>
      <w:r w:rsidRPr="005B5917">
        <w:rPr>
          <w:b/>
        </w:rPr>
        <w:t>27</w:t>
      </w:r>
      <w:r>
        <w:rPr>
          <w:b/>
        </w:rPr>
        <w:t> </w:t>
      </w:r>
      <w:r w:rsidRPr="005B5917">
        <w:rPr>
          <w:b/>
        </w:rPr>
        <w:t>ноября 2015</w:t>
      </w:r>
      <w:r>
        <w:rPr>
          <w:b/>
        </w:rPr>
        <w:t> год</w:t>
      </w:r>
      <w:r w:rsidRPr="005B5917">
        <w:rPr>
          <w:b/>
        </w:rPr>
        <w:t>а.</w:t>
      </w:r>
    </w:p>
    <w:p w:rsidR="00AD3DFA" w:rsidRPr="005B5917" w:rsidRDefault="00AD3DFA" w:rsidP="00AD3DF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52781" wp14:editId="2AA9428D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466163" w:rsidRPr="00196F8E" w:rsidRDefault="00466163" w:rsidP="00EA3B4A">
      <w:pPr>
        <w:pStyle w:val="SingleTxt"/>
        <w:spacing w:line="240" w:lineRule="auto"/>
      </w:pPr>
    </w:p>
    <w:sectPr w:rsidR="00466163" w:rsidRPr="00196F8E" w:rsidSect="00AC743B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01T15:46:00Z" w:initials="Start">
    <w:p w:rsidR="00AC743B" w:rsidRPr="00196F8E" w:rsidRDefault="00AC743B">
      <w:pPr>
        <w:pStyle w:val="CommentText"/>
        <w:rPr>
          <w:lang w:val="en-US"/>
        </w:rPr>
      </w:pPr>
      <w:r>
        <w:fldChar w:fldCharType="begin"/>
      </w:r>
      <w:r w:rsidRPr="00196F8E">
        <w:rPr>
          <w:rStyle w:val="CommentReference"/>
          <w:lang w:val="en-US"/>
        </w:rPr>
        <w:instrText xml:space="preserve"> </w:instrText>
      </w:r>
      <w:r w:rsidRPr="00196F8E">
        <w:rPr>
          <w:lang w:val="en-US"/>
        </w:rPr>
        <w:instrText>PAGE \# "'Page: '#'</w:instrText>
      </w:r>
      <w:r w:rsidRPr="00196F8E">
        <w:rPr>
          <w:lang w:val="en-US"/>
        </w:rPr>
        <w:br/>
        <w:instrText>'"</w:instrText>
      </w:r>
      <w:r w:rsidRPr="00196F8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96F8E">
        <w:rPr>
          <w:lang w:val="en-US"/>
        </w:rPr>
        <w:t>&lt;&lt;ODS JOB NO&gt;&gt;N1524854R&lt;&lt;ODS JOB NO&gt;&gt;</w:t>
      </w:r>
    </w:p>
    <w:p w:rsidR="00AC743B" w:rsidRPr="00196F8E" w:rsidRDefault="00AC743B">
      <w:pPr>
        <w:pStyle w:val="CommentText"/>
        <w:rPr>
          <w:lang w:val="en-US"/>
        </w:rPr>
      </w:pPr>
      <w:r w:rsidRPr="00196F8E">
        <w:rPr>
          <w:lang w:val="en-US"/>
        </w:rPr>
        <w:t>&lt;&lt;ODS DOC SYMBOL1&gt;&gt;A/70/299&lt;&lt;ODS DOC SYMBOL1&gt;&gt;</w:t>
      </w:r>
    </w:p>
    <w:p w:rsidR="00AC743B" w:rsidRPr="00196F8E" w:rsidRDefault="00AC743B">
      <w:pPr>
        <w:pStyle w:val="CommentText"/>
        <w:rPr>
          <w:lang w:val="en-US"/>
        </w:rPr>
      </w:pPr>
      <w:r w:rsidRPr="00196F8E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CA" w:rsidRDefault="000945CA" w:rsidP="008A1A7A">
      <w:pPr>
        <w:spacing w:line="240" w:lineRule="auto"/>
      </w:pPr>
      <w:r>
        <w:separator/>
      </w:r>
    </w:p>
  </w:endnote>
  <w:endnote w:type="continuationSeparator" w:id="0">
    <w:p w:rsidR="000945CA" w:rsidRDefault="000945C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C743B" w:rsidTr="00AC743B">
      <w:tc>
        <w:tcPr>
          <w:tcW w:w="5028" w:type="dxa"/>
          <w:shd w:val="clear" w:color="auto" w:fill="auto"/>
          <w:vAlign w:val="bottom"/>
        </w:tcPr>
        <w:p w:rsidR="00AC743B" w:rsidRPr="00AC743B" w:rsidRDefault="00AC743B" w:rsidP="00AC743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26264">
            <w:rPr>
              <w:noProof/>
            </w:rPr>
            <w:t>8</w:t>
          </w:r>
          <w:r>
            <w:fldChar w:fldCharType="end"/>
          </w:r>
          <w:r>
            <w:t>/</w:t>
          </w:r>
          <w:r w:rsidR="00B26264">
            <w:fldChar w:fldCharType="begin"/>
          </w:r>
          <w:r w:rsidR="00B26264">
            <w:instrText xml:space="preserve"> NUMPAGES  \* Arabic  \* MERGEFORMAT </w:instrText>
          </w:r>
          <w:r w:rsidR="00B26264">
            <w:fldChar w:fldCharType="separate"/>
          </w:r>
          <w:r w:rsidR="00B26264">
            <w:rPr>
              <w:noProof/>
            </w:rPr>
            <w:t>8</w:t>
          </w:r>
          <w:r w:rsidR="00B26264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C743B" w:rsidRPr="00AC743B" w:rsidRDefault="00AC743B" w:rsidP="00AC743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51497">
            <w:rPr>
              <w:b w:val="0"/>
              <w:color w:val="000000"/>
              <w:sz w:val="14"/>
            </w:rPr>
            <w:t>15-12530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C743B" w:rsidRPr="00AC743B" w:rsidRDefault="00AC743B" w:rsidP="00AC7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C743B" w:rsidTr="00AC743B">
      <w:tc>
        <w:tcPr>
          <w:tcW w:w="5028" w:type="dxa"/>
          <w:shd w:val="clear" w:color="auto" w:fill="auto"/>
          <w:vAlign w:val="bottom"/>
        </w:tcPr>
        <w:p w:rsidR="00AC743B" w:rsidRPr="00AC743B" w:rsidRDefault="00AC743B" w:rsidP="00AC743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51497">
            <w:rPr>
              <w:b w:val="0"/>
              <w:color w:val="000000"/>
              <w:sz w:val="14"/>
            </w:rPr>
            <w:t>15-12530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C743B" w:rsidRPr="00AC743B" w:rsidRDefault="00AC743B" w:rsidP="00AC743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26264">
            <w:rPr>
              <w:noProof/>
            </w:rPr>
            <w:t>9</w:t>
          </w:r>
          <w:r>
            <w:fldChar w:fldCharType="end"/>
          </w:r>
          <w:r>
            <w:t>/</w:t>
          </w:r>
          <w:r w:rsidR="00B26264">
            <w:fldChar w:fldCharType="begin"/>
          </w:r>
          <w:r w:rsidR="00B26264">
            <w:instrText xml:space="preserve"> NUMPAGES  \* Arabic  \* MERGEFORMAT </w:instrText>
          </w:r>
          <w:r w:rsidR="00B26264">
            <w:fldChar w:fldCharType="separate"/>
          </w:r>
          <w:r w:rsidR="00B26264">
            <w:rPr>
              <w:noProof/>
            </w:rPr>
            <w:t>9</w:t>
          </w:r>
          <w:r w:rsidR="00B26264">
            <w:rPr>
              <w:noProof/>
            </w:rPr>
            <w:fldChar w:fldCharType="end"/>
          </w:r>
        </w:p>
      </w:tc>
    </w:tr>
  </w:tbl>
  <w:p w:rsidR="00AC743B" w:rsidRPr="00AC743B" w:rsidRDefault="00AC743B" w:rsidP="00AC74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AC743B" w:rsidTr="00AC743B">
      <w:tc>
        <w:tcPr>
          <w:tcW w:w="3830" w:type="dxa"/>
        </w:tcPr>
        <w:p w:rsidR="00AC743B" w:rsidRDefault="00AC743B" w:rsidP="00AC743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1EA5402" wp14:editId="05A58C26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70/29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70/29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15-12530 (R)</w:t>
          </w:r>
          <w:r>
            <w:rPr>
              <w:color w:val="010000"/>
            </w:rPr>
            <w:t xml:space="preserve">    010915    0</w:t>
          </w:r>
          <w:r w:rsidR="00051497">
            <w:rPr>
              <w:color w:val="010000"/>
            </w:rPr>
            <w:t>2</w:t>
          </w:r>
          <w:r>
            <w:rPr>
              <w:color w:val="010000"/>
            </w:rPr>
            <w:t>0915</w:t>
          </w:r>
        </w:p>
        <w:p w:rsidR="00AC743B" w:rsidRPr="00AC743B" w:rsidRDefault="00AC743B" w:rsidP="00AC743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*1512530*</w:t>
          </w:r>
        </w:p>
      </w:tc>
      <w:tc>
        <w:tcPr>
          <w:tcW w:w="5028" w:type="dxa"/>
        </w:tcPr>
        <w:p w:rsidR="00AC743B" w:rsidRDefault="00AC743B" w:rsidP="00AC743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AFE42DB" wp14:editId="4757961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743B" w:rsidRPr="00AC743B" w:rsidRDefault="00AC743B" w:rsidP="00AC743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CA" w:rsidRPr="009B4A1B" w:rsidRDefault="009B4A1B" w:rsidP="009B4A1B">
      <w:pPr>
        <w:pStyle w:val="Footer"/>
        <w:spacing w:after="80"/>
        <w:ind w:left="792"/>
        <w:rPr>
          <w:sz w:val="16"/>
        </w:rPr>
      </w:pPr>
      <w:r w:rsidRPr="009B4A1B">
        <w:rPr>
          <w:sz w:val="16"/>
        </w:rPr>
        <w:t>__________________</w:t>
      </w:r>
    </w:p>
  </w:footnote>
  <w:footnote w:type="continuationSeparator" w:id="0">
    <w:p w:rsidR="000945CA" w:rsidRPr="009B4A1B" w:rsidRDefault="009B4A1B" w:rsidP="009B4A1B">
      <w:pPr>
        <w:pStyle w:val="Footer"/>
        <w:spacing w:after="80"/>
        <w:ind w:left="792"/>
        <w:rPr>
          <w:sz w:val="16"/>
        </w:rPr>
      </w:pPr>
      <w:r w:rsidRPr="009B4A1B">
        <w:rPr>
          <w:sz w:val="16"/>
        </w:rPr>
        <w:t>__________________</w:t>
      </w:r>
    </w:p>
  </w:footnote>
  <w:footnote w:id="1">
    <w:p w:rsidR="00196F8E" w:rsidRPr="00196F8E" w:rsidRDefault="00196F8E" w:rsidP="009B4A1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 w:rsidRPr="00196F8E">
        <w:rPr>
          <w:rStyle w:val="FootnoteReference"/>
          <w:color w:val="auto"/>
        </w:rPr>
        <w:t>*</w:t>
      </w:r>
      <w:r>
        <w:rPr>
          <w:rStyle w:val="FootnoteReference"/>
          <w:lang w:val="en-US"/>
        </w:rPr>
        <w:tab/>
      </w:r>
      <w:hyperlink r:id="rId1" w:history="1">
        <w:r w:rsidRPr="00CB5BEF">
          <w:rPr>
            <w:rStyle w:val="Hyperlink"/>
          </w:rPr>
          <w:t>A/70/150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C743B" w:rsidTr="00AC743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C743B" w:rsidRPr="00AC743B" w:rsidRDefault="00AC743B" w:rsidP="00AC743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1497">
            <w:rPr>
              <w:b/>
            </w:rPr>
            <w:t>A/70/299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C743B" w:rsidRDefault="00AC743B" w:rsidP="00AC743B">
          <w:pPr>
            <w:pStyle w:val="Header"/>
          </w:pPr>
        </w:p>
      </w:tc>
    </w:tr>
  </w:tbl>
  <w:p w:rsidR="00AC743B" w:rsidRPr="00AC743B" w:rsidRDefault="00AC743B" w:rsidP="00AC7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C743B" w:rsidTr="00AC743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C743B" w:rsidRDefault="00AC743B" w:rsidP="00AC743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AC743B" w:rsidRPr="00AC743B" w:rsidRDefault="00AC743B" w:rsidP="00AC743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1497">
            <w:rPr>
              <w:b/>
            </w:rPr>
            <w:t>A/70/299</w:t>
          </w:r>
          <w:r>
            <w:rPr>
              <w:b/>
            </w:rPr>
            <w:fldChar w:fldCharType="end"/>
          </w:r>
        </w:p>
      </w:tc>
    </w:tr>
  </w:tbl>
  <w:p w:rsidR="00AC743B" w:rsidRPr="00AC743B" w:rsidRDefault="00AC743B" w:rsidP="00AC7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AC743B" w:rsidTr="00AC743B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C743B" w:rsidRPr="00AC743B" w:rsidRDefault="00AC743B" w:rsidP="00AC743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743B" w:rsidRDefault="00AC743B" w:rsidP="00AC743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C743B" w:rsidRPr="00AC743B" w:rsidRDefault="00AC743B" w:rsidP="00AC743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/70/299</w:t>
          </w:r>
        </w:p>
      </w:tc>
    </w:tr>
    <w:tr w:rsidR="00AC743B" w:rsidRPr="00407C6F" w:rsidTr="00AC743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743B" w:rsidRPr="00AC743B" w:rsidRDefault="00AC743B" w:rsidP="00AC743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7B6C424" wp14:editId="198F84E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743B" w:rsidRPr="00AC743B" w:rsidRDefault="00AC743B" w:rsidP="00AC743B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743B" w:rsidRPr="00AC743B" w:rsidRDefault="00AC743B" w:rsidP="00AC743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743B" w:rsidRPr="00196F8E" w:rsidRDefault="00AC743B" w:rsidP="00AC743B">
          <w:pPr>
            <w:pStyle w:val="Distribution"/>
            <w:rPr>
              <w:color w:val="000000"/>
              <w:lang w:val="en-US"/>
            </w:rPr>
          </w:pPr>
          <w:r w:rsidRPr="00196F8E">
            <w:rPr>
              <w:color w:val="000000"/>
              <w:lang w:val="en-US"/>
            </w:rPr>
            <w:t>Distr.: General</w:t>
          </w:r>
        </w:p>
        <w:p w:rsidR="00AC743B" w:rsidRPr="00196F8E" w:rsidRDefault="00AC743B" w:rsidP="00AC743B">
          <w:pPr>
            <w:pStyle w:val="Publication"/>
            <w:rPr>
              <w:color w:val="000000"/>
              <w:lang w:val="en-US"/>
            </w:rPr>
          </w:pPr>
          <w:r w:rsidRPr="00196F8E">
            <w:rPr>
              <w:color w:val="000000"/>
              <w:lang w:val="en-US"/>
            </w:rPr>
            <w:t>7 August 2015</w:t>
          </w:r>
        </w:p>
        <w:p w:rsidR="00AC743B" w:rsidRPr="00196F8E" w:rsidRDefault="00AC743B" w:rsidP="00AC743B">
          <w:pPr>
            <w:rPr>
              <w:color w:val="000000"/>
              <w:lang w:val="en-US"/>
            </w:rPr>
          </w:pPr>
          <w:r w:rsidRPr="00196F8E">
            <w:rPr>
              <w:color w:val="000000"/>
              <w:lang w:val="en-US"/>
            </w:rPr>
            <w:t>Russian</w:t>
          </w:r>
        </w:p>
        <w:p w:rsidR="00AC743B" w:rsidRPr="00196F8E" w:rsidRDefault="00AC743B" w:rsidP="00AC743B">
          <w:pPr>
            <w:pStyle w:val="Original"/>
            <w:rPr>
              <w:color w:val="000000"/>
              <w:lang w:val="en-US"/>
            </w:rPr>
          </w:pPr>
          <w:r w:rsidRPr="00196F8E">
            <w:rPr>
              <w:color w:val="000000"/>
              <w:lang w:val="en-US"/>
            </w:rPr>
            <w:t>Original: English</w:t>
          </w:r>
        </w:p>
        <w:p w:rsidR="00AC743B" w:rsidRPr="00196F8E" w:rsidRDefault="00AC743B" w:rsidP="00AC743B">
          <w:pPr>
            <w:rPr>
              <w:lang w:val="en-US"/>
            </w:rPr>
          </w:pPr>
        </w:p>
      </w:tc>
    </w:tr>
  </w:tbl>
  <w:p w:rsidR="00AC743B" w:rsidRPr="00196F8E" w:rsidRDefault="00AC743B" w:rsidP="00AC743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530*"/>
    <w:docVar w:name="CreationDt" w:val="01/09/2015 3:46: PM"/>
    <w:docVar w:name="DocCategory" w:val="Doc"/>
    <w:docVar w:name="DocType" w:val="Final"/>
    <w:docVar w:name="DutyStation" w:val="New York"/>
    <w:docVar w:name="FooterJN" w:val="15-12530"/>
    <w:docVar w:name="jobn" w:val="15-12530 (R)"/>
    <w:docVar w:name="jobnDT" w:val="15-12530 (R)   010915"/>
    <w:docVar w:name="jobnDTDT" w:val="15-12530 (R)   010915   010915"/>
    <w:docVar w:name="JobNo" w:val="1512530R"/>
    <w:docVar w:name="JobNo2" w:val="1524854R"/>
    <w:docVar w:name="LocalDrive" w:val="0"/>
    <w:docVar w:name="OandT" w:val=" "/>
    <w:docVar w:name="PaperSize" w:val="Letter"/>
    <w:docVar w:name="sss1" w:val="A/70/299"/>
    <w:docVar w:name="sss2" w:val="-"/>
    <w:docVar w:name="Symbol1" w:val="A/70/299"/>
    <w:docVar w:name="Symbol2" w:val="-"/>
  </w:docVars>
  <w:rsids>
    <w:rsidRoot w:val="000945CA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1497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945CA"/>
    <w:rsid w:val="000A111E"/>
    <w:rsid w:val="000A4A11"/>
    <w:rsid w:val="000B02B7"/>
    <w:rsid w:val="000C069D"/>
    <w:rsid w:val="000C67BC"/>
    <w:rsid w:val="000D31E0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6F8E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07C6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6163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31F6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59B1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26820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B0"/>
    <w:rsid w:val="00984EE4"/>
    <w:rsid w:val="00990168"/>
    <w:rsid w:val="0099354F"/>
    <w:rsid w:val="00996CBB"/>
    <w:rsid w:val="009B16EA"/>
    <w:rsid w:val="009B3444"/>
    <w:rsid w:val="009B4A1B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C743B"/>
    <w:rsid w:val="00AD12DB"/>
    <w:rsid w:val="00AD3DFA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6264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0363"/>
    <w:rsid w:val="00C05FFF"/>
    <w:rsid w:val="00C16B93"/>
    <w:rsid w:val="00C2210E"/>
    <w:rsid w:val="00C2524E"/>
    <w:rsid w:val="00C30B45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B5BEF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5189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3B4A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B25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C7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4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43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43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rsid w:val="00926820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5BEF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5BE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C7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4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43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43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rsid w:val="00926820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5BEF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5BE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A/70/15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571825103776116E-2"/>
          <c:y val="0.13789682539682541"/>
          <c:w val="0.90004630688736542"/>
          <c:h val="0.8621032174476355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8575121291656727E-2"/>
                  <c:y val="5.08570052911957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Африка</a:t>
                    </a:r>
                    <a:br>
                      <a:rPr lang="ru-RU"/>
                    </a:br>
                    <a:r>
                      <a:rPr lang="ru-RU"/>
                      <a:t> 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484430923407302"/>
                  <c:y val="-8.23556296074708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Азия</a:t>
                    </a:r>
                    <a:br>
                      <a:rPr lang="ru-RU"/>
                    </a:br>
                    <a:r>
                      <a:rPr lang="ru-RU"/>
                      <a:t> 37%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835102998488825E-2"/>
                  <c:y val="2.55436098361980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Восточная Европа</a:t>
                    </a:r>
                    <a:br>
                      <a:rPr lang="ru-RU"/>
                    </a:br>
                    <a:r>
                      <a:rPr lang="ru-RU"/>
                      <a:t> 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824927437357001E-2"/>
                  <c:y val="3.32378067828378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Группа стран Латинской Америки и Карибского бассейна</a:t>
                    </a:r>
                  </a:p>
                  <a:p>
                    <a:r>
                      <a:rPr lang="ru-RU"/>
                      <a:t>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589660771518846E-2"/>
                  <c:y val="2.5873660477813844E-2"/>
                </c:manualLayout>
              </c:layout>
              <c:tx>
                <c:rich>
                  <a:bodyPr/>
                  <a:lstStyle/>
                  <a:p>
                    <a:pPr algn="ctr">
                      <a:defRPr/>
                    </a:pPr>
                    <a:r>
                      <a:rPr lang="ru-RU"/>
                      <a:t>Группа 
западноевропейских 
и других государств 16%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Африка</c:v>
                </c:pt>
                <c:pt idx="1">
                  <c:v>Азия</c:v>
                </c:pt>
                <c:pt idx="2">
                  <c:v>Восточная Европа</c:v>
                </c:pt>
                <c:pt idx="3">
                  <c:v>Группа стран Латинской Америки и Карибского бассейна</c:v>
                </c:pt>
                <c:pt idx="4">
                  <c:v>Группа 
западноевропейских 
и других государств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0.26</c:v>
                </c:pt>
                <c:pt idx="1">
                  <c:v>0.37</c:v>
                </c:pt>
                <c:pt idx="2">
                  <c:v>0.11</c:v>
                </c:pt>
                <c:pt idx="3">
                  <c:v>0.1</c:v>
                </c:pt>
                <c:pt idx="4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8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3041019317872E-2"/>
          <c:y val="0.14772522037210359"/>
          <c:w val="0.73611111111111116"/>
          <c:h val="0.7043650793650794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AD403D"/>
              </a:solidFill>
            </c:spPr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745A94"/>
              </a:solidFill>
            </c:spPr>
          </c:dPt>
          <c:dPt>
            <c:idx val="5"/>
            <c:bubble3D val="0"/>
            <c:spPr>
              <a:solidFill>
                <a:srgbClr val="009999"/>
              </a:solidFill>
            </c:spPr>
          </c:dPt>
          <c:dPt>
            <c:idx val="6"/>
            <c:bubble3D val="0"/>
            <c:spPr>
              <a:solidFill>
                <a:srgbClr val="FF9900"/>
              </a:solidFill>
            </c:spPr>
          </c:dPt>
          <c:dLbls>
            <c:dLbl>
              <c:idx val="0"/>
              <c:layout>
                <c:manualLayout>
                  <c:x val="-5.192694663167103E-2"/>
                  <c:y val="-7.71322334708161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Наихудшие формы детского труда</a:t>
                    </a:r>
                    <a:br>
                      <a:rPr lang="ru-RU"/>
                    </a:br>
                    <a:r>
                      <a:rPr lang="ru-RU"/>
                      <a:t>23%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277577282006419E-2"/>
                  <c:y val="-0.142874640669916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Кабальный</a:t>
                    </a:r>
                    <a:br>
                      <a:rPr lang="ru-RU"/>
                    </a:br>
                    <a:r>
                      <a:rPr lang="ru-RU"/>
                      <a:t>и подневольный труд</a:t>
                    </a:r>
                    <a:br>
                      <a:rPr lang="ru-RU"/>
                    </a:br>
                    <a:r>
                      <a:rPr lang="ru-RU"/>
                      <a:t>30%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466756278793148E-2"/>
                  <c:y val="-9.44595920571905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Принудительные</a:t>
                    </a:r>
                    <a:br>
                      <a:rPr lang="ru-RU"/>
                    </a:br>
                    <a:r>
                      <a:rPr lang="ru-RU"/>
                      <a:t>и ранние браки</a:t>
                    </a:r>
                    <a:br>
                      <a:rPr lang="ru-RU"/>
                    </a:br>
                    <a:r>
                      <a:rPr lang="ru-RU"/>
                      <a:t>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21505905511811E-2"/>
                  <c:y val="5.26165479315085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Сексуальное рабство</a:t>
                    </a:r>
                    <a:br>
                      <a:rPr lang="ru-RU"/>
                    </a:br>
                    <a:r>
                      <a:rPr lang="ru-RU"/>
                      <a:t>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673319480898221E-2"/>
                  <c:y val="2.66385451818522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Традиционное рабство</a:t>
                    </a:r>
                    <a:br>
                      <a:rPr lang="ru-RU"/>
                    </a:br>
                    <a:r>
                      <a:rPr lang="ru-RU"/>
                      <a:t>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1081783880377999"/>
                  <c:y val="-5.289329271602124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Торговля людьми</a:t>
                    </a:r>
                    <a:br>
                      <a:rPr lang="ru-RU"/>
                    </a:br>
                    <a:r>
                      <a:rPr lang="ru-RU"/>
                      <a:t>для целей принудительного труда</a:t>
                    </a:r>
                    <a:br>
                      <a:rPr lang="ru-RU"/>
                    </a:br>
                    <a:r>
                      <a:rPr lang="ru-RU"/>
                      <a:t>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30977417558851E-4"/>
                  <c:y val="9.35915236524792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Торговля людьми</a:t>
                    </a:r>
                    <a:br>
                      <a:rPr lang="ru-RU"/>
                    </a:br>
                    <a:r>
                      <a:rPr lang="ru-RU"/>
                      <a:t>в целях сексуальной эксплуатации</a:t>
                    </a:r>
                    <a:br>
                      <a:rPr lang="ru-RU"/>
                    </a:br>
                    <a:r>
                      <a:rPr lang="ru-RU"/>
                      <a:t>23%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Наихудшие формы детского труда</c:v>
                </c:pt>
                <c:pt idx="1">
                  <c:v>Кабальный и подневольный труд</c:v>
                </c:pt>
                <c:pt idx="2">
                  <c:v>Принудительные и ранние браки</c:v>
                </c:pt>
                <c:pt idx="3">
                  <c:v>Сексуальное рабство</c:v>
                </c:pt>
                <c:pt idx="4">
                  <c:v>Традиционное рабство</c:v>
                </c:pt>
                <c:pt idx="5">
                  <c:v>Торговля людьми для целей принудительного труда</c:v>
                </c:pt>
                <c:pt idx="6">
                  <c:v>Торговля людьми в целях сексуальной эксплуатации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0.23</c:v>
                </c:pt>
                <c:pt idx="1">
                  <c:v>0.3</c:v>
                </c:pt>
                <c:pt idx="2">
                  <c:v>0.04</c:v>
                </c:pt>
                <c:pt idx="3">
                  <c:v>0.04</c:v>
                </c:pt>
                <c:pt idx="4">
                  <c:v>0.09</c:v>
                </c:pt>
                <c:pt idx="5">
                  <c:v>7.0000000000000007E-2</c:v>
                </c:pt>
                <c:pt idx="6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C073-741D-4BCF-81AB-1EC7B943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Irina.Sergueenko</dc:creator>
  <cp:lastModifiedBy>María Cecilia Ercole</cp:lastModifiedBy>
  <cp:revision>2</cp:revision>
  <cp:lastPrinted>2015-09-02T17:50:00Z</cp:lastPrinted>
  <dcterms:created xsi:type="dcterms:W3CDTF">2015-10-06T14:59:00Z</dcterms:created>
  <dcterms:modified xsi:type="dcterms:W3CDTF">2015-10-06T14:59:00Z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1512530R</vt:lpwstr>
  </property>
  <property fmtid="{D5CDD505-2E9C-101B-9397-08002B2CF9AE}" pid="3" name="ODSRefJobNo">
    <vt:lpwstr>1524854R</vt:lpwstr>
  </property>
  <property fmtid="{D5CDD505-2E9C-101B-9397-08002B2CF9AE}" pid="4" name="Symbol1">
    <vt:lpwstr>A/70/299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7 August 2015</vt:lpwstr>
  </property>
  <property fmtid="{D5CDD505-2E9C-101B-9397-08002B2CF9AE}" pid="9" name="Original">
    <vt:lpwstr>English</vt:lpwstr>
  </property>
  <property fmtid="{D5CDD505-2E9C-101B-9397-08002B2CF9AE}" pid="10" name="Release Date">
    <vt:lpwstr>010915</vt:lpwstr>
  </property>
  <property fmtid="{D5CDD505-2E9C-101B-9397-08002B2CF9AE}" pid="11" name="Comment">
    <vt:lpwstr/>
  </property>
  <property fmtid="{D5CDD505-2E9C-101B-9397-08002B2CF9AE}" pid="12" name="DraftPages">
    <vt:lpwstr> 10</vt:lpwstr>
  </property>
  <property fmtid="{D5CDD505-2E9C-101B-9397-08002B2CF9AE}" pid="13" name="Operator">
    <vt:lpwstr>Малик</vt:lpwstr>
  </property>
</Properties>
</file>