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CB3A5" w14:textId="0AEA07A7" w:rsidR="00966BA7" w:rsidRPr="004A5F41" w:rsidRDefault="00106251" w:rsidP="007D1D19">
      <w:pPr>
        <w:jc w:val="center"/>
        <w:rPr>
          <w:b/>
          <w:u w:val="single"/>
          <w:lang w:val="en-US"/>
        </w:rPr>
      </w:pPr>
      <w:r w:rsidRPr="004A5F41">
        <w:rPr>
          <w:b/>
          <w:u w:val="single"/>
          <w:lang w:val="en-US"/>
        </w:rPr>
        <w:t>ICRC Submission</w:t>
      </w:r>
    </w:p>
    <w:p w14:paraId="56846FEC" w14:textId="4BF59DE2" w:rsidR="004A5F41" w:rsidRDefault="007D1D19" w:rsidP="007D1D19">
      <w:pPr>
        <w:jc w:val="center"/>
        <w:rPr>
          <w:b/>
          <w:u w:val="single"/>
          <w:lang w:val="en-US"/>
        </w:rPr>
      </w:pPr>
      <w:r>
        <w:rPr>
          <w:b/>
          <w:u w:val="single"/>
          <w:lang w:val="en-US"/>
        </w:rPr>
        <w:t xml:space="preserve">Call for </w:t>
      </w:r>
      <w:r w:rsidR="007614A2">
        <w:rPr>
          <w:b/>
          <w:u w:val="single"/>
          <w:lang w:val="en-US"/>
        </w:rPr>
        <w:t xml:space="preserve">Input -  </w:t>
      </w:r>
      <w:r>
        <w:rPr>
          <w:b/>
          <w:u w:val="single"/>
          <w:lang w:val="en-US"/>
        </w:rPr>
        <w:t>UN Special R</w:t>
      </w:r>
      <w:r w:rsidR="004A5F41" w:rsidRPr="004A5F41">
        <w:rPr>
          <w:b/>
          <w:u w:val="single"/>
          <w:lang w:val="en-US"/>
        </w:rPr>
        <w:t>apporteur on promotion and protection of human rights and fundamental freedoms while countering terrorism</w:t>
      </w:r>
      <w:r w:rsidR="008031E0">
        <w:rPr>
          <w:b/>
          <w:u w:val="single"/>
          <w:lang w:val="en-US"/>
        </w:rPr>
        <w:t xml:space="preserve"> (CT)</w:t>
      </w:r>
      <w:r w:rsidR="00A751E3">
        <w:rPr>
          <w:b/>
          <w:u w:val="single"/>
          <w:lang w:val="en-US"/>
        </w:rPr>
        <w:t xml:space="preserve"> - </w:t>
      </w:r>
      <w:r w:rsidR="007614A2">
        <w:rPr>
          <w:b/>
          <w:u w:val="single"/>
          <w:lang w:val="en-US"/>
        </w:rPr>
        <w:t>Thematic Report to the 75</w:t>
      </w:r>
      <w:r w:rsidR="007614A2" w:rsidRPr="007614A2">
        <w:rPr>
          <w:b/>
          <w:u w:val="single"/>
          <w:vertAlign w:val="superscript"/>
          <w:lang w:val="en-US"/>
        </w:rPr>
        <w:t>th</w:t>
      </w:r>
      <w:r w:rsidR="007614A2">
        <w:rPr>
          <w:b/>
          <w:u w:val="single"/>
          <w:lang w:val="en-US"/>
        </w:rPr>
        <w:t xml:space="preserve"> session of the UN General Assembly</w:t>
      </w:r>
    </w:p>
    <w:p w14:paraId="31C6864E" w14:textId="31324AD2" w:rsidR="004A5F41" w:rsidRDefault="004A5F41" w:rsidP="007D1D19">
      <w:pPr>
        <w:jc w:val="both"/>
        <w:rPr>
          <w:b/>
          <w:u w:val="single"/>
          <w:lang w:val="en-US"/>
        </w:rPr>
      </w:pPr>
    </w:p>
    <w:p w14:paraId="716D346D" w14:textId="77777777" w:rsidR="00D2377B" w:rsidRDefault="00D2377B" w:rsidP="007D1D19">
      <w:pPr>
        <w:jc w:val="both"/>
        <w:rPr>
          <w:b/>
          <w:u w:val="single"/>
          <w:lang w:val="en-US"/>
        </w:rPr>
      </w:pPr>
    </w:p>
    <w:p w14:paraId="281B3973" w14:textId="77777777" w:rsidR="004A5F41" w:rsidRPr="004A5F41" w:rsidRDefault="004A5F41" w:rsidP="007D1D19">
      <w:pPr>
        <w:jc w:val="both"/>
        <w:rPr>
          <w:lang w:val="en-US"/>
        </w:rPr>
      </w:pPr>
      <w:r w:rsidRPr="004A5F41">
        <w:rPr>
          <w:lang w:val="en-US"/>
        </w:rPr>
        <w:t xml:space="preserve">The ICRC thanks the </w:t>
      </w:r>
      <w:r>
        <w:rPr>
          <w:lang w:val="en-US"/>
        </w:rPr>
        <w:t>Special Rapporteur</w:t>
      </w:r>
      <w:r w:rsidRPr="004A5F41">
        <w:rPr>
          <w:lang w:val="en-US"/>
        </w:rPr>
        <w:t xml:space="preserve"> for having </w:t>
      </w:r>
      <w:r>
        <w:rPr>
          <w:lang w:val="en-US"/>
        </w:rPr>
        <w:t>invited</w:t>
      </w:r>
      <w:r w:rsidRPr="004A5F41">
        <w:rPr>
          <w:lang w:val="en-US"/>
        </w:rPr>
        <w:t xml:space="preserve"> </w:t>
      </w:r>
      <w:r>
        <w:rPr>
          <w:lang w:val="en-US"/>
        </w:rPr>
        <w:t xml:space="preserve">stakeholders, including humanitarian organizations, to provide input for her </w:t>
      </w:r>
      <w:r w:rsidRPr="004A5F41">
        <w:rPr>
          <w:lang w:val="en-US"/>
        </w:rPr>
        <w:t>thematic report to the seventy-fifth session of the General Assembly</w:t>
      </w:r>
      <w:r>
        <w:rPr>
          <w:lang w:val="en-US"/>
        </w:rPr>
        <w:t>.</w:t>
      </w:r>
    </w:p>
    <w:p w14:paraId="3777C5D2" w14:textId="51479F3D" w:rsidR="004A5F41" w:rsidRPr="004A5F41" w:rsidRDefault="004A5F41" w:rsidP="007D1D19">
      <w:pPr>
        <w:jc w:val="both"/>
        <w:rPr>
          <w:lang w:val="en-US"/>
        </w:rPr>
      </w:pPr>
      <w:r w:rsidRPr="004A5F41">
        <w:rPr>
          <w:lang w:val="en-US"/>
        </w:rPr>
        <w:t xml:space="preserve">The ICRC commends the </w:t>
      </w:r>
      <w:r>
        <w:rPr>
          <w:lang w:val="en-US"/>
        </w:rPr>
        <w:t>Special Rapporteur for her</w:t>
      </w:r>
      <w:r w:rsidRPr="004A5F41">
        <w:rPr>
          <w:lang w:val="en-US"/>
        </w:rPr>
        <w:t xml:space="preserve"> work on </w:t>
      </w:r>
      <w:r>
        <w:rPr>
          <w:lang w:val="en-US"/>
        </w:rPr>
        <w:t>this important issue</w:t>
      </w:r>
      <w:r w:rsidRPr="004A5F41">
        <w:rPr>
          <w:lang w:val="en-US"/>
        </w:rPr>
        <w:t xml:space="preserve">. Recent </w:t>
      </w:r>
      <w:r w:rsidR="00166B2D">
        <w:rPr>
          <w:lang w:val="en-US"/>
        </w:rPr>
        <w:t>years</w:t>
      </w:r>
      <w:r w:rsidRPr="004A5F41">
        <w:rPr>
          <w:lang w:val="en-US"/>
        </w:rPr>
        <w:t xml:space="preserve"> have illustrated the importance of the subject and the necessity to </w:t>
      </w:r>
      <w:r w:rsidR="00166B2D">
        <w:rPr>
          <w:lang w:val="en-US"/>
        </w:rPr>
        <w:t>further</w:t>
      </w:r>
      <w:r w:rsidR="007D1D19">
        <w:rPr>
          <w:lang w:val="en-US"/>
        </w:rPr>
        <w:t xml:space="preserve"> analyze</w:t>
      </w:r>
      <w:r w:rsidR="00166B2D">
        <w:rPr>
          <w:lang w:val="en-US"/>
        </w:rPr>
        <w:t xml:space="preserve"> the interplay between I</w:t>
      </w:r>
      <w:r w:rsidR="00F56AB5">
        <w:rPr>
          <w:lang w:val="en-US"/>
        </w:rPr>
        <w:t xml:space="preserve">nternational </w:t>
      </w:r>
      <w:r w:rsidR="00166B2D">
        <w:rPr>
          <w:lang w:val="en-US"/>
        </w:rPr>
        <w:t>H</w:t>
      </w:r>
      <w:r w:rsidR="00F56AB5">
        <w:rPr>
          <w:lang w:val="en-US"/>
        </w:rPr>
        <w:t>umanitarian Law (IH</w:t>
      </w:r>
      <w:r w:rsidR="00166B2D">
        <w:rPr>
          <w:lang w:val="en-US"/>
        </w:rPr>
        <w:t>L</w:t>
      </w:r>
      <w:r w:rsidR="00F56AB5">
        <w:rPr>
          <w:lang w:val="en-US"/>
        </w:rPr>
        <w:t>)</w:t>
      </w:r>
      <w:r w:rsidR="00DE59E4">
        <w:rPr>
          <w:lang w:val="en-US"/>
        </w:rPr>
        <w:t>, human rights law</w:t>
      </w:r>
      <w:r w:rsidR="00166B2D">
        <w:rPr>
          <w:lang w:val="en-US"/>
        </w:rPr>
        <w:t xml:space="preserve"> </w:t>
      </w:r>
      <w:r w:rsidR="00067A24">
        <w:rPr>
          <w:lang w:val="en-US"/>
        </w:rPr>
        <w:t xml:space="preserve">(IHRL) </w:t>
      </w:r>
      <w:r w:rsidR="00166B2D">
        <w:rPr>
          <w:lang w:val="en-US"/>
        </w:rPr>
        <w:t>and the legal framework governing CT</w:t>
      </w:r>
      <w:r w:rsidRPr="004A5F41">
        <w:rPr>
          <w:lang w:val="en-US"/>
        </w:rPr>
        <w:t xml:space="preserve">. In this regard, the ICRC has no doubt that the </w:t>
      </w:r>
      <w:r w:rsidR="00FB7D36">
        <w:rPr>
          <w:lang w:val="en-US"/>
        </w:rPr>
        <w:t xml:space="preserve">Special Rapporteur’s forthcoming report </w:t>
      </w:r>
      <w:r w:rsidRPr="004A5F41">
        <w:rPr>
          <w:lang w:val="en-US"/>
        </w:rPr>
        <w:t>will constitute an important contrib</w:t>
      </w:r>
      <w:r w:rsidR="006207DC">
        <w:rPr>
          <w:lang w:val="en-US"/>
        </w:rPr>
        <w:t xml:space="preserve">ution </w:t>
      </w:r>
      <w:r w:rsidR="007D1D19">
        <w:rPr>
          <w:lang w:val="en-US"/>
        </w:rPr>
        <w:t xml:space="preserve">to </w:t>
      </w:r>
      <w:r w:rsidR="006207DC">
        <w:rPr>
          <w:lang w:val="en-US"/>
        </w:rPr>
        <w:t xml:space="preserve">and clarification </w:t>
      </w:r>
      <w:r w:rsidR="00DE59E4">
        <w:rPr>
          <w:lang w:val="en-US"/>
        </w:rPr>
        <w:t xml:space="preserve">of the </w:t>
      </w:r>
      <w:r w:rsidR="00F56AB5">
        <w:rPr>
          <w:lang w:val="en-US"/>
        </w:rPr>
        <w:t>issue</w:t>
      </w:r>
      <w:r w:rsidRPr="004A5F41">
        <w:rPr>
          <w:lang w:val="en-US"/>
        </w:rPr>
        <w:t xml:space="preserve">. </w:t>
      </w:r>
    </w:p>
    <w:p w14:paraId="08ECE95A" w14:textId="28B6D6BF" w:rsidR="004A5F41" w:rsidRDefault="004A5F41" w:rsidP="007D1D19">
      <w:pPr>
        <w:jc w:val="both"/>
        <w:rPr>
          <w:lang w:val="en-US"/>
        </w:rPr>
      </w:pPr>
      <w:r w:rsidRPr="004A5F41">
        <w:rPr>
          <w:lang w:val="en-US"/>
        </w:rPr>
        <w:t xml:space="preserve">As per the </w:t>
      </w:r>
      <w:r w:rsidR="00166B2D">
        <w:rPr>
          <w:lang w:val="en-US"/>
        </w:rPr>
        <w:t>Special Rapporteur’s invitation, the ICRC</w:t>
      </w:r>
      <w:r w:rsidR="00F56AB5">
        <w:rPr>
          <w:lang w:val="en-US"/>
        </w:rPr>
        <w:t xml:space="preserve"> would like to share </w:t>
      </w:r>
      <w:r w:rsidRPr="004A5F41">
        <w:rPr>
          <w:lang w:val="en-US"/>
        </w:rPr>
        <w:t>the following general observations.</w:t>
      </w:r>
      <w:r w:rsidR="00F56AB5">
        <w:rPr>
          <w:lang w:val="en-US"/>
        </w:rPr>
        <w:t xml:space="preserve"> These observations ar</w:t>
      </w:r>
      <w:r w:rsidR="00166B2D">
        <w:rPr>
          <w:lang w:val="en-US"/>
        </w:rPr>
        <w:t xml:space="preserve">e mainly </w:t>
      </w:r>
      <w:r w:rsidR="006207DC">
        <w:rPr>
          <w:lang w:val="en-US"/>
        </w:rPr>
        <w:t>based on</w:t>
      </w:r>
      <w:r w:rsidR="00166B2D">
        <w:rPr>
          <w:lang w:val="en-US"/>
        </w:rPr>
        <w:t xml:space="preserve"> IHL</w:t>
      </w:r>
      <w:r w:rsidR="00FB7D36">
        <w:rPr>
          <w:lang w:val="en-US"/>
        </w:rPr>
        <w:t xml:space="preserve"> in light of the ICRC’s role regarding this corpus</w:t>
      </w:r>
      <w:r w:rsidR="006207DC">
        <w:rPr>
          <w:lang w:val="en-US"/>
        </w:rPr>
        <w:t xml:space="preserve"> </w:t>
      </w:r>
      <w:proofErr w:type="gramStart"/>
      <w:r w:rsidR="006207DC">
        <w:rPr>
          <w:lang w:val="en-US"/>
        </w:rPr>
        <w:t>juris</w:t>
      </w:r>
      <w:r w:rsidR="007D1D19">
        <w:rPr>
          <w:lang w:val="en-US"/>
        </w:rPr>
        <w:t>,</w:t>
      </w:r>
      <w:r w:rsidR="006207DC">
        <w:rPr>
          <w:lang w:val="en-US"/>
        </w:rPr>
        <w:t xml:space="preserve"> but</w:t>
      </w:r>
      <w:proofErr w:type="gramEnd"/>
      <w:r w:rsidR="006207DC">
        <w:rPr>
          <w:lang w:val="en-US"/>
        </w:rPr>
        <w:t xml:space="preserve"> are without prejudice to the </w:t>
      </w:r>
      <w:r w:rsidR="008031E0">
        <w:rPr>
          <w:lang w:val="en-US"/>
        </w:rPr>
        <w:t xml:space="preserve">applicability and </w:t>
      </w:r>
      <w:r w:rsidR="006207DC">
        <w:rPr>
          <w:lang w:val="en-US"/>
        </w:rPr>
        <w:t xml:space="preserve">important </w:t>
      </w:r>
      <w:r w:rsidR="008031E0">
        <w:rPr>
          <w:lang w:val="en-US"/>
        </w:rPr>
        <w:t xml:space="preserve">role </w:t>
      </w:r>
      <w:r w:rsidR="00F56AB5">
        <w:rPr>
          <w:lang w:val="en-US"/>
        </w:rPr>
        <w:t>played by</w:t>
      </w:r>
      <w:r w:rsidR="008031E0">
        <w:rPr>
          <w:lang w:val="en-US"/>
        </w:rPr>
        <w:t xml:space="preserve"> other applicable bodies</w:t>
      </w:r>
      <w:r w:rsidR="006207DC">
        <w:rPr>
          <w:lang w:val="en-US"/>
        </w:rPr>
        <w:t xml:space="preserve"> of laws, notably </w:t>
      </w:r>
      <w:r w:rsidR="00067A24">
        <w:rPr>
          <w:lang w:val="en-US"/>
        </w:rPr>
        <w:t>IHRL</w:t>
      </w:r>
      <w:r w:rsidR="006207DC">
        <w:rPr>
          <w:lang w:val="en-US"/>
        </w:rPr>
        <w:t xml:space="preserve">. </w:t>
      </w:r>
    </w:p>
    <w:p w14:paraId="03C0CFEE" w14:textId="489BBC3F" w:rsidR="00166B2D" w:rsidRDefault="00DE59E4" w:rsidP="007D1D19">
      <w:pPr>
        <w:jc w:val="both"/>
        <w:rPr>
          <w:lang w:val="en-US"/>
        </w:rPr>
      </w:pPr>
      <w:r>
        <w:rPr>
          <w:lang w:val="en-US"/>
        </w:rPr>
        <w:t>The ICRC observations</w:t>
      </w:r>
      <w:r w:rsidRPr="00DE59E4">
        <w:rPr>
          <w:lang w:val="en-US"/>
        </w:rPr>
        <w:t xml:space="preserve"> below are not meant to be exhaustive but focus on</w:t>
      </w:r>
      <w:r>
        <w:rPr>
          <w:lang w:val="en-US"/>
        </w:rPr>
        <w:t xml:space="preserve"> 3</w:t>
      </w:r>
      <w:r w:rsidRPr="00DE59E4">
        <w:rPr>
          <w:lang w:val="en-US"/>
        </w:rPr>
        <w:t xml:space="preserve"> </w:t>
      </w:r>
      <w:r w:rsidR="00F56AB5">
        <w:rPr>
          <w:lang w:val="en-US"/>
        </w:rPr>
        <w:t>specific</w:t>
      </w:r>
      <w:r w:rsidRPr="00DE59E4">
        <w:rPr>
          <w:lang w:val="en-US"/>
        </w:rPr>
        <w:t xml:space="preserve"> </w:t>
      </w:r>
      <w:r w:rsidR="00F56AB5">
        <w:rPr>
          <w:lang w:val="en-US"/>
        </w:rPr>
        <w:t>points</w:t>
      </w:r>
      <w:r>
        <w:rPr>
          <w:lang w:val="en-US"/>
        </w:rPr>
        <w:t xml:space="preserve">: IHL contribution to the CT debate, the protection afforded by IHL to persons designated as terrorist or associated with terrorism, and the necessity to protect </w:t>
      </w:r>
      <w:r w:rsidR="00067A24">
        <w:rPr>
          <w:lang w:val="en-US"/>
        </w:rPr>
        <w:t xml:space="preserve">principled </w:t>
      </w:r>
      <w:r>
        <w:rPr>
          <w:lang w:val="en-US"/>
        </w:rPr>
        <w:t xml:space="preserve">humanitarian activities </w:t>
      </w:r>
      <w:r w:rsidR="003003E7">
        <w:rPr>
          <w:lang w:val="en-US"/>
        </w:rPr>
        <w:t>when taking</w:t>
      </w:r>
      <w:r>
        <w:rPr>
          <w:lang w:val="en-US"/>
        </w:rPr>
        <w:t xml:space="preserve"> CT measures.</w:t>
      </w:r>
    </w:p>
    <w:p w14:paraId="16F593B6" w14:textId="77777777" w:rsidR="00166B2D" w:rsidRDefault="00166B2D" w:rsidP="007D1D19">
      <w:pPr>
        <w:jc w:val="both"/>
        <w:rPr>
          <w:lang w:val="en-US"/>
        </w:rPr>
      </w:pPr>
    </w:p>
    <w:p w14:paraId="66307413" w14:textId="6D76C4E3" w:rsidR="00BA10EC" w:rsidRPr="00E94D26" w:rsidRDefault="00BA10EC" w:rsidP="00E94D26">
      <w:pPr>
        <w:pStyle w:val="ListParagraph"/>
        <w:numPr>
          <w:ilvl w:val="0"/>
          <w:numId w:val="2"/>
        </w:numPr>
        <w:jc w:val="both"/>
        <w:rPr>
          <w:lang w:val="en-US"/>
        </w:rPr>
      </w:pPr>
      <w:r w:rsidRPr="00E94D26">
        <w:rPr>
          <w:u w:val="single"/>
          <w:lang w:val="en-US"/>
        </w:rPr>
        <w:t>The contribution of IHL to the CT debate</w:t>
      </w:r>
      <w:r w:rsidRPr="00E94D26">
        <w:rPr>
          <w:lang w:val="en-US"/>
        </w:rPr>
        <w:t>:</w:t>
      </w:r>
    </w:p>
    <w:p w14:paraId="6BE1D743" w14:textId="5F922EF7" w:rsidR="00B23A86" w:rsidRPr="00B23A86" w:rsidRDefault="00B23A86" w:rsidP="007D1D19">
      <w:pPr>
        <w:jc w:val="both"/>
        <w:rPr>
          <w:lang w:val="en-US"/>
        </w:rPr>
      </w:pPr>
      <w:r w:rsidRPr="00B23A86">
        <w:rPr>
          <w:lang w:val="en-US"/>
        </w:rPr>
        <w:t>Recent years have again seen the rise of non-</w:t>
      </w:r>
      <w:r w:rsidR="00471909">
        <w:rPr>
          <w:lang w:val="en-US"/>
        </w:rPr>
        <w:t>S</w:t>
      </w:r>
      <w:r w:rsidRPr="00B23A86">
        <w:rPr>
          <w:lang w:val="en-US"/>
        </w:rPr>
        <w:t>tate armed groups resorting to act</w:t>
      </w:r>
      <w:r w:rsidR="00F56AB5">
        <w:rPr>
          <w:lang w:val="en-US"/>
        </w:rPr>
        <w:t>s of terrorism</w:t>
      </w:r>
      <w:r>
        <w:rPr>
          <w:lang w:val="en-US"/>
        </w:rPr>
        <w:t xml:space="preserve">. </w:t>
      </w:r>
      <w:r w:rsidRPr="00B23A86">
        <w:rPr>
          <w:lang w:val="en-US"/>
        </w:rPr>
        <w:t>This situation has led S</w:t>
      </w:r>
      <w:r w:rsidR="00F56AB5">
        <w:rPr>
          <w:lang w:val="en-US"/>
        </w:rPr>
        <w:t>tates and international organizations</w:t>
      </w:r>
      <w:r w:rsidRPr="00B23A86">
        <w:rPr>
          <w:lang w:val="en-US"/>
        </w:rPr>
        <w:t xml:space="preserve"> to react by tightening existing counter</w:t>
      </w:r>
      <w:r w:rsidR="002102ED">
        <w:rPr>
          <w:lang w:val="en-US"/>
        </w:rPr>
        <w:t>-</w:t>
      </w:r>
      <w:r w:rsidRPr="00B23A86">
        <w:rPr>
          <w:lang w:val="en-US"/>
        </w:rPr>
        <w:t>terrorism measures and introducing new ones.</w:t>
      </w:r>
    </w:p>
    <w:p w14:paraId="42CAF3F1" w14:textId="77777777" w:rsidR="00067A24" w:rsidRDefault="00B23A86" w:rsidP="00067A24">
      <w:pPr>
        <w:jc w:val="both"/>
        <w:rPr>
          <w:lang w:val="en-US"/>
        </w:rPr>
      </w:pPr>
      <w:r w:rsidRPr="00B23A86">
        <w:rPr>
          <w:lang w:val="en-US"/>
        </w:rPr>
        <w:t>Fighting terrorism may take various forms, including armed conflict</w:t>
      </w:r>
      <w:r>
        <w:rPr>
          <w:lang w:val="en-US"/>
        </w:rPr>
        <w:t xml:space="preserve">. </w:t>
      </w:r>
      <w:r w:rsidR="00067A24">
        <w:rPr>
          <w:lang w:val="en-US"/>
        </w:rPr>
        <w:t xml:space="preserve">In this regard, it is the ICRC’s view that </w:t>
      </w:r>
      <w:r w:rsidR="00067A24" w:rsidRPr="00F05E32">
        <w:rPr>
          <w:lang w:val="en-US"/>
        </w:rPr>
        <w:t xml:space="preserve">violence that is labelled as “terrorist” - whether politically or by legal norms outside IHL – may well cross the </w:t>
      </w:r>
      <w:r w:rsidR="00067A24">
        <w:rPr>
          <w:lang w:val="en-US"/>
        </w:rPr>
        <w:t xml:space="preserve">threshold of an armed conflict. </w:t>
      </w:r>
      <w:r w:rsidR="00067A24" w:rsidRPr="00F05E32">
        <w:rPr>
          <w:lang w:val="en-US"/>
        </w:rPr>
        <w:t xml:space="preserve">Determining whether this kind of armed violence will constitute an armed conflict </w:t>
      </w:r>
      <w:r w:rsidR="00067A24">
        <w:rPr>
          <w:lang w:val="en-US"/>
        </w:rPr>
        <w:t>is to</w:t>
      </w:r>
      <w:r w:rsidR="00067A24" w:rsidRPr="00F05E32">
        <w:rPr>
          <w:lang w:val="en-US"/>
        </w:rPr>
        <w:t xml:space="preserve"> be made exclusively on the basis of the classic criteria of an armed conflict derived from IHL norms, irrespective of the designation given to those involved therein.</w:t>
      </w:r>
    </w:p>
    <w:p w14:paraId="520C27CA" w14:textId="65499E0A" w:rsidR="00B23A86" w:rsidRDefault="00B23A86" w:rsidP="007D1D19">
      <w:pPr>
        <w:jc w:val="both"/>
        <w:rPr>
          <w:lang w:val="en-US"/>
        </w:rPr>
      </w:pPr>
      <w:r>
        <w:rPr>
          <w:lang w:val="en-US"/>
        </w:rPr>
        <w:t xml:space="preserve">However, some States still deny that </w:t>
      </w:r>
      <w:r w:rsidRPr="00B23A86">
        <w:rPr>
          <w:lang w:val="en-US"/>
        </w:rPr>
        <w:t>non-</w:t>
      </w:r>
      <w:r w:rsidR="00471909">
        <w:rPr>
          <w:lang w:val="en-US"/>
        </w:rPr>
        <w:t>S</w:t>
      </w:r>
      <w:r w:rsidRPr="00B23A86">
        <w:rPr>
          <w:lang w:val="en-US"/>
        </w:rPr>
        <w:t>tate armed groups designated as “terrorist” could be a party to a non-international armed conflict within IHL</w:t>
      </w:r>
      <w:r w:rsidR="00471909">
        <w:rPr>
          <w:lang w:val="en-US"/>
        </w:rPr>
        <w:t>’s</w:t>
      </w:r>
      <w:r w:rsidRPr="00B23A86">
        <w:rPr>
          <w:lang w:val="en-US"/>
        </w:rPr>
        <w:t xml:space="preserve"> meaning</w:t>
      </w:r>
      <w:r>
        <w:rPr>
          <w:lang w:val="en-US"/>
        </w:rPr>
        <w:t>, therefore challenging IHL applicability t</w:t>
      </w:r>
      <w:r w:rsidR="00A22C53">
        <w:rPr>
          <w:lang w:val="en-US"/>
        </w:rPr>
        <w:t xml:space="preserve">o counter-terrorism operations. </w:t>
      </w:r>
      <w:r>
        <w:rPr>
          <w:lang w:val="en-US"/>
        </w:rPr>
        <w:t>Nonetheless</w:t>
      </w:r>
      <w:r w:rsidRPr="00B23A86">
        <w:rPr>
          <w:lang w:val="en-US"/>
        </w:rPr>
        <w:t xml:space="preserve">, this trend is progressively </w:t>
      </w:r>
      <w:r w:rsidR="00255D38" w:rsidRPr="00B23A86">
        <w:rPr>
          <w:lang w:val="en-US"/>
        </w:rPr>
        <w:t>reversing,</w:t>
      </w:r>
      <w:r w:rsidRPr="00B23A86">
        <w:rPr>
          <w:lang w:val="en-US"/>
        </w:rPr>
        <w:t xml:space="preserve"> and more and more stakeholders accept that IHL </w:t>
      </w:r>
      <w:r w:rsidR="00067A24">
        <w:rPr>
          <w:lang w:val="en-US"/>
        </w:rPr>
        <w:t>is</w:t>
      </w:r>
      <w:r w:rsidRPr="00B23A86">
        <w:rPr>
          <w:lang w:val="en-US"/>
        </w:rPr>
        <w:t xml:space="preserve"> relevant for their counter-terrorism activities when the condition of this body of law’s applicability are met</w:t>
      </w:r>
      <w:r w:rsidR="00F05E32">
        <w:rPr>
          <w:lang w:val="en-US"/>
        </w:rPr>
        <w:t>.</w:t>
      </w:r>
    </w:p>
    <w:p w14:paraId="5F0DEE99" w14:textId="7EFFE348" w:rsidR="008979EB" w:rsidRDefault="00E7287E" w:rsidP="007D1D19">
      <w:pPr>
        <w:jc w:val="both"/>
        <w:rPr>
          <w:lang w:val="en-US"/>
        </w:rPr>
      </w:pPr>
      <w:r>
        <w:rPr>
          <w:lang w:val="en-US"/>
        </w:rPr>
        <w:t xml:space="preserve">The ICRC recalls that IHL </w:t>
      </w:r>
      <w:r w:rsidR="00255D38">
        <w:rPr>
          <w:lang w:val="en-US"/>
        </w:rPr>
        <w:t>play</w:t>
      </w:r>
      <w:r w:rsidR="002102ED">
        <w:rPr>
          <w:lang w:val="en-US"/>
        </w:rPr>
        <w:t>s</w:t>
      </w:r>
      <w:r w:rsidR="00255D38">
        <w:rPr>
          <w:lang w:val="en-US"/>
        </w:rPr>
        <w:t xml:space="preserve"> an important role and </w:t>
      </w:r>
      <w:r>
        <w:rPr>
          <w:lang w:val="en-US"/>
        </w:rPr>
        <w:t>must also be factored in the long-standing discussions around the definition of terrorism under international law.</w:t>
      </w:r>
      <w:r w:rsidR="00255D38">
        <w:rPr>
          <w:lang w:val="en-US"/>
        </w:rPr>
        <w:t xml:space="preserve"> </w:t>
      </w:r>
      <w:r w:rsidR="006044D8">
        <w:rPr>
          <w:lang w:val="en-US"/>
        </w:rPr>
        <w:t xml:space="preserve">IHL is not only </w:t>
      </w:r>
      <w:r w:rsidR="00255D38">
        <w:rPr>
          <w:lang w:val="en-US"/>
        </w:rPr>
        <w:t xml:space="preserve">- under certain circumstances - </w:t>
      </w:r>
      <w:r w:rsidR="006044D8">
        <w:rPr>
          <w:lang w:val="en-US"/>
        </w:rPr>
        <w:t>applicable to CT contexts but it constitutes also a very relevant body of law</w:t>
      </w:r>
      <w:r w:rsidR="00471909">
        <w:rPr>
          <w:lang w:val="en-US"/>
        </w:rPr>
        <w:t xml:space="preserve">, and </w:t>
      </w:r>
      <w:r w:rsidR="00471909">
        <w:rPr>
          <w:lang w:val="en-US"/>
        </w:rPr>
        <w:lastRenderedPageBreak/>
        <w:t>sometimes the primary body of law,</w:t>
      </w:r>
      <w:r w:rsidR="006044D8">
        <w:rPr>
          <w:lang w:val="en-US"/>
        </w:rPr>
        <w:t xml:space="preserve"> that deals efficiently with acts of terrorism committed in situation of armed conflict.</w:t>
      </w:r>
      <w:r w:rsidR="00F05E32">
        <w:rPr>
          <w:lang w:val="en-US"/>
        </w:rPr>
        <w:t xml:space="preserve"> </w:t>
      </w:r>
    </w:p>
    <w:p w14:paraId="34875F4A" w14:textId="46C77F7F" w:rsidR="00A22C53" w:rsidRPr="00A22C53" w:rsidRDefault="00067A24" w:rsidP="007D1D19">
      <w:pPr>
        <w:jc w:val="both"/>
        <w:rPr>
          <w:lang w:val="en-US"/>
        </w:rPr>
      </w:pPr>
      <w:r>
        <w:rPr>
          <w:lang w:val="en-US"/>
        </w:rPr>
        <w:t xml:space="preserve">Although </w:t>
      </w:r>
      <w:r w:rsidR="00A22C53" w:rsidRPr="00A22C53">
        <w:rPr>
          <w:lang w:val="en-US"/>
        </w:rPr>
        <w:t>IHL does not provide a definition of terrorism</w:t>
      </w:r>
      <w:r>
        <w:rPr>
          <w:lang w:val="en-US"/>
        </w:rPr>
        <w:t xml:space="preserve">, </w:t>
      </w:r>
      <w:r w:rsidR="00A22C53" w:rsidRPr="00A22C53">
        <w:rPr>
          <w:lang w:val="en-US"/>
        </w:rPr>
        <w:t>it prohibits</w:t>
      </w:r>
      <w:r>
        <w:rPr>
          <w:lang w:val="en-US"/>
        </w:rPr>
        <w:t xml:space="preserve"> in situations of armed conflict</w:t>
      </w:r>
      <w:r w:rsidR="00A22C53" w:rsidRPr="00A22C53">
        <w:rPr>
          <w:lang w:val="en-US"/>
        </w:rPr>
        <w:t xml:space="preserve"> most acts that are criminalized as “terrorist” acts in domestic legislation and international conventions specifically addressing terrorism. For instance, in armed conflict, IHL prohibits direct and deliberate attacks against civilians, based on the principle of distinction, which is a cornerstone of this body of law. It also prohibit</w:t>
      </w:r>
      <w:r w:rsidR="00A22C53">
        <w:rPr>
          <w:lang w:val="en-US"/>
        </w:rPr>
        <w:t>s indiscriminate attacks</w:t>
      </w:r>
      <w:r w:rsidR="00A22C53" w:rsidRPr="00A22C53">
        <w:rPr>
          <w:lang w:val="en-US"/>
        </w:rPr>
        <w:t xml:space="preserve"> and hostage taking to name but a few examples.  </w:t>
      </w:r>
    </w:p>
    <w:p w14:paraId="485F6F73" w14:textId="5CC1495D" w:rsidR="00A22C53" w:rsidRPr="00A22C53" w:rsidRDefault="00A22C53" w:rsidP="007D1D19">
      <w:pPr>
        <w:jc w:val="both"/>
        <w:rPr>
          <w:lang w:val="en-US"/>
        </w:rPr>
      </w:pPr>
      <w:r w:rsidRPr="00A22C53">
        <w:rPr>
          <w:lang w:val="en-US"/>
        </w:rPr>
        <w:t>Even if IHL does not define terrorism, it is nonetheless not silent on this issue. It expressly prohibits "measures of terrorism" (Article 33 of the Geneva Convention IV) and "acts of terrorism" (Article 4 of Additional Protocol II) against persons not or no longer taking part in hostilities, irrespective of who - among parties to the armed conflict</w:t>
      </w:r>
      <w:r>
        <w:rPr>
          <w:lang w:val="en-US"/>
        </w:rPr>
        <w:t xml:space="preserve"> - commits such acts. </w:t>
      </w:r>
      <w:r w:rsidRPr="00A22C53">
        <w:rPr>
          <w:lang w:val="en-US"/>
        </w:rPr>
        <w:t>The main objective of these provisions is to ensure that a party to an armed conflict is prohibited from terrorizing civilians under its control.</w:t>
      </w:r>
    </w:p>
    <w:p w14:paraId="10437941" w14:textId="05812726" w:rsidR="00A22C53" w:rsidRPr="00A22C53" w:rsidRDefault="00A22C53" w:rsidP="007D1D19">
      <w:pPr>
        <w:jc w:val="both"/>
        <w:rPr>
          <w:lang w:val="en-US"/>
        </w:rPr>
      </w:pPr>
      <w:r w:rsidRPr="00A22C53">
        <w:rPr>
          <w:lang w:val="en-US"/>
        </w:rPr>
        <w:t>IHL rules governing the conduct of hostilities also expressly cover certain acts of terrorism. Both A</w:t>
      </w:r>
      <w:r w:rsidR="007866BF">
        <w:rPr>
          <w:lang w:val="en-US"/>
        </w:rPr>
        <w:t xml:space="preserve">dditional </w:t>
      </w:r>
      <w:r w:rsidRPr="00A22C53">
        <w:rPr>
          <w:lang w:val="en-US"/>
        </w:rPr>
        <w:t>P</w:t>
      </w:r>
      <w:r w:rsidR="007866BF">
        <w:rPr>
          <w:lang w:val="en-US"/>
        </w:rPr>
        <w:t>rotocol</w:t>
      </w:r>
      <w:r w:rsidRPr="00A22C53">
        <w:rPr>
          <w:lang w:val="en-US"/>
        </w:rPr>
        <w:t>s</w:t>
      </w:r>
      <w:r w:rsidR="00067A24">
        <w:rPr>
          <w:lang w:val="en-US"/>
        </w:rPr>
        <w:t xml:space="preserve"> I and II</w:t>
      </w:r>
      <w:r w:rsidRPr="00A22C53">
        <w:rPr>
          <w:lang w:val="en-US"/>
        </w:rPr>
        <w:t xml:space="preserve"> prohibit acts aimed at spreading terror among the civilian population. The relevant Articles - 51.2 of Additional Protocol I and 13.2 of Additional Protocol II - are a key element of IHL rules governing the conduct of hostilities. </w:t>
      </w:r>
    </w:p>
    <w:p w14:paraId="078F6A5D" w14:textId="1ED48849" w:rsidR="00A22C53" w:rsidRDefault="00A22C53" w:rsidP="007D1D19">
      <w:pPr>
        <w:jc w:val="both"/>
        <w:rPr>
          <w:lang w:val="en-US"/>
        </w:rPr>
      </w:pPr>
      <w:r w:rsidRPr="00A22C53">
        <w:rPr>
          <w:lang w:val="en-US"/>
        </w:rPr>
        <w:t xml:space="preserve">IHL therefore provides a strong legal framework with explicit prohibitions applicable also to non-state armed groups designated as terrorists whose violations </w:t>
      </w:r>
      <w:r w:rsidR="007C797E">
        <w:rPr>
          <w:lang w:val="en-US"/>
        </w:rPr>
        <w:t xml:space="preserve">- which may constitute war crimes - </w:t>
      </w:r>
      <w:r w:rsidRPr="00A22C53">
        <w:rPr>
          <w:lang w:val="en-US"/>
        </w:rPr>
        <w:t>entail individual criminal responsibility both at domestic and international level.</w:t>
      </w:r>
      <w:r w:rsidR="004E7EB7">
        <w:rPr>
          <w:lang w:val="en-US"/>
        </w:rPr>
        <w:t xml:space="preserve"> But States may also</w:t>
      </w:r>
      <w:r>
        <w:rPr>
          <w:lang w:val="en-US"/>
        </w:rPr>
        <w:t xml:space="preserve"> choose </w:t>
      </w:r>
      <w:r w:rsidRPr="00A22C53">
        <w:rPr>
          <w:lang w:val="en-US"/>
        </w:rPr>
        <w:t>to additionally designate such acts as “terrorist” under international or d</w:t>
      </w:r>
      <w:r w:rsidR="004E7EB7">
        <w:rPr>
          <w:lang w:val="en-US"/>
        </w:rPr>
        <w:t>omestic law</w:t>
      </w:r>
      <w:r>
        <w:rPr>
          <w:lang w:val="en-US"/>
        </w:rPr>
        <w:t>.</w:t>
      </w:r>
    </w:p>
    <w:p w14:paraId="23F02AA8" w14:textId="77777777" w:rsidR="00A22C53" w:rsidRDefault="00A22C53" w:rsidP="007D1D19">
      <w:pPr>
        <w:jc w:val="both"/>
        <w:rPr>
          <w:lang w:val="en-US"/>
        </w:rPr>
      </w:pPr>
      <w:r>
        <w:rPr>
          <w:lang w:val="en-US"/>
        </w:rPr>
        <w:t xml:space="preserve">In this regard, the ICRC posits that while establishing CT offences, States should not </w:t>
      </w:r>
      <w:r w:rsidR="004E7EB7">
        <w:rPr>
          <w:lang w:val="en-US"/>
        </w:rPr>
        <w:t>consider as terrorist offences</w:t>
      </w:r>
      <w:r>
        <w:rPr>
          <w:lang w:val="en-US"/>
        </w:rPr>
        <w:t xml:space="preserve"> acts that are governed and not prohibited by IHL such as attacks against military objectives</w:t>
      </w:r>
      <w:r w:rsidR="00737689">
        <w:rPr>
          <w:lang w:val="en-US"/>
        </w:rPr>
        <w:t xml:space="preserve"> in armed conflict,</w:t>
      </w:r>
      <w:r>
        <w:rPr>
          <w:lang w:val="en-US"/>
        </w:rPr>
        <w:t xml:space="preserve"> for instance.</w:t>
      </w:r>
      <w:r w:rsidR="004E7EB7">
        <w:rPr>
          <w:lang w:val="en-US"/>
        </w:rPr>
        <w:t xml:space="preserve"> Interact</w:t>
      </w:r>
      <w:r w:rsidR="00F56AB5">
        <w:rPr>
          <w:lang w:val="en-US"/>
        </w:rPr>
        <w:t>ion between IHL and CT criminal laws</w:t>
      </w:r>
      <w:r w:rsidR="004E7EB7">
        <w:rPr>
          <w:lang w:val="en-US"/>
        </w:rPr>
        <w:t xml:space="preserve"> should be regulated notably by means of an IHL savings clause such as the one recently introduced by Chad in its new CT law.</w:t>
      </w:r>
    </w:p>
    <w:p w14:paraId="4FA143B3" w14:textId="77777777" w:rsidR="00F56AB5" w:rsidRDefault="00F56AB5" w:rsidP="00C37F0D">
      <w:pPr>
        <w:spacing w:after="0" w:line="240" w:lineRule="auto"/>
        <w:jc w:val="both"/>
        <w:rPr>
          <w:lang w:val="en-US"/>
        </w:rPr>
      </w:pPr>
    </w:p>
    <w:p w14:paraId="78AF0D9B" w14:textId="48DDEBD8" w:rsidR="00BA10EC" w:rsidRPr="00E94D26" w:rsidRDefault="00BA10EC" w:rsidP="00C37F0D">
      <w:pPr>
        <w:pStyle w:val="ListParagraph"/>
        <w:numPr>
          <w:ilvl w:val="0"/>
          <w:numId w:val="2"/>
        </w:numPr>
        <w:spacing w:after="0" w:line="240" w:lineRule="auto"/>
        <w:jc w:val="both"/>
        <w:rPr>
          <w:u w:val="single"/>
          <w:lang w:val="en-US"/>
        </w:rPr>
      </w:pPr>
      <w:r w:rsidRPr="00E94D26">
        <w:rPr>
          <w:u w:val="single"/>
          <w:lang w:val="en-US"/>
        </w:rPr>
        <w:t>IHL protections afforded to persons designated as terrorist or associated with terrorism:</w:t>
      </w:r>
    </w:p>
    <w:p w14:paraId="667C7D62" w14:textId="023D40C5" w:rsidR="00732FAE" w:rsidRDefault="00732FAE" w:rsidP="00C37F0D">
      <w:pPr>
        <w:spacing w:after="0" w:line="240" w:lineRule="auto"/>
        <w:rPr>
          <w:rFonts w:eastAsia="Times New Roman" w:cstheme="minorHAnsi"/>
          <w:color w:val="000000" w:themeColor="text1"/>
          <w:lang w:val="en-US" w:eastAsia="en-GB" w:bidi="he-IL"/>
        </w:rPr>
      </w:pPr>
    </w:p>
    <w:p w14:paraId="2E7FFFF3" w14:textId="40C0C6F7" w:rsidR="00C37F0D" w:rsidRDefault="00C37F0D" w:rsidP="00C37F0D">
      <w:pPr>
        <w:spacing w:after="0" w:line="240" w:lineRule="auto"/>
        <w:jc w:val="both"/>
        <w:rPr>
          <w:rFonts w:eastAsia="Times New Roman" w:cstheme="minorHAnsi"/>
          <w:color w:val="000000" w:themeColor="text1"/>
          <w:lang w:val="en-US" w:eastAsia="en-GB" w:bidi="he-IL"/>
        </w:rPr>
      </w:pPr>
    </w:p>
    <w:p w14:paraId="22780F5D" w14:textId="71742217" w:rsidR="006417D5" w:rsidRDefault="00D2377B" w:rsidP="006417D5">
      <w:pPr>
        <w:spacing w:after="0" w:line="240" w:lineRule="auto"/>
        <w:jc w:val="both"/>
        <w:rPr>
          <w:rFonts w:eastAsia="Times New Roman" w:cstheme="minorHAnsi"/>
          <w:color w:val="000000" w:themeColor="text1"/>
          <w:lang w:val="en-US" w:eastAsia="en-GB" w:bidi="he-IL"/>
        </w:rPr>
      </w:pPr>
      <w:r>
        <w:rPr>
          <w:rFonts w:eastAsia="Times New Roman" w:cstheme="minorHAnsi"/>
          <w:color w:val="000000" w:themeColor="text1"/>
          <w:lang w:val="en-US" w:eastAsia="en-GB" w:bidi="he-IL"/>
        </w:rPr>
        <w:t>T</w:t>
      </w:r>
      <w:r w:rsidR="00880552">
        <w:rPr>
          <w:rFonts w:eastAsia="Times New Roman" w:cstheme="minorHAnsi"/>
          <w:color w:val="000000" w:themeColor="text1"/>
          <w:lang w:val="en-US" w:eastAsia="en-GB" w:bidi="he-IL"/>
        </w:rPr>
        <w:t xml:space="preserve">he ICRC has frequently expressed an urgent need to affirm </w:t>
      </w:r>
      <w:r w:rsidR="00880552" w:rsidRPr="00FF0CEC">
        <w:rPr>
          <w:rFonts w:eastAsia="Times New Roman" w:cstheme="minorHAnsi"/>
          <w:color w:val="000000" w:themeColor="text1"/>
          <w:lang w:val="en-US" w:eastAsia="en-GB" w:bidi="he-IL"/>
        </w:rPr>
        <w:t xml:space="preserve">that international law must govern the treatment of </w:t>
      </w:r>
      <w:r w:rsidR="00592BAD">
        <w:rPr>
          <w:rFonts w:eastAsia="Times New Roman" w:cstheme="minorHAnsi"/>
          <w:color w:val="000000" w:themeColor="text1"/>
          <w:lang w:val="en-US" w:eastAsia="en-GB" w:bidi="he-IL"/>
        </w:rPr>
        <w:t>‘</w:t>
      </w:r>
      <w:r w:rsidR="00880552" w:rsidRPr="00FF0CEC">
        <w:rPr>
          <w:rFonts w:eastAsia="Times New Roman" w:cstheme="minorHAnsi"/>
          <w:color w:val="000000" w:themeColor="text1"/>
          <w:lang w:val="en-US" w:eastAsia="en-GB" w:bidi="he-IL"/>
        </w:rPr>
        <w:t>foreign fighters</w:t>
      </w:r>
      <w:r w:rsidR="00592BAD">
        <w:rPr>
          <w:rFonts w:eastAsia="Times New Roman" w:cstheme="minorHAnsi"/>
          <w:color w:val="000000" w:themeColor="text1"/>
          <w:lang w:val="en-US" w:eastAsia="en-GB" w:bidi="he-IL"/>
        </w:rPr>
        <w:t>’</w:t>
      </w:r>
      <w:r w:rsidR="00880552" w:rsidRPr="00FF0CEC">
        <w:rPr>
          <w:rFonts w:eastAsia="Times New Roman" w:cstheme="minorHAnsi"/>
          <w:color w:val="000000" w:themeColor="text1"/>
          <w:lang w:val="en-US" w:eastAsia="en-GB" w:bidi="he-IL"/>
        </w:rPr>
        <w:t xml:space="preserve"> and their families</w:t>
      </w:r>
      <w:r w:rsidR="00B82DD2">
        <w:rPr>
          <w:rFonts w:eastAsia="Times New Roman" w:cstheme="minorHAnsi"/>
          <w:color w:val="000000" w:themeColor="text1"/>
          <w:lang w:val="en-US" w:eastAsia="en-GB" w:bidi="he-IL"/>
        </w:rPr>
        <w:t xml:space="preserve">. </w:t>
      </w:r>
      <w:r w:rsidR="008F4ECC">
        <w:rPr>
          <w:rFonts w:eastAsia="Times New Roman" w:cstheme="minorHAnsi"/>
          <w:color w:val="000000" w:themeColor="text1"/>
          <w:lang w:val="en-US" w:eastAsia="en-GB" w:bidi="he-IL"/>
        </w:rPr>
        <w:t>The ICRC is</w:t>
      </w:r>
      <w:r w:rsidR="00393304">
        <w:rPr>
          <w:rFonts w:eastAsia="Times New Roman" w:cstheme="minorHAnsi"/>
          <w:color w:val="000000" w:themeColor="text1"/>
          <w:lang w:val="en-US" w:eastAsia="en-GB" w:bidi="he-IL"/>
        </w:rPr>
        <w:t xml:space="preserve"> concerned </w:t>
      </w:r>
      <w:r w:rsidR="00EC6CA2">
        <w:rPr>
          <w:rFonts w:eastAsia="Times New Roman" w:cstheme="minorHAnsi"/>
          <w:color w:val="000000" w:themeColor="text1"/>
          <w:lang w:val="en-US" w:eastAsia="en-GB" w:bidi="he-IL"/>
        </w:rPr>
        <w:t>by</w:t>
      </w:r>
      <w:r w:rsidR="00880552" w:rsidRPr="00FF0CEC">
        <w:rPr>
          <w:rFonts w:eastAsia="Times New Roman" w:cstheme="minorHAnsi"/>
          <w:color w:val="000000" w:themeColor="text1"/>
          <w:lang w:val="en-US" w:eastAsia="en-GB" w:bidi="he-IL"/>
        </w:rPr>
        <w:t xml:space="preserve"> a persistent legislative trend that treats these individuals as exceptional cases to whom </w:t>
      </w:r>
      <w:r w:rsidR="00880552">
        <w:rPr>
          <w:rFonts w:eastAsia="Times New Roman" w:cstheme="minorHAnsi"/>
          <w:color w:val="000000" w:themeColor="text1"/>
          <w:lang w:val="en-US" w:eastAsia="en-GB" w:bidi="he-IL"/>
        </w:rPr>
        <w:t>pre-</w:t>
      </w:r>
      <w:r w:rsidR="00880552" w:rsidRPr="00FF0CEC">
        <w:rPr>
          <w:rFonts w:eastAsia="Times New Roman" w:cstheme="minorHAnsi"/>
          <w:color w:val="000000" w:themeColor="text1"/>
          <w:lang w:val="en-US" w:eastAsia="en-GB" w:bidi="he-IL"/>
        </w:rPr>
        <w:t xml:space="preserve">existing </w:t>
      </w:r>
      <w:r w:rsidR="00880552">
        <w:rPr>
          <w:rFonts w:eastAsia="Times New Roman" w:cstheme="minorHAnsi"/>
          <w:color w:val="000000" w:themeColor="text1"/>
          <w:lang w:val="en-US" w:eastAsia="en-GB" w:bidi="he-IL"/>
        </w:rPr>
        <w:t xml:space="preserve">international </w:t>
      </w:r>
      <w:r w:rsidR="00880552" w:rsidRPr="00FF0CEC">
        <w:rPr>
          <w:rFonts w:eastAsia="Times New Roman" w:cstheme="minorHAnsi"/>
          <w:color w:val="000000" w:themeColor="text1"/>
          <w:lang w:val="en-US" w:eastAsia="en-GB" w:bidi="he-IL"/>
        </w:rPr>
        <w:t xml:space="preserve">law </w:t>
      </w:r>
      <w:r w:rsidR="00880552">
        <w:rPr>
          <w:rFonts w:eastAsia="Times New Roman" w:cstheme="minorHAnsi"/>
          <w:color w:val="000000" w:themeColor="text1"/>
          <w:lang w:val="en-US" w:eastAsia="en-GB" w:bidi="he-IL"/>
        </w:rPr>
        <w:t xml:space="preserve">– IHL and IHRL as applicable – </w:t>
      </w:r>
      <w:r w:rsidR="00880552" w:rsidRPr="00FF0CEC">
        <w:rPr>
          <w:rFonts w:eastAsia="Times New Roman" w:cstheme="minorHAnsi"/>
          <w:color w:val="000000" w:themeColor="text1"/>
          <w:lang w:val="en-US" w:eastAsia="en-GB" w:bidi="he-IL"/>
        </w:rPr>
        <w:t>does not apply.</w:t>
      </w:r>
      <w:r w:rsidR="00AC7C3A">
        <w:rPr>
          <w:rStyle w:val="FootnoteReference"/>
          <w:rFonts w:eastAsia="Times New Roman" w:cstheme="minorHAnsi"/>
          <w:color w:val="000000" w:themeColor="text1"/>
          <w:lang w:val="en-US" w:eastAsia="en-GB" w:bidi="he-IL"/>
        </w:rPr>
        <w:footnoteReference w:id="1"/>
      </w:r>
      <w:r w:rsidR="00880552">
        <w:rPr>
          <w:rFonts w:eastAsia="Times New Roman" w:cstheme="minorHAnsi"/>
          <w:color w:val="000000" w:themeColor="text1"/>
          <w:lang w:val="en-US" w:eastAsia="en-GB" w:bidi="he-IL"/>
        </w:rPr>
        <w:t xml:space="preserve"> </w:t>
      </w:r>
      <w:r w:rsidR="008F4ECC">
        <w:rPr>
          <w:rFonts w:eastAsia="Times New Roman" w:cstheme="minorHAnsi"/>
          <w:color w:val="000000" w:themeColor="text1"/>
          <w:lang w:val="en-US" w:eastAsia="en-GB" w:bidi="he-IL"/>
        </w:rPr>
        <w:t>Such</w:t>
      </w:r>
      <w:r w:rsidR="00880552">
        <w:rPr>
          <w:rFonts w:eastAsia="Times New Roman" w:cstheme="minorHAnsi"/>
          <w:color w:val="000000" w:themeColor="text1"/>
          <w:lang w:val="en-US" w:eastAsia="en-GB" w:bidi="he-IL"/>
        </w:rPr>
        <w:t xml:space="preserve"> </w:t>
      </w:r>
      <w:r w:rsidR="00605D24">
        <w:rPr>
          <w:rFonts w:eastAsia="Times New Roman" w:cstheme="minorHAnsi"/>
          <w:color w:val="000000" w:themeColor="text1"/>
          <w:lang w:val="en-US" w:eastAsia="en-GB" w:bidi="he-IL"/>
        </w:rPr>
        <w:t>‘</w:t>
      </w:r>
      <w:r w:rsidR="00880552">
        <w:rPr>
          <w:rFonts w:eastAsia="Times New Roman" w:cstheme="minorHAnsi"/>
          <w:color w:val="000000" w:themeColor="text1"/>
          <w:lang w:val="en-US" w:eastAsia="en-GB" w:bidi="he-IL"/>
        </w:rPr>
        <w:t>exceptionalism</w:t>
      </w:r>
      <w:r w:rsidR="00605D24">
        <w:rPr>
          <w:rFonts w:eastAsia="Times New Roman" w:cstheme="minorHAnsi"/>
          <w:color w:val="000000" w:themeColor="text1"/>
          <w:lang w:val="en-US" w:eastAsia="en-GB" w:bidi="he-IL"/>
        </w:rPr>
        <w:t>’</w:t>
      </w:r>
      <w:r w:rsidR="00880552">
        <w:rPr>
          <w:rFonts w:eastAsia="Times New Roman" w:cstheme="minorHAnsi"/>
          <w:color w:val="000000" w:themeColor="text1"/>
          <w:lang w:val="en-US" w:eastAsia="en-GB" w:bidi="he-IL"/>
        </w:rPr>
        <w:t xml:space="preserve"> </w:t>
      </w:r>
      <w:r w:rsidR="008F4ECC">
        <w:rPr>
          <w:rFonts w:eastAsia="Times New Roman" w:cstheme="minorHAnsi"/>
          <w:color w:val="000000" w:themeColor="text1"/>
          <w:lang w:val="en-US" w:eastAsia="en-GB" w:bidi="he-IL"/>
        </w:rPr>
        <w:t xml:space="preserve">creates </w:t>
      </w:r>
      <w:r w:rsidR="002E11C7">
        <w:rPr>
          <w:rFonts w:eastAsia="Times New Roman" w:cstheme="minorHAnsi"/>
          <w:color w:val="000000" w:themeColor="text1"/>
          <w:lang w:val="en-US" w:eastAsia="en-GB" w:bidi="he-IL"/>
        </w:rPr>
        <w:t>some of</w:t>
      </w:r>
      <w:r w:rsidR="00AC7C3A">
        <w:rPr>
          <w:rFonts w:eastAsia="Times New Roman" w:cstheme="minorHAnsi"/>
          <w:color w:val="000000" w:themeColor="text1"/>
          <w:lang w:val="en-US" w:eastAsia="en-GB" w:bidi="he-IL"/>
        </w:rPr>
        <w:t xml:space="preserve"> the</w:t>
      </w:r>
      <w:r w:rsidR="00880552">
        <w:rPr>
          <w:rFonts w:eastAsia="Times New Roman" w:cstheme="minorHAnsi"/>
          <w:color w:val="000000" w:themeColor="text1"/>
          <w:lang w:val="en-US" w:eastAsia="en-GB" w:bidi="he-IL"/>
        </w:rPr>
        <w:t xml:space="preserve"> </w:t>
      </w:r>
      <w:r w:rsidR="008F4ECC">
        <w:rPr>
          <w:rFonts w:eastAsia="Times New Roman" w:cstheme="minorHAnsi"/>
          <w:color w:val="000000" w:themeColor="text1"/>
          <w:lang w:val="en-US" w:eastAsia="en-GB" w:bidi="he-IL"/>
        </w:rPr>
        <w:t>most haunting situations witnessed by</w:t>
      </w:r>
      <w:r w:rsidR="00880552">
        <w:rPr>
          <w:rFonts w:eastAsia="Times New Roman" w:cstheme="minorHAnsi"/>
          <w:color w:val="000000" w:themeColor="text1"/>
          <w:lang w:val="en-US" w:eastAsia="en-GB" w:bidi="he-IL"/>
        </w:rPr>
        <w:t xml:space="preserve"> the ICRC: the camps and places o</w:t>
      </w:r>
      <w:r w:rsidR="00AC7C3A">
        <w:rPr>
          <w:rFonts w:eastAsia="Times New Roman" w:cstheme="minorHAnsi"/>
          <w:color w:val="000000" w:themeColor="text1"/>
          <w:lang w:val="en-US" w:eastAsia="en-GB" w:bidi="he-IL"/>
        </w:rPr>
        <w:t xml:space="preserve">f detention in North-East </w:t>
      </w:r>
      <w:r w:rsidR="009523D8">
        <w:rPr>
          <w:rFonts w:eastAsia="Times New Roman" w:cstheme="minorHAnsi"/>
          <w:color w:val="000000" w:themeColor="text1"/>
          <w:lang w:val="en-US" w:eastAsia="en-GB" w:bidi="he-IL"/>
        </w:rPr>
        <w:t xml:space="preserve">Syria where persons associated or suspected of association </w:t>
      </w:r>
      <w:r w:rsidR="00AC7C3A">
        <w:rPr>
          <w:rFonts w:eastAsia="Times New Roman" w:cstheme="minorHAnsi"/>
          <w:color w:val="000000" w:themeColor="text1"/>
          <w:lang w:val="en-US" w:eastAsia="en-GB" w:bidi="he-IL"/>
        </w:rPr>
        <w:t>with the Islamic State group remain</w:t>
      </w:r>
      <w:r w:rsidR="009B6DFE">
        <w:rPr>
          <w:rFonts w:eastAsia="Times New Roman" w:cstheme="minorHAnsi"/>
          <w:color w:val="000000" w:themeColor="text1"/>
          <w:lang w:val="en-US" w:eastAsia="en-GB" w:bidi="he-IL"/>
        </w:rPr>
        <w:t xml:space="preserve"> located are emblematic </w:t>
      </w:r>
      <w:r w:rsidR="008F4ECC">
        <w:rPr>
          <w:rFonts w:eastAsia="Times New Roman" w:cstheme="minorHAnsi"/>
          <w:color w:val="000000" w:themeColor="text1"/>
          <w:lang w:val="en-US" w:eastAsia="en-GB" w:bidi="he-IL"/>
        </w:rPr>
        <w:t>in this regard</w:t>
      </w:r>
      <w:r w:rsidR="009B6DFE">
        <w:rPr>
          <w:rFonts w:eastAsia="Times New Roman" w:cstheme="minorHAnsi"/>
          <w:color w:val="000000" w:themeColor="text1"/>
          <w:lang w:val="en-US" w:eastAsia="en-GB" w:bidi="he-IL"/>
        </w:rPr>
        <w:t>.</w:t>
      </w:r>
    </w:p>
    <w:p w14:paraId="5082C984" w14:textId="77777777" w:rsidR="006417D5" w:rsidRDefault="006417D5" w:rsidP="006417D5">
      <w:pPr>
        <w:spacing w:after="0" w:line="240" w:lineRule="auto"/>
        <w:jc w:val="both"/>
        <w:rPr>
          <w:rFonts w:eastAsia="Times New Roman" w:cstheme="minorHAnsi"/>
          <w:color w:val="000000" w:themeColor="text1"/>
          <w:lang w:val="en-US" w:eastAsia="en-GB" w:bidi="he-IL"/>
        </w:rPr>
      </w:pPr>
    </w:p>
    <w:p w14:paraId="0B8558AB" w14:textId="25995EA2" w:rsidR="006417D5" w:rsidRPr="006417D5" w:rsidRDefault="006D506B" w:rsidP="002E11C7">
      <w:pPr>
        <w:spacing w:after="0" w:line="240" w:lineRule="auto"/>
        <w:jc w:val="both"/>
        <w:rPr>
          <w:rFonts w:eastAsia="Times New Roman" w:cstheme="minorHAnsi"/>
          <w:color w:val="000000" w:themeColor="text1"/>
          <w:lang w:val="en-US" w:eastAsia="en-GB" w:bidi="he-IL"/>
        </w:rPr>
      </w:pPr>
      <w:r>
        <w:rPr>
          <w:rFonts w:eastAsia="Times New Roman" w:cstheme="minorHAnsi"/>
          <w:color w:val="000000" w:themeColor="text1"/>
          <w:lang w:val="en-US" w:eastAsia="en-GB" w:bidi="he-IL"/>
        </w:rPr>
        <w:t xml:space="preserve">Al </w:t>
      </w:r>
      <w:proofErr w:type="spellStart"/>
      <w:r>
        <w:rPr>
          <w:rFonts w:eastAsia="Times New Roman" w:cstheme="minorHAnsi"/>
          <w:color w:val="000000" w:themeColor="text1"/>
          <w:lang w:val="en-US" w:eastAsia="en-GB" w:bidi="he-IL"/>
        </w:rPr>
        <w:t>Hol</w:t>
      </w:r>
      <w:proofErr w:type="spellEnd"/>
      <w:r>
        <w:rPr>
          <w:rFonts w:eastAsia="Times New Roman" w:cstheme="minorHAnsi"/>
          <w:color w:val="000000" w:themeColor="text1"/>
          <w:lang w:val="en-US" w:eastAsia="en-GB" w:bidi="he-IL"/>
        </w:rPr>
        <w:t xml:space="preserve"> c</w:t>
      </w:r>
      <w:r w:rsidR="006417D5" w:rsidRPr="006417D5">
        <w:rPr>
          <w:rFonts w:eastAsia="Times New Roman" w:cstheme="minorHAnsi"/>
          <w:color w:val="000000" w:themeColor="text1"/>
          <w:lang w:val="en-US" w:eastAsia="en-GB" w:bidi="he-IL"/>
        </w:rPr>
        <w:t xml:space="preserve">amp </w:t>
      </w:r>
      <w:r w:rsidR="006417D5">
        <w:rPr>
          <w:rFonts w:eastAsia="Times New Roman" w:cstheme="minorHAnsi"/>
          <w:color w:val="000000" w:themeColor="text1"/>
          <w:lang w:val="en-US" w:eastAsia="en-GB" w:bidi="he-IL"/>
        </w:rPr>
        <w:t xml:space="preserve">is home to </w:t>
      </w:r>
      <w:r w:rsidR="006417D5" w:rsidRPr="006417D5">
        <w:rPr>
          <w:rFonts w:eastAsia="Times New Roman" w:cstheme="minorHAnsi"/>
          <w:color w:val="000000" w:themeColor="text1"/>
          <w:lang w:val="en-US" w:eastAsia="en-GB" w:bidi="he-IL"/>
        </w:rPr>
        <w:t>more than 40,000 children</w:t>
      </w:r>
      <w:r w:rsidR="006417D5">
        <w:rPr>
          <w:rFonts w:eastAsia="Times New Roman" w:cstheme="minorHAnsi"/>
          <w:color w:val="000000" w:themeColor="text1"/>
          <w:lang w:val="en-US" w:eastAsia="en-GB" w:bidi="he-IL"/>
        </w:rPr>
        <w:t xml:space="preserve"> stranded in legal limbo</w:t>
      </w:r>
      <w:r w:rsidR="006417D5" w:rsidRPr="006417D5">
        <w:rPr>
          <w:rFonts w:eastAsia="Times New Roman" w:cstheme="minorHAnsi"/>
          <w:color w:val="000000" w:themeColor="text1"/>
          <w:lang w:val="en-US" w:eastAsia="en-GB" w:bidi="he-IL"/>
        </w:rPr>
        <w:t xml:space="preserve">. There </w:t>
      </w:r>
      <w:r w:rsidR="006417D5">
        <w:rPr>
          <w:rFonts w:eastAsia="Times New Roman" w:cstheme="minorHAnsi"/>
          <w:color w:val="000000" w:themeColor="text1"/>
          <w:lang w:val="en-US" w:eastAsia="en-GB" w:bidi="he-IL"/>
        </w:rPr>
        <w:t xml:space="preserve">is no access to education, and access to food, clean water and health care is limited. </w:t>
      </w:r>
      <w:r w:rsidR="006417D5" w:rsidRPr="006417D5">
        <w:rPr>
          <w:rFonts w:eastAsia="Times New Roman" w:cstheme="minorHAnsi"/>
          <w:color w:val="000000" w:themeColor="text1"/>
          <w:lang w:val="en-US" w:eastAsia="en-GB" w:bidi="he-IL"/>
        </w:rPr>
        <w:t>Th</w:t>
      </w:r>
      <w:r w:rsidR="00AC72B5">
        <w:rPr>
          <w:rFonts w:eastAsia="Times New Roman" w:cstheme="minorHAnsi"/>
          <w:color w:val="000000" w:themeColor="text1"/>
          <w:lang w:val="en-US" w:eastAsia="en-GB" w:bidi="he-IL"/>
        </w:rPr>
        <w:t xml:space="preserve">e children of Al </w:t>
      </w:r>
      <w:proofErr w:type="spellStart"/>
      <w:r w:rsidR="00AC72B5">
        <w:rPr>
          <w:rFonts w:eastAsia="Times New Roman" w:cstheme="minorHAnsi"/>
          <w:color w:val="000000" w:themeColor="text1"/>
          <w:lang w:val="en-US" w:eastAsia="en-GB" w:bidi="he-IL"/>
        </w:rPr>
        <w:t>Hol</w:t>
      </w:r>
      <w:proofErr w:type="spellEnd"/>
      <w:r w:rsidR="00AC72B5">
        <w:rPr>
          <w:rFonts w:eastAsia="Times New Roman" w:cstheme="minorHAnsi"/>
          <w:color w:val="000000" w:themeColor="text1"/>
          <w:lang w:val="en-US" w:eastAsia="en-GB" w:bidi="he-IL"/>
        </w:rPr>
        <w:t xml:space="preserve"> are among </w:t>
      </w:r>
      <w:r w:rsidR="006417D5" w:rsidRPr="006417D5">
        <w:rPr>
          <w:rFonts w:eastAsia="Times New Roman" w:cstheme="minorHAnsi"/>
          <w:color w:val="000000" w:themeColor="text1"/>
          <w:lang w:val="en-US" w:eastAsia="en-GB" w:bidi="he-IL"/>
        </w:rPr>
        <w:t xml:space="preserve">more than 100,000 people who remain in camps in northern Syria; thousands more, mostly men but also women and children, </w:t>
      </w:r>
      <w:r w:rsidR="006417D5">
        <w:rPr>
          <w:rFonts w:eastAsia="Times New Roman" w:cstheme="minorHAnsi"/>
          <w:color w:val="000000" w:themeColor="text1"/>
          <w:lang w:val="en-US" w:eastAsia="en-GB" w:bidi="he-IL"/>
        </w:rPr>
        <w:t xml:space="preserve">some as young as 12, </w:t>
      </w:r>
      <w:r w:rsidR="006417D5" w:rsidRPr="006417D5">
        <w:rPr>
          <w:rFonts w:eastAsia="Times New Roman" w:cstheme="minorHAnsi"/>
          <w:color w:val="000000" w:themeColor="text1"/>
          <w:lang w:val="en-US" w:eastAsia="en-GB" w:bidi="he-IL"/>
        </w:rPr>
        <w:t xml:space="preserve">are held in places of detention. Most are from Syria and Iraq, but a significant percentage </w:t>
      </w:r>
      <w:r w:rsidR="00105CB7">
        <w:rPr>
          <w:rFonts w:eastAsia="Times New Roman" w:cstheme="minorHAnsi"/>
          <w:color w:val="000000" w:themeColor="text1"/>
          <w:lang w:val="en-US" w:eastAsia="en-GB" w:bidi="he-IL"/>
        </w:rPr>
        <w:t>are</w:t>
      </w:r>
      <w:r w:rsidR="006417D5" w:rsidRPr="006417D5">
        <w:rPr>
          <w:rFonts w:eastAsia="Times New Roman" w:cstheme="minorHAnsi"/>
          <w:color w:val="000000" w:themeColor="text1"/>
          <w:lang w:val="en-US" w:eastAsia="en-GB" w:bidi="he-IL"/>
        </w:rPr>
        <w:t xml:space="preserve"> from elsewhere – more than 60 countries on several </w:t>
      </w:r>
      <w:r w:rsidR="006417D5" w:rsidRPr="006417D5">
        <w:rPr>
          <w:rFonts w:eastAsia="Times New Roman" w:cstheme="minorHAnsi"/>
          <w:color w:val="000000" w:themeColor="text1"/>
          <w:lang w:val="en-US" w:eastAsia="en-GB" w:bidi="he-IL"/>
        </w:rPr>
        <w:lastRenderedPageBreak/>
        <w:t>continents. All of them are trapped in an unsustainable status quo that requires urgent international action.</w:t>
      </w:r>
    </w:p>
    <w:p w14:paraId="683061CD" w14:textId="2324DD53" w:rsidR="00880552" w:rsidRDefault="00880552" w:rsidP="002E11C7">
      <w:pPr>
        <w:spacing w:after="0" w:line="240" w:lineRule="auto"/>
        <w:jc w:val="both"/>
        <w:rPr>
          <w:rFonts w:eastAsia="Times New Roman" w:cstheme="minorHAnsi"/>
          <w:color w:val="000000" w:themeColor="text1"/>
          <w:lang w:val="en-US" w:eastAsia="en-GB" w:bidi="he-IL"/>
        </w:rPr>
      </w:pPr>
    </w:p>
    <w:p w14:paraId="140FBDD1" w14:textId="531B4659" w:rsidR="00880552" w:rsidRDefault="00890342" w:rsidP="00C37F0D">
      <w:pPr>
        <w:spacing w:after="0" w:line="240" w:lineRule="auto"/>
        <w:jc w:val="both"/>
        <w:rPr>
          <w:rFonts w:eastAsia="Times New Roman" w:cstheme="minorHAnsi"/>
          <w:color w:val="000000" w:themeColor="text1"/>
          <w:lang w:val="en-US" w:eastAsia="en-GB" w:bidi="he-IL"/>
        </w:rPr>
      </w:pPr>
      <w:r>
        <w:rPr>
          <w:rFonts w:eastAsia="Times New Roman" w:cstheme="minorHAnsi"/>
          <w:color w:val="000000" w:themeColor="text1"/>
          <w:lang w:val="en-US" w:eastAsia="en-GB" w:bidi="he-IL"/>
        </w:rPr>
        <w:t>These</w:t>
      </w:r>
      <w:r w:rsidR="006417D5">
        <w:rPr>
          <w:rFonts w:eastAsia="Times New Roman" w:cstheme="minorHAnsi"/>
          <w:color w:val="000000" w:themeColor="text1"/>
          <w:lang w:val="en-US" w:eastAsia="en-GB" w:bidi="he-IL"/>
        </w:rPr>
        <w:t xml:space="preserve"> </w:t>
      </w:r>
      <w:r w:rsidR="005B1628">
        <w:rPr>
          <w:rFonts w:eastAsia="Times New Roman" w:cstheme="minorHAnsi"/>
          <w:color w:val="000000" w:themeColor="text1"/>
          <w:lang w:val="en-US" w:eastAsia="en-GB" w:bidi="he-IL"/>
        </w:rPr>
        <w:t>individuals</w:t>
      </w:r>
      <w:r w:rsidR="00880552" w:rsidRPr="00880552">
        <w:rPr>
          <w:rFonts w:eastAsia="Times New Roman" w:cstheme="minorHAnsi"/>
          <w:color w:val="000000" w:themeColor="text1"/>
          <w:lang w:val="en-US" w:eastAsia="en-GB" w:bidi="he-IL"/>
        </w:rPr>
        <w:t xml:space="preserve"> – irrespective of nationality, personal</w:t>
      </w:r>
      <w:r w:rsidR="002E11C7">
        <w:rPr>
          <w:rFonts w:eastAsia="Times New Roman" w:cstheme="minorHAnsi"/>
          <w:color w:val="000000" w:themeColor="text1"/>
          <w:lang w:val="en-US" w:eastAsia="en-GB" w:bidi="he-IL"/>
        </w:rPr>
        <w:t xml:space="preserve"> </w:t>
      </w:r>
      <w:r w:rsidR="00880552" w:rsidRPr="00880552">
        <w:rPr>
          <w:rFonts w:eastAsia="Times New Roman" w:cstheme="minorHAnsi"/>
          <w:color w:val="000000" w:themeColor="text1"/>
          <w:lang w:val="en-US" w:eastAsia="en-GB" w:bidi="he-IL"/>
        </w:rPr>
        <w:t xml:space="preserve">situation, past actions </w:t>
      </w:r>
      <w:r w:rsidR="005B1628">
        <w:rPr>
          <w:rFonts w:eastAsia="Times New Roman" w:cstheme="minorHAnsi"/>
          <w:color w:val="000000" w:themeColor="text1"/>
          <w:lang w:val="en-US" w:eastAsia="en-GB" w:bidi="he-IL"/>
        </w:rPr>
        <w:t>and indeed</w:t>
      </w:r>
      <w:r w:rsidR="00880552" w:rsidRPr="00880552">
        <w:rPr>
          <w:rFonts w:eastAsia="Times New Roman" w:cstheme="minorHAnsi"/>
          <w:color w:val="000000" w:themeColor="text1"/>
          <w:lang w:val="en-US" w:eastAsia="en-GB" w:bidi="he-IL"/>
        </w:rPr>
        <w:t xml:space="preserve"> even their age – </w:t>
      </w:r>
      <w:r>
        <w:rPr>
          <w:rFonts w:eastAsia="Times New Roman" w:cstheme="minorHAnsi"/>
          <w:color w:val="000000" w:themeColor="text1"/>
          <w:lang w:val="en-US" w:eastAsia="en-GB" w:bidi="he-IL"/>
        </w:rPr>
        <w:t xml:space="preserve">are portrayed </w:t>
      </w:r>
      <w:r w:rsidR="00880552" w:rsidRPr="00880552">
        <w:rPr>
          <w:rFonts w:eastAsia="Times New Roman" w:cstheme="minorHAnsi"/>
          <w:color w:val="000000" w:themeColor="text1"/>
          <w:lang w:val="en-US" w:eastAsia="en-GB" w:bidi="he-IL"/>
        </w:rPr>
        <w:t>as an exceptional security threat requiring an exceptional</w:t>
      </w:r>
      <w:r w:rsidR="002E11C7">
        <w:rPr>
          <w:rFonts w:eastAsia="Times New Roman" w:cstheme="minorHAnsi"/>
          <w:color w:val="000000" w:themeColor="text1"/>
          <w:lang w:val="en-US" w:eastAsia="en-GB" w:bidi="he-IL"/>
        </w:rPr>
        <w:t xml:space="preserve"> </w:t>
      </w:r>
      <w:r w:rsidR="00880552" w:rsidRPr="00880552">
        <w:rPr>
          <w:rFonts w:eastAsia="Times New Roman" w:cstheme="minorHAnsi"/>
          <w:color w:val="000000" w:themeColor="text1"/>
          <w:lang w:val="en-US" w:eastAsia="en-GB" w:bidi="he-IL"/>
        </w:rPr>
        <w:t xml:space="preserve">response. </w:t>
      </w:r>
      <w:r w:rsidR="005B1628">
        <w:rPr>
          <w:rFonts w:eastAsia="Times New Roman" w:cstheme="minorHAnsi"/>
          <w:color w:val="000000" w:themeColor="text1"/>
          <w:lang w:val="en-US" w:eastAsia="en-GB" w:bidi="he-IL"/>
        </w:rPr>
        <w:t>B</w:t>
      </w:r>
      <w:r w:rsidR="00880552" w:rsidRPr="00880552">
        <w:rPr>
          <w:rFonts w:eastAsia="Times New Roman" w:cstheme="minorHAnsi"/>
          <w:color w:val="000000" w:themeColor="text1"/>
          <w:lang w:val="en-US" w:eastAsia="en-GB" w:bidi="he-IL"/>
        </w:rPr>
        <w:t>rand</w:t>
      </w:r>
      <w:r w:rsidR="005B1628">
        <w:rPr>
          <w:rFonts w:eastAsia="Times New Roman" w:cstheme="minorHAnsi"/>
          <w:color w:val="000000" w:themeColor="text1"/>
          <w:lang w:val="en-US" w:eastAsia="en-GB" w:bidi="he-IL"/>
        </w:rPr>
        <w:t>ing</w:t>
      </w:r>
      <w:r w:rsidR="00880552" w:rsidRPr="00880552">
        <w:rPr>
          <w:rFonts w:eastAsia="Times New Roman" w:cstheme="minorHAnsi"/>
          <w:color w:val="000000" w:themeColor="text1"/>
          <w:lang w:val="en-US" w:eastAsia="en-GB" w:bidi="he-IL"/>
        </w:rPr>
        <w:t xml:space="preserve"> all individuals perceived to be affiliated with the</w:t>
      </w:r>
      <w:r w:rsidR="008F4ECC">
        <w:rPr>
          <w:rFonts w:eastAsia="Times New Roman" w:cstheme="minorHAnsi"/>
          <w:color w:val="000000" w:themeColor="text1"/>
          <w:lang w:val="en-US" w:eastAsia="en-GB" w:bidi="he-IL"/>
        </w:rPr>
        <w:t xml:space="preserve"> Islamic State</w:t>
      </w:r>
      <w:r w:rsidR="002E11C7">
        <w:rPr>
          <w:rFonts w:eastAsia="Times New Roman" w:cstheme="minorHAnsi"/>
          <w:color w:val="000000" w:themeColor="text1"/>
          <w:lang w:val="en-US" w:eastAsia="en-GB" w:bidi="he-IL"/>
        </w:rPr>
        <w:t xml:space="preserve"> </w:t>
      </w:r>
      <w:r>
        <w:rPr>
          <w:rFonts w:eastAsia="Times New Roman" w:cstheme="minorHAnsi"/>
          <w:color w:val="000000" w:themeColor="text1"/>
          <w:lang w:val="en-US" w:eastAsia="en-GB" w:bidi="he-IL"/>
        </w:rPr>
        <w:t>group as ‘terrorists’</w:t>
      </w:r>
      <w:r w:rsidR="00880552" w:rsidRPr="00880552">
        <w:rPr>
          <w:rFonts w:eastAsia="Times New Roman" w:cstheme="minorHAnsi"/>
          <w:color w:val="000000" w:themeColor="text1"/>
          <w:lang w:val="en-US" w:eastAsia="en-GB" w:bidi="he-IL"/>
        </w:rPr>
        <w:t xml:space="preserve"> </w:t>
      </w:r>
      <w:r w:rsidR="005B1628">
        <w:rPr>
          <w:rFonts w:eastAsia="Times New Roman" w:cstheme="minorHAnsi"/>
          <w:color w:val="000000" w:themeColor="text1"/>
          <w:lang w:val="en-US" w:eastAsia="en-GB" w:bidi="he-IL"/>
        </w:rPr>
        <w:t>has placed</w:t>
      </w:r>
      <w:r w:rsidR="00880552" w:rsidRPr="00880552">
        <w:rPr>
          <w:rFonts w:eastAsia="Times New Roman" w:cstheme="minorHAnsi"/>
          <w:color w:val="000000" w:themeColor="text1"/>
          <w:lang w:val="en-US" w:eastAsia="en-GB" w:bidi="he-IL"/>
        </w:rPr>
        <w:t xml:space="preserve"> them b</w:t>
      </w:r>
      <w:r w:rsidR="00B326DD">
        <w:rPr>
          <w:rFonts w:eastAsia="Times New Roman" w:cstheme="minorHAnsi"/>
          <w:color w:val="000000" w:themeColor="text1"/>
          <w:lang w:val="en-US" w:eastAsia="en-GB" w:bidi="he-IL"/>
        </w:rPr>
        <w:t xml:space="preserve">eyond the protection of the law. </w:t>
      </w:r>
      <w:r w:rsidR="002A28DC">
        <w:rPr>
          <w:rFonts w:eastAsia="Times New Roman" w:cstheme="minorHAnsi"/>
          <w:color w:val="000000" w:themeColor="text1"/>
          <w:lang w:val="en-US" w:eastAsia="en-GB" w:bidi="he-IL"/>
        </w:rPr>
        <w:t>With this humanitarian imp</w:t>
      </w:r>
      <w:r w:rsidR="0025173E">
        <w:rPr>
          <w:rFonts w:eastAsia="Times New Roman" w:cstheme="minorHAnsi"/>
          <w:color w:val="000000" w:themeColor="text1"/>
          <w:lang w:val="en-US" w:eastAsia="en-GB" w:bidi="he-IL"/>
        </w:rPr>
        <w:t>act in mind</w:t>
      </w:r>
      <w:r w:rsidR="002A28DC">
        <w:rPr>
          <w:rFonts w:eastAsia="Times New Roman" w:cstheme="minorHAnsi"/>
          <w:color w:val="000000" w:themeColor="text1"/>
          <w:lang w:val="en-US" w:eastAsia="en-GB" w:bidi="he-IL"/>
        </w:rPr>
        <w:t xml:space="preserve">, the ICRC submits the following three observations regarding the legal implications of the overlap between the Security Council Resolutions governing FTF and obligations under IHL and IHRL. </w:t>
      </w:r>
    </w:p>
    <w:p w14:paraId="7F2AD527" w14:textId="29403F97" w:rsidR="00880552" w:rsidRDefault="00880552" w:rsidP="00C37F0D">
      <w:pPr>
        <w:spacing w:after="0" w:line="240" w:lineRule="auto"/>
        <w:jc w:val="both"/>
        <w:rPr>
          <w:rFonts w:eastAsia="Times New Roman" w:cstheme="minorHAnsi"/>
          <w:color w:val="000000" w:themeColor="text1"/>
          <w:lang w:val="en-US" w:eastAsia="en-GB" w:bidi="he-IL"/>
        </w:rPr>
      </w:pPr>
    </w:p>
    <w:p w14:paraId="20D4589A" w14:textId="433C4FC6" w:rsidR="00880552" w:rsidRPr="00FE5D3F" w:rsidRDefault="00FE5D3F" w:rsidP="00FE5D3F">
      <w:pPr>
        <w:pStyle w:val="ListParagraph"/>
        <w:numPr>
          <w:ilvl w:val="0"/>
          <w:numId w:val="6"/>
        </w:numPr>
        <w:spacing w:after="0" w:line="240" w:lineRule="auto"/>
        <w:jc w:val="both"/>
        <w:rPr>
          <w:rFonts w:eastAsia="Times New Roman" w:cstheme="minorHAnsi"/>
          <w:i/>
          <w:color w:val="000000" w:themeColor="text1"/>
          <w:lang w:val="en-US" w:eastAsia="en-GB" w:bidi="he-IL"/>
        </w:rPr>
      </w:pPr>
      <w:r w:rsidRPr="00FE5D3F">
        <w:rPr>
          <w:rFonts w:eastAsia="Times New Roman" w:cstheme="minorHAnsi"/>
          <w:i/>
          <w:color w:val="000000" w:themeColor="text1"/>
          <w:lang w:val="en-US" w:eastAsia="en-GB" w:bidi="he-IL"/>
        </w:rPr>
        <w:t>General observation</w:t>
      </w:r>
    </w:p>
    <w:p w14:paraId="68260742" w14:textId="66C58991" w:rsidR="00880552" w:rsidRDefault="00880552" w:rsidP="00C37F0D">
      <w:pPr>
        <w:spacing w:after="0" w:line="240" w:lineRule="auto"/>
        <w:jc w:val="both"/>
        <w:rPr>
          <w:rFonts w:eastAsia="Times New Roman" w:cstheme="minorHAnsi"/>
          <w:color w:val="000000" w:themeColor="text1"/>
          <w:lang w:val="en-US" w:eastAsia="en-GB" w:bidi="he-IL"/>
        </w:rPr>
      </w:pPr>
    </w:p>
    <w:p w14:paraId="433B5AB7" w14:textId="73FEF11F" w:rsidR="00535367" w:rsidRDefault="00535367" w:rsidP="00C37F0D">
      <w:pPr>
        <w:spacing w:after="0" w:line="240" w:lineRule="auto"/>
        <w:jc w:val="both"/>
        <w:rPr>
          <w:rFonts w:eastAsia="Times New Roman" w:cstheme="minorHAnsi"/>
          <w:color w:val="000000" w:themeColor="text1"/>
          <w:lang w:val="en-US" w:eastAsia="en-GB" w:bidi="he-IL"/>
        </w:rPr>
      </w:pPr>
      <w:r>
        <w:rPr>
          <w:rFonts w:eastAsia="Times New Roman" w:cstheme="minorHAnsi"/>
          <w:color w:val="000000" w:themeColor="text1"/>
          <w:lang w:val="en-US" w:eastAsia="en-GB" w:bidi="he-IL"/>
        </w:rPr>
        <w:t xml:space="preserve">UN Security Council Resolution </w:t>
      </w:r>
      <w:r w:rsidR="00002F86">
        <w:rPr>
          <w:rFonts w:eastAsia="Times New Roman" w:cstheme="minorHAnsi"/>
          <w:color w:val="000000" w:themeColor="text1"/>
          <w:lang w:val="en-US" w:eastAsia="en-GB" w:bidi="he-IL"/>
        </w:rPr>
        <w:t xml:space="preserve">(UNSCR) </w:t>
      </w:r>
      <w:r w:rsidR="00002F86">
        <w:rPr>
          <w:rFonts w:cs="Helv"/>
          <w:color w:val="000000" w:themeColor="text1"/>
          <w:lang w:val="en-US"/>
        </w:rPr>
        <w:t>2178 defines the notion of ‘FTF’ broadly</w:t>
      </w:r>
      <w:r w:rsidR="00A62DBD">
        <w:rPr>
          <w:rFonts w:cs="Helv"/>
          <w:color w:val="000000" w:themeColor="text1"/>
          <w:lang w:val="en-US"/>
        </w:rPr>
        <w:t>.</w:t>
      </w:r>
      <w:r w:rsidR="00002F86">
        <w:rPr>
          <w:rFonts w:eastAsia="Times New Roman" w:cstheme="minorHAnsi"/>
          <w:color w:val="000000" w:themeColor="text1"/>
          <w:lang w:val="en-US" w:eastAsia="en-GB" w:bidi="he-IL"/>
        </w:rPr>
        <w:t xml:space="preserve"> By contrast, ‘f</w:t>
      </w:r>
      <w:r w:rsidRPr="00535367">
        <w:rPr>
          <w:rFonts w:eastAsia="Times New Roman" w:cstheme="minorHAnsi"/>
          <w:color w:val="000000" w:themeColor="text1"/>
          <w:lang w:val="en-US" w:eastAsia="en-GB" w:bidi="he-IL"/>
        </w:rPr>
        <w:t>oreign fighter</w:t>
      </w:r>
      <w:r w:rsidR="00002F86">
        <w:rPr>
          <w:rFonts w:eastAsia="Times New Roman" w:cstheme="minorHAnsi"/>
          <w:color w:val="000000" w:themeColor="text1"/>
          <w:lang w:val="en-US" w:eastAsia="en-GB" w:bidi="he-IL"/>
        </w:rPr>
        <w:t>’</w:t>
      </w:r>
      <w:r>
        <w:rPr>
          <w:rFonts w:eastAsia="Times New Roman" w:cstheme="minorHAnsi"/>
          <w:color w:val="000000" w:themeColor="text1"/>
          <w:lang w:val="en-US" w:eastAsia="en-GB" w:bidi="he-IL"/>
        </w:rPr>
        <w:t xml:space="preserve"> is not a </w:t>
      </w:r>
      <w:r w:rsidR="00002F86">
        <w:rPr>
          <w:rFonts w:eastAsia="Times New Roman" w:cstheme="minorHAnsi"/>
          <w:color w:val="000000" w:themeColor="text1"/>
          <w:lang w:val="en-US" w:eastAsia="en-GB" w:bidi="he-IL"/>
        </w:rPr>
        <w:t>legal term within</w:t>
      </w:r>
      <w:r>
        <w:rPr>
          <w:rFonts w:eastAsia="Times New Roman" w:cstheme="minorHAnsi"/>
          <w:color w:val="000000" w:themeColor="text1"/>
          <w:lang w:val="en-US" w:eastAsia="en-GB" w:bidi="he-IL"/>
        </w:rPr>
        <w:t xml:space="preserve"> IHL</w:t>
      </w:r>
      <w:r w:rsidR="00002F86">
        <w:rPr>
          <w:rFonts w:eastAsia="Times New Roman" w:cstheme="minorHAnsi"/>
          <w:color w:val="000000" w:themeColor="text1"/>
          <w:lang w:val="en-US" w:eastAsia="en-GB" w:bidi="he-IL"/>
        </w:rPr>
        <w:t xml:space="preserve"> nor does it trigger specific treatment</w:t>
      </w:r>
      <w:r>
        <w:rPr>
          <w:rFonts w:eastAsia="Times New Roman" w:cstheme="minorHAnsi"/>
          <w:color w:val="000000" w:themeColor="text1"/>
          <w:lang w:val="en-US" w:eastAsia="en-GB" w:bidi="he-IL"/>
        </w:rPr>
        <w:t>.</w:t>
      </w:r>
      <w:r w:rsidRPr="00535367">
        <w:rPr>
          <w:rFonts w:eastAsia="Times New Roman" w:cstheme="minorHAnsi"/>
          <w:color w:val="000000" w:themeColor="text1"/>
          <w:lang w:val="en-US" w:eastAsia="en-GB" w:bidi="he-IL"/>
        </w:rPr>
        <w:t xml:space="preserve"> There is no specific regime – and there are no rules – under IHL dealing explicitly with foreign fighters and their families. IHL deals with these individuals as it does with any other person involved in or affected by armed conflict</w:t>
      </w:r>
      <w:r w:rsidR="00002F86">
        <w:rPr>
          <w:rFonts w:eastAsia="Times New Roman" w:cstheme="minorHAnsi"/>
          <w:color w:val="000000" w:themeColor="text1"/>
          <w:lang w:val="en-US" w:eastAsia="en-GB" w:bidi="he-IL"/>
        </w:rPr>
        <w:t>.</w:t>
      </w:r>
    </w:p>
    <w:p w14:paraId="3266E7C4" w14:textId="77777777" w:rsidR="00535367" w:rsidRDefault="00535367" w:rsidP="00C37F0D">
      <w:pPr>
        <w:spacing w:after="0" w:line="240" w:lineRule="auto"/>
        <w:jc w:val="both"/>
        <w:rPr>
          <w:rFonts w:eastAsia="Times New Roman" w:cstheme="minorHAnsi"/>
          <w:color w:val="000000" w:themeColor="text1"/>
          <w:lang w:val="en-US" w:eastAsia="en-GB" w:bidi="he-IL"/>
        </w:rPr>
      </w:pPr>
    </w:p>
    <w:p w14:paraId="38D9EBC3" w14:textId="1FC60312" w:rsidR="00BB04DD" w:rsidRDefault="00535367" w:rsidP="002A28DC">
      <w:pPr>
        <w:spacing w:after="0" w:line="240" w:lineRule="auto"/>
        <w:jc w:val="both"/>
        <w:rPr>
          <w:rFonts w:eastAsia="Times New Roman" w:cstheme="minorHAnsi"/>
          <w:color w:val="000000" w:themeColor="text1"/>
          <w:lang w:val="en-US" w:eastAsia="en-GB" w:bidi="he-IL"/>
        </w:rPr>
      </w:pPr>
      <w:r>
        <w:rPr>
          <w:rFonts w:eastAsia="Times New Roman" w:cstheme="minorHAnsi"/>
          <w:color w:val="000000" w:themeColor="text1"/>
          <w:lang w:val="en-US" w:eastAsia="en-GB" w:bidi="he-IL"/>
        </w:rPr>
        <w:t>Accordingly, w</w:t>
      </w:r>
      <w:r w:rsidR="00212E5A" w:rsidRPr="00863E4D">
        <w:rPr>
          <w:rFonts w:eastAsia="Times New Roman" w:cstheme="minorHAnsi"/>
          <w:color w:val="000000" w:themeColor="text1"/>
          <w:lang w:val="en-US" w:eastAsia="en-GB" w:bidi="he-IL"/>
        </w:rPr>
        <w:t xml:space="preserve">hen </w:t>
      </w:r>
      <w:r w:rsidR="00C03844">
        <w:rPr>
          <w:rFonts w:eastAsia="Times New Roman" w:cstheme="minorHAnsi"/>
          <w:color w:val="000000" w:themeColor="text1"/>
          <w:lang w:val="en-US" w:eastAsia="en-GB" w:bidi="he-IL"/>
        </w:rPr>
        <w:t>‘</w:t>
      </w:r>
      <w:r w:rsidR="00212E5A" w:rsidRPr="00863E4D">
        <w:rPr>
          <w:rFonts w:eastAsia="Times New Roman" w:cstheme="minorHAnsi"/>
          <w:color w:val="000000" w:themeColor="text1"/>
          <w:lang w:val="en-US" w:eastAsia="en-GB" w:bidi="he-IL"/>
        </w:rPr>
        <w:t>foreign fighters</w:t>
      </w:r>
      <w:r w:rsidR="00C03844">
        <w:rPr>
          <w:rFonts w:eastAsia="Times New Roman" w:cstheme="minorHAnsi"/>
          <w:color w:val="000000" w:themeColor="text1"/>
          <w:lang w:val="en-US" w:eastAsia="en-GB" w:bidi="he-IL"/>
        </w:rPr>
        <w:t>’</w:t>
      </w:r>
      <w:r w:rsidR="00212E5A" w:rsidRPr="00863E4D">
        <w:rPr>
          <w:rFonts w:eastAsia="Times New Roman" w:cstheme="minorHAnsi"/>
          <w:color w:val="000000" w:themeColor="text1"/>
          <w:lang w:val="en-US" w:eastAsia="en-GB" w:bidi="he-IL"/>
        </w:rPr>
        <w:t xml:space="preserve"> and their families are in the power of a belligerent</w:t>
      </w:r>
      <w:r w:rsidR="008226D8">
        <w:rPr>
          <w:rFonts w:eastAsia="Times New Roman" w:cstheme="minorHAnsi"/>
          <w:color w:val="000000" w:themeColor="text1"/>
          <w:lang w:val="en-US" w:eastAsia="en-GB" w:bidi="he-IL"/>
        </w:rPr>
        <w:t xml:space="preserve"> in </w:t>
      </w:r>
      <w:r w:rsidR="008F4ECC">
        <w:rPr>
          <w:rFonts w:eastAsia="Times New Roman" w:cstheme="minorHAnsi"/>
          <w:color w:val="000000" w:themeColor="text1"/>
          <w:lang w:val="en-US" w:eastAsia="en-GB" w:bidi="he-IL"/>
        </w:rPr>
        <w:t xml:space="preserve">an </w:t>
      </w:r>
      <w:r w:rsidR="008226D8">
        <w:rPr>
          <w:rFonts w:eastAsia="Times New Roman" w:cstheme="minorHAnsi"/>
          <w:color w:val="000000" w:themeColor="text1"/>
          <w:lang w:val="en-US" w:eastAsia="en-GB" w:bidi="he-IL"/>
        </w:rPr>
        <w:t>armed conflict</w:t>
      </w:r>
      <w:r w:rsidR="00212E5A" w:rsidRPr="00863E4D">
        <w:rPr>
          <w:rFonts w:eastAsia="Times New Roman" w:cstheme="minorHAnsi"/>
          <w:color w:val="000000" w:themeColor="text1"/>
          <w:lang w:val="en-US" w:eastAsia="en-GB" w:bidi="he-IL"/>
        </w:rPr>
        <w:t xml:space="preserve">, notably when deprived of their liberty, they must benefit from the same protection provided by IHL rules as any other person in such a situation. </w:t>
      </w:r>
      <w:r w:rsidR="00BB04DD">
        <w:rPr>
          <w:rFonts w:eastAsia="Times New Roman" w:cstheme="minorHAnsi"/>
          <w:color w:val="000000" w:themeColor="text1"/>
          <w:lang w:val="en-US" w:eastAsia="en-GB" w:bidi="he-IL"/>
        </w:rPr>
        <w:t>I</w:t>
      </w:r>
      <w:r w:rsidR="00212E5A" w:rsidRPr="00863E4D">
        <w:rPr>
          <w:rFonts w:eastAsia="Times New Roman" w:cstheme="minorHAnsi"/>
          <w:color w:val="000000" w:themeColor="text1"/>
          <w:lang w:val="en-US" w:eastAsia="en-GB" w:bidi="he-IL"/>
        </w:rPr>
        <w:t xml:space="preserve">n </w:t>
      </w:r>
      <w:r w:rsidR="00BB04DD">
        <w:rPr>
          <w:rFonts w:eastAsia="Times New Roman" w:cstheme="minorHAnsi"/>
          <w:color w:val="000000" w:themeColor="text1"/>
          <w:lang w:val="en-US" w:eastAsia="en-GB" w:bidi="he-IL"/>
        </w:rPr>
        <w:t>NIACs</w:t>
      </w:r>
      <w:r w:rsidR="00212E5A" w:rsidRPr="00863E4D">
        <w:rPr>
          <w:rFonts w:eastAsia="Times New Roman" w:cstheme="minorHAnsi"/>
          <w:color w:val="000000" w:themeColor="text1"/>
          <w:lang w:val="en-US" w:eastAsia="en-GB" w:bidi="he-IL"/>
        </w:rPr>
        <w:t>, common Article 3 and customary IHL – as well as Additional Protocol II as applicable –</w:t>
      </w:r>
      <w:r w:rsidR="008226D8">
        <w:rPr>
          <w:rFonts w:eastAsia="Times New Roman" w:cstheme="minorHAnsi"/>
          <w:color w:val="000000" w:themeColor="text1"/>
          <w:lang w:val="en-US" w:eastAsia="en-GB" w:bidi="he-IL"/>
        </w:rPr>
        <w:t xml:space="preserve"> </w:t>
      </w:r>
      <w:r w:rsidR="00212E5A" w:rsidRPr="00863E4D">
        <w:rPr>
          <w:rFonts w:eastAsia="Times New Roman" w:cstheme="minorHAnsi"/>
          <w:color w:val="000000" w:themeColor="text1"/>
          <w:lang w:val="en-US" w:eastAsia="en-GB" w:bidi="he-IL"/>
        </w:rPr>
        <w:t xml:space="preserve">govern their treatment. </w:t>
      </w:r>
      <w:r w:rsidR="00C151EB">
        <w:rPr>
          <w:rFonts w:eastAsia="Times New Roman" w:cstheme="minorHAnsi"/>
          <w:color w:val="000000" w:themeColor="text1"/>
          <w:lang w:val="en-US" w:eastAsia="en-GB" w:bidi="he-IL"/>
        </w:rPr>
        <w:t>T</w:t>
      </w:r>
      <w:r w:rsidR="00212E5A" w:rsidRPr="00863E4D">
        <w:rPr>
          <w:rFonts w:eastAsia="Times New Roman" w:cstheme="minorHAnsi"/>
          <w:color w:val="000000" w:themeColor="text1"/>
          <w:lang w:val="en-US" w:eastAsia="en-GB" w:bidi="he-IL"/>
        </w:rPr>
        <w:t xml:space="preserve">hese rules require, </w:t>
      </w:r>
      <w:r w:rsidR="00212E5A" w:rsidRPr="00C151EB">
        <w:rPr>
          <w:rFonts w:eastAsia="Times New Roman" w:cstheme="minorHAnsi"/>
          <w:i/>
          <w:color w:val="000000" w:themeColor="text1"/>
          <w:lang w:val="en-US" w:eastAsia="en-GB" w:bidi="he-IL"/>
        </w:rPr>
        <w:t>inter alia</w:t>
      </w:r>
      <w:r w:rsidR="00212E5A" w:rsidRPr="00863E4D">
        <w:rPr>
          <w:rFonts w:eastAsia="Times New Roman" w:cstheme="minorHAnsi"/>
          <w:color w:val="000000" w:themeColor="text1"/>
          <w:lang w:val="en-US" w:eastAsia="en-GB" w:bidi="he-IL"/>
        </w:rPr>
        <w:t xml:space="preserve">, that grounds and procedures are provided by the detaining party when </w:t>
      </w:r>
      <w:r w:rsidR="00C151EB">
        <w:rPr>
          <w:rFonts w:eastAsia="Times New Roman" w:cstheme="minorHAnsi"/>
          <w:color w:val="000000" w:themeColor="text1"/>
          <w:lang w:val="en-US" w:eastAsia="en-GB" w:bidi="he-IL"/>
        </w:rPr>
        <w:t>they</w:t>
      </w:r>
      <w:r w:rsidR="00212E5A" w:rsidRPr="00863E4D">
        <w:rPr>
          <w:rFonts w:eastAsia="Times New Roman" w:cstheme="minorHAnsi"/>
          <w:color w:val="000000" w:themeColor="text1"/>
          <w:lang w:val="en-US" w:eastAsia="en-GB" w:bidi="he-IL"/>
        </w:rPr>
        <w:t xml:space="preserve"> are interned for imperative reasons of security, that judicial guarantees are respected where individuals face criminal charges, and that no one is transferred to an authority if there are substantial reasons to believe that the person would be in danger of being subjected to certain fundamental rights violations if transferred. </w:t>
      </w:r>
    </w:p>
    <w:p w14:paraId="119A3E8F" w14:textId="77777777" w:rsidR="00BB04DD" w:rsidRDefault="00BB04DD" w:rsidP="002A28DC">
      <w:pPr>
        <w:spacing w:after="0" w:line="240" w:lineRule="auto"/>
        <w:jc w:val="both"/>
        <w:rPr>
          <w:rFonts w:eastAsia="Times New Roman" w:cstheme="minorHAnsi"/>
          <w:color w:val="000000" w:themeColor="text1"/>
          <w:lang w:val="en-US" w:eastAsia="en-GB" w:bidi="he-IL"/>
        </w:rPr>
      </w:pPr>
    </w:p>
    <w:p w14:paraId="66F14B44" w14:textId="16753A2F" w:rsidR="00072AE9" w:rsidRDefault="00212E5A" w:rsidP="00072AE9">
      <w:pPr>
        <w:spacing w:after="0" w:line="240" w:lineRule="auto"/>
        <w:jc w:val="both"/>
        <w:rPr>
          <w:rFonts w:eastAsia="Times New Roman" w:cstheme="minorHAnsi"/>
          <w:color w:val="000000" w:themeColor="text1"/>
          <w:lang w:val="en-US" w:eastAsia="en-GB" w:bidi="he-IL"/>
        </w:rPr>
      </w:pPr>
      <w:r w:rsidRPr="00863E4D">
        <w:rPr>
          <w:rFonts w:eastAsia="Times New Roman" w:cstheme="minorHAnsi"/>
          <w:color w:val="000000" w:themeColor="text1"/>
          <w:lang w:val="en-US" w:eastAsia="en-GB" w:bidi="he-IL"/>
        </w:rPr>
        <w:t xml:space="preserve">In addition, </w:t>
      </w:r>
      <w:r w:rsidR="00072AE9">
        <w:rPr>
          <w:rFonts w:eastAsia="Times New Roman" w:cstheme="minorHAnsi"/>
          <w:color w:val="000000" w:themeColor="text1"/>
          <w:lang w:val="en-US" w:eastAsia="en-GB" w:bidi="he-IL"/>
        </w:rPr>
        <w:t xml:space="preserve">persons designated as terrorist </w:t>
      </w:r>
      <w:r w:rsidR="00002F86">
        <w:rPr>
          <w:rFonts w:eastAsia="Times New Roman" w:cstheme="minorHAnsi"/>
          <w:color w:val="000000" w:themeColor="text1"/>
          <w:lang w:val="en-US" w:eastAsia="en-GB" w:bidi="he-IL"/>
        </w:rPr>
        <w:t xml:space="preserve">(including as ‘FTF’) </w:t>
      </w:r>
      <w:r w:rsidR="00072AE9">
        <w:rPr>
          <w:rFonts w:eastAsia="Times New Roman" w:cstheme="minorHAnsi"/>
          <w:color w:val="000000" w:themeColor="text1"/>
          <w:lang w:val="en-US" w:eastAsia="en-GB" w:bidi="he-IL"/>
        </w:rPr>
        <w:t>or associated with them</w:t>
      </w:r>
      <w:r w:rsidR="00072AE9" w:rsidRPr="00D32325">
        <w:rPr>
          <w:lang w:val="en-US"/>
        </w:rPr>
        <w:t xml:space="preserve"> </w:t>
      </w:r>
      <w:r w:rsidR="00072AE9">
        <w:rPr>
          <w:lang w:val="en-US"/>
        </w:rPr>
        <w:t xml:space="preserve">benefit </w:t>
      </w:r>
      <w:r w:rsidR="008F4ECC">
        <w:rPr>
          <w:lang w:val="en-US"/>
        </w:rPr>
        <w:t xml:space="preserve">in an armed conflict </w:t>
      </w:r>
      <w:r w:rsidR="00072AE9">
        <w:rPr>
          <w:lang w:val="en-US"/>
        </w:rPr>
        <w:t xml:space="preserve">from the </w:t>
      </w:r>
      <w:r w:rsidR="00072AE9" w:rsidRPr="00D32325">
        <w:rPr>
          <w:lang w:val="en-US"/>
        </w:rPr>
        <w:t>overarching principles of h</w:t>
      </w:r>
      <w:r w:rsidR="00072AE9">
        <w:rPr>
          <w:lang w:val="en-US"/>
        </w:rPr>
        <w:t>umanity and humane treatment within IHL, which</w:t>
      </w:r>
      <w:r w:rsidR="00072AE9" w:rsidRPr="00D32325">
        <w:rPr>
          <w:lang w:val="en-US"/>
        </w:rPr>
        <w:t xml:space="preserve"> </w:t>
      </w:r>
      <w:r w:rsidR="00072AE9">
        <w:rPr>
          <w:lang w:val="en-US"/>
        </w:rPr>
        <w:t>encompass</w:t>
      </w:r>
      <w:r w:rsidR="00072AE9" w:rsidRPr="00D32325">
        <w:rPr>
          <w:lang w:val="en-US"/>
        </w:rPr>
        <w:t xml:space="preserve"> a broad prohibition of discrimination </w:t>
      </w:r>
      <w:r w:rsidR="00002F86">
        <w:rPr>
          <w:lang w:val="en-US"/>
        </w:rPr>
        <w:t xml:space="preserve">and </w:t>
      </w:r>
      <w:r w:rsidR="00072AE9">
        <w:rPr>
          <w:lang w:val="en-US"/>
        </w:rPr>
        <w:t>make</w:t>
      </w:r>
      <w:r w:rsidR="00072AE9" w:rsidRPr="00D32325">
        <w:rPr>
          <w:lang w:val="en-US"/>
        </w:rPr>
        <w:t xml:space="preserve"> </w:t>
      </w:r>
      <w:r w:rsidR="00072AE9">
        <w:rPr>
          <w:lang w:val="en-US"/>
        </w:rPr>
        <w:t xml:space="preserve">equal </w:t>
      </w:r>
      <w:r w:rsidR="00072AE9" w:rsidRPr="00D32325">
        <w:rPr>
          <w:lang w:val="en-US"/>
        </w:rPr>
        <w:t xml:space="preserve">treatment an essential component of </w:t>
      </w:r>
      <w:r w:rsidR="00072AE9">
        <w:rPr>
          <w:lang w:val="en-US"/>
        </w:rPr>
        <w:t xml:space="preserve">IHL’s </w:t>
      </w:r>
      <w:r w:rsidR="00072AE9" w:rsidRPr="00D32325">
        <w:rPr>
          <w:lang w:val="en-US"/>
        </w:rPr>
        <w:t>protection</w:t>
      </w:r>
      <w:r w:rsidR="00072AE9">
        <w:rPr>
          <w:lang w:val="en-US"/>
        </w:rPr>
        <w:t xml:space="preserve">. </w:t>
      </w:r>
      <w:r w:rsidR="00072AE9" w:rsidRPr="00D32325">
        <w:rPr>
          <w:rFonts w:eastAsia="Times New Roman" w:cstheme="minorHAnsi"/>
          <w:color w:val="000000" w:themeColor="text1"/>
          <w:lang w:val="en-US" w:eastAsia="en-GB" w:bidi="he-IL"/>
        </w:rPr>
        <w:t xml:space="preserve">Adverse distinction in the application of </w:t>
      </w:r>
      <w:r w:rsidR="00072AE9">
        <w:rPr>
          <w:rFonts w:eastAsia="Times New Roman" w:cstheme="minorHAnsi"/>
          <w:color w:val="000000" w:themeColor="text1"/>
          <w:lang w:val="en-US" w:eastAsia="en-GB" w:bidi="he-IL"/>
        </w:rPr>
        <w:t>IHL</w:t>
      </w:r>
      <w:r w:rsidR="00072AE9" w:rsidRPr="00D32325">
        <w:rPr>
          <w:rFonts w:eastAsia="Times New Roman" w:cstheme="minorHAnsi"/>
          <w:color w:val="000000" w:themeColor="text1"/>
          <w:lang w:val="en-US" w:eastAsia="en-GB" w:bidi="he-IL"/>
        </w:rPr>
        <w:t xml:space="preserve"> based on race, </w:t>
      </w:r>
      <w:proofErr w:type="spellStart"/>
      <w:r w:rsidR="00072AE9" w:rsidRPr="00D32325">
        <w:rPr>
          <w:rFonts w:eastAsia="Times New Roman" w:cstheme="minorHAnsi"/>
          <w:color w:val="000000" w:themeColor="text1"/>
          <w:lang w:val="en-US" w:eastAsia="en-GB" w:bidi="he-IL"/>
        </w:rPr>
        <w:t>colour</w:t>
      </w:r>
      <w:proofErr w:type="spellEnd"/>
      <w:r w:rsidR="00072AE9" w:rsidRPr="00D32325">
        <w:rPr>
          <w:rFonts w:eastAsia="Times New Roman" w:cstheme="minorHAnsi"/>
          <w:color w:val="000000" w:themeColor="text1"/>
          <w:lang w:val="en-US" w:eastAsia="en-GB" w:bidi="he-IL"/>
        </w:rPr>
        <w:t>, sex, language, religion or belief, political or other opinion, national or social origin, wealth, birth or other status, or on any other similar criteria is prohibited</w:t>
      </w:r>
      <w:r w:rsidR="00072AE9">
        <w:rPr>
          <w:rFonts w:eastAsia="Times New Roman" w:cstheme="minorHAnsi"/>
          <w:color w:val="000000" w:themeColor="text1"/>
          <w:lang w:val="en-US" w:eastAsia="en-GB" w:bidi="he-IL"/>
        </w:rPr>
        <w:t xml:space="preserve"> in both IAC and NIAC by multiple IHL treaty provisions as well as customary IHL</w:t>
      </w:r>
      <w:r w:rsidR="00072AE9" w:rsidRPr="00D32325">
        <w:rPr>
          <w:rFonts w:eastAsia="Times New Roman" w:cstheme="minorHAnsi"/>
          <w:color w:val="000000" w:themeColor="text1"/>
          <w:lang w:val="en-US" w:eastAsia="en-GB" w:bidi="he-IL"/>
        </w:rPr>
        <w:t>.</w:t>
      </w:r>
      <w:r w:rsidR="00072AE9">
        <w:rPr>
          <w:lang w:val="en-US"/>
        </w:rPr>
        <w:t xml:space="preserve"> </w:t>
      </w:r>
      <w:r w:rsidR="00072AE9">
        <w:rPr>
          <w:rFonts w:eastAsia="Times New Roman" w:cstheme="minorHAnsi"/>
          <w:color w:val="000000" w:themeColor="text1"/>
          <w:lang w:val="en-US" w:eastAsia="en-GB" w:bidi="he-IL"/>
        </w:rPr>
        <w:t xml:space="preserve">CT norms regulating the treatment of persons </w:t>
      </w:r>
      <w:r w:rsidR="00987033">
        <w:rPr>
          <w:rFonts w:eastAsia="Times New Roman" w:cstheme="minorHAnsi"/>
          <w:color w:val="000000" w:themeColor="text1"/>
          <w:lang w:val="en-US" w:eastAsia="en-GB" w:bidi="he-IL"/>
        </w:rPr>
        <w:t>under an opposing belligerent’s control in armed conflict</w:t>
      </w:r>
      <w:r w:rsidR="00072AE9">
        <w:rPr>
          <w:rFonts w:eastAsia="Times New Roman" w:cstheme="minorHAnsi"/>
          <w:color w:val="000000" w:themeColor="text1"/>
          <w:lang w:val="en-US" w:eastAsia="en-GB" w:bidi="he-IL"/>
        </w:rPr>
        <w:t xml:space="preserve"> must not violate this prohibition of adverse distinction; this is particularly significant for persons designated as terrorist, who may be at risk of adverse treatment on the basis of  their ‘</w:t>
      </w:r>
      <w:r w:rsidR="00072AE9" w:rsidRPr="00D32325">
        <w:rPr>
          <w:rFonts w:eastAsia="Times New Roman" w:cstheme="minorHAnsi"/>
          <w:color w:val="000000" w:themeColor="text1"/>
          <w:lang w:val="en-US" w:eastAsia="en-GB" w:bidi="he-IL"/>
        </w:rPr>
        <w:t>religion or belief, political or other opinion</w:t>
      </w:r>
      <w:r w:rsidR="00072AE9">
        <w:rPr>
          <w:rFonts w:eastAsia="Times New Roman" w:cstheme="minorHAnsi"/>
          <w:color w:val="000000" w:themeColor="text1"/>
          <w:lang w:val="en-US" w:eastAsia="en-GB" w:bidi="he-IL"/>
        </w:rPr>
        <w:t>.’</w:t>
      </w:r>
    </w:p>
    <w:p w14:paraId="0E8C3EAD" w14:textId="1C49C8CB" w:rsidR="00C37F0D" w:rsidRDefault="00C37F0D" w:rsidP="00C37F0D">
      <w:pPr>
        <w:spacing w:after="0" w:line="240" w:lineRule="auto"/>
        <w:jc w:val="both"/>
        <w:rPr>
          <w:rFonts w:eastAsia="Times New Roman" w:cstheme="minorHAnsi"/>
          <w:color w:val="000000" w:themeColor="text1"/>
          <w:lang w:val="en-US" w:eastAsia="en-GB" w:bidi="he-IL"/>
        </w:rPr>
      </w:pPr>
    </w:p>
    <w:p w14:paraId="3B491BCC" w14:textId="12B1AD98" w:rsidR="00212E5A" w:rsidRDefault="00FE5D3F" w:rsidP="00FE5D3F">
      <w:pPr>
        <w:pStyle w:val="ListParagraph"/>
        <w:numPr>
          <w:ilvl w:val="0"/>
          <w:numId w:val="6"/>
        </w:numPr>
        <w:spacing w:after="0" w:line="240" w:lineRule="auto"/>
        <w:jc w:val="both"/>
        <w:rPr>
          <w:rFonts w:eastAsia="Times New Roman" w:cstheme="minorHAnsi"/>
          <w:i/>
          <w:color w:val="000000" w:themeColor="text1"/>
          <w:lang w:val="en-US" w:eastAsia="en-GB" w:bidi="he-IL"/>
        </w:rPr>
      </w:pPr>
      <w:r w:rsidRPr="00FE5D3F">
        <w:rPr>
          <w:rFonts w:eastAsia="Times New Roman" w:cstheme="minorHAnsi"/>
          <w:i/>
          <w:color w:val="000000" w:themeColor="text1"/>
          <w:lang w:val="en-US" w:eastAsia="en-GB" w:bidi="he-IL"/>
        </w:rPr>
        <w:t xml:space="preserve">Protections specific to children </w:t>
      </w:r>
    </w:p>
    <w:p w14:paraId="455D5E56" w14:textId="5EED6A8F" w:rsidR="00BB04DD" w:rsidRDefault="00BB04DD" w:rsidP="00BB04DD">
      <w:pPr>
        <w:spacing w:after="0" w:line="240" w:lineRule="auto"/>
        <w:jc w:val="both"/>
        <w:rPr>
          <w:rFonts w:eastAsia="Times New Roman" w:cstheme="minorHAnsi"/>
          <w:i/>
          <w:color w:val="000000" w:themeColor="text1"/>
          <w:lang w:val="en-US" w:eastAsia="en-GB" w:bidi="he-IL"/>
        </w:rPr>
      </w:pPr>
    </w:p>
    <w:p w14:paraId="41038B0D" w14:textId="249C4409" w:rsidR="00EF5FA1" w:rsidRDefault="00002F86" w:rsidP="00EF5FA1">
      <w:pPr>
        <w:spacing w:after="0" w:line="240" w:lineRule="auto"/>
        <w:jc w:val="both"/>
        <w:rPr>
          <w:rFonts w:eastAsia="Times New Roman" w:cstheme="minorHAnsi"/>
          <w:color w:val="000000" w:themeColor="text1"/>
          <w:lang w:val="en-US" w:eastAsia="en-GB" w:bidi="he-IL"/>
        </w:rPr>
      </w:pPr>
      <w:r>
        <w:rPr>
          <w:rFonts w:eastAsia="Times New Roman" w:cstheme="minorHAnsi"/>
          <w:color w:val="000000" w:themeColor="text1"/>
          <w:lang w:val="en-US" w:eastAsia="en-GB" w:bidi="he-IL"/>
        </w:rPr>
        <w:t xml:space="preserve">Operative paragraph 4 of UNSC Resolution 2178 (2014) expressly acknowledges that children may be recruited as </w:t>
      </w:r>
      <w:r w:rsidR="00E308B6">
        <w:rPr>
          <w:rFonts w:eastAsia="Times New Roman" w:cstheme="minorHAnsi"/>
          <w:color w:val="000000" w:themeColor="text1"/>
          <w:lang w:val="en-US" w:eastAsia="en-GB" w:bidi="he-IL"/>
        </w:rPr>
        <w:t>‘</w:t>
      </w:r>
      <w:r>
        <w:rPr>
          <w:rFonts w:eastAsia="Times New Roman" w:cstheme="minorHAnsi"/>
          <w:color w:val="000000" w:themeColor="text1"/>
          <w:lang w:val="en-US" w:eastAsia="en-GB" w:bidi="he-IL"/>
        </w:rPr>
        <w:t>FTF</w:t>
      </w:r>
      <w:r w:rsidR="00E308B6">
        <w:rPr>
          <w:rFonts w:eastAsia="Times New Roman" w:cstheme="minorHAnsi"/>
          <w:color w:val="000000" w:themeColor="text1"/>
          <w:lang w:val="en-US" w:eastAsia="en-GB" w:bidi="he-IL"/>
        </w:rPr>
        <w:t>’</w:t>
      </w:r>
      <w:r w:rsidR="0049746F">
        <w:rPr>
          <w:rFonts w:eastAsia="Times New Roman" w:cstheme="minorHAnsi"/>
          <w:color w:val="000000" w:themeColor="text1"/>
          <w:lang w:val="en-US" w:eastAsia="en-GB" w:bidi="he-IL"/>
        </w:rPr>
        <w:t xml:space="preserve">. </w:t>
      </w:r>
      <w:r w:rsidR="00EF5FA1">
        <w:rPr>
          <w:rFonts w:eastAsia="Times New Roman" w:cstheme="minorHAnsi"/>
          <w:color w:val="000000" w:themeColor="text1"/>
          <w:lang w:val="en-US" w:eastAsia="en-GB" w:bidi="he-IL"/>
        </w:rPr>
        <w:t>The ICRC has observed that</w:t>
      </w:r>
      <w:r w:rsidR="00EF5FA1" w:rsidRPr="00FF0CEC">
        <w:rPr>
          <w:rFonts w:eastAsia="Times New Roman" w:cstheme="minorHAnsi"/>
          <w:color w:val="000000" w:themeColor="text1"/>
          <w:lang w:val="en-US" w:eastAsia="en-GB" w:bidi="he-IL"/>
        </w:rPr>
        <w:t xml:space="preserve"> States are reticent to apply the law and standards governing the treatment of children associated with armed groups (commonly referred to as “child soldiers”) to children in </w:t>
      </w:r>
      <w:r w:rsidR="00EF5FA1">
        <w:rPr>
          <w:rFonts w:eastAsia="Times New Roman" w:cstheme="minorHAnsi"/>
          <w:color w:val="000000" w:themeColor="text1"/>
          <w:lang w:val="en-US" w:eastAsia="en-GB" w:bidi="he-IL"/>
        </w:rPr>
        <w:t>‘terrorist’</w:t>
      </w:r>
      <w:r w:rsidR="00EF5FA1" w:rsidRPr="00FF0CEC">
        <w:rPr>
          <w:rFonts w:eastAsia="Times New Roman" w:cstheme="minorHAnsi"/>
          <w:color w:val="000000" w:themeColor="text1"/>
          <w:lang w:val="en-US" w:eastAsia="en-GB" w:bidi="he-IL"/>
        </w:rPr>
        <w:t xml:space="preserve"> context who have been</w:t>
      </w:r>
      <w:r w:rsidR="0049746F">
        <w:rPr>
          <w:rFonts w:eastAsia="Times New Roman" w:cstheme="minorHAnsi"/>
          <w:color w:val="000000" w:themeColor="text1"/>
          <w:lang w:val="en-US" w:eastAsia="en-GB" w:bidi="he-IL"/>
        </w:rPr>
        <w:t xml:space="preserve"> or who are suspected to have been</w:t>
      </w:r>
      <w:r w:rsidR="00EF5FA1" w:rsidRPr="00FF0CEC">
        <w:rPr>
          <w:rFonts w:eastAsia="Times New Roman" w:cstheme="minorHAnsi"/>
          <w:color w:val="000000" w:themeColor="text1"/>
          <w:lang w:val="en-US" w:eastAsia="en-GB" w:bidi="he-IL"/>
        </w:rPr>
        <w:t xml:space="preserve"> tra</w:t>
      </w:r>
      <w:r w:rsidR="0049746F">
        <w:rPr>
          <w:rFonts w:eastAsia="Times New Roman" w:cstheme="minorHAnsi"/>
          <w:color w:val="000000" w:themeColor="text1"/>
          <w:lang w:val="en-US" w:eastAsia="en-GB" w:bidi="he-IL"/>
        </w:rPr>
        <w:t>ined and/or used in hostilities</w:t>
      </w:r>
      <w:r w:rsidR="00EF5FA1">
        <w:rPr>
          <w:rFonts w:eastAsia="Times New Roman" w:cstheme="minorHAnsi"/>
          <w:color w:val="000000" w:themeColor="text1"/>
          <w:lang w:val="en-US" w:eastAsia="en-GB" w:bidi="he-IL"/>
        </w:rPr>
        <w:t>.</w:t>
      </w:r>
      <w:r w:rsidR="00504B1D">
        <w:rPr>
          <w:rFonts w:eastAsia="Times New Roman" w:cstheme="minorHAnsi"/>
          <w:color w:val="000000" w:themeColor="text1"/>
          <w:lang w:val="en-US" w:eastAsia="en-GB" w:bidi="he-IL"/>
        </w:rPr>
        <w:t xml:space="preserve"> This has resulted in</w:t>
      </w:r>
      <w:r w:rsidR="00EF5FA1">
        <w:rPr>
          <w:rFonts w:eastAsia="Times New Roman" w:cstheme="minorHAnsi"/>
          <w:color w:val="000000" w:themeColor="text1"/>
          <w:lang w:val="en-US" w:eastAsia="en-GB" w:bidi="he-IL"/>
        </w:rPr>
        <w:t xml:space="preserve"> parallel</w:t>
      </w:r>
      <w:r w:rsidR="00504B1D">
        <w:rPr>
          <w:rFonts w:eastAsia="Times New Roman" w:cstheme="minorHAnsi"/>
          <w:color w:val="000000" w:themeColor="text1"/>
          <w:lang w:val="en-US" w:eastAsia="en-GB" w:bidi="he-IL"/>
        </w:rPr>
        <w:t xml:space="preserve"> standards</w:t>
      </w:r>
      <w:r w:rsidR="00EF5FA1">
        <w:rPr>
          <w:rFonts w:eastAsia="Times New Roman" w:cstheme="minorHAnsi"/>
          <w:color w:val="000000" w:themeColor="text1"/>
          <w:lang w:val="en-US" w:eastAsia="en-GB" w:bidi="he-IL"/>
        </w:rPr>
        <w:t xml:space="preserve"> in the Security Council, whereby </w:t>
      </w:r>
      <w:r w:rsidR="0049746F">
        <w:rPr>
          <w:rFonts w:eastAsia="Times New Roman" w:cstheme="minorHAnsi"/>
          <w:color w:val="000000" w:themeColor="text1"/>
          <w:lang w:val="en-US" w:eastAsia="en-GB" w:bidi="he-IL"/>
        </w:rPr>
        <w:t>the Security Council</w:t>
      </w:r>
      <w:r w:rsidR="00EF5FA1">
        <w:rPr>
          <w:rFonts w:eastAsia="Times New Roman" w:cstheme="minorHAnsi"/>
          <w:color w:val="000000" w:themeColor="text1"/>
          <w:lang w:val="en-US" w:eastAsia="en-GB" w:bidi="he-IL"/>
        </w:rPr>
        <w:t xml:space="preserve"> </w:t>
      </w:r>
      <w:r w:rsidR="00504B1D">
        <w:rPr>
          <w:rFonts w:eastAsia="Times New Roman" w:cstheme="minorHAnsi"/>
          <w:color w:val="000000" w:themeColor="text1"/>
          <w:lang w:val="en-US" w:eastAsia="en-GB" w:bidi="he-IL"/>
        </w:rPr>
        <w:t>addresses</w:t>
      </w:r>
      <w:r w:rsidR="00EF5FA1">
        <w:rPr>
          <w:rFonts w:eastAsia="Times New Roman" w:cstheme="minorHAnsi"/>
          <w:color w:val="000000" w:themeColor="text1"/>
          <w:lang w:val="en-US" w:eastAsia="en-GB" w:bidi="he-IL"/>
        </w:rPr>
        <w:t xml:space="preserve"> child FTF in CT resolutions</w:t>
      </w:r>
      <w:r w:rsidR="0049746F">
        <w:rPr>
          <w:rFonts w:eastAsia="Times New Roman" w:cstheme="minorHAnsi"/>
          <w:color w:val="000000" w:themeColor="text1"/>
          <w:lang w:val="en-US" w:eastAsia="en-GB" w:bidi="he-IL"/>
        </w:rPr>
        <w:t>,</w:t>
      </w:r>
      <w:r w:rsidR="00EF5FA1">
        <w:rPr>
          <w:rFonts w:eastAsia="Times New Roman" w:cstheme="minorHAnsi"/>
          <w:color w:val="000000" w:themeColor="text1"/>
          <w:lang w:val="en-US" w:eastAsia="en-GB" w:bidi="he-IL"/>
        </w:rPr>
        <w:t xml:space="preserve"> and </w:t>
      </w:r>
      <w:r w:rsidR="00504B1D">
        <w:rPr>
          <w:rFonts w:eastAsia="Times New Roman" w:cstheme="minorHAnsi"/>
          <w:color w:val="000000" w:themeColor="text1"/>
          <w:lang w:val="en-US" w:eastAsia="en-GB" w:bidi="he-IL"/>
        </w:rPr>
        <w:t>promotes a</w:t>
      </w:r>
      <w:r w:rsidR="00EF5FA1">
        <w:rPr>
          <w:rFonts w:eastAsia="Times New Roman" w:cstheme="minorHAnsi"/>
          <w:color w:val="000000" w:themeColor="text1"/>
          <w:lang w:val="en-US" w:eastAsia="en-GB" w:bidi="he-IL"/>
        </w:rPr>
        <w:t xml:space="preserve"> different set of </w:t>
      </w:r>
      <w:r w:rsidR="0049746F">
        <w:rPr>
          <w:rFonts w:eastAsia="Times New Roman" w:cstheme="minorHAnsi"/>
          <w:color w:val="000000" w:themeColor="text1"/>
          <w:lang w:val="en-US" w:eastAsia="en-GB" w:bidi="he-IL"/>
        </w:rPr>
        <w:t>standards</w:t>
      </w:r>
      <w:r w:rsidR="00EF5FA1">
        <w:rPr>
          <w:rFonts w:eastAsia="Times New Roman" w:cstheme="minorHAnsi"/>
          <w:color w:val="000000" w:themeColor="text1"/>
          <w:lang w:val="en-US" w:eastAsia="en-GB" w:bidi="he-IL"/>
        </w:rPr>
        <w:t xml:space="preserve"> in the Security Council children and armed conflict agenda. </w:t>
      </w:r>
    </w:p>
    <w:p w14:paraId="007F417F" w14:textId="77777777" w:rsidR="00EF5FA1" w:rsidRDefault="00EF5FA1" w:rsidP="00EF5FA1">
      <w:pPr>
        <w:spacing w:after="0" w:line="240" w:lineRule="auto"/>
        <w:jc w:val="both"/>
        <w:rPr>
          <w:rFonts w:eastAsia="Times New Roman" w:cstheme="minorHAnsi"/>
          <w:color w:val="000000" w:themeColor="text1"/>
          <w:lang w:val="en-US" w:eastAsia="en-GB" w:bidi="he-IL"/>
        </w:rPr>
      </w:pPr>
    </w:p>
    <w:p w14:paraId="3AA88558" w14:textId="2AFEB5EF" w:rsidR="00EF5FA1" w:rsidRDefault="00EF5FA1" w:rsidP="00EF5FA1">
      <w:pPr>
        <w:spacing w:after="0" w:line="240" w:lineRule="auto"/>
        <w:jc w:val="both"/>
        <w:rPr>
          <w:rFonts w:eastAsia="Times New Roman" w:cstheme="minorHAnsi"/>
          <w:color w:val="000000" w:themeColor="text1"/>
          <w:lang w:val="en-US" w:eastAsia="en-GB" w:bidi="he-IL"/>
        </w:rPr>
      </w:pPr>
      <w:r>
        <w:rPr>
          <w:rFonts w:eastAsia="Times New Roman" w:cstheme="minorHAnsi"/>
          <w:color w:val="000000" w:themeColor="text1"/>
          <w:lang w:val="en-US" w:eastAsia="en-GB" w:bidi="he-IL"/>
        </w:rPr>
        <w:t xml:space="preserve">It therefore </w:t>
      </w:r>
      <w:r w:rsidR="0049746F">
        <w:rPr>
          <w:rFonts w:eastAsia="Times New Roman" w:cstheme="minorHAnsi"/>
          <w:color w:val="000000" w:themeColor="text1"/>
          <w:lang w:val="en-US" w:eastAsia="en-GB" w:bidi="he-IL"/>
        </w:rPr>
        <w:t>merits emphatic emphasis</w:t>
      </w:r>
      <w:r>
        <w:rPr>
          <w:rFonts w:eastAsia="Times New Roman" w:cstheme="minorHAnsi"/>
          <w:color w:val="000000" w:themeColor="text1"/>
          <w:lang w:val="en-US" w:eastAsia="en-GB" w:bidi="he-IL"/>
        </w:rPr>
        <w:t xml:space="preserve"> that c</w:t>
      </w:r>
      <w:r w:rsidRPr="00FF0CEC">
        <w:rPr>
          <w:rFonts w:eastAsia="Times New Roman" w:cstheme="minorHAnsi"/>
          <w:color w:val="000000" w:themeColor="text1"/>
          <w:lang w:val="en-US" w:eastAsia="en-GB" w:bidi="he-IL"/>
        </w:rPr>
        <w:t xml:space="preserve">hildren termed “foreign fighters” remain entitled to </w:t>
      </w:r>
      <w:r>
        <w:rPr>
          <w:rFonts w:eastAsia="Times New Roman" w:cstheme="minorHAnsi"/>
          <w:color w:val="000000" w:themeColor="text1"/>
          <w:lang w:val="en-US" w:eastAsia="en-GB" w:bidi="he-IL"/>
        </w:rPr>
        <w:t>the legal protections they have by virtue of their identity as a child, under both IHRL and IHL</w:t>
      </w:r>
      <w:r w:rsidRPr="00FF0CEC">
        <w:rPr>
          <w:rFonts w:eastAsia="Times New Roman" w:cstheme="minorHAnsi"/>
          <w:color w:val="000000" w:themeColor="text1"/>
          <w:lang w:val="en-US" w:eastAsia="en-GB" w:bidi="he-IL"/>
        </w:rPr>
        <w:t xml:space="preserve">. </w:t>
      </w:r>
      <w:r w:rsidR="0049746F" w:rsidRPr="00863E4D">
        <w:rPr>
          <w:rFonts w:eastAsia="Times New Roman" w:cstheme="minorHAnsi"/>
          <w:color w:val="000000" w:themeColor="text1"/>
          <w:lang w:val="en-US" w:eastAsia="en-GB" w:bidi="he-IL"/>
        </w:rPr>
        <w:t>Pursuant to customary IHL, children are entitled to special respect and protection – including if they are detained for reasons related to an armed conflict</w:t>
      </w:r>
      <w:r w:rsidR="0049746F">
        <w:rPr>
          <w:rFonts w:eastAsia="Times New Roman" w:cstheme="minorHAnsi"/>
          <w:color w:val="000000" w:themeColor="text1"/>
          <w:lang w:val="en-US" w:eastAsia="en-GB" w:bidi="he-IL"/>
        </w:rPr>
        <w:t>. Additional Protocol I,</w:t>
      </w:r>
      <w:r w:rsidR="003F036A">
        <w:rPr>
          <w:rFonts w:eastAsia="Times New Roman" w:cstheme="minorHAnsi"/>
          <w:color w:val="000000" w:themeColor="text1"/>
          <w:lang w:val="en-US" w:eastAsia="en-GB" w:bidi="he-IL"/>
        </w:rPr>
        <w:t xml:space="preserve"> Article 77(3)</w:t>
      </w:r>
      <w:r w:rsidR="0049746F">
        <w:rPr>
          <w:rFonts w:eastAsia="Times New Roman" w:cstheme="minorHAnsi"/>
          <w:color w:val="000000" w:themeColor="text1"/>
          <w:lang w:val="en-US" w:eastAsia="en-GB" w:bidi="he-IL"/>
        </w:rPr>
        <w:t xml:space="preserve"> and Additional Protocol II, </w:t>
      </w:r>
      <w:r w:rsidR="003F036A">
        <w:rPr>
          <w:rFonts w:eastAsia="Times New Roman" w:cstheme="minorHAnsi"/>
          <w:color w:val="000000" w:themeColor="text1"/>
          <w:lang w:val="en-US" w:eastAsia="en-GB" w:bidi="he-IL"/>
        </w:rPr>
        <w:lastRenderedPageBreak/>
        <w:t xml:space="preserve">Article 4(3)(d) </w:t>
      </w:r>
      <w:r w:rsidR="0049746F">
        <w:rPr>
          <w:rFonts w:eastAsia="Times New Roman" w:cstheme="minorHAnsi"/>
          <w:color w:val="000000" w:themeColor="text1"/>
          <w:lang w:val="en-US" w:eastAsia="en-GB" w:bidi="he-IL"/>
        </w:rPr>
        <w:t xml:space="preserve">specifically provide that children who have been unlawfully recruited remain entitled </w:t>
      </w:r>
      <w:r w:rsidR="003F036A">
        <w:rPr>
          <w:rFonts w:eastAsia="Times New Roman" w:cstheme="minorHAnsi"/>
          <w:color w:val="000000" w:themeColor="text1"/>
          <w:lang w:val="en-US" w:eastAsia="en-GB" w:bidi="he-IL"/>
        </w:rPr>
        <w:t>to the special protection afforded to children</w:t>
      </w:r>
      <w:r w:rsidR="0049746F">
        <w:rPr>
          <w:rFonts w:eastAsia="Times New Roman" w:cstheme="minorHAnsi"/>
          <w:color w:val="000000" w:themeColor="text1"/>
          <w:lang w:val="en-US" w:eastAsia="en-GB" w:bidi="he-IL"/>
        </w:rPr>
        <w:t xml:space="preserve">. </w:t>
      </w:r>
      <w:r w:rsidRPr="00FF0CEC">
        <w:rPr>
          <w:rFonts w:eastAsia="Times New Roman" w:cstheme="minorHAnsi"/>
          <w:color w:val="000000" w:themeColor="text1"/>
          <w:lang w:val="en-US" w:eastAsia="en-GB" w:bidi="he-IL"/>
        </w:rPr>
        <w:t xml:space="preserve">Notably, States party to the Optional Protocol to the Convention on the Rights of the Child on the involvement of children in armed conflict </w:t>
      </w:r>
      <w:r w:rsidR="003F036A">
        <w:rPr>
          <w:rFonts w:eastAsia="Times New Roman" w:cstheme="minorHAnsi"/>
          <w:color w:val="000000" w:themeColor="text1"/>
          <w:lang w:val="en-US" w:eastAsia="en-GB" w:bidi="he-IL"/>
        </w:rPr>
        <w:t xml:space="preserve">(the vast majority of States) </w:t>
      </w:r>
      <w:r w:rsidRPr="00FF0CEC">
        <w:rPr>
          <w:rFonts w:eastAsia="Times New Roman" w:cstheme="minorHAnsi"/>
          <w:color w:val="000000" w:themeColor="text1"/>
          <w:lang w:val="en-US" w:eastAsia="en-GB" w:bidi="he-IL"/>
        </w:rPr>
        <w:t>are obliged, when necessary, to accord to unlawfully recruited children all appropriate assistance for their physical and psychological recovery and their social reintegration; and to cooperate for the rehabilitation and social reintegration of such children, including through techn</w:t>
      </w:r>
      <w:r w:rsidR="00D11D5A">
        <w:rPr>
          <w:rFonts w:eastAsia="Times New Roman" w:cstheme="minorHAnsi"/>
          <w:color w:val="000000" w:themeColor="text1"/>
          <w:lang w:val="en-US" w:eastAsia="en-GB" w:bidi="he-IL"/>
        </w:rPr>
        <w:t>ical and financial assistance.</w:t>
      </w:r>
    </w:p>
    <w:p w14:paraId="67A41586" w14:textId="1CDAB0B7" w:rsidR="0049746F" w:rsidRDefault="0049746F" w:rsidP="00EF5FA1">
      <w:pPr>
        <w:spacing w:after="0" w:line="240" w:lineRule="auto"/>
        <w:jc w:val="both"/>
        <w:rPr>
          <w:rFonts w:eastAsia="Times New Roman" w:cstheme="minorHAnsi"/>
          <w:color w:val="000000" w:themeColor="text1"/>
          <w:lang w:val="en-US" w:eastAsia="en-GB" w:bidi="he-IL"/>
        </w:rPr>
      </w:pPr>
    </w:p>
    <w:p w14:paraId="5A78AADD" w14:textId="09F19E28" w:rsidR="0049746F" w:rsidRPr="00C37F0D" w:rsidRDefault="0049746F" w:rsidP="0049746F">
      <w:pPr>
        <w:spacing w:after="0" w:line="240" w:lineRule="auto"/>
        <w:jc w:val="both"/>
        <w:rPr>
          <w:rFonts w:cs="Helv"/>
          <w:color w:val="000000" w:themeColor="text1"/>
          <w:lang w:val="en-US"/>
        </w:rPr>
      </w:pPr>
      <w:r w:rsidRPr="00C37F0D">
        <w:rPr>
          <w:rFonts w:cs="Helv"/>
          <w:color w:val="000000" w:themeColor="text1"/>
          <w:lang w:val="en-US"/>
        </w:rPr>
        <w:t xml:space="preserve">When implementing </w:t>
      </w:r>
      <w:r w:rsidR="00E81BA2">
        <w:rPr>
          <w:rFonts w:cs="Helv"/>
          <w:color w:val="000000" w:themeColor="text1"/>
          <w:lang w:val="en-US"/>
        </w:rPr>
        <w:t>CT-related</w:t>
      </w:r>
      <w:r w:rsidRPr="00C37F0D">
        <w:rPr>
          <w:rFonts w:cs="Helv"/>
          <w:color w:val="000000" w:themeColor="text1"/>
          <w:lang w:val="en-US"/>
        </w:rPr>
        <w:t xml:space="preserve"> Securit</w:t>
      </w:r>
      <w:r w:rsidR="006535F3">
        <w:rPr>
          <w:rFonts w:cs="Helv"/>
          <w:color w:val="000000" w:themeColor="text1"/>
          <w:lang w:val="en-US"/>
        </w:rPr>
        <w:t>y Council resolutions</w:t>
      </w:r>
      <w:r>
        <w:rPr>
          <w:rFonts w:cs="Helv"/>
          <w:color w:val="000000" w:themeColor="text1"/>
          <w:lang w:val="en-US"/>
        </w:rPr>
        <w:t xml:space="preserve">, the ICRC recommends that States </w:t>
      </w:r>
      <w:r w:rsidRPr="00C37F0D">
        <w:rPr>
          <w:rFonts w:cs="Helv"/>
          <w:color w:val="000000" w:themeColor="text1"/>
          <w:lang w:val="en-US"/>
        </w:rPr>
        <w:t xml:space="preserve">are </w:t>
      </w:r>
      <w:r>
        <w:rPr>
          <w:rFonts w:cs="Helv"/>
          <w:color w:val="000000" w:themeColor="text1"/>
          <w:lang w:val="en-US"/>
        </w:rPr>
        <w:t>concurrently reminded that Security Council R</w:t>
      </w:r>
      <w:r w:rsidRPr="00C37F0D">
        <w:rPr>
          <w:rFonts w:cs="Helv"/>
          <w:color w:val="000000" w:themeColor="text1"/>
          <w:lang w:val="en-US"/>
        </w:rPr>
        <w:t xml:space="preserve">esolution 2427 (2018), and in particular paragraphs 19-21 thereof, also address children associated with armed groups in counter-terrorism contexts and accordingly must be implemented alongside </w:t>
      </w:r>
      <w:r>
        <w:rPr>
          <w:rFonts w:cs="Helv"/>
          <w:color w:val="000000" w:themeColor="text1"/>
          <w:lang w:val="en-US"/>
        </w:rPr>
        <w:t xml:space="preserve">the CT framework. This UNSC Resolution reflects IHL and IHRL standards regarding the special protection and reintegration to which children associated with armed groups, including those designated as terrorist, remain entitled. </w:t>
      </w:r>
    </w:p>
    <w:p w14:paraId="5A734E19" w14:textId="623FBB06" w:rsidR="00BB04DD" w:rsidRPr="00BB04DD" w:rsidRDefault="00BB04DD" w:rsidP="00BB04DD">
      <w:pPr>
        <w:spacing w:after="0" w:line="240" w:lineRule="auto"/>
        <w:jc w:val="both"/>
        <w:rPr>
          <w:rFonts w:eastAsia="Times New Roman" w:cstheme="minorHAnsi"/>
          <w:i/>
          <w:color w:val="000000" w:themeColor="text1"/>
          <w:lang w:val="en-US" w:eastAsia="en-GB" w:bidi="he-IL"/>
        </w:rPr>
      </w:pPr>
    </w:p>
    <w:p w14:paraId="3D5C3214" w14:textId="236D3466" w:rsidR="00FE5D3F" w:rsidRPr="00FE5D3F" w:rsidRDefault="00FE5D3F" w:rsidP="00FE5D3F">
      <w:pPr>
        <w:pStyle w:val="ListParagraph"/>
        <w:numPr>
          <w:ilvl w:val="0"/>
          <w:numId w:val="6"/>
        </w:numPr>
        <w:spacing w:after="0" w:line="240" w:lineRule="auto"/>
        <w:jc w:val="both"/>
        <w:rPr>
          <w:rFonts w:eastAsia="Times New Roman" w:cstheme="minorHAnsi"/>
          <w:i/>
          <w:color w:val="000000" w:themeColor="text1"/>
          <w:lang w:val="en-US" w:eastAsia="en-GB" w:bidi="he-IL"/>
        </w:rPr>
      </w:pPr>
      <w:r w:rsidRPr="00FE5D3F">
        <w:rPr>
          <w:rFonts w:eastAsia="Times New Roman" w:cstheme="minorHAnsi"/>
          <w:i/>
          <w:color w:val="000000" w:themeColor="text1"/>
          <w:lang w:val="en-US" w:eastAsia="en-GB" w:bidi="he-IL"/>
        </w:rPr>
        <w:t xml:space="preserve">The treatment of women </w:t>
      </w:r>
    </w:p>
    <w:p w14:paraId="55955E23" w14:textId="5FCC68AC" w:rsidR="00FE5D3F" w:rsidRPr="00FE5D3F" w:rsidRDefault="00FE5D3F" w:rsidP="00FE5D3F">
      <w:pPr>
        <w:spacing w:after="0" w:line="240" w:lineRule="auto"/>
        <w:jc w:val="both"/>
        <w:rPr>
          <w:rFonts w:eastAsia="Times New Roman" w:cstheme="minorHAnsi"/>
          <w:color w:val="000000" w:themeColor="text1"/>
          <w:lang w:val="en" w:eastAsia="en-GB" w:bidi="he-IL"/>
        </w:rPr>
      </w:pPr>
    </w:p>
    <w:p w14:paraId="460D868C" w14:textId="6F19A1FE" w:rsidR="00A653E7" w:rsidRDefault="00AC47E5" w:rsidP="00DE02B5">
      <w:pPr>
        <w:spacing w:after="0" w:line="240" w:lineRule="auto"/>
        <w:jc w:val="both"/>
        <w:rPr>
          <w:rFonts w:eastAsia="Times New Roman" w:cstheme="minorHAnsi"/>
          <w:color w:val="000000" w:themeColor="text1"/>
          <w:lang w:val="en" w:eastAsia="en-GB" w:bidi="he-IL"/>
        </w:rPr>
      </w:pPr>
      <w:r>
        <w:rPr>
          <w:rFonts w:eastAsia="Times New Roman" w:cstheme="minorHAnsi"/>
          <w:color w:val="000000" w:themeColor="text1"/>
          <w:lang w:val="en" w:eastAsia="en-GB" w:bidi="he-IL"/>
        </w:rPr>
        <w:t>UNSC Resolution</w:t>
      </w:r>
      <w:r w:rsidR="00FE5D3F">
        <w:rPr>
          <w:rFonts w:eastAsia="Times New Roman" w:cstheme="minorHAnsi"/>
          <w:color w:val="000000" w:themeColor="text1"/>
          <w:lang w:val="en" w:eastAsia="en-GB" w:bidi="he-IL"/>
        </w:rPr>
        <w:t xml:space="preserve"> 2</w:t>
      </w:r>
      <w:r w:rsidR="00FE5D3F" w:rsidRPr="00FE5D3F">
        <w:rPr>
          <w:rFonts w:eastAsia="Times New Roman" w:cstheme="minorHAnsi"/>
          <w:color w:val="000000" w:themeColor="text1"/>
          <w:lang w:val="en" w:eastAsia="en-GB" w:bidi="he-IL"/>
        </w:rPr>
        <w:t xml:space="preserve">396 (2017) acknowledges that there is a need to distinguish between those involved in terrorism and their accompanying family members, and </w:t>
      </w:r>
      <w:proofErr w:type="spellStart"/>
      <w:r w:rsidR="00FE5D3F" w:rsidRPr="00FE5D3F">
        <w:rPr>
          <w:rFonts w:eastAsia="Times New Roman" w:cstheme="minorHAnsi"/>
          <w:color w:val="000000" w:themeColor="text1"/>
          <w:lang w:val="en" w:eastAsia="en-GB" w:bidi="he-IL"/>
        </w:rPr>
        <w:t>recognises</w:t>
      </w:r>
      <w:proofErr w:type="spellEnd"/>
      <w:r w:rsidR="00FE5D3F" w:rsidRPr="00FE5D3F">
        <w:rPr>
          <w:rFonts w:eastAsia="Times New Roman" w:cstheme="minorHAnsi"/>
          <w:color w:val="000000" w:themeColor="text1"/>
          <w:lang w:val="en" w:eastAsia="en-GB" w:bidi="he-IL"/>
        </w:rPr>
        <w:t xml:space="preserve"> that women in this context may also be victims of acts of terrorism. </w:t>
      </w:r>
      <w:r w:rsidR="00C03844">
        <w:rPr>
          <w:rFonts w:eastAsia="Times New Roman" w:cstheme="minorHAnsi"/>
          <w:color w:val="000000" w:themeColor="text1"/>
          <w:lang w:val="en" w:eastAsia="en-GB" w:bidi="he-IL"/>
        </w:rPr>
        <w:t xml:space="preserve">The ICRC has elsewhere observed that caution </w:t>
      </w:r>
      <w:r w:rsidR="00C03844" w:rsidRPr="00FE5D3F">
        <w:rPr>
          <w:rFonts w:eastAsia="Times New Roman" w:cstheme="minorHAnsi"/>
          <w:color w:val="000000" w:themeColor="text1"/>
          <w:lang w:val="en" w:eastAsia="en-GB" w:bidi="he-IL"/>
        </w:rPr>
        <w:t>must be exercised to avoid oversimplification of women in this context.</w:t>
      </w:r>
      <w:r w:rsidR="00C03844">
        <w:rPr>
          <w:rFonts w:eastAsia="Times New Roman" w:cstheme="minorHAnsi"/>
          <w:color w:val="000000" w:themeColor="text1"/>
          <w:lang w:val="en" w:eastAsia="en-GB" w:bidi="he-IL"/>
        </w:rPr>
        <w:t xml:space="preserve"> </w:t>
      </w:r>
      <w:r>
        <w:rPr>
          <w:rFonts w:eastAsia="Times New Roman" w:cstheme="minorHAnsi"/>
          <w:color w:val="000000" w:themeColor="text1"/>
          <w:lang w:val="en" w:eastAsia="en-GB" w:bidi="he-IL"/>
        </w:rPr>
        <w:t>Where it applies, IHL contains clear rules that add specificity to the need to acknowledge that there is a</w:t>
      </w:r>
      <w:r w:rsidR="00FE5D3F" w:rsidRPr="00FE5D3F">
        <w:rPr>
          <w:rFonts w:eastAsia="Times New Roman" w:cstheme="minorHAnsi"/>
          <w:color w:val="000000" w:themeColor="text1"/>
          <w:lang w:val="en" w:eastAsia="en-GB" w:bidi="he-IL"/>
        </w:rPr>
        <w:t xml:space="preserve"> diversity of individual cases</w:t>
      </w:r>
      <w:r w:rsidR="00C03844">
        <w:rPr>
          <w:rFonts w:eastAsia="Times New Roman" w:cstheme="minorHAnsi"/>
          <w:color w:val="000000" w:themeColor="text1"/>
          <w:lang w:val="en" w:eastAsia="en-GB" w:bidi="he-IL"/>
        </w:rPr>
        <w:t xml:space="preserve"> among women, and this</w:t>
      </w:r>
      <w:r>
        <w:rPr>
          <w:rFonts w:eastAsia="Times New Roman" w:cstheme="minorHAnsi"/>
          <w:color w:val="000000" w:themeColor="text1"/>
          <w:lang w:val="en" w:eastAsia="en-GB" w:bidi="he-IL"/>
        </w:rPr>
        <w:t xml:space="preserve"> require</w:t>
      </w:r>
      <w:r w:rsidR="00C03844">
        <w:rPr>
          <w:rFonts w:eastAsia="Times New Roman" w:cstheme="minorHAnsi"/>
          <w:color w:val="000000" w:themeColor="text1"/>
          <w:lang w:val="en" w:eastAsia="en-GB" w:bidi="he-IL"/>
        </w:rPr>
        <w:t>s</w:t>
      </w:r>
      <w:r w:rsidR="00FE5D3F" w:rsidRPr="00FE5D3F">
        <w:rPr>
          <w:rFonts w:eastAsia="Times New Roman" w:cstheme="minorHAnsi"/>
          <w:color w:val="000000" w:themeColor="text1"/>
          <w:lang w:val="en" w:eastAsia="en-GB" w:bidi="he-IL"/>
        </w:rPr>
        <w:t xml:space="preserve"> assessments of their participation in the conflict on a case-by-case basis.</w:t>
      </w:r>
      <w:r w:rsidR="00DE02B5">
        <w:rPr>
          <w:rFonts w:eastAsia="Times New Roman" w:cstheme="minorHAnsi"/>
          <w:color w:val="000000" w:themeColor="text1"/>
          <w:lang w:val="en" w:eastAsia="en-GB" w:bidi="he-IL"/>
        </w:rPr>
        <w:t xml:space="preserve"> </w:t>
      </w:r>
    </w:p>
    <w:p w14:paraId="71310D4F" w14:textId="77777777" w:rsidR="00A653E7" w:rsidRDefault="00A653E7" w:rsidP="00DE02B5">
      <w:pPr>
        <w:spacing w:after="0" w:line="240" w:lineRule="auto"/>
        <w:jc w:val="both"/>
        <w:rPr>
          <w:rFonts w:eastAsia="Times New Roman" w:cstheme="minorHAnsi"/>
          <w:color w:val="000000" w:themeColor="text1"/>
          <w:lang w:val="en" w:eastAsia="en-GB" w:bidi="he-IL"/>
        </w:rPr>
      </w:pPr>
    </w:p>
    <w:p w14:paraId="406A16C9" w14:textId="5CF73864" w:rsidR="00DE02B5" w:rsidRDefault="00C03844" w:rsidP="00DE02B5">
      <w:pPr>
        <w:spacing w:after="0" w:line="240" w:lineRule="auto"/>
        <w:jc w:val="both"/>
        <w:rPr>
          <w:rFonts w:eastAsia="Times New Roman" w:cstheme="minorHAnsi"/>
          <w:color w:val="000000" w:themeColor="text1"/>
          <w:lang w:val="en-US" w:eastAsia="en-GB" w:bidi="he-IL"/>
        </w:rPr>
      </w:pPr>
      <w:r>
        <w:rPr>
          <w:rFonts w:eastAsia="Times New Roman" w:cstheme="minorHAnsi"/>
          <w:color w:val="000000" w:themeColor="text1"/>
          <w:lang w:val="en" w:eastAsia="en-GB" w:bidi="he-IL"/>
        </w:rPr>
        <w:t xml:space="preserve">Under IHL, </w:t>
      </w:r>
      <w:r w:rsidR="00750517">
        <w:rPr>
          <w:rFonts w:eastAsia="Times New Roman" w:cstheme="minorHAnsi"/>
          <w:color w:val="000000" w:themeColor="text1"/>
          <w:lang w:val="en" w:eastAsia="en-GB" w:bidi="he-IL"/>
        </w:rPr>
        <w:t xml:space="preserve">outside criminal proceedings, </w:t>
      </w:r>
      <w:r>
        <w:rPr>
          <w:rFonts w:eastAsia="Times New Roman" w:cstheme="minorHAnsi"/>
          <w:color w:val="000000" w:themeColor="text1"/>
          <w:lang w:val="en" w:eastAsia="en-GB" w:bidi="he-IL"/>
        </w:rPr>
        <w:t>w</w:t>
      </w:r>
      <w:r w:rsidR="00DE02B5">
        <w:rPr>
          <w:rFonts w:eastAsia="Times New Roman" w:cstheme="minorHAnsi"/>
          <w:color w:val="000000" w:themeColor="text1"/>
          <w:lang w:val="en" w:eastAsia="en-GB" w:bidi="he-IL"/>
        </w:rPr>
        <w:t>omen (and men) must</w:t>
      </w:r>
      <w:r>
        <w:rPr>
          <w:rFonts w:eastAsia="Times New Roman" w:cstheme="minorHAnsi"/>
          <w:color w:val="000000" w:themeColor="text1"/>
          <w:lang w:val="en" w:eastAsia="en-GB" w:bidi="he-IL"/>
        </w:rPr>
        <w:t xml:space="preserve"> only be detained for </w:t>
      </w:r>
      <w:r w:rsidRPr="00C03844">
        <w:rPr>
          <w:rFonts w:eastAsia="Times New Roman" w:cstheme="minorHAnsi"/>
          <w:color w:val="000000" w:themeColor="text1"/>
          <w:lang w:val="en" w:eastAsia="en-GB" w:bidi="he-IL"/>
        </w:rPr>
        <w:t xml:space="preserve">imperative reasons of </w:t>
      </w:r>
      <w:r w:rsidR="00A653E7">
        <w:rPr>
          <w:rFonts w:eastAsia="Times New Roman" w:cstheme="minorHAnsi"/>
          <w:color w:val="000000" w:themeColor="text1"/>
          <w:lang w:val="en" w:eastAsia="en-GB" w:bidi="he-IL"/>
        </w:rPr>
        <w:t xml:space="preserve">security. </w:t>
      </w:r>
      <w:r w:rsidR="00A653E7" w:rsidRPr="00FE5D3F">
        <w:rPr>
          <w:rFonts w:eastAsia="Times New Roman" w:cstheme="minorHAnsi"/>
          <w:color w:val="000000" w:themeColor="text1"/>
          <w:lang w:val="en-US" w:eastAsia="en-GB" w:bidi="he-IL"/>
        </w:rPr>
        <w:t xml:space="preserve">Regardless of their potential culpability under domestic or international law, </w:t>
      </w:r>
      <w:r w:rsidR="008C1306">
        <w:rPr>
          <w:rFonts w:eastAsia="Times New Roman" w:cstheme="minorHAnsi"/>
          <w:color w:val="000000" w:themeColor="text1"/>
          <w:lang w:val="en-US" w:eastAsia="en-GB" w:bidi="he-IL"/>
        </w:rPr>
        <w:t>women</w:t>
      </w:r>
      <w:r w:rsidR="008C1306" w:rsidRPr="00FE5D3F">
        <w:rPr>
          <w:rFonts w:eastAsia="Times New Roman" w:cstheme="minorHAnsi"/>
          <w:color w:val="000000" w:themeColor="text1"/>
          <w:lang w:val="en-US" w:eastAsia="en-GB" w:bidi="he-IL"/>
        </w:rPr>
        <w:t xml:space="preserve"> </w:t>
      </w:r>
      <w:r w:rsidR="00A653E7" w:rsidRPr="00FE5D3F">
        <w:rPr>
          <w:rFonts w:eastAsia="Times New Roman" w:cstheme="minorHAnsi"/>
          <w:color w:val="000000" w:themeColor="text1"/>
          <w:lang w:val="en-US" w:eastAsia="en-GB" w:bidi="he-IL"/>
        </w:rPr>
        <w:t>have a distinct set of needs and face specific p</w:t>
      </w:r>
      <w:r w:rsidR="00A653E7">
        <w:rPr>
          <w:rFonts w:eastAsia="Times New Roman" w:cstheme="minorHAnsi"/>
          <w:color w:val="000000" w:themeColor="text1"/>
          <w:lang w:val="en-US" w:eastAsia="en-GB" w:bidi="he-IL"/>
        </w:rPr>
        <w:t xml:space="preserve">hysical and psychological </w:t>
      </w:r>
      <w:proofErr w:type="gramStart"/>
      <w:r w:rsidR="00A653E7">
        <w:rPr>
          <w:rFonts w:eastAsia="Times New Roman" w:cstheme="minorHAnsi"/>
          <w:color w:val="000000" w:themeColor="text1"/>
          <w:lang w:val="en-US" w:eastAsia="en-GB" w:bidi="he-IL"/>
        </w:rPr>
        <w:t>risks, and</w:t>
      </w:r>
      <w:proofErr w:type="gramEnd"/>
      <w:r w:rsidR="00A653E7">
        <w:rPr>
          <w:rFonts w:eastAsia="Times New Roman" w:cstheme="minorHAnsi"/>
          <w:color w:val="000000" w:themeColor="text1"/>
          <w:lang w:val="en-US" w:eastAsia="en-GB" w:bidi="he-IL"/>
        </w:rPr>
        <w:t xml:space="preserve"> are entitled to corresponding humane treatment. </w:t>
      </w:r>
      <w:r w:rsidR="00A653E7" w:rsidRPr="00FE5D3F">
        <w:rPr>
          <w:rFonts w:eastAsia="Times New Roman" w:cstheme="minorHAnsi"/>
          <w:color w:val="000000" w:themeColor="text1"/>
          <w:lang w:val="en-US" w:eastAsia="en-GB" w:bidi="he-IL"/>
        </w:rPr>
        <w:t>Their distinct needs include basic female hygiene items, and medical care for pregnant women, nursing mothers, and those who have experienced sexual violence</w:t>
      </w:r>
      <w:r w:rsidR="00834152">
        <w:rPr>
          <w:rFonts w:eastAsia="Times New Roman" w:cstheme="minorHAnsi"/>
          <w:color w:val="000000" w:themeColor="text1"/>
          <w:lang w:val="en-US" w:eastAsia="en-GB" w:bidi="he-IL"/>
        </w:rPr>
        <w:t xml:space="preserve">. </w:t>
      </w:r>
      <w:r w:rsidRPr="00C03844">
        <w:rPr>
          <w:lang w:val="en-US"/>
        </w:rPr>
        <w:t>B</w:t>
      </w:r>
      <w:r w:rsidR="00DE02B5" w:rsidRPr="00C03844">
        <w:rPr>
          <w:lang w:val="en-US"/>
        </w:rPr>
        <w:t xml:space="preserve">etter consideration of </w:t>
      </w:r>
      <w:r w:rsidRPr="00C03844">
        <w:rPr>
          <w:lang w:val="en-US"/>
        </w:rPr>
        <w:t>these IHL obligations could</w:t>
      </w:r>
      <w:r w:rsidR="00DE02B5" w:rsidRPr="00C03844">
        <w:rPr>
          <w:lang w:val="en-US"/>
        </w:rPr>
        <w:t xml:space="preserve"> </w:t>
      </w:r>
      <w:r w:rsidR="00DE02B5" w:rsidRPr="00C03844">
        <w:rPr>
          <w:rFonts w:eastAsia="Times New Roman" w:cstheme="minorHAnsi"/>
          <w:color w:val="000000" w:themeColor="text1"/>
          <w:lang w:val="en-US" w:eastAsia="en-GB" w:bidi="he-IL"/>
        </w:rPr>
        <w:t xml:space="preserve">advance precision and clarity in the </w:t>
      </w:r>
      <w:r w:rsidRPr="00C03844">
        <w:rPr>
          <w:rFonts w:eastAsia="Times New Roman" w:cstheme="minorHAnsi"/>
          <w:color w:val="000000" w:themeColor="text1"/>
          <w:lang w:val="en-US" w:eastAsia="en-GB" w:bidi="he-IL"/>
        </w:rPr>
        <w:t>treatment of women who are designated as ‘terrorist’ or ‘FTF’ or who are identifie</w:t>
      </w:r>
      <w:r>
        <w:rPr>
          <w:rFonts w:eastAsia="Times New Roman" w:cstheme="minorHAnsi"/>
          <w:color w:val="000000" w:themeColor="text1"/>
          <w:lang w:val="en-US" w:eastAsia="en-GB" w:bidi="he-IL"/>
        </w:rPr>
        <w:t xml:space="preserve">d as family members. </w:t>
      </w:r>
    </w:p>
    <w:p w14:paraId="133B4639" w14:textId="77777777" w:rsidR="00A751E3" w:rsidRPr="00C03844" w:rsidRDefault="00A751E3" w:rsidP="00DE02B5">
      <w:pPr>
        <w:spacing w:after="0" w:line="240" w:lineRule="auto"/>
        <w:jc w:val="both"/>
        <w:rPr>
          <w:rFonts w:eastAsia="Times New Roman" w:cstheme="minorHAnsi"/>
          <w:color w:val="000000" w:themeColor="text1"/>
          <w:lang w:val="en" w:eastAsia="en-GB" w:bidi="he-IL"/>
        </w:rPr>
      </w:pPr>
    </w:p>
    <w:p w14:paraId="0697F603" w14:textId="335F5412" w:rsidR="009E138B" w:rsidRDefault="009E138B" w:rsidP="00732FAE">
      <w:pPr>
        <w:spacing w:after="0" w:line="240" w:lineRule="auto"/>
        <w:jc w:val="both"/>
        <w:rPr>
          <w:u w:val="single"/>
          <w:lang w:val="en-US"/>
        </w:rPr>
      </w:pPr>
    </w:p>
    <w:p w14:paraId="057D41F8" w14:textId="40369316" w:rsidR="00BA10EC" w:rsidRPr="00E94D26" w:rsidRDefault="00CB2B3D" w:rsidP="00E94D26">
      <w:pPr>
        <w:pStyle w:val="ListParagraph"/>
        <w:numPr>
          <w:ilvl w:val="0"/>
          <w:numId w:val="2"/>
        </w:numPr>
        <w:jc w:val="both"/>
        <w:rPr>
          <w:u w:val="single"/>
          <w:lang w:val="en-US"/>
        </w:rPr>
      </w:pPr>
      <w:r w:rsidRPr="00E94D26">
        <w:rPr>
          <w:u w:val="single"/>
          <w:lang w:val="en-US"/>
        </w:rPr>
        <w:t>Protection</w:t>
      </w:r>
      <w:r w:rsidR="00BA10EC" w:rsidRPr="00E94D26">
        <w:rPr>
          <w:u w:val="single"/>
          <w:lang w:val="en-US"/>
        </w:rPr>
        <w:t xml:space="preserve"> of principled humanitarian action in the context of CT measures:</w:t>
      </w:r>
    </w:p>
    <w:p w14:paraId="3158795F" w14:textId="77777777" w:rsidR="00DF3CDD" w:rsidRPr="00DF3CDD" w:rsidRDefault="00DF3CDD" w:rsidP="007D1D19">
      <w:pPr>
        <w:jc w:val="both"/>
        <w:rPr>
          <w:lang w:val="en-US"/>
        </w:rPr>
      </w:pPr>
      <w:r>
        <w:rPr>
          <w:lang w:val="en-US"/>
        </w:rPr>
        <w:t>The</w:t>
      </w:r>
      <w:r w:rsidRPr="00DF3CDD">
        <w:rPr>
          <w:lang w:val="en-US"/>
        </w:rPr>
        <w:t xml:space="preserve"> ICRC has observed in recent years the development of ever broader and stricter </w:t>
      </w:r>
      <w:r>
        <w:rPr>
          <w:lang w:val="en-US"/>
        </w:rPr>
        <w:t>CT measures</w:t>
      </w:r>
      <w:r w:rsidRPr="00DF3CDD">
        <w:rPr>
          <w:lang w:val="en-US"/>
        </w:rPr>
        <w:t xml:space="preserve"> at international, regional and domestic levels. </w:t>
      </w:r>
    </w:p>
    <w:p w14:paraId="2A3506C8" w14:textId="1744EBCB" w:rsidR="00DF3CDD" w:rsidRPr="00DF3CDD" w:rsidRDefault="00DF3CDD" w:rsidP="007D1D19">
      <w:pPr>
        <w:jc w:val="both"/>
        <w:rPr>
          <w:lang w:val="en-US"/>
        </w:rPr>
      </w:pPr>
      <w:r w:rsidRPr="00DF3CDD">
        <w:rPr>
          <w:lang w:val="en-US"/>
        </w:rPr>
        <w:t>There is no doubt that it is legitimate and necessary for states and international organizations to take action to ensure</w:t>
      </w:r>
      <w:r w:rsidR="007A1F72">
        <w:rPr>
          <w:lang w:val="en-US"/>
        </w:rPr>
        <w:t xml:space="preserve"> security. T</w:t>
      </w:r>
      <w:r w:rsidR="00CF6C6F">
        <w:rPr>
          <w:lang w:val="en-US"/>
        </w:rPr>
        <w:t xml:space="preserve">he </w:t>
      </w:r>
      <w:r w:rsidRPr="00DF3CDD">
        <w:rPr>
          <w:lang w:val="en-US"/>
        </w:rPr>
        <w:t>ICRC condemns acts of terrorism irrespective of their perpetrators, whether committed within or outside ar</w:t>
      </w:r>
      <w:r w:rsidR="00CF6C6F">
        <w:rPr>
          <w:lang w:val="en-US"/>
        </w:rPr>
        <w:t>med conflict</w:t>
      </w:r>
      <w:r w:rsidRPr="00DF3CDD">
        <w:rPr>
          <w:lang w:val="en-US"/>
        </w:rPr>
        <w:t>.</w:t>
      </w:r>
    </w:p>
    <w:p w14:paraId="4F51F541" w14:textId="16A8C759" w:rsidR="00DF3CDD" w:rsidRPr="00DF3CDD" w:rsidRDefault="00DF3CDD" w:rsidP="007D1D19">
      <w:pPr>
        <w:jc w:val="both"/>
        <w:rPr>
          <w:lang w:val="en-US"/>
        </w:rPr>
      </w:pPr>
      <w:r>
        <w:rPr>
          <w:lang w:val="en-US"/>
        </w:rPr>
        <w:t>However, t</w:t>
      </w:r>
      <w:r w:rsidRPr="00DF3CDD">
        <w:rPr>
          <w:lang w:val="en-US"/>
        </w:rPr>
        <w:t xml:space="preserve">he ICRC is experiencing the negative effects of </w:t>
      </w:r>
      <w:r w:rsidR="00CF6C6F">
        <w:rPr>
          <w:lang w:val="en-US"/>
        </w:rPr>
        <w:t>CT</w:t>
      </w:r>
      <w:r w:rsidRPr="00DF3CDD">
        <w:rPr>
          <w:lang w:val="en-US"/>
        </w:rPr>
        <w:t xml:space="preserve"> measures most strongly in three areas. First, domestic measures such as CT penal law</w:t>
      </w:r>
      <w:r w:rsidR="007A1F72">
        <w:rPr>
          <w:lang w:val="en-US"/>
        </w:rPr>
        <w:t>s</w:t>
      </w:r>
      <w:r w:rsidRPr="00DF3CDD">
        <w:rPr>
          <w:lang w:val="en-US"/>
        </w:rPr>
        <w:t xml:space="preserve"> prohibiting acts of support to organizations designated as “terrorists” </w:t>
      </w:r>
      <w:r w:rsidR="007A1F72">
        <w:rPr>
          <w:lang w:val="en-US"/>
        </w:rPr>
        <w:t>may</w:t>
      </w:r>
      <w:r w:rsidRPr="00DF3CDD">
        <w:rPr>
          <w:lang w:val="en-US"/>
        </w:rPr>
        <w:t xml:space="preserve"> crimi</w:t>
      </w:r>
      <w:r w:rsidR="007A1F72">
        <w:rPr>
          <w:lang w:val="en-US"/>
        </w:rPr>
        <w:t>nalize</w:t>
      </w:r>
      <w:r w:rsidRPr="00DF3CDD">
        <w:rPr>
          <w:lang w:val="en-US"/>
        </w:rPr>
        <w:t xml:space="preserve"> humanitarian </w:t>
      </w:r>
      <w:r w:rsidR="00737689">
        <w:rPr>
          <w:lang w:val="en-US"/>
        </w:rPr>
        <w:t>activities</w:t>
      </w:r>
      <w:r w:rsidR="00737689" w:rsidRPr="00DF3CDD">
        <w:rPr>
          <w:lang w:val="en-US"/>
        </w:rPr>
        <w:t xml:space="preserve"> </w:t>
      </w:r>
      <w:r w:rsidRPr="00DF3CDD">
        <w:rPr>
          <w:lang w:val="en-US"/>
        </w:rPr>
        <w:t xml:space="preserve">and actors. Second, sanctions regimes have in various instances led to the impediment or delay of humanitarian operations, many of which relate to the core mandate of the ICRC: visits and material assistance to detainees (including family visits), first aid training, war surgery seminars, IHL dissemination to weapons bearers, delivery of aid to meet the basic needs of the civilian population in areas ‘hard-to-reach’, </w:t>
      </w:r>
      <w:r w:rsidR="00737689">
        <w:rPr>
          <w:lang w:val="en-US"/>
        </w:rPr>
        <w:t>and</w:t>
      </w:r>
      <w:r w:rsidRPr="00DF3CDD">
        <w:rPr>
          <w:lang w:val="en-US"/>
        </w:rPr>
        <w:t xml:space="preserve"> medical assistance to wounded and sick fighters. Third, donor requirements aimed at addres</w:t>
      </w:r>
      <w:r w:rsidR="00CF6C6F">
        <w:rPr>
          <w:lang w:val="en-US"/>
        </w:rPr>
        <w:t>sing compliance with CT</w:t>
      </w:r>
      <w:r w:rsidRPr="00DF3CDD">
        <w:rPr>
          <w:lang w:val="en-US"/>
        </w:rPr>
        <w:t xml:space="preserve"> measures and the risk of aid diversion (including support to entities and individuals listed as “terrorists”) have limited access to fundin</w:t>
      </w:r>
      <w:r w:rsidR="00B45744">
        <w:rPr>
          <w:lang w:val="en-US"/>
        </w:rPr>
        <w:t>g and the transfer of funds for</w:t>
      </w:r>
      <w:r w:rsidR="00737689">
        <w:rPr>
          <w:lang w:val="en-US"/>
        </w:rPr>
        <w:t xml:space="preserve"> </w:t>
      </w:r>
      <w:r w:rsidRPr="00DF3CDD">
        <w:rPr>
          <w:lang w:val="en-US"/>
        </w:rPr>
        <w:t>huma</w:t>
      </w:r>
      <w:r w:rsidR="00CF6C6F">
        <w:rPr>
          <w:lang w:val="en-US"/>
        </w:rPr>
        <w:t>nitarian organizations</w:t>
      </w:r>
      <w:r w:rsidRPr="00DF3CDD">
        <w:rPr>
          <w:lang w:val="en-US"/>
        </w:rPr>
        <w:t>.</w:t>
      </w:r>
    </w:p>
    <w:p w14:paraId="163AAD36" w14:textId="5EC2F519" w:rsidR="000D7F64" w:rsidRDefault="00CF6C6F" w:rsidP="007D1D19">
      <w:pPr>
        <w:jc w:val="both"/>
        <w:rPr>
          <w:lang w:val="en-US"/>
        </w:rPr>
      </w:pPr>
      <w:r>
        <w:rPr>
          <w:lang w:val="en-US"/>
        </w:rPr>
        <w:lastRenderedPageBreak/>
        <w:t xml:space="preserve">On this basis, the </w:t>
      </w:r>
      <w:r w:rsidR="000D7F64">
        <w:rPr>
          <w:lang w:val="en-US"/>
        </w:rPr>
        <w:t xml:space="preserve">ICRC </w:t>
      </w:r>
      <w:r>
        <w:rPr>
          <w:lang w:val="en-US"/>
        </w:rPr>
        <w:t xml:space="preserve">has </w:t>
      </w:r>
      <w:r w:rsidR="000D7F64">
        <w:rPr>
          <w:lang w:val="en-US"/>
        </w:rPr>
        <w:t>on various occasion</w:t>
      </w:r>
      <w:r w:rsidR="00737689">
        <w:rPr>
          <w:lang w:val="en-US"/>
        </w:rPr>
        <w:t>s</w:t>
      </w:r>
      <w:r w:rsidR="000D7F64">
        <w:rPr>
          <w:lang w:val="en-US"/>
        </w:rPr>
        <w:t xml:space="preserve"> reminded </w:t>
      </w:r>
      <w:r>
        <w:rPr>
          <w:lang w:val="en-US"/>
        </w:rPr>
        <w:t xml:space="preserve">States and international organizations </w:t>
      </w:r>
      <w:r w:rsidR="000D7F64">
        <w:rPr>
          <w:lang w:val="en-US"/>
        </w:rPr>
        <w:t>that principled humanitarian action should not be impeded</w:t>
      </w:r>
      <w:r w:rsidR="008031E0">
        <w:rPr>
          <w:lang w:val="en-US"/>
        </w:rPr>
        <w:t xml:space="preserve"> </w:t>
      </w:r>
      <w:r>
        <w:rPr>
          <w:lang w:val="en-US"/>
        </w:rPr>
        <w:t xml:space="preserve">by CT measures </w:t>
      </w:r>
      <w:r w:rsidR="008031E0">
        <w:rPr>
          <w:lang w:val="en-US"/>
        </w:rPr>
        <w:t>and that IHL rules must be factored in</w:t>
      </w:r>
      <w:r>
        <w:rPr>
          <w:lang w:val="en-US"/>
        </w:rPr>
        <w:t xml:space="preserve"> while taking initiatives aimed at </w:t>
      </w:r>
      <w:r w:rsidR="007A1F72">
        <w:rPr>
          <w:lang w:val="en-US"/>
        </w:rPr>
        <w:t>combating terrorism</w:t>
      </w:r>
      <w:r w:rsidR="008031E0">
        <w:rPr>
          <w:lang w:val="en-US"/>
        </w:rPr>
        <w:t>.</w:t>
      </w:r>
    </w:p>
    <w:p w14:paraId="6413A7FD" w14:textId="1B8A6361" w:rsidR="00CF6C6F" w:rsidRPr="00FD297F" w:rsidRDefault="00D85EAF" w:rsidP="007D1D19">
      <w:pPr>
        <w:jc w:val="both"/>
        <w:rPr>
          <w:lang w:val="en-US"/>
        </w:rPr>
      </w:pPr>
      <w:r>
        <w:rPr>
          <w:lang w:val="en-US"/>
        </w:rPr>
        <w:t>The ICRC has</w:t>
      </w:r>
      <w:r w:rsidR="00CF6C6F">
        <w:rPr>
          <w:lang w:val="en-US"/>
        </w:rPr>
        <w:t xml:space="preserve"> </w:t>
      </w:r>
      <w:r w:rsidR="00CF6C6F" w:rsidRPr="00FD297F">
        <w:rPr>
          <w:lang w:val="en-US"/>
        </w:rPr>
        <w:t xml:space="preserve">identified </w:t>
      </w:r>
      <w:r w:rsidR="00CF6C6F">
        <w:rPr>
          <w:lang w:val="en-US"/>
        </w:rPr>
        <w:t>three</w:t>
      </w:r>
      <w:r w:rsidR="00CF6C6F" w:rsidRPr="00FD297F">
        <w:rPr>
          <w:lang w:val="en-US"/>
        </w:rPr>
        <w:t xml:space="preserve"> areas of I</w:t>
      </w:r>
      <w:r w:rsidR="00CF6C6F">
        <w:rPr>
          <w:lang w:val="en-US"/>
        </w:rPr>
        <w:t>HL in which CT measures have a direct impact o</w:t>
      </w:r>
      <w:r w:rsidR="00CF6C6F" w:rsidRPr="00FD297F">
        <w:rPr>
          <w:lang w:val="en-US"/>
        </w:rPr>
        <w:t>n IHL rules and ultimately on the ability of impartial humanitarian organizations such as the ICRC to deliver the humanitarian tasks assigned to them by the States parties to the G</w:t>
      </w:r>
      <w:r w:rsidR="00CF6C6F">
        <w:rPr>
          <w:lang w:val="en-US"/>
        </w:rPr>
        <w:t xml:space="preserve">eneva </w:t>
      </w:r>
      <w:r w:rsidR="00CF6C6F" w:rsidRPr="00FD297F">
        <w:rPr>
          <w:lang w:val="en-US"/>
        </w:rPr>
        <w:t>C</w:t>
      </w:r>
      <w:r w:rsidR="00CF6C6F">
        <w:rPr>
          <w:lang w:val="en-US"/>
        </w:rPr>
        <w:t>onventions of 1949 and their additional Protocols</w:t>
      </w:r>
      <w:r w:rsidR="000829A7">
        <w:rPr>
          <w:lang w:val="en-US"/>
        </w:rPr>
        <w:t>:</w:t>
      </w:r>
    </w:p>
    <w:p w14:paraId="612077AA" w14:textId="77777777" w:rsidR="00CF6C6F" w:rsidRPr="000829A7" w:rsidRDefault="00CF6C6F" w:rsidP="007D1D19">
      <w:pPr>
        <w:pStyle w:val="ListParagraph"/>
        <w:numPr>
          <w:ilvl w:val="0"/>
          <w:numId w:val="1"/>
        </w:numPr>
        <w:jc w:val="both"/>
        <w:rPr>
          <w:lang w:val="en-US"/>
        </w:rPr>
      </w:pPr>
      <w:r w:rsidRPr="000829A7">
        <w:rPr>
          <w:lang w:val="en-US"/>
        </w:rPr>
        <w:t xml:space="preserve">the rules governing humanitarian operations, including the entitlement of impartial humanitarian action to offer their services, which require belligerents and third States to allow and facilitate humanitarian activities.  </w:t>
      </w:r>
    </w:p>
    <w:p w14:paraId="359B9E08" w14:textId="77777777" w:rsidR="00CF6C6F" w:rsidRPr="00FD297F" w:rsidRDefault="00CF6C6F" w:rsidP="007D1D19">
      <w:pPr>
        <w:pStyle w:val="ListParagraph"/>
        <w:numPr>
          <w:ilvl w:val="0"/>
          <w:numId w:val="1"/>
        </w:numPr>
        <w:jc w:val="both"/>
        <w:rPr>
          <w:lang w:val="en-US"/>
        </w:rPr>
      </w:pPr>
      <w:r w:rsidRPr="00FD297F">
        <w:rPr>
          <w:lang w:val="en-US"/>
        </w:rPr>
        <w:t>the rules protecting the wounded and the sick as well as thos</w:t>
      </w:r>
      <w:r>
        <w:rPr>
          <w:lang w:val="en-US"/>
        </w:rPr>
        <w:t>e providing medical assistance reflecting a foundational principle of IHL</w:t>
      </w:r>
    </w:p>
    <w:p w14:paraId="2E0A7A9D" w14:textId="77777777" w:rsidR="00CF6C6F" w:rsidRDefault="00737689" w:rsidP="007D1D19">
      <w:pPr>
        <w:pStyle w:val="ListParagraph"/>
        <w:numPr>
          <w:ilvl w:val="0"/>
          <w:numId w:val="1"/>
        </w:numPr>
        <w:jc w:val="both"/>
        <w:rPr>
          <w:lang w:val="en-US"/>
        </w:rPr>
      </w:pPr>
      <w:r>
        <w:rPr>
          <w:lang w:val="en-US"/>
        </w:rPr>
        <w:t xml:space="preserve">the </w:t>
      </w:r>
      <w:r w:rsidR="00CF6C6F" w:rsidRPr="005859CA">
        <w:rPr>
          <w:lang w:val="en-US"/>
        </w:rPr>
        <w:t>rules requiring respect and protection of humanitarian personnel</w:t>
      </w:r>
      <w:r w:rsidR="00CF6C6F">
        <w:rPr>
          <w:lang w:val="en-US"/>
        </w:rPr>
        <w:t xml:space="preserve"> undertaking impartial humanitarian activities.</w:t>
      </w:r>
    </w:p>
    <w:p w14:paraId="630EAD7A" w14:textId="2FC1528A" w:rsidR="000829A7" w:rsidRPr="000829A7" w:rsidRDefault="000829A7" w:rsidP="007D1D19">
      <w:pPr>
        <w:jc w:val="both"/>
        <w:rPr>
          <w:lang w:val="en-US"/>
        </w:rPr>
      </w:pPr>
      <w:r>
        <w:rPr>
          <w:lang w:val="en-US"/>
        </w:rPr>
        <w:t>In th</w:t>
      </w:r>
      <w:r w:rsidR="008C1306">
        <w:rPr>
          <w:lang w:val="en-US"/>
        </w:rPr>
        <w:t>is</w:t>
      </w:r>
      <w:r>
        <w:rPr>
          <w:lang w:val="en-US"/>
        </w:rPr>
        <w:t xml:space="preserve"> regard, the ICRC welcomes the recent developments at the UN Security Council with resolution</w:t>
      </w:r>
      <w:r w:rsidR="00737689">
        <w:rPr>
          <w:lang w:val="en-US"/>
        </w:rPr>
        <w:t>s</w:t>
      </w:r>
      <w:r>
        <w:rPr>
          <w:lang w:val="en-US"/>
        </w:rPr>
        <w:t xml:space="preserve"> 2462 and 2482 of 2019 but also the November 2019 EU Council conclusions on IHL and humanitarian assistance, all of which requir</w:t>
      </w:r>
      <w:r w:rsidR="00737689">
        <w:rPr>
          <w:lang w:val="en-US"/>
        </w:rPr>
        <w:t>e</w:t>
      </w:r>
      <w:r>
        <w:rPr>
          <w:lang w:val="en-US"/>
        </w:rPr>
        <w:t xml:space="preserve"> States to comply with IHL when devising and implementing CT measures, including sanctions regimes</w:t>
      </w:r>
      <w:r w:rsidR="00B45744">
        <w:rPr>
          <w:lang w:val="en-US"/>
        </w:rPr>
        <w:t xml:space="preserve"> targeting entities and persons designated a terrorist</w:t>
      </w:r>
      <w:r>
        <w:rPr>
          <w:lang w:val="en-US"/>
        </w:rPr>
        <w:t xml:space="preserve">. </w:t>
      </w:r>
    </w:p>
    <w:p w14:paraId="4522165C" w14:textId="398F1A59" w:rsidR="00166B2D" w:rsidRPr="005859CA" w:rsidRDefault="000829A7" w:rsidP="007D1D19">
      <w:pPr>
        <w:jc w:val="both"/>
        <w:rPr>
          <w:lang w:val="en-US"/>
        </w:rPr>
      </w:pPr>
      <w:r>
        <w:rPr>
          <w:lang w:val="en-US"/>
        </w:rPr>
        <w:t>States and international organizations are n</w:t>
      </w:r>
      <w:r w:rsidR="00D85EAF">
        <w:rPr>
          <w:lang w:val="en-US"/>
        </w:rPr>
        <w:t>ow expected</w:t>
      </w:r>
      <w:r>
        <w:rPr>
          <w:lang w:val="en-US"/>
        </w:rPr>
        <w:t xml:space="preserve"> to take concrete action to ensure that their CT measures are effectively respectful of IHL. In this context, it is the ICRC view that expression</w:t>
      </w:r>
      <w:r w:rsidR="008C1306">
        <w:rPr>
          <w:lang w:val="en-US"/>
        </w:rPr>
        <w:t>s</w:t>
      </w:r>
      <w:r>
        <w:rPr>
          <w:lang w:val="en-US"/>
        </w:rPr>
        <w:t xml:space="preserve"> used in these resolutions and conclusions </w:t>
      </w:r>
      <w:r w:rsidR="00B45744">
        <w:rPr>
          <w:lang w:val="en-US"/>
        </w:rPr>
        <w:t xml:space="preserve">such as </w:t>
      </w:r>
      <w:r>
        <w:rPr>
          <w:lang w:val="en-US"/>
        </w:rPr>
        <w:t>“compliance with IHL”, “in conformity with IHL” or “in a manner consistent with IHL”</w:t>
      </w:r>
      <w:r w:rsidR="00E84EF7" w:rsidRPr="005859CA">
        <w:rPr>
          <w:lang w:val="en-US"/>
        </w:rPr>
        <w:t xml:space="preserve"> should be interpreted - in case of overlaps or clash</w:t>
      </w:r>
      <w:r>
        <w:rPr>
          <w:lang w:val="en-US"/>
        </w:rPr>
        <w:t>es with CT framework</w:t>
      </w:r>
      <w:r w:rsidR="00D85EAF">
        <w:rPr>
          <w:lang w:val="en-US"/>
        </w:rPr>
        <w:t>s -</w:t>
      </w:r>
      <w:r w:rsidR="00E84EF7" w:rsidRPr="005859CA">
        <w:rPr>
          <w:lang w:val="en-US"/>
        </w:rPr>
        <w:t xml:space="preserve"> in a way that effectively give</w:t>
      </w:r>
      <w:r w:rsidR="00737689">
        <w:rPr>
          <w:lang w:val="en-US"/>
        </w:rPr>
        <w:t>s</w:t>
      </w:r>
      <w:r w:rsidR="00E84EF7" w:rsidRPr="005859CA">
        <w:rPr>
          <w:lang w:val="en-US"/>
        </w:rPr>
        <w:t xml:space="preserve"> p</w:t>
      </w:r>
      <w:r w:rsidR="00D85EAF">
        <w:rPr>
          <w:lang w:val="en-US"/>
        </w:rPr>
        <w:t>recedence to IHL</w:t>
      </w:r>
      <w:r w:rsidR="00E84EF7" w:rsidRPr="005859CA">
        <w:rPr>
          <w:lang w:val="en-US"/>
        </w:rPr>
        <w:t xml:space="preserve"> rules when the </w:t>
      </w:r>
      <w:r w:rsidR="0052727C">
        <w:rPr>
          <w:lang w:val="en-US"/>
        </w:rPr>
        <w:t xml:space="preserve">latter govern and authorize/do not prohibit </w:t>
      </w:r>
      <w:r w:rsidR="00E84EF7" w:rsidRPr="005859CA">
        <w:rPr>
          <w:lang w:val="en-US"/>
        </w:rPr>
        <w:t xml:space="preserve">the issue at hand, for instance the assistance or protection activities carried </w:t>
      </w:r>
      <w:r w:rsidR="008C1306">
        <w:rPr>
          <w:lang w:val="en-US"/>
        </w:rPr>
        <w:t xml:space="preserve">out </w:t>
      </w:r>
      <w:r w:rsidR="00E84EF7" w:rsidRPr="005859CA">
        <w:rPr>
          <w:lang w:val="en-US"/>
        </w:rPr>
        <w:t>by impartial humanitarian organization in accordance with IHL, even if they benefit to individuals designated as terrorist.</w:t>
      </w:r>
    </w:p>
    <w:p w14:paraId="47C0969F" w14:textId="55C4DC15" w:rsidR="00D94BA9" w:rsidRDefault="00D85EAF" w:rsidP="007D1D19">
      <w:pPr>
        <w:jc w:val="both"/>
        <w:rPr>
          <w:lang w:val="en-US"/>
        </w:rPr>
      </w:pPr>
      <w:r>
        <w:rPr>
          <w:lang w:val="en-US"/>
        </w:rPr>
        <w:t>C</w:t>
      </w:r>
      <w:r w:rsidR="00D61108">
        <w:rPr>
          <w:lang w:val="en-US"/>
        </w:rPr>
        <w:t>oncrete implementation of States’ obligations to ensure that CT measures are compliant with IHL should take the form of “well-framed” humanitarian exemptions introduced notably in CT criminal laws and sanctions regimes with the view to excluding from their scope exclusively humanitarian activities</w:t>
      </w:r>
      <w:r w:rsidR="00C7500B">
        <w:rPr>
          <w:lang w:val="en-US"/>
        </w:rPr>
        <w:t xml:space="preserve"> (</w:t>
      </w:r>
      <w:r w:rsidR="00737689">
        <w:rPr>
          <w:lang w:val="en-US"/>
        </w:rPr>
        <w:t xml:space="preserve">including </w:t>
      </w:r>
      <w:r w:rsidR="00C7500B">
        <w:rPr>
          <w:lang w:val="en-US"/>
        </w:rPr>
        <w:t>assistance and protection alike)</w:t>
      </w:r>
      <w:r w:rsidR="00D61108">
        <w:rPr>
          <w:lang w:val="en-US"/>
        </w:rPr>
        <w:t xml:space="preserve"> undertaken by impartial humanitarian organizations in a manner consistent with IHL</w:t>
      </w:r>
      <w:r w:rsidR="00096DDB">
        <w:rPr>
          <w:lang w:val="en-US"/>
        </w:rPr>
        <w:t>, and only them</w:t>
      </w:r>
      <w:r w:rsidR="00D61108">
        <w:rPr>
          <w:lang w:val="en-US"/>
        </w:rPr>
        <w:t>.</w:t>
      </w:r>
      <w:r w:rsidR="00C7500B">
        <w:rPr>
          <w:lang w:val="en-US"/>
        </w:rPr>
        <w:t xml:space="preserve"> Recent developments in the Philippines, Ethiopia or Chad for instance show that humanitarian exemption</w:t>
      </w:r>
      <w:r w:rsidR="0060160E">
        <w:rPr>
          <w:lang w:val="en-US"/>
        </w:rPr>
        <w:t>s</w:t>
      </w:r>
      <w:r w:rsidR="00C7500B">
        <w:rPr>
          <w:lang w:val="en-US"/>
        </w:rPr>
        <w:t xml:space="preserve"> can be included in CT legislation without hampering the capacity of the States concerned to fight </w:t>
      </w:r>
      <w:r w:rsidR="00765E30">
        <w:rPr>
          <w:lang w:val="en-US"/>
        </w:rPr>
        <w:t>terrorism</w:t>
      </w:r>
      <w:r w:rsidR="00C7500B">
        <w:rPr>
          <w:lang w:val="en-US"/>
        </w:rPr>
        <w:t>.</w:t>
      </w:r>
    </w:p>
    <w:p w14:paraId="425F2B60" w14:textId="151CB04C" w:rsidR="00D61108" w:rsidRDefault="00D61108" w:rsidP="007D1D19">
      <w:pPr>
        <w:jc w:val="both"/>
        <w:rPr>
          <w:lang w:val="en-US"/>
        </w:rPr>
      </w:pPr>
      <w:r>
        <w:rPr>
          <w:lang w:val="en-US"/>
        </w:rPr>
        <w:t xml:space="preserve">In relation to sanctions regimes, the ICRC takes note that those in charge of establishing and enforcing them </w:t>
      </w:r>
      <w:r w:rsidR="00886018">
        <w:rPr>
          <w:lang w:val="en-US"/>
        </w:rPr>
        <w:t>often opt for a derogation system instead of humanitarian exe</w:t>
      </w:r>
      <w:r w:rsidR="00096DDB">
        <w:rPr>
          <w:lang w:val="en-US"/>
        </w:rPr>
        <w:t>mption. If the ICRC welcomes</w:t>
      </w:r>
      <w:r w:rsidR="00886018">
        <w:rPr>
          <w:lang w:val="en-US"/>
        </w:rPr>
        <w:t xml:space="preserve"> efforts to </w:t>
      </w:r>
      <w:r w:rsidR="00765E30">
        <w:rPr>
          <w:lang w:val="en-US"/>
        </w:rPr>
        <w:t>protect</w:t>
      </w:r>
      <w:r w:rsidR="00886018">
        <w:rPr>
          <w:lang w:val="en-US"/>
        </w:rPr>
        <w:t xml:space="preserve"> humanitarian </w:t>
      </w:r>
      <w:r w:rsidR="00765E30">
        <w:rPr>
          <w:lang w:val="en-US"/>
        </w:rPr>
        <w:t>space</w:t>
      </w:r>
      <w:r w:rsidR="00886018">
        <w:rPr>
          <w:lang w:val="en-US"/>
        </w:rPr>
        <w:t>, it nonetheless underlines that der</w:t>
      </w:r>
      <w:r w:rsidR="00096DDB">
        <w:rPr>
          <w:lang w:val="en-US"/>
        </w:rPr>
        <w:t>ogations</w:t>
      </w:r>
      <w:r w:rsidR="00B45744">
        <w:rPr>
          <w:lang w:val="en-US"/>
        </w:rPr>
        <w:t>, temporary authorizations or licenses</w:t>
      </w:r>
      <w:r w:rsidR="00096DDB">
        <w:rPr>
          <w:lang w:val="en-US"/>
        </w:rPr>
        <w:t xml:space="preserve"> still raise</w:t>
      </w:r>
      <w:r w:rsidR="00886018">
        <w:rPr>
          <w:lang w:val="en-US"/>
        </w:rPr>
        <w:t xml:space="preserve"> obstacles and are not workable from an operational perspective. In addition, derogation</w:t>
      </w:r>
      <w:r w:rsidR="00B45744">
        <w:rPr>
          <w:lang w:val="en-US"/>
        </w:rPr>
        <w:t>/authorizations/licenses</w:t>
      </w:r>
      <w:r w:rsidR="00886018">
        <w:rPr>
          <w:lang w:val="en-US"/>
        </w:rPr>
        <w:t xml:space="preserve"> system</w:t>
      </w:r>
      <w:r w:rsidR="00096DDB">
        <w:rPr>
          <w:lang w:val="en-US"/>
        </w:rPr>
        <w:t>s</w:t>
      </w:r>
      <w:r w:rsidR="00886018">
        <w:rPr>
          <w:lang w:val="en-US"/>
        </w:rPr>
        <w:t xml:space="preserve"> are not compatible with IHL as they add an additional layer of consent to humanitarian action not foreseen under this body of law.  Under IHL, impartial humanitarian organizations</w:t>
      </w:r>
      <w:r w:rsidR="00886018" w:rsidRPr="00886018">
        <w:rPr>
          <w:lang w:val="en-US"/>
        </w:rPr>
        <w:t xml:space="preserve"> only need the consent of be</w:t>
      </w:r>
      <w:r w:rsidR="00886018">
        <w:rPr>
          <w:lang w:val="en-US"/>
        </w:rPr>
        <w:t>lligerents</w:t>
      </w:r>
      <w:r w:rsidR="00096DDB">
        <w:rPr>
          <w:lang w:val="en-US"/>
        </w:rPr>
        <w:t xml:space="preserve"> concerned</w:t>
      </w:r>
      <w:r w:rsidR="00886018">
        <w:rPr>
          <w:lang w:val="en-US"/>
        </w:rPr>
        <w:t xml:space="preserve"> </w:t>
      </w:r>
      <w:r w:rsidR="00096DDB">
        <w:rPr>
          <w:lang w:val="en-US"/>
        </w:rPr>
        <w:t>-</w:t>
      </w:r>
      <w:r w:rsidR="00765E30">
        <w:rPr>
          <w:lang w:val="en-US"/>
        </w:rPr>
        <w:t xml:space="preserve"> </w:t>
      </w:r>
      <w:r w:rsidR="00886018">
        <w:rPr>
          <w:lang w:val="en-US"/>
        </w:rPr>
        <w:t xml:space="preserve">not </w:t>
      </w:r>
      <w:r w:rsidR="00096DDB">
        <w:rPr>
          <w:lang w:val="en-US"/>
        </w:rPr>
        <w:t xml:space="preserve">that of </w:t>
      </w:r>
      <w:r w:rsidR="00886018">
        <w:rPr>
          <w:lang w:val="en-US"/>
        </w:rPr>
        <w:t>third States/international organization</w:t>
      </w:r>
      <w:r w:rsidR="00886018" w:rsidRPr="00886018">
        <w:rPr>
          <w:lang w:val="en-US"/>
        </w:rPr>
        <w:t>s - to deliver their activities.</w:t>
      </w:r>
      <w:r w:rsidR="00886018">
        <w:rPr>
          <w:lang w:val="en-US"/>
        </w:rPr>
        <w:t xml:space="preserve"> On t</w:t>
      </w:r>
      <w:r w:rsidR="00096DDB">
        <w:rPr>
          <w:lang w:val="en-US"/>
        </w:rPr>
        <w:t xml:space="preserve">he contrary, once the </w:t>
      </w:r>
      <w:r w:rsidR="00886018">
        <w:rPr>
          <w:lang w:val="en-US"/>
        </w:rPr>
        <w:t>consent</w:t>
      </w:r>
      <w:r w:rsidR="00096DDB">
        <w:rPr>
          <w:lang w:val="en-US"/>
        </w:rPr>
        <w:t xml:space="preserve"> of the belligerents concerned</w:t>
      </w:r>
      <w:r w:rsidR="00886018">
        <w:rPr>
          <w:lang w:val="en-US"/>
        </w:rPr>
        <w:t xml:space="preserve"> is obtained, third States and international organizations are under the obligation to allow and facilitate humanitarian action, a </w:t>
      </w:r>
      <w:r w:rsidR="00096DDB">
        <w:rPr>
          <w:lang w:val="en-US"/>
        </w:rPr>
        <w:t>function</w:t>
      </w:r>
      <w:r w:rsidR="00886018">
        <w:rPr>
          <w:lang w:val="en-US"/>
        </w:rPr>
        <w:t xml:space="preserve"> that derogation</w:t>
      </w:r>
      <w:r w:rsidR="00C96B70">
        <w:rPr>
          <w:lang w:val="en-US"/>
        </w:rPr>
        <w:t>s</w:t>
      </w:r>
      <w:r w:rsidR="00886018">
        <w:rPr>
          <w:lang w:val="en-US"/>
        </w:rPr>
        <w:t xml:space="preserve"> do not fulfill in the ICRC’s view.</w:t>
      </w:r>
    </w:p>
    <w:p w14:paraId="580FE501" w14:textId="268CFBFB" w:rsidR="00D94BA9" w:rsidRDefault="00D94BA9" w:rsidP="007D1D19">
      <w:pPr>
        <w:jc w:val="both"/>
        <w:rPr>
          <w:lang w:val="en-US"/>
        </w:rPr>
      </w:pPr>
      <w:r>
        <w:rPr>
          <w:lang w:val="en-US"/>
        </w:rPr>
        <w:lastRenderedPageBreak/>
        <w:t>Eventually, w</w:t>
      </w:r>
      <w:r w:rsidRPr="00D94BA9">
        <w:rPr>
          <w:lang w:val="en-US"/>
        </w:rPr>
        <w:t>hat is at stake is our ability to cross frontlines to</w:t>
      </w:r>
      <w:r w:rsidR="00096DDB">
        <w:rPr>
          <w:lang w:val="en-US"/>
        </w:rPr>
        <w:t xml:space="preserve"> deliver humanitarian activities</w:t>
      </w:r>
      <w:r w:rsidRPr="00D94BA9">
        <w:rPr>
          <w:lang w:val="en-US"/>
        </w:rPr>
        <w:t xml:space="preserve"> for communities living in areas controlled by armed groups and individuals designated as terrorists.</w:t>
      </w:r>
      <w:r w:rsidR="00096DDB">
        <w:rPr>
          <w:lang w:val="en-US"/>
        </w:rPr>
        <w:t xml:space="preserve"> Without taking into account IHL and principled humanitarian action, CT</w:t>
      </w:r>
      <w:r w:rsidRPr="00D94BA9">
        <w:rPr>
          <w:lang w:val="en-US"/>
        </w:rPr>
        <w:t xml:space="preserve"> measures can negatively impact our ability to </w:t>
      </w:r>
      <w:r w:rsidR="00765E30">
        <w:rPr>
          <w:lang w:val="en-US"/>
        </w:rPr>
        <w:t>implement our humanitarian mandate</w:t>
      </w:r>
      <w:r w:rsidRPr="00D94BA9">
        <w:rPr>
          <w:lang w:val="en-US"/>
        </w:rPr>
        <w:t>. As a consequence, people suffer at the very moment when IHL should protect them.</w:t>
      </w:r>
    </w:p>
    <w:p w14:paraId="74D13D1D" w14:textId="77777777" w:rsidR="00166B2D" w:rsidRPr="004A5F41" w:rsidRDefault="00166B2D" w:rsidP="007D1D19">
      <w:pPr>
        <w:jc w:val="both"/>
        <w:rPr>
          <w:lang w:val="en-US"/>
        </w:rPr>
      </w:pPr>
      <w:r w:rsidRPr="00166B2D">
        <w:rPr>
          <w:lang w:val="en-US"/>
        </w:rPr>
        <w:t xml:space="preserve">The ICRC stands ready to further discuss the issue with the </w:t>
      </w:r>
      <w:r>
        <w:rPr>
          <w:lang w:val="en-US"/>
        </w:rPr>
        <w:t>Special Rapporteur</w:t>
      </w:r>
      <w:r w:rsidR="00096DDB">
        <w:rPr>
          <w:lang w:val="en-US"/>
        </w:rPr>
        <w:t xml:space="preserve"> and will remain at her disposal for any question or any additional information</w:t>
      </w:r>
      <w:r w:rsidRPr="00166B2D">
        <w:rPr>
          <w:lang w:val="en-US"/>
        </w:rPr>
        <w:t>.</w:t>
      </w:r>
    </w:p>
    <w:sectPr w:rsidR="00166B2D" w:rsidRPr="004A5F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274D7" w14:textId="77777777" w:rsidR="00212260" w:rsidRDefault="00212260" w:rsidP="00C9728A">
      <w:pPr>
        <w:spacing w:after="0" w:line="240" w:lineRule="auto"/>
      </w:pPr>
      <w:r>
        <w:separator/>
      </w:r>
    </w:p>
  </w:endnote>
  <w:endnote w:type="continuationSeparator" w:id="0">
    <w:p w14:paraId="792D7DE6" w14:textId="77777777" w:rsidR="00212260" w:rsidRDefault="00212260" w:rsidP="00C9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Helv">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408661"/>
      <w:docPartObj>
        <w:docPartGallery w:val="Page Numbers (Bottom of Page)"/>
        <w:docPartUnique/>
      </w:docPartObj>
    </w:sdtPr>
    <w:sdtEndPr>
      <w:rPr>
        <w:noProof/>
      </w:rPr>
    </w:sdtEndPr>
    <w:sdtContent>
      <w:p w14:paraId="67C78B98" w14:textId="77777777" w:rsidR="00C9728A" w:rsidRDefault="00C97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34059" w14:textId="77777777" w:rsidR="00C9728A" w:rsidRDefault="00C97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6B84" w14:textId="77777777" w:rsidR="00212260" w:rsidRDefault="00212260" w:rsidP="00C9728A">
      <w:pPr>
        <w:spacing w:after="0" w:line="240" w:lineRule="auto"/>
      </w:pPr>
      <w:r>
        <w:separator/>
      </w:r>
    </w:p>
  </w:footnote>
  <w:footnote w:type="continuationSeparator" w:id="0">
    <w:p w14:paraId="409F01EE" w14:textId="77777777" w:rsidR="00212260" w:rsidRDefault="00212260" w:rsidP="00C9728A">
      <w:pPr>
        <w:spacing w:after="0" w:line="240" w:lineRule="auto"/>
      </w:pPr>
      <w:r>
        <w:continuationSeparator/>
      </w:r>
    </w:p>
  </w:footnote>
  <w:footnote w:id="1">
    <w:p w14:paraId="2DF68762" w14:textId="72667853" w:rsidR="00AC7C3A" w:rsidRPr="00AC7C3A" w:rsidRDefault="00AC7C3A" w:rsidP="00326A46">
      <w:pPr>
        <w:pStyle w:val="FootnoteText"/>
        <w:jc w:val="both"/>
        <w:rPr>
          <w:lang w:val="en-US"/>
        </w:rPr>
      </w:pPr>
      <w:r>
        <w:rPr>
          <w:rStyle w:val="FootnoteReference"/>
        </w:rPr>
        <w:footnoteRef/>
      </w:r>
      <w:r w:rsidRPr="00AC7C3A">
        <w:rPr>
          <w:lang w:val="en-US"/>
        </w:rPr>
        <w:t xml:space="preserve"> </w:t>
      </w:r>
      <w:r>
        <w:rPr>
          <w:lang w:val="en-US"/>
        </w:rPr>
        <w:t>In t</w:t>
      </w:r>
      <w:r w:rsidR="00494622">
        <w:rPr>
          <w:lang w:val="en-US"/>
        </w:rPr>
        <w:t xml:space="preserve">his respect please see </w:t>
      </w:r>
      <w:r w:rsidR="00494622" w:rsidRPr="00494622">
        <w:rPr>
          <w:i/>
          <w:lang w:val="en-US"/>
        </w:rPr>
        <w:t xml:space="preserve">Annex 1: </w:t>
      </w:r>
      <w:r w:rsidR="00116F1B" w:rsidRPr="00494622">
        <w:rPr>
          <w:i/>
          <w:lang w:val="en-US"/>
        </w:rPr>
        <w:t>ICRC, IHL and the Challenges of Contemporary</w:t>
      </w:r>
      <w:r w:rsidR="00494622" w:rsidRPr="00494622">
        <w:rPr>
          <w:i/>
          <w:lang w:val="en-US"/>
        </w:rPr>
        <w:t xml:space="preserve"> Conflicts, ICRC, Geneva, 2019, </w:t>
      </w:r>
      <w:r w:rsidR="00116F1B" w:rsidRPr="00494622">
        <w:rPr>
          <w:i/>
          <w:lang w:val="en-US"/>
        </w:rPr>
        <w:t>Chapter on Fore</w:t>
      </w:r>
      <w:r w:rsidR="00494622" w:rsidRPr="00494622">
        <w:rPr>
          <w:i/>
          <w:lang w:val="en-US"/>
        </w:rPr>
        <w:t>ign Fighters and their Families</w:t>
      </w:r>
      <w:r w:rsidR="00494622">
        <w:rPr>
          <w:lang w:val="en-US"/>
        </w:rPr>
        <w:t xml:space="preserve">, and </w:t>
      </w:r>
      <w:r w:rsidR="00494622" w:rsidRPr="00494622">
        <w:rPr>
          <w:i/>
          <w:lang w:val="en-US"/>
        </w:rPr>
        <w:t xml:space="preserve">Annex 2: </w:t>
      </w:r>
      <w:r w:rsidR="00116F1B" w:rsidRPr="00494622">
        <w:rPr>
          <w:i/>
          <w:lang w:val="en-US"/>
        </w:rPr>
        <w:t>ICRC Position Paper: Humanitarian concerns in the aftermath of the military operations against the Islamic State group in Syria and Iraq</w:t>
      </w:r>
      <w:r w:rsidR="00116F1B">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63"/>
    <w:multiLevelType w:val="hybridMultilevel"/>
    <w:tmpl w:val="2B2A595C"/>
    <w:lvl w:ilvl="0" w:tplc="0E4250E8">
      <w:start w:val="1"/>
      <w:numFmt w:val="decimal"/>
      <w:lvlText w:val="%1."/>
      <w:lvlJc w:val="left"/>
      <w:pPr>
        <w:ind w:left="720" w:hanging="360"/>
      </w:pPr>
      <w:rPr>
        <w:rFonts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6F11B7"/>
    <w:multiLevelType w:val="hybridMultilevel"/>
    <w:tmpl w:val="0B181C7E"/>
    <w:lvl w:ilvl="0" w:tplc="75B88E70">
      <w:start w:val="4"/>
      <w:numFmt w:val="bullet"/>
      <w:lvlText w:val="-"/>
      <w:lvlJc w:val="left"/>
      <w:pPr>
        <w:ind w:left="1068" w:hanging="360"/>
      </w:pPr>
      <w:rPr>
        <w:rFonts w:ascii="Calibri" w:eastAsiaTheme="minorHAnsi" w:hAnsi="Calibri" w:cs="Calibr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 w15:restartNumberingAfterBreak="0">
    <w:nsid w:val="30847045"/>
    <w:multiLevelType w:val="hybridMultilevel"/>
    <w:tmpl w:val="8CA0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D3834"/>
    <w:multiLevelType w:val="hybridMultilevel"/>
    <w:tmpl w:val="BC627D4A"/>
    <w:lvl w:ilvl="0" w:tplc="0B18111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0253404"/>
    <w:multiLevelType w:val="hybridMultilevel"/>
    <w:tmpl w:val="CC7421E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15:restartNumberingAfterBreak="0">
    <w:nsid w:val="78A05FE6"/>
    <w:multiLevelType w:val="hybridMultilevel"/>
    <w:tmpl w:val="9DC88D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51"/>
    <w:rsid w:val="00002F86"/>
    <w:rsid w:val="00017237"/>
    <w:rsid w:val="00067A24"/>
    <w:rsid w:val="00072AE9"/>
    <w:rsid w:val="000829A7"/>
    <w:rsid w:val="00096DDB"/>
    <w:rsid w:val="000D7F64"/>
    <w:rsid w:val="000F23E8"/>
    <w:rsid w:val="000F2852"/>
    <w:rsid w:val="00105CB7"/>
    <w:rsid w:val="00106251"/>
    <w:rsid w:val="00116F1B"/>
    <w:rsid w:val="0013393D"/>
    <w:rsid w:val="00134F8C"/>
    <w:rsid w:val="00166B2D"/>
    <w:rsid w:val="001E6591"/>
    <w:rsid w:val="002102ED"/>
    <w:rsid w:val="00212260"/>
    <w:rsid w:val="00212E5A"/>
    <w:rsid w:val="0025173E"/>
    <w:rsid w:val="00255D38"/>
    <w:rsid w:val="00261890"/>
    <w:rsid w:val="002A28DC"/>
    <w:rsid w:val="002E11C7"/>
    <w:rsid w:val="003003E7"/>
    <w:rsid w:val="00326A46"/>
    <w:rsid w:val="003834CE"/>
    <w:rsid w:val="00393304"/>
    <w:rsid w:val="003A7D48"/>
    <w:rsid w:val="003E6007"/>
    <w:rsid w:val="003F036A"/>
    <w:rsid w:val="00401AA0"/>
    <w:rsid w:val="0045704E"/>
    <w:rsid w:val="00471909"/>
    <w:rsid w:val="00494622"/>
    <w:rsid w:val="0049746F"/>
    <w:rsid w:val="004A5F41"/>
    <w:rsid w:val="004E152A"/>
    <w:rsid w:val="004E1BDD"/>
    <w:rsid w:val="004E7EB7"/>
    <w:rsid w:val="00504B1D"/>
    <w:rsid w:val="00506C7E"/>
    <w:rsid w:val="00507B2B"/>
    <w:rsid w:val="005100AF"/>
    <w:rsid w:val="00522C81"/>
    <w:rsid w:val="0052727C"/>
    <w:rsid w:val="00532D64"/>
    <w:rsid w:val="00535367"/>
    <w:rsid w:val="00546E9E"/>
    <w:rsid w:val="005859CA"/>
    <w:rsid w:val="00590502"/>
    <w:rsid w:val="00592BAD"/>
    <w:rsid w:val="005B1628"/>
    <w:rsid w:val="005D339E"/>
    <w:rsid w:val="0060160E"/>
    <w:rsid w:val="006044D8"/>
    <w:rsid w:val="00605D24"/>
    <w:rsid w:val="006134DC"/>
    <w:rsid w:val="006207DC"/>
    <w:rsid w:val="006417D5"/>
    <w:rsid w:val="006535F3"/>
    <w:rsid w:val="006826B1"/>
    <w:rsid w:val="006869D2"/>
    <w:rsid w:val="006955DC"/>
    <w:rsid w:val="006B56CB"/>
    <w:rsid w:val="006D506B"/>
    <w:rsid w:val="00710636"/>
    <w:rsid w:val="0071247C"/>
    <w:rsid w:val="0071375E"/>
    <w:rsid w:val="007226A4"/>
    <w:rsid w:val="00722EAC"/>
    <w:rsid w:val="007277FC"/>
    <w:rsid w:val="00732FAE"/>
    <w:rsid w:val="00737689"/>
    <w:rsid w:val="007445CA"/>
    <w:rsid w:val="007448E3"/>
    <w:rsid w:val="00750517"/>
    <w:rsid w:val="007614A2"/>
    <w:rsid w:val="00765E30"/>
    <w:rsid w:val="00767492"/>
    <w:rsid w:val="00777260"/>
    <w:rsid w:val="007866BF"/>
    <w:rsid w:val="007878CB"/>
    <w:rsid w:val="007A1F72"/>
    <w:rsid w:val="007C797E"/>
    <w:rsid w:val="007D1D19"/>
    <w:rsid w:val="007F3F9E"/>
    <w:rsid w:val="008031E0"/>
    <w:rsid w:val="008069F7"/>
    <w:rsid w:val="008226D8"/>
    <w:rsid w:val="00834152"/>
    <w:rsid w:val="008576C0"/>
    <w:rsid w:val="00863E4D"/>
    <w:rsid w:val="008712E5"/>
    <w:rsid w:val="00880552"/>
    <w:rsid w:val="00886018"/>
    <w:rsid w:val="00887F72"/>
    <w:rsid w:val="00890342"/>
    <w:rsid w:val="008979EB"/>
    <w:rsid w:val="008A7754"/>
    <w:rsid w:val="008C1306"/>
    <w:rsid w:val="008F1A38"/>
    <w:rsid w:val="008F4ECC"/>
    <w:rsid w:val="0090276E"/>
    <w:rsid w:val="00914D59"/>
    <w:rsid w:val="0093520A"/>
    <w:rsid w:val="00951F37"/>
    <w:rsid w:val="009523D8"/>
    <w:rsid w:val="00966BA7"/>
    <w:rsid w:val="00987033"/>
    <w:rsid w:val="009B2E25"/>
    <w:rsid w:val="009B6DFE"/>
    <w:rsid w:val="009C2F6E"/>
    <w:rsid w:val="009E138B"/>
    <w:rsid w:val="009F6EFC"/>
    <w:rsid w:val="00A00D29"/>
    <w:rsid w:val="00A22C53"/>
    <w:rsid w:val="00A34BF5"/>
    <w:rsid w:val="00A62DBD"/>
    <w:rsid w:val="00A653E7"/>
    <w:rsid w:val="00A751E3"/>
    <w:rsid w:val="00AA1A93"/>
    <w:rsid w:val="00AC47E5"/>
    <w:rsid w:val="00AC600D"/>
    <w:rsid w:val="00AC72B5"/>
    <w:rsid w:val="00AC7C3A"/>
    <w:rsid w:val="00AF6D3F"/>
    <w:rsid w:val="00B23A86"/>
    <w:rsid w:val="00B326DD"/>
    <w:rsid w:val="00B45744"/>
    <w:rsid w:val="00B82DD2"/>
    <w:rsid w:val="00BA10EC"/>
    <w:rsid w:val="00BB04DD"/>
    <w:rsid w:val="00C03844"/>
    <w:rsid w:val="00C151EB"/>
    <w:rsid w:val="00C26254"/>
    <w:rsid w:val="00C37F0D"/>
    <w:rsid w:val="00C42C39"/>
    <w:rsid w:val="00C74BCD"/>
    <w:rsid w:val="00C7500B"/>
    <w:rsid w:val="00C902C4"/>
    <w:rsid w:val="00C93E6B"/>
    <w:rsid w:val="00C96B70"/>
    <w:rsid w:val="00C9728A"/>
    <w:rsid w:val="00CB2B3D"/>
    <w:rsid w:val="00CB5FF4"/>
    <w:rsid w:val="00CE0D83"/>
    <w:rsid w:val="00CF6C6F"/>
    <w:rsid w:val="00D05B81"/>
    <w:rsid w:val="00D11D5A"/>
    <w:rsid w:val="00D2377B"/>
    <w:rsid w:val="00D32325"/>
    <w:rsid w:val="00D61108"/>
    <w:rsid w:val="00D63643"/>
    <w:rsid w:val="00D71239"/>
    <w:rsid w:val="00D85EAF"/>
    <w:rsid w:val="00D94511"/>
    <w:rsid w:val="00D94BA9"/>
    <w:rsid w:val="00DB1536"/>
    <w:rsid w:val="00DC7754"/>
    <w:rsid w:val="00DE02B5"/>
    <w:rsid w:val="00DE59E4"/>
    <w:rsid w:val="00DF3CDD"/>
    <w:rsid w:val="00E308B6"/>
    <w:rsid w:val="00E7287E"/>
    <w:rsid w:val="00E81BA2"/>
    <w:rsid w:val="00E84EF7"/>
    <w:rsid w:val="00E874F7"/>
    <w:rsid w:val="00E94D26"/>
    <w:rsid w:val="00EA16AF"/>
    <w:rsid w:val="00EC6CA2"/>
    <w:rsid w:val="00EE1062"/>
    <w:rsid w:val="00EF5FA1"/>
    <w:rsid w:val="00F02137"/>
    <w:rsid w:val="00F02335"/>
    <w:rsid w:val="00F05E32"/>
    <w:rsid w:val="00F236F8"/>
    <w:rsid w:val="00F2672C"/>
    <w:rsid w:val="00F454B0"/>
    <w:rsid w:val="00F56AB5"/>
    <w:rsid w:val="00FB524F"/>
    <w:rsid w:val="00FB7D36"/>
    <w:rsid w:val="00FD297F"/>
    <w:rsid w:val="00FE5D3F"/>
    <w:rsid w:val="00FF0C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6D6F"/>
  <w15:chartTrackingRefBased/>
  <w15:docId w15:val="{2A629F45-A0D3-4BCE-9EB1-52FCC319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4EF7"/>
    <w:rPr>
      <w:sz w:val="16"/>
      <w:szCs w:val="16"/>
    </w:rPr>
  </w:style>
  <w:style w:type="paragraph" w:styleId="CommentText">
    <w:name w:val="annotation text"/>
    <w:basedOn w:val="Normal"/>
    <w:link w:val="CommentTextChar"/>
    <w:uiPriority w:val="99"/>
    <w:semiHidden/>
    <w:unhideWhenUsed/>
    <w:rsid w:val="00E84EF7"/>
    <w:pPr>
      <w:spacing w:line="240" w:lineRule="auto"/>
    </w:pPr>
    <w:rPr>
      <w:sz w:val="20"/>
      <w:szCs w:val="20"/>
    </w:rPr>
  </w:style>
  <w:style w:type="character" w:customStyle="1" w:styleId="CommentTextChar">
    <w:name w:val="Comment Text Char"/>
    <w:basedOn w:val="DefaultParagraphFont"/>
    <w:link w:val="CommentText"/>
    <w:uiPriority w:val="99"/>
    <w:semiHidden/>
    <w:rsid w:val="00E84EF7"/>
    <w:rPr>
      <w:sz w:val="20"/>
      <w:szCs w:val="20"/>
    </w:rPr>
  </w:style>
  <w:style w:type="paragraph" w:styleId="CommentSubject">
    <w:name w:val="annotation subject"/>
    <w:basedOn w:val="CommentText"/>
    <w:next w:val="CommentText"/>
    <w:link w:val="CommentSubjectChar"/>
    <w:uiPriority w:val="99"/>
    <w:semiHidden/>
    <w:unhideWhenUsed/>
    <w:rsid w:val="00E84EF7"/>
    <w:rPr>
      <w:b/>
      <w:bCs/>
    </w:rPr>
  </w:style>
  <w:style w:type="character" w:customStyle="1" w:styleId="CommentSubjectChar">
    <w:name w:val="Comment Subject Char"/>
    <w:basedOn w:val="CommentTextChar"/>
    <w:link w:val="CommentSubject"/>
    <w:uiPriority w:val="99"/>
    <w:semiHidden/>
    <w:rsid w:val="00E84EF7"/>
    <w:rPr>
      <w:b/>
      <w:bCs/>
      <w:sz w:val="20"/>
      <w:szCs w:val="20"/>
    </w:rPr>
  </w:style>
  <w:style w:type="paragraph" w:styleId="BalloonText">
    <w:name w:val="Balloon Text"/>
    <w:basedOn w:val="Normal"/>
    <w:link w:val="BalloonTextChar"/>
    <w:uiPriority w:val="99"/>
    <w:semiHidden/>
    <w:unhideWhenUsed/>
    <w:rsid w:val="00E84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F7"/>
    <w:rPr>
      <w:rFonts w:ascii="Segoe UI" w:hAnsi="Segoe UI" w:cs="Segoe UI"/>
      <w:sz w:val="18"/>
      <w:szCs w:val="18"/>
    </w:rPr>
  </w:style>
  <w:style w:type="paragraph" w:styleId="Header">
    <w:name w:val="header"/>
    <w:basedOn w:val="Normal"/>
    <w:link w:val="HeaderChar"/>
    <w:uiPriority w:val="99"/>
    <w:unhideWhenUsed/>
    <w:rsid w:val="00C972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728A"/>
  </w:style>
  <w:style w:type="paragraph" w:styleId="Footer">
    <w:name w:val="footer"/>
    <w:basedOn w:val="Normal"/>
    <w:link w:val="FooterChar"/>
    <w:uiPriority w:val="99"/>
    <w:unhideWhenUsed/>
    <w:rsid w:val="00C972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28A"/>
  </w:style>
  <w:style w:type="paragraph" w:styleId="ListParagraph">
    <w:name w:val="List Paragraph"/>
    <w:basedOn w:val="Normal"/>
    <w:uiPriority w:val="34"/>
    <w:qFormat/>
    <w:rsid w:val="00FD297F"/>
    <w:pPr>
      <w:ind w:left="720"/>
      <w:contextualSpacing/>
    </w:pPr>
  </w:style>
  <w:style w:type="character" w:styleId="Hyperlink">
    <w:name w:val="Hyperlink"/>
    <w:basedOn w:val="DefaultParagraphFont"/>
    <w:uiPriority w:val="99"/>
    <w:unhideWhenUsed/>
    <w:rsid w:val="009E138B"/>
    <w:rPr>
      <w:color w:val="0563C1" w:themeColor="hyperlink"/>
      <w:u w:val="single"/>
    </w:rPr>
  </w:style>
  <w:style w:type="paragraph" w:styleId="FootnoteText">
    <w:name w:val="footnote text"/>
    <w:basedOn w:val="Normal"/>
    <w:link w:val="FootnoteTextChar"/>
    <w:uiPriority w:val="99"/>
    <w:semiHidden/>
    <w:unhideWhenUsed/>
    <w:rsid w:val="00C90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2C4"/>
    <w:rPr>
      <w:sz w:val="20"/>
      <w:szCs w:val="20"/>
    </w:rPr>
  </w:style>
  <w:style w:type="character" w:styleId="FootnoteReference">
    <w:name w:val="footnote reference"/>
    <w:basedOn w:val="DefaultParagraphFont"/>
    <w:uiPriority w:val="99"/>
    <w:semiHidden/>
    <w:unhideWhenUsed/>
    <w:rsid w:val="00C902C4"/>
    <w:rPr>
      <w:vertAlign w:val="superscript"/>
    </w:rPr>
  </w:style>
  <w:style w:type="character" w:styleId="UnresolvedMention">
    <w:name w:val="Unresolved Mention"/>
    <w:basedOn w:val="DefaultParagraphFont"/>
    <w:uiPriority w:val="99"/>
    <w:semiHidden/>
    <w:unhideWhenUsed/>
    <w:rsid w:val="00C902C4"/>
    <w:rPr>
      <w:color w:val="808080"/>
      <w:shd w:val="clear" w:color="auto" w:fill="E6E6E6"/>
    </w:rPr>
  </w:style>
  <w:style w:type="character" w:styleId="FollowedHyperlink">
    <w:name w:val="FollowedHyperlink"/>
    <w:basedOn w:val="DefaultParagraphFont"/>
    <w:uiPriority w:val="99"/>
    <w:semiHidden/>
    <w:unhideWhenUsed/>
    <w:rsid w:val="008576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07745">
      <w:bodyDiv w:val="1"/>
      <w:marLeft w:val="0"/>
      <w:marRight w:val="0"/>
      <w:marTop w:val="0"/>
      <w:marBottom w:val="0"/>
      <w:divBdr>
        <w:top w:val="none" w:sz="0" w:space="0" w:color="auto"/>
        <w:left w:val="none" w:sz="0" w:space="0" w:color="auto"/>
        <w:bottom w:val="none" w:sz="0" w:space="0" w:color="auto"/>
        <w:right w:val="none" w:sz="0" w:space="0" w:color="auto"/>
      </w:divBdr>
    </w:div>
    <w:div w:id="953442000">
      <w:bodyDiv w:val="1"/>
      <w:marLeft w:val="0"/>
      <w:marRight w:val="0"/>
      <w:marTop w:val="0"/>
      <w:marBottom w:val="0"/>
      <w:divBdr>
        <w:top w:val="none" w:sz="0" w:space="0" w:color="auto"/>
        <w:left w:val="none" w:sz="0" w:space="0" w:color="auto"/>
        <w:bottom w:val="none" w:sz="0" w:space="0" w:color="auto"/>
        <w:right w:val="none" w:sz="0" w:space="0" w:color="auto"/>
      </w:divBdr>
      <w:divsChild>
        <w:div w:id="647168635">
          <w:marLeft w:val="0"/>
          <w:marRight w:val="0"/>
          <w:marTop w:val="0"/>
          <w:marBottom w:val="0"/>
          <w:divBdr>
            <w:top w:val="none" w:sz="0" w:space="0" w:color="auto"/>
            <w:left w:val="none" w:sz="0" w:space="0" w:color="auto"/>
            <w:bottom w:val="none" w:sz="0" w:space="0" w:color="auto"/>
            <w:right w:val="none" w:sz="0" w:space="0" w:color="auto"/>
          </w:divBdr>
          <w:divsChild>
            <w:div w:id="1741295691">
              <w:marLeft w:val="0"/>
              <w:marRight w:val="0"/>
              <w:marTop w:val="0"/>
              <w:marBottom w:val="0"/>
              <w:divBdr>
                <w:top w:val="none" w:sz="0" w:space="0" w:color="auto"/>
                <w:left w:val="none" w:sz="0" w:space="0" w:color="auto"/>
                <w:bottom w:val="none" w:sz="0" w:space="0" w:color="auto"/>
                <w:right w:val="none" w:sz="0" w:space="0" w:color="auto"/>
              </w:divBdr>
              <w:divsChild>
                <w:div w:id="1587299979">
                  <w:marLeft w:val="0"/>
                  <w:marRight w:val="0"/>
                  <w:marTop w:val="0"/>
                  <w:marBottom w:val="0"/>
                  <w:divBdr>
                    <w:top w:val="none" w:sz="0" w:space="0" w:color="auto"/>
                    <w:left w:val="none" w:sz="0" w:space="0" w:color="auto"/>
                    <w:bottom w:val="none" w:sz="0" w:space="0" w:color="auto"/>
                    <w:right w:val="none" w:sz="0" w:space="0" w:color="auto"/>
                  </w:divBdr>
                  <w:divsChild>
                    <w:div w:id="9951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177C45-3F49-47F6-ABF7-8A4FE312B104}">
  <ds:schemaRefs>
    <ds:schemaRef ds:uri="http://schemas.openxmlformats.org/officeDocument/2006/bibliography"/>
  </ds:schemaRefs>
</ds:datastoreItem>
</file>

<file path=customXml/itemProps2.xml><?xml version="1.0" encoding="utf-8"?>
<ds:datastoreItem xmlns:ds="http://schemas.openxmlformats.org/officeDocument/2006/customXml" ds:itemID="{C20CB212-6A0B-4088-BB6D-5286A8078378}"/>
</file>

<file path=customXml/itemProps3.xml><?xml version="1.0" encoding="utf-8"?>
<ds:datastoreItem xmlns:ds="http://schemas.openxmlformats.org/officeDocument/2006/customXml" ds:itemID="{8BB1790F-792F-4159-82AB-90E7A6200518}"/>
</file>

<file path=customXml/itemProps4.xml><?xml version="1.0" encoding="utf-8"?>
<ds:datastoreItem xmlns:ds="http://schemas.openxmlformats.org/officeDocument/2006/customXml" ds:itemID="{09C966E9-56F1-4C0F-9978-539EB3C99A65}"/>
</file>

<file path=docProps/app.xml><?xml version="1.0" encoding="utf-8"?>
<Properties xmlns="http://schemas.openxmlformats.org/officeDocument/2006/extended-properties" xmlns:vt="http://schemas.openxmlformats.org/officeDocument/2006/docPropsVTypes">
  <Template>Normal.dotm</Template>
  <TotalTime>0</TotalTime>
  <Pages>6</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Ferraro</dc:creator>
  <cp:keywords/>
  <dc:description/>
  <cp:lastModifiedBy>Krisztina Huszti-Orban</cp:lastModifiedBy>
  <cp:revision>2</cp:revision>
  <dcterms:created xsi:type="dcterms:W3CDTF">2020-07-27T16:48:00Z</dcterms:created>
  <dcterms:modified xsi:type="dcterms:W3CDTF">2020-07-27T16:48:00Z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