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216BD9" w14:textId="77777777" w:rsidR="00CE1D34" w:rsidRDefault="00CE1D34" w:rsidP="00CC1399">
      <w:r w:rsidRPr="00CE1D34">
        <w:rPr>
          <w:noProof/>
        </w:rPr>
        <w:drawing>
          <wp:inline distT="0" distB="0" distL="0" distR="0" wp14:anchorId="23EABE83" wp14:editId="7F85CECA">
            <wp:extent cx="1608526" cy="971550"/>
            <wp:effectExtent l="0" t="0" r="0" b="0"/>
            <wp:docPr id="2" name="Picture 2" descr="C:\Users\USER\Documents\Magic Briefcase\EFilesCSN\FATF\Global Coalition\Logo files\WhiteBkg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Magic Briefcase\EFilesCSN\FATF\Global Coalition\Logo files\WhiteBkgd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8569" cy="995736"/>
                    </a:xfrm>
                    <a:prstGeom prst="rect">
                      <a:avLst/>
                    </a:prstGeom>
                    <a:noFill/>
                    <a:ln>
                      <a:noFill/>
                    </a:ln>
                  </pic:spPr>
                </pic:pic>
              </a:graphicData>
            </a:graphic>
          </wp:inline>
        </w:drawing>
      </w:r>
      <w:r>
        <w:t xml:space="preserve">  </w:t>
      </w:r>
    </w:p>
    <w:p w14:paraId="0F3F7EC6" w14:textId="77777777" w:rsidR="00CE1D34" w:rsidRDefault="00CE1D34" w:rsidP="00CC1399"/>
    <w:p w14:paraId="2929D912" w14:textId="5D332C83" w:rsidR="00CE1D34" w:rsidRPr="00215A71" w:rsidRDefault="00807B68" w:rsidP="00CC1399">
      <w:pPr>
        <w:rPr>
          <w:b/>
          <w:color w:val="538135" w:themeColor="accent6" w:themeShade="BF"/>
        </w:rPr>
        <w:sectPr w:rsidR="00CE1D34" w:rsidRPr="00215A71" w:rsidSect="00215A71">
          <w:footerReference w:type="default" r:id="rId9"/>
          <w:pgSz w:w="11900" w:h="16840"/>
          <w:pgMar w:top="1360" w:right="1680" w:bottom="980" w:left="1680" w:header="720" w:footer="793" w:gutter="0"/>
          <w:pgNumType w:start="1"/>
          <w:cols w:num="2" w:space="720"/>
        </w:sectPr>
      </w:pPr>
      <w:hyperlink r:id="rId10" w:history="1">
        <w:r w:rsidR="00CE1D34" w:rsidRPr="00215A71">
          <w:rPr>
            <w:rStyle w:val="Hyperlink"/>
            <w:b/>
            <w:color w:val="538135" w:themeColor="accent6" w:themeShade="BF"/>
          </w:rPr>
          <w:t>www.fatfplatform.org</w:t>
        </w:r>
      </w:hyperlink>
    </w:p>
    <w:p w14:paraId="6C7043DE" w14:textId="719252D8" w:rsidR="002F0CAF" w:rsidRDefault="00CE1D34" w:rsidP="00CC1399">
      <w:r>
        <w:t xml:space="preserve"> </w:t>
      </w:r>
    </w:p>
    <w:p w14:paraId="3B633BFA" w14:textId="551B4C24" w:rsidR="00CE1D34" w:rsidRDefault="00F95C5B" w:rsidP="00F95C5B">
      <w:pPr>
        <w:jc w:val="center"/>
        <w:rPr>
          <w:b/>
        </w:rPr>
      </w:pPr>
      <w:r>
        <w:rPr>
          <w:b/>
        </w:rPr>
        <w:t>Submission to the United National Special Rapporteur on the promo</w:t>
      </w:r>
      <w:r w:rsidR="00980196">
        <w:rPr>
          <w:b/>
        </w:rPr>
        <w:t>tion and protection of human rig</w:t>
      </w:r>
      <w:r>
        <w:rPr>
          <w:b/>
        </w:rPr>
        <w:t>hts and fundamental freedoms while countering terrorism</w:t>
      </w:r>
    </w:p>
    <w:p w14:paraId="57624F28" w14:textId="76FE18CB" w:rsidR="00F95C5B" w:rsidRDefault="00F95C5B" w:rsidP="00F95C5B">
      <w:pPr>
        <w:jc w:val="center"/>
        <w:rPr>
          <w:b/>
        </w:rPr>
      </w:pPr>
      <w:r>
        <w:rPr>
          <w:b/>
        </w:rPr>
        <w:t>Regarding: Soft law and informal lawmaking in the global counter-terrorism architecture: Assessing implications on the promotion and protection of human rights and fundamental freedoms</w:t>
      </w:r>
    </w:p>
    <w:p w14:paraId="5E52CF83" w14:textId="6A9088CE" w:rsidR="00F95C5B" w:rsidRPr="00F95C5B" w:rsidRDefault="00F95C5B" w:rsidP="00F95C5B">
      <w:pPr>
        <w:jc w:val="center"/>
        <w:rPr>
          <w:b/>
        </w:rPr>
      </w:pPr>
      <w:r>
        <w:rPr>
          <w:b/>
        </w:rPr>
        <w:t>June 30, 2019</w:t>
      </w:r>
    </w:p>
    <w:p w14:paraId="239C1643" w14:textId="1173BB7B" w:rsidR="008259D4" w:rsidRPr="000901E0" w:rsidRDefault="008259D4" w:rsidP="00CC1399">
      <w:pPr>
        <w:rPr>
          <w:b/>
        </w:rPr>
      </w:pPr>
      <w:r w:rsidRPr="000901E0">
        <w:rPr>
          <w:b/>
        </w:rPr>
        <w:t>Introduction</w:t>
      </w:r>
    </w:p>
    <w:p w14:paraId="7681CACE" w14:textId="4052BCF4" w:rsidR="000901E0" w:rsidRDefault="008259D4" w:rsidP="00CC1399">
      <w:r w:rsidRPr="00CC1399">
        <w:t xml:space="preserve">The Global NPO Coalition on FATF </w:t>
      </w:r>
      <w:r w:rsidR="00851667" w:rsidRPr="00CC1399">
        <w:t>(coalition)</w:t>
      </w:r>
      <w:r w:rsidR="000901E0">
        <w:t xml:space="preserve"> </w:t>
      </w:r>
      <w:r w:rsidRPr="00CC1399">
        <w:t>appreciates the opportunity to provide information and recommendations to the Special Rapporteur on the subject of soft-law bodies and protection of human rights while countering terroris</w:t>
      </w:r>
      <w:r w:rsidR="000901E0">
        <w:t>m</w:t>
      </w:r>
      <w:r w:rsidR="00851667" w:rsidRPr="00CC1399">
        <w:t>. These comments focus on the Financial Action Task Force (FATF)</w:t>
      </w:r>
      <w:r w:rsidR="000901E0">
        <w:t>, whose</w:t>
      </w:r>
      <w:r w:rsidR="00851667" w:rsidRPr="00CC1399">
        <w:t xml:space="preserve"> recommendation on </w:t>
      </w:r>
      <w:r w:rsidR="000901E0">
        <w:t xml:space="preserve">counterterrorist financing and </w:t>
      </w:r>
      <w:r w:rsidR="00851667" w:rsidRPr="00CC1399">
        <w:t>nonprofit organizations (NPOs) ha</w:t>
      </w:r>
      <w:r w:rsidR="000901E0">
        <w:t>s</w:t>
      </w:r>
      <w:r w:rsidR="00851667" w:rsidRPr="00CC1399">
        <w:t xml:space="preserve"> had a major impact on civil society globally</w:t>
      </w:r>
      <w:r w:rsidR="000901E0">
        <w:t xml:space="preserve">. </w:t>
      </w:r>
      <w:r w:rsidR="00AA7F9D">
        <w:t xml:space="preserve">Because FATF evaluates and publicly rates states’ implementation of its standards, it has enormous influence over how states formulate and implement counterterrorist financing measures. </w:t>
      </w:r>
    </w:p>
    <w:p w14:paraId="13FA685F" w14:textId="038FD516" w:rsidR="000F4619" w:rsidRDefault="00851667" w:rsidP="00CC1399">
      <w:r w:rsidRPr="00CC1399">
        <w:t xml:space="preserve">The coalition formed in 2013 to provide a vehicle for NPOs globally to engage FATF and address these issues. Today the coalition includes NPOs from </w:t>
      </w:r>
      <w:r w:rsidR="00C609A7">
        <w:t xml:space="preserve">130 </w:t>
      </w:r>
      <w:r w:rsidRPr="00CC1399">
        <w:t>countries and has four representatives in FATF’s Private Consultative Forum.</w:t>
      </w:r>
      <w:r w:rsidR="00C609A7">
        <w:rPr>
          <w:rStyle w:val="FootnoteReference"/>
        </w:rPr>
        <w:footnoteReference w:id="1"/>
      </w:r>
      <w:r w:rsidRPr="00CC1399">
        <w:t xml:space="preserve"> Overall, this engagement has brought about significant improvement in FATF’s standards and guidance relating to NPOs</w:t>
      </w:r>
      <w:r w:rsidR="00C609A7">
        <w:t xml:space="preserve">, including revision of </w:t>
      </w:r>
      <w:r w:rsidR="00F208BC">
        <w:t>it</w:t>
      </w:r>
      <w:r w:rsidR="00AA7F9D">
        <w:t>s</w:t>
      </w:r>
      <w:r w:rsidR="00F208BC">
        <w:t xml:space="preserve"> standard on NPOs</w:t>
      </w:r>
      <w:r w:rsidR="00CE1D34">
        <w:t>, now Recommendation 8 (R8).</w:t>
      </w:r>
      <w:r w:rsidR="00F208BC">
        <w:rPr>
          <w:rStyle w:val="FootnoteReference"/>
        </w:rPr>
        <w:footnoteReference w:id="2"/>
      </w:r>
      <w:r w:rsidR="000901E0">
        <w:t xml:space="preserve"> C</w:t>
      </w:r>
      <w:r w:rsidRPr="00CC1399">
        <w:t xml:space="preserve">urrently </w:t>
      </w:r>
      <w:r w:rsidR="000901E0">
        <w:t xml:space="preserve">the primary concerns of the coalition are </w:t>
      </w:r>
      <w:r w:rsidRPr="00CC1399">
        <w:t>appropriate implementation</w:t>
      </w:r>
      <w:r w:rsidR="000901E0">
        <w:t xml:space="preserve"> of FATF</w:t>
      </w:r>
      <w:r w:rsidR="009A4163" w:rsidRPr="00CC1399">
        <w:t xml:space="preserve"> standards</w:t>
      </w:r>
      <w:r w:rsidR="00215A71">
        <w:t xml:space="preserve"> and</w:t>
      </w:r>
      <w:r w:rsidR="00AA7F9D">
        <w:t xml:space="preserve"> </w:t>
      </w:r>
      <w:r w:rsidR="00A511E4">
        <w:t>transparency and accountability of FATF processes</w:t>
      </w:r>
      <w:r w:rsidR="00F208BC">
        <w:t>, including in its regional bodies</w:t>
      </w:r>
      <w:r w:rsidR="009A4163" w:rsidRPr="00CC1399">
        <w:t xml:space="preserve">. </w:t>
      </w:r>
    </w:p>
    <w:p w14:paraId="1FEC2026" w14:textId="64B34D4B" w:rsidR="008259D4" w:rsidRPr="00CC1399" w:rsidRDefault="009A4163" w:rsidP="00CC1399">
      <w:r w:rsidRPr="00CC1399">
        <w:t>These comments</w:t>
      </w:r>
      <w:r w:rsidR="00A511E4">
        <w:t xml:space="preserve"> provide a brief </w:t>
      </w:r>
      <w:r w:rsidR="00784563">
        <w:t>background on</w:t>
      </w:r>
      <w:r w:rsidR="00A511E4">
        <w:t xml:space="preserve"> our engagement with FATF</w:t>
      </w:r>
      <w:r w:rsidR="00F208BC">
        <w:t xml:space="preserve"> and the issues involved,</w:t>
      </w:r>
      <w:r w:rsidR="00AA7F9D">
        <w:t xml:space="preserve"> </w:t>
      </w:r>
      <w:r w:rsidRPr="00CC1399">
        <w:t>address key questions posed by the Special Rapporteur and make recommendations for improving the way FATF engages with civil society and private sector stakeholders.</w:t>
      </w:r>
    </w:p>
    <w:p w14:paraId="6E9B6ED8" w14:textId="3EFBB7E7" w:rsidR="008259D4" w:rsidRPr="00A511E4" w:rsidRDefault="00784563" w:rsidP="00CC1399">
      <w:pPr>
        <w:rPr>
          <w:b/>
        </w:rPr>
      </w:pPr>
      <w:r>
        <w:rPr>
          <w:b/>
        </w:rPr>
        <w:t>Background</w:t>
      </w:r>
    </w:p>
    <w:p w14:paraId="4060A666" w14:textId="007F9477" w:rsidR="005A42AE" w:rsidRDefault="00A65339" w:rsidP="00CC1399">
      <w:pPr>
        <w:rPr>
          <w:color w:val="000000"/>
          <w:highlight w:val="yellow"/>
        </w:rPr>
      </w:pPr>
      <w:r w:rsidRPr="00CC1399">
        <w:rPr>
          <w:color w:val="000000"/>
        </w:rPr>
        <w:t>After 9/11</w:t>
      </w:r>
      <w:r w:rsidR="001D0BBC" w:rsidRPr="00CC1399">
        <w:rPr>
          <w:color w:val="000000"/>
        </w:rPr>
        <w:t xml:space="preserve"> FATF added counterterrorist financing to its mission</w:t>
      </w:r>
      <w:r w:rsidR="00A511E4">
        <w:rPr>
          <w:color w:val="000000"/>
        </w:rPr>
        <w:t xml:space="preserve"> and</w:t>
      </w:r>
      <w:r w:rsidR="001D0BBC" w:rsidRPr="00CC1399">
        <w:rPr>
          <w:color w:val="000000"/>
        </w:rPr>
        <w:t xml:space="preserve"> quickly adopted new special recommendations to address the issue, including </w:t>
      </w:r>
      <w:r w:rsidR="00E22CC4" w:rsidRPr="00CC1399">
        <w:rPr>
          <w:color w:val="000000"/>
        </w:rPr>
        <w:t>S</w:t>
      </w:r>
      <w:r w:rsidR="00A511E4">
        <w:rPr>
          <w:color w:val="000000"/>
        </w:rPr>
        <w:t xml:space="preserve">pecial </w:t>
      </w:r>
      <w:r w:rsidR="00E22CC4" w:rsidRPr="00CC1399">
        <w:rPr>
          <w:color w:val="000000"/>
        </w:rPr>
        <w:t>R</w:t>
      </w:r>
      <w:r w:rsidR="00A511E4">
        <w:rPr>
          <w:color w:val="000000"/>
        </w:rPr>
        <w:t>ecommendation</w:t>
      </w:r>
      <w:r w:rsidR="00E22CC4" w:rsidRPr="00CC1399">
        <w:rPr>
          <w:color w:val="000000"/>
        </w:rPr>
        <w:t xml:space="preserve"> VIII on NPOs. </w:t>
      </w:r>
      <w:r w:rsidR="003670E0" w:rsidRPr="00CC1399">
        <w:rPr>
          <w:color w:val="000000"/>
        </w:rPr>
        <w:t xml:space="preserve">SR VIII </w:t>
      </w:r>
      <w:r w:rsidR="000F4619">
        <w:rPr>
          <w:color w:val="000000"/>
        </w:rPr>
        <w:t xml:space="preserve">inaccurately </w:t>
      </w:r>
      <w:r w:rsidR="003670E0" w:rsidRPr="00CC1399">
        <w:rPr>
          <w:color w:val="000000"/>
        </w:rPr>
        <w:t>labeled NPOs as being “particularly vulnerable” to terrorist financing</w:t>
      </w:r>
      <w:r w:rsidR="00DB5291">
        <w:rPr>
          <w:color w:val="000000"/>
        </w:rPr>
        <w:t xml:space="preserve"> abuse</w:t>
      </w:r>
      <w:r w:rsidR="003670E0" w:rsidRPr="00CC1399">
        <w:rPr>
          <w:color w:val="000000"/>
        </w:rPr>
        <w:t xml:space="preserve">. Over the following decade a </w:t>
      </w:r>
      <w:r w:rsidR="00923138" w:rsidRPr="00CC1399">
        <w:rPr>
          <w:color w:val="000000"/>
        </w:rPr>
        <w:t>growing number of</w:t>
      </w:r>
      <w:r w:rsidR="005142FF" w:rsidRPr="00CC1399">
        <w:rPr>
          <w:color w:val="000000"/>
        </w:rPr>
        <w:t xml:space="preserve"> counterterrorism-related restrictions on NPOs</w:t>
      </w:r>
      <w:r w:rsidR="003F3A0E" w:rsidRPr="00CC1399">
        <w:rPr>
          <w:color w:val="000000"/>
        </w:rPr>
        <w:t xml:space="preserve"> were put in place, with serious negative impact on legitimate NPO</w:t>
      </w:r>
      <w:r w:rsidR="000161B8">
        <w:rPr>
          <w:color w:val="000000"/>
        </w:rPr>
        <w:t>s and their beneficiaries</w:t>
      </w:r>
      <w:r w:rsidR="003F3A0E" w:rsidRPr="00CC1399">
        <w:rPr>
          <w:color w:val="000000"/>
        </w:rPr>
        <w:t xml:space="preserve">. </w:t>
      </w:r>
    </w:p>
    <w:p w14:paraId="21EEC243" w14:textId="607F91A0" w:rsidR="0048365E" w:rsidRPr="00CC1399" w:rsidRDefault="00CA6E34" w:rsidP="00CA6E34">
      <w:pPr>
        <w:rPr>
          <w:color w:val="000000"/>
        </w:rPr>
      </w:pPr>
      <w:r w:rsidRPr="00CA6E34">
        <w:rPr>
          <w:color w:val="000000"/>
        </w:rPr>
        <w:t>Compliance with the recommendations is periodically evaluated</w:t>
      </w:r>
      <w:r w:rsidR="0048365E">
        <w:rPr>
          <w:color w:val="000000"/>
        </w:rPr>
        <w:t xml:space="preserve"> through the mutual evaluation process</w:t>
      </w:r>
      <w:r w:rsidRPr="00CA6E34">
        <w:rPr>
          <w:color w:val="000000"/>
        </w:rPr>
        <w:t xml:space="preserve"> by FATF or one of</w:t>
      </w:r>
      <w:r>
        <w:rPr>
          <w:color w:val="000000"/>
        </w:rPr>
        <w:t xml:space="preserve"> </w:t>
      </w:r>
      <w:r w:rsidRPr="00CA6E34">
        <w:rPr>
          <w:color w:val="000000"/>
        </w:rPr>
        <w:t>FATF-style regional bodies (FSRB) that effectively cover almost all countries in the</w:t>
      </w:r>
      <w:r>
        <w:rPr>
          <w:color w:val="000000"/>
        </w:rPr>
        <w:t xml:space="preserve"> </w:t>
      </w:r>
      <w:r w:rsidRPr="00CA6E34">
        <w:rPr>
          <w:color w:val="000000"/>
        </w:rPr>
        <w:t>world</w:t>
      </w:r>
      <w:r>
        <w:rPr>
          <w:color w:val="000000"/>
        </w:rPr>
        <w:t>.</w:t>
      </w:r>
      <w:r w:rsidR="00CE1D34">
        <w:rPr>
          <w:rStyle w:val="FootnoteReference"/>
          <w:color w:val="000000"/>
        </w:rPr>
        <w:footnoteReference w:id="3"/>
      </w:r>
      <w:r w:rsidR="0048365E">
        <w:rPr>
          <w:color w:val="000000"/>
        </w:rPr>
        <w:t xml:space="preserve"> </w:t>
      </w:r>
      <w:r w:rsidRPr="00CA6E34">
        <w:rPr>
          <w:color w:val="000000"/>
        </w:rPr>
        <w:t>This mutual evaluation process produce</w:t>
      </w:r>
      <w:r w:rsidR="00490875">
        <w:rPr>
          <w:color w:val="000000"/>
        </w:rPr>
        <w:t>s</w:t>
      </w:r>
      <w:r w:rsidRPr="00CA6E34">
        <w:rPr>
          <w:color w:val="000000"/>
        </w:rPr>
        <w:t xml:space="preserve"> ratings that have real consequences,</w:t>
      </w:r>
      <w:r w:rsidR="0048365E">
        <w:rPr>
          <w:color w:val="000000"/>
        </w:rPr>
        <w:t xml:space="preserve"> </w:t>
      </w:r>
      <w:r w:rsidRPr="00CA6E34">
        <w:rPr>
          <w:color w:val="000000"/>
        </w:rPr>
        <w:t>affecting country’s bond ratings, access to financial markets, trade, and investment. In</w:t>
      </w:r>
      <w:r w:rsidR="0048365E">
        <w:rPr>
          <w:color w:val="000000"/>
        </w:rPr>
        <w:t xml:space="preserve"> </w:t>
      </w:r>
      <w:r w:rsidRPr="00CA6E34">
        <w:rPr>
          <w:color w:val="000000"/>
        </w:rPr>
        <w:t xml:space="preserve">protection of these, many governments have proven </w:t>
      </w:r>
      <w:r w:rsidRPr="00CA6E34">
        <w:rPr>
          <w:color w:val="000000"/>
        </w:rPr>
        <w:lastRenderedPageBreak/>
        <w:t>willing to compromise human rights</w:t>
      </w:r>
      <w:r w:rsidR="0048365E">
        <w:rPr>
          <w:color w:val="000000"/>
        </w:rPr>
        <w:t xml:space="preserve"> </w:t>
      </w:r>
      <w:r w:rsidRPr="00CA6E34">
        <w:rPr>
          <w:color w:val="000000"/>
        </w:rPr>
        <w:t>and civic freedoms.</w:t>
      </w:r>
      <w:r w:rsidR="0048365E">
        <w:rPr>
          <w:color w:val="000000"/>
        </w:rPr>
        <w:t xml:space="preserve"> </w:t>
      </w:r>
      <w:r w:rsidR="0048365E" w:rsidRPr="0048365E">
        <w:rPr>
          <w:color w:val="000000"/>
        </w:rPr>
        <w:t>Whilst FATF</w:t>
      </w:r>
      <w:r w:rsidR="0048365E">
        <w:rPr>
          <w:color w:val="000000"/>
        </w:rPr>
        <w:t xml:space="preserve"> </w:t>
      </w:r>
      <w:r w:rsidR="0048365E" w:rsidRPr="0048365E">
        <w:rPr>
          <w:color w:val="000000"/>
        </w:rPr>
        <w:t>provides some guidance on aspects of R8, it does not detail how</w:t>
      </w:r>
      <w:r w:rsidR="0048365E">
        <w:rPr>
          <w:color w:val="000000"/>
        </w:rPr>
        <w:t xml:space="preserve"> </w:t>
      </w:r>
      <w:r w:rsidR="0048365E" w:rsidRPr="0048365E">
        <w:rPr>
          <w:color w:val="000000"/>
        </w:rPr>
        <w:t>countries should undertake risk assessments or ‘engage’ with NPOs in evaluations</w:t>
      </w:r>
      <w:r w:rsidR="0048365E">
        <w:rPr>
          <w:color w:val="000000"/>
        </w:rPr>
        <w:t xml:space="preserve"> process</w:t>
      </w:r>
      <w:r w:rsidR="0048365E" w:rsidRPr="0048365E">
        <w:rPr>
          <w:color w:val="000000"/>
        </w:rPr>
        <w:t>.</w:t>
      </w:r>
      <w:r w:rsidR="0048365E">
        <w:rPr>
          <w:color w:val="000000"/>
        </w:rPr>
        <w:t xml:space="preserve"> </w:t>
      </w:r>
      <w:r w:rsidR="0048365E" w:rsidRPr="0048365E">
        <w:rPr>
          <w:color w:val="000000"/>
        </w:rPr>
        <w:t>In addi</w:t>
      </w:r>
      <w:r w:rsidR="00215A71">
        <w:rPr>
          <w:color w:val="000000"/>
        </w:rPr>
        <w:t>tion, little is known about how</w:t>
      </w:r>
      <w:r w:rsidR="0048365E" w:rsidRPr="0048365E">
        <w:rPr>
          <w:color w:val="000000"/>
        </w:rPr>
        <w:t xml:space="preserve"> NPOs </w:t>
      </w:r>
      <w:r w:rsidR="00490875">
        <w:rPr>
          <w:color w:val="000000"/>
        </w:rPr>
        <w:t xml:space="preserve">can </w:t>
      </w:r>
      <w:r w:rsidR="0048365E" w:rsidRPr="0048365E">
        <w:rPr>
          <w:color w:val="000000"/>
        </w:rPr>
        <w:t>continue to engage after the</w:t>
      </w:r>
      <w:r w:rsidR="0048365E">
        <w:rPr>
          <w:color w:val="000000"/>
        </w:rPr>
        <w:t xml:space="preserve"> </w:t>
      </w:r>
      <w:r w:rsidR="0048365E" w:rsidRPr="0048365E">
        <w:rPr>
          <w:color w:val="000000"/>
        </w:rPr>
        <w:t>evaluation process is official</w:t>
      </w:r>
      <w:r w:rsidR="00490875">
        <w:rPr>
          <w:color w:val="000000"/>
        </w:rPr>
        <w:t>ly</w:t>
      </w:r>
      <w:r w:rsidR="0048365E" w:rsidRPr="0048365E">
        <w:rPr>
          <w:color w:val="000000"/>
        </w:rPr>
        <w:t xml:space="preserve"> over and the FATF adopts the country evaluation</w:t>
      </w:r>
      <w:r w:rsidR="0048365E">
        <w:rPr>
          <w:color w:val="000000"/>
        </w:rPr>
        <w:t xml:space="preserve"> </w:t>
      </w:r>
      <w:r w:rsidR="0048365E" w:rsidRPr="0048365E">
        <w:rPr>
          <w:color w:val="000000"/>
        </w:rPr>
        <w:t>report. This is important because the government frequently needs to undertake</w:t>
      </w:r>
      <w:r w:rsidR="0048365E">
        <w:rPr>
          <w:color w:val="000000"/>
        </w:rPr>
        <w:t xml:space="preserve"> </w:t>
      </w:r>
      <w:r w:rsidR="0048365E" w:rsidRPr="0048365E">
        <w:rPr>
          <w:color w:val="000000"/>
        </w:rPr>
        <w:t>measures to comply with the findings of the evaluation report and show it has</w:t>
      </w:r>
      <w:r w:rsidR="0048365E">
        <w:rPr>
          <w:color w:val="000000"/>
        </w:rPr>
        <w:t xml:space="preserve"> </w:t>
      </w:r>
      <w:r w:rsidR="0048365E" w:rsidRPr="0048365E">
        <w:rPr>
          <w:color w:val="000000"/>
        </w:rPr>
        <w:t>respond</w:t>
      </w:r>
      <w:r w:rsidR="00490875">
        <w:rPr>
          <w:color w:val="000000"/>
        </w:rPr>
        <w:t>ed</w:t>
      </w:r>
      <w:r w:rsidR="0048365E" w:rsidRPr="0048365E">
        <w:rPr>
          <w:color w:val="000000"/>
        </w:rPr>
        <w:t xml:space="preserve"> to the report findings. It is also at this stage of the process, that</w:t>
      </w:r>
      <w:r w:rsidR="0048365E">
        <w:rPr>
          <w:color w:val="000000"/>
        </w:rPr>
        <w:t xml:space="preserve"> </w:t>
      </w:r>
      <w:r w:rsidR="0048365E" w:rsidRPr="0048365E">
        <w:rPr>
          <w:color w:val="000000"/>
        </w:rPr>
        <w:t xml:space="preserve">countries want to typically </w:t>
      </w:r>
      <w:r w:rsidR="00490875">
        <w:rPr>
          <w:color w:val="000000"/>
        </w:rPr>
        <w:t>impose</w:t>
      </w:r>
      <w:r w:rsidR="0048365E" w:rsidRPr="0048365E">
        <w:rPr>
          <w:color w:val="000000"/>
        </w:rPr>
        <w:t xml:space="preserve"> additional regulation on the </w:t>
      </w:r>
      <w:r w:rsidR="00490875">
        <w:rPr>
          <w:color w:val="000000"/>
        </w:rPr>
        <w:t>nonprofit</w:t>
      </w:r>
      <w:r w:rsidR="00215A71">
        <w:rPr>
          <w:color w:val="000000"/>
        </w:rPr>
        <w:t xml:space="preserve"> </w:t>
      </w:r>
      <w:r w:rsidR="0048365E" w:rsidRPr="0048365E">
        <w:rPr>
          <w:color w:val="000000"/>
        </w:rPr>
        <w:t>sector, and so they</w:t>
      </w:r>
      <w:r w:rsidR="0048365E">
        <w:rPr>
          <w:color w:val="000000"/>
        </w:rPr>
        <w:t xml:space="preserve"> </w:t>
      </w:r>
      <w:r w:rsidR="0048365E" w:rsidRPr="0048365E">
        <w:rPr>
          <w:color w:val="000000"/>
        </w:rPr>
        <w:t>inadvertently create restrictive measures.</w:t>
      </w:r>
      <w:r w:rsidR="00490875">
        <w:rPr>
          <w:rStyle w:val="FootnoteReference"/>
          <w:color w:val="000000"/>
        </w:rPr>
        <w:footnoteReference w:id="4"/>
      </w:r>
      <w:r w:rsidR="0048365E" w:rsidRPr="0048365E">
        <w:rPr>
          <w:color w:val="000000"/>
        </w:rPr>
        <w:t xml:space="preserve"> </w:t>
      </w:r>
    </w:p>
    <w:p w14:paraId="1296C9AB" w14:textId="77777777" w:rsidR="00CE1D34" w:rsidRDefault="00CE1D34" w:rsidP="00CE1D34">
      <w:pPr>
        <w:rPr>
          <w:color w:val="000000"/>
        </w:rPr>
      </w:pPr>
      <w:r w:rsidRPr="00CC1399">
        <w:rPr>
          <w:color w:val="000000"/>
        </w:rPr>
        <w:t>In February 2012 a </w:t>
      </w:r>
      <w:hyperlink r:id="rId11" w:tgtFrame="_blank" w:history="1">
        <w:r w:rsidRPr="006801BC">
          <w:rPr>
            <w:rStyle w:val="Hyperlink"/>
            <w:rFonts w:cstheme="minorHAnsi"/>
            <w:color w:val="auto"/>
            <w:u w:val="none"/>
          </w:rPr>
          <w:t>report from the Transnational Institute and Statewatch</w:t>
        </w:r>
      </w:hyperlink>
      <w:r w:rsidRPr="006801BC">
        <w:rPr>
          <w:rStyle w:val="FootnoteReference"/>
          <w:rFonts w:cstheme="minorHAnsi"/>
        </w:rPr>
        <w:footnoteReference w:id="5"/>
      </w:r>
      <w:r w:rsidRPr="00CC1399">
        <w:rPr>
          <w:rStyle w:val="Hyperlink"/>
          <w:rFonts w:cstheme="minorHAnsi"/>
          <w:color w:val="A03A3C"/>
        </w:rPr>
        <w:t xml:space="preserve"> </w:t>
      </w:r>
      <w:r>
        <w:rPr>
          <w:color w:val="000000"/>
        </w:rPr>
        <w:t xml:space="preserve">examined the effects of </w:t>
      </w:r>
      <w:r w:rsidRPr="00CC1399">
        <w:rPr>
          <w:color w:val="000000"/>
        </w:rPr>
        <w:t>SR VIII in nearly 160 countries</w:t>
      </w:r>
      <w:r>
        <w:rPr>
          <w:color w:val="000000"/>
        </w:rPr>
        <w:t>. It</w:t>
      </w:r>
      <w:r w:rsidRPr="00CC1399">
        <w:rPr>
          <w:color w:val="000000"/>
        </w:rPr>
        <w:t xml:space="preserve"> found</w:t>
      </w:r>
      <w:r>
        <w:rPr>
          <w:color w:val="000000"/>
        </w:rPr>
        <w:t xml:space="preserve"> that</w:t>
      </w:r>
      <w:r w:rsidRPr="00CC1399">
        <w:rPr>
          <w:color w:val="000000"/>
        </w:rPr>
        <w:t xml:space="preserve"> </w:t>
      </w:r>
      <w:r>
        <w:rPr>
          <w:color w:val="000000"/>
        </w:rPr>
        <w:t xml:space="preserve">governments were using </w:t>
      </w:r>
      <w:r w:rsidRPr="00CC1399">
        <w:rPr>
          <w:color w:val="000000"/>
        </w:rPr>
        <w:t>FAT</w:t>
      </w:r>
      <w:r>
        <w:rPr>
          <w:color w:val="000000"/>
        </w:rPr>
        <w:t>F standards</w:t>
      </w:r>
      <w:r w:rsidRPr="00CC1399">
        <w:rPr>
          <w:color w:val="000000"/>
        </w:rPr>
        <w:t xml:space="preserve"> as an “instrument, to further cut back on the space of civil society…freedom to access and distribute financial resources for development, conflict resolution and human rights work.” </w:t>
      </w:r>
    </w:p>
    <w:p w14:paraId="604B068E" w14:textId="19028816" w:rsidR="00784563" w:rsidRDefault="00FC1804" w:rsidP="00CC1399">
      <w:pPr>
        <w:rPr>
          <w:color w:val="000000"/>
        </w:rPr>
      </w:pPr>
      <w:r w:rsidRPr="00CC1399">
        <w:rPr>
          <w:color w:val="000000"/>
        </w:rPr>
        <w:t>Civil society responded by forming the Global NPO Coalition on FATF</w:t>
      </w:r>
      <w:r w:rsidR="001D1E64" w:rsidRPr="00CC1399">
        <w:rPr>
          <w:color w:val="000000"/>
        </w:rPr>
        <w:t xml:space="preserve"> to engage FATF on the need to address th</w:t>
      </w:r>
      <w:r w:rsidR="00AB418D" w:rsidRPr="00CC1399">
        <w:rPr>
          <w:color w:val="000000"/>
        </w:rPr>
        <w:t xml:space="preserve">e negative outcomes from SR VIII. </w:t>
      </w:r>
      <w:r w:rsidR="00784563">
        <w:rPr>
          <w:color w:val="000000"/>
        </w:rPr>
        <w:t xml:space="preserve">FATF responded </w:t>
      </w:r>
      <w:r w:rsidR="00AA7F9D">
        <w:rPr>
          <w:color w:val="000000"/>
        </w:rPr>
        <w:t>constructively</w:t>
      </w:r>
      <w:r w:rsidR="000F4619">
        <w:rPr>
          <w:color w:val="000000"/>
        </w:rPr>
        <w:t xml:space="preserve">, </w:t>
      </w:r>
      <w:r w:rsidR="00784563">
        <w:rPr>
          <w:color w:val="000000"/>
        </w:rPr>
        <w:t>hosting t</w:t>
      </w:r>
      <w:r w:rsidR="00AF25FC" w:rsidRPr="00CC1399">
        <w:rPr>
          <w:color w:val="000000"/>
        </w:rPr>
        <w:t xml:space="preserve">he first of a series of </w:t>
      </w:r>
      <w:r w:rsidR="00740206" w:rsidRPr="00CC1399">
        <w:rPr>
          <w:color w:val="000000"/>
        </w:rPr>
        <w:t xml:space="preserve">productive </w:t>
      </w:r>
      <w:r w:rsidR="00692A24" w:rsidRPr="00CC1399">
        <w:rPr>
          <w:color w:val="000000"/>
        </w:rPr>
        <w:t>meetings between FATF and NPOs in 2013</w:t>
      </w:r>
      <w:r w:rsidR="0023520A" w:rsidRPr="00CC1399">
        <w:rPr>
          <w:color w:val="000000"/>
        </w:rPr>
        <w:t>.</w:t>
      </w:r>
      <w:r w:rsidR="00784563">
        <w:rPr>
          <w:color w:val="000000"/>
        </w:rPr>
        <w:t xml:space="preserve"> Over the next four</w:t>
      </w:r>
      <w:r w:rsidR="000F4619">
        <w:rPr>
          <w:color w:val="000000"/>
        </w:rPr>
        <w:t xml:space="preserve"> years</w:t>
      </w:r>
      <w:r w:rsidR="008E7F2C" w:rsidRPr="00CC1399">
        <w:rPr>
          <w:color w:val="000000"/>
        </w:rPr>
        <w:t xml:space="preserve"> </w:t>
      </w:r>
      <w:r w:rsidR="000F4619">
        <w:rPr>
          <w:color w:val="000000"/>
        </w:rPr>
        <w:t xml:space="preserve">this engagement included in-person meetings, conference calls with Secretariat staff, email communications and exchanges of drafts and text for revision of FATF’s NPO-related documents. </w:t>
      </w:r>
      <w:r w:rsidR="00AA7F9D">
        <w:rPr>
          <w:color w:val="000000"/>
        </w:rPr>
        <w:t>For example, the coalition made specific recommendations for the 2015 revis</w:t>
      </w:r>
      <w:r w:rsidR="0055363A">
        <w:rPr>
          <w:color w:val="000000"/>
        </w:rPr>
        <w:t>ion of the Best Practices Paper that were largely incorporated into the final product.</w:t>
      </w:r>
      <w:r w:rsidR="00AA7F9D">
        <w:rPr>
          <w:color w:val="000000"/>
        </w:rPr>
        <w:t xml:space="preserve"> </w:t>
      </w:r>
      <w:r w:rsidR="0055363A">
        <w:rPr>
          <w:color w:val="000000"/>
        </w:rPr>
        <w:t>These were supported by 70 NPOs from 48 countries.</w:t>
      </w:r>
      <w:r w:rsidR="0055363A">
        <w:rPr>
          <w:rStyle w:val="FootnoteReference"/>
          <w:color w:val="000000"/>
        </w:rPr>
        <w:footnoteReference w:id="6"/>
      </w:r>
      <w:r w:rsidR="00B625F4">
        <w:rPr>
          <w:color w:val="000000"/>
        </w:rPr>
        <w:t xml:space="preserve"> </w:t>
      </w:r>
      <w:r w:rsidR="00490875">
        <w:rPr>
          <w:color w:val="000000"/>
        </w:rPr>
        <w:t xml:space="preserve">In addition, </w:t>
      </w:r>
      <w:r w:rsidR="008E7F2C" w:rsidRPr="00CC1399">
        <w:rPr>
          <w:color w:val="000000"/>
        </w:rPr>
        <w:t>FATF produced a Typology report</w:t>
      </w:r>
      <w:r w:rsidR="00784563">
        <w:rPr>
          <w:color w:val="000000"/>
        </w:rPr>
        <w:t xml:space="preserve"> and </w:t>
      </w:r>
      <w:r w:rsidR="00186EFF">
        <w:rPr>
          <w:color w:val="000000"/>
        </w:rPr>
        <w:t xml:space="preserve">in 2016 </w:t>
      </w:r>
      <w:r w:rsidR="00784563">
        <w:rPr>
          <w:color w:val="000000"/>
        </w:rPr>
        <w:t>revised R 8</w:t>
      </w:r>
      <w:r w:rsidR="008E7F2C" w:rsidRPr="00CC1399">
        <w:rPr>
          <w:color w:val="000000"/>
        </w:rPr>
        <w:t>.</w:t>
      </w:r>
      <w:r w:rsidR="008911BF" w:rsidRPr="00CC1399">
        <w:rPr>
          <w:color w:val="000000"/>
        </w:rPr>
        <w:t xml:space="preserve"> These </w:t>
      </w:r>
      <w:r w:rsidR="00784563">
        <w:rPr>
          <w:color w:val="000000"/>
        </w:rPr>
        <w:t xml:space="preserve">positive </w:t>
      </w:r>
      <w:r w:rsidR="008911BF" w:rsidRPr="00CC1399">
        <w:rPr>
          <w:color w:val="000000"/>
        </w:rPr>
        <w:t xml:space="preserve">changes </w:t>
      </w:r>
      <w:r w:rsidR="000F4619">
        <w:rPr>
          <w:color w:val="000000"/>
        </w:rPr>
        <w:t>produced</w:t>
      </w:r>
      <w:r w:rsidR="008911BF" w:rsidRPr="00CC1399">
        <w:rPr>
          <w:color w:val="000000"/>
        </w:rPr>
        <w:t xml:space="preserve"> a more realistic and risk-based</w:t>
      </w:r>
      <w:r w:rsidR="00B47277" w:rsidRPr="00CC1399">
        <w:rPr>
          <w:color w:val="000000"/>
        </w:rPr>
        <w:t xml:space="preserve"> view of the nonprofit sector</w:t>
      </w:r>
      <w:r w:rsidR="00701D40" w:rsidRPr="00CC1399">
        <w:rPr>
          <w:color w:val="000000"/>
        </w:rPr>
        <w:t xml:space="preserve"> as well as an appreciation of its contributions to society</w:t>
      </w:r>
      <w:r w:rsidR="00B47277" w:rsidRPr="00CC1399">
        <w:rPr>
          <w:color w:val="000000"/>
        </w:rPr>
        <w:t xml:space="preserve">. </w:t>
      </w:r>
    </w:p>
    <w:p w14:paraId="3158959C" w14:textId="053F9575" w:rsidR="00FC1804" w:rsidRDefault="000161B8" w:rsidP="00CC1399">
      <w:pPr>
        <w:rPr>
          <w:color w:val="000000"/>
        </w:rPr>
      </w:pPr>
      <w:r>
        <w:rPr>
          <w:color w:val="000000"/>
        </w:rPr>
        <w:t xml:space="preserve">However, </w:t>
      </w:r>
      <w:r w:rsidR="00784563">
        <w:rPr>
          <w:color w:val="000000"/>
        </w:rPr>
        <w:t xml:space="preserve">the </w:t>
      </w:r>
      <w:r w:rsidR="00604091">
        <w:rPr>
          <w:color w:val="000000"/>
        </w:rPr>
        <w:t xml:space="preserve">original </w:t>
      </w:r>
      <w:r w:rsidR="00784563">
        <w:rPr>
          <w:color w:val="000000"/>
        </w:rPr>
        <w:t xml:space="preserve">problems associated with </w:t>
      </w:r>
      <w:r w:rsidR="00AB723D" w:rsidRPr="00CC1399">
        <w:rPr>
          <w:color w:val="000000"/>
        </w:rPr>
        <w:t xml:space="preserve">SR VIII, now fully incorporated in FATF standards as R8, </w:t>
      </w:r>
      <w:r w:rsidR="00784563">
        <w:rPr>
          <w:color w:val="000000"/>
        </w:rPr>
        <w:t>remain</w:t>
      </w:r>
      <w:r w:rsidR="00B625F4">
        <w:rPr>
          <w:color w:val="000000"/>
        </w:rPr>
        <w:t xml:space="preserve">, </w:t>
      </w:r>
      <w:r w:rsidR="00784563">
        <w:rPr>
          <w:color w:val="000000"/>
        </w:rPr>
        <w:t xml:space="preserve">as </w:t>
      </w:r>
      <w:r w:rsidR="00B625F4">
        <w:rPr>
          <w:color w:val="000000"/>
        </w:rPr>
        <w:t>C</w:t>
      </w:r>
      <w:r w:rsidR="00784563">
        <w:rPr>
          <w:color w:val="000000"/>
        </w:rPr>
        <w:t xml:space="preserve">ountries are slow to implement the </w:t>
      </w:r>
      <w:r w:rsidR="00B625F4">
        <w:rPr>
          <w:color w:val="000000"/>
        </w:rPr>
        <w:t xml:space="preserve">new </w:t>
      </w:r>
      <w:r w:rsidR="00784563">
        <w:rPr>
          <w:color w:val="000000"/>
        </w:rPr>
        <w:t xml:space="preserve">proportionate, risk-based approach or to make their counterterrorism measures consistent with their IHL and IHRL obligations. </w:t>
      </w:r>
      <w:r w:rsidR="00B625F4">
        <w:rPr>
          <w:color w:val="000000"/>
        </w:rPr>
        <w:t>FATF must be more explicit about the need for both</w:t>
      </w:r>
      <w:r w:rsidR="00F95C5B">
        <w:rPr>
          <w:color w:val="000000"/>
        </w:rPr>
        <w:t>, as</w:t>
      </w:r>
      <w:r w:rsidR="00B625F4">
        <w:rPr>
          <w:color w:val="000000"/>
        </w:rPr>
        <w:t xml:space="preserve"> </w:t>
      </w:r>
      <w:r w:rsidR="00604091">
        <w:rPr>
          <w:color w:val="000000"/>
        </w:rPr>
        <w:t>o</w:t>
      </w:r>
      <w:r w:rsidR="00A11B74" w:rsidRPr="00CC1399">
        <w:rPr>
          <w:color w:val="000000"/>
        </w:rPr>
        <w:t>ver-regulation</w:t>
      </w:r>
      <w:r w:rsidR="00784563">
        <w:rPr>
          <w:color w:val="000000"/>
        </w:rPr>
        <w:t xml:space="preserve"> continues to challenge NPO operations globally</w:t>
      </w:r>
      <w:r w:rsidR="00A11B74" w:rsidRPr="00CC1399">
        <w:rPr>
          <w:color w:val="000000"/>
        </w:rPr>
        <w:t xml:space="preserve">. </w:t>
      </w:r>
    </w:p>
    <w:p w14:paraId="180948E3" w14:textId="6347654F" w:rsidR="00AA4BCB" w:rsidRPr="006801BC" w:rsidRDefault="00AA4BCB" w:rsidP="00CC1399">
      <w:pPr>
        <w:rPr>
          <w:b/>
          <w:color w:val="000000"/>
        </w:rPr>
      </w:pPr>
      <w:r w:rsidRPr="006801BC">
        <w:rPr>
          <w:b/>
          <w:color w:val="000000"/>
        </w:rPr>
        <w:t>Engagement with C</w:t>
      </w:r>
      <w:r w:rsidR="007C03BD">
        <w:rPr>
          <w:b/>
          <w:color w:val="000000"/>
        </w:rPr>
        <w:t xml:space="preserve">ivil </w:t>
      </w:r>
      <w:r w:rsidRPr="006801BC">
        <w:rPr>
          <w:b/>
          <w:color w:val="000000"/>
        </w:rPr>
        <w:t>S</w:t>
      </w:r>
      <w:r w:rsidR="007C03BD">
        <w:rPr>
          <w:b/>
          <w:color w:val="000000"/>
        </w:rPr>
        <w:t>ociety</w:t>
      </w:r>
      <w:r w:rsidRPr="006801BC">
        <w:rPr>
          <w:b/>
          <w:color w:val="000000"/>
        </w:rPr>
        <w:t xml:space="preserve"> stakeholders </w:t>
      </w:r>
    </w:p>
    <w:p w14:paraId="5FAC3468" w14:textId="496C756C" w:rsidR="00AA4BCB" w:rsidRPr="00CC1399" w:rsidRDefault="00AA4BCB" w:rsidP="00CC1399">
      <w:pPr>
        <w:rPr>
          <w:color w:val="000000"/>
        </w:rPr>
      </w:pPr>
      <w:r>
        <w:rPr>
          <w:color w:val="000000"/>
        </w:rPr>
        <w:t>T</w:t>
      </w:r>
      <w:r w:rsidRPr="00CC1399">
        <w:rPr>
          <w:color w:val="000000"/>
        </w:rPr>
        <w:t xml:space="preserve">he </w:t>
      </w:r>
      <w:r>
        <w:rPr>
          <w:color w:val="000000"/>
        </w:rPr>
        <w:t>most significant and positive change made by FATF to date is</w:t>
      </w:r>
      <w:r w:rsidRPr="00CC1399">
        <w:rPr>
          <w:color w:val="000000"/>
        </w:rPr>
        <w:t xml:space="preserve"> revision of R8 and the accompanying Interpretive Note</w:t>
      </w:r>
      <w:r>
        <w:rPr>
          <w:color w:val="000000"/>
        </w:rPr>
        <w:t xml:space="preserve">. </w:t>
      </w:r>
      <w:r w:rsidR="007C03BD">
        <w:rPr>
          <w:color w:val="000000"/>
        </w:rPr>
        <w:t>At the request of NPOs t</w:t>
      </w:r>
      <w:r>
        <w:rPr>
          <w:color w:val="000000"/>
        </w:rPr>
        <w:t>here was extended engagement during the drafting phase of this revision in 2015/2016</w:t>
      </w:r>
      <w:r w:rsidR="007C03BD">
        <w:rPr>
          <w:color w:val="000000"/>
        </w:rPr>
        <w:t>. This</w:t>
      </w:r>
      <w:r>
        <w:rPr>
          <w:color w:val="000000"/>
        </w:rPr>
        <w:t xml:space="preserve"> includ</w:t>
      </w:r>
      <w:r w:rsidR="007C03BD">
        <w:rPr>
          <w:color w:val="000000"/>
        </w:rPr>
        <w:t>ed</w:t>
      </w:r>
      <w:r>
        <w:rPr>
          <w:color w:val="000000"/>
        </w:rPr>
        <w:t xml:space="preserve"> conference calls with the coalition, in-person meetings and</w:t>
      </w:r>
      <w:r w:rsidR="007C03BD">
        <w:rPr>
          <w:color w:val="000000"/>
        </w:rPr>
        <w:t>, at the request from the coalition,</w:t>
      </w:r>
      <w:r>
        <w:rPr>
          <w:color w:val="000000"/>
        </w:rPr>
        <w:t xml:space="preserve"> a unique public comment process that enabled NPOs to submit comments online. Since that time </w:t>
      </w:r>
      <w:r w:rsidR="00065F99">
        <w:rPr>
          <w:color w:val="000000"/>
        </w:rPr>
        <w:t xml:space="preserve">the </w:t>
      </w:r>
      <w:r>
        <w:rPr>
          <w:color w:val="000000"/>
        </w:rPr>
        <w:t xml:space="preserve">FATF has continued engagement with the sector regarding how the risk assessment process should be implemented and made statements supporting adequate NPO access to the financial system, </w:t>
      </w:r>
      <w:r w:rsidR="00B84BBD">
        <w:rPr>
          <w:color w:val="000000"/>
        </w:rPr>
        <w:t xml:space="preserve">which has become </w:t>
      </w:r>
      <w:r>
        <w:rPr>
          <w:color w:val="000000"/>
        </w:rPr>
        <w:t xml:space="preserve">a growing problem. </w:t>
      </w:r>
      <w:r w:rsidR="00065F99">
        <w:rPr>
          <w:color w:val="000000"/>
        </w:rPr>
        <w:t xml:space="preserve">However, this did not fully translate on the regional level with the FSRBs. </w:t>
      </w:r>
      <w:r w:rsidR="00B84BBD">
        <w:rPr>
          <w:color w:val="000000"/>
        </w:rPr>
        <w:t xml:space="preserve">Only a </w:t>
      </w:r>
      <w:r w:rsidR="00065F99">
        <w:rPr>
          <w:color w:val="000000"/>
        </w:rPr>
        <w:t>few FSRBs ha</w:t>
      </w:r>
      <w:r w:rsidR="00B84BBD">
        <w:rPr>
          <w:color w:val="000000"/>
        </w:rPr>
        <w:t>ve</w:t>
      </w:r>
      <w:r w:rsidR="00065F99">
        <w:rPr>
          <w:color w:val="000000"/>
        </w:rPr>
        <w:t xml:space="preserve"> opened dialogue with NPO</w:t>
      </w:r>
      <w:r w:rsidR="00B84BBD">
        <w:rPr>
          <w:color w:val="000000"/>
        </w:rPr>
        <w:t>s</w:t>
      </w:r>
      <w:r w:rsidR="00065F99">
        <w:rPr>
          <w:color w:val="000000"/>
        </w:rPr>
        <w:t xml:space="preserve"> to improve understanding of the issues the sector faces and the implementation of the standards (e.g. GAFILAT, GIABA, ESAAMLG, Moneyval).</w:t>
      </w:r>
    </w:p>
    <w:p w14:paraId="4005D62C" w14:textId="4F128CB0" w:rsidR="007C03BD" w:rsidRDefault="00CE6EE9" w:rsidP="00CC1399">
      <w:r>
        <w:t>The coalition</w:t>
      </w:r>
      <w:r w:rsidR="00C124AA" w:rsidRPr="00CC1399">
        <w:t xml:space="preserve"> recommend</w:t>
      </w:r>
      <w:r>
        <w:t>ed that</w:t>
      </w:r>
      <w:r w:rsidR="00186EFF">
        <w:t xml:space="preserve"> FATF adopt</w:t>
      </w:r>
      <w:r w:rsidR="00C124AA" w:rsidRPr="00CC1399">
        <w:t xml:space="preserve"> guidelines </w:t>
      </w:r>
      <w:r w:rsidR="000F4619">
        <w:t xml:space="preserve">for </w:t>
      </w:r>
      <w:r w:rsidR="004C4F96">
        <w:t>the overall</w:t>
      </w:r>
      <w:r w:rsidR="004C4F96" w:rsidRPr="00CC1399">
        <w:t xml:space="preserve"> </w:t>
      </w:r>
      <w:r w:rsidR="00C124AA" w:rsidRPr="00CC1399">
        <w:t xml:space="preserve">engagement </w:t>
      </w:r>
      <w:r w:rsidR="004C4F96">
        <w:t xml:space="preserve">with the NPO sector </w:t>
      </w:r>
      <w:r>
        <w:t>in order to facilitate effective, inclusive and meaningful participation of relevant organizations</w:t>
      </w:r>
      <w:r w:rsidR="00C124AA" w:rsidRPr="00CC1399">
        <w:t xml:space="preserve">. </w:t>
      </w:r>
      <w:r>
        <w:t xml:space="preserve">The coalition </w:t>
      </w:r>
      <w:r>
        <w:lastRenderedPageBreak/>
        <w:t xml:space="preserve">submitted proposed guidelines and provided examples of terms of engagement used </w:t>
      </w:r>
      <w:r w:rsidR="00C124AA" w:rsidRPr="00CC1399">
        <w:t xml:space="preserve">by other institutions. </w:t>
      </w:r>
      <w:r w:rsidR="000C0870">
        <w:t xml:space="preserve">In addition to requesting </w:t>
      </w:r>
      <w:r w:rsidR="00B84BBD">
        <w:t xml:space="preserve">the </w:t>
      </w:r>
      <w:r w:rsidR="000C0870">
        <w:t>seats on the PSCF, the coalition requested at least one annual meeting between FATF and NPOs as well as information sharing measures that would facilitate meaningful discussion and input. (See Annex 1 for the full proposal.)</w:t>
      </w:r>
    </w:p>
    <w:p w14:paraId="22150AE0" w14:textId="77777777" w:rsidR="00B84BBD" w:rsidRPr="00CC1399" w:rsidRDefault="00B84BBD" w:rsidP="00B84BBD">
      <w:pPr>
        <w:rPr>
          <w:rFonts w:eastAsia="Times New Roman"/>
          <w:color w:val="000000"/>
        </w:rPr>
      </w:pPr>
      <w:r>
        <w:rPr>
          <w:rFonts w:eastAsia="Times New Roman"/>
          <w:color w:val="000000"/>
        </w:rPr>
        <w:t>In 2016 FATF announced that it would</w:t>
      </w:r>
      <w:r w:rsidRPr="00CC1399">
        <w:rPr>
          <w:rFonts w:eastAsia="Times New Roman"/>
          <w:color w:val="000000"/>
        </w:rPr>
        <w:t xml:space="preserve"> </w:t>
      </w:r>
      <w:r>
        <w:rPr>
          <w:rFonts w:eastAsia="Times New Roman"/>
          <w:color w:val="000000"/>
        </w:rPr>
        <w:t>grant the coalition’s request for NPO representation in FATF’s annual Private Sector Consultative Forum (PSCF). NPO representatives have participated in these sessions for the last three years. In addition it committed to enhance</w:t>
      </w:r>
      <w:r w:rsidRPr="00CC1399">
        <w:rPr>
          <w:rFonts w:eastAsia="Times New Roman"/>
          <w:color w:val="000000"/>
        </w:rPr>
        <w:t xml:space="preserve"> engagement with NPOs </w:t>
      </w:r>
      <w:r>
        <w:rPr>
          <w:rFonts w:eastAsia="Times New Roman"/>
          <w:color w:val="000000"/>
        </w:rPr>
        <w:t xml:space="preserve">by </w:t>
      </w:r>
      <w:r w:rsidRPr="00CC1399">
        <w:rPr>
          <w:rFonts w:eastAsia="Times New Roman"/>
          <w:color w:val="000000"/>
        </w:rPr>
        <w:t>hold</w:t>
      </w:r>
      <w:r>
        <w:rPr>
          <w:rFonts w:eastAsia="Times New Roman"/>
          <w:color w:val="000000"/>
        </w:rPr>
        <w:t>ing</w:t>
      </w:r>
      <w:r w:rsidRPr="00CC1399">
        <w:rPr>
          <w:rFonts w:eastAsia="Times New Roman"/>
          <w:color w:val="000000"/>
        </w:rPr>
        <w:t xml:space="preserve"> annual meetings on specific issues of comm</w:t>
      </w:r>
      <w:r>
        <w:rPr>
          <w:rFonts w:eastAsia="Times New Roman"/>
          <w:color w:val="000000"/>
        </w:rPr>
        <w:t>on interest and organizing</w:t>
      </w:r>
      <w:r w:rsidRPr="00CC1399">
        <w:rPr>
          <w:rFonts w:eastAsia="Times New Roman"/>
          <w:color w:val="000000"/>
        </w:rPr>
        <w:t> </w:t>
      </w:r>
      <w:r w:rsidRPr="00CC1399">
        <w:rPr>
          <w:rFonts w:eastAsia="Times New Roman"/>
          <w:i/>
          <w:color w:val="000000"/>
        </w:rPr>
        <w:t>ad hoc</w:t>
      </w:r>
      <w:r w:rsidRPr="00CC1399">
        <w:rPr>
          <w:rFonts w:eastAsia="Times New Roman"/>
          <w:color w:val="000000"/>
        </w:rPr>
        <w:t xml:space="preserve"> exchanges on technical matters.</w:t>
      </w:r>
      <w:r>
        <w:rPr>
          <w:rFonts w:eastAsia="Times New Roman"/>
          <w:color w:val="000000"/>
        </w:rPr>
        <w:t xml:space="preserve"> This has occurred three times, during the FATF’s annual Private Sector Consultative Forum from 2017 - 2019. </w:t>
      </w:r>
    </w:p>
    <w:p w14:paraId="68610868" w14:textId="747BD38B" w:rsidR="00CD4BB7" w:rsidRDefault="00CE6EE9" w:rsidP="00CC1399">
      <w:r>
        <w:t>FATF</w:t>
      </w:r>
      <w:r w:rsidR="00B84BBD">
        <w:t xml:space="preserve">’s overall response to the nonprofit proposals for engagement was </w:t>
      </w:r>
      <w:r>
        <w:t>that it preferred to proceed on an informal basis</w:t>
      </w:r>
      <w:r w:rsidR="00776B47">
        <w:t xml:space="preserve">. While the outcome of subsequent engagement has been </w:t>
      </w:r>
      <w:r w:rsidR="00CD6CCE">
        <w:t>a significant improvement, but</w:t>
      </w:r>
      <w:r w:rsidR="00B84BBD">
        <w:t xml:space="preserve"> </w:t>
      </w:r>
      <w:r w:rsidR="00776B47">
        <w:t>lack of clarity on the terms of engagement means that policy can change without notice at a</w:t>
      </w:r>
      <w:r w:rsidR="000F4619">
        <w:t xml:space="preserve">ny time. In one instance it </w:t>
      </w:r>
      <w:r w:rsidR="00776B47">
        <w:t xml:space="preserve">created problems with NPO participation in </w:t>
      </w:r>
      <w:r w:rsidR="00B84BBD">
        <w:t>the 2019 PSCF</w:t>
      </w:r>
      <w:r w:rsidR="00776B47">
        <w:t xml:space="preserve">. </w:t>
      </w:r>
      <w:r w:rsidR="00CD6CCE">
        <w:t xml:space="preserve">Also, </w:t>
      </w:r>
      <w:r w:rsidR="00650448">
        <w:t>the informal engagement process leads to inconsistent practice by FSRBs</w:t>
      </w:r>
      <w:r w:rsidR="00B84BBD">
        <w:t>,</w:t>
      </w:r>
      <w:r w:rsidR="00650448">
        <w:t xml:space="preserve"> with some ignoring civil society.</w:t>
      </w:r>
    </w:p>
    <w:p w14:paraId="2BE8E1DC" w14:textId="75458FB9" w:rsidR="004732BD" w:rsidRPr="00215A71" w:rsidRDefault="004732BD" w:rsidP="00215A71">
      <w:pPr>
        <w:rPr>
          <w:b/>
        </w:rPr>
      </w:pPr>
      <w:r w:rsidRPr="00215A71">
        <w:rPr>
          <w:b/>
        </w:rPr>
        <w:t>What is FATF’s mandate and governance structure and how does that affect civil society and</w:t>
      </w:r>
      <w:r w:rsidR="00D40537" w:rsidRPr="00215A71">
        <w:rPr>
          <w:b/>
        </w:rPr>
        <w:t xml:space="preserve"> IHRL/IHL? </w:t>
      </w:r>
    </w:p>
    <w:p w14:paraId="5FFCEB00" w14:textId="2D7BC96A" w:rsidR="00231888" w:rsidRDefault="00231888" w:rsidP="000F4619">
      <w:pPr>
        <w:rPr>
          <w:rFonts w:eastAsia="Times New Roman"/>
          <w:color w:val="000000"/>
        </w:rPr>
      </w:pPr>
      <w:r>
        <w:rPr>
          <w:rFonts w:eastAsia="Times New Roman"/>
          <w:color w:val="000000"/>
        </w:rPr>
        <w:t>As an informal task force FATF has broad flexibility and discretion in its operations and no public transparency or accountability requirements other than what it imposes on itself.  Its plenary sessions are not open to the public and engagement with outside parties is entirely at its discretion.</w:t>
      </w:r>
      <w:r w:rsidR="00786B94">
        <w:rPr>
          <w:rFonts w:eastAsia="Times New Roman"/>
          <w:color w:val="000000"/>
        </w:rPr>
        <w:t xml:space="preserve"> It operates primarily on consensus, so that at any time any member may move to exclude NPO input for any reason. There are not clear standards or processes for civil society or the public to bring issues to FATF’s attention or to participate in its proceedings.</w:t>
      </w:r>
    </w:p>
    <w:p w14:paraId="4EC390C9" w14:textId="4D6F6824" w:rsidR="000F4619" w:rsidRPr="000F4619" w:rsidRDefault="00231888" w:rsidP="000F4619">
      <w:pPr>
        <w:rPr>
          <w:rFonts w:eastAsia="Times New Roman"/>
          <w:color w:val="000000"/>
        </w:rPr>
      </w:pPr>
      <w:r>
        <w:rPr>
          <w:rFonts w:eastAsia="Times New Roman"/>
          <w:color w:val="000000"/>
        </w:rPr>
        <w:t xml:space="preserve">The overall impact of FATF standards on civil society was discussed in a </w:t>
      </w:r>
      <w:r w:rsidR="000F4619" w:rsidRPr="000F4619">
        <w:rPr>
          <w:rFonts w:eastAsia="Times New Roman"/>
          <w:color w:val="000000"/>
        </w:rPr>
        <w:t>201</w:t>
      </w:r>
      <w:r w:rsidR="00F964C9">
        <w:rPr>
          <w:rFonts w:eastAsia="Times New Roman"/>
          <w:color w:val="000000"/>
        </w:rPr>
        <w:t>4</w:t>
      </w:r>
      <w:r w:rsidR="000F4619" w:rsidRPr="000F4619">
        <w:rPr>
          <w:rFonts w:eastAsia="Times New Roman"/>
          <w:color w:val="000000"/>
        </w:rPr>
        <w:t xml:space="preserve"> </w:t>
      </w:r>
      <w:r>
        <w:rPr>
          <w:rFonts w:eastAsia="Times New Roman"/>
          <w:color w:val="000000"/>
        </w:rPr>
        <w:t>report</w:t>
      </w:r>
      <w:r w:rsidR="00B84BBD">
        <w:rPr>
          <w:rStyle w:val="FootnoteReference"/>
          <w:rFonts w:eastAsia="Times New Roman"/>
          <w:color w:val="000000"/>
        </w:rPr>
        <w:footnoteReference w:id="7"/>
      </w:r>
      <w:r>
        <w:rPr>
          <w:rFonts w:eastAsia="Times New Roman"/>
          <w:color w:val="000000"/>
        </w:rPr>
        <w:t xml:space="preserve"> by </w:t>
      </w:r>
      <w:r w:rsidR="000F4619" w:rsidRPr="000F4619">
        <w:rPr>
          <w:rFonts w:eastAsia="Times New Roman"/>
          <w:color w:val="000000"/>
        </w:rPr>
        <w:t>the UN Special Rapporteur on freedoms of peaceful assembly and of association</w:t>
      </w:r>
      <w:r>
        <w:rPr>
          <w:rFonts w:eastAsia="Times New Roman"/>
          <w:color w:val="000000"/>
        </w:rPr>
        <w:t xml:space="preserve">, Maina Kiai that </w:t>
      </w:r>
      <w:r w:rsidR="000F4619" w:rsidRPr="000F4619">
        <w:rPr>
          <w:rFonts w:eastAsia="Times New Roman"/>
          <w:color w:val="000000"/>
        </w:rPr>
        <w:t>"addresses concerns about the exercise of the rights to freedom of peaceful assembly and of association in the context of multilateral organizations." The report criticized FATF’s recommendations for creating a "wave of new restrictions worldwide on funding for civil society." Kiai cited FATF as a "serious, disproportionate and unfair threat to those who have no connection with terrorism, including civil society organizations."</w:t>
      </w:r>
    </w:p>
    <w:p w14:paraId="6ECC1445" w14:textId="77777777" w:rsidR="000161B8" w:rsidRPr="00CC1399" w:rsidRDefault="000161B8" w:rsidP="000161B8">
      <w:pPr>
        <w:rPr>
          <w:rFonts w:eastAsia="Times New Roman"/>
          <w:color w:val="000000"/>
        </w:rPr>
      </w:pPr>
      <w:r>
        <w:rPr>
          <w:rFonts w:eastAsia="Times New Roman"/>
          <w:color w:val="000000"/>
        </w:rPr>
        <w:t>The Kiai report</w:t>
      </w:r>
      <w:r w:rsidRPr="00CC1399">
        <w:rPr>
          <w:rFonts w:eastAsia="Times New Roman"/>
          <w:color w:val="000000"/>
        </w:rPr>
        <w:t xml:space="preserve"> note</w:t>
      </w:r>
      <w:r>
        <w:rPr>
          <w:rFonts w:eastAsia="Times New Roman"/>
          <w:color w:val="000000"/>
        </w:rPr>
        <w:t>d</w:t>
      </w:r>
      <w:r w:rsidRPr="00CC1399">
        <w:rPr>
          <w:rFonts w:eastAsia="Times New Roman"/>
          <w:color w:val="000000"/>
        </w:rPr>
        <w:t xml:space="preserve"> that FATF’s state-centric approach to global governance is being challenged by civil society, which "insists that discussions and decisions of multilateral institutions should focus on people's concerns and human rights rather than being confined to geopolitical and economic interests that primarily occupy States and corporations." [paragraph 7]</w:t>
      </w:r>
    </w:p>
    <w:p w14:paraId="464DE600" w14:textId="60E17BAF" w:rsidR="004732BD" w:rsidRPr="00CC1399" w:rsidRDefault="00786B94" w:rsidP="00CC1399">
      <w:r>
        <w:t xml:space="preserve">Despite Kiai’s criticisms, the overall track record of FATF engagement with civil society since 2013 </w:t>
      </w:r>
      <w:r w:rsidR="00065F99">
        <w:t xml:space="preserve">on a global level </w:t>
      </w:r>
      <w:r>
        <w:t>has been positive</w:t>
      </w:r>
      <w:r w:rsidR="00265910">
        <w:t>, although not all coalition recommendations have been adopted</w:t>
      </w:r>
      <w:r>
        <w:t xml:space="preserve">. The question is whether or how that can be supported going forward, as FATF membership changes. </w:t>
      </w:r>
      <w:r w:rsidR="00065F99">
        <w:t>In addition, the positive expe</w:t>
      </w:r>
      <w:r w:rsidR="00937EBE">
        <w:t>ri</w:t>
      </w:r>
      <w:r w:rsidR="00065F99">
        <w:t xml:space="preserve">ence of the global level engagement </w:t>
      </w:r>
      <w:r w:rsidR="00937EBE">
        <w:t>must</w:t>
      </w:r>
      <w:r w:rsidR="00215A71">
        <w:t xml:space="preserve"> </w:t>
      </w:r>
      <w:r w:rsidR="00065F99">
        <w:t xml:space="preserve">be transposed to the FATF regional bodies (FSRBs) as well as on the national level, to fully enable civil society to have their say during these </w:t>
      </w:r>
      <w:r w:rsidR="006C7059">
        <w:t>important processes that affect their activities.</w:t>
      </w:r>
    </w:p>
    <w:p w14:paraId="276FCFFE" w14:textId="68BEFC91" w:rsidR="004732BD" w:rsidRPr="00215A71" w:rsidRDefault="004732BD" w:rsidP="00215A71">
      <w:pPr>
        <w:rPr>
          <w:b/>
        </w:rPr>
      </w:pPr>
      <w:r w:rsidRPr="00215A71">
        <w:rPr>
          <w:b/>
        </w:rPr>
        <w:lastRenderedPageBreak/>
        <w:t>Are there monitoring, evaluation and oversight mechanisms to ensure stand</w:t>
      </w:r>
      <w:r w:rsidR="00B45930" w:rsidRPr="00215A71">
        <w:rPr>
          <w:b/>
        </w:rPr>
        <w:t>a</w:t>
      </w:r>
      <w:r w:rsidRPr="00215A71">
        <w:rPr>
          <w:b/>
        </w:rPr>
        <w:t>r</w:t>
      </w:r>
      <w:r w:rsidR="00B45930" w:rsidRPr="00215A71">
        <w:rPr>
          <w:b/>
        </w:rPr>
        <w:t>d</w:t>
      </w:r>
      <w:r w:rsidRPr="00215A71">
        <w:rPr>
          <w:b/>
        </w:rPr>
        <w:t>s are implemented in line with human rights law?</w:t>
      </w:r>
    </w:p>
    <w:p w14:paraId="3239D8AF" w14:textId="5DA8DE02" w:rsidR="004732BD" w:rsidRDefault="003C64B0" w:rsidP="00CC1399">
      <w:r>
        <w:t>FATF’s mutual evaluation process does not directly address human rights or humanitarian obligations as part of assessing implementation of R8. For example, Immediate Outcome 10 in its methodology guidance</w:t>
      </w:r>
      <w:r w:rsidR="00937EBE">
        <w:rPr>
          <w:rStyle w:val="FootnoteReference"/>
        </w:rPr>
        <w:footnoteReference w:id="8"/>
      </w:r>
      <w:r>
        <w:t xml:space="preserve"> makes no reference to these issues.  </w:t>
      </w:r>
    </w:p>
    <w:p w14:paraId="0E4B927B" w14:textId="01FB0A13" w:rsidR="004732BD" w:rsidRDefault="002659F6" w:rsidP="002659F6">
      <w:pPr>
        <w:rPr>
          <w:i/>
        </w:rPr>
      </w:pPr>
      <w:r>
        <w:t>The framework upon which R8 is built is the risk-based approach. It requires an assessment of risk to the nonprofit sector as well as outreach to NPOs</w:t>
      </w:r>
      <w:r w:rsidR="009A7164">
        <w:t xml:space="preserve"> by the national governments</w:t>
      </w:r>
      <w:r>
        <w:t xml:space="preserve">. This model presumes a certain type of open, democratic governance that is not ubiquitous in the world or in implementation of FATF standards. </w:t>
      </w:r>
      <w:r w:rsidR="00265910">
        <w:t>Where authoritarian regimes impose severe restrictions on civil society engagement on terrorist financing risk and proportionate measures to address them is not possible.</w:t>
      </w:r>
      <w:r w:rsidR="00761B3C">
        <w:rPr>
          <w:rStyle w:val="FootnoteReference"/>
        </w:rPr>
        <w:footnoteReference w:id="9"/>
      </w:r>
      <w:r w:rsidR="00265910">
        <w:t xml:space="preserve"> </w:t>
      </w:r>
      <w:r>
        <w:t xml:space="preserve">It is not clear how FATF deals with this conundrum in its evaluation process. </w:t>
      </w:r>
    </w:p>
    <w:p w14:paraId="6D700306" w14:textId="5F5D476F" w:rsidR="00D40537" w:rsidRPr="00186EFF" w:rsidRDefault="00D40537" w:rsidP="00D40537">
      <w:pPr>
        <w:rPr>
          <w:b/>
        </w:rPr>
      </w:pPr>
      <w:r w:rsidRPr="00186EFF">
        <w:rPr>
          <w:b/>
          <w:color w:val="000000"/>
        </w:rPr>
        <w:t>Questions regarding FATF and human rights</w:t>
      </w:r>
      <w:r w:rsidR="006C7059">
        <w:rPr>
          <w:b/>
          <w:color w:val="000000"/>
        </w:rPr>
        <w:t>:</w:t>
      </w:r>
    </w:p>
    <w:p w14:paraId="7D30E121" w14:textId="77777777" w:rsidR="00D40537" w:rsidRPr="00D94AA4" w:rsidRDefault="00D40537" w:rsidP="00D40537">
      <w:pPr>
        <w:pStyle w:val="ListParagraph"/>
        <w:numPr>
          <w:ilvl w:val="0"/>
          <w:numId w:val="3"/>
        </w:numPr>
        <w:rPr>
          <w:i/>
        </w:rPr>
      </w:pPr>
      <w:r w:rsidRPr="00D94AA4">
        <w:rPr>
          <w:i/>
        </w:rPr>
        <w:t>How is IHRL/IHL/IRL integrated into FATF standards?</w:t>
      </w:r>
    </w:p>
    <w:p w14:paraId="5739BB2E" w14:textId="4CDB2A3A" w:rsidR="00D40537" w:rsidRDefault="009F2C5E" w:rsidP="00D40537">
      <w:pPr>
        <w:rPr>
          <w:color w:val="000000"/>
        </w:rPr>
      </w:pPr>
      <w:r>
        <w:rPr>
          <w:color w:val="000000"/>
        </w:rPr>
        <w:t xml:space="preserve">While FATF has recognized states=’ obligations under international human rights (IHRS) and international humanitarian law (IHL), it does not go beyond general statements or provide guidance on how counterterrorist financing measures can be aligned in IHRL/IHL. Given FATF’s broad influence, this creates a significant gap. For example, the March 2019 UN Security Council </w:t>
      </w:r>
      <w:r w:rsidR="00D40537" w:rsidRPr="006801BC">
        <w:rPr>
          <w:color w:val="000000"/>
        </w:rPr>
        <w:t xml:space="preserve">Resolution 2462 on terrorist financing </w:t>
      </w:r>
      <w:r>
        <w:rPr>
          <w:color w:val="000000"/>
        </w:rPr>
        <w:t>cites FATF standards, increasing pressure on countries to been seen as complying, but also provides no guidance</w:t>
      </w:r>
      <w:r w:rsidR="001016BB">
        <w:rPr>
          <w:color w:val="000000"/>
        </w:rPr>
        <w:t xml:space="preserve"> or standards to ensure measures are aligned with IHRL/IHL. As a result, s</w:t>
      </w:r>
      <w:r w:rsidR="00D40537" w:rsidRPr="006801BC">
        <w:rPr>
          <w:color w:val="000000"/>
        </w:rPr>
        <w:t xml:space="preserve">tates continue to impose restrictions on humanitarian and civil society operations without adequate consideration for IHL and IHRL. </w:t>
      </w:r>
    </w:p>
    <w:p w14:paraId="5CCEA7DB" w14:textId="77777777" w:rsidR="00D40537" w:rsidRDefault="00D40537" w:rsidP="00D40537">
      <w:pPr>
        <w:rPr>
          <w:color w:val="000000"/>
        </w:rPr>
      </w:pPr>
      <w:r>
        <w:rPr>
          <w:color w:val="000000"/>
        </w:rPr>
        <w:t>After discussions with NPOs FATF has included important references to states’ human rights and humanitarian obligations in key documents and in R8 itself.</w:t>
      </w:r>
      <w:r>
        <w:rPr>
          <w:rStyle w:val="FootnoteReference"/>
          <w:color w:val="000000"/>
        </w:rPr>
        <w:footnoteReference w:id="10"/>
      </w:r>
      <w:r>
        <w:rPr>
          <w:color w:val="000000"/>
        </w:rPr>
        <w:t xml:space="preserve"> </w:t>
      </w:r>
    </w:p>
    <w:p w14:paraId="7F0A55B8" w14:textId="77777777" w:rsidR="00D40537" w:rsidRPr="00CA2E20" w:rsidRDefault="00D40537" w:rsidP="00D40537">
      <w:pPr>
        <w:rPr>
          <w:rFonts w:cstheme="minorHAnsi"/>
          <w:color w:val="000000"/>
        </w:rPr>
      </w:pPr>
      <w:r>
        <w:rPr>
          <w:color w:val="000000"/>
        </w:rPr>
        <w:t xml:space="preserve">For </w:t>
      </w:r>
      <w:r w:rsidRPr="00CA2E20">
        <w:rPr>
          <w:rFonts w:cstheme="minorHAnsi"/>
          <w:color w:val="000000"/>
        </w:rPr>
        <w:t>example, the revised R8 states:</w:t>
      </w:r>
    </w:p>
    <w:p w14:paraId="4A8779E4" w14:textId="77777777" w:rsidR="00D40537" w:rsidRPr="00CA2E20" w:rsidRDefault="00D40537" w:rsidP="00D40537">
      <w:pPr>
        <w:ind w:left="720"/>
        <w:rPr>
          <w:rFonts w:cstheme="minorHAnsi"/>
          <w:color w:val="000000"/>
        </w:rPr>
      </w:pPr>
      <w:r>
        <w:rPr>
          <w:rFonts w:cstheme="minorHAnsi"/>
          <w:color w:val="2A2A2A"/>
          <w:w w:val="105"/>
        </w:rPr>
        <w:lastRenderedPageBreak/>
        <w:t>“</w:t>
      </w:r>
      <w:r w:rsidRPr="00CA2E20">
        <w:rPr>
          <w:rFonts w:cstheme="minorHAnsi"/>
          <w:color w:val="2A2A2A"/>
          <w:w w:val="105"/>
        </w:rPr>
        <w:t>Measures to protect NPOs from potential terrorist financing abuse should be targeted and in line with the risk-based approach. It is also important for such measures to be implemented in a manner which respect</w:t>
      </w:r>
      <w:r>
        <w:rPr>
          <w:rFonts w:cstheme="minorHAnsi"/>
          <w:color w:val="2A2A2A"/>
          <w:w w:val="105"/>
        </w:rPr>
        <w:t>s countries’ obligations under the Charter of</w:t>
      </w:r>
      <w:r w:rsidRPr="00CA2E20">
        <w:rPr>
          <w:rFonts w:cstheme="minorHAnsi"/>
          <w:color w:val="2A2A2A"/>
          <w:w w:val="105"/>
        </w:rPr>
        <w:t xml:space="preserve"> the United Nations and </w:t>
      </w:r>
      <w:r w:rsidRPr="00CA2E20">
        <w:rPr>
          <w:rFonts w:cstheme="minorHAnsi"/>
          <w:i/>
          <w:color w:val="2A2A2A"/>
          <w:w w:val="105"/>
        </w:rPr>
        <w:t>international human rights</w:t>
      </w:r>
      <w:r w:rsidRPr="00CA2E20">
        <w:rPr>
          <w:rFonts w:cstheme="minorHAnsi"/>
          <w:i/>
          <w:color w:val="2A2A2A"/>
          <w:spacing w:val="10"/>
          <w:w w:val="105"/>
        </w:rPr>
        <w:t xml:space="preserve"> </w:t>
      </w:r>
      <w:r w:rsidRPr="00CA2E20">
        <w:rPr>
          <w:rFonts w:cstheme="minorHAnsi"/>
          <w:i/>
          <w:color w:val="2A2A2A"/>
          <w:w w:val="105"/>
        </w:rPr>
        <w:t>law.</w:t>
      </w:r>
      <w:r>
        <w:rPr>
          <w:rFonts w:cstheme="minorHAnsi"/>
          <w:i/>
          <w:color w:val="2A2A2A"/>
          <w:w w:val="105"/>
        </w:rPr>
        <w:t xml:space="preserve">” </w:t>
      </w:r>
      <w:r>
        <w:rPr>
          <w:rFonts w:cstheme="minorHAnsi"/>
          <w:color w:val="2A2A2A"/>
          <w:w w:val="105"/>
        </w:rPr>
        <w:t>(emphasis added)</w:t>
      </w:r>
    </w:p>
    <w:p w14:paraId="4A5BF805" w14:textId="77777777" w:rsidR="00D40537" w:rsidRDefault="00D40537" w:rsidP="00D40537">
      <w:pPr>
        <w:rPr>
          <w:color w:val="000000"/>
        </w:rPr>
      </w:pPr>
      <w:r>
        <w:rPr>
          <w:color w:val="000000"/>
        </w:rPr>
        <w:t xml:space="preserve">However, </w:t>
      </w:r>
      <w:r w:rsidRPr="005D117A">
        <w:rPr>
          <w:color w:val="000000"/>
        </w:rPr>
        <w:t>FATF does not provide states with guidance on how to align their counterterrorist financing measures with these legal obligations. This is an issue that requires further consideration</w:t>
      </w:r>
      <w:r>
        <w:rPr>
          <w:color w:val="000000"/>
        </w:rPr>
        <w:t>.</w:t>
      </w:r>
    </w:p>
    <w:p w14:paraId="4546A9A3" w14:textId="0EEFC379" w:rsidR="00D40537" w:rsidRDefault="00D40537" w:rsidP="00D40537">
      <w:pPr>
        <w:rPr>
          <w:color w:val="000000"/>
        </w:rPr>
      </w:pPr>
      <w:r>
        <w:rPr>
          <w:color w:val="000000"/>
        </w:rPr>
        <w:t>In our engagement with FATF it has maintained</w:t>
      </w:r>
      <w:r w:rsidRPr="00CC1399">
        <w:rPr>
          <w:color w:val="000000"/>
        </w:rPr>
        <w:t xml:space="preserve"> that it is a technical body and not a human rights enforcement agency</w:t>
      </w:r>
      <w:r>
        <w:rPr>
          <w:color w:val="000000"/>
        </w:rPr>
        <w:t xml:space="preserve">. It does not evaluate compliance with international human rights or humanitarian law when conducting mutual evaluations of country implementation of its standards. FATF does not have expertise in this area that would support such a role. Its Secretariat is comprised </w:t>
      </w:r>
      <w:r w:rsidRPr="00215A71">
        <w:t>of “</w:t>
      </w:r>
      <w:r w:rsidRPr="00215A71">
        <w:rPr>
          <w:rFonts w:ascii="Calibri" w:hAnsi="Calibri" w:cs="Calibri"/>
          <w:sz w:val="21"/>
          <w:szCs w:val="21"/>
          <w:shd w:val="clear" w:color="auto" w:fill="FFFFFF"/>
        </w:rPr>
        <w:t xml:space="preserve">law enforcement and intelligence agencies, financial intelligence units, policy advisors and the legal profession” and does not include an expert on humanitarian or human rights law or NPO operations. </w:t>
      </w:r>
      <w:r w:rsidR="005D294C">
        <w:rPr>
          <w:rFonts w:ascii="Calibri" w:hAnsi="Calibri" w:cs="Calibri"/>
          <w:sz w:val="21"/>
          <w:szCs w:val="21"/>
          <w:shd w:val="clear" w:color="auto" w:fill="FFFFFF"/>
        </w:rPr>
        <w:t>Thus, in carrying out its programs, FATF does not have either the resources or expertise to address compliance or alignment with IHRL and IHL. In addition, i</w:t>
      </w:r>
      <w:r w:rsidRPr="00215A71">
        <w:rPr>
          <w:rFonts w:ascii="Calibri" w:hAnsi="Calibri" w:cs="Calibri"/>
          <w:sz w:val="21"/>
          <w:szCs w:val="21"/>
          <w:shd w:val="clear" w:color="auto" w:fill="FFFFFF"/>
        </w:rPr>
        <w:t xml:space="preserve">ts members and observers are generally comprised of financial and law enforcement experts. </w:t>
      </w:r>
    </w:p>
    <w:p w14:paraId="1D7AF84C" w14:textId="7C8021F8" w:rsidR="004732BD" w:rsidRDefault="003C201C" w:rsidP="00CC1399">
      <w:pPr>
        <w:rPr>
          <w:b/>
        </w:rPr>
      </w:pPr>
      <w:r>
        <w:rPr>
          <w:b/>
        </w:rPr>
        <w:t>Conclusion</w:t>
      </w:r>
    </w:p>
    <w:p w14:paraId="1C9E35BC" w14:textId="296DCA9B" w:rsidR="003C201C" w:rsidRPr="003C201C" w:rsidRDefault="003C201C" w:rsidP="00CC1399">
      <w:r>
        <w:t xml:space="preserve">Soft law bodies can provide stakeholders with an opportunity for engagement with governments on specific topics that </w:t>
      </w:r>
      <w:r w:rsidR="005D294C">
        <w:t>could be difficult to obtain</w:t>
      </w:r>
      <w:r>
        <w:t xml:space="preserve"> from large multilateral bodies. As with the case of nonprofit organizations and FATF, </w:t>
      </w:r>
      <w:r w:rsidR="00237729" w:rsidRPr="00237729">
        <w:t>t</w:t>
      </w:r>
      <w:r w:rsidR="00237729" w:rsidRPr="00237729">
        <w:rPr>
          <w:rFonts w:ascii="Calibri" w:hAnsi="Calibri" w:cs="Calibri"/>
          <w:shd w:val="clear" w:color="auto" w:fill="FFFFFF"/>
        </w:rPr>
        <w:t xml:space="preserve">his has resulted in some successes, for example the revision of </w:t>
      </w:r>
      <w:r w:rsidR="009A7164">
        <w:rPr>
          <w:rFonts w:ascii="Calibri" w:hAnsi="Calibri" w:cs="Calibri"/>
          <w:shd w:val="clear" w:color="auto" w:fill="FFFFFF"/>
        </w:rPr>
        <w:t>R</w:t>
      </w:r>
      <w:r w:rsidR="00237729" w:rsidRPr="00237729">
        <w:rPr>
          <w:rFonts w:ascii="Calibri" w:hAnsi="Calibri" w:cs="Calibri"/>
          <w:shd w:val="clear" w:color="auto" w:fill="FFFFFF"/>
        </w:rPr>
        <w:t>8.</w:t>
      </w:r>
      <w:r>
        <w:t xml:space="preserve"> However, the lack of transparency and accountability built into the structures of soft law bodes makes this engagement vulnerable to changes that close or diminish dialogue. Establishment of best practices for </w:t>
      </w:r>
      <w:r w:rsidR="006801BC">
        <w:t xml:space="preserve">clear internal policies or rules for engagement and transparency for </w:t>
      </w:r>
      <w:r>
        <w:t>such bodies would increase the potential for engagement and thus, incorporation of human rights and humanitarian considerations into their proceedings.</w:t>
      </w:r>
    </w:p>
    <w:p w14:paraId="7EDED9A4" w14:textId="7F61B10B" w:rsidR="004732BD" w:rsidRPr="00AF5104" w:rsidRDefault="004732BD" w:rsidP="00CC1399">
      <w:pPr>
        <w:rPr>
          <w:b/>
        </w:rPr>
      </w:pPr>
      <w:r w:rsidRPr="00AF5104">
        <w:rPr>
          <w:b/>
        </w:rPr>
        <w:t>Recommendations</w:t>
      </w:r>
    </w:p>
    <w:p w14:paraId="4C375EAE" w14:textId="1165B864" w:rsidR="003C201C" w:rsidRDefault="003C201C" w:rsidP="003C201C">
      <w:r>
        <w:t>For the Special Rapporteur:</w:t>
      </w:r>
    </w:p>
    <w:p w14:paraId="1C76B761" w14:textId="706EDB06" w:rsidR="003C201C" w:rsidRDefault="003C201C" w:rsidP="003C201C">
      <w:pPr>
        <w:pStyle w:val="ListParagraph"/>
        <w:numPr>
          <w:ilvl w:val="0"/>
          <w:numId w:val="3"/>
        </w:numPr>
      </w:pPr>
      <w:r>
        <w:t>Consider recommending best practices for soft law bodies in the areas of accountability, transparency and engagement with outside stakeholders</w:t>
      </w:r>
      <w:r w:rsidR="005D294C">
        <w:t xml:space="preserve"> and how to make their activities consistent with IHRL and IHL</w:t>
      </w:r>
      <w:r>
        <w:t>.</w:t>
      </w:r>
    </w:p>
    <w:p w14:paraId="560A6574" w14:textId="776E5E14" w:rsidR="003C201C" w:rsidRDefault="003C201C" w:rsidP="003C201C">
      <w:r>
        <w:t>Relating to FATF:</w:t>
      </w:r>
    </w:p>
    <w:p w14:paraId="15A935D9" w14:textId="5DB60BE1" w:rsidR="002659F6" w:rsidRDefault="002659F6" w:rsidP="00AF5104">
      <w:pPr>
        <w:pStyle w:val="ListParagraph"/>
        <w:numPr>
          <w:ilvl w:val="0"/>
          <w:numId w:val="8"/>
        </w:numPr>
      </w:pPr>
      <w:r>
        <w:t>Open plenary meetings to the public and publish the agenda prior to the sessions;</w:t>
      </w:r>
    </w:p>
    <w:p w14:paraId="2BF294C6" w14:textId="7402576D" w:rsidR="002659F6" w:rsidRDefault="002659F6" w:rsidP="00AF5104">
      <w:pPr>
        <w:pStyle w:val="ListParagraph"/>
        <w:numPr>
          <w:ilvl w:val="0"/>
          <w:numId w:val="8"/>
        </w:numPr>
      </w:pPr>
      <w:r>
        <w:t>Establish clear processes and standards for engagement with the nonprofit sector</w:t>
      </w:r>
      <w:r w:rsidR="009A7164">
        <w:t xml:space="preserve"> and other stakeholders?;</w:t>
      </w:r>
    </w:p>
    <w:p w14:paraId="14424833" w14:textId="73DDA088" w:rsidR="002659F6" w:rsidRDefault="00A15FB5" w:rsidP="00AF5104">
      <w:pPr>
        <w:pStyle w:val="ListParagraph"/>
        <w:numPr>
          <w:ilvl w:val="0"/>
          <w:numId w:val="8"/>
        </w:numPr>
      </w:pPr>
      <w:r>
        <w:t>Include experts on human rights and humanitarian law in FATF evaluation teams and on the Secretariat staff;</w:t>
      </w:r>
    </w:p>
    <w:p w14:paraId="55899EDE" w14:textId="18E0D681" w:rsidR="00AF5104" w:rsidRDefault="002659F6" w:rsidP="00AF5104">
      <w:pPr>
        <w:pStyle w:val="ListParagraph"/>
        <w:numPr>
          <w:ilvl w:val="0"/>
          <w:numId w:val="8"/>
        </w:numPr>
      </w:pPr>
      <w:r>
        <w:t>Provide t</w:t>
      </w:r>
      <w:r w:rsidR="00AF5104">
        <w:t xml:space="preserve">raining </w:t>
      </w:r>
      <w:r>
        <w:t>on the nonprofit sector</w:t>
      </w:r>
      <w:r w:rsidR="00AF5104">
        <w:t xml:space="preserve"> and human rights and humanitarian law for FATF staff</w:t>
      </w:r>
      <w:r w:rsidR="009A7164">
        <w:t xml:space="preserve">, FSRBs </w:t>
      </w:r>
      <w:r w:rsidR="00AF5104">
        <w:t>and evaluation teams</w:t>
      </w:r>
      <w:r w:rsidR="009A7164">
        <w:t>;</w:t>
      </w:r>
    </w:p>
    <w:p w14:paraId="695E47FE" w14:textId="070DFCC6" w:rsidR="006801BC" w:rsidRDefault="006801BC" w:rsidP="00AF5104">
      <w:pPr>
        <w:pStyle w:val="ListParagraph"/>
        <w:numPr>
          <w:ilvl w:val="0"/>
          <w:numId w:val="8"/>
        </w:numPr>
      </w:pPr>
      <w:r>
        <w:t xml:space="preserve">Require clear terms of </w:t>
      </w:r>
      <w:r w:rsidR="009A7164">
        <w:t xml:space="preserve">transparency and </w:t>
      </w:r>
      <w:r>
        <w:t>engagement for civil society by FSRBs, and then national governments</w:t>
      </w:r>
      <w:r w:rsidR="009A7164">
        <w:t>.</w:t>
      </w:r>
    </w:p>
    <w:p w14:paraId="45DD2B9D" w14:textId="58ACB700" w:rsidR="00F95C5B" w:rsidRDefault="00F95C5B">
      <w:r>
        <w:t>Submitted by the co-chairs of the Global NPO Coalition on FATF:</w:t>
      </w:r>
    </w:p>
    <w:p w14:paraId="25CE57B6" w14:textId="4C7973C0" w:rsidR="00F95C5B" w:rsidRDefault="00F95C5B">
      <w:r>
        <w:t>Lia van Broekhoven, Human Security Collective</w:t>
      </w:r>
    </w:p>
    <w:p w14:paraId="507BFADB" w14:textId="575AABB0" w:rsidR="00215A71" w:rsidRDefault="00F95C5B">
      <w:r>
        <w:t>Kay Guinane, Charity &amp; Security Network</w:t>
      </w:r>
      <w:r w:rsidR="00215A71">
        <w:br w:type="page"/>
      </w:r>
    </w:p>
    <w:p w14:paraId="5DF30A04" w14:textId="77777777" w:rsidR="000C0870" w:rsidRDefault="000C0870" w:rsidP="00F95C5B">
      <w:pPr>
        <w:pStyle w:val="Heading1"/>
        <w:spacing w:before="77"/>
        <w:ind w:left="3167" w:right="3167"/>
      </w:pPr>
      <w:r>
        <w:rPr>
          <w:color w:val="1F497D"/>
        </w:rPr>
        <w:lastRenderedPageBreak/>
        <w:t>CONCEPT OUTLINE:</w:t>
      </w:r>
    </w:p>
    <w:p w14:paraId="4FD41EE2" w14:textId="77777777" w:rsidR="000C0870" w:rsidRDefault="000C0870" w:rsidP="00F95C5B">
      <w:pPr>
        <w:spacing w:before="2"/>
        <w:ind w:left="1428"/>
        <w:rPr>
          <w:b/>
          <w:sz w:val="24"/>
        </w:rPr>
      </w:pPr>
      <w:r>
        <w:rPr>
          <w:b/>
          <w:color w:val="1F497D"/>
          <w:sz w:val="24"/>
        </w:rPr>
        <w:t>GUIDELINES ON ENGAGEMENT FOR FATF AND NPOS</w:t>
      </w:r>
    </w:p>
    <w:p w14:paraId="4CED5805" w14:textId="77777777" w:rsidR="000C0870" w:rsidRDefault="000C0870" w:rsidP="000C0870">
      <w:pPr>
        <w:ind w:left="120"/>
        <w:rPr>
          <w:sz w:val="24"/>
        </w:rPr>
      </w:pPr>
      <w:r>
        <w:rPr>
          <w:b/>
          <w:color w:val="1F497D"/>
          <w:sz w:val="24"/>
        </w:rPr>
        <w:t>Introduction</w:t>
      </w:r>
      <w:r>
        <w:rPr>
          <w:color w:val="1F497D"/>
          <w:sz w:val="24"/>
        </w:rPr>
        <w:t>:</w:t>
      </w:r>
    </w:p>
    <w:p w14:paraId="48568D29" w14:textId="77777777" w:rsidR="000C0870" w:rsidRDefault="000C0870" w:rsidP="000C0870">
      <w:pPr>
        <w:pStyle w:val="BodyText"/>
        <w:rPr>
          <w:sz w:val="23"/>
        </w:rPr>
      </w:pPr>
    </w:p>
    <w:p w14:paraId="3B723377" w14:textId="77777777" w:rsidR="000C0870" w:rsidRDefault="000C0870" w:rsidP="000C0870">
      <w:pPr>
        <w:spacing w:before="1" w:line="252" w:lineRule="auto"/>
        <w:ind w:left="120" w:right="114"/>
        <w:jc w:val="both"/>
        <w:rPr>
          <w:sz w:val="21"/>
        </w:rPr>
      </w:pPr>
      <w:r>
        <w:rPr>
          <w:w w:val="105"/>
          <w:sz w:val="21"/>
        </w:rPr>
        <w:t xml:space="preserve">At the June 2015 Plenary, the Financial Action Task Force (FATF) </w:t>
      </w:r>
      <w:r>
        <w:rPr>
          <w:color w:val="0000FF"/>
          <w:w w:val="105"/>
          <w:sz w:val="21"/>
          <w:u w:val="single" w:color="0000FF"/>
        </w:rPr>
        <w:t>committed</w:t>
      </w:r>
      <w:r>
        <w:rPr>
          <w:color w:val="0000FF"/>
          <w:w w:val="105"/>
          <w:sz w:val="21"/>
        </w:rPr>
        <w:t xml:space="preserve"> </w:t>
      </w:r>
      <w:r>
        <w:rPr>
          <w:w w:val="105"/>
          <w:sz w:val="21"/>
        </w:rPr>
        <w:t xml:space="preserve">itself to engage in a more formalized dialogue with the NPO sector, which was welcomed by many NPOs. According to the official FATF announcement (), </w:t>
      </w:r>
      <w:r>
        <w:rPr>
          <w:i/>
          <w:w w:val="105"/>
          <w:sz w:val="21"/>
        </w:rPr>
        <w:t>“…The FATF is committed to continuing a constructive engagement with NPOs on these important issues, and will continue doing so on an ad hoc basis, as needed, to facilitate its technical work. The FATF also agreed to enhance its engagement by holding an annual discussion with NPOs on specific issues of common interest.</w:t>
      </w:r>
      <w:r>
        <w:rPr>
          <w:w w:val="105"/>
          <w:sz w:val="21"/>
        </w:rPr>
        <w:t>” In order to facilitate the effective, inclusive, diverse and meaningful participation of relevant organizations, we recommend that the FATF adopts guidelines on engagement with NPO sector. Such Guidelines could enable the FATF to conduct more effective engagement and reach the widest NPO community, and at the same time allow NPOs to focus on providing the most useful input. Such</w:t>
      </w:r>
      <w:r>
        <w:rPr>
          <w:spacing w:val="48"/>
          <w:w w:val="105"/>
          <w:sz w:val="21"/>
        </w:rPr>
        <w:t xml:space="preserve"> </w:t>
      </w:r>
      <w:r>
        <w:rPr>
          <w:w w:val="105"/>
          <w:sz w:val="21"/>
        </w:rPr>
        <w:t>guidelines could be drawn based on practices that exist by other institutions.</w:t>
      </w:r>
      <w:r>
        <w:rPr>
          <w:w w:val="105"/>
          <w:position w:val="5"/>
          <w:sz w:val="14"/>
        </w:rPr>
        <w:t xml:space="preserve">1 </w:t>
      </w:r>
      <w:r>
        <w:rPr>
          <w:w w:val="105"/>
          <w:sz w:val="21"/>
        </w:rPr>
        <w:t>We are sending a proposal for guidelines that we hope to be discussed at the October plenary and further finalized with NPO</w:t>
      </w:r>
      <w:r>
        <w:rPr>
          <w:spacing w:val="7"/>
          <w:w w:val="105"/>
          <w:sz w:val="21"/>
        </w:rPr>
        <w:t xml:space="preserve"> </w:t>
      </w:r>
      <w:r>
        <w:rPr>
          <w:w w:val="105"/>
          <w:sz w:val="21"/>
        </w:rPr>
        <w:t>input.</w:t>
      </w:r>
    </w:p>
    <w:p w14:paraId="272D2058" w14:textId="77777777" w:rsidR="000C0870" w:rsidRDefault="000C0870" w:rsidP="000C0870">
      <w:pPr>
        <w:pStyle w:val="BodyText"/>
        <w:spacing w:before="5"/>
        <w:rPr>
          <w:sz w:val="20"/>
        </w:rPr>
      </w:pPr>
    </w:p>
    <w:p w14:paraId="093E87B8" w14:textId="77777777" w:rsidR="000C0870" w:rsidRDefault="000C0870" w:rsidP="000C0870">
      <w:pPr>
        <w:pStyle w:val="Heading1"/>
        <w:spacing w:before="1"/>
      </w:pPr>
      <w:r>
        <w:rPr>
          <w:color w:val="1F497D"/>
        </w:rPr>
        <w:t>Proposed content of the Guidelines:</w:t>
      </w:r>
    </w:p>
    <w:p w14:paraId="3EE956B7" w14:textId="77777777" w:rsidR="000C0870" w:rsidRDefault="000C0870" w:rsidP="000C0870">
      <w:pPr>
        <w:pStyle w:val="BodyText"/>
        <w:spacing w:before="7"/>
        <w:rPr>
          <w:b/>
        </w:rPr>
      </w:pPr>
    </w:p>
    <w:p w14:paraId="18B07F27" w14:textId="77777777" w:rsidR="000C0870" w:rsidRDefault="000C0870" w:rsidP="000C0870">
      <w:pPr>
        <w:pStyle w:val="Heading2"/>
        <w:numPr>
          <w:ilvl w:val="0"/>
          <w:numId w:val="12"/>
        </w:numPr>
        <w:tabs>
          <w:tab w:val="left" w:pos="447"/>
        </w:tabs>
        <w:ind w:hanging="326"/>
      </w:pPr>
      <w:r>
        <w:rPr>
          <w:w w:val="105"/>
        </w:rPr>
        <w:t>Annual Consultation with NPO</w:t>
      </w:r>
      <w:r>
        <w:rPr>
          <w:spacing w:val="4"/>
          <w:w w:val="105"/>
        </w:rPr>
        <w:t xml:space="preserve"> </w:t>
      </w:r>
      <w:r>
        <w:rPr>
          <w:w w:val="105"/>
        </w:rPr>
        <w:t>sector</w:t>
      </w:r>
    </w:p>
    <w:p w14:paraId="460AB862" w14:textId="77777777" w:rsidR="000C0870" w:rsidRDefault="000C0870" w:rsidP="000C0870">
      <w:pPr>
        <w:pStyle w:val="BodyText"/>
        <w:spacing w:before="3"/>
        <w:rPr>
          <w:b/>
          <w:sz w:val="23"/>
        </w:rPr>
      </w:pPr>
    </w:p>
    <w:p w14:paraId="245070CE" w14:textId="77777777" w:rsidR="000C0870" w:rsidRDefault="000C0870" w:rsidP="000C0870">
      <w:pPr>
        <w:pStyle w:val="ListParagraph"/>
        <w:widowControl w:val="0"/>
        <w:numPr>
          <w:ilvl w:val="1"/>
          <w:numId w:val="12"/>
        </w:numPr>
        <w:tabs>
          <w:tab w:val="left" w:pos="503"/>
        </w:tabs>
        <w:autoSpaceDE w:val="0"/>
        <w:autoSpaceDN w:val="0"/>
        <w:spacing w:after="0" w:line="240" w:lineRule="auto"/>
        <w:ind w:hanging="382"/>
        <w:contextualSpacing w:val="0"/>
        <w:rPr>
          <w:sz w:val="21"/>
        </w:rPr>
      </w:pPr>
      <w:r>
        <w:rPr>
          <w:w w:val="105"/>
          <w:sz w:val="21"/>
          <w:u w:val="single"/>
        </w:rPr>
        <w:t>NPO representatives to the annual Private Sector Consultative</w:t>
      </w:r>
      <w:r>
        <w:rPr>
          <w:spacing w:val="-2"/>
          <w:w w:val="105"/>
          <w:sz w:val="21"/>
          <w:u w:val="single"/>
        </w:rPr>
        <w:t xml:space="preserve"> </w:t>
      </w:r>
      <w:r>
        <w:rPr>
          <w:w w:val="105"/>
          <w:sz w:val="21"/>
          <w:u w:val="single"/>
        </w:rPr>
        <w:t>Forum</w:t>
      </w:r>
    </w:p>
    <w:p w14:paraId="3D044336" w14:textId="77777777" w:rsidR="000C0870" w:rsidRDefault="000C0870" w:rsidP="000C0870">
      <w:pPr>
        <w:pStyle w:val="ListParagraph"/>
        <w:widowControl w:val="0"/>
        <w:numPr>
          <w:ilvl w:val="2"/>
          <w:numId w:val="12"/>
        </w:numPr>
        <w:tabs>
          <w:tab w:val="left" w:pos="840"/>
        </w:tabs>
        <w:autoSpaceDE w:val="0"/>
        <w:autoSpaceDN w:val="0"/>
        <w:spacing w:before="11" w:after="0" w:line="252" w:lineRule="auto"/>
        <w:ind w:right="119"/>
        <w:contextualSpacing w:val="0"/>
        <w:jc w:val="both"/>
        <w:rPr>
          <w:sz w:val="21"/>
        </w:rPr>
      </w:pPr>
      <w:r>
        <w:rPr>
          <w:w w:val="105"/>
          <w:sz w:val="21"/>
        </w:rPr>
        <w:t>Include at least 3 additional NPO representatives to reflect the diversity of the sector and geographical coverage. Criteria to be considered include umbrella groups or coalitions that represent a large constituency, geographic balance i.e. representatives from the "Global North" and "Global South", representatives from different types of NPOs affected by the FATF standards, etc. (specific criteria should be finalized in consultation with</w:t>
      </w:r>
      <w:r>
        <w:rPr>
          <w:spacing w:val="6"/>
          <w:w w:val="105"/>
          <w:sz w:val="21"/>
        </w:rPr>
        <w:t xml:space="preserve"> </w:t>
      </w:r>
      <w:r>
        <w:rPr>
          <w:w w:val="105"/>
          <w:sz w:val="21"/>
        </w:rPr>
        <w:t>NPOs);</w:t>
      </w:r>
    </w:p>
    <w:p w14:paraId="6793472E" w14:textId="77777777" w:rsidR="000C0870" w:rsidRDefault="000C0870" w:rsidP="000C0870">
      <w:pPr>
        <w:pStyle w:val="ListParagraph"/>
        <w:widowControl w:val="0"/>
        <w:numPr>
          <w:ilvl w:val="2"/>
          <w:numId w:val="12"/>
        </w:numPr>
        <w:tabs>
          <w:tab w:val="left" w:pos="840"/>
        </w:tabs>
        <w:autoSpaceDE w:val="0"/>
        <w:autoSpaceDN w:val="0"/>
        <w:spacing w:after="0" w:line="252" w:lineRule="auto"/>
        <w:ind w:right="120"/>
        <w:contextualSpacing w:val="0"/>
        <w:jc w:val="both"/>
        <w:rPr>
          <w:sz w:val="21"/>
        </w:rPr>
      </w:pPr>
      <w:r>
        <w:rPr>
          <w:spacing w:val="2"/>
          <w:w w:val="102"/>
          <w:sz w:val="21"/>
        </w:rPr>
        <w:t>Con</w:t>
      </w:r>
      <w:r>
        <w:rPr>
          <w:spacing w:val="1"/>
          <w:w w:val="102"/>
          <w:sz w:val="21"/>
        </w:rPr>
        <w:t>si</w:t>
      </w:r>
      <w:r>
        <w:rPr>
          <w:spacing w:val="2"/>
          <w:w w:val="102"/>
          <w:sz w:val="21"/>
        </w:rPr>
        <w:t>d</w:t>
      </w:r>
      <w:r>
        <w:rPr>
          <w:spacing w:val="1"/>
          <w:w w:val="102"/>
          <w:sz w:val="21"/>
        </w:rPr>
        <w:t>e</w:t>
      </w:r>
      <w:r>
        <w:rPr>
          <w:w w:val="102"/>
          <w:sz w:val="21"/>
        </w:rPr>
        <w:t>r</w:t>
      </w:r>
      <w:r>
        <w:rPr>
          <w:sz w:val="21"/>
        </w:rPr>
        <w:t xml:space="preserve"> </w:t>
      </w:r>
      <w:r>
        <w:rPr>
          <w:spacing w:val="20"/>
          <w:sz w:val="21"/>
        </w:rPr>
        <w:t xml:space="preserve"> </w:t>
      </w:r>
      <w:r>
        <w:rPr>
          <w:spacing w:val="1"/>
          <w:w w:val="102"/>
          <w:sz w:val="21"/>
        </w:rPr>
        <w:t>r</w:t>
      </w:r>
      <w:r>
        <w:rPr>
          <w:spacing w:val="2"/>
          <w:w w:val="102"/>
          <w:sz w:val="21"/>
        </w:rPr>
        <w:t>o</w:t>
      </w:r>
      <w:r>
        <w:rPr>
          <w:spacing w:val="1"/>
          <w:w w:val="102"/>
          <w:sz w:val="21"/>
        </w:rPr>
        <w:t>t</w:t>
      </w:r>
      <w:r>
        <w:rPr>
          <w:spacing w:val="2"/>
          <w:w w:val="102"/>
          <w:sz w:val="21"/>
        </w:rPr>
        <w:t>a</w:t>
      </w:r>
      <w:r>
        <w:rPr>
          <w:spacing w:val="1"/>
          <w:w w:val="102"/>
          <w:sz w:val="21"/>
        </w:rPr>
        <w:t>ti</w:t>
      </w:r>
      <w:r>
        <w:rPr>
          <w:spacing w:val="2"/>
          <w:w w:val="102"/>
          <w:sz w:val="21"/>
        </w:rPr>
        <w:t>n</w:t>
      </w:r>
      <w:r>
        <w:rPr>
          <w:w w:val="102"/>
          <w:sz w:val="21"/>
        </w:rPr>
        <w:t>g</w:t>
      </w:r>
      <w:r>
        <w:rPr>
          <w:sz w:val="21"/>
        </w:rPr>
        <w:t xml:space="preserve"> </w:t>
      </w:r>
      <w:r>
        <w:rPr>
          <w:spacing w:val="20"/>
          <w:sz w:val="21"/>
        </w:rPr>
        <w:t xml:space="preserve"> </w:t>
      </w:r>
      <w:r>
        <w:rPr>
          <w:spacing w:val="2"/>
          <w:w w:val="102"/>
          <w:sz w:val="21"/>
        </w:rPr>
        <w:t>NP</w:t>
      </w:r>
      <w:r>
        <w:rPr>
          <w:w w:val="102"/>
          <w:sz w:val="21"/>
        </w:rPr>
        <w:t>O</w:t>
      </w:r>
      <w:r>
        <w:rPr>
          <w:sz w:val="21"/>
        </w:rPr>
        <w:t xml:space="preserve"> </w:t>
      </w:r>
      <w:r>
        <w:rPr>
          <w:spacing w:val="21"/>
          <w:sz w:val="21"/>
        </w:rPr>
        <w:t xml:space="preserve"> </w:t>
      </w:r>
      <w:r>
        <w:rPr>
          <w:spacing w:val="1"/>
          <w:w w:val="102"/>
          <w:sz w:val="21"/>
        </w:rPr>
        <w:t>re</w:t>
      </w:r>
      <w:r>
        <w:rPr>
          <w:spacing w:val="2"/>
          <w:w w:val="102"/>
          <w:sz w:val="21"/>
        </w:rPr>
        <w:t>p</w:t>
      </w:r>
      <w:r>
        <w:rPr>
          <w:spacing w:val="1"/>
          <w:w w:val="102"/>
          <w:sz w:val="21"/>
        </w:rPr>
        <w:t>rese</w:t>
      </w:r>
      <w:r>
        <w:rPr>
          <w:spacing w:val="2"/>
          <w:w w:val="102"/>
          <w:sz w:val="21"/>
        </w:rPr>
        <w:t>n</w:t>
      </w:r>
      <w:r>
        <w:rPr>
          <w:spacing w:val="1"/>
          <w:w w:val="102"/>
          <w:sz w:val="21"/>
        </w:rPr>
        <w:t>t</w:t>
      </w:r>
      <w:r>
        <w:rPr>
          <w:spacing w:val="2"/>
          <w:w w:val="102"/>
          <w:sz w:val="21"/>
        </w:rPr>
        <w:t>a</w:t>
      </w:r>
      <w:r>
        <w:rPr>
          <w:spacing w:val="1"/>
          <w:w w:val="102"/>
          <w:sz w:val="21"/>
        </w:rPr>
        <w:t>ti</w:t>
      </w:r>
      <w:r>
        <w:rPr>
          <w:spacing w:val="2"/>
          <w:w w:val="102"/>
          <w:sz w:val="21"/>
        </w:rPr>
        <w:t>v</w:t>
      </w:r>
      <w:r>
        <w:rPr>
          <w:spacing w:val="1"/>
          <w:w w:val="102"/>
          <w:sz w:val="21"/>
        </w:rPr>
        <w:t>e</w:t>
      </w:r>
      <w:r>
        <w:rPr>
          <w:w w:val="102"/>
          <w:sz w:val="21"/>
        </w:rPr>
        <w:t>s</w:t>
      </w:r>
      <w:r>
        <w:rPr>
          <w:sz w:val="21"/>
        </w:rPr>
        <w:t xml:space="preserve"> </w:t>
      </w:r>
      <w:r>
        <w:rPr>
          <w:spacing w:val="20"/>
          <w:sz w:val="21"/>
        </w:rPr>
        <w:t xml:space="preserve"> </w:t>
      </w:r>
      <w:r>
        <w:rPr>
          <w:spacing w:val="2"/>
          <w:w w:val="102"/>
          <w:sz w:val="21"/>
        </w:rPr>
        <w:t>o</w:t>
      </w:r>
      <w:r>
        <w:rPr>
          <w:w w:val="102"/>
          <w:sz w:val="21"/>
        </w:rPr>
        <w:t>n</w:t>
      </w:r>
      <w:r>
        <w:rPr>
          <w:sz w:val="21"/>
        </w:rPr>
        <w:t xml:space="preserve"> </w:t>
      </w:r>
      <w:r>
        <w:rPr>
          <w:spacing w:val="21"/>
          <w:sz w:val="21"/>
        </w:rPr>
        <w:t xml:space="preserve"> </w:t>
      </w:r>
      <w:r>
        <w:rPr>
          <w:spacing w:val="2"/>
          <w:w w:val="102"/>
          <w:sz w:val="21"/>
        </w:rPr>
        <w:t>2</w:t>
      </w:r>
      <w:r>
        <w:rPr>
          <w:w w:val="34"/>
          <w:sz w:val="21"/>
        </w:rPr>
        <w:t>-­</w:t>
      </w:r>
      <w:r>
        <w:rPr>
          <w:spacing w:val="1"/>
          <w:w w:val="34"/>
          <w:sz w:val="21"/>
        </w:rPr>
        <w:t>‐</w:t>
      </w:r>
      <w:r>
        <w:rPr>
          <w:spacing w:val="2"/>
          <w:w w:val="102"/>
          <w:sz w:val="21"/>
        </w:rPr>
        <w:t>yea</w:t>
      </w:r>
      <w:r>
        <w:rPr>
          <w:spacing w:val="1"/>
          <w:w w:val="102"/>
          <w:sz w:val="21"/>
        </w:rPr>
        <w:t>rl</w:t>
      </w:r>
      <w:r>
        <w:rPr>
          <w:w w:val="102"/>
          <w:sz w:val="21"/>
        </w:rPr>
        <w:t>y</w:t>
      </w:r>
      <w:r>
        <w:rPr>
          <w:sz w:val="21"/>
        </w:rPr>
        <w:t xml:space="preserve"> </w:t>
      </w:r>
      <w:r>
        <w:rPr>
          <w:spacing w:val="21"/>
          <w:sz w:val="21"/>
        </w:rPr>
        <w:t xml:space="preserve"> </w:t>
      </w:r>
      <w:r>
        <w:rPr>
          <w:spacing w:val="2"/>
          <w:w w:val="102"/>
          <w:sz w:val="21"/>
        </w:rPr>
        <w:t>b</w:t>
      </w:r>
      <w:r>
        <w:rPr>
          <w:spacing w:val="1"/>
          <w:w w:val="102"/>
          <w:sz w:val="21"/>
        </w:rPr>
        <w:t>asi</w:t>
      </w:r>
      <w:r>
        <w:rPr>
          <w:w w:val="102"/>
          <w:sz w:val="21"/>
        </w:rPr>
        <w:t>s</w:t>
      </w:r>
      <w:r>
        <w:rPr>
          <w:sz w:val="21"/>
        </w:rPr>
        <w:t xml:space="preserve"> </w:t>
      </w:r>
      <w:r>
        <w:rPr>
          <w:spacing w:val="20"/>
          <w:sz w:val="21"/>
        </w:rPr>
        <w:t xml:space="preserve"> </w:t>
      </w:r>
      <w:r>
        <w:rPr>
          <w:spacing w:val="1"/>
          <w:w w:val="102"/>
          <w:sz w:val="21"/>
        </w:rPr>
        <w:t>t</w:t>
      </w:r>
      <w:r>
        <w:rPr>
          <w:w w:val="102"/>
          <w:sz w:val="21"/>
        </w:rPr>
        <w:t>o</w:t>
      </w:r>
      <w:r>
        <w:rPr>
          <w:sz w:val="21"/>
        </w:rPr>
        <w:t xml:space="preserve"> </w:t>
      </w:r>
      <w:r>
        <w:rPr>
          <w:spacing w:val="21"/>
          <w:sz w:val="21"/>
        </w:rPr>
        <w:t xml:space="preserve"> </w:t>
      </w:r>
      <w:r>
        <w:rPr>
          <w:spacing w:val="1"/>
          <w:w w:val="102"/>
          <w:sz w:val="21"/>
        </w:rPr>
        <w:t>all</w:t>
      </w:r>
      <w:r>
        <w:rPr>
          <w:spacing w:val="2"/>
          <w:w w:val="102"/>
          <w:sz w:val="21"/>
        </w:rPr>
        <w:t>o</w:t>
      </w:r>
      <w:r>
        <w:rPr>
          <w:w w:val="102"/>
          <w:sz w:val="21"/>
        </w:rPr>
        <w:t>w</w:t>
      </w:r>
      <w:r>
        <w:rPr>
          <w:sz w:val="21"/>
        </w:rPr>
        <w:t xml:space="preserve"> </w:t>
      </w:r>
      <w:r>
        <w:rPr>
          <w:spacing w:val="22"/>
          <w:sz w:val="21"/>
        </w:rPr>
        <w:t xml:space="preserve"> </w:t>
      </w:r>
      <w:r>
        <w:rPr>
          <w:spacing w:val="1"/>
          <w:w w:val="102"/>
          <w:sz w:val="21"/>
        </w:rPr>
        <w:t>f</w:t>
      </w:r>
      <w:r>
        <w:rPr>
          <w:spacing w:val="2"/>
          <w:w w:val="102"/>
          <w:sz w:val="21"/>
        </w:rPr>
        <w:t>o</w:t>
      </w:r>
      <w:r>
        <w:rPr>
          <w:w w:val="102"/>
          <w:sz w:val="21"/>
        </w:rPr>
        <w:t>r</w:t>
      </w:r>
      <w:r>
        <w:rPr>
          <w:sz w:val="21"/>
        </w:rPr>
        <w:t xml:space="preserve"> </w:t>
      </w:r>
      <w:r>
        <w:rPr>
          <w:spacing w:val="20"/>
          <w:sz w:val="21"/>
        </w:rPr>
        <w:t xml:space="preserve"> </w:t>
      </w:r>
      <w:r>
        <w:rPr>
          <w:spacing w:val="3"/>
          <w:w w:val="102"/>
          <w:sz w:val="21"/>
        </w:rPr>
        <w:t>m</w:t>
      </w:r>
      <w:r>
        <w:rPr>
          <w:spacing w:val="2"/>
          <w:w w:val="102"/>
          <w:sz w:val="21"/>
        </w:rPr>
        <w:t>o</w:t>
      </w:r>
      <w:r>
        <w:rPr>
          <w:spacing w:val="1"/>
          <w:w w:val="102"/>
          <w:sz w:val="21"/>
        </w:rPr>
        <w:t>r</w:t>
      </w:r>
      <w:r>
        <w:rPr>
          <w:w w:val="102"/>
          <w:sz w:val="21"/>
        </w:rPr>
        <w:t xml:space="preserve">e </w:t>
      </w:r>
      <w:r>
        <w:rPr>
          <w:w w:val="105"/>
          <w:sz w:val="21"/>
        </w:rPr>
        <w:t>diversity.</w:t>
      </w:r>
    </w:p>
    <w:p w14:paraId="181EA461" w14:textId="77777777" w:rsidR="000C0870" w:rsidRDefault="000C0870" w:rsidP="000C0870">
      <w:pPr>
        <w:pStyle w:val="BodyText"/>
        <w:spacing w:before="5"/>
      </w:pPr>
    </w:p>
    <w:p w14:paraId="6A94C998" w14:textId="77777777" w:rsidR="000C0870" w:rsidRDefault="000C0870" w:rsidP="000C0870">
      <w:pPr>
        <w:pStyle w:val="ListParagraph"/>
        <w:widowControl w:val="0"/>
        <w:numPr>
          <w:ilvl w:val="1"/>
          <w:numId w:val="11"/>
        </w:numPr>
        <w:tabs>
          <w:tab w:val="left" w:pos="458"/>
        </w:tabs>
        <w:autoSpaceDE w:val="0"/>
        <w:autoSpaceDN w:val="0"/>
        <w:spacing w:before="1" w:after="0" w:line="240" w:lineRule="auto"/>
        <w:ind w:hanging="337"/>
        <w:contextualSpacing w:val="0"/>
        <w:rPr>
          <w:sz w:val="21"/>
        </w:rPr>
      </w:pPr>
      <w:r>
        <w:rPr>
          <w:w w:val="105"/>
          <w:sz w:val="21"/>
          <w:u w:val="single"/>
        </w:rPr>
        <w:t>Annual Side Meeting with</w:t>
      </w:r>
      <w:r>
        <w:rPr>
          <w:spacing w:val="5"/>
          <w:w w:val="105"/>
          <w:sz w:val="21"/>
          <w:u w:val="single"/>
        </w:rPr>
        <w:t xml:space="preserve"> </w:t>
      </w:r>
      <w:r>
        <w:rPr>
          <w:w w:val="105"/>
          <w:sz w:val="21"/>
          <w:u w:val="single"/>
        </w:rPr>
        <w:t>NPOs</w:t>
      </w:r>
    </w:p>
    <w:p w14:paraId="6906BA70" w14:textId="77777777" w:rsidR="000C0870" w:rsidRDefault="000C0870" w:rsidP="000C0870">
      <w:pPr>
        <w:pStyle w:val="ListParagraph"/>
        <w:widowControl w:val="0"/>
        <w:numPr>
          <w:ilvl w:val="2"/>
          <w:numId w:val="11"/>
        </w:numPr>
        <w:tabs>
          <w:tab w:val="left" w:pos="840"/>
        </w:tabs>
        <w:autoSpaceDE w:val="0"/>
        <w:autoSpaceDN w:val="0"/>
        <w:spacing w:before="15" w:after="0" w:line="247" w:lineRule="auto"/>
        <w:ind w:right="119"/>
        <w:contextualSpacing w:val="0"/>
        <w:jc w:val="both"/>
        <w:rPr>
          <w:sz w:val="21"/>
        </w:rPr>
      </w:pPr>
      <w:r>
        <w:rPr>
          <w:spacing w:val="3"/>
          <w:w w:val="102"/>
          <w:sz w:val="21"/>
        </w:rPr>
        <w:t>M</w:t>
      </w:r>
      <w:r>
        <w:rPr>
          <w:spacing w:val="1"/>
          <w:w w:val="102"/>
          <w:sz w:val="21"/>
        </w:rPr>
        <w:t>ee</w:t>
      </w:r>
      <w:r>
        <w:rPr>
          <w:w w:val="102"/>
          <w:sz w:val="21"/>
        </w:rPr>
        <w:t>t</w:t>
      </w:r>
      <w:r>
        <w:rPr>
          <w:spacing w:val="7"/>
          <w:sz w:val="21"/>
        </w:rPr>
        <w:t xml:space="preserve"> </w:t>
      </w:r>
      <w:r>
        <w:rPr>
          <w:spacing w:val="3"/>
          <w:w w:val="102"/>
          <w:sz w:val="21"/>
        </w:rPr>
        <w:t>w</w:t>
      </w:r>
      <w:r>
        <w:rPr>
          <w:spacing w:val="1"/>
          <w:w w:val="102"/>
          <w:sz w:val="21"/>
        </w:rPr>
        <w:t>it</w:t>
      </w:r>
      <w:r>
        <w:rPr>
          <w:w w:val="102"/>
          <w:sz w:val="21"/>
        </w:rPr>
        <w:t>h</w:t>
      </w:r>
      <w:r>
        <w:rPr>
          <w:spacing w:val="8"/>
          <w:sz w:val="21"/>
        </w:rPr>
        <w:t xml:space="preserve"> </w:t>
      </w:r>
      <w:r>
        <w:rPr>
          <w:spacing w:val="2"/>
          <w:w w:val="102"/>
          <w:sz w:val="21"/>
        </w:rPr>
        <w:t>NPO</w:t>
      </w:r>
      <w:r>
        <w:rPr>
          <w:w w:val="102"/>
          <w:sz w:val="21"/>
        </w:rPr>
        <w:t>s</w:t>
      </w:r>
      <w:r>
        <w:rPr>
          <w:spacing w:val="8"/>
          <w:sz w:val="21"/>
        </w:rPr>
        <w:t xml:space="preserve"> </w:t>
      </w:r>
      <w:r>
        <w:rPr>
          <w:spacing w:val="1"/>
          <w:w w:val="102"/>
          <w:sz w:val="21"/>
        </w:rPr>
        <w:t>f</w:t>
      </w:r>
      <w:r>
        <w:rPr>
          <w:spacing w:val="2"/>
          <w:w w:val="102"/>
          <w:sz w:val="21"/>
        </w:rPr>
        <w:t>o</w:t>
      </w:r>
      <w:r>
        <w:rPr>
          <w:w w:val="102"/>
          <w:sz w:val="21"/>
        </w:rPr>
        <w:t>r</w:t>
      </w:r>
      <w:r>
        <w:rPr>
          <w:spacing w:val="8"/>
          <w:sz w:val="21"/>
        </w:rPr>
        <w:t xml:space="preserve"> </w:t>
      </w:r>
      <w:r>
        <w:rPr>
          <w:w w:val="102"/>
          <w:sz w:val="21"/>
        </w:rPr>
        <w:t>a</w:t>
      </w:r>
      <w:r>
        <w:rPr>
          <w:spacing w:val="8"/>
          <w:sz w:val="21"/>
        </w:rPr>
        <w:t xml:space="preserve"> </w:t>
      </w:r>
      <w:r>
        <w:rPr>
          <w:spacing w:val="2"/>
          <w:w w:val="102"/>
          <w:sz w:val="21"/>
        </w:rPr>
        <w:t>da</w:t>
      </w:r>
      <w:r>
        <w:rPr>
          <w:w w:val="102"/>
          <w:sz w:val="21"/>
        </w:rPr>
        <w:t>y</w:t>
      </w:r>
      <w:r>
        <w:rPr>
          <w:spacing w:val="8"/>
          <w:sz w:val="21"/>
        </w:rPr>
        <w:t xml:space="preserve"> </w:t>
      </w:r>
      <w:r>
        <w:rPr>
          <w:spacing w:val="2"/>
          <w:w w:val="102"/>
          <w:sz w:val="21"/>
        </w:rPr>
        <w:t>o</w:t>
      </w:r>
      <w:r>
        <w:rPr>
          <w:w w:val="102"/>
          <w:sz w:val="21"/>
        </w:rPr>
        <w:t>r</w:t>
      </w:r>
      <w:r>
        <w:rPr>
          <w:spacing w:val="8"/>
          <w:sz w:val="21"/>
        </w:rPr>
        <w:t xml:space="preserve"> </w:t>
      </w:r>
      <w:r>
        <w:rPr>
          <w:spacing w:val="2"/>
          <w:w w:val="102"/>
          <w:sz w:val="21"/>
        </w:rPr>
        <w:t>ha</w:t>
      </w:r>
      <w:r>
        <w:rPr>
          <w:spacing w:val="1"/>
          <w:w w:val="102"/>
          <w:sz w:val="21"/>
        </w:rPr>
        <w:t>lf</w:t>
      </w:r>
      <w:r>
        <w:rPr>
          <w:w w:val="34"/>
          <w:sz w:val="21"/>
        </w:rPr>
        <w:t>-­</w:t>
      </w:r>
      <w:r>
        <w:rPr>
          <w:spacing w:val="1"/>
          <w:w w:val="34"/>
          <w:sz w:val="21"/>
        </w:rPr>
        <w:t>‐</w:t>
      </w:r>
      <w:r>
        <w:rPr>
          <w:spacing w:val="2"/>
          <w:w w:val="102"/>
          <w:sz w:val="21"/>
        </w:rPr>
        <w:t>da</w:t>
      </w:r>
      <w:r>
        <w:rPr>
          <w:w w:val="102"/>
          <w:sz w:val="21"/>
        </w:rPr>
        <w:t>y</w:t>
      </w:r>
      <w:r>
        <w:rPr>
          <w:spacing w:val="8"/>
          <w:sz w:val="21"/>
        </w:rPr>
        <w:t xml:space="preserve"> </w:t>
      </w:r>
      <w:r>
        <w:rPr>
          <w:spacing w:val="3"/>
          <w:w w:val="102"/>
          <w:sz w:val="21"/>
        </w:rPr>
        <w:t>m</w:t>
      </w:r>
      <w:r>
        <w:rPr>
          <w:spacing w:val="1"/>
          <w:w w:val="102"/>
          <w:sz w:val="21"/>
        </w:rPr>
        <w:t>eeti</w:t>
      </w:r>
      <w:r>
        <w:rPr>
          <w:spacing w:val="2"/>
          <w:w w:val="102"/>
          <w:sz w:val="21"/>
        </w:rPr>
        <w:t>n</w:t>
      </w:r>
      <w:r>
        <w:rPr>
          <w:w w:val="102"/>
          <w:sz w:val="21"/>
        </w:rPr>
        <w:t>g</w:t>
      </w:r>
      <w:r>
        <w:rPr>
          <w:spacing w:val="8"/>
          <w:sz w:val="21"/>
        </w:rPr>
        <w:t xml:space="preserve"> </w:t>
      </w:r>
      <w:r>
        <w:rPr>
          <w:spacing w:val="2"/>
          <w:w w:val="102"/>
          <w:sz w:val="21"/>
        </w:rPr>
        <w:t>on</w:t>
      </w:r>
      <w:r>
        <w:rPr>
          <w:spacing w:val="1"/>
          <w:w w:val="102"/>
          <w:sz w:val="21"/>
        </w:rPr>
        <w:t>c</w:t>
      </w:r>
      <w:r>
        <w:rPr>
          <w:w w:val="102"/>
          <w:sz w:val="21"/>
        </w:rPr>
        <w:t>e</w:t>
      </w:r>
      <w:r>
        <w:rPr>
          <w:spacing w:val="8"/>
          <w:sz w:val="21"/>
        </w:rPr>
        <w:t xml:space="preserve"> </w:t>
      </w:r>
      <w:r>
        <w:rPr>
          <w:w w:val="102"/>
          <w:sz w:val="21"/>
        </w:rPr>
        <w:t>a</w:t>
      </w:r>
      <w:r>
        <w:rPr>
          <w:spacing w:val="8"/>
          <w:sz w:val="21"/>
        </w:rPr>
        <w:t xml:space="preserve"> </w:t>
      </w:r>
      <w:r>
        <w:rPr>
          <w:spacing w:val="1"/>
          <w:w w:val="102"/>
          <w:sz w:val="21"/>
        </w:rPr>
        <w:t>yea</w:t>
      </w:r>
      <w:r>
        <w:rPr>
          <w:w w:val="102"/>
          <w:sz w:val="21"/>
        </w:rPr>
        <w:t>r</w:t>
      </w:r>
      <w:r>
        <w:rPr>
          <w:spacing w:val="7"/>
          <w:sz w:val="21"/>
        </w:rPr>
        <w:t xml:space="preserve"> </w:t>
      </w:r>
      <w:r>
        <w:rPr>
          <w:spacing w:val="1"/>
          <w:w w:val="102"/>
          <w:sz w:val="21"/>
        </w:rPr>
        <w:t>t</w:t>
      </w:r>
      <w:r>
        <w:rPr>
          <w:w w:val="102"/>
          <w:sz w:val="21"/>
        </w:rPr>
        <w:t>o</w:t>
      </w:r>
      <w:r>
        <w:rPr>
          <w:spacing w:val="8"/>
          <w:sz w:val="21"/>
        </w:rPr>
        <w:t xml:space="preserve"> </w:t>
      </w:r>
      <w:r>
        <w:rPr>
          <w:spacing w:val="2"/>
          <w:w w:val="102"/>
          <w:sz w:val="21"/>
        </w:rPr>
        <w:t>d</w:t>
      </w:r>
      <w:r>
        <w:rPr>
          <w:spacing w:val="1"/>
          <w:w w:val="102"/>
          <w:sz w:val="21"/>
        </w:rPr>
        <w:t>isc</w:t>
      </w:r>
      <w:r>
        <w:rPr>
          <w:spacing w:val="2"/>
          <w:w w:val="102"/>
          <w:sz w:val="21"/>
        </w:rPr>
        <w:t>u</w:t>
      </w:r>
      <w:r>
        <w:rPr>
          <w:spacing w:val="1"/>
          <w:w w:val="102"/>
          <w:sz w:val="21"/>
        </w:rPr>
        <w:t>s</w:t>
      </w:r>
      <w:r>
        <w:rPr>
          <w:w w:val="102"/>
          <w:sz w:val="21"/>
        </w:rPr>
        <w:t>s</w:t>
      </w:r>
      <w:r>
        <w:rPr>
          <w:spacing w:val="7"/>
          <w:sz w:val="21"/>
        </w:rPr>
        <w:t xml:space="preserve"> </w:t>
      </w:r>
      <w:r>
        <w:rPr>
          <w:spacing w:val="1"/>
          <w:w w:val="102"/>
          <w:sz w:val="21"/>
        </w:rPr>
        <w:t>t</w:t>
      </w:r>
      <w:r>
        <w:rPr>
          <w:spacing w:val="2"/>
          <w:w w:val="102"/>
          <w:sz w:val="21"/>
        </w:rPr>
        <w:t>h</w:t>
      </w:r>
      <w:r>
        <w:rPr>
          <w:w w:val="102"/>
          <w:sz w:val="21"/>
        </w:rPr>
        <w:t>e</w:t>
      </w:r>
      <w:r>
        <w:rPr>
          <w:spacing w:val="8"/>
          <w:sz w:val="21"/>
        </w:rPr>
        <w:t xml:space="preserve"> </w:t>
      </w:r>
      <w:r>
        <w:rPr>
          <w:spacing w:val="1"/>
          <w:w w:val="102"/>
          <w:sz w:val="21"/>
        </w:rPr>
        <w:t>r</w:t>
      </w:r>
      <w:r>
        <w:rPr>
          <w:spacing w:val="2"/>
          <w:w w:val="102"/>
          <w:sz w:val="21"/>
        </w:rPr>
        <w:t>ang</w:t>
      </w:r>
      <w:r>
        <w:rPr>
          <w:w w:val="102"/>
          <w:sz w:val="21"/>
        </w:rPr>
        <w:t>e</w:t>
      </w:r>
      <w:r>
        <w:rPr>
          <w:spacing w:val="8"/>
          <w:sz w:val="21"/>
        </w:rPr>
        <w:t xml:space="preserve"> </w:t>
      </w:r>
      <w:r>
        <w:rPr>
          <w:spacing w:val="2"/>
          <w:w w:val="102"/>
          <w:sz w:val="21"/>
        </w:rPr>
        <w:t>o</w:t>
      </w:r>
      <w:r>
        <w:rPr>
          <w:w w:val="102"/>
          <w:sz w:val="21"/>
        </w:rPr>
        <w:t xml:space="preserve">f </w:t>
      </w:r>
      <w:r>
        <w:rPr>
          <w:sz w:val="21"/>
        </w:rPr>
        <w:t>issues FATF’s programs have on the NPO</w:t>
      </w:r>
      <w:r>
        <w:rPr>
          <w:spacing w:val="41"/>
          <w:sz w:val="21"/>
        </w:rPr>
        <w:t xml:space="preserve"> </w:t>
      </w:r>
      <w:r>
        <w:rPr>
          <w:sz w:val="21"/>
        </w:rPr>
        <w:t>sector.</w:t>
      </w:r>
    </w:p>
    <w:p w14:paraId="422B3BF2" w14:textId="77777777" w:rsidR="000C0870" w:rsidRDefault="000C0870" w:rsidP="000C0870">
      <w:pPr>
        <w:pStyle w:val="ListParagraph"/>
        <w:widowControl w:val="0"/>
        <w:numPr>
          <w:ilvl w:val="2"/>
          <w:numId w:val="11"/>
        </w:numPr>
        <w:tabs>
          <w:tab w:val="left" w:pos="840"/>
        </w:tabs>
        <w:autoSpaceDE w:val="0"/>
        <w:autoSpaceDN w:val="0"/>
        <w:spacing w:before="9" w:after="0" w:line="249" w:lineRule="auto"/>
        <w:ind w:right="119"/>
        <w:contextualSpacing w:val="0"/>
        <w:jc w:val="both"/>
        <w:rPr>
          <w:sz w:val="21"/>
        </w:rPr>
      </w:pPr>
      <w:r>
        <w:rPr>
          <w:w w:val="105"/>
          <w:sz w:val="21"/>
        </w:rPr>
        <w:t>Include a diverse range of NPOs, both geographically and among the types of groups impacted by R8 (while FATF has found that service organizations are at higher risk of abuse than advocacy organizations, all types of NPOs have been and can be impacted by implementation of R8 and other FATF</w:t>
      </w:r>
      <w:r>
        <w:rPr>
          <w:spacing w:val="-9"/>
          <w:w w:val="105"/>
          <w:sz w:val="21"/>
        </w:rPr>
        <w:t xml:space="preserve"> </w:t>
      </w:r>
      <w:r>
        <w:rPr>
          <w:w w:val="105"/>
          <w:sz w:val="21"/>
        </w:rPr>
        <w:t>standards).</w:t>
      </w:r>
    </w:p>
    <w:p w14:paraId="0FA783EA" w14:textId="77777777" w:rsidR="000C0870" w:rsidRDefault="000C0870" w:rsidP="000C0870">
      <w:pPr>
        <w:pStyle w:val="ListParagraph"/>
        <w:widowControl w:val="0"/>
        <w:numPr>
          <w:ilvl w:val="2"/>
          <w:numId w:val="11"/>
        </w:numPr>
        <w:tabs>
          <w:tab w:val="left" w:pos="840"/>
        </w:tabs>
        <w:autoSpaceDE w:val="0"/>
        <w:autoSpaceDN w:val="0"/>
        <w:spacing w:before="6" w:after="0" w:line="247" w:lineRule="auto"/>
        <w:ind w:right="117"/>
        <w:contextualSpacing w:val="0"/>
        <w:jc w:val="both"/>
        <w:rPr>
          <w:sz w:val="21"/>
        </w:rPr>
      </w:pPr>
      <w:r>
        <w:rPr>
          <w:w w:val="105"/>
          <w:sz w:val="21"/>
        </w:rPr>
        <w:t>Ensure timely (early) announcements regarding NPO meeting and details for NPOs on how to</w:t>
      </w:r>
      <w:r>
        <w:rPr>
          <w:spacing w:val="5"/>
          <w:w w:val="105"/>
          <w:sz w:val="21"/>
        </w:rPr>
        <w:t xml:space="preserve"> </w:t>
      </w:r>
      <w:r>
        <w:rPr>
          <w:w w:val="105"/>
          <w:sz w:val="21"/>
        </w:rPr>
        <w:t>participate;</w:t>
      </w:r>
    </w:p>
    <w:p w14:paraId="287C690C" w14:textId="77777777" w:rsidR="000C0870" w:rsidRDefault="000C0870" w:rsidP="000C0870">
      <w:pPr>
        <w:pStyle w:val="ListParagraph"/>
        <w:widowControl w:val="0"/>
        <w:numPr>
          <w:ilvl w:val="2"/>
          <w:numId w:val="11"/>
        </w:numPr>
        <w:tabs>
          <w:tab w:val="left" w:pos="840"/>
        </w:tabs>
        <w:autoSpaceDE w:val="0"/>
        <w:autoSpaceDN w:val="0"/>
        <w:spacing w:before="9" w:after="0" w:line="247" w:lineRule="auto"/>
        <w:ind w:right="118"/>
        <w:contextualSpacing w:val="0"/>
        <w:jc w:val="both"/>
        <w:rPr>
          <w:sz w:val="21"/>
        </w:rPr>
      </w:pPr>
      <w:r>
        <w:rPr>
          <w:w w:val="105"/>
          <w:sz w:val="21"/>
        </w:rPr>
        <w:t>Provide NPOs with the opportunity to contribute by organizing a session at the meeting, or by suggesting topic and</w:t>
      </w:r>
      <w:r>
        <w:rPr>
          <w:spacing w:val="5"/>
          <w:w w:val="105"/>
          <w:sz w:val="21"/>
        </w:rPr>
        <w:t xml:space="preserve"> </w:t>
      </w:r>
      <w:r>
        <w:rPr>
          <w:w w:val="105"/>
          <w:sz w:val="21"/>
        </w:rPr>
        <w:t>speakers;</w:t>
      </w:r>
    </w:p>
    <w:p w14:paraId="47D6BE50" w14:textId="77777777" w:rsidR="000C0870" w:rsidRDefault="000C0870" w:rsidP="000C0870">
      <w:pPr>
        <w:pStyle w:val="ListParagraph"/>
        <w:widowControl w:val="0"/>
        <w:numPr>
          <w:ilvl w:val="2"/>
          <w:numId w:val="11"/>
        </w:numPr>
        <w:tabs>
          <w:tab w:val="left" w:pos="840"/>
        </w:tabs>
        <w:autoSpaceDE w:val="0"/>
        <w:autoSpaceDN w:val="0"/>
        <w:spacing w:before="9" w:after="0" w:line="247" w:lineRule="auto"/>
        <w:ind w:right="120"/>
        <w:contextualSpacing w:val="0"/>
        <w:jc w:val="both"/>
        <w:rPr>
          <w:sz w:val="21"/>
        </w:rPr>
      </w:pPr>
      <w:r>
        <w:rPr>
          <w:w w:val="105"/>
          <w:sz w:val="21"/>
        </w:rPr>
        <w:t>Ensure timely distribution and publishing all relevant material and draft documents in their early</w:t>
      </w:r>
      <w:r>
        <w:rPr>
          <w:spacing w:val="3"/>
          <w:w w:val="105"/>
          <w:sz w:val="21"/>
        </w:rPr>
        <w:t xml:space="preserve"> </w:t>
      </w:r>
      <w:r>
        <w:rPr>
          <w:w w:val="105"/>
          <w:sz w:val="21"/>
        </w:rPr>
        <w:t>form;</w:t>
      </w:r>
    </w:p>
    <w:p w14:paraId="144FCB72" w14:textId="77777777" w:rsidR="000C0870" w:rsidRDefault="000C0870" w:rsidP="000C0870">
      <w:pPr>
        <w:pStyle w:val="ListParagraph"/>
        <w:widowControl w:val="0"/>
        <w:numPr>
          <w:ilvl w:val="2"/>
          <w:numId w:val="11"/>
        </w:numPr>
        <w:tabs>
          <w:tab w:val="left" w:pos="839"/>
          <w:tab w:val="left" w:pos="840"/>
        </w:tabs>
        <w:autoSpaceDE w:val="0"/>
        <w:autoSpaceDN w:val="0"/>
        <w:spacing w:before="8" w:after="0" w:line="240" w:lineRule="auto"/>
        <w:contextualSpacing w:val="0"/>
        <w:rPr>
          <w:sz w:val="21"/>
        </w:rPr>
      </w:pPr>
      <w:r>
        <w:rPr>
          <w:w w:val="105"/>
          <w:sz w:val="21"/>
        </w:rPr>
        <w:t>Allow enough time for meaningful input and discussion at the</w:t>
      </w:r>
      <w:r>
        <w:rPr>
          <w:spacing w:val="-2"/>
          <w:w w:val="105"/>
          <w:sz w:val="21"/>
        </w:rPr>
        <w:t xml:space="preserve"> </w:t>
      </w:r>
      <w:r>
        <w:rPr>
          <w:w w:val="105"/>
          <w:sz w:val="21"/>
        </w:rPr>
        <w:t>meeting;</w:t>
      </w:r>
    </w:p>
    <w:p w14:paraId="543C99B9" w14:textId="77777777" w:rsidR="000C0870" w:rsidRDefault="000C0870" w:rsidP="000C0870">
      <w:pPr>
        <w:pStyle w:val="ListParagraph"/>
        <w:widowControl w:val="0"/>
        <w:numPr>
          <w:ilvl w:val="2"/>
          <w:numId w:val="11"/>
        </w:numPr>
        <w:tabs>
          <w:tab w:val="left" w:pos="839"/>
          <w:tab w:val="left" w:pos="840"/>
        </w:tabs>
        <w:autoSpaceDE w:val="0"/>
        <w:autoSpaceDN w:val="0"/>
        <w:spacing w:before="11" w:after="0" w:line="240" w:lineRule="auto"/>
        <w:contextualSpacing w:val="0"/>
        <w:rPr>
          <w:sz w:val="21"/>
        </w:rPr>
      </w:pPr>
      <w:r>
        <w:rPr>
          <w:w w:val="105"/>
          <w:sz w:val="21"/>
        </w:rPr>
        <w:t>Publish written NPO contributions</w:t>
      </w:r>
      <w:r>
        <w:rPr>
          <w:spacing w:val="5"/>
          <w:w w:val="105"/>
          <w:sz w:val="21"/>
        </w:rPr>
        <w:t xml:space="preserve"> </w:t>
      </w:r>
      <w:r>
        <w:rPr>
          <w:w w:val="105"/>
          <w:sz w:val="21"/>
        </w:rPr>
        <w:t>online;</w:t>
      </w:r>
    </w:p>
    <w:p w14:paraId="33E228B9" w14:textId="53E200AD" w:rsidR="000C0870" w:rsidRDefault="000C0870" w:rsidP="000C0870">
      <w:pPr>
        <w:pStyle w:val="BodyText"/>
        <w:spacing w:before="11"/>
        <w:rPr>
          <w:sz w:val="18"/>
        </w:rPr>
      </w:pPr>
      <w:r>
        <w:rPr>
          <w:noProof/>
          <w:sz w:val="21"/>
        </w:rPr>
        <mc:AlternateContent>
          <mc:Choice Requires="wps">
            <w:drawing>
              <wp:anchor distT="0" distB="0" distL="0" distR="0" simplePos="0" relativeHeight="251659264" behindDoc="1" locked="0" layoutInCell="1" allowOverlap="1" wp14:anchorId="73F01F70" wp14:editId="61D56DCB">
                <wp:simplePos x="0" y="0"/>
                <wp:positionH relativeFrom="page">
                  <wp:posOffset>1143000</wp:posOffset>
                </wp:positionH>
                <wp:positionV relativeFrom="paragraph">
                  <wp:posOffset>168910</wp:posOffset>
                </wp:positionV>
                <wp:extent cx="1828800" cy="0"/>
                <wp:effectExtent l="9525" t="13335" r="9525" b="5715"/>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41439A6" id="Straight Connector 1"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3.3pt" to="234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" strokeweight=".48pt">
                <w10:wrap type="topAndBottom" anchorx="page"/>
              </v:line>
            </w:pict>
          </mc:Fallback>
        </mc:AlternateContent>
      </w:r>
    </w:p>
    <w:p w14:paraId="064104DF" w14:textId="77777777" w:rsidR="000C0870" w:rsidRDefault="000C0870" w:rsidP="000C0870">
      <w:pPr>
        <w:spacing w:before="78"/>
        <w:ind w:left="120"/>
        <w:rPr>
          <w:sz w:val="19"/>
        </w:rPr>
      </w:pPr>
      <w:r>
        <w:rPr>
          <w:w w:val="105"/>
          <w:position w:val="5"/>
          <w:sz w:val="13"/>
        </w:rPr>
        <w:t xml:space="preserve">1 </w:t>
      </w:r>
      <w:r>
        <w:rPr>
          <w:w w:val="105"/>
          <w:sz w:val="19"/>
        </w:rPr>
        <w:t>Examples of international practices and standards can be found in Annex 1.</w:t>
      </w:r>
    </w:p>
    <w:p w14:paraId="07649351" w14:textId="77777777" w:rsidR="000C0870" w:rsidRDefault="000C0870" w:rsidP="000C0870">
      <w:pPr>
        <w:rPr>
          <w:sz w:val="19"/>
        </w:rPr>
        <w:sectPr w:rsidR="000C0870" w:rsidSect="00215A71">
          <w:type w:val="continuous"/>
          <w:pgSz w:w="11900" w:h="16840"/>
          <w:pgMar w:top="1440" w:right="1080" w:bottom="1440" w:left="1080" w:header="720" w:footer="793" w:gutter="0"/>
          <w:pgNumType w:start="1"/>
          <w:cols w:space="720"/>
          <w:docGrid w:linePitch="299"/>
        </w:sectPr>
      </w:pPr>
    </w:p>
    <w:p w14:paraId="387435A9" w14:textId="77777777" w:rsidR="000C0870" w:rsidRDefault="000C0870" w:rsidP="000C0870">
      <w:pPr>
        <w:pStyle w:val="ListParagraph"/>
        <w:widowControl w:val="0"/>
        <w:numPr>
          <w:ilvl w:val="2"/>
          <w:numId w:val="11"/>
        </w:numPr>
        <w:tabs>
          <w:tab w:val="left" w:pos="839"/>
          <w:tab w:val="left" w:pos="840"/>
        </w:tabs>
        <w:autoSpaceDE w:val="0"/>
        <w:autoSpaceDN w:val="0"/>
        <w:spacing w:before="69" w:after="0" w:line="240" w:lineRule="auto"/>
        <w:contextualSpacing w:val="0"/>
        <w:rPr>
          <w:sz w:val="21"/>
        </w:rPr>
      </w:pPr>
      <w:r>
        <w:rPr>
          <w:w w:val="105"/>
          <w:sz w:val="21"/>
        </w:rPr>
        <w:lastRenderedPageBreak/>
        <w:t>Provide feedback from plenary discussion on the draft</w:t>
      </w:r>
      <w:r>
        <w:rPr>
          <w:spacing w:val="3"/>
          <w:w w:val="105"/>
          <w:sz w:val="21"/>
        </w:rPr>
        <w:t xml:space="preserve"> </w:t>
      </w:r>
      <w:r>
        <w:rPr>
          <w:w w:val="105"/>
          <w:sz w:val="21"/>
        </w:rPr>
        <w:t>documents.</w:t>
      </w:r>
    </w:p>
    <w:p w14:paraId="5D3B66D0" w14:textId="77777777" w:rsidR="000C0870" w:rsidRDefault="000C0870" w:rsidP="000C0870">
      <w:pPr>
        <w:pStyle w:val="BodyText"/>
        <w:spacing w:before="10"/>
      </w:pPr>
    </w:p>
    <w:p w14:paraId="4AE43246" w14:textId="77777777" w:rsidR="000C0870" w:rsidRDefault="000C0870" w:rsidP="000C0870">
      <w:pPr>
        <w:pStyle w:val="ListParagraph"/>
        <w:widowControl w:val="0"/>
        <w:numPr>
          <w:ilvl w:val="1"/>
          <w:numId w:val="10"/>
        </w:numPr>
        <w:tabs>
          <w:tab w:val="left" w:pos="524"/>
        </w:tabs>
        <w:autoSpaceDE w:val="0"/>
        <w:autoSpaceDN w:val="0"/>
        <w:spacing w:after="0" w:line="252" w:lineRule="auto"/>
        <w:ind w:right="117" w:firstLine="0"/>
        <w:contextualSpacing w:val="0"/>
        <w:rPr>
          <w:sz w:val="21"/>
        </w:rPr>
      </w:pPr>
      <w:r>
        <w:rPr>
          <w:w w:val="105"/>
          <w:sz w:val="21"/>
          <w:u w:val="single"/>
        </w:rPr>
        <w:t>Alternatively to the annual NPO meeting (from 1.2.): NPO sector workshop during the annual Private Sector Consultative</w:t>
      </w:r>
      <w:r>
        <w:rPr>
          <w:spacing w:val="5"/>
          <w:w w:val="105"/>
          <w:sz w:val="21"/>
          <w:u w:val="single"/>
        </w:rPr>
        <w:t xml:space="preserve"> </w:t>
      </w:r>
      <w:r>
        <w:rPr>
          <w:w w:val="105"/>
          <w:sz w:val="21"/>
          <w:u w:val="single"/>
        </w:rPr>
        <w:t>Forum</w:t>
      </w:r>
    </w:p>
    <w:p w14:paraId="2F6972CF" w14:textId="77777777" w:rsidR="000C0870" w:rsidRDefault="000C0870" w:rsidP="000C0870">
      <w:pPr>
        <w:pStyle w:val="ListParagraph"/>
        <w:widowControl w:val="0"/>
        <w:numPr>
          <w:ilvl w:val="2"/>
          <w:numId w:val="10"/>
        </w:numPr>
        <w:tabs>
          <w:tab w:val="left" w:pos="840"/>
        </w:tabs>
        <w:autoSpaceDE w:val="0"/>
        <w:autoSpaceDN w:val="0"/>
        <w:spacing w:after="0" w:line="252" w:lineRule="auto"/>
        <w:ind w:right="119"/>
        <w:contextualSpacing w:val="0"/>
        <w:jc w:val="both"/>
        <w:rPr>
          <w:sz w:val="21"/>
        </w:rPr>
      </w:pPr>
      <w:r>
        <w:rPr>
          <w:w w:val="105"/>
          <w:sz w:val="21"/>
        </w:rPr>
        <w:t>Ensure timely (early) announcements regarding NPO workshops and details for NPOs on how to</w:t>
      </w:r>
      <w:r>
        <w:rPr>
          <w:spacing w:val="5"/>
          <w:w w:val="105"/>
          <w:sz w:val="21"/>
        </w:rPr>
        <w:t xml:space="preserve"> </w:t>
      </w:r>
      <w:r>
        <w:rPr>
          <w:w w:val="105"/>
          <w:sz w:val="21"/>
        </w:rPr>
        <w:t>participate;</w:t>
      </w:r>
    </w:p>
    <w:p w14:paraId="7B663EB2" w14:textId="77777777" w:rsidR="000C0870" w:rsidRDefault="000C0870" w:rsidP="000C0870">
      <w:pPr>
        <w:pStyle w:val="ListParagraph"/>
        <w:widowControl w:val="0"/>
        <w:numPr>
          <w:ilvl w:val="2"/>
          <w:numId w:val="10"/>
        </w:numPr>
        <w:tabs>
          <w:tab w:val="left" w:pos="840"/>
        </w:tabs>
        <w:autoSpaceDE w:val="0"/>
        <w:autoSpaceDN w:val="0"/>
        <w:spacing w:after="0" w:line="252" w:lineRule="auto"/>
        <w:ind w:right="118"/>
        <w:contextualSpacing w:val="0"/>
        <w:jc w:val="both"/>
        <w:rPr>
          <w:sz w:val="21"/>
        </w:rPr>
      </w:pPr>
      <w:r>
        <w:rPr>
          <w:w w:val="105"/>
          <w:sz w:val="21"/>
        </w:rPr>
        <w:t>Provide NPOs with the opportunity to contribute by organizing a session at the workshop, or by suggesting topic and</w:t>
      </w:r>
      <w:r>
        <w:rPr>
          <w:spacing w:val="4"/>
          <w:w w:val="105"/>
          <w:sz w:val="21"/>
        </w:rPr>
        <w:t xml:space="preserve"> </w:t>
      </w:r>
      <w:r>
        <w:rPr>
          <w:w w:val="105"/>
          <w:sz w:val="21"/>
        </w:rPr>
        <w:t>speakers;</w:t>
      </w:r>
    </w:p>
    <w:p w14:paraId="1C802827" w14:textId="77777777" w:rsidR="000C0870" w:rsidRDefault="000C0870" w:rsidP="000C0870">
      <w:pPr>
        <w:pStyle w:val="ListParagraph"/>
        <w:widowControl w:val="0"/>
        <w:numPr>
          <w:ilvl w:val="2"/>
          <w:numId w:val="10"/>
        </w:numPr>
        <w:tabs>
          <w:tab w:val="left" w:pos="840"/>
        </w:tabs>
        <w:autoSpaceDE w:val="0"/>
        <w:autoSpaceDN w:val="0"/>
        <w:spacing w:after="0" w:line="252" w:lineRule="auto"/>
        <w:ind w:right="120"/>
        <w:contextualSpacing w:val="0"/>
        <w:jc w:val="both"/>
        <w:rPr>
          <w:sz w:val="21"/>
        </w:rPr>
      </w:pPr>
      <w:r>
        <w:rPr>
          <w:w w:val="105"/>
          <w:sz w:val="21"/>
        </w:rPr>
        <w:t>Ensure timely distribution and publishing all relevant material and draft documents in their early</w:t>
      </w:r>
      <w:r>
        <w:rPr>
          <w:spacing w:val="3"/>
          <w:w w:val="105"/>
          <w:sz w:val="21"/>
        </w:rPr>
        <w:t xml:space="preserve"> </w:t>
      </w:r>
      <w:r>
        <w:rPr>
          <w:w w:val="105"/>
          <w:sz w:val="21"/>
        </w:rPr>
        <w:t>form;</w:t>
      </w:r>
    </w:p>
    <w:p w14:paraId="7B9132D0" w14:textId="77777777" w:rsidR="000C0870" w:rsidRDefault="000C0870" w:rsidP="000C0870">
      <w:pPr>
        <w:pStyle w:val="ListParagraph"/>
        <w:widowControl w:val="0"/>
        <w:numPr>
          <w:ilvl w:val="2"/>
          <w:numId w:val="10"/>
        </w:numPr>
        <w:tabs>
          <w:tab w:val="left" w:pos="839"/>
          <w:tab w:val="left" w:pos="840"/>
        </w:tabs>
        <w:autoSpaceDE w:val="0"/>
        <w:autoSpaceDN w:val="0"/>
        <w:spacing w:after="0" w:line="257" w:lineRule="exact"/>
        <w:contextualSpacing w:val="0"/>
        <w:rPr>
          <w:sz w:val="21"/>
        </w:rPr>
      </w:pPr>
      <w:r>
        <w:rPr>
          <w:w w:val="105"/>
          <w:sz w:val="21"/>
        </w:rPr>
        <w:t>Allow enough time for meaningful input and discussion at the</w:t>
      </w:r>
      <w:r>
        <w:rPr>
          <w:spacing w:val="-2"/>
          <w:w w:val="105"/>
          <w:sz w:val="21"/>
        </w:rPr>
        <w:t xml:space="preserve"> </w:t>
      </w:r>
      <w:r>
        <w:rPr>
          <w:w w:val="105"/>
          <w:sz w:val="21"/>
        </w:rPr>
        <w:t>meeting;</w:t>
      </w:r>
    </w:p>
    <w:p w14:paraId="0C573CD1" w14:textId="77777777" w:rsidR="000C0870" w:rsidRDefault="000C0870" w:rsidP="000C0870">
      <w:pPr>
        <w:pStyle w:val="ListParagraph"/>
        <w:widowControl w:val="0"/>
        <w:numPr>
          <w:ilvl w:val="2"/>
          <w:numId w:val="10"/>
        </w:numPr>
        <w:tabs>
          <w:tab w:val="left" w:pos="839"/>
          <w:tab w:val="left" w:pos="840"/>
        </w:tabs>
        <w:autoSpaceDE w:val="0"/>
        <w:autoSpaceDN w:val="0"/>
        <w:spacing w:before="13" w:after="0" w:line="240" w:lineRule="auto"/>
        <w:contextualSpacing w:val="0"/>
        <w:rPr>
          <w:sz w:val="21"/>
        </w:rPr>
      </w:pPr>
      <w:r>
        <w:rPr>
          <w:w w:val="105"/>
          <w:sz w:val="21"/>
        </w:rPr>
        <w:t>Publish written NPO contributions</w:t>
      </w:r>
      <w:r>
        <w:rPr>
          <w:spacing w:val="5"/>
          <w:w w:val="105"/>
          <w:sz w:val="21"/>
        </w:rPr>
        <w:t xml:space="preserve"> </w:t>
      </w:r>
      <w:r>
        <w:rPr>
          <w:w w:val="105"/>
          <w:sz w:val="21"/>
        </w:rPr>
        <w:t>online;</w:t>
      </w:r>
    </w:p>
    <w:p w14:paraId="09C4DD18" w14:textId="77777777" w:rsidR="000C0870" w:rsidRDefault="000C0870" w:rsidP="000C0870">
      <w:pPr>
        <w:pStyle w:val="ListParagraph"/>
        <w:widowControl w:val="0"/>
        <w:numPr>
          <w:ilvl w:val="2"/>
          <w:numId w:val="10"/>
        </w:numPr>
        <w:tabs>
          <w:tab w:val="left" w:pos="839"/>
          <w:tab w:val="left" w:pos="840"/>
        </w:tabs>
        <w:autoSpaceDE w:val="0"/>
        <w:autoSpaceDN w:val="0"/>
        <w:spacing w:before="11" w:after="0" w:line="240" w:lineRule="auto"/>
        <w:contextualSpacing w:val="0"/>
        <w:rPr>
          <w:sz w:val="21"/>
        </w:rPr>
      </w:pPr>
      <w:r>
        <w:rPr>
          <w:w w:val="105"/>
          <w:sz w:val="21"/>
        </w:rPr>
        <w:t>Provide feedback from plenary discussion on the draft</w:t>
      </w:r>
      <w:r>
        <w:rPr>
          <w:spacing w:val="3"/>
          <w:w w:val="105"/>
          <w:sz w:val="21"/>
        </w:rPr>
        <w:t xml:space="preserve"> </w:t>
      </w:r>
      <w:r>
        <w:rPr>
          <w:w w:val="105"/>
          <w:sz w:val="21"/>
        </w:rPr>
        <w:t>documents.</w:t>
      </w:r>
    </w:p>
    <w:p w14:paraId="606299EA" w14:textId="77777777" w:rsidR="000C0870" w:rsidRDefault="000C0870" w:rsidP="000C0870">
      <w:pPr>
        <w:pStyle w:val="BodyText"/>
        <w:spacing w:before="9"/>
      </w:pPr>
    </w:p>
    <w:p w14:paraId="41B788B0" w14:textId="77777777" w:rsidR="000C0870" w:rsidRDefault="000C0870" w:rsidP="000C0870">
      <w:pPr>
        <w:pStyle w:val="Heading2"/>
        <w:numPr>
          <w:ilvl w:val="0"/>
          <w:numId w:val="12"/>
        </w:numPr>
        <w:tabs>
          <w:tab w:val="left" w:pos="447"/>
        </w:tabs>
        <w:ind w:hanging="326"/>
      </w:pPr>
      <w:r>
        <w:rPr>
          <w:w w:val="105"/>
        </w:rPr>
        <w:t>Ad hoc engagement and outreach on draft</w:t>
      </w:r>
      <w:r>
        <w:rPr>
          <w:spacing w:val="4"/>
          <w:w w:val="105"/>
        </w:rPr>
        <w:t xml:space="preserve"> </w:t>
      </w:r>
      <w:r>
        <w:rPr>
          <w:w w:val="105"/>
        </w:rPr>
        <w:t>policies</w:t>
      </w:r>
    </w:p>
    <w:p w14:paraId="3903AA3F" w14:textId="77777777" w:rsidR="000C0870" w:rsidRDefault="000C0870" w:rsidP="000C0870">
      <w:pPr>
        <w:pStyle w:val="BodyText"/>
        <w:spacing w:before="1"/>
        <w:rPr>
          <w:b/>
          <w:sz w:val="23"/>
        </w:rPr>
      </w:pPr>
    </w:p>
    <w:p w14:paraId="5CA6F259" w14:textId="77777777" w:rsidR="000C0870" w:rsidRDefault="000C0870" w:rsidP="000C0870">
      <w:pPr>
        <w:pStyle w:val="ListParagraph"/>
        <w:widowControl w:val="0"/>
        <w:numPr>
          <w:ilvl w:val="0"/>
          <w:numId w:val="9"/>
        </w:numPr>
        <w:tabs>
          <w:tab w:val="left" w:pos="840"/>
        </w:tabs>
        <w:autoSpaceDE w:val="0"/>
        <w:autoSpaceDN w:val="0"/>
        <w:spacing w:after="0" w:line="252" w:lineRule="auto"/>
        <w:ind w:right="120"/>
        <w:contextualSpacing w:val="0"/>
        <w:jc w:val="both"/>
        <w:rPr>
          <w:sz w:val="21"/>
        </w:rPr>
      </w:pPr>
      <w:r>
        <w:rPr>
          <w:w w:val="105"/>
          <w:sz w:val="21"/>
        </w:rPr>
        <w:t>Circulate questions and share draft documents for input with NPO sector</w:t>
      </w:r>
      <w:r>
        <w:rPr>
          <w:spacing w:val="-33"/>
          <w:w w:val="105"/>
          <w:sz w:val="21"/>
        </w:rPr>
        <w:t xml:space="preserve"> </w:t>
      </w:r>
      <w:r>
        <w:rPr>
          <w:w w:val="105"/>
          <w:sz w:val="21"/>
        </w:rPr>
        <w:t>beyond the annual</w:t>
      </w:r>
      <w:r>
        <w:rPr>
          <w:spacing w:val="2"/>
          <w:w w:val="105"/>
          <w:sz w:val="21"/>
        </w:rPr>
        <w:t xml:space="preserve"> </w:t>
      </w:r>
      <w:r>
        <w:rPr>
          <w:w w:val="105"/>
          <w:sz w:val="21"/>
        </w:rPr>
        <w:t>consultation;</w:t>
      </w:r>
    </w:p>
    <w:p w14:paraId="0BAC3AC5" w14:textId="77777777" w:rsidR="000C0870" w:rsidRDefault="000C0870" w:rsidP="000C0870">
      <w:pPr>
        <w:pStyle w:val="ListParagraph"/>
        <w:widowControl w:val="0"/>
        <w:numPr>
          <w:ilvl w:val="0"/>
          <w:numId w:val="9"/>
        </w:numPr>
        <w:tabs>
          <w:tab w:val="left" w:pos="840"/>
        </w:tabs>
        <w:autoSpaceDE w:val="0"/>
        <w:autoSpaceDN w:val="0"/>
        <w:spacing w:after="0" w:line="252" w:lineRule="auto"/>
        <w:ind w:right="119"/>
        <w:contextualSpacing w:val="0"/>
        <w:jc w:val="both"/>
        <w:rPr>
          <w:i/>
          <w:sz w:val="21"/>
        </w:rPr>
      </w:pPr>
      <w:r>
        <w:rPr>
          <w:w w:val="105"/>
          <w:sz w:val="21"/>
        </w:rPr>
        <w:t>Allow for online (written) contributions as one form of consulting to reach out</w:t>
      </w:r>
      <w:r>
        <w:rPr>
          <w:spacing w:val="-31"/>
          <w:w w:val="105"/>
          <w:sz w:val="21"/>
        </w:rPr>
        <w:t xml:space="preserve"> </w:t>
      </w:r>
      <w:r>
        <w:rPr>
          <w:w w:val="105"/>
          <w:sz w:val="21"/>
        </w:rPr>
        <w:t xml:space="preserve">to different NPOs and enable broad geographical representation; NB. </w:t>
      </w:r>
      <w:r>
        <w:rPr>
          <w:i/>
          <w:w w:val="105"/>
          <w:sz w:val="21"/>
        </w:rPr>
        <w:t>online (written) contributions can be managed for example by providing a simple template with limited space to ensure targeted</w:t>
      </w:r>
      <w:r>
        <w:rPr>
          <w:i/>
          <w:spacing w:val="7"/>
          <w:w w:val="105"/>
          <w:sz w:val="21"/>
        </w:rPr>
        <w:t xml:space="preserve"> </w:t>
      </w:r>
      <w:r>
        <w:rPr>
          <w:i/>
          <w:w w:val="105"/>
          <w:sz w:val="21"/>
        </w:rPr>
        <w:t>input;</w:t>
      </w:r>
    </w:p>
    <w:p w14:paraId="69574366" w14:textId="77777777" w:rsidR="000C0870" w:rsidRDefault="000C0870" w:rsidP="000C0870">
      <w:pPr>
        <w:pStyle w:val="ListParagraph"/>
        <w:widowControl w:val="0"/>
        <w:numPr>
          <w:ilvl w:val="0"/>
          <w:numId w:val="9"/>
        </w:numPr>
        <w:tabs>
          <w:tab w:val="left" w:pos="840"/>
        </w:tabs>
        <w:autoSpaceDE w:val="0"/>
        <w:autoSpaceDN w:val="0"/>
        <w:spacing w:after="0" w:line="247" w:lineRule="auto"/>
        <w:ind w:right="121"/>
        <w:contextualSpacing w:val="0"/>
        <w:jc w:val="both"/>
        <w:rPr>
          <w:sz w:val="21"/>
        </w:rPr>
      </w:pPr>
      <w:r>
        <w:rPr>
          <w:w w:val="105"/>
          <w:sz w:val="21"/>
        </w:rPr>
        <w:t>Provide timely announcements of the process, steps, deadlines and how NPOs can</w:t>
      </w:r>
      <w:r>
        <w:rPr>
          <w:spacing w:val="1"/>
          <w:w w:val="105"/>
          <w:sz w:val="21"/>
        </w:rPr>
        <w:t xml:space="preserve"> </w:t>
      </w:r>
      <w:r>
        <w:rPr>
          <w:w w:val="105"/>
          <w:sz w:val="21"/>
        </w:rPr>
        <w:t>participate;</w:t>
      </w:r>
    </w:p>
    <w:p w14:paraId="53C183DC" w14:textId="77777777" w:rsidR="000C0870" w:rsidRDefault="000C0870" w:rsidP="000C0870">
      <w:pPr>
        <w:pStyle w:val="ListParagraph"/>
        <w:widowControl w:val="0"/>
        <w:numPr>
          <w:ilvl w:val="0"/>
          <w:numId w:val="9"/>
        </w:numPr>
        <w:tabs>
          <w:tab w:val="left" w:pos="840"/>
        </w:tabs>
        <w:autoSpaceDE w:val="0"/>
        <w:autoSpaceDN w:val="0"/>
        <w:spacing w:before="8" w:after="0" w:line="247" w:lineRule="auto"/>
        <w:ind w:right="119"/>
        <w:contextualSpacing w:val="0"/>
        <w:jc w:val="both"/>
        <w:rPr>
          <w:sz w:val="21"/>
        </w:rPr>
      </w:pPr>
      <w:r>
        <w:rPr>
          <w:w w:val="105"/>
          <w:sz w:val="21"/>
        </w:rPr>
        <w:t>Publish drafts in their early form (first concept, first draft, second draft, final draft etc…);</w:t>
      </w:r>
    </w:p>
    <w:p w14:paraId="41EC66AA" w14:textId="77777777" w:rsidR="000C0870" w:rsidRDefault="000C0870" w:rsidP="000C0870">
      <w:pPr>
        <w:pStyle w:val="ListParagraph"/>
        <w:widowControl w:val="0"/>
        <w:numPr>
          <w:ilvl w:val="0"/>
          <w:numId w:val="9"/>
        </w:numPr>
        <w:tabs>
          <w:tab w:val="left" w:pos="840"/>
        </w:tabs>
        <w:autoSpaceDE w:val="0"/>
        <w:autoSpaceDN w:val="0"/>
        <w:spacing w:before="9" w:after="0" w:line="249" w:lineRule="auto"/>
        <w:ind w:right="118"/>
        <w:contextualSpacing w:val="0"/>
        <w:jc w:val="both"/>
        <w:rPr>
          <w:i/>
          <w:sz w:val="21"/>
        </w:rPr>
      </w:pPr>
      <w:r>
        <w:rPr>
          <w:spacing w:val="2"/>
          <w:w w:val="102"/>
          <w:sz w:val="21"/>
        </w:rPr>
        <w:t>A</w:t>
      </w:r>
      <w:r>
        <w:rPr>
          <w:spacing w:val="1"/>
          <w:w w:val="102"/>
          <w:sz w:val="21"/>
        </w:rPr>
        <w:t>llo</w:t>
      </w:r>
      <w:r>
        <w:rPr>
          <w:w w:val="102"/>
          <w:sz w:val="21"/>
        </w:rPr>
        <w:t>w</w:t>
      </w:r>
      <w:r>
        <w:rPr>
          <w:sz w:val="21"/>
        </w:rPr>
        <w:t xml:space="preserve"> </w:t>
      </w:r>
      <w:r>
        <w:rPr>
          <w:spacing w:val="-3"/>
          <w:sz w:val="21"/>
        </w:rPr>
        <w:t xml:space="preserve"> </w:t>
      </w:r>
      <w:r>
        <w:rPr>
          <w:spacing w:val="1"/>
          <w:w w:val="102"/>
          <w:sz w:val="21"/>
        </w:rPr>
        <w:t>e</w:t>
      </w:r>
      <w:r>
        <w:rPr>
          <w:spacing w:val="2"/>
          <w:w w:val="102"/>
          <w:sz w:val="21"/>
        </w:rPr>
        <w:t>noug</w:t>
      </w:r>
      <w:r>
        <w:rPr>
          <w:w w:val="102"/>
          <w:sz w:val="21"/>
        </w:rPr>
        <w:t>h</w:t>
      </w:r>
      <w:r>
        <w:rPr>
          <w:sz w:val="21"/>
        </w:rPr>
        <w:t xml:space="preserve"> </w:t>
      </w:r>
      <w:r>
        <w:rPr>
          <w:spacing w:val="-3"/>
          <w:sz w:val="21"/>
        </w:rPr>
        <w:t xml:space="preserve"> </w:t>
      </w:r>
      <w:r>
        <w:rPr>
          <w:spacing w:val="1"/>
          <w:w w:val="102"/>
          <w:sz w:val="21"/>
        </w:rPr>
        <w:t>ti</w:t>
      </w:r>
      <w:r>
        <w:rPr>
          <w:spacing w:val="3"/>
          <w:w w:val="102"/>
          <w:sz w:val="21"/>
        </w:rPr>
        <w:t>m</w:t>
      </w:r>
      <w:r>
        <w:rPr>
          <w:w w:val="102"/>
          <w:sz w:val="21"/>
        </w:rPr>
        <w:t>e</w:t>
      </w:r>
      <w:r>
        <w:rPr>
          <w:sz w:val="21"/>
        </w:rPr>
        <w:t xml:space="preserve"> </w:t>
      </w:r>
      <w:r>
        <w:rPr>
          <w:spacing w:val="-4"/>
          <w:sz w:val="21"/>
        </w:rPr>
        <w:t xml:space="preserve"> </w:t>
      </w:r>
      <w:r>
        <w:rPr>
          <w:spacing w:val="1"/>
          <w:w w:val="102"/>
          <w:sz w:val="21"/>
        </w:rPr>
        <w:t>f</w:t>
      </w:r>
      <w:r>
        <w:rPr>
          <w:spacing w:val="2"/>
          <w:w w:val="102"/>
          <w:sz w:val="21"/>
        </w:rPr>
        <w:t>o</w:t>
      </w:r>
      <w:r>
        <w:rPr>
          <w:w w:val="102"/>
          <w:sz w:val="21"/>
        </w:rPr>
        <w:t>r</w:t>
      </w:r>
      <w:r>
        <w:rPr>
          <w:sz w:val="21"/>
        </w:rPr>
        <w:t xml:space="preserve"> </w:t>
      </w:r>
      <w:r>
        <w:rPr>
          <w:spacing w:val="-4"/>
          <w:sz w:val="21"/>
        </w:rPr>
        <w:t xml:space="preserve"> </w:t>
      </w:r>
      <w:r>
        <w:rPr>
          <w:spacing w:val="3"/>
          <w:w w:val="102"/>
          <w:sz w:val="21"/>
        </w:rPr>
        <w:t>m</w:t>
      </w:r>
      <w:r>
        <w:rPr>
          <w:spacing w:val="1"/>
          <w:w w:val="102"/>
          <w:sz w:val="21"/>
        </w:rPr>
        <w:t>e</w:t>
      </w:r>
      <w:r>
        <w:rPr>
          <w:spacing w:val="2"/>
          <w:w w:val="102"/>
          <w:sz w:val="21"/>
        </w:rPr>
        <w:t>an</w:t>
      </w:r>
      <w:r>
        <w:rPr>
          <w:spacing w:val="1"/>
          <w:w w:val="102"/>
          <w:sz w:val="21"/>
        </w:rPr>
        <w:t>i</w:t>
      </w:r>
      <w:r>
        <w:rPr>
          <w:spacing w:val="2"/>
          <w:w w:val="102"/>
          <w:sz w:val="21"/>
        </w:rPr>
        <w:t>ng</w:t>
      </w:r>
      <w:r>
        <w:rPr>
          <w:spacing w:val="1"/>
          <w:w w:val="102"/>
          <w:sz w:val="21"/>
        </w:rPr>
        <w:t>f</w:t>
      </w:r>
      <w:r>
        <w:rPr>
          <w:spacing w:val="2"/>
          <w:w w:val="102"/>
          <w:sz w:val="21"/>
        </w:rPr>
        <w:t>u</w:t>
      </w:r>
      <w:r>
        <w:rPr>
          <w:w w:val="102"/>
          <w:sz w:val="21"/>
        </w:rPr>
        <w:t>l</w:t>
      </w:r>
      <w:r>
        <w:rPr>
          <w:sz w:val="21"/>
        </w:rPr>
        <w:t xml:space="preserve"> </w:t>
      </w:r>
      <w:r>
        <w:rPr>
          <w:spacing w:val="-5"/>
          <w:sz w:val="21"/>
        </w:rPr>
        <w:t xml:space="preserve"> </w:t>
      </w:r>
      <w:r>
        <w:rPr>
          <w:spacing w:val="1"/>
          <w:w w:val="102"/>
          <w:sz w:val="21"/>
        </w:rPr>
        <w:t>i</w:t>
      </w:r>
      <w:r>
        <w:rPr>
          <w:spacing w:val="2"/>
          <w:w w:val="102"/>
          <w:sz w:val="21"/>
        </w:rPr>
        <w:t>npu</w:t>
      </w:r>
      <w:r>
        <w:rPr>
          <w:w w:val="102"/>
          <w:sz w:val="21"/>
        </w:rPr>
        <w:t>t</w:t>
      </w:r>
      <w:r>
        <w:rPr>
          <w:sz w:val="21"/>
        </w:rPr>
        <w:t xml:space="preserve"> </w:t>
      </w:r>
      <w:r>
        <w:rPr>
          <w:spacing w:val="-4"/>
          <w:sz w:val="21"/>
        </w:rPr>
        <w:t xml:space="preserve"> </w:t>
      </w:r>
      <w:r>
        <w:rPr>
          <w:spacing w:val="2"/>
          <w:w w:val="102"/>
          <w:sz w:val="21"/>
        </w:rPr>
        <w:t>an</w:t>
      </w:r>
      <w:r>
        <w:rPr>
          <w:w w:val="102"/>
          <w:sz w:val="21"/>
        </w:rPr>
        <w:t>d</w:t>
      </w:r>
      <w:r>
        <w:rPr>
          <w:sz w:val="21"/>
        </w:rPr>
        <w:t xml:space="preserve"> </w:t>
      </w:r>
      <w:r>
        <w:rPr>
          <w:spacing w:val="-3"/>
          <w:sz w:val="21"/>
        </w:rPr>
        <w:t xml:space="preserve"> </w:t>
      </w:r>
      <w:r>
        <w:rPr>
          <w:spacing w:val="1"/>
          <w:w w:val="102"/>
          <w:sz w:val="21"/>
        </w:rPr>
        <w:t>i</w:t>
      </w:r>
      <w:r>
        <w:rPr>
          <w:spacing w:val="2"/>
          <w:w w:val="102"/>
          <w:sz w:val="21"/>
        </w:rPr>
        <w:t>n</w:t>
      </w:r>
      <w:r>
        <w:rPr>
          <w:spacing w:val="1"/>
          <w:w w:val="102"/>
          <w:sz w:val="21"/>
        </w:rPr>
        <w:t>te</w:t>
      </w:r>
      <w:r>
        <w:rPr>
          <w:spacing w:val="2"/>
          <w:w w:val="102"/>
          <w:sz w:val="21"/>
        </w:rPr>
        <w:t>r</w:t>
      </w:r>
      <w:r>
        <w:rPr>
          <w:w w:val="34"/>
          <w:sz w:val="21"/>
        </w:rPr>
        <w:t>-­</w:t>
      </w:r>
      <w:r>
        <w:rPr>
          <w:spacing w:val="1"/>
          <w:w w:val="34"/>
          <w:sz w:val="21"/>
        </w:rPr>
        <w:t>‐</w:t>
      </w:r>
      <w:r>
        <w:rPr>
          <w:spacing w:val="1"/>
          <w:w w:val="102"/>
          <w:sz w:val="21"/>
        </w:rPr>
        <w:t>sect</w:t>
      </w:r>
      <w:r>
        <w:rPr>
          <w:spacing w:val="2"/>
          <w:w w:val="102"/>
          <w:sz w:val="21"/>
        </w:rPr>
        <w:t>o</w:t>
      </w:r>
      <w:r>
        <w:rPr>
          <w:w w:val="102"/>
          <w:sz w:val="21"/>
        </w:rPr>
        <w:t>r</w:t>
      </w:r>
      <w:r>
        <w:rPr>
          <w:sz w:val="21"/>
        </w:rPr>
        <w:t xml:space="preserve"> </w:t>
      </w:r>
      <w:r>
        <w:rPr>
          <w:spacing w:val="-4"/>
          <w:sz w:val="21"/>
        </w:rPr>
        <w:t xml:space="preserve"> </w:t>
      </w:r>
      <w:r>
        <w:rPr>
          <w:spacing w:val="1"/>
          <w:w w:val="102"/>
          <w:sz w:val="21"/>
        </w:rPr>
        <w:t>c</w:t>
      </w:r>
      <w:r>
        <w:rPr>
          <w:spacing w:val="2"/>
          <w:w w:val="102"/>
          <w:sz w:val="21"/>
        </w:rPr>
        <w:t>on</w:t>
      </w:r>
      <w:r>
        <w:rPr>
          <w:spacing w:val="1"/>
          <w:w w:val="102"/>
          <w:sz w:val="21"/>
        </w:rPr>
        <w:t>s</w:t>
      </w:r>
      <w:r>
        <w:rPr>
          <w:spacing w:val="2"/>
          <w:w w:val="102"/>
          <w:sz w:val="21"/>
        </w:rPr>
        <w:t>u</w:t>
      </w:r>
      <w:r>
        <w:rPr>
          <w:spacing w:val="1"/>
          <w:w w:val="102"/>
          <w:sz w:val="21"/>
        </w:rPr>
        <w:t>lt</w:t>
      </w:r>
      <w:r>
        <w:rPr>
          <w:spacing w:val="2"/>
          <w:w w:val="102"/>
          <w:sz w:val="21"/>
        </w:rPr>
        <w:t>a</w:t>
      </w:r>
      <w:r>
        <w:rPr>
          <w:spacing w:val="1"/>
          <w:w w:val="102"/>
          <w:sz w:val="21"/>
        </w:rPr>
        <w:t>ti</w:t>
      </w:r>
      <w:r>
        <w:rPr>
          <w:spacing w:val="2"/>
          <w:w w:val="102"/>
          <w:sz w:val="21"/>
        </w:rPr>
        <w:t>o</w:t>
      </w:r>
      <w:r>
        <w:rPr>
          <w:w w:val="102"/>
          <w:sz w:val="21"/>
        </w:rPr>
        <w:t>n</w:t>
      </w:r>
      <w:r>
        <w:rPr>
          <w:sz w:val="21"/>
        </w:rPr>
        <w:t xml:space="preserve"> </w:t>
      </w:r>
      <w:r>
        <w:rPr>
          <w:spacing w:val="-3"/>
          <w:sz w:val="21"/>
        </w:rPr>
        <w:t xml:space="preserve"> </w:t>
      </w:r>
      <w:r>
        <w:rPr>
          <w:spacing w:val="1"/>
          <w:w w:val="102"/>
          <w:sz w:val="21"/>
        </w:rPr>
        <w:t>(</w:t>
      </w:r>
      <w:r>
        <w:rPr>
          <w:spacing w:val="3"/>
          <w:w w:val="102"/>
          <w:sz w:val="21"/>
        </w:rPr>
        <w:t>w</w:t>
      </w:r>
      <w:r>
        <w:rPr>
          <w:spacing w:val="1"/>
          <w:w w:val="102"/>
          <w:sz w:val="21"/>
        </w:rPr>
        <w:t>hic</w:t>
      </w:r>
      <w:r>
        <w:rPr>
          <w:w w:val="102"/>
          <w:sz w:val="21"/>
        </w:rPr>
        <w:t xml:space="preserve">h </w:t>
      </w:r>
      <w:r>
        <w:rPr>
          <w:sz w:val="21"/>
        </w:rPr>
        <w:t xml:space="preserve">generate less contributions towards the FATF) </w:t>
      </w:r>
      <w:r>
        <w:rPr>
          <w:w w:val="75"/>
          <w:sz w:val="21"/>
        </w:rPr>
        <w:t xml:space="preserve">-­‐ </w:t>
      </w:r>
      <w:r>
        <w:rPr>
          <w:sz w:val="21"/>
        </w:rPr>
        <w:t xml:space="preserve">at least 5 weeks for input, depending on complexity of documents (specific timeline can be agreed in discussion with  NPOs);  </w:t>
      </w:r>
      <w:r>
        <w:rPr>
          <w:i/>
          <w:sz w:val="21"/>
        </w:rPr>
        <w:t>NB. As a good practice on  national level at least one month  is</w:t>
      </w:r>
      <w:r>
        <w:rPr>
          <w:i/>
          <w:spacing w:val="7"/>
          <w:sz w:val="21"/>
        </w:rPr>
        <w:t xml:space="preserve"> </w:t>
      </w:r>
      <w:r>
        <w:rPr>
          <w:i/>
          <w:sz w:val="21"/>
        </w:rPr>
        <w:t>given</w:t>
      </w:r>
      <w:r>
        <w:rPr>
          <w:i/>
          <w:spacing w:val="9"/>
          <w:sz w:val="21"/>
        </w:rPr>
        <w:t xml:space="preserve"> </w:t>
      </w:r>
      <w:r>
        <w:rPr>
          <w:i/>
          <w:sz w:val="21"/>
        </w:rPr>
        <w:t>for</w:t>
      </w:r>
      <w:r>
        <w:rPr>
          <w:i/>
          <w:spacing w:val="8"/>
          <w:sz w:val="21"/>
        </w:rPr>
        <w:t xml:space="preserve"> </w:t>
      </w:r>
      <w:r>
        <w:rPr>
          <w:i/>
          <w:sz w:val="21"/>
        </w:rPr>
        <w:t>consultations</w:t>
      </w:r>
      <w:r>
        <w:rPr>
          <w:i/>
          <w:spacing w:val="8"/>
          <w:sz w:val="21"/>
        </w:rPr>
        <w:t xml:space="preserve"> </w:t>
      </w:r>
      <w:r>
        <w:rPr>
          <w:i/>
          <w:sz w:val="21"/>
        </w:rPr>
        <w:t>when</w:t>
      </w:r>
      <w:r>
        <w:rPr>
          <w:i/>
          <w:spacing w:val="9"/>
          <w:sz w:val="21"/>
        </w:rPr>
        <w:t xml:space="preserve"> </w:t>
      </w:r>
      <w:r>
        <w:rPr>
          <w:i/>
          <w:sz w:val="21"/>
        </w:rPr>
        <w:t>previous</w:t>
      </w:r>
      <w:r>
        <w:rPr>
          <w:i/>
          <w:spacing w:val="8"/>
          <w:sz w:val="21"/>
        </w:rPr>
        <w:t xml:space="preserve"> </w:t>
      </w:r>
      <w:r>
        <w:rPr>
          <w:i/>
          <w:sz w:val="21"/>
        </w:rPr>
        <w:t>drafts</w:t>
      </w:r>
      <w:r>
        <w:rPr>
          <w:i/>
          <w:spacing w:val="8"/>
          <w:sz w:val="21"/>
        </w:rPr>
        <w:t xml:space="preserve"> </w:t>
      </w:r>
      <w:r>
        <w:rPr>
          <w:i/>
          <w:sz w:val="21"/>
        </w:rPr>
        <w:t>have</w:t>
      </w:r>
      <w:r>
        <w:rPr>
          <w:i/>
          <w:spacing w:val="8"/>
          <w:sz w:val="21"/>
        </w:rPr>
        <w:t xml:space="preserve"> </w:t>
      </w:r>
      <w:r>
        <w:rPr>
          <w:i/>
          <w:sz w:val="21"/>
        </w:rPr>
        <w:t>been</w:t>
      </w:r>
      <w:r>
        <w:rPr>
          <w:i/>
          <w:spacing w:val="9"/>
          <w:sz w:val="21"/>
        </w:rPr>
        <w:t xml:space="preserve"> </w:t>
      </w:r>
      <w:r>
        <w:rPr>
          <w:i/>
          <w:sz w:val="21"/>
        </w:rPr>
        <w:t>shared.</w:t>
      </w:r>
    </w:p>
    <w:p w14:paraId="252B5623" w14:textId="77777777" w:rsidR="000C0870" w:rsidRDefault="000C0870" w:rsidP="000C0870">
      <w:pPr>
        <w:pStyle w:val="ListParagraph"/>
        <w:widowControl w:val="0"/>
        <w:numPr>
          <w:ilvl w:val="0"/>
          <w:numId w:val="9"/>
        </w:numPr>
        <w:tabs>
          <w:tab w:val="left" w:pos="840"/>
        </w:tabs>
        <w:autoSpaceDE w:val="0"/>
        <w:autoSpaceDN w:val="0"/>
        <w:spacing w:before="8" w:after="0" w:line="252" w:lineRule="auto"/>
        <w:ind w:right="119"/>
        <w:contextualSpacing w:val="0"/>
        <w:jc w:val="both"/>
        <w:rPr>
          <w:sz w:val="21"/>
        </w:rPr>
      </w:pPr>
      <w:r>
        <w:rPr>
          <w:w w:val="105"/>
          <w:sz w:val="21"/>
        </w:rPr>
        <w:t>In addition to online consultation, (co)organize in person consultation meetings with NPOs prior to each plenary meeting where the draft(s) will be discussed (possibly in collaboration with FSRB and/or NPOs to ensure geographic representation);</w:t>
      </w:r>
    </w:p>
    <w:p w14:paraId="0A94300B" w14:textId="77777777" w:rsidR="000C0870" w:rsidRDefault="000C0870" w:rsidP="000C0870">
      <w:pPr>
        <w:pStyle w:val="ListParagraph"/>
        <w:widowControl w:val="0"/>
        <w:numPr>
          <w:ilvl w:val="0"/>
          <w:numId w:val="9"/>
        </w:numPr>
        <w:tabs>
          <w:tab w:val="left" w:pos="839"/>
          <w:tab w:val="left" w:pos="840"/>
        </w:tabs>
        <w:autoSpaceDE w:val="0"/>
        <w:autoSpaceDN w:val="0"/>
        <w:spacing w:before="1" w:after="0" w:line="240" w:lineRule="auto"/>
        <w:contextualSpacing w:val="0"/>
        <w:rPr>
          <w:sz w:val="21"/>
        </w:rPr>
      </w:pPr>
      <w:r>
        <w:rPr>
          <w:w w:val="105"/>
          <w:sz w:val="21"/>
        </w:rPr>
        <w:t>Publish online written NPO contributions</w:t>
      </w:r>
      <w:r>
        <w:rPr>
          <w:spacing w:val="6"/>
          <w:w w:val="105"/>
          <w:sz w:val="21"/>
        </w:rPr>
        <w:t xml:space="preserve"> </w:t>
      </w:r>
      <w:r>
        <w:rPr>
          <w:w w:val="105"/>
          <w:sz w:val="21"/>
        </w:rPr>
        <w:t>;</w:t>
      </w:r>
    </w:p>
    <w:p w14:paraId="7203D9BB" w14:textId="77777777" w:rsidR="000C0870" w:rsidRDefault="000C0870" w:rsidP="000C0870">
      <w:pPr>
        <w:pStyle w:val="ListParagraph"/>
        <w:widowControl w:val="0"/>
        <w:numPr>
          <w:ilvl w:val="0"/>
          <w:numId w:val="9"/>
        </w:numPr>
        <w:tabs>
          <w:tab w:val="left" w:pos="839"/>
          <w:tab w:val="left" w:pos="840"/>
        </w:tabs>
        <w:autoSpaceDE w:val="0"/>
        <w:autoSpaceDN w:val="0"/>
        <w:spacing w:before="11" w:after="0" w:line="240" w:lineRule="auto"/>
        <w:contextualSpacing w:val="0"/>
        <w:rPr>
          <w:sz w:val="21"/>
        </w:rPr>
      </w:pPr>
      <w:r>
        <w:rPr>
          <w:w w:val="105"/>
          <w:sz w:val="21"/>
        </w:rPr>
        <w:t>Provide feedback from any discussion on the draft</w:t>
      </w:r>
      <w:r>
        <w:rPr>
          <w:spacing w:val="4"/>
          <w:w w:val="105"/>
          <w:sz w:val="21"/>
        </w:rPr>
        <w:t xml:space="preserve"> </w:t>
      </w:r>
      <w:r>
        <w:rPr>
          <w:w w:val="105"/>
          <w:sz w:val="21"/>
        </w:rPr>
        <w:t>documents.</w:t>
      </w:r>
    </w:p>
    <w:p w14:paraId="18C4BC91" w14:textId="77777777" w:rsidR="000C0870" w:rsidRDefault="000C0870" w:rsidP="000C0870">
      <w:pPr>
        <w:pStyle w:val="BodyText"/>
      </w:pPr>
    </w:p>
    <w:p w14:paraId="4E82D43A" w14:textId="77777777" w:rsidR="000C0870" w:rsidRDefault="000C0870" w:rsidP="000C0870">
      <w:pPr>
        <w:pStyle w:val="Heading1"/>
      </w:pPr>
      <w:r>
        <w:rPr>
          <w:color w:val="1F497D"/>
        </w:rPr>
        <w:t>Annex 1</w:t>
      </w:r>
    </w:p>
    <w:p w14:paraId="0C148ED7" w14:textId="77777777" w:rsidR="000C0870" w:rsidRDefault="000C0870" w:rsidP="000C0870">
      <w:pPr>
        <w:pStyle w:val="BodyText"/>
        <w:spacing w:before="7"/>
        <w:rPr>
          <w:b/>
        </w:rPr>
      </w:pPr>
    </w:p>
    <w:p w14:paraId="0BB87273" w14:textId="77777777" w:rsidR="000C0870" w:rsidRDefault="000C0870" w:rsidP="000C0870">
      <w:pPr>
        <w:pStyle w:val="BodyText"/>
        <w:spacing w:line="252" w:lineRule="auto"/>
        <w:ind w:left="120" w:right="120"/>
      </w:pPr>
      <w:r>
        <w:t xml:space="preserve">An illustrative list of best practices examples and standards for public participation in </w:t>
      </w:r>
      <w:r>
        <w:rPr>
          <w:w w:val="102"/>
        </w:rPr>
        <w:t>decision</w:t>
      </w:r>
      <w:r>
        <w:rPr>
          <w:w w:val="34"/>
        </w:rPr>
        <w:t>-­‐</w:t>
      </w:r>
      <w:r>
        <w:rPr>
          <w:w w:val="102"/>
        </w:rPr>
        <w:t>making</w:t>
      </w:r>
      <w:r>
        <w:t xml:space="preserve"> </w:t>
      </w:r>
      <w:r>
        <w:rPr>
          <w:w w:val="102"/>
        </w:rPr>
        <w:t>can</w:t>
      </w:r>
      <w:r>
        <w:t xml:space="preserve"> </w:t>
      </w:r>
      <w:r>
        <w:rPr>
          <w:w w:val="102"/>
        </w:rPr>
        <w:t>be</w:t>
      </w:r>
      <w:r>
        <w:t xml:space="preserve"> </w:t>
      </w:r>
      <w:r>
        <w:rPr>
          <w:w w:val="102"/>
        </w:rPr>
        <w:t>found</w:t>
      </w:r>
      <w:r>
        <w:t xml:space="preserve"> </w:t>
      </w:r>
      <w:r>
        <w:rPr>
          <w:w w:val="102"/>
        </w:rPr>
        <w:t>in</w:t>
      </w:r>
      <w:r>
        <w:t xml:space="preserve"> </w:t>
      </w:r>
      <w:r>
        <w:rPr>
          <w:w w:val="102"/>
        </w:rPr>
        <w:t>these</w:t>
      </w:r>
      <w:r>
        <w:t xml:space="preserve"> </w:t>
      </w:r>
      <w:r>
        <w:rPr>
          <w:w w:val="102"/>
        </w:rPr>
        <w:t>documents:</w:t>
      </w:r>
    </w:p>
    <w:p w14:paraId="3E0B5CED" w14:textId="77777777" w:rsidR="000C0870" w:rsidRDefault="000C0870" w:rsidP="000C0870">
      <w:pPr>
        <w:pStyle w:val="BodyText"/>
        <w:spacing w:before="1"/>
      </w:pPr>
    </w:p>
    <w:p w14:paraId="54F8BDF2" w14:textId="1242265E" w:rsidR="000C0870" w:rsidRDefault="000C0870" w:rsidP="000C0870">
      <w:pPr>
        <w:pStyle w:val="ListParagraph"/>
        <w:widowControl w:val="0"/>
        <w:numPr>
          <w:ilvl w:val="0"/>
          <w:numId w:val="9"/>
        </w:numPr>
        <w:tabs>
          <w:tab w:val="left" w:pos="840"/>
        </w:tabs>
        <w:autoSpaceDE w:val="0"/>
        <w:autoSpaceDN w:val="0"/>
        <w:spacing w:after="0" w:line="252" w:lineRule="auto"/>
        <w:ind w:right="120"/>
        <w:contextualSpacing w:val="0"/>
        <w:jc w:val="both"/>
        <w:rPr>
          <w:sz w:val="21"/>
        </w:rPr>
      </w:pPr>
      <w:r>
        <w:rPr>
          <w:w w:val="105"/>
          <w:sz w:val="21"/>
        </w:rPr>
        <w:t>UN Human Rights Council:</w:t>
      </w:r>
      <w:r>
        <w:rPr>
          <w:color w:val="0000FF"/>
          <w:w w:val="105"/>
          <w:sz w:val="21"/>
        </w:rPr>
        <w:t xml:space="preserve"> </w:t>
      </w:r>
      <w:r w:rsidR="00215A71">
        <w:rPr>
          <w:color w:val="0000FF"/>
          <w:w w:val="105"/>
          <w:sz w:val="21"/>
          <w:u w:val="single" w:color="0000FF"/>
        </w:rPr>
        <w:t>Resolution "</w:t>
      </w:r>
      <w:r>
        <w:rPr>
          <w:color w:val="0000FF"/>
          <w:w w:val="105"/>
          <w:sz w:val="21"/>
          <w:u w:val="single" w:color="0000FF"/>
        </w:rPr>
        <w:t>Equal participation in political and public affairs</w:t>
      </w:r>
      <w:r>
        <w:rPr>
          <w:w w:val="105"/>
          <w:sz w:val="21"/>
        </w:rPr>
        <w:t>",</w:t>
      </w:r>
      <w:r>
        <w:rPr>
          <w:spacing w:val="1"/>
          <w:w w:val="105"/>
          <w:sz w:val="21"/>
        </w:rPr>
        <w:t xml:space="preserve"> </w:t>
      </w:r>
      <w:r>
        <w:rPr>
          <w:w w:val="105"/>
          <w:sz w:val="21"/>
        </w:rPr>
        <w:t>A/HRC/RES/27/24.</w:t>
      </w:r>
    </w:p>
    <w:p w14:paraId="659BE28D" w14:textId="77777777" w:rsidR="000C0870" w:rsidRDefault="000C0870" w:rsidP="000C0870">
      <w:pPr>
        <w:pStyle w:val="ListParagraph"/>
        <w:widowControl w:val="0"/>
        <w:numPr>
          <w:ilvl w:val="0"/>
          <w:numId w:val="9"/>
        </w:numPr>
        <w:tabs>
          <w:tab w:val="left" w:pos="840"/>
        </w:tabs>
        <w:autoSpaceDE w:val="0"/>
        <w:autoSpaceDN w:val="0"/>
        <w:spacing w:after="0" w:line="252" w:lineRule="auto"/>
        <w:ind w:right="119"/>
        <w:contextualSpacing w:val="0"/>
        <w:jc w:val="both"/>
        <w:rPr>
          <w:sz w:val="21"/>
        </w:rPr>
      </w:pPr>
      <w:r>
        <w:rPr>
          <w:w w:val="105"/>
          <w:sz w:val="21"/>
        </w:rPr>
        <w:t>Report of the Office of the United Nations High Commissioner for Human Rights: "</w:t>
      </w:r>
      <w:r>
        <w:rPr>
          <w:color w:val="0000FF"/>
          <w:w w:val="105"/>
          <w:sz w:val="21"/>
        </w:rPr>
        <w:t xml:space="preserve"> </w:t>
      </w:r>
      <w:r>
        <w:rPr>
          <w:color w:val="0000FF"/>
          <w:w w:val="105"/>
          <w:sz w:val="21"/>
          <w:u w:val="single" w:color="0000FF"/>
        </w:rPr>
        <w:t>Promotion, protection and implementation of the right to participate in public affairs in the context of the existing human rights law: best practices, experiences, challenges and ways to overcome them</w:t>
      </w:r>
      <w:r>
        <w:rPr>
          <w:w w:val="105"/>
          <w:sz w:val="21"/>
        </w:rPr>
        <w:t>",</w:t>
      </w:r>
      <w:r>
        <w:rPr>
          <w:spacing w:val="-5"/>
          <w:w w:val="105"/>
          <w:sz w:val="21"/>
        </w:rPr>
        <w:t xml:space="preserve"> </w:t>
      </w:r>
      <w:r>
        <w:rPr>
          <w:w w:val="105"/>
          <w:sz w:val="21"/>
        </w:rPr>
        <w:t>A/HRC/30/26.</w:t>
      </w:r>
    </w:p>
    <w:p w14:paraId="284F1BCF" w14:textId="77777777" w:rsidR="000C0870" w:rsidRDefault="000C0870" w:rsidP="000C0870">
      <w:pPr>
        <w:pStyle w:val="ListParagraph"/>
        <w:widowControl w:val="0"/>
        <w:numPr>
          <w:ilvl w:val="0"/>
          <w:numId w:val="9"/>
        </w:numPr>
        <w:tabs>
          <w:tab w:val="left" w:pos="839"/>
          <w:tab w:val="left" w:pos="840"/>
        </w:tabs>
        <w:autoSpaceDE w:val="0"/>
        <w:autoSpaceDN w:val="0"/>
        <w:spacing w:after="0" w:line="240" w:lineRule="auto"/>
        <w:contextualSpacing w:val="0"/>
        <w:rPr>
          <w:sz w:val="21"/>
        </w:rPr>
      </w:pPr>
      <w:r>
        <w:rPr>
          <w:w w:val="105"/>
          <w:sz w:val="21"/>
        </w:rPr>
        <w:t>Open Government Partnership:</w:t>
      </w:r>
      <w:r>
        <w:rPr>
          <w:color w:val="0000FF"/>
          <w:w w:val="105"/>
          <w:sz w:val="21"/>
        </w:rPr>
        <w:t xml:space="preserve"> </w:t>
      </w:r>
      <w:r>
        <w:rPr>
          <w:color w:val="0000FF"/>
          <w:w w:val="105"/>
          <w:sz w:val="21"/>
          <w:u w:val="single" w:color="0000FF"/>
        </w:rPr>
        <w:t>Civil Society</w:t>
      </w:r>
      <w:r>
        <w:rPr>
          <w:color w:val="0000FF"/>
          <w:spacing w:val="2"/>
          <w:w w:val="105"/>
          <w:sz w:val="21"/>
          <w:u w:val="single" w:color="0000FF"/>
        </w:rPr>
        <w:t xml:space="preserve"> </w:t>
      </w:r>
      <w:r>
        <w:rPr>
          <w:color w:val="0000FF"/>
          <w:w w:val="105"/>
          <w:sz w:val="21"/>
          <w:u w:val="single" w:color="0000FF"/>
        </w:rPr>
        <w:t>Dialogue</w:t>
      </w:r>
    </w:p>
    <w:p w14:paraId="7DEA8CD7" w14:textId="77777777" w:rsidR="000C0870" w:rsidRDefault="000C0870" w:rsidP="000C0870">
      <w:pPr>
        <w:pStyle w:val="ListParagraph"/>
        <w:widowControl w:val="0"/>
        <w:numPr>
          <w:ilvl w:val="0"/>
          <w:numId w:val="9"/>
        </w:numPr>
        <w:tabs>
          <w:tab w:val="left" w:pos="840"/>
        </w:tabs>
        <w:autoSpaceDE w:val="0"/>
        <w:autoSpaceDN w:val="0"/>
        <w:spacing w:before="10" w:after="0" w:line="247" w:lineRule="auto"/>
        <w:ind w:right="119"/>
        <w:contextualSpacing w:val="0"/>
        <w:jc w:val="both"/>
        <w:rPr>
          <w:sz w:val="21"/>
        </w:rPr>
      </w:pPr>
      <w:r>
        <w:rPr>
          <w:spacing w:val="2"/>
          <w:w w:val="102"/>
          <w:sz w:val="21"/>
        </w:rPr>
        <w:t>Coun</w:t>
      </w:r>
      <w:r>
        <w:rPr>
          <w:spacing w:val="1"/>
          <w:w w:val="102"/>
          <w:sz w:val="21"/>
        </w:rPr>
        <w:t>ci</w:t>
      </w:r>
      <w:r>
        <w:rPr>
          <w:w w:val="102"/>
          <w:sz w:val="21"/>
        </w:rPr>
        <w:t>l</w:t>
      </w:r>
      <w:r>
        <w:rPr>
          <w:spacing w:val="18"/>
          <w:sz w:val="21"/>
        </w:rPr>
        <w:t xml:space="preserve"> </w:t>
      </w:r>
      <w:r>
        <w:rPr>
          <w:spacing w:val="2"/>
          <w:w w:val="102"/>
          <w:sz w:val="21"/>
        </w:rPr>
        <w:t>o</w:t>
      </w:r>
      <w:r>
        <w:rPr>
          <w:w w:val="102"/>
          <w:sz w:val="21"/>
        </w:rPr>
        <w:t>f</w:t>
      </w:r>
      <w:r>
        <w:rPr>
          <w:spacing w:val="18"/>
          <w:sz w:val="21"/>
        </w:rPr>
        <w:t xml:space="preserve"> </w:t>
      </w:r>
      <w:r>
        <w:rPr>
          <w:spacing w:val="2"/>
          <w:w w:val="102"/>
          <w:sz w:val="21"/>
        </w:rPr>
        <w:t>Eu</w:t>
      </w:r>
      <w:r>
        <w:rPr>
          <w:spacing w:val="1"/>
          <w:w w:val="102"/>
          <w:sz w:val="21"/>
        </w:rPr>
        <w:t>r</w:t>
      </w:r>
      <w:r>
        <w:rPr>
          <w:spacing w:val="2"/>
          <w:w w:val="102"/>
          <w:sz w:val="21"/>
        </w:rPr>
        <w:t>op</w:t>
      </w:r>
      <w:r>
        <w:rPr>
          <w:spacing w:val="1"/>
          <w:w w:val="102"/>
          <w:sz w:val="21"/>
        </w:rPr>
        <w:t>e</w:t>
      </w:r>
      <w:r>
        <w:rPr>
          <w:w w:val="102"/>
          <w:sz w:val="21"/>
        </w:rPr>
        <w:t>:</w:t>
      </w:r>
      <w:r>
        <w:rPr>
          <w:spacing w:val="18"/>
          <w:sz w:val="21"/>
        </w:rPr>
        <w:t xml:space="preserve"> </w:t>
      </w:r>
      <w:r>
        <w:rPr>
          <w:color w:val="0000FF"/>
          <w:spacing w:val="2"/>
          <w:w w:val="102"/>
          <w:sz w:val="21"/>
          <w:u w:val="single" w:color="0000FF"/>
        </w:rPr>
        <w:t>Cod</w:t>
      </w:r>
      <w:r>
        <w:rPr>
          <w:color w:val="0000FF"/>
          <w:w w:val="102"/>
          <w:sz w:val="21"/>
          <w:u w:val="single" w:color="0000FF"/>
        </w:rPr>
        <w:t>e</w:t>
      </w:r>
      <w:r>
        <w:rPr>
          <w:color w:val="0000FF"/>
          <w:spacing w:val="19"/>
          <w:sz w:val="21"/>
          <w:u w:val="single" w:color="0000FF"/>
        </w:rPr>
        <w:t xml:space="preserve"> </w:t>
      </w:r>
      <w:r>
        <w:rPr>
          <w:color w:val="0000FF"/>
          <w:spacing w:val="2"/>
          <w:w w:val="102"/>
          <w:sz w:val="21"/>
          <w:u w:val="single" w:color="0000FF"/>
        </w:rPr>
        <w:t>o</w:t>
      </w:r>
      <w:r>
        <w:rPr>
          <w:color w:val="0000FF"/>
          <w:w w:val="102"/>
          <w:sz w:val="21"/>
          <w:u w:val="single" w:color="0000FF"/>
        </w:rPr>
        <w:t>f</w:t>
      </w:r>
      <w:r>
        <w:rPr>
          <w:color w:val="0000FF"/>
          <w:spacing w:val="18"/>
          <w:sz w:val="21"/>
          <w:u w:val="single" w:color="0000FF"/>
        </w:rPr>
        <w:t xml:space="preserve"> </w:t>
      </w:r>
      <w:r>
        <w:rPr>
          <w:color w:val="0000FF"/>
          <w:spacing w:val="2"/>
          <w:w w:val="102"/>
          <w:sz w:val="21"/>
          <w:u w:val="single" w:color="0000FF"/>
        </w:rPr>
        <w:t>Goo</w:t>
      </w:r>
      <w:r>
        <w:rPr>
          <w:color w:val="0000FF"/>
          <w:w w:val="102"/>
          <w:sz w:val="21"/>
          <w:u w:val="single" w:color="0000FF"/>
        </w:rPr>
        <w:t>d</w:t>
      </w:r>
      <w:r>
        <w:rPr>
          <w:color w:val="0000FF"/>
          <w:spacing w:val="19"/>
          <w:sz w:val="21"/>
          <w:u w:val="single" w:color="0000FF"/>
        </w:rPr>
        <w:t xml:space="preserve"> </w:t>
      </w:r>
      <w:r>
        <w:rPr>
          <w:color w:val="0000FF"/>
          <w:spacing w:val="2"/>
          <w:w w:val="102"/>
          <w:sz w:val="21"/>
          <w:u w:val="single" w:color="0000FF"/>
        </w:rPr>
        <w:t>P</w:t>
      </w:r>
      <w:r>
        <w:rPr>
          <w:color w:val="0000FF"/>
          <w:spacing w:val="1"/>
          <w:w w:val="102"/>
          <w:sz w:val="21"/>
          <w:u w:val="single" w:color="0000FF"/>
        </w:rPr>
        <w:t>ractic</w:t>
      </w:r>
      <w:r>
        <w:rPr>
          <w:color w:val="0000FF"/>
          <w:w w:val="102"/>
          <w:sz w:val="21"/>
          <w:u w:val="single" w:color="0000FF"/>
        </w:rPr>
        <w:t>e</w:t>
      </w:r>
      <w:r>
        <w:rPr>
          <w:color w:val="0000FF"/>
          <w:spacing w:val="19"/>
          <w:sz w:val="21"/>
          <w:u w:val="single" w:color="0000FF"/>
        </w:rPr>
        <w:t xml:space="preserve"> </w:t>
      </w:r>
      <w:r>
        <w:rPr>
          <w:color w:val="0000FF"/>
          <w:spacing w:val="1"/>
          <w:w w:val="102"/>
          <w:sz w:val="21"/>
          <w:u w:val="single" w:color="0000FF"/>
        </w:rPr>
        <w:t>f</w:t>
      </w:r>
      <w:r>
        <w:rPr>
          <w:color w:val="0000FF"/>
          <w:spacing w:val="2"/>
          <w:w w:val="102"/>
          <w:sz w:val="21"/>
          <w:u w:val="single" w:color="0000FF"/>
        </w:rPr>
        <w:t>o</w:t>
      </w:r>
      <w:r>
        <w:rPr>
          <w:color w:val="0000FF"/>
          <w:w w:val="102"/>
          <w:sz w:val="21"/>
          <w:u w:val="single" w:color="0000FF"/>
        </w:rPr>
        <w:t>r</w:t>
      </w:r>
      <w:r>
        <w:rPr>
          <w:color w:val="0000FF"/>
          <w:spacing w:val="19"/>
          <w:sz w:val="21"/>
          <w:u w:val="single" w:color="0000FF"/>
        </w:rPr>
        <w:t xml:space="preserve"> </w:t>
      </w:r>
      <w:r>
        <w:rPr>
          <w:color w:val="0000FF"/>
          <w:spacing w:val="2"/>
          <w:w w:val="102"/>
          <w:sz w:val="21"/>
          <w:u w:val="single" w:color="0000FF"/>
        </w:rPr>
        <w:t>C</w:t>
      </w:r>
      <w:r>
        <w:rPr>
          <w:color w:val="0000FF"/>
          <w:spacing w:val="1"/>
          <w:w w:val="102"/>
          <w:sz w:val="21"/>
          <w:u w:val="single" w:color="0000FF"/>
        </w:rPr>
        <w:t>ivi</w:t>
      </w:r>
      <w:r>
        <w:rPr>
          <w:color w:val="0000FF"/>
          <w:w w:val="102"/>
          <w:sz w:val="21"/>
          <w:u w:val="single" w:color="0000FF"/>
        </w:rPr>
        <w:t>l</w:t>
      </w:r>
      <w:r>
        <w:rPr>
          <w:color w:val="0000FF"/>
          <w:spacing w:val="18"/>
          <w:sz w:val="21"/>
          <w:u w:val="single" w:color="0000FF"/>
        </w:rPr>
        <w:t xml:space="preserve"> </w:t>
      </w:r>
      <w:r>
        <w:rPr>
          <w:color w:val="0000FF"/>
          <w:spacing w:val="2"/>
          <w:w w:val="102"/>
          <w:sz w:val="21"/>
          <w:u w:val="single" w:color="0000FF"/>
        </w:rPr>
        <w:t>P</w:t>
      </w:r>
      <w:r>
        <w:rPr>
          <w:color w:val="0000FF"/>
          <w:spacing w:val="1"/>
          <w:w w:val="102"/>
          <w:sz w:val="21"/>
          <w:u w:val="single" w:color="0000FF"/>
        </w:rPr>
        <w:t>artici</w:t>
      </w:r>
      <w:r>
        <w:rPr>
          <w:color w:val="0000FF"/>
          <w:spacing w:val="2"/>
          <w:w w:val="102"/>
          <w:sz w:val="21"/>
          <w:u w:val="single" w:color="0000FF"/>
        </w:rPr>
        <w:t>p</w:t>
      </w:r>
      <w:r>
        <w:rPr>
          <w:color w:val="0000FF"/>
          <w:spacing w:val="1"/>
          <w:w w:val="102"/>
          <w:sz w:val="21"/>
          <w:u w:val="single" w:color="0000FF"/>
        </w:rPr>
        <w:t>ati</w:t>
      </w:r>
      <w:r>
        <w:rPr>
          <w:color w:val="0000FF"/>
          <w:spacing w:val="2"/>
          <w:w w:val="102"/>
          <w:sz w:val="21"/>
          <w:u w:val="single" w:color="0000FF"/>
        </w:rPr>
        <w:t>o</w:t>
      </w:r>
      <w:r>
        <w:rPr>
          <w:color w:val="0000FF"/>
          <w:w w:val="102"/>
          <w:sz w:val="21"/>
          <w:u w:val="single" w:color="0000FF"/>
        </w:rPr>
        <w:t>n</w:t>
      </w:r>
      <w:r>
        <w:rPr>
          <w:color w:val="0000FF"/>
          <w:spacing w:val="20"/>
          <w:sz w:val="21"/>
          <w:u w:val="single" w:color="0000FF"/>
        </w:rPr>
        <w:t xml:space="preserve"> </w:t>
      </w:r>
      <w:r>
        <w:rPr>
          <w:color w:val="0000FF"/>
          <w:spacing w:val="1"/>
          <w:w w:val="102"/>
          <w:sz w:val="21"/>
          <w:u w:val="single" w:color="0000FF"/>
        </w:rPr>
        <w:t>i</w:t>
      </w:r>
      <w:r>
        <w:rPr>
          <w:color w:val="0000FF"/>
          <w:w w:val="102"/>
          <w:sz w:val="21"/>
          <w:u w:val="single" w:color="0000FF"/>
        </w:rPr>
        <w:t>n</w:t>
      </w:r>
      <w:r>
        <w:rPr>
          <w:color w:val="0000FF"/>
          <w:spacing w:val="20"/>
          <w:sz w:val="21"/>
          <w:u w:val="single" w:color="0000FF"/>
        </w:rPr>
        <w:t xml:space="preserve"> </w:t>
      </w:r>
      <w:r>
        <w:rPr>
          <w:color w:val="0000FF"/>
          <w:spacing w:val="1"/>
          <w:w w:val="102"/>
          <w:sz w:val="21"/>
          <w:u w:val="single" w:color="0000FF"/>
        </w:rPr>
        <w:t>t</w:t>
      </w:r>
      <w:r>
        <w:rPr>
          <w:color w:val="0000FF"/>
          <w:spacing w:val="2"/>
          <w:w w:val="102"/>
          <w:sz w:val="21"/>
          <w:u w:val="single" w:color="0000FF"/>
        </w:rPr>
        <w:t>h</w:t>
      </w:r>
      <w:r>
        <w:rPr>
          <w:color w:val="0000FF"/>
          <w:w w:val="102"/>
          <w:sz w:val="21"/>
          <w:u w:val="single" w:color="0000FF"/>
        </w:rPr>
        <w:t>e</w:t>
      </w:r>
      <w:r>
        <w:rPr>
          <w:color w:val="0000FF"/>
          <w:spacing w:val="19"/>
          <w:sz w:val="21"/>
          <w:u w:val="single" w:color="0000FF"/>
        </w:rPr>
        <w:t xml:space="preserve"> </w:t>
      </w:r>
      <w:r>
        <w:rPr>
          <w:color w:val="0000FF"/>
          <w:spacing w:val="2"/>
          <w:w w:val="102"/>
          <w:sz w:val="21"/>
          <w:u w:val="single" w:color="0000FF"/>
        </w:rPr>
        <w:t>D</w:t>
      </w:r>
      <w:r>
        <w:rPr>
          <w:color w:val="0000FF"/>
          <w:spacing w:val="1"/>
          <w:w w:val="102"/>
          <w:sz w:val="21"/>
          <w:u w:val="single" w:color="0000FF"/>
        </w:rPr>
        <w:t>ecisi</w:t>
      </w:r>
      <w:r>
        <w:rPr>
          <w:color w:val="0000FF"/>
          <w:spacing w:val="2"/>
          <w:w w:val="102"/>
          <w:sz w:val="21"/>
          <w:u w:val="single" w:color="0000FF"/>
        </w:rPr>
        <w:t>on</w:t>
      </w:r>
      <w:r>
        <w:rPr>
          <w:color w:val="0000FF"/>
          <w:w w:val="34"/>
          <w:sz w:val="21"/>
          <w:u w:val="single" w:color="0000FF"/>
        </w:rPr>
        <w:t>-­‐</w:t>
      </w:r>
      <w:r>
        <w:rPr>
          <w:color w:val="0000FF"/>
          <w:w w:val="34"/>
          <w:sz w:val="21"/>
        </w:rPr>
        <w:t xml:space="preserve"> </w:t>
      </w:r>
      <w:r>
        <w:rPr>
          <w:color w:val="0000FF"/>
          <w:w w:val="105"/>
          <w:sz w:val="21"/>
          <w:u w:val="single" w:color="0000FF"/>
        </w:rPr>
        <w:t>Making</w:t>
      </w:r>
      <w:r>
        <w:rPr>
          <w:color w:val="0000FF"/>
          <w:spacing w:val="1"/>
          <w:w w:val="105"/>
          <w:sz w:val="21"/>
          <w:u w:val="single" w:color="0000FF"/>
        </w:rPr>
        <w:t xml:space="preserve"> </w:t>
      </w:r>
      <w:r>
        <w:rPr>
          <w:color w:val="0000FF"/>
          <w:w w:val="105"/>
          <w:sz w:val="21"/>
          <w:u w:val="single" w:color="0000FF"/>
        </w:rPr>
        <w:t>Process</w:t>
      </w:r>
    </w:p>
    <w:p w14:paraId="7F43D7A4" w14:textId="77777777" w:rsidR="000C0870" w:rsidRDefault="000C0870" w:rsidP="006801BC"/>
    <w:sectPr w:rsidR="000C0870" w:rsidSect="00231888">
      <w:footerReference w:type="default" r:id="rId12"/>
      <w:pgSz w:w="11910" w:h="16840"/>
      <w:pgMar w:top="1160" w:right="1100" w:bottom="1040" w:left="1100" w:header="721" w:footer="848"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4C4821" w16cid:durableId="20C30397"/>
  <w16cid:commentId w16cid:paraId="47FC574B" w16cid:durableId="20C30398"/>
  <w16cid:commentId w16cid:paraId="6A98BFB9" w16cid:durableId="20C30C3C"/>
  <w16cid:commentId w16cid:paraId="54B38D90" w16cid:durableId="20C30D30"/>
  <w16cid:commentId w16cid:paraId="502DCF69" w16cid:durableId="20BF488D"/>
  <w16cid:commentId w16cid:paraId="450681FB" w16cid:durableId="20C3039E"/>
  <w16cid:commentId w16cid:paraId="4370E478" w16cid:durableId="20C3070E"/>
  <w16cid:commentId w16cid:paraId="0A460862" w16cid:durableId="20C30833"/>
  <w16cid:commentId w16cid:paraId="2C4F8022" w16cid:durableId="20C30851"/>
  <w16cid:commentId w16cid:paraId="78DF2ED1" w16cid:durableId="20C30894"/>
  <w16cid:commentId w16cid:paraId="029B73EE" w16cid:durableId="20C3090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2DF2CC" w14:textId="77777777" w:rsidR="00807B68" w:rsidRDefault="00807B68" w:rsidP="008D5797">
      <w:pPr>
        <w:spacing w:after="0" w:line="240" w:lineRule="auto"/>
      </w:pPr>
      <w:r>
        <w:separator/>
      </w:r>
    </w:p>
  </w:endnote>
  <w:endnote w:type="continuationSeparator" w:id="0">
    <w:p w14:paraId="2347DDDE" w14:textId="77777777" w:rsidR="00807B68" w:rsidRDefault="00807B68" w:rsidP="008D57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24244B" w14:textId="77777777" w:rsidR="000C0870" w:rsidRDefault="00807B68">
    <w:pPr>
      <w:pStyle w:val="BodyText"/>
      <w:spacing w:line="14" w:lineRule="auto"/>
      <w:rPr>
        <w:sz w:val="20"/>
      </w:rPr>
    </w:pPr>
    <w:r>
      <w:rPr>
        <w:sz w:val="21"/>
      </w:rPr>
      <w:pict w14:anchorId="2A2A2099">
        <v:shapetype id="_x0000_t202" coordsize="21600,21600" o:spt="202" path="m,l,21600r21600,l21600,xe">
          <v:stroke joinstyle="miter"/>
          <v:path gradientshapeok="t" o:connecttype="rect"/>
        </v:shapetype>
        <v:shape id="_x0000_s2049" type="#_x0000_t202" alt="" style="position:absolute;margin-left:496.25pt;margin-top:791.35pt;width:10.65pt;height:16.1pt;z-index:-251658752;mso-wrap-style:square;mso-wrap-edited:f;mso-width-percent:0;mso-height-percent:0;mso-position-horizontal-relative:page;mso-position-vertical-relative:page;mso-width-percent:0;mso-height-percent:0;v-text-anchor:top" filled="f" stroked="f">
          <v:textbox style="mso-next-textbox:#_x0000_s2049" inset="0,0,0,0">
            <w:txbxContent>
              <w:p w14:paraId="2D31573D" w14:textId="77777777" w:rsidR="000C0870" w:rsidRDefault="000C0870">
                <w:pPr>
                  <w:spacing w:before="20"/>
                  <w:ind w:left="40"/>
                  <w:rPr>
                    <w:sz w:val="24"/>
                  </w:rPr>
                </w:pPr>
                <w:r>
                  <w:fldChar w:fldCharType="begin"/>
                </w:r>
                <w:r>
                  <w:rPr>
                    <w:sz w:val="24"/>
                  </w:rPr>
                  <w:instrText xml:space="preserve"> PAGE </w:instrText>
                </w:r>
                <w:r>
                  <w:fldChar w:fldCharType="separate"/>
                </w:r>
                <w:r w:rsidR="00C861B9">
                  <w:rPr>
                    <w:noProof/>
                    <w:sz w:val="24"/>
                  </w:rPr>
                  <w:t>6</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7848096"/>
      <w:docPartObj>
        <w:docPartGallery w:val="Page Numbers (Bottom of Page)"/>
        <w:docPartUnique/>
      </w:docPartObj>
    </w:sdtPr>
    <w:sdtEndPr>
      <w:rPr>
        <w:noProof/>
      </w:rPr>
    </w:sdtEndPr>
    <w:sdtContent>
      <w:p w14:paraId="057EE338" w14:textId="6FFAEE80" w:rsidR="00181911" w:rsidRDefault="00181911">
        <w:pPr>
          <w:pStyle w:val="Footer"/>
          <w:jc w:val="center"/>
        </w:pPr>
        <w:r>
          <w:fldChar w:fldCharType="begin"/>
        </w:r>
        <w:r>
          <w:instrText xml:space="preserve"> PAGE   \* MERGEFORMAT </w:instrText>
        </w:r>
        <w:r>
          <w:fldChar w:fldCharType="separate"/>
        </w:r>
        <w:r w:rsidR="00147B03">
          <w:rPr>
            <w:noProof/>
          </w:rPr>
          <w:t>7</w:t>
        </w:r>
        <w:r>
          <w:rPr>
            <w:noProof/>
          </w:rPr>
          <w:fldChar w:fldCharType="end"/>
        </w:r>
      </w:p>
    </w:sdtContent>
  </w:sdt>
  <w:p w14:paraId="0D08D0F6" w14:textId="77777777" w:rsidR="00CC1399" w:rsidRDefault="00CC13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F58569" w14:textId="77777777" w:rsidR="00807B68" w:rsidRDefault="00807B68" w:rsidP="008D5797">
      <w:pPr>
        <w:spacing w:after="0" w:line="240" w:lineRule="auto"/>
      </w:pPr>
      <w:r>
        <w:separator/>
      </w:r>
    </w:p>
  </w:footnote>
  <w:footnote w:type="continuationSeparator" w:id="0">
    <w:p w14:paraId="6B3C3F27" w14:textId="77777777" w:rsidR="00807B68" w:rsidRDefault="00807B68" w:rsidP="008D5797">
      <w:pPr>
        <w:spacing w:after="0" w:line="240" w:lineRule="auto"/>
      </w:pPr>
      <w:r>
        <w:continuationSeparator/>
      </w:r>
    </w:p>
  </w:footnote>
  <w:footnote w:id="1">
    <w:p w14:paraId="7B265538" w14:textId="28572619" w:rsidR="00C609A7" w:rsidRPr="006801BC" w:rsidRDefault="00C609A7" w:rsidP="00215A71">
      <w:pPr>
        <w:pStyle w:val="FootnoteText"/>
        <w:rPr>
          <w:sz w:val="20"/>
          <w:szCs w:val="20"/>
        </w:rPr>
      </w:pPr>
      <w:r>
        <w:rPr>
          <w:rStyle w:val="FootnoteReference"/>
        </w:rPr>
        <w:footnoteRef/>
      </w:r>
      <w:r>
        <w:t xml:space="preserve"> </w:t>
      </w:r>
      <w:r w:rsidRPr="006801BC">
        <w:rPr>
          <w:sz w:val="20"/>
          <w:szCs w:val="20"/>
        </w:rPr>
        <w:t xml:space="preserve">FATF’s website explains that the PSCF “provides a regular platform for the FATF to learn more about the private sector’s views and concerns on these issues.” See </w:t>
      </w:r>
      <w:hyperlink r:id="rId1" w:history="1">
        <w:r w:rsidRPr="006801BC">
          <w:rPr>
            <w:rStyle w:val="Hyperlink"/>
            <w:sz w:val="20"/>
            <w:szCs w:val="20"/>
          </w:rPr>
          <w:t>https://www.fatf-gafi.org/publications/fatfgeneral/documents/private-sector-may-2019.html</w:t>
        </w:r>
      </w:hyperlink>
      <w:r w:rsidRPr="006801BC">
        <w:rPr>
          <w:sz w:val="20"/>
          <w:szCs w:val="20"/>
        </w:rPr>
        <w:t xml:space="preserve"> </w:t>
      </w:r>
    </w:p>
  </w:footnote>
  <w:footnote w:id="2">
    <w:p w14:paraId="7F3EC2DC" w14:textId="440CB406" w:rsidR="00F208BC" w:rsidRPr="006801BC" w:rsidRDefault="00F208BC">
      <w:pPr>
        <w:pStyle w:val="FootnoteText"/>
        <w:rPr>
          <w:sz w:val="20"/>
          <w:szCs w:val="20"/>
        </w:rPr>
      </w:pPr>
      <w:r>
        <w:rPr>
          <w:rStyle w:val="FootnoteReference"/>
        </w:rPr>
        <w:footnoteRef/>
      </w:r>
      <w:r>
        <w:t xml:space="preserve"> </w:t>
      </w:r>
      <w:r w:rsidRPr="006801BC">
        <w:rPr>
          <w:sz w:val="20"/>
          <w:szCs w:val="20"/>
        </w:rPr>
        <w:t xml:space="preserve">For a detailed summary see </w:t>
      </w:r>
      <w:hyperlink r:id="rId2" w:history="1">
        <w:r w:rsidRPr="006801BC">
          <w:rPr>
            <w:rStyle w:val="Hyperlink"/>
            <w:sz w:val="20"/>
            <w:szCs w:val="20"/>
          </w:rPr>
          <w:t>http://ecnl.org/wp-content/uploads/2016/10/ECNL-Briefer-Change-of-the-Global-CT-Policies-that-Impact-Civic-Space-July-2016.pdf</w:t>
        </w:r>
      </w:hyperlink>
      <w:r w:rsidRPr="006801BC">
        <w:rPr>
          <w:sz w:val="20"/>
          <w:szCs w:val="20"/>
        </w:rPr>
        <w:t xml:space="preserve"> </w:t>
      </w:r>
    </w:p>
  </w:footnote>
  <w:footnote w:id="3">
    <w:p w14:paraId="63953749" w14:textId="211E4EC0" w:rsidR="00CE1D34" w:rsidRPr="00215A71" w:rsidRDefault="00CE1D34">
      <w:pPr>
        <w:pStyle w:val="FootnoteText"/>
        <w:rPr>
          <w:sz w:val="20"/>
          <w:szCs w:val="20"/>
        </w:rPr>
      </w:pPr>
      <w:r w:rsidRPr="00215A71">
        <w:rPr>
          <w:rStyle w:val="FootnoteReference"/>
          <w:sz w:val="20"/>
          <w:szCs w:val="20"/>
        </w:rPr>
        <w:footnoteRef/>
      </w:r>
      <w:r w:rsidRPr="00215A71">
        <w:rPr>
          <w:sz w:val="20"/>
          <w:szCs w:val="20"/>
        </w:rPr>
        <w:t xml:space="preserve"> Also referred to as FATF Associate Members See </w:t>
      </w:r>
      <w:hyperlink r:id="rId3" w:history="1">
        <w:r w:rsidRPr="00215A71">
          <w:rPr>
            <w:rStyle w:val="Hyperlink"/>
            <w:rFonts w:ascii="Times New Roman" w:hAnsi="Times New Roman" w:cs="Times New Roman"/>
            <w:sz w:val="20"/>
            <w:szCs w:val="20"/>
          </w:rPr>
          <w:t>http://www.fatf-gafi.org/about/membersandobservers/</w:t>
        </w:r>
      </w:hyperlink>
    </w:p>
  </w:footnote>
  <w:footnote w:id="4">
    <w:p w14:paraId="036E8A13" w14:textId="755D871B" w:rsidR="00490875" w:rsidRPr="00215A71" w:rsidRDefault="00490875">
      <w:pPr>
        <w:pStyle w:val="FootnoteText"/>
        <w:rPr>
          <w:sz w:val="20"/>
          <w:szCs w:val="20"/>
        </w:rPr>
      </w:pPr>
      <w:r>
        <w:rPr>
          <w:rStyle w:val="FootnoteReference"/>
        </w:rPr>
        <w:footnoteRef/>
      </w:r>
      <w:r>
        <w:t xml:space="preserve"> </w:t>
      </w:r>
      <w:r w:rsidRPr="00215A71">
        <w:rPr>
          <w:sz w:val="20"/>
          <w:szCs w:val="20"/>
        </w:rPr>
        <w:t xml:space="preserve">For a more comprehensive overview of the FATF processess and nonprofit sector engagement, see this paper: http://fatfplatform.org/wp-content/uploads/2018/01/CS_engagement_in_CT_process.pdf  </w:t>
      </w:r>
    </w:p>
  </w:footnote>
  <w:footnote w:id="5">
    <w:p w14:paraId="3DC355E6" w14:textId="77777777" w:rsidR="00CE1D34" w:rsidRDefault="00CE1D34" w:rsidP="00CE1D34">
      <w:pPr>
        <w:pStyle w:val="FootnoteText"/>
      </w:pPr>
      <w:r w:rsidRPr="006801BC">
        <w:rPr>
          <w:rStyle w:val="FootnoteReference"/>
          <w:sz w:val="20"/>
          <w:szCs w:val="20"/>
        </w:rPr>
        <w:footnoteRef/>
      </w:r>
      <w:r w:rsidRPr="006801BC">
        <w:rPr>
          <w:sz w:val="20"/>
          <w:szCs w:val="20"/>
        </w:rPr>
        <w:t xml:space="preserve"> Ben Hayes, Transnational Institute/Statewatch  “Counterterrorism, Policy Laundering and the FATF: Legalising Surveillance, Regulating Civil Society” available at </w:t>
      </w:r>
      <w:hyperlink r:id="rId4" w:history="1">
        <w:r w:rsidRPr="006801BC">
          <w:rPr>
            <w:rStyle w:val="Hyperlink"/>
            <w:sz w:val="20"/>
            <w:szCs w:val="20"/>
          </w:rPr>
          <w:t>http://www.statewatch.org/analyses/no-171-fafp-report.pdf</w:t>
        </w:r>
      </w:hyperlink>
    </w:p>
  </w:footnote>
  <w:footnote w:id="6">
    <w:p w14:paraId="24EBAAB1" w14:textId="4BC701FF" w:rsidR="0055363A" w:rsidRPr="006801BC" w:rsidRDefault="0055363A">
      <w:pPr>
        <w:pStyle w:val="FootnoteText"/>
        <w:rPr>
          <w:rFonts w:cstheme="minorHAnsi"/>
          <w:sz w:val="20"/>
          <w:szCs w:val="20"/>
        </w:rPr>
      </w:pPr>
      <w:r>
        <w:rPr>
          <w:rStyle w:val="FootnoteReference"/>
        </w:rPr>
        <w:footnoteRef/>
      </w:r>
      <w:r>
        <w:t xml:space="preserve"> </w:t>
      </w:r>
      <w:r w:rsidRPr="006801BC">
        <w:rPr>
          <w:rFonts w:cstheme="minorHAnsi"/>
          <w:sz w:val="20"/>
          <w:szCs w:val="20"/>
        </w:rPr>
        <w:t xml:space="preserve">See Joint NPO Comments on FATF Draft Best Practices Paper on Combating the Abuse of Non-Profit Organisations (RECOMMENDATION 8)available at </w:t>
      </w:r>
      <w:hyperlink r:id="rId5" w:history="1">
        <w:r w:rsidRPr="006801BC">
          <w:rPr>
            <w:rStyle w:val="Hyperlink"/>
            <w:rFonts w:cstheme="minorHAnsi"/>
            <w:sz w:val="20"/>
            <w:szCs w:val="20"/>
          </w:rPr>
          <w:t>http://www.charityandsecurity.org/sites/default/files/files/BPP%20Joint%20Comments%20April%2024(1).pdf</w:t>
        </w:r>
      </w:hyperlink>
    </w:p>
  </w:footnote>
  <w:footnote w:id="7">
    <w:p w14:paraId="305A4928" w14:textId="6CB1A7AF" w:rsidR="00B84BBD" w:rsidRPr="00215A71" w:rsidRDefault="00B84BBD" w:rsidP="00B84BBD">
      <w:pPr>
        <w:pStyle w:val="FootnoteText"/>
        <w:rPr>
          <w:sz w:val="20"/>
          <w:szCs w:val="20"/>
        </w:rPr>
      </w:pPr>
      <w:r w:rsidRPr="00215A71">
        <w:rPr>
          <w:rStyle w:val="FootnoteReference"/>
          <w:sz w:val="20"/>
          <w:szCs w:val="20"/>
        </w:rPr>
        <w:footnoteRef/>
      </w:r>
      <w:r w:rsidR="00F964C9" w:rsidRPr="00215A71">
        <w:rPr>
          <w:sz w:val="20"/>
          <w:szCs w:val="20"/>
        </w:rPr>
        <w:t xml:space="preserve"> A/69/365</w:t>
      </w:r>
      <w:r w:rsidRPr="00215A71">
        <w:rPr>
          <w:sz w:val="20"/>
          <w:szCs w:val="20"/>
        </w:rPr>
        <w:t>Report of the Special Rapporteur on the rights to freedom of peaceful assembly and of association addressing concerns about the exercise of the rights to</w:t>
      </w:r>
    </w:p>
    <w:p w14:paraId="30A30051" w14:textId="5EFBADD6" w:rsidR="00B84BBD" w:rsidRDefault="00B84BBD" w:rsidP="00B84BBD">
      <w:pPr>
        <w:pStyle w:val="FootnoteText"/>
      </w:pPr>
      <w:r w:rsidRPr="00215A71">
        <w:rPr>
          <w:sz w:val="20"/>
          <w:szCs w:val="20"/>
        </w:rPr>
        <w:t>freedom of peaceful assembly and of association in the context of multilateral institutions.</w:t>
      </w:r>
      <w:r w:rsidR="00F964C9" w:rsidRPr="00215A71">
        <w:rPr>
          <w:sz w:val="20"/>
          <w:szCs w:val="20"/>
        </w:rPr>
        <w:t xml:space="preserve">, Maina Kiai, Sept. 1, 2014 </w:t>
      </w:r>
      <w:r w:rsidRPr="00215A71">
        <w:rPr>
          <w:sz w:val="20"/>
          <w:szCs w:val="20"/>
        </w:rPr>
        <w:t xml:space="preserve">Available at </w:t>
      </w:r>
      <w:hyperlink r:id="rId6" w:history="1">
        <w:r w:rsidRPr="00215A71">
          <w:rPr>
            <w:rStyle w:val="Hyperlink"/>
            <w:sz w:val="20"/>
            <w:szCs w:val="20"/>
          </w:rPr>
          <w:t>http://freeassembly.net/wp-content/uploads/2014/10/Multilaterals-report-ENG.pdf</w:t>
        </w:r>
      </w:hyperlink>
    </w:p>
  </w:footnote>
  <w:footnote w:id="8">
    <w:p w14:paraId="3259E166" w14:textId="70206342" w:rsidR="00937EBE" w:rsidRPr="00147B03" w:rsidRDefault="00937EBE" w:rsidP="00147B03">
      <w:pPr>
        <w:pStyle w:val="NoSpacing"/>
        <w:rPr>
          <w:sz w:val="20"/>
          <w:szCs w:val="20"/>
        </w:rPr>
      </w:pPr>
      <w:r w:rsidRPr="00147B03">
        <w:rPr>
          <w:rStyle w:val="FootnoteReference"/>
          <w:sz w:val="20"/>
          <w:szCs w:val="20"/>
        </w:rPr>
        <w:footnoteRef/>
      </w:r>
      <w:r w:rsidRPr="00147B03">
        <w:rPr>
          <w:sz w:val="20"/>
          <w:szCs w:val="20"/>
        </w:rPr>
        <w:t xml:space="preserve"> Update to FATF’s “</w:t>
      </w:r>
      <w:r w:rsidRPr="00147B03">
        <w:rPr>
          <w:rStyle w:val="Emphasis"/>
          <w:rFonts w:ascii="Calibri" w:hAnsi="Calibri" w:cs="Calibri"/>
          <w:color w:val="333333"/>
          <w:sz w:val="20"/>
          <w:szCs w:val="20"/>
          <w:shd w:val="clear" w:color="auto" w:fill="FFFFFF"/>
        </w:rPr>
        <w:t xml:space="preserve">Methodology for </w:t>
      </w:r>
      <w:bookmarkStart w:id="0" w:name="_GoBack"/>
      <w:bookmarkEnd w:id="0"/>
      <w:r w:rsidRPr="00147B03">
        <w:rPr>
          <w:rStyle w:val="Emphasis"/>
          <w:rFonts w:ascii="Calibri" w:hAnsi="Calibri" w:cs="Calibri"/>
          <w:color w:val="333333"/>
          <w:sz w:val="20"/>
          <w:szCs w:val="20"/>
          <w:shd w:val="clear" w:color="auto" w:fill="FFFFFF"/>
        </w:rPr>
        <w:t>assessing technical compliance with the FATF Recommendations and the Effectiveness of AML/CFT systems”</w:t>
      </w:r>
      <w:r w:rsidRPr="00147B03">
        <w:rPr>
          <w:sz w:val="20"/>
          <w:szCs w:val="20"/>
        </w:rPr>
        <w:t xml:space="preserve"> pages 117-119 available at </w:t>
      </w:r>
      <w:hyperlink r:id="rId7" w:history="1">
        <w:r w:rsidRPr="00147B03">
          <w:rPr>
            <w:rStyle w:val="Hyperlink"/>
            <w:sz w:val="20"/>
            <w:szCs w:val="20"/>
          </w:rPr>
          <w:t>http://www.fatf-gafi.org/publications/mutualevaluations/documents/fatfissuesnewmechanismtostrengthenmoneylaunderingandterroristfinancingcompliance.html</w:t>
        </w:r>
      </w:hyperlink>
    </w:p>
  </w:footnote>
  <w:footnote w:id="9">
    <w:p w14:paraId="16BE22EB" w14:textId="401D581A" w:rsidR="00761B3C" w:rsidRPr="00147B03" w:rsidRDefault="00761B3C" w:rsidP="00147B03">
      <w:pPr>
        <w:pStyle w:val="NoSpacing"/>
        <w:rPr>
          <w:sz w:val="20"/>
          <w:szCs w:val="20"/>
        </w:rPr>
      </w:pPr>
      <w:r w:rsidRPr="00147B03">
        <w:rPr>
          <w:rStyle w:val="FootnoteReference"/>
          <w:sz w:val="20"/>
          <w:szCs w:val="20"/>
        </w:rPr>
        <w:footnoteRef/>
      </w:r>
      <w:r w:rsidRPr="00147B03">
        <w:rPr>
          <w:sz w:val="20"/>
          <w:szCs w:val="20"/>
        </w:rPr>
        <w:t xml:space="preserve"> For example, see the Charity &amp; Security Network’s comments to FATF on the Mutual Evaluation of the Kingdom of Saudi Arabia, Oct. 31, 2017 available at </w:t>
      </w:r>
      <w:hyperlink r:id="rId8" w:history="1">
        <w:r w:rsidRPr="00147B03">
          <w:rPr>
            <w:rStyle w:val="Hyperlink"/>
            <w:sz w:val="20"/>
            <w:szCs w:val="20"/>
          </w:rPr>
          <w:t>https://www.charityandsecurity.org/system/files/FATF_KSA_CSN_Comments2017.pdf</w:t>
        </w:r>
      </w:hyperlink>
    </w:p>
  </w:footnote>
  <w:footnote w:id="10">
    <w:p w14:paraId="42E6B98B" w14:textId="77777777" w:rsidR="00D40537" w:rsidRPr="00147B03" w:rsidRDefault="00D40537" w:rsidP="00147B03">
      <w:pPr>
        <w:pStyle w:val="NoSpacing"/>
        <w:rPr>
          <w:color w:val="000000"/>
          <w:sz w:val="20"/>
          <w:szCs w:val="20"/>
        </w:rPr>
      </w:pPr>
      <w:r w:rsidRPr="00147B03">
        <w:rPr>
          <w:rStyle w:val="FootnoteReference"/>
          <w:sz w:val="20"/>
          <w:szCs w:val="20"/>
        </w:rPr>
        <w:footnoteRef/>
      </w:r>
      <w:r w:rsidRPr="00147B03">
        <w:rPr>
          <w:sz w:val="20"/>
          <w:szCs w:val="20"/>
        </w:rPr>
        <w:t xml:space="preserve"> </w:t>
      </w:r>
      <w:r w:rsidRPr="00147B03">
        <w:rPr>
          <w:color w:val="000000"/>
          <w:sz w:val="20"/>
          <w:szCs w:val="20"/>
        </w:rPr>
        <w:t>Paragraph 6 of the Best Practices Paper states that it is intended to:</w:t>
      </w:r>
    </w:p>
    <w:p w14:paraId="2868CF7B" w14:textId="77777777" w:rsidR="00D40537" w:rsidRPr="00147B03" w:rsidRDefault="00D40537" w:rsidP="00147B03">
      <w:pPr>
        <w:pStyle w:val="NoSpacing"/>
        <w:ind w:left="720"/>
        <w:rPr>
          <w:i/>
          <w:sz w:val="20"/>
          <w:szCs w:val="20"/>
        </w:rPr>
      </w:pPr>
      <w:r w:rsidRPr="00147B03">
        <w:rPr>
          <w:sz w:val="20"/>
          <w:szCs w:val="20"/>
        </w:rPr>
        <w:t>“Primarily assist countries</w:t>
      </w:r>
      <w:hyperlink w:anchor="_bookmark5" w:history="1">
        <w:r w:rsidRPr="00147B03">
          <w:rPr>
            <w:position w:val="5"/>
            <w:sz w:val="20"/>
            <w:szCs w:val="20"/>
          </w:rPr>
          <w:t>2</w:t>
        </w:r>
      </w:hyperlink>
      <w:r w:rsidRPr="00147B03">
        <w:rPr>
          <w:position w:val="5"/>
          <w:sz w:val="20"/>
          <w:szCs w:val="20"/>
        </w:rPr>
        <w:t xml:space="preserve"> </w:t>
      </w:r>
      <w:r w:rsidRPr="00147B03">
        <w:rPr>
          <w:sz w:val="20"/>
          <w:szCs w:val="20"/>
        </w:rPr>
        <w:t>in their implementation of Recommendation 8 on non-profit organisations, in line w</w:t>
      </w:r>
      <w:hyperlink w:anchor="_bookmark5" w:history="1">
        <w:r w:rsidRPr="00147B03">
          <w:rPr>
            <w:sz w:val="20"/>
            <w:szCs w:val="20"/>
          </w:rPr>
          <w:t>i</w:t>
        </w:r>
      </w:hyperlink>
      <w:r w:rsidRPr="00147B03">
        <w:rPr>
          <w:sz w:val="20"/>
          <w:szCs w:val="20"/>
        </w:rPr>
        <w:t xml:space="preserve">th Recommendation 1 and the risk-based approach, and </w:t>
      </w:r>
      <w:r w:rsidRPr="00147B03">
        <w:rPr>
          <w:i/>
          <w:sz w:val="20"/>
          <w:szCs w:val="20"/>
        </w:rPr>
        <w:t>consistent with countries’ obligations to respect freedom of association, assembly, expression, religion or belief, and international humanitarian</w:t>
      </w:r>
      <w:r w:rsidRPr="00147B03">
        <w:rPr>
          <w:i/>
          <w:spacing w:val="-20"/>
          <w:sz w:val="20"/>
          <w:szCs w:val="20"/>
        </w:rPr>
        <w:t xml:space="preserve"> </w:t>
      </w:r>
      <w:r w:rsidRPr="00147B03">
        <w:rPr>
          <w:i/>
          <w:sz w:val="20"/>
          <w:szCs w:val="20"/>
        </w:rPr>
        <w:t>law;</w:t>
      </w:r>
      <w:hyperlink w:anchor="_bookmark6" w:history="1">
        <w:r w:rsidRPr="00147B03">
          <w:rPr>
            <w:i/>
            <w:position w:val="5"/>
            <w:sz w:val="20"/>
            <w:szCs w:val="20"/>
          </w:rPr>
          <w:t>3</w:t>
        </w:r>
      </w:hyperlink>
      <w:r w:rsidRPr="00147B03">
        <w:rPr>
          <w:position w:val="5"/>
          <w:sz w:val="20"/>
          <w:szCs w:val="20"/>
        </w:rPr>
        <w:t xml:space="preserve"> “ (emphasis added)</w:t>
      </w:r>
    </w:p>
    <w:p w14:paraId="57EC6E2F" w14:textId="77777777" w:rsidR="00D40537" w:rsidRPr="00147B03" w:rsidRDefault="00D40537" w:rsidP="00147B03">
      <w:pPr>
        <w:pStyle w:val="NoSpacing"/>
        <w:rPr>
          <w:color w:val="000000"/>
          <w:sz w:val="20"/>
          <w:szCs w:val="20"/>
        </w:rPr>
      </w:pPr>
      <w:r w:rsidRPr="00147B03">
        <w:rPr>
          <w:color w:val="000000"/>
          <w:sz w:val="20"/>
          <w:szCs w:val="20"/>
        </w:rPr>
        <w:t>In addition, paragraph 22 of the Best Practices Paper states that:</w:t>
      </w:r>
    </w:p>
    <w:p w14:paraId="244BEC60" w14:textId="77777777" w:rsidR="00D40537" w:rsidRPr="00147B03" w:rsidRDefault="00D40537" w:rsidP="00147B03">
      <w:pPr>
        <w:pStyle w:val="NoSpacing"/>
        <w:ind w:left="720"/>
        <w:rPr>
          <w:color w:val="000000"/>
          <w:sz w:val="20"/>
          <w:szCs w:val="20"/>
        </w:rPr>
      </w:pPr>
      <w:r w:rsidRPr="00147B03">
        <w:rPr>
          <w:color w:val="000000"/>
          <w:sz w:val="20"/>
          <w:szCs w:val="20"/>
        </w:rPr>
        <w:t>“Also, as a matter of principle, complying with the FATF Recommendations should not contravene a country’s obligations under the Charter of the United Nations and international human rights law to promote universal respect for, and observance of, fundamental human rights and freedoms, such as freedom of expression, religion or belief, and freedom of peaceful assembly and of association.”</w:t>
      </w:r>
    </w:p>
    <w:p w14:paraId="0FB7D68D" w14:textId="77777777" w:rsidR="00D40537" w:rsidRPr="00147B03" w:rsidRDefault="00D40537" w:rsidP="00147B03">
      <w:pPr>
        <w:pStyle w:val="NoSpacing"/>
        <w:rPr>
          <w:color w:val="000000"/>
          <w:sz w:val="20"/>
          <w:szCs w:val="20"/>
        </w:rPr>
      </w:pPr>
      <w:r w:rsidRPr="00147B03">
        <w:rPr>
          <w:color w:val="000000"/>
          <w:sz w:val="20"/>
          <w:szCs w:val="20"/>
        </w:rPr>
        <w:t>The Typology report also notes that:</w:t>
      </w:r>
    </w:p>
    <w:p w14:paraId="1AAE9121" w14:textId="77777777" w:rsidR="00D40537" w:rsidRPr="00147B03" w:rsidRDefault="00D40537" w:rsidP="00147B03">
      <w:pPr>
        <w:pStyle w:val="NoSpacing"/>
        <w:ind w:left="720"/>
        <w:rPr>
          <w:sz w:val="20"/>
          <w:szCs w:val="20"/>
        </w:rPr>
      </w:pPr>
      <w:r w:rsidRPr="00147B03">
        <w:rPr>
          <w:sz w:val="20"/>
          <w:szCs w:val="20"/>
        </w:rPr>
        <w:t>“Quite apart from the FATF standards, countries are also bound by international human rights standards, such as the International Covenant on Civil and Political Rights (Article 22) that protect the freedom of</w:t>
      </w:r>
      <w:r w:rsidRPr="00147B03">
        <w:rPr>
          <w:spacing w:val="-13"/>
          <w:sz w:val="20"/>
          <w:szCs w:val="20"/>
        </w:rPr>
        <w:t xml:space="preserve"> </w:t>
      </w:r>
      <w:r w:rsidRPr="00147B03">
        <w:rPr>
          <w:sz w:val="20"/>
          <w:szCs w:val="20"/>
        </w:rPr>
        <w:t>association.”</w:t>
      </w:r>
    </w:p>
    <w:p w14:paraId="3602516A" w14:textId="77777777" w:rsidR="00D40537" w:rsidRPr="00147B03" w:rsidRDefault="00D40537" w:rsidP="00D40537">
      <w:pPr>
        <w:pStyle w:val="FootnoteText"/>
        <w:rPr>
          <w:sz w:val="20"/>
          <w:szCs w:val="20"/>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5756B"/>
    <w:multiLevelType w:val="hybridMultilevel"/>
    <w:tmpl w:val="C954409E"/>
    <w:lvl w:ilvl="0" w:tplc="7F80B5C4">
      <w:start w:val="79"/>
      <w:numFmt w:val="decimal"/>
      <w:lvlText w:val="%1."/>
      <w:lvlJc w:val="left"/>
      <w:pPr>
        <w:ind w:left="150" w:hanging="625"/>
        <w:jc w:val="right"/>
      </w:pPr>
      <w:rPr>
        <w:rFonts w:ascii="Cambria" w:eastAsia="Cambria" w:hAnsi="Cambria" w:cs="Cambria" w:hint="default"/>
        <w:w w:val="100"/>
        <w:sz w:val="22"/>
        <w:szCs w:val="22"/>
      </w:rPr>
    </w:lvl>
    <w:lvl w:ilvl="1" w:tplc="99B2BFEA">
      <w:start w:val="1"/>
      <w:numFmt w:val="bullet"/>
      <w:lvlText w:val=""/>
      <w:lvlJc w:val="left"/>
      <w:pPr>
        <w:ind w:left="2423" w:hanging="228"/>
      </w:pPr>
      <w:rPr>
        <w:rFonts w:ascii="Wingdings" w:eastAsia="Wingdings" w:hAnsi="Wingdings" w:cs="Wingdings" w:hint="default"/>
        <w:color w:val="348093"/>
        <w:w w:val="99"/>
        <w:sz w:val="20"/>
        <w:szCs w:val="20"/>
      </w:rPr>
    </w:lvl>
    <w:lvl w:ilvl="2" w:tplc="F16207BE">
      <w:start w:val="1"/>
      <w:numFmt w:val="bullet"/>
      <w:lvlText w:val="•"/>
      <w:lvlJc w:val="left"/>
      <w:pPr>
        <w:ind w:left="2420" w:hanging="228"/>
      </w:pPr>
      <w:rPr>
        <w:rFonts w:hint="default"/>
      </w:rPr>
    </w:lvl>
    <w:lvl w:ilvl="3" w:tplc="4416757C">
      <w:start w:val="1"/>
      <w:numFmt w:val="bullet"/>
      <w:lvlText w:val="•"/>
      <w:lvlJc w:val="left"/>
      <w:pPr>
        <w:ind w:left="2480" w:hanging="228"/>
      </w:pPr>
      <w:rPr>
        <w:rFonts w:hint="default"/>
      </w:rPr>
    </w:lvl>
    <w:lvl w:ilvl="4" w:tplc="AF5261FA">
      <w:start w:val="1"/>
      <w:numFmt w:val="bullet"/>
      <w:lvlText w:val="•"/>
      <w:lvlJc w:val="left"/>
      <w:pPr>
        <w:ind w:left="3520" w:hanging="228"/>
      </w:pPr>
      <w:rPr>
        <w:rFonts w:hint="default"/>
      </w:rPr>
    </w:lvl>
    <w:lvl w:ilvl="5" w:tplc="140EBC90">
      <w:start w:val="1"/>
      <w:numFmt w:val="bullet"/>
      <w:lvlText w:val="•"/>
      <w:lvlJc w:val="left"/>
      <w:pPr>
        <w:ind w:left="4561" w:hanging="228"/>
      </w:pPr>
      <w:rPr>
        <w:rFonts w:hint="default"/>
      </w:rPr>
    </w:lvl>
    <w:lvl w:ilvl="6" w:tplc="942CCE82">
      <w:start w:val="1"/>
      <w:numFmt w:val="bullet"/>
      <w:lvlText w:val="•"/>
      <w:lvlJc w:val="left"/>
      <w:pPr>
        <w:ind w:left="5602" w:hanging="228"/>
      </w:pPr>
      <w:rPr>
        <w:rFonts w:hint="default"/>
      </w:rPr>
    </w:lvl>
    <w:lvl w:ilvl="7" w:tplc="CCE855A8">
      <w:start w:val="1"/>
      <w:numFmt w:val="bullet"/>
      <w:lvlText w:val="•"/>
      <w:lvlJc w:val="left"/>
      <w:pPr>
        <w:ind w:left="6643" w:hanging="228"/>
      </w:pPr>
      <w:rPr>
        <w:rFonts w:hint="default"/>
      </w:rPr>
    </w:lvl>
    <w:lvl w:ilvl="8" w:tplc="A21EDE96">
      <w:start w:val="1"/>
      <w:numFmt w:val="bullet"/>
      <w:lvlText w:val="•"/>
      <w:lvlJc w:val="left"/>
      <w:pPr>
        <w:ind w:left="7684" w:hanging="228"/>
      </w:pPr>
      <w:rPr>
        <w:rFonts w:hint="default"/>
      </w:rPr>
    </w:lvl>
  </w:abstractNum>
  <w:abstractNum w:abstractNumId="1" w15:restartNumberingAfterBreak="0">
    <w:nsid w:val="12143626"/>
    <w:multiLevelType w:val="hybridMultilevel"/>
    <w:tmpl w:val="1BE80BC0"/>
    <w:lvl w:ilvl="0" w:tplc="2EC82712">
      <w:start w:val="1"/>
      <w:numFmt w:val="decimal"/>
      <w:lvlText w:val="%1."/>
      <w:lvlJc w:val="left"/>
      <w:pPr>
        <w:ind w:left="146" w:hanging="625"/>
      </w:pPr>
      <w:rPr>
        <w:rFonts w:ascii="Cambria" w:eastAsia="Cambria" w:hAnsi="Cambria" w:cs="Cambria" w:hint="default"/>
        <w:spacing w:val="-1"/>
        <w:w w:val="99"/>
        <w:sz w:val="22"/>
        <w:szCs w:val="22"/>
      </w:rPr>
    </w:lvl>
    <w:lvl w:ilvl="1" w:tplc="516AAA0A">
      <w:start w:val="1"/>
      <w:numFmt w:val="lowerLetter"/>
      <w:lvlText w:val="%2)"/>
      <w:lvlJc w:val="left"/>
      <w:pPr>
        <w:ind w:left="1308" w:hanging="360"/>
      </w:pPr>
      <w:rPr>
        <w:rFonts w:ascii="Cambria" w:eastAsia="Cambria" w:hAnsi="Cambria" w:cs="Cambria" w:hint="default"/>
        <w:spacing w:val="-1"/>
        <w:w w:val="99"/>
        <w:sz w:val="22"/>
        <w:szCs w:val="22"/>
      </w:rPr>
    </w:lvl>
    <w:lvl w:ilvl="2" w:tplc="E8C2DD9A">
      <w:start w:val="1"/>
      <w:numFmt w:val="lowerLetter"/>
      <w:lvlText w:val="%3)"/>
      <w:lvlJc w:val="left"/>
      <w:pPr>
        <w:ind w:left="3435" w:hanging="667"/>
      </w:pPr>
      <w:rPr>
        <w:rFonts w:ascii="Cambria" w:eastAsia="Cambria" w:hAnsi="Cambria" w:cs="Cambria" w:hint="default"/>
        <w:i/>
        <w:spacing w:val="-1"/>
        <w:w w:val="99"/>
        <w:sz w:val="22"/>
        <w:szCs w:val="22"/>
      </w:rPr>
    </w:lvl>
    <w:lvl w:ilvl="3" w:tplc="1BAAC7E4">
      <w:start w:val="1"/>
      <w:numFmt w:val="lowerRoman"/>
      <w:lvlText w:val="(%4)"/>
      <w:lvlJc w:val="left"/>
      <w:pPr>
        <w:ind w:left="3436" w:hanging="279"/>
      </w:pPr>
      <w:rPr>
        <w:rFonts w:ascii="Cambria" w:eastAsia="Cambria" w:hAnsi="Cambria" w:cs="Cambria" w:hint="default"/>
        <w:i/>
        <w:w w:val="99"/>
        <w:sz w:val="22"/>
        <w:szCs w:val="22"/>
      </w:rPr>
    </w:lvl>
    <w:lvl w:ilvl="4" w:tplc="F7E232EE">
      <w:start w:val="1"/>
      <w:numFmt w:val="bullet"/>
      <w:lvlText w:val="•"/>
      <w:lvlJc w:val="left"/>
      <w:pPr>
        <w:ind w:left="4335" w:hanging="279"/>
      </w:pPr>
      <w:rPr>
        <w:rFonts w:hint="default"/>
      </w:rPr>
    </w:lvl>
    <w:lvl w:ilvl="5" w:tplc="4D2609F4">
      <w:start w:val="1"/>
      <w:numFmt w:val="bullet"/>
      <w:lvlText w:val="•"/>
      <w:lvlJc w:val="left"/>
      <w:pPr>
        <w:ind w:left="5230" w:hanging="279"/>
      </w:pPr>
      <w:rPr>
        <w:rFonts w:hint="default"/>
      </w:rPr>
    </w:lvl>
    <w:lvl w:ilvl="6" w:tplc="2154F964">
      <w:start w:val="1"/>
      <w:numFmt w:val="bullet"/>
      <w:lvlText w:val="•"/>
      <w:lvlJc w:val="left"/>
      <w:pPr>
        <w:ind w:left="6125" w:hanging="279"/>
      </w:pPr>
      <w:rPr>
        <w:rFonts w:hint="default"/>
      </w:rPr>
    </w:lvl>
    <w:lvl w:ilvl="7" w:tplc="232CD13E">
      <w:start w:val="1"/>
      <w:numFmt w:val="bullet"/>
      <w:lvlText w:val="•"/>
      <w:lvlJc w:val="left"/>
      <w:pPr>
        <w:ind w:left="7020" w:hanging="279"/>
      </w:pPr>
      <w:rPr>
        <w:rFonts w:hint="default"/>
      </w:rPr>
    </w:lvl>
    <w:lvl w:ilvl="8" w:tplc="E924932E">
      <w:start w:val="1"/>
      <w:numFmt w:val="bullet"/>
      <w:lvlText w:val="•"/>
      <w:lvlJc w:val="left"/>
      <w:pPr>
        <w:ind w:left="7916" w:hanging="279"/>
      </w:pPr>
      <w:rPr>
        <w:rFonts w:hint="default"/>
      </w:rPr>
    </w:lvl>
  </w:abstractNum>
  <w:abstractNum w:abstractNumId="2" w15:restartNumberingAfterBreak="0">
    <w:nsid w:val="1BA07A50"/>
    <w:multiLevelType w:val="hybridMultilevel"/>
    <w:tmpl w:val="02561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195452"/>
    <w:multiLevelType w:val="hybridMultilevel"/>
    <w:tmpl w:val="4080E20C"/>
    <w:lvl w:ilvl="0" w:tplc="A1B648C8">
      <w:start w:val="1"/>
      <w:numFmt w:val="upperLetter"/>
      <w:lvlText w:val="%1."/>
      <w:lvlJc w:val="left"/>
      <w:pPr>
        <w:ind w:left="886" w:hanging="502"/>
        <w:jc w:val="right"/>
      </w:pPr>
      <w:rPr>
        <w:rFonts w:hint="default"/>
        <w:spacing w:val="-1"/>
        <w:w w:val="106"/>
      </w:rPr>
    </w:lvl>
    <w:lvl w:ilvl="1" w:tplc="9014C1BE">
      <w:start w:val="1"/>
      <w:numFmt w:val="decimal"/>
      <w:lvlText w:val="%2."/>
      <w:lvlJc w:val="left"/>
      <w:pPr>
        <w:ind w:left="892" w:hanging="522"/>
      </w:pPr>
      <w:rPr>
        <w:rFonts w:ascii="Times New Roman" w:eastAsia="Times New Roman" w:hAnsi="Times New Roman" w:cs="Times New Roman" w:hint="default"/>
        <w:color w:val="2A2A2A"/>
        <w:w w:val="108"/>
        <w:sz w:val="20"/>
        <w:szCs w:val="20"/>
      </w:rPr>
    </w:lvl>
    <w:lvl w:ilvl="2" w:tplc="2C2C0096">
      <w:numFmt w:val="bullet"/>
      <w:lvlText w:val="•"/>
      <w:lvlJc w:val="left"/>
      <w:pPr>
        <w:ind w:left="1802" w:hanging="522"/>
      </w:pPr>
      <w:rPr>
        <w:rFonts w:hint="default"/>
      </w:rPr>
    </w:lvl>
    <w:lvl w:ilvl="3" w:tplc="CD64F222">
      <w:numFmt w:val="bullet"/>
      <w:lvlText w:val="•"/>
      <w:lvlJc w:val="left"/>
      <w:pPr>
        <w:ind w:left="2704" w:hanging="522"/>
      </w:pPr>
      <w:rPr>
        <w:rFonts w:hint="default"/>
      </w:rPr>
    </w:lvl>
    <w:lvl w:ilvl="4" w:tplc="8F0892C4">
      <w:numFmt w:val="bullet"/>
      <w:lvlText w:val="•"/>
      <w:lvlJc w:val="left"/>
      <w:pPr>
        <w:ind w:left="3606" w:hanging="522"/>
      </w:pPr>
      <w:rPr>
        <w:rFonts w:hint="default"/>
      </w:rPr>
    </w:lvl>
    <w:lvl w:ilvl="5" w:tplc="DAD26864">
      <w:numFmt w:val="bullet"/>
      <w:lvlText w:val="•"/>
      <w:lvlJc w:val="left"/>
      <w:pPr>
        <w:ind w:left="4508" w:hanging="522"/>
      </w:pPr>
      <w:rPr>
        <w:rFonts w:hint="default"/>
      </w:rPr>
    </w:lvl>
    <w:lvl w:ilvl="6" w:tplc="2454F72C">
      <w:numFmt w:val="bullet"/>
      <w:lvlText w:val="•"/>
      <w:lvlJc w:val="left"/>
      <w:pPr>
        <w:ind w:left="5411" w:hanging="522"/>
      </w:pPr>
      <w:rPr>
        <w:rFonts w:hint="default"/>
      </w:rPr>
    </w:lvl>
    <w:lvl w:ilvl="7" w:tplc="16701860">
      <w:numFmt w:val="bullet"/>
      <w:lvlText w:val="•"/>
      <w:lvlJc w:val="left"/>
      <w:pPr>
        <w:ind w:left="6313" w:hanging="522"/>
      </w:pPr>
      <w:rPr>
        <w:rFonts w:hint="default"/>
      </w:rPr>
    </w:lvl>
    <w:lvl w:ilvl="8" w:tplc="7BE2F5B0">
      <w:numFmt w:val="bullet"/>
      <w:lvlText w:val="•"/>
      <w:lvlJc w:val="left"/>
      <w:pPr>
        <w:ind w:left="7215" w:hanging="522"/>
      </w:pPr>
      <w:rPr>
        <w:rFonts w:hint="default"/>
      </w:rPr>
    </w:lvl>
  </w:abstractNum>
  <w:abstractNum w:abstractNumId="4" w15:restartNumberingAfterBreak="0">
    <w:nsid w:val="236C0C65"/>
    <w:multiLevelType w:val="multilevel"/>
    <w:tmpl w:val="A48AAF60"/>
    <w:lvl w:ilvl="0">
      <w:start w:val="1"/>
      <w:numFmt w:val="decimal"/>
      <w:lvlText w:val="%1."/>
      <w:lvlJc w:val="left"/>
      <w:pPr>
        <w:ind w:left="446" w:hanging="327"/>
      </w:pPr>
      <w:rPr>
        <w:rFonts w:ascii="Cambria" w:eastAsia="Cambria" w:hAnsi="Cambria" w:cs="Cambria" w:hint="default"/>
        <w:b/>
        <w:bCs/>
        <w:spacing w:val="0"/>
        <w:w w:val="102"/>
        <w:sz w:val="21"/>
        <w:szCs w:val="21"/>
      </w:rPr>
    </w:lvl>
    <w:lvl w:ilvl="1">
      <w:start w:val="1"/>
      <w:numFmt w:val="decimal"/>
      <w:lvlText w:val="%1.%2."/>
      <w:lvlJc w:val="left"/>
      <w:pPr>
        <w:ind w:left="502" w:hanging="383"/>
      </w:pPr>
      <w:rPr>
        <w:rFonts w:hint="default"/>
        <w:spacing w:val="0"/>
        <w:w w:val="102"/>
        <w:u w:val="single" w:color="000000"/>
      </w:rPr>
    </w:lvl>
    <w:lvl w:ilvl="2">
      <w:numFmt w:val="bullet"/>
      <w:lvlText w:val=""/>
      <w:lvlJc w:val="left"/>
      <w:pPr>
        <w:ind w:left="840" w:hanging="360"/>
      </w:pPr>
      <w:rPr>
        <w:rFonts w:ascii="Symbol" w:eastAsia="Symbol" w:hAnsi="Symbol" w:cs="Symbol" w:hint="default"/>
        <w:w w:val="102"/>
        <w:sz w:val="21"/>
        <w:szCs w:val="21"/>
      </w:rPr>
    </w:lvl>
    <w:lvl w:ilvl="3">
      <w:numFmt w:val="bullet"/>
      <w:lvlText w:val="•"/>
      <w:lvlJc w:val="left"/>
      <w:pPr>
        <w:ind w:left="1802" w:hanging="360"/>
      </w:pPr>
      <w:rPr>
        <w:rFonts w:hint="default"/>
      </w:rPr>
    </w:lvl>
    <w:lvl w:ilvl="4">
      <w:numFmt w:val="bullet"/>
      <w:lvlText w:val="•"/>
      <w:lvlJc w:val="left"/>
      <w:pPr>
        <w:ind w:left="2765" w:hanging="360"/>
      </w:pPr>
      <w:rPr>
        <w:rFonts w:hint="default"/>
      </w:rPr>
    </w:lvl>
    <w:lvl w:ilvl="5">
      <w:numFmt w:val="bullet"/>
      <w:lvlText w:val="•"/>
      <w:lvlJc w:val="left"/>
      <w:pPr>
        <w:ind w:left="3727" w:hanging="360"/>
      </w:pPr>
      <w:rPr>
        <w:rFonts w:hint="default"/>
      </w:rPr>
    </w:lvl>
    <w:lvl w:ilvl="6">
      <w:numFmt w:val="bullet"/>
      <w:lvlText w:val="•"/>
      <w:lvlJc w:val="left"/>
      <w:pPr>
        <w:ind w:left="4690" w:hanging="360"/>
      </w:pPr>
      <w:rPr>
        <w:rFonts w:hint="default"/>
      </w:rPr>
    </w:lvl>
    <w:lvl w:ilvl="7">
      <w:numFmt w:val="bullet"/>
      <w:lvlText w:val="•"/>
      <w:lvlJc w:val="left"/>
      <w:pPr>
        <w:ind w:left="5652" w:hanging="360"/>
      </w:pPr>
      <w:rPr>
        <w:rFonts w:hint="default"/>
      </w:rPr>
    </w:lvl>
    <w:lvl w:ilvl="8">
      <w:numFmt w:val="bullet"/>
      <w:lvlText w:val="•"/>
      <w:lvlJc w:val="left"/>
      <w:pPr>
        <w:ind w:left="6615" w:hanging="360"/>
      </w:pPr>
      <w:rPr>
        <w:rFonts w:hint="default"/>
      </w:rPr>
    </w:lvl>
  </w:abstractNum>
  <w:abstractNum w:abstractNumId="5" w15:restartNumberingAfterBreak="0">
    <w:nsid w:val="291D0596"/>
    <w:multiLevelType w:val="hybridMultilevel"/>
    <w:tmpl w:val="0CBE3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216767"/>
    <w:multiLevelType w:val="multilevel"/>
    <w:tmpl w:val="A498E3C0"/>
    <w:lvl w:ilvl="0">
      <w:start w:val="1"/>
      <w:numFmt w:val="decimal"/>
      <w:lvlText w:val="%1"/>
      <w:lvlJc w:val="left"/>
      <w:pPr>
        <w:ind w:left="457" w:hanging="338"/>
      </w:pPr>
      <w:rPr>
        <w:rFonts w:hint="default"/>
      </w:rPr>
    </w:lvl>
    <w:lvl w:ilvl="1">
      <w:start w:val="2"/>
      <w:numFmt w:val="decimal"/>
      <w:lvlText w:val="%1.%2"/>
      <w:lvlJc w:val="left"/>
      <w:pPr>
        <w:ind w:left="457" w:hanging="338"/>
      </w:pPr>
      <w:rPr>
        <w:rFonts w:hint="default"/>
        <w:spacing w:val="0"/>
        <w:w w:val="102"/>
        <w:u w:val="single" w:color="000000"/>
      </w:rPr>
    </w:lvl>
    <w:lvl w:ilvl="2">
      <w:numFmt w:val="bullet"/>
      <w:lvlText w:val=""/>
      <w:lvlJc w:val="left"/>
      <w:pPr>
        <w:ind w:left="840" w:hanging="360"/>
      </w:pPr>
      <w:rPr>
        <w:rFonts w:ascii="Symbol" w:eastAsia="Symbol" w:hAnsi="Symbol" w:cs="Symbol" w:hint="default"/>
        <w:w w:val="102"/>
        <w:sz w:val="21"/>
        <w:szCs w:val="21"/>
      </w:rPr>
    </w:lvl>
    <w:lvl w:ilvl="3">
      <w:numFmt w:val="bullet"/>
      <w:lvlText w:val="•"/>
      <w:lvlJc w:val="left"/>
      <w:pPr>
        <w:ind w:left="2551" w:hanging="360"/>
      </w:pPr>
      <w:rPr>
        <w:rFonts w:hint="default"/>
      </w:rPr>
    </w:lvl>
    <w:lvl w:ilvl="4">
      <w:numFmt w:val="bullet"/>
      <w:lvlText w:val="•"/>
      <w:lvlJc w:val="left"/>
      <w:pPr>
        <w:ind w:left="3406" w:hanging="360"/>
      </w:pPr>
      <w:rPr>
        <w:rFonts w:hint="default"/>
      </w:rPr>
    </w:lvl>
    <w:lvl w:ilvl="5">
      <w:numFmt w:val="bullet"/>
      <w:lvlText w:val="•"/>
      <w:lvlJc w:val="left"/>
      <w:pPr>
        <w:ind w:left="4262" w:hanging="360"/>
      </w:pPr>
      <w:rPr>
        <w:rFonts w:hint="default"/>
      </w:rPr>
    </w:lvl>
    <w:lvl w:ilvl="6">
      <w:numFmt w:val="bullet"/>
      <w:lvlText w:val="•"/>
      <w:lvlJc w:val="left"/>
      <w:pPr>
        <w:ind w:left="5117" w:hanging="360"/>
      </w:pPr>
      <w:rPr>
        <w:rFonts w:hint="default"/>
      </w:rPr>
    </w:lvl>
    <w:lvl w:ilvl="7">
      <w:numFmt w:val="bullet"/>
      <w:lvlText w:val="•"/>
      <w:lvlJc w:val="left"/>
      <w:pPr>
        <w:ind w:left="5973" w:hanging="360"/>
      </w:pPr>
      <w:rPr>
        <w:rFonts w:hint="default"/>
      </w:rPr>
    </w:lvl>
    <w:lvl w:ilvl="8">
      <w:numFmt w:val="bullet"/>
      <w:lvlText w:val="•"/>
      <w:lvlJc w:val="left"/>
      <w:pPr>
        <w:ind w:left="6828" w:hanging="360"/>
      </w:pPr>
      <w:rPr>
        <w:rFonts w:hint="default"/>
      </w:rPr>
    </w:lvl>
  </w:abstractNum>
  <w:abstractNum w:abstractNumId="7" w15:restartNumberingAfterBreak="0">
    <w:nsid w:val="3A017C34"/>
    <w:multiLevelType w:val="hybridMultilevel"/>
    <w:tmpl w:val="71F64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F1642C"/>
    <w:multiLevelType w:val="hybridMultilevel"/>
    <w:tmpl w:val="8A7E97C0"/>
    <w:lvl w:ilvl="0" w:tplc="1DCA1464">
      <w:start w:val="1"/>
      <w:numFmt w:val="decimal"/>
      <w:lvlText w:val="%1."/>
      <w:lvlJc w:val="left"/>
      <w:pPr>
        <w:ind w:left="150" w:hanging="624"/>
        <w:jc w:val="right"/>
      </w:pPr>
      <w:rPr>
        <w:rFonts w:ascii="Cambria" w:eastAsia="Cambria" w:hAnsi="Cambria" w:cs="Cambria" w:hint="default"/>
        <w:w w:val="100"/>
        <w:sz w:val="22"/>
        <w:szCs w:val="22"/>
      </w:rPr>
    </w:lvl>
    <w:lvl w:ilvl="1" w:tplc="A3E29524">
      <w:start w:val="1"/>
      <w:numFmt w:val="lowerLetter"/>
      <w:lvlText w:val="(%2)"/>
      <w:lvlJc w:val="left"/>
      <w:pPr>
        <w:ind w:left="1590" w:hanging="327"/>
      </w:pPr>
      <w:rPr>
        <w:rFonts w:ascii="Cambria" w:eastAsia="Cambria" w:hAnsi="Cambria" w:cs="Cambria" w:hint="default"/>
        <w:i/>
        <w:spacing w:val="-1"/>
        <w:w w:val="100"/>
        <w:sz w:val="22"/>
        <w:szCs w:val="22"/>
      </w:rPr>
    </w:lvl>
    <w:lvl w:ilvl="2" w:tplc="1AD4B33A">
      <w:start w:val="1"/>
      <w:numFmt w:val="bullet"/>
      <w:lvlText w:val="•"/>
      <w:lvlJc w:val="left"/>
      <w:pPr>
        <w:ind w:left="2507" w:hanging="327"/>
      </w:pPr>
      <w:rPr>
        <w:rFonts w:hint="default"/>
      </w:rPr>
    </w:lvl>
    <w:lvl w:ilvl="3" w:tplc="5F827F9C">
      <w:start w:val="1"/>
      <w:numFmt w:val="bullet"/>
      <w:lvlText w:val="•"/>
      <w:lvlJc w:val="left"/>
      <w:pPr>
        <w:ind w:left="3414" w:hanging="327"/>
      </w:pPr>
      <w:rPr>
        <w:rFonts w:hint="default"/>
      </w:rPr>
    </w:lvl>
    <w:lvl w:ilvl="4" w:tplc="E272EC4C">
      <w:start w:val="1"/>
      <w:numFmt w:val="bullet"/>
      <w:lvlText w:val="•"/>
      <w:lvlJc w:val="left"/>
      <w:pPr>
        <w:ind w:left="4322" w:hanging="327"/>
      </w:pPr>
      <w:rPr>
        <w:rFonts w:hint="default"/>
      </w:rPr>
    </w:lvl>
    <w:lvl w:ilvl="5" w:tplc="C2F8165A">
      <w:start w:val="1"/>
      <w:numFmt w:val="bullet"/>
      <w:lvlText w:val="•"/>
      <w:lvlJc w:val="left"/>
      <w:pPr>
        <w:ind w:left="5229" w:hanging="327"/>
      </w:pPr>
      <w:rPr>
        <w:rFonts w:hint="default"/>
      </w:rPr>
    </w:lvl>
    <w:lvl w:ilvl="6" w:tplc="C150C92A">
      <w:start w:val="1"/>
      <w:numFmt w:val="bullet"/>
      <w:lvlText w:val="•"/>
      <w:lvlJc w:val="left"/>
      <w:pPr>
        <w:ind w:left="6136" w:hanging="327"/>
      </w:pPr>
      <w:rPr>
        <w:rFonts w:hint="default"/>
      </w:rPr>
    </w:lvl>
    <w:lvl w:ilvl="7" w:tplc="E72643AE">
      <w:start w:val="1"/>
      <w:numFmt w:val="bullet"/>
      <w:lvlText w:val="•"/>
      <w:lvlJc w:val="left"/>
      <w:pPr>
        <w:ind w:left="7044" w:hanging="327"/>
      </w:pPr>
      <w:rPr>
        <w:rFonts w:hint="default"/>
      </w:rPr>
    </w:lvl>
    <w:lvl w:ilvl="8" w:tplc="CDF4807C">
      <w:start w:val="1"/>
      <w:numFmt w:val="bullet"/>
      <w:lvlText w:val="•"/>
      <w:lvlJc w:val="left"/>
      <w:pPr>
        <w:ind w:left="7951" w:hanging="327"/>
      </w:pPr>
      <w:rPr>
        <w:rFonts w:hint="default"/>
      </w:rPr>
    </w:lvl>
  </w:abstractNum>
  <w:abstractNum w:abstractNumId="9" w15:restartNumberingAfterBreak="0">
    <w:nsid w:val="6C1D6A4A"/>
    <w:multiLevelType w:val="multilevel"/>
    <w:tmpl w:val="BEF07A38"/>
    <w:lvl w:ilvl="0">
      <w:start w:val="1"/>
      <w:numFmt w:val="decimal"/>
      <w:lvlText w:val="%1"/>
      <w:lvlJc w:val="left"/>
      <w:pPr>
        <w:ind w:left="120" w:hanging="404"/>
      </w:pPr>
      <w:rPr>
        <w:rFonts w:hint="default"/>
      </w:rPr>
    </w:lvl>
    <w:lvl w:ilvl="1">
      <w:start w:val="3"/>
      <w:numFmt w:val="decimal"/>
      <w:lvlText w:val="%1.%2."/>
      <w:lvlJc w:val="left"/>
      <w:pPr>
        <w:ind w:left="120" w:hanging="404"/>
      </w:pPr>
      <w:rPr>
        <w:rFonts w:hint="default"/>
        <w:spacing w:val="0"/>
        <w:w w:val="102"/>
        <w:u w:val="single" w:color="000000"/>
      </w:rPr>
    </w:lvl>
    <w:lvl w:ilvl="2">
      <w:numFmt w:val="bullet"/>
      <w:lvlText w:val=""/>
      <w:lvlJc w:val="left"/>
      <w:pPr>
        <w:ind w:left="840" w:hanging="360"/>
      </w:pPr>
      <w:rPr>
        <w:rFonts w:ascii="Symbol" w:eastAsia="Symbol" w:hAnsi="Symbol" w:cs="Symbol" w:hint="default"/>
        <w:w w:val="102"/>
        <w:sz w:val="21"/>
        <w:szCs w:val="21"/>
      </w:rPr>
    </w:lvl>
    <w:lvl w:ilvl="3">
      <w:numFmt w:val="bullet"/>
      <w:lvlText w:val="•"/>
      <w:lvlJc w:val="left"/>
      <w:pPr>
        <w:ind w:left="2551" w:hanging="360"/>
      </w:pPr>
      <w:rPr>
        <w:rFonts w:hint="default"/>
      </w:rPr>
    </w:lvl>
    <w:lvl w:ilvl="4">
      <w:numFmt w:val="bullet"/>
      <w:lvlText w:val="•"/>
      <w:lvlJc w:val="left"/>
      <w:pPr>
        <w:ind w:left="3406" w:hanging="360"/>
      </w:pPr>
      <w:rPr>
        <w:rFonts w:hint="default"/>
      </w:rPr>
    </w:lvl>
    <w:lvl w:ilvl="5">
      <w:numFmt w:val="bullet"/>
      <w:lvlText w:val="•"/>
      <w:lvlJc w:val="left"/>
      <w:pPr>
        <w:ind w:left="4262" w:hanging="360"/>
      </w:pPr>
      <w:rPr>
        <w:rFonts w:hint="default"/>
      </w:rPr>
    </w:lvl>
    <w:lvl w:ilvl="6">
      <w:numFmt w:val="bullet"/>
      <w:lvlText w:val="•"/>
      <w:lvlJc w:val="left"/>
      <w:pPr>
        <w:ind w:left="5117" w:hanging="360"/>
      </w:pPr>
      <w:rPr>
        <w:rFonts w:hint="default"/>
      </w:rPr>
    </w:lvl>
    <w:lvl w:ilvl="7">
      <w:numFmt w:val="bullet"/>
      <w:lvlText w:val="•"/>
      <w:lvlJc w:val="left"/>
      <w:pPr>
        <w:ind w:left="5973" w:hanging="360"/>
      </w:pPr>
      <w:rPr>
        <w:rFonts w:hint="default"/>
      </w:rPr>
    </w:lvl>
    <w:lvl w:ilvl="8">
      <w:numFmt w:val="bullet"/>
      <w:lvlText w:val="•"/>
      <w:lvlJc w:val="left"/>
      <w:pPr>
        <w:ind w:left="6828" w:hanging="360"/>
      </w:pPr>
      <w:rPr>
        <w:rFonts w:hint="default"/>
      </w:rPr>
    </w:lvl>
  </w:abstractNum>
  <w:abstractNum w:abstractNumId="10" w15:restartNumberingAfterBreak="0">
    <w:nsid w:val="70681B83"/>
    <w:multiLevelType w:val="hybridMultilevel"/>
    <w:tmpl w:val="38CAF698"/>
    <w:lvl w:ilvl="0" w:tplc="AA44692A">
      <w:numFmt w:val="bullet"/>
      <w:lvlText w:val=""/>
      <w:lvlJc w:val="left"/>
      <w:pPr>
        <w:ind w:left="840" w:hanging="360"/>
      </w:pPr>
      <w:rPr>
        <w:rFonts w:ascii="Symbol" w:eastAsia="Symbol" w:hAnsi="Symbol" w:cs="Symbol" w:hint="default"/>
        <w:w w:val="102"/>
        <w:sz w:val="21"/>
        <w:szCs w:val="21"/>
      </w:rPr>
    </w:lvl>
    <w:lvl w:ilvl="1" w:tplc="DE8EB18C">
      <w:numFmt w:val="bullet"/>
      <w:lvlText w:val="•"/>
      <w:lvlJc w:val="left"/>
      <w:pPr>
        <w:ind w:left="1610" w:hanging="360"/>
      </w:pPr>
      <w:rPr>
        <w:rFonts w:hint="default"/>
      </w:rPr>
    </w:lvl>
    <w:lvl w:ilvl="2" w:tplc="DAF68A5C">
      <w:numFmt w:val="bullet"/>
      <w:lvlText w:val="•"/>
      <w:lvlJc w:val="left"/>
      <w:pPr>
        <w:ind w:left="2380" w:hanging="360"/>
      </w:pPr>
      <w:rPr>
        <w:rFonts w:hint="default"/>
      </w:rPr>
    </w:lvl>
    <w:lvl w:ilvl="3" w:tplc="866411BC">
      <w:numFmt w:val="bullet"/>
      <w:lvlText w:val="•"/>
      <w:lvlJc w:val="left"/>
      <w:pPr>
        <w:ind w:left="3150" w:hanging="360"/>
      </w:pPr>
      <w:rPr>
        <w:rFonts w:hint="default"/>
      </w:rPr>
    </w:lvl>
    <w:lvl w:ilvl="4" w:tplc="9D10FEF8">
      <w:numFmt w:val="bullet"/>
      <w:lvlText w:val="•"/>
      <w:lvlJc w:val="left"/>
      <w:pPr>
        <w:ind w:left="3920" w:hanging="360"/>
      </w:pPr>
      <w:rPr>
        <w:rFonts w:hint="default"/>
      </w:rPr>
    </w:lvl>
    <w:lvl w:ilvl="5" w:tplc="1EBA338C">
      <w:numFmt w:val="bullet"/>
      <w:lvlText w:val="•"/>
      <w:lvlJc w:val="left"/>
      <w:pPr>
        <w:ind w:left="4690" w:hanging="360"/>
      </w:pPr>
      <w:rPr>
        <w:rFonts w:hint="default"/>
      </w:rPr>
    </w:lvl>
    <w:lvl w:ilvl="6" w:tplc="140EA444">
      <w:numFmt w:val="bullet"/>
      <w:lvlText w:val="•"/>
      <w:lvlJc w:val="left"/>
      <w:pPr>
        <w:ind w:left="5460" w:hanging="360"/>
      </w:pPr>
      <w:rPr>
        <w:rFonts w:hint="default"/>
      </w:rPr>
    </w:lvl>
    <w:lvl w:ilvl="7" w:tplc="39C6DDA6">
      <w:numFmt w:val="bullet"/>
      <w:lvlText w:val="•"/>
      <w:lvlJc w:val="left"/>
      <w:pPr>
        <w:ind w:left="6230" w:hanging="360"/>
      </w:pPr>
      <w:rPr>
        <w:rFonts w:hint="default"/>
      </w:rPr>
    </w:lvl>
    <w:lvl w:ilvl="8" w:tplc="A2AE892C">
      <w:numFmt w:val="bullet"/>
      <w:lvlText w:val="•"/>
      <w:lvlJc w:val="left"/>
      <w:pPr>
        <w:ind w:left="7000" w:hanging="360"/>
      </w:pPr>
      <w:rPr>
        <w:rFonts w:hint="default"/>
      </w:rPr>
    </w:lvl>
  </w:abstractNum>
  <w:abstractNum w:abstractNumId="11" w15:restartNumberingAfterBreak="0">
    <w:nsid w:val="7B971898"/>
    <w:multiLevelType w:val="hybridMultilevel"/>
    <w:tmpl w:val="FDDEB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5"/>
  </w:num>
  <w:num w:numId="4">
    <w:abstractNumId w:val="1"/>
  </w:num>
  <w:num w:numId="5">
    <w:abstractNumId w:val="8"/>
  </w:num>
  <w:num w:numId="6">
    <w:abstractNumId w:val="0"/>
  </w:num>
  <w:num w:numId="7">
    <w:abstractNumId w:val="3"/>
  </w:num>
  <w:num w:numId="8">
    <w:abstractNumId w:val="2"/>
  </w:num>
  <w:num w:numId="9">
    <w:abstractNumId w:val="10"/>
  </w:num>
  <w:num w:numId="10">
    <w:abstractNumId w:val="9"/>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797"/>
    <w:rsid w:val="00013AD8"/>
    <w:rsid w:val="000161B8"/>
    <w:rsid w:val="00065F99"/>
    <w:rsid w:val="00075170"/>
    <w:rsid w:val="000901E0"/>
    <w:rsid w:val="000A56F8"/>
    <w:rsid w:val="000A705F"/>
    <w:rsid w:val="000B25D6"/>
    <w:rsid w:val="000C0870"/>
    <w:rsid w:val="000F4619"/>
    <w:rsid w:val="001016BB"/>
    <w:rsid w:val="00116697"/>
    <w:rsid w:val="00124421"/>
    <w:rsid w:val="00147A0E"/>
    <w:rsid w:val="00147B03"/>
    <w:rsid w:val="00181911"/>
    <w:rsid w:val="00186EFF"/>
    <w:rsid w:val="001A1838"/>
    <w:rsid w:val="001C62A2"/>
    <w:rsid w:val="001D0BBC"/>
    <w:rsid w:val="001D1E64"/>
    <w:rsid w:val="001D7FC1"/>
    <w:rsid w:val="001E7027"/>
    <w:rsid w:val="002148BB"/>
    <w:rsid w:val="00215A71"/>
    <w:rsid w:val="00231888"/>
    <w:rsid w:val="0023520A"/>
    <w:rsid w:val="00237729"/>
    <w:rsid w:val="00242845"/>
    <w:rsid w:val="002479D4"/>
    <w:rsid w:val="00265910"/>
    <w:rsid w:val="002659F6"/>
    <w:rsid w:val="00266AAA"/>
    <w:rsid w:val="002D4AAE"/>
    <w:rsid w:val="002F25E4"/>
    <w:rsid w:val="00301FF4"/>
    <w:rsid w:val="003052B2"/>
    <w:rsid w:val="00343F43"/>
    <w:rsid w:val="003670E0"/>
    <w:rsid w:val="00381DAB"/>
    <w:rsid w:val="003C201C"/>
    <w:rsid w:val="003C4BB9"/>
    <w:rsid w:val="003C64B0"/>
    <w:rsid w:val="003C7400"/>
    <w:rsid w:val="003D0ABF"/>
    <w:rsid w:val="003F3A0E"/>
    <w:rsid w:val="004502C6"/>
    <w:rsid w:val="004604A7"/>
    <w:rsid w:val="004732BD"/>
    <w:rsid w:val="0048365E"/>
    <w:rsid w:val="00490875"/>
    <w:rsid w:val="004C4F96"/>
    <w:rsid w:val="00500EE2"/>
    <w:rsid w:val="00505640"/>
    <w:rsid w:val="005142FF"/>
    <w:rsid w:val="00522670"/>
    <w:rsid w:val="0055363A"/>
    <w:rsid w:val="005A42AE"/>
    <w:rsid w:val="005B45BD"/>
    <w:rsid w:val="005C21DB"/>
    <w:rsid w:val="005D294C"/>
    <w:rsid w:val="00604091"/>
    <w:rsid w:val="006230BF"/>
    <w:rsid w:val="00650448"/>
    <w:rsid w:val="006801BC"/>
    <w:rsid w:val="00692A24"/>
    <w:rsid w:val="00692C47"/>
    <w:rsid w:val="006B05EC"/>
    <w:rsid w:val="006C7059"/>
    <w:rsid w:val="006F0229"/>
    <w:rsid w:val="00701D40"/>
    <w:rsid w:val="00725B95"/>
    <w:rsid w:val="00740206"/>
    <w:rsid w:val="00761B3C"/>
    <w:rsid w:val="00766FFF"/>
    <w:rsid w:val="00776B47"/>
    <w:rsid w:val="00784563"/>
    <w:rsid w:val="00786B94"/>
    <w:rsid w:val="00794197"/>
    <w:rsid w:val="007A3A9B"/>
    <w:rsid w:val="007C03BD"/>
    <w:rsid w:val="007D5592"/>
    <w:rsid w:val="00807B68"/>
    <w:rsid w:val="008259D4"/>
    <w:rsid w:val="0083240A"/>
    <w:rsid w:val="00833A30"/>
    <w:rsid w:val="00851667"/>
    <w:rsid w:val="008911BF"/>
    <w:rsid w:val="008A75F6"/>
    <w:rsid w:val="008D5797"/>
    <w:rsid w:val="008E7F2C"/>
    <w:rsid w:val="00923138"/>
    <w:rsid w:val="00937EBE"/>
    <w:rsid w:val="009726B5"/>
    <w:rsid w:val="00980196"/>
    <w:rsid w:val="009A4163"/>
    <w:rsid w:val="009A7164"/>
    <w:rsid w:val="009F2C5E"/>
    <w:rsid w:val="00A11B74"/>
    <w:rsid w:val="00A15FB5"/>
    <w:rsid w:val="00A511E4"/>
    <w:rsid w:val="00A65339"/>
    <w:rsid w:val="00A665E5"/>
    <w:rsid w:val="00AA4BCB"/>
    <w:rsid w:val="00AA6412"/>
    <w:rsid w:val="00AA7F9D"/>
    <w:rsid w:val="00AB418D"/>
    <w:rsid w:val="00AB5470"/>
    <w:rsid w:val="00AB5B89"/>
    <w:rsid w:val="00AB723D"/>
    <w:rsid w:val="00AD4F19"/>
    <w:rsid w:val="00AF25FC"/>
    <w:rsid w:val="00AF4D6C"/>
    <w:rsid w:val="00AF5104"/>
    <w:rsid w:val="00B14FE4"/>
    <w:rsid w:val="00B32689"/>
    <w:rsid w:val="00B43AE3"/>
    <w:rsid w:val="00B45930"/>
    <w:rsid w:val="00B47277"/>
    <w:rsid w:val="00B54405"/>
    <w:rsid w:val="00B625F4"/>
    <w:rsid w:val="00B76BD1"/>
    <w:rsid w:val="00B84BBD"/>
    <w:rsid w:val="00BC3906"/>
    <w:rsid w:val="00C06232"/>
    <w:rsid w:val="00C124AA"/>
    <w:rsid w:val="00C17F19"/>
    <w:rsid w:val="00C33A47"/>
    <w:rsid w:val="00C53180"/>
    <w:rsid w:val="00C609A7"/>
    <w:rsid w:val="00C84F43"/>
    <w:rsid w:val="00C861B9"/>
    <w:rsid w:val="00CA2E20"/>
    <w:rsid w:val="00CA6E34"/>
    <w:rsid w:val="00CC1399"/>
    <w:rsid w:val="00CD4BB7"/>
    <w:rsid w:val="00CD6CCE"/>
    <w:rsid w:val="00CE1D34"/>
    <w:rsid w:val="00CE6EE9"/>
    <w:rsid w:val="00D10E8F"/>
    <w:rsid w:val="00D208F1"/>
    <w:rsid w:val="00D317EF"/>
    <w:rsid w:val="00D40537"/>
    <w:rsid w:val="00D45BD4"/>
    <w:rsid w:val="00D94AA4"/>
    <w:rsid w:val="00DB5291"/>
    <w:rsid w:val="00E11E67"/>
    <w:rsid w:val="00E22CC4"/>
    <w:rsid w:val="00E470C0"/>
    <w:rsid w:val="00E819DC"/>
    <w:rsid w:val="00EF5B9B"/>
    <w:rsid w:val="00F208BC"/>
    <w:rsid w:val="00F31C48"/>
    <w:rsid w:val="00F52B5C"/>
    <w:rsid w:val="00F5579D"/>
    <w:rsid w:val="00F65D21"/>
    <w:rsid w:val="00F768F6"/>
    <w:rsid w:val="00F95C5B"/>
    <w:rsid w:val="00F964C9"/>
    <w:rsid w:val="00FA0F60"/>
    <w:rsid w:val="00FA6E17"/>
    <w:rsid w:val="00FC1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D2D66C2"/>
  <w15:chartTrackingRefBased/>
  <w15:docId w15:val="{7E234D1E-52FE-4022-905A-72E574A18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0C0870"/>
    <w:pPr>
      <w:widowControl w:val="0"/>
      <w:autoSpaceDE w:val="0"/>
      <w:autoSpaceDN w:val="0"/>
      <w:spacing w:after="0" w:line="240" w:lineRule="auto"/>
      <w:ind w:left="120"/>
      <w:outlineLvl w:val="0"/>
    </w:pPr>
    <w:rPr>
      <w:rFonts w:ascii="Cambria" w:eastAsia="Cambria" w:hAnsi="Cambria" w:cs="Cambria"/>
      <w:b/>
      <w:bCs/>
      <w:sz w:val="24"/>
      <w:szCs w:val="24"/>
    </w:rPr>
  </w:style>
  <w:style w:type="paragraph" w:styleId="Heading2">
    <w:name w:val="heading 2"/>
    <w:basedOn w:val="Normal"/>
    <w:link w:val="Heading2Char"/>
    <w:uiPriority w:val="1"/>
    <w:qFormat/>
    <w:rsid w:val="000C0870"/>
    <w:pPr>
      <w:widowControl w:val="0"/>
      <w:autoSpaceDE w:val="0"/>
      <w:autoSpaceDN w:val="0"/>
      <w:spacing w:after="0" w:line="240" w:lineRule="auto"/>
      <w:ind w:left="446" w:hanging="326"/>
      <w:outlineLvl w:val="1"/>
    </w:pPr>
    <w:rPr>
      <w:rFonts w:ascii="Cambria" w:eastAsia="Cambria" w:hAnsi="Cambria" w:cs="Cambria"/>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ate-display-single">
    <w:name w:val="date-display-single"/>
    <w:basedOn w:val="DefaultParagraphFont"/>
    <w:rsid w:val="008D5797"/>
  </w:style>
  <w:style w:type="paragraph" w:styleId="NormalWeb">
    <w:name w:val="Normal (Web)"/>
    <w:basedOn w:val="Normal"/>
    <w:uiPriority w:val="99"/>
    <w:semiHidden/>
    <w:unhideWhenUsed/>
    <w:rsid w:val="008D579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D5797"/>
    <w:rPr>
      <w:b/>
      <w:bCs/>
    </w:rPr>
  </w:style>
  <w:style w:type="character" w:styleId="Hyperlink">
    <w:name w:val="Hyperlink"/>
    <w:basedOn w:val="DefaultParagraphFont"/>
    <w:uiPriority w:val="99"/>
    <w:unhideWhenUsed/>
    <w:rsid w:val="008D5797"/>
    <w:rPr>
      <w:color w:val="0000FF"/>
      <w:u w:val="single"/>
    </w:rPr>
  </w:style>
  <w:style w:type="character" w:customStyle="1" w:styleId="UnresolvedMention1">
    <w:name w:val="Unresolved Mention1"/>
    <w:basedOn w:val="DefaultParagraphFont"/>
    <w:uiPriority w:val="99"/>
    <w:semiHidden/>
    <w:unhideWhenUsed/>
    <w:rsid w:val="008D5797"/>
    <w:rPr>
      <w:color w:val="605E5C"/>
      <w:shd w:val="clear" w:color="auto" w:fill="E1DFDD"/>
    </w:rPr>
  </w:style>
  <w:style w:type="paragraph" w:styleId="FootnoteText">
    <w:name w:val="footnote text"/>
    <w:basedOn w:val="Normal"/>
    <w:link w:val="FootnoteTextChar"/>
    <w:uiPriority w:val="99"/>
    <w:semiHidden/>
    <w:unhideWhenUsed/>
    <w:rsid w:val="008D5797"/>
    <w:pPr>
      <w:spacing w:after="0" w:line="240" w:lineRule="auto"/>
    </w:pPr>
    <w:rPr>
      <w:rFonts w:eastAsiaTheme="minorEastAsia"/>
      <w:sz w:val="24"/>
      <w:szCs w:val="24"/>
    </w:rPr>
  </w:style>
  <w:style w:type="character" w:customStyle="1" w:styleId="FootnoteTextChar">
    <w:name w:val="Footnote Text Char"/>
    <w:basedOn w:val="DefaultParagraphFont"/>
    <w:link w:val="FootnoteText"/>
    <w:uiPriority w:val="99"/>
    <w:semiHidden/>
    <w:rsid w:val="008D5797"/>
    <w:rPr>
      <w:rFonts w:eastAsiaTheme="minorEastAsia"/>
      <w:sz w:val="24"/>
      <w:szCs w:val="24"/>
    </w:rPr>
  </w:style>
  <w:style w:type="character" w:styleId="FootnoteReference">
    <w:name w:val="footnote reference"/>
    <w:basedOn w:val="DefaultParagraphFont"/>
    <w:uiPriority w:val="99"/>
    <w:semiHidden/>
    <w:unhideWhenUsed/>
    <w:rsid w:val="008D5797"/>
    <w:rPr>
      <w:vertAlign w:val="superscript"/>
    </w:rPr>
  </w:style>
  <w:style w:type="character" w:customStyle="1" w:styleId="nickname">
    <w:name w:val="nickname"/>
    <w:basedOn w:val="DefaultParagraphFont"/>
    <w:rsid w:val="00794197"/>
  </w:style>
  <w:style w:type="table" w:styleId="TableGrid">
    <w:name w:val="Table Grid"/>
    <w:basedOn w:val="TableNormal"/>
    <w:uiPriority w:val="39"/>
    <w:rsid w:val="00794197"/>
    <w:pPr>
      <w:spacing w:after="0" w:line="240" w:lineRule="auto"/>
    </w:pPr>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4732BD"/>
    <w:pPr>
      <w:ind w:left="720"/>
      <w:contextualSpacing/>
    </w:pPr>
  </w:style>
  <w:style w:type="paragraph" w:styleId="Header">
    <w:name w:val="header"/>
    <w:basedOn w:val="Normal"/>
    <w:link w:val="HeaderChar"/>
    <w:uiPriority w:val="99"/>
    <w:unhideWhenUsed/>
    <w:rsid w:val="00CC13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399"/>
  </w:style>
  <w:style w:type="paragraph" w:styleId="Footer">
    <w:name w:val="footer"/>
    <w:basedOn w:val="Normal"/>
    <w:link w:val="FooterChar"/>
    <w:uiPriority w:val="99"/>
    <w:unhideWhenUsed/>
    <w:rsid w:val="00CC13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399"/>
  </w:style>
  <w:style w:type="paragraph" w:styleId="BalloonText">
    <w:name w:val="Balloon Text"/>
    <w:basedOn w:val="Normal"/>
    <w:link w:val="BalloonTextChar"/>
    <w:uiPriority w:val="99"/>
    <w:semiHidden/>
    <w:unhideWhenUsed/>
    <w:rsid w:val="000901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1E0"/>
    <w:rPr>
      <w:rFonts w:ascii="Segoe UI" w:hAnsi="Segoe UI" w:cs="Segoe UI"/>
      <w:sz w:val="18"/>
      <w:szCs w:val="18"/>
    </w:rPr>
  </w:style>
  <w:style w:type="paragraph" w:styleId="BodyText">
    <w:name w:val="Body Text"/>
    <w:basedOn w:val="Normal"/>
    <w:link w:val="BodyTextChar"/>
    <w:uiPriority w:val="1"/>
    <w:qFormat/>
    <w:rsid w:val="002D4AAE"/>
    <w:pPr>
      <w:widowControl w:val="0"/>
      <w:spacing w:after="0" w:line="240" w:lineRule="auto"/>
    </w:pPr>
    <w:rPr>
      <w:rFonts w:ascii="Cambria" w:eastAsia="Cambria" w:hAnsi="Cambria" w:cs="Cambria"/>
    </w:rPr>
  </w:style>
  <w:style w:type="character" w:customStyle="1" w:styleId="BodyTextChar">
    <w:name w:val="Body Text Char"/>
    <w:basedOn w:val="DefaultParagraphFont"/>
    <w:link w:val="BodyText"/>
    <w:uiPriority w:val="1"/>
    <w:rsid w:val="002D4AAE"/>
    <w:rPr>
      <w:rFonts w:ascii="Cambria" w:eastAsia="Cambria" w:hAnsi="Cambria" w:cs="Cambria"/>
    </w:rPr>
  </w:style>
  <w:style w:type="paragraph" w:styleId="NoSpacing">
    <w:name w:val="No Spacing"/>
    <w:uiPriority w:val="1"/>
    <w:qFormat/>
    <w:rsid w:val="002D4AAE"/>
    <w:pPr>
      <w:spacing w:after="0" w:line="240" w:lineRule="auto"/>
    </w:pPr>
  </w:style>
  <w:style w:type="character" w:styleId="CommentReference">
    <w:name w:val="annotation reference"/>
    <w:basedOn w:val="DefaultParagraphFont"/>
    <w:uiPriority w:val="99"/>
    <w:semiHidden/>
    <w:unhideWhenUsed/>
    <w:rsid w:val="00692C47"/>
    <w:rPr>
      <w:sz w:val="16"/>
      <w:szCs w:val="16"/>
    </w:rPr>
  </w:style>
  <w:style w:type="paragraph" w:styleId="CommentText">
    <w:name w:val="annotation text"/>
    <w:basedOn w:val="Normal"/>
    <w:link w:val="CommentTextChar"/>
    <w:uiPriority w:val="99"/>
    <w:semiHidden/>
    <w:unhideWhenUsed/>
    <w:rsid w:val="00692C47"/>
    <w:pPr>
      <w:spacing w:line="240" w:lineRule="auto"/>
    </w:pPr>
    <w:rPr>
      <w:sz w:val="20"/>
      <w:szCs w:val="20"/>
    </w:rPr>
  </w:style>
  <w:style w:type="character" w:customStyle="1" w:styleId="CommentTextChar">
    <w:name w:val="Comment Text Char"/>
    <w:basedOn w:val="DefaultParagraphFont"/>
    <w:link w:val="CommentText"/>
    <w:uiPriority w:val="99"/>
    <w:semiHidden/>
    <w:rsid w:val="00692C47"/>
    <w:rPr>
      <w:sz w:val="20"/>
      <w:szCs w:val="20"/>
    </w:rPr>
  </w:style>
  <w:style w:type="paragraph" w:styleId="CommentSubject">
    <w:name w:val="annotation subject"/>
    <w:basedOn w:val="CommentText"/>
    <w:next w:val="CommentText"/>
    <w:link w:val="CommentSubjectChar"/>
    <w:uiPriority w:val="99"/>
    <w:semiHidden/>
    <w:unhideWhenUsed/>
    <w:rsid w:val="00692C47"/>
    <w:rPr>
      <w:b/>
      <w:bCs/>
    </w:rPr>
  </w:style>
  <w:style w:type="character" w:customStyle="1" w:styleId="CommentSubjectChar">
    <w:name w:val="Comment Subject Char"/>
    <w:basedOn w:val="CommentTextChar"/>
    <w:link w:val="CommentSubject"/>
    <w:uiPriority w:val="99"/>
    <w:semiHidden/>
    <w:rsid w:val="00692C47"/>
    <w:rPr>
      <w:b/>
      <w:bCs/>
      <w:sz w:val="20"/>
      <w:szCs w:val="20"/>
    </w:rPr>
  </w:style>
  <w:style w:type="character" w:customStyle="1" w:styleId="Heading1Char">
    <w:name w:val="Heading 1 Char"/>
    <w:basedOn w:val="DefaultParagraphFont"/>
    <w:link w:val="Heading1"/>
    <w:uiPriority w:val="1"/>
    <w:rsid w:val="000C0870"/>
    <w:rPr>
      <w:rFonts w:ascii="Cambria" w:eastAsia="Cambria" w:hAnsi="Cambria" w:cs="Cambria"/>
      <w:b/>
      <w:bCs/>
      <w:sz w:val="24"/>
      <w:szCs w:val="24"/>
    </w:rPr>
  </w:style>
  <w:style w:type="character" w:customStyle="1" w:styleId="Heading2Char">
    <w:name w:val="Heading 2 Char"/>
    <w:basedOn w:val="DefaultParagraphFont"/>
    <w:link w:val="Heading2"/>
    <w:uiPriority w:val="1"/>
    <w:rsid w:val="000C0870"/>
    <w:rPr>
      <w:rFonts w:ascii="Cambria" w:eastAsia="Cambria" w:hAnsi="Cambria" w:cs="Cambria"/>
      <w:b/>
      <w:bCs/>
      <w:sz w:val="21"/>
      <w:szCs w:val="21"/>
    </w:rPr>
  </w:style>
  <w:style w:type="character" w:customStyle="1" w:styleId="UnresolvedMention">
    <w:name w:val="Unresolved Mention"/>
    <w:basedOn w:val="DefaultParagraphFont"/>
    <w:uiPriority w:val="99"/>
    <w:semiHidden/>
    <w:unhideWhenUsed/>
    <w:rsid w:val="0048365E"/>
    <w:rPr>
      <w:color w:val="605E5C"/>
      <w:shd w:val="clear" w:color="auto" w:fill="E1DFDD"/>
    </w:rPr>
  </w:style>
  <w:style w:type="character" w:styleId="Emphasis">
    <w:name w:val="Emphasis"/>
    <w:basedOn w:val="DefaultParagraphFont"/>
    <w:uiPriority w:val="20"/>
    <w:qFormat/>
    <w:rsid w:val="00937EB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65237">
      <w:bodyDiv w:val="1"/>
      <w:marLeft w:val="0"/>
      <w:marRight w:val="0"/>
      <w:marTop w:val="0"/>
      <w:marBottom w:val="0"/>
      <w:divBdr>
        <w:top w:val="none" w:sz="0" w:space="0" w:color="auto"/>
        <w:left w:val="none" w:sz="0" w:space="0" w:color="auto"/>
        <w:bottom w:val="none" w:sz="0" w:space="0" w:color="auto"/>
        <w:right w:val="none" w:sz="0" w:space="0" w:color="auto"/>
      </w:divBdr>
      <w:divsChild>
        <w:div w:id="460731480">
          <w:marLeft w:val="0"/>
          <w:marRight w:val="0"/>
          <w:marTop w:val="0"/>
          <w:marBottom w:val="0"/>
          <w:divBdr>
            <w:top w:val="none" w:sz="0" w:space="0" w:color="auto"/>
            <w:left w:val="none" w:sz="0" w:space="0" w:color="auto"/>
            <w:bottom w:val="none" w:sz="0" w:space="0" w:color="auto"/>
            <w:right w:val="none" w:sz="0" w:space="0" w:color="auto"/>
          </w:divBdr>
          <w:divsChild>
            <w:div w:id="1792048251">
              <w:marLeft w:val="0"/>
              <w:marRight w:val="0"/>
              <w:marTop w:val="0"/>
              <w:marBottom w:val="0"/>
              <w:divBdr>
                <w:top w:val="none" w:sz="0" w:space="0" w:color="auto"/>
                <w:left w:val="none" w:sz="0" w:space="0" w:color="auto"/>
                <w:bottom w:val="none" w:sz="0" w:space="0" w:color="auto"/>
                <w:right w:val="none" w:sz="0" w:space="0" w:color="auto"/>
              </w:divBdr>
              <w:divsChild>
                <w:div w:id="200744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41299">
          <w:marLeft w:val="0"/>
          <w:marRight w:val="0"/>
          <w:marTop w:val="0"/>
          <w:marBottom w:val="0"/>
          <w:divBdr>
            <w:top w:val="none" w:sz="0" w:space="0" w:color="auto"/>
            <w:left w:val="none" w:sz="0" w:space="0" w:color="auto"/>
            <w:bottom w:val="none" w:sz="0" w:space="0" w:color="auto"/>
            <w:right w:val="none" w:sz="0" w:space="0" w:color="auto"/>
          </w:divBdr>
          <w:divsChild>
            <w:div w:id="465897199">
              <w:marLeft w:val="0"/>
              <w:marRight w:val="0"/>
              <w:marTop w:val="0"/>
              <w:marBottom w:val="0"/>
              <w:divBdr>
                <w:top w:val="none" w:sz="0" w:space="0" w:color="auto"/>
                <w:left w:val="none" w:sz="0" w:space="0" w:color="auto"/>
                <w:bottom w:val="none" w:sz="0" w:space="0" w:color="auto"/>
                <w:right w:val="none" w:sz="0" w:space="0" w:color="auto"/>
              </w:divBdr>
              <w:divsChild>
                <w:div w:id="83395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853844">
      <w:bodyDiv w:val="1"/>
      <w:marLeft w:val="0"/>
      <w:marRight w:val="0"/>
      <w:marTop w:val="0"/>
      <w:marBottom w:val="0"/>
      <w:divBdr>
        <w:top w:val="none" w:sz="0" w:space="0" w:color="auto"/>
        <w:left w:val="none" w:sz="0" w:space="0" w:color="auto"/>
        <w:bottom w:val="none" w:sz="0" w:space="0" w:color="auto"/>
        <w:right w:val="none" w:sz="0" w:space="0" w:color="auto"/>
      </w:divBdr>
    </w:div>
    <w:div w:id="950938966">
      <w:bodyDiv w:val="1"/>
      <w:marLeft w:val="0"/>
      <w:marRight w:val="0"/>
      <w:marTop w:val="0"/>
      <w:marBottom w:val="0"/>
      <w:divBdr>
        <w:top w:val="none" w:sz="0" w:space="0" w:color="auto"/>
        <w:left w:val="none" w:sz="0" w:space="0" w:color="auto"/>
        <w:bottom w:val="none" w:sz="0" w:space="0" w:color="auto"/>
        <w:right w:val="none" w:sz="0" w:space="0" w:color="auto"/>
      </w:divBdr>
    </w:div>
    <w:div w:id="1268737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ewatch.org/analyses/no-171-fafp-report.pdf" TargetMode="External"/><Relationship Id="rId5" Type="http://schemas.openxmlformats.org/officeDocument/2006/relationships/webSettings" Target="webSettings.xml"/><Relationship Id="rId10" Type="http://schemas.openxmlformats.org/officeDocument/2006/relationships/hyperlink" Target="http://www.fatfplatform.org"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charityandsecurity.org/system/files/FATF_KSA_CSN_Comments2017.pdf" TargetMode="External"/><Relationship Id="rId3" Type="http://schemas.openxmlformats.org/officeDocument/2006/relationships/hyperlink" Target="http://www.fatf-gafi.org/about/membersandobservers/" TargetMode="External"/><Relationship Id="rId7" Type="http://schemas.openxmlformats.org/officeDocument/2006/relationships/hyperlink" Target="http://www.fatf-gafi.org/publications/mutualevaluations/documents/fatfissuesnewmechanismtostrengthenmoneylaunderingandterroristfinancingcompliance.html" TargetMode="External"/><Relationship Id="rId2" Type="http://schemas.openxmlformats.org/officeDocument/2006/relationships/hyperlink" Target="http://ecnl.org/wp-content/uploads/2016/10/ECNL-Briefer-Change-of-the-Global-CT-Policies-that-Impact-Civic-Space-July-2016.pdf" TargetMode="External"/><Relationship Id="rId1" Type="http://schemas.openxmlformats.org/officeDocument/2006/relationships/hyperlink" Target="https://www.fatf-gafi.org/publications/fatfgeneral/documents/private-sector-may-2019.html" TargetMode="External"/><Relationship Id="rId6" Type="http://schemas.openxmlformats.org/officeDocument/2006/relationships/hyperlink" Target="http://freeassembly.net/wp-content/uploads/2014/10/Multilaterals-report-ENG.pdf" TargetMode="External"/><Relationship Id="rId5" Type="http://schemas.openxmlformats.org/officeDocument/2006/relationships/hyperlink" Target="http://www.charityandsecurity.org/sites/default/files/files/BPP%20Joint%20Comments%20April%2024(1).pdf" TargetMode="External"/><Relationship Id="rId4" Type="http://schemas.openxmlformats.org/officeDocument/2006/relationships/hyperlink" Target="http://www.statewatch.org/analyses/no-171-fafp-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44ABF08-1B22-4256-9835-F72EBE499DC8}">
  <ds:schemaRefs>
    <ds:schemaRef ds:uri="http://schemas.openxmlformats.org/officeDocument/2006/bibliography"/>
  </ds:schemaRefs>
</ds:datastoreItem>
</file>

<file path=customXml/itemProps2.xml><?xml version="1.0" encoding="utf-8"?>
<ds:datastoreItem xmlns:ds="http://schemas.openxmlformats.org/officeDocument/2006/customXml" ds:itemID="{7B9560F7-264E-4AF0-8481-5A79C9095A40}"/>
</file>

<file path=customXml/itemProps3.xml><?xml version="1.0" encoding="utf-8"?>
<ds:datastoreItem xmlns:ds="http://schemas.openxmlformats.org/officeDocument/2006/customXml" ds:itemID="{A085C117-2A02-4402-A2F1-8EBC7AC3C2A1}"/>
</file>

<file path=customXml/itemProps4.xml><?xml version="1.0" encoding="utf-8"?>
<ds:datastoreItem xmlns:ds="http://schemas.openxmlformats.org/officeDocument/2006/customXml" ds:itemID="{198CBEA3-5212-4E08-A0A2-9B0692593043}"/>
</file>

<file path=docProps/app.xml><?xml version="1.0" encoding="utf-8"?>
<Properties xmlns="http://schemas.openxmlformats.org/officeDocument/2006/extended-properties" xmlns:vt="http://schemas.openxmlformats.org/officeDocument/2006/docPropsVTypes">
  <Template>Normal.dotm</Template>
  <TotalTime>0</TotalTime>
  <Pages>7</Pages>
  <Words>3102</Words>
  <Characters>17683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Guinane</dc:creator>
  <cp:keywords/>
  <dc:description/>
  <cp:lastModifiedBy>USER</cp:lastModifiedBy>
  <cp:revision>2</cp:revision>
  <cp:lastPrinted>2019-06-30T14:23:00Z</cp:lastPrinted>
  <dcterms:created xsi:type="dcterms:W3CDTF">2019-07-01T00:25:00Z</dcterms:created>
  <dcterms:modified xsi:type="dcterms:W3CDTF">2019-07-01T00:25:00Z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