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DBE" w:rsidRDefault="00BA6DBE" w:rsidP="00BA6DBE">
      <w:pPr>
        <w:spacing w:after="0" w:line="360" w:lineRule="auto"/>
        <w:jc w:val="center"/>
        <w:rPr>
          <w:rFonts w:ascii="Bookman Old Style" w:hAnsi="Bookman Old Style" w:cs="Times New Roman"/>
          <w:b/>
          <w:sz w:val="24"/>
          <w:szCs w:val="24"/>
          <w:lang w:val="en-US"/>
        </w:rPr>
      </w:pPr>
      <w:r>
        <w:rPr>
          <w:rFonts w:ascii="Bookman Old Style" w:hAnsi="Bookman Old Style" w:cs="Times New Roman"/>
          <w:b/>
          <w:sz w:val="24"/>
          <w:szCs w:val="24"/>
          <w:lang w:val="en-US"/>
        </w:rPr>
        <w:t>CONTRIBUCIONES</w:t>
      </w:r>
    </w:p>
    <w:p w:rsidR="00FD57A0" w:rsidRPr="00BA6DBE" w:rsidRDefault="00FD57A0" w:rsidP="00BA6DBE">
      <w:pPr>
        <w:spacing w:after="0" w:line="360" w:lineRule="auto"/>
        <w:jc w:val="center"/>
        <w:rPr>
          <w:rFonts w:ascii="Bookman Old Style" w:hAnsi="Bookman Old Style" w:cs="Times New Roman"/>
          <w:b/>
          <w:sz w:val="24"/>
          <w:szCs w:val="24"/>
          <w:lang w:val="en-US"/>
        </w:rPr>
      </w:pPr>
      <w:r w:rsidRPr="00BA6DBE">
        <w:rPr>
          <w:rFonts w:ascii="Bookman Old Style" w:hAnsi="Bookman Old Style" w:cs="Times New Roman"/>
          <w:b/>
          <w:sz w:val="24"/>
          <w:szCs w:val="24"/>
          <w:lang w:val="en-US"/>
        </w:rPr>
        <w:t>“Submission for SRCT report on soft law”</w:t>
      </w:r>
    </w:p>
    <w:p w:rsidR="00C04E74" w:rsidRPr="00BA6DBE" w:rsidRDefault="00C04E74" w:rsidP="00BA6DBE">
      <w:pPr>
        <w:pStyle w:val="Sinespaciado"/>
      </w:pPr>
    </w:p>
    <w:p w:rsidR="00F02992" w:rsidRPr="00BA6DBE" w:rsidRDefault="00FE1645" w:rsidP="00BA6DBE">
      <w:pPr>
        <w:pStyle w:val="Prrafodelista"/>
        <w:numPr>
          <w:ilvl w:val="0"/>
          <w:numId w:val="19"/>
        </w:numPr>
        <w:spacing w:after="0" w:line="360" w:lineRule="auto"/>
        <w:jc w:val="both"/>
        <w:rPr>
          <w:rFonts w:ascii="Bookman Old Style" w:hAnsi="Bookman Old Style" w:cs="Times New Roman"/>
          <w:b/>
          <w:sz w:val="24"/>
          <w:szCs w:val="24"/>
        </w:rPr>
      </w:pPr>
      <w:r w:rsidRPr="00BA6DBE">
        <w:rPr>
          <w:rFonts w:ascii="Bookman Old Style" w:hAnsi="Bookman Old Style" w:cs="Times New Roman"/>
          <w:b/>
          <w:sz w:val="24"/>
          <w:szCs w:val="24"/>
        </w:rPr>
        <w:t xml:space="preserve">Sobre el </w:t>
      </w:r>
      <w:r w:rsidR="00C84B10" w:rsidRPr="00BA6DBE">
        <w:rPr>
          <w:rFonts w:ascii="Bookman Old Style" w:hAnsi="Bookman Old Style" w:cs="Times New Roman"/>
          <w:b/>
          <w:sz w:val="24"/>
          <w:szCs w:val="24"/>
        </w:rPr>
        <w:t>C</w:t>
      </w:r>
      <w:r w:rsidRPr="00BA6DBE">
        <w:rPr>
          <w:rFonts w:ascii="Bookman Old Style" w:hAnsi="Bookman Old Style" w:cs="Times New Roman"/>
          <w:b/>
          <w:sz w:val="24"/>
          <w:szCs w:val="24"/>
        </w:rPr>
        <w:t xml:space="preserve">ontexto del </w:t>
      </w:r>
      <w:r w:rsidR="00C84B10" w:rsidRPr="00BA6DBE">
        <w:rPr>
          <w:rFonts w:ascii="Bookman Old Style" w:hAnsi="Bookman Old Style" w:cs="Times New Roman"/>
          <w:b/>
          <w:sz w:val="24"/>
          <w:szCs w:val="24"/>
        </w:rPr>
        <w:t>T</w:t>
      </w:r>
      <w:r w:rsidRPr="00BA6DBE">
        <w:rPr>
          <w:rFonts w:ascii="Bookman Old Style" w:hAnsi="Bookman Old Style" w:cs="Times New Roman"/>
          <w:b/>
          <w:sz w:val="24"/>
          <w:szCs w:val="24"/>
        </w:rPr>
        <w:t>errorismo y Derechos Humanos</w:t>
      </w:r>
      <w:r w:rsidR="00C84B10" w:rsidRPr="00BA6DBE">
        <w:rPr>
          <w:rFonts w:ascii="Bookman Old Style" w:hAnsi="Bookman Old Style" w:cs="Times New Roman"/>
          <w:b/>
          <w:sz w:val="24"/>
          <w:szCs w:val="24"/>
        </w:rPr>
        <w:t xml:space="preserve"> en Honduras</w:t>
      </w:r>
      <w:r w:rsidR="00FD57A0" w:rsidRPr="00BA6DBE">
        <w:rPr>
          <w:rFonts w:ascii="Bookman Old Style" w:hAnsi="Bookman Old Style" w:cs="Times New Roman"/>
          <w:b/>
          <w:sz w:val="24"/>
          <w:szCs w:val="24"/>
        </w:rPr>
        <w:t>.</w:t>
      </w:r>
    </w:p>
    <w:p w:rsidR="00F02992" w:rsidRPr="00BA6DBE" w:rsidRDefault="00F02992" w:rsidP="00BA6DBE">
      <w:pPr>
        <w:pStyle w:val="Sinespaciado"/>
      </w:pPr>
    </w:p>
    <w:p w:rsidR="00FE1645" w:rsidRPr="00BA6DBE" w:rsidRDefault="00C84B10" w:rsidP="00BA6DBE">
      <w:pPr>
        <w:pStyle w:val="Prrafodelista"/>
        <w:numPr>
          <w:ilvl w:val="0"/>
          <w:numId w:val="23"/>
        </w:numPr>
        <w:spacing w:after="0" w:line="360" w:lineRule="auto"/>
        <w:jc w:val="both"/>
        <w:rPr>
          <w:rFonts w:ascii="Bookman Old Style" w:hAnsi="Bookman Old Style" w:cs="Times New Roman"/>
          <w:b/>
          <w:sz w:val="24"/>
          <w:szCs w:val="24"/>
        </w:rPr>
      </w:pPr>
      <w:r w:rsidRPr="00BA6DBE">
        <w:rPr>
          <w:rFonts w:ascii="Bookman Old Style" w:hAnsi="Bookman Old Style" w:cs="Times New Roman"/>
          <w:sz w:val="24"/>
          <w:szCs w:val="24"/>
        </w:rPr>
        <w:t>Es oportuno mencionar</w:t>
      </w:r>
      <w:r w:rsidR="00656941" w:rsidRPr="00BA6DBE">
        <w:rPr>
          <w:rFonts w:ascii="Bookman Old Style" w:hAnsi="Bookman Old Style" w:cs="Times New Roman"/>
          <w:sz w:val="24"/>
          <w:szCs w:val="24"/>
        </w:rPr>
        <w:t xml:space="preserve"> a manera de contexto que Honduras, no es un Estado por el </w:t>
      </w:r>
      <w:r w:rsidR="00F02992" w:rsidRPr="00BA6DBE">
        <w:rPr>
          <w:rFonts w:ascii="Bookman Old Style" w:hAnsi="Bookman Old Style" w:cs="Times New Roman"/>
          <w:sz w:val="24"/>
          <w:szCs w:val="24"/>
        </w:rPr>
        <w:t xml:space="preserve">que enfrenta </w:t>
      </w:r>
      <w:r w:rsidR="00BA6DBE" w:rsidRPr="00BA6DBE">
        <w:rPr>
          <w:rFonts w:ascii="Bookman Old Style" w:hAnsi="Bookman Old Style" w:cs="Times New Roman"/>
          <w:sz w:val="24"/>
          <w:szCs w:val="24"/>
        </w:rPr>
        <w:t>problemas graves</w:t>
      </w:r>
      <w:r w:rsidR="00F02992" w:rsidRPr="00BA6DBE">
        <w:rPr>
          <w:rFonts w:ascii="Bookman Old Style" w:hAnsi="Bookman Old Style" w:cs="Times New Roman"/>
          <w:sz w:val="24"/>
          <w:szCs w:val="24"/>
        </w:rPr>
        <w:t xml:space="preserve"> por </w:t>
      </w:r>
      <w:r w:rsidR="00656941" w:rsidRPr="00BA6DBE">
        <w:rPr>
          <w:rFonts w:ascii="Bookman Old Style" w:hAnsi="Bookman Old Style" w:cs="Times New Roman"/>
          <w:sz w:val="24"/>
          <w:szCs w:val="24"/>
        </w:rPr>
        <w:t xml:space="preserve">actos de terrorismo y a su vez no son acciones frecuentes dentro de su territorio. Pero </w:t>
      </w:r>
      <w:r w:rsidR="00F17F04" w:rsidRPr="00BA6DBE">
        <w:rPr>
          <w:rFonts w:ascii="Bookman Old Style" w:hAnsi="Bookman Old Style" w:cs="Times New Roman"/>
          <w:sz w:val="24"/>
          <w:szCs w:val="24"/>
        </w:rPr>
        <w:t xml:space="preserve">ante </w:t>
      </w:r>
      <w:r w:rsidR="00656941" w:rsidRPr="00BA6DBE">
        <w:rPr>
          <w:rFonts w:ascii="Bookman Old Style" w:hAnsi="Bookman Old Style" w:cs="Times New Roman"/>
          <w:sz w:val="24"/>
          <w:szCs w:val="24"/>
        </w:rPr>
        <w:t xml:space="preserve">un escenario de </w:t>
      </w:r>
      <w:r w:rsidR="00F17F04" w:rsidRPr="00BA6DBE">
        <w:rPr>
          <w:rFonts w:ascii="Bookman Old Style" w:hAnsi="Bookman Old Style" w:cs="Times New Roman"/>
          <w:sz w:val="24"/>
          <w:szCs w:val="24"/>
        </w:rPr>
        <w:t xml:space="preserve">prácticamente </w:t>
      </w:r>
      <w:r w:rsidR="00656941" w:rsidRPr="00BA6DBE">
        <w:rPr>
          <w:rFonts w:ascii="Bookman Old Style" w:hAnsi="Bookman Old Style" w:cs="Times New Roman"/>
          <w:sz w:val="24"/>
          <w:szCs w:val="24"/>
        </w:rPr>
        <w:t>inexistencia del terrorismo, Honduras ha realizado acciones previendo situaciones de esta naturaleza y es por ello, que como acciones preventivas</w:t>
      </w:r>
      <w:r w:rsidR="00F02992" w:rsidRPr="00BA6DBE">
        <w:rPr>
          <w:rFonts w:ascii="Bookman Old Style" w:hAnsi="Bookman Old Style" w:cs="Times New Roman"/>
          <w:sz w:val="24"/>
          <w:szCs w:val="24"/>
        </w:rPr>
        <w:t>,</w:t>
      </w:r>
      <w:r w:rsidR="00656941" w:rsidRPr="00BA6DBE">
        <w:rPr>
          <w:rFonts w:ascii="Bookman Old Style" w:hAnsi="Bookman Old Style" w:cs="Times New Roman"/>
          <w:sz w:val="24"/>
          <w:szCs w:val="24"/>
        </w:rPr>
        <w:t xml:space="preserve"> el Estado de Honduras cuenta con la </w:t>
      </w:r>
      <w:r w:rsidR="00F17F04" w:rsidRPr="00BA6DBE">
        <w:rPr>
          <w:rFonts w:ascii="Bookman Old Style" w:hAnsi="Bookman Old Style" w:cs="Times New Roman"/>
          <w:sz w:val="24"/>
          <w:szCs w:val="24"/>
        </w:rPr>
        <w:t xml:space="preserve">a) </w:t>
      </w:r>
      <w:r w:rsidR="00656941" w:rsidRPr="00BA6DBE">
        <w:rPr>
          <w:rFonts w:ascii="Bookman Old Style" w:hAnsi="Bookman Old Style" w:cs="Times New Roman"/>
          <w:b/>
          <w:bCs/>
          <w:sz w:val="24"/>
          <w:szCs w:val="24"/>
        </w:rPr>
        <w:t>Ley contra el Financiamiento del Terrorismo</w:t>
      </w:r>
      <w:r w:rsidR="00F17F04" w:rsidRPr="00BA6DBE">
        <w:rPr>
          <w:rStyle w:val="Refdenotaalpie"/>
          <w:rFonts w:ascii="Bookman Old Style" w:hAnsi="Bookman Old Style" w:cs="Times New Roman"/>
          <w:b/>
          <w:bCs/>
          <w:sz w:val="24"/>
          <w:szCs w:val="24"/>
        </w:rPr>
        <w:footnoteReference w:id="1"/>
      </w:r>
      <w:r w:rsidR="00656941" w:rsidRPr="00BA6DBE">
        <w:rPr>
          <w:rFonts w:ascii="Bookman Old Style" w:hAnsi="Bookman Old Style" w:cs="Times New Roman"/>
          <w:sz w:val="24"/>
          <w:szCs w:val="24"/>
        </w:rPr>
        <w:t xml:space="preserve"> que tiene como finalidad establecer las medidas de prevención, localización, represión y control de las actividades orientadas al terrorismo, fijar las medidas precautorias o su decomiso o comiso, sobre activos o fondos, que pertenezcan a personas u organizaciones vinculadas con actos o actividades terroristas, la aplicación de las disposiciones contenidas en el Convenio Internacional para la represión de la Financiación del Terrorismo de 1999, la resolución 1373  de 201 del Consejo de Seguridad de Naciones Unidas, así como otros convenios, convenciones o instrumentos internacionales ratificados por Honduras y resoluciones del Consejo de Seguridad; b)</w:t>
      </w:r>
      <w:r w:rsidR="00F17F04" w:rsidRPr="00BA6DBE">
        <w:rPr>
          <w:rFonts w:ascii="Bookman Old Style" w:hAnsi="Bookman Old Style" w:cs="Times New Roman"/>
          <w:sz w:val="24"/>
          <w:szCs w:val="24"/>
        </w:rPr>
        <w:t xml:space="preserve"> </w:t>
      </w:r>
      <w:r w:rsidR="00F17F04" w:rsidRPr="00BA6DBE">
        <w:rPr>
          <w:rFonts w:ascii="Bookman Old Style" w:hAnsi="Bookman Old Style" w:cs="Times New Roman"/>
          <w:b/>
          <w:bCs/>
          <w:sz w:val="24"/>
          <w:szCs w:val="24"/>
        </w:rPr>
        <w:t xml:space="preserve">Reglamento </w:t>
      </w:r>
      <w:r w:rsidR="00F17F04" w:rsidRPr="00BA6DBE">
        <w:rPr>
          <w:rFonts w:ascii="Bookman Old Style" w:hAnsi="Bookman Old Style" w:cs="Times New Roman"/>
          <w:b/>
          <w:bCs/>
          <w:sz w:val="24"/>
          <w:szCs w:val="24"/>
        </w:rPr>
        <w:lastRenderedPageBreak/>
        <w:t>para la Prevención y Detección del Financiamiento Terrorismo</w:t>
      </w:r>
      <w:r w:rsidR="00F17F04" w:rsidRPr="00BA6DBE">
        <w:rPr>
          <w:rStyle w:val="Refdenotaalpie"/>
          <w:rFonts w:ascii="Bookman Old Style" w:hAnsi="Bookman Old Style" w:cs="Times New Roman"/>
          <w:b/>
          <w:bCs/>
          <w:sz w:val="24"/>
          <w:szCs w:val="24"/>
        </w:rPr>
        <w:footnoteReference w:id="2"/>
      </w:r>
      <w:r w:rsidR="00F17F04" w:rsidRPr="00BA6DBE">
        <w:rPr>
          <w:rFonts w:ascii="Bookman Old Style" w:hAnsi="Bookman Old Style" w:cs="Times New Roman"/>
          <w:sz w:val="24"/>
          <w:szCs w:val="24"/>
        </w:rPr>
        <w:t xml:space="preserve">, que tiene como finalidad dar cumplimiento a la Ley contra el Financiamiento del Terrorismo respecto a establecer el régimen, obligaciones, políticas, medidas de control, vigilancia, medidas precautorias, procedimientos para identificar y congelar los activos terroristas y otros deberes acerca de las obligaciones que impone la Ley a los sujetos obligados; </w:t>
      </w:r>
      <w:r w:rsidR="00656941" w:rsidRPr="00BA6DBE">
        <w:rPr>
          <w:rFonts w:ascii="Bookman Old Style" w:hAnsi="Bookman Old Style" w:cs="Times New Roman"/>
          <w:sz w:val="24"/>
          <w:szCs w:val="24"/>
        </w:rPr>
        <w:t xml:space="preserve"> </w:t>
      </w:r>
      <w:r w:rsidR="00F17F04" w:rsidRPr="00BA6DBE">
        <w:rPr>
          <w:rFonts w:ascii="Bookman Old Style" w:hAnsi="Bookman Old Style" w:cs="Times New Roman"/>
          <w:sz w:val="24"/>
          <w:szCs w:val="24"/>
        </w:rPr>
        <w:t xml:space="preserve">c) </w:t>
      </w:r>
      <w:r w:rsidR="00656941" w:rsidRPr="00BA6DBE">
        <w:rPr>
          <w:rFonts w:ascii="Bookman Old Style" w:hAnsi="Bookman Old Style" w:cs="Times New Roman"/>
          <w:b/>
          <w:bCs/>
          <w:sz w:val="24"/>
          <w:szCs w:val="24"/>
        </w:rPr>
        <w:t>Ley para la Regulación de Actividades y Profesiones no Financieras Designadas</w:t>
      </w:r>
      <w:r w:rsidR="00656941" w:rsidRPr="00BA6DBE">
        <w:rPr>
          <w:rStyle w:val="Refdenotaalpie"/>
          <w:rFonts w:ascii="Bookman Old Style" w:hAnsi="Bookman Old Style" w:cs="Times New Roman"/>
          <w:sz w:val="24"/>
          <w:szCs w:val="24"/>
        </w:rPr>
        <w:footnoteReference w:id="3"/>
      </w:r>
      <w:r w:rsidR="00656941" w:rsidRPr="00BA6DBE">
        <w:rPr>
          <w:rFonts w:ascii="Bookman Old Style" w:hAnsi="Bookman Old Style" w:cs="Times New Roman"/>
          <w:sz w:val="24"/>
          <w:szCs w:val="24"/>
        </w:rPr>
        <w:t xml:space="preserve"> que  tiene como objetivo establecer las medidas que, de acuerdo al nivel de riesgo, deben implementar las personas naturales o jurídicas que se dediquen a Actividades y Profesiones Financieras No Designadas (APNFD) para prevenir ser utilizadas o participar directa o indirectamente en el delito de lavado de activos o financiamiento del terrorismo</w:t>
      </w:r>
      <w:r w:rsidR="00F17F04" w:rsidRPr="00BA6DBE">
        <w:rPr>
          <w:rFonts w:ascii="Bookman Old Style" w:hAnsi="Bookman Old Style" w:cs="Times New Roman"/>
          <w:sz w:val="24"/>
          <w:szCs w:val="24"/>
        </w:rPr>
        <w:t>.</w:t>
      </w:r>
      <w:r w:rsidR="005E1FD5" w:rsidRPr="00BA6DBE">
        <w:rPr>
          <w:rFonts w:ascii="Bookman Old Style" w:hAnsi="Bookman Old Style" w:cs="Times New Roman"/>
          <w:sz w:val="24"/>
          <w:szCs w:val="24"/>
        </w:rPr>
        <w:t xml:space="preserve"> Di</w:t>
      </w:r>
      <w:r w:rsidR="00F02992" w:rsidRPr="00BA6DBE">
        <w:rPr>
          <w:rFonts w:ascii="Bookman Old Style" w:hAnsi="Bookman Old Style" w:cs="Times New Roman"/>
          <w:sz w:val="24"/>
          <w:szCs w:val="24"/>
        </w:rPr>
        <w:t xml:space="preserve">chas acciones están en </w:t>
      </w:r>
      <w:r w:rsidR="00BA6DBE" w:rsidRPr="00BA6DBE">
        <w:rPr>
          <w:rFonts w:ascii="Bookman Old Style" w:hAnsi="Bookman Old Style" w:cs="Times New Roman"/>
          <w:sz w:val="24"/>
          <w:szCs w:val="24"/>
        </w:rPr>
        <w:t>sintonía con</w:t>
      </w:r>
      <w:r w:rsidR="005E1FD5" w:rsidRPr="00BA6DBE">
        <w:rPr>
          <w:rFonts w:ascii="Bookman Old Style" w:hAnsi="Bookman Old Style" w:cs="Times New Roman"/>
          <w:sz w:val="24"/>
          <w:szCs w:val="24"/>
        </w:rPr>
        <w:t xml:space="preserve"> lo establecido por la</w:t>
      </w:r>
      <w:r w:rsidRPr="00BA6DBE">
        <w:rPr>
          <w:rFonts w:ascii="Bookman Old Style" w:hAnsi="Bookman Old Style" w:cs="Times New Roman"/>
          <w:sz w:val="24"/>
          <w:szCs w:val="24"/>
        </w:rPr>
        <w:t xml:space="preserve"> Comisión Interamericana de Derechos Humanos (CIDH)</w:t>
      </w:r>
      <w:r w:rsidR="005E1FD5" w:rsidRPr="00BA6DBE">
        <w:rPr>
          <w:rFonts w:ascii="Bookman Old Style" w:hAnsi="Bookman Old Style" w:cs="Times New Roman"/>
          <w:sz w:val="24"/>
          <w:szCs w:val="24"/>
        </w:rPr>
        <w:t xml:space="preserve"> mencionando que,</w:t>
      </w:r>
      <w:r w:rsidRPr="00BA6DBE">
        <w:rPr>
          <w:rFonts w:ascii="Bookman Old Style" w:hAnsi="Bookman Old Style" w:cs="Times New Roman"/>
          <w:sz w:val="24"/>
          <w:szCs w:val="24"/>
        </w:rPr>
        <w:t xml:space="preserve"> “las iniciativas contra el terrorismo se sustentan en el propósito de proteger los derechos fundamentales y la democracia, cuyo menoscabo y destrucción busca el terrorismo</w:t>
      </w:r>
      <w:r w:rsidRPr="00BA6DBE">
        <w:rPr>
          <w:rStyle w:val="Refdenotaalpie"/>
          <w:rFonts w:ascii="Bookman Old Style" w:hAnsi="Bookman Old Style" w:cs="Times New Roman"/>
          <w:sz w:val="24"/>
          <w:szCs w:val="24"/>
        </w:rPr>
        <w:footnoteReference w:id="4"/>
      </w:r>
      <w:r w:rsidR="00F02992" w:rsidRPr="00BA6DBE">
        <w:rPr>
          <w:rFonts w:ascii="Bookman Old Style" w:hAnsi="Bookman Old Style" w:cs="Times New Roman"/>
          <w:sz w:val="24"/>
          <w:szCs w:val="24"/>
        </w:rPr>
        <w:t>.”</w:t>
      </w:r>
    </w:p>
    <w:p w:rsidR="00D259B8" w:rsidRPr="00BA6DBE" w:rsidRDefault="00D259B8" w:rsidP="00BA6DBE">
      <w:pPr>
        <w:pStyle w:val="Prrafodelista"/>
        <w:spacing w:after="0" w:line="360" w:lineRule="auto"/>
        <w:jc w:val="both"/>
        <w:rPr>
          <w:rFonts w:ascii="Bookman Old Style" w:hAnsi="Bookman Old Style" w:cs="Times New Roman"/>
          <w:sz w:val="24"/>
          <w:szCs w:val="24"/>
        </w:rPr>
      </w:pPr>
    </w:p>
    <w:p w:rsidR="006E4FC4" w:rsidRPr="00BA6DBE" w:rsidRDefault="00F02992" w:rsidP="00BA6DBE">
      <w:pPr>
        <w:pStyle w:val="Prrafodelista"/>
        <w:numPr>
          <w:ilvl w:val="0"/>
          <w:numId w:val="23"/>
        </w:numPr>
        <w:spacing w:after="0" w:line="360" w:lineRule="auto"/>
        <w:jc w:val="both"/>
        <w:rPr>
          <w:rFonts w:ascii="Bookman Old Style" w:hAnsi="Bookman Old Style" w:cs="Times New Roman"/>
          <w:b/>
          <w:sz w:val="24"/>
          <w:szCs w:val="24"/>
        </w:rPr>
      </w:pPr>
      <w:r w:rsidRPr="00BA6DBE">
        <w:rPr>
          <w:rFonts w:ascii="Bookman Old Style" w:hAnsi="Bookman Old Style" w:cs="Times New Roman"/>
          <w:bCs/>
          <w:sz w:val="24"/>
          <w:szCs w:val="24"/>
        </w:rPr>
        <w:t xml:space="preserve">En relación al </w:t>
      </w:r>
      <w:r w:rsidR="00FE1645" w:rsidRPr="00BA6DBE">
        <w:rPr>
          <w:rFonts w:ascii="Bookman Old Style" w:hAnsi="Bookman Old Style" w:cs="Times New Roman"/>
          <w:bCs/>
          <w:sz w:val="24"/>
          <w:szCs w:val="24"/>
        </w:rPr>
        <w:t>Soft Law del S</w:t>
      </w:r>
      <w:r w:rsidR="005E1FD5" w:rsidRPr="00BA6DBE">
        <w:rPr>
          <w:rFonts w:ascii="Bookman Old Style" w:hAnsi="Bookman Old Style" w:cs="Times New Roman"/>
          <w:bCs/>
          <w:sz w:val="24"/>
          <w:szCs w:val="24"/>
        </w:rPr>
        <w:t>istema Interamericano de Derechos Humanos (SIDH)</w:t>
      </w:r>
      <w:r w:rsidR="00543828" w:rsidRPr="00BA6DBE">
        <w:rPr>
          <w:rFonts w:ascii="Bookman Old Style" w:hAnsi="Bookman Old Style" w:cs="Times New Roman"/>
          <w:sz w:val="24"/>
          <w:szCs w:val="24"/>
        </w:rPr>
        <w:t xml:space="preserve"> </w:t>
      </w:r>
      <w:r w:rsidRPr="00BA6DBE">
        <w:rPr>
          <w:rFonts w:ascii="Bookman Old Style" w:hAnsi="Bookman Old Style" w:cs="Times New Roman"/>
          <w:sz w:val="24"/>
          <w:szCs w:val="24"/>
        </w:rPr>
        <w:t>d</w:t>
      </w:r>
      <w:r w:rsidR="00C604E4" w:rsidRPr="00BA6DBE">
        <w:rPr>
          <w:rFonts w:ascii="Bookman Old Style" w:hAnsi="Bookman Old Style" w:cs="Times New Roman"/>
          <w:sz w:val="24"/>
          <w:szCs w:val="24"/>
        </w:rPr>
        <w:t xml:space="preserve">entro del andamiaje contra el terrorismo podemos mencionar que Honduras es parte de </w:t>
      </w:r>
      <w:r w:rsidR="00C604E4" w:rsidRPr="00BA6DBE">
        <w:rPr>
          <w:rFonts w:ascii="Bookman Old Style" w:hAnsi="Bookman Old Style" w:cs="Times New Roman"/>
          <w:b/>
          <w:bCs/>
          <w:sz w:val="24"/>
          <w:szCs w:val="24"/>
        </w:rPr>
        <w:t>Tratado Marco de Seguridad Democrática en Centroamérica</w:t>
      </w:r>
      <w:r w:rsidR="00C604E4" w:rsidRPr="00BA6DBE">
        <w:rPr>
          <w:rFonts w:ascii="Bookman Old Style" w:hAnsi="Bookman Old Style" w:cs="Times New Roman"/>
          <w:sz w:val="24"/>
          <w:szCs w:val="24"/>
        </w:rPr>
        <w:t xml:space="preserve">, suscrito por los Gobiernos de las Repúblicas de Costa Rica, El Salvador, Guatemala, Honduras, Nicaragua y Panamá en 1995, este instrumento tiene como propósito de contribuir a la consolidación de Centroamérica como Región de </w:t>
      </w:r>
      <w:r w:rsidR="00C604E4" w:rsidRPr="00BA6DBE">
        <w:rPr>
          <w:rFonts w:ascii="Bookman Old Style" w:hAnsi="Bookman Old Style" w:cs="Times New Roman"/>
          <w:sz w:val="24"/>
          <w:szCs w:val="24"/>
        </w:rPr>
        <w:lastRenderedPageBreak/>
        <w:t>Paz, Libertad, Democracia y Desarrollo, y es por ello que dentro de los objetivos en esta materia se establece;  “</w:t>
      </w:r>
      <w:r w:rsidR="00C604E4" w:rsidRPr="00BA6DBE">
        <w:rPr>
          <w:rFonts w:ascii="Bookman Old Style" w:hAnsi="Bookman Old Style" w:cs="Times New Roman"/>
          <w:i/>
          <w:iCs/>
          <w:sz w:val="24"/>
          <w:szCs w:val="24"/>
        </w:rPr>
        <w:t xml:space="preserve">fortalecer los mecanismos de coordinación operativa de las instituciones competentes, para hacer más efectiva la lucha, a nivel nacional y regional, contra la delincuencia y todas las amenazas a la seguridad democrática que requieran el uso de fuerzas militares, de seguridad o de policía civil, tales como el </w:t>
      </w:r>
      <w:r w:rsidR="00C604E4" w:rsidRPr="00BA6DBE">
        <w:rPr>
          <w:rFonts w:ascii="Bookman Old Style" w:hAnsi="Bookman Old Style" w:cs="Times New Roman"/>
          <w:b/>
          <w:bCs/>
          <w:i/>
          <w:iCs/>
          <w:sz w:val="24"/>
          <w:szCs w:val="24"/>
        </w:rPr>
        <w:t>terrorismo</w:t>
      </w:r>
      <w:r w:rsidR="00C604E4" w:rsidRPr="00BA6DBE">
        <w:rPr>
          <w:rFonts w:ascii="Bookman Old Style" w:hAnsi="Bookman Old Style" w:cs="Times New Roman"/>
          <w:i/>
          <w:iCs/>
          <w:sz w:val="24"/>
          <w:szCs w:val="24"/>
        </w:rPr>
        <w:t xml:space="preserve">, el tráfico ilícito de armas, la narcoactividad y el </w:t>
      </w:r>
      <w:r w:rsidR="00C604E4" w:rsidRPr="00BA6DBE">
        <w:rPr>
          <w:rFonts w:ascii="Bookman Old Style" w:hAnsi="Bookman Old Style" w:cs="Times New Roman"/>
          <w:b/>
          <w:bCs/>
          <w:i/>
          <w:iCs/>
          <w:sz w:val="24"/>
          <w:szCs w:val="24"/>
        </w:rPr>
        <w:t>crimen organizado</w:t>
      </w:r>
      <w:r w:rsidR="00C604E4" w:rsidRPr="00BA6DBE">
        <w:rPr>
          <w:rStyle w:val="Refdenotaalpie"/>
          <w:rFonts w:ascii="Bookman Old Style" w:hAnsi="Bookman Old Style" w:cs="Times New Roman"/>
          <w:b/>
          <w:bCs/>
          <w:i/>
          <w:iCs/>
          <w:sz w:val="24"/>
          <w:szCs w:val="24"/>
        </w:rPr>
        <w:footnoteReference w:id="5"/>
      </w:r>
      <w:r w:rsidR="00C604E4" w:rsidRPr="00BA6DBE">
        <w:rPr>
          <w:rFonts w:ascii="Bookman Old Style" w:hAnsi="Bookman Old Style" w:cs="Times New Roman"/>
          <w:i/>
          <w:iCs/>
          <w:sz w:val="24"/>
          <w:szCs w:val="24"/>
        </w:rPr>
        <w:t>”</w:t>
      </w:r>
      <w:r w:rsidR="00AB46DE" w:rsidRPr="00BA6DBE">
        <w:rPr>
          <w:rFonts w:ascii="Bookman Old Style" w:hAnsi="Bookman Old Style" w:cs="Times New Roman"/>
          <w:sz w:val="24"/>
          <w:szCs w:val="24"/>
        </w:rPr>
        <w:t xml:space="preserve">. </w:t>
      </w:r>
      <w:r w:rsidRPr="00BA6DBE">
        <w:rPr>
          <w:rFonts w:ascii="Bookman Old Style" w:hAnsi="Bookman Old Style" w:cs="Times New Roman"/>
          <w:sz w:val="24"/>
          <w:szCs w:val="24"/>
        </w:rPr>
        <w:t xml:space="preserve">No obstante </w:t>
      </w:r>
      <w:r w:rsidR="00AB46DE" w:rsidRPr="00BA6DBE">
        <w:rPr>
          <w:rFonts w:ascii="Bookman Old Style" w:hAnsi="Bookman Old Style" w:cs="Times New Roman"/>
          <w:sz w:val="24"/>
          <w:szCs w:val="24"/>
        </w:rPr>
        <w:t>Honduras consciente de la importancia de las disposiciones sustantivas de los instrumentos internacionales es parte de múltiples de ellos</w:t>
      </w:r>
      <w:r w:rsidR="00543828" w:rsidRPr="00BA6DBE">
        <w:rPr>
          <w:rFonts w:ascii="Bookman Old Style" w:hAnsi="Bookman Old Style" w:cs="Times New Roman"/>
          <w:sz w:val="24"/>
          <w:szCs w:val="24"/>
        </w:rPr>
        <w:t xml:space="preserve">, </w:t>
      </w:r>
      <w:r w:rsidRPr="00BA6DBE">
        <w:rPr>
          <w:rFonts w:ascii="Bookman Old Style" w:hAnsi="Bookman Old Style" w:cs="Times New Roman"/>
          <w:sz w:val="24"/>
          <w:szCs w:val="24"/>
        </w:rPr>
        <w:t xml:space="preserve">aunque estos no constituyan en si Soft Law como </w:t>
      </w:r>
      <w:r w:rsidR="00AB46DE" w:rsidRPr="00BA6DBE">
        <w:rPr>
          <w:rFonts w:ascii="Bookman Old Style" w:hAnsi="Bookman Old Style" w:cs="Times New Roman"/>
          <w:sz w:val="24"/>
          <w:szCs w:val="24"/>
        </w:rPr>
        <w:t xml:space="preserve">ser; la </w:t>
      </w:r>
      <w:r w:rsidR="00FD57A0" w:rsidRPr="00BA6DBE">
        <w:rPr>
          <w:rFonts w:ascii="Bookman Old Style" w:hAnsi="Bookman Old Style" w:cs="Times New Roman"/>
          <w:sz w:val="24"/>
          <w:szCs w:val="24"/>
        </w:rPr>
        <w:t xml:space="preserve">Convención </w:t>
      </w:r>
      <w:r w:rsidR="00FE1645" w:rsidRPr="00BA6DBE">
        <w:rPr>
          <w:rFonts w:ascii="Bookman Old Style" w:hAnsi="Bookman Old Style" w:cs="Times New Roman"/>
          <w:sz w:val="24"/>
          <w:szCs w:val="24"/>
        </w:rPr>
        <w:t>Interamericana sobre Terrorismo</w:t>
      </w:r>
      <w:r w:rsidR="00AB46DE" w:rsidRPr="00BA6DBE">
        <w:rPr>
          <w:rFonts w:ascii="Bookman Old Style" w:hAnsi="Bookman Old Style" w:cs="Times New Roman"/>
          <w:sz w:val="24"/>
          <w:szCs w:val="24"/>
        </w:rPr>
        <w:t xml:space="preserve">, </w:t>
      </w:r>
      <w:r w:rsidR="00A84E89" w:rsidRPr="00BA6DBE">
        <w:rPr>
          <w:rFonts w:ascii="Bookman Old Style" w:hAnsi="Bookman Old Style" w:cs="Times New Roman"/>
          <w:sz w:val="24"/>
          <w:szCs w:val="24"/>
        </w:rPr>
        <w:t>Convenio para la Represión de Actos Ilícitos contra la Seguridad de la Aviación Civil</w:t>
      </w:r>
      <w:r w:rsidR="00AB46DE" w:rsidRPr="00BA6DBE">
        <w:rPr>
          <w:rFonts w:ascii="Bookman Old Style" w:hAnsi="Bookman Old Style" w:cs="Times New Roman"/>
          <w:sz w:val="24"/>
          <w:szCs w:val="24"/>
        </w:rPr>
        <w:t>,</w:t>
      </w:r>
      <w:r w:rsidR="00A84E89" w:rsidRPr="00BA6DBE">
        <w:rPr>
          <w:rFonts w:ascii="Bookman Old Style" w:hAnsi="Bookman Old Style" w:cs="Times New Roman"/>
          <w:sz w:val="24"/>
          <w:szCs w:val="24"/>
        </w:rPr>
        <w:t xml:space="preserve"> Protocolo para la Represión de Actos Ilícitos de Violencia en los Aeropuertos que prestan servicios a la Aviación Civil Internacional, Convenio Internacional para la Represión de los Atentado Terroristas cometido con Bombas,</w:t>
      </w:r>
      <w:r w:rsidR="00AB46DE" w:rsidRPr="00BA6DBE">
        <w:rPr>
          <w:rFonts w:ascii="Bookman Old Style" w:hAnsi="Bookman Old Style" w:cs="Times New Roman"/>
          <w:sz w:val="24"/>
          <w:szCs w:val="24"/>
        </w:rPr>
        <w:t xml:space="preserve"> </w:t>
      </w:r>
      <w:r w:rsidR="00A84E89" w:rsidRPr="00BA6DBE">
        <w:rPr>
          <w:rFonts w:ascii="Bookman Old Style" w:hAnsi="Bookman Old Style" w:cs="Times New Roman"/>
          <w:sz w:val="24"/>
          <w:szCs w:val="24"/>
        </w:rPr>
        <w:t>Convenio Internacional para la Represión de la Financiación del Terrorismo</w:t>
      </w:r>
      <w:r w:rsidR="006E4FC4" w:rsidRPr="00BA6DBE">
        <w:rPr>
          <w:rFonts w:ascii="Bookman Old Style" w:hAnsi="Bookman Old Style" w:cs="Times New Roman"/>
          <w:sz w:val="24"/>
          <w:szCs w:val="24"/>
        </w:rPr>
        <w:t xml:space="preserve">, </w:t>
      </w:r>
      <w:r w:rsidR="00A84E89" w:rsidRPr="00BA6DBE">
        <w:rPr>
          <w:rFonts w:ascii="Bookman Old Style" w:hAnsi="Bookman Old Style" w:cs="Times New Roman"/>
          <w:sz w:val="24"/>
          <w:szCs w:val="24"/>
        </w:rPr>
        <w:t>Convención Internacional contra la Toma de Rehene</w:t>
      </w:r>
      <w:r w:rsidR="006E4FC4" w:rsidRPr="00BA6DBE">
        <w:rPr>
          <w:rFonts w:ascii="Bookman Old Style" w:hAnsi="Bookman Old Style" w:cs="Times New Roman"/>
          <w:sz w:val="24"/>
          <w:szCs w:val="24"/>
        </w:rPr>
        <w:t>s,</w:t>
      </w:r>
      <w:r w:rsidR="00A84E89" w:rsidRPr="00BA6DBE">
        <w:rPr>
          <w:rFonts w:ascii="Bookman Old Style" w:hAnsi="Bookman Old Style" w:cs="Times New Roman"/>
          <w:sz w:val="24"/>
          <w:szCs w:val="24"/>
        </w:rPr>
        <w:t xml:space="preserve"> Convenio para la Represión del Apoderamiento Ilícito de Aeronaves</w:t>
      </w:r>
      <w:r w:rsidR="006E4FC4" w:rsidRPr="00BA6DBE">
        <w:rPr>
          <w:rFonts w:ascii="Bookman Old Style" w:hAnsi="Bookman Old Style" w:cs="Times New Roman"/>
          <w:sz w:val="24"/>
          <w:szCs w:val="24"/>
        </w:rPr>
        <w:t xml:space="preserve">, </w:t>
      </w:r>
      <w:r w:rsidR="00A84E89" w:rsidRPr="00BA6DBE">
        <w:rPr>
          <w:rFonts w:ascii="Bookman Old Style" w:hAnsi="Bookman Old Style" w:cs="Times New Roman"/>
          <w:sz w:val="24"/>
          <w:szCs w:val="24"/>
        </w:rPr>
        <w:t>Convención sobre la Prevención y el Castigo de Delitos contra Personas Internacionalmente Protegidas, inclusive los Agentes Diplomáticos</w:t>
      </w:r>
      <w:r w:rsidR="006E4FC4" w:rsidRPr="00BA6DBE">
        <w:rPr>
          <w:rFonts w:ascii="Bookman Old Style" w:hAnsi="Bookman Old Style" w:cs="Times New Roman"/>
          <w:sz w:val="24"/>
          <w:szCs w:val="24"/>
        </w:rPr>
        <w:t>,</w:t>
      </w:r>
      <w:r w:rsidR="00A84E89" w:rsidRPr="00BA6DBE">
        <w:rPr>
          <w:rFonts w:ascii="Bookman Old Style" w:hAnsi="Bookman Old Style" w:cs="Times New Roman"/>
          <w:sz w:val="24"/>
          <w:szCs w:val="24"/>
        </w:rPr>
        <w:t xml:space="preserve"> Convenio para la Represión de Actos Ilícitos contra la Seguridad de la Navegación Marítima</w:t>
      </w:r>
      <w:r w:rsidR="006E4FC4" w:rsidRPr="00BA6DBE">
        <w:rPr>
          <w:rFonts w:ascii="Bookman Old Style" w:hAnsi="Bookman Old Style" w:cs="Times New Roman"/>
          <w:sz w:val="24"/>
          <w:szCs w:val="24"/>
        </w:rPr>
        <w:t xml:space="preserve">, </w:t>
      </w:r>
      <w:r w:rsidR="00A84E89" w:rsidRPr="00BA6DBE">
        <w:rPr>
          <w:rFonts w:ascii="Bookman Old Style" w:hAnsi="Bookman Old Style" w:cs="Times New Roman"/>
          <w:sz w:val="24"/>
          <w:szCs w:val="24"/>
        </w:rPr>
        <w:t>Protocolo para la Represión de Actos Ilícitos contra la Seguridad de las Plataformas Fijas emplazadas en la Plataforma Continental</w:t>
      </w:r>
      <w:r w:rsidR="005E1FD5" w:rsidRPr="00BA6DBE">
        <w:rPr>
          <w:rFonts w:ascii="Bookman Old Style" w:hAnsi="Bookman Old Style" w:cs="Times New Roman"/>
          <w:sz w:val="24"/>
          <w:szCs w:val="24"/>
        </w:rPr>
        <w:t>,</w:t>
      </w:r>
      <w:r w:rsidR="00A84E89" w:rsidRPr="00BA6DBE">
        <w:rPr>
          <w:rFonts w:ascii="Bookman Old Style" w:hAnsi="Bookman Old Style" w:cs="Times New Roman"/>
          <w:sz w:val="24"/>
          <w:szCs w:val="24"/>
        </w:rPr>
        <w:t xml:space="preserve"> Convenio sobre las Infracciones y Ciertos Otros Actos Cometidos a bordo de Aeronaves y la Convención Internacional contra el Reclutamiento, la Utilización, la Financiación y el Entrenamiento de Mercenarios</w:t>
      </w:r>
      <w:r w:rsidR="006E4FC4" w:rsidRPr="00BA6DBE">
        <w:rPr>
          <w:rFonts w:ascii="Bookman Old Style" w:hAnsi="Bookman Old Style" w:cs="Times New Roman"/>
          <w:sz w:val="24"/>
          <w:szCs w:val="24"/>
        </w:rPr>
        <w:t>.</w:t>
      </w:r>
    </w:p>
    <w:p w:rsidR="006E4FC4" w:rsidRPr="00BA6DBE" w:rsidRDefault="006E4FC4" w:rsidP="00BA6DBE">
      <w:pPr>
        <w:pStyle w:val="Prrafodelista"/>
        <w:spacing w:after="0" w:line="360" w:lineRule="auto"/>
        <w:jc w:val="both"/>
        <w:rPr>
          <w:rFonts w:ascii="Bookman Old Style" w:hAnsi="Bookman Old Style" w:cs="Times New Roman"/>
          <w:b/>
          <w:sz w:val="24"/>
          <w:szCs w:val="24"/>
        </w:rPr>
      </w:pPr>
    </w:p>
    <w:p w:rsidR="00F02992" w:rsidRPr="00BA6DBE" w:rsidRDefault="00543828" w:rsidP="00BA6DBE">
      <w:pPr>
        <w:pStyle w:val="Prrafodelista"/>
        <w:numPr>
          <w:ilvl w:val="0"/>
          <w:numId w:val="19"/>
        </w:numPr>
        <w:spacing w:after="0" w:line="360" w:lineRule="auto"/>
        <w:jc w:val="both"/>
        <w:rPr>
          <w:rFonts w:ascii="Bookman Old Style" w:hAnsi="Bookman Old Style" w:cs="Times New Roman"/>
          <w:b/>
          <w:sz w:val="24"/>
          <w:szCs w:val="24"/>
        </w:rPr>
      </w:pPr>
      <w:r w:rsidRPr="00BA6DBE">
        <w:rPr>
          <w:rFonts w:ascii="Bookman Old Style" w:hAnsi="Bookman Old Style" w:cs="Times New Roman"/>
          <w:b/>
          <w:sz w:val="24"/>
          <w:szCs w:val="24"/>
        </w:rPr>
        <w:lastRenderedPageBreak/>
        <w:t>La p</w:t>
      </w:r>
      <w:r w:rsidR="00F02992" w:rsidRPr="00BA6DBE">
        <w:rPr>
          <w:rFonts w:ascii="Bookman Old Style" w:hAnsi="Bookman Old Style" w:cs="Times New Roman"/>
          <w:b/>
          <w:sz w:val="24"/>
          <w:szCs w:val="24"/>
        </w:rPr>
        <w:t>roblemática d</w:t>
      </w:r>
      <w:r w:rsidR="008E43D3" w:rsidRPr="00BA6DBE">
        <w:rPr>
          <w:rFonts w:ascii="Bookman Old Style" w:hAnsi="Bookman Old Style" w:cs="Times New Roman"/>
          <w:b/>
          <w:sz w:val="24"/>
          <w:szCs w:val="24"/>
        </w:rPr>
        <w:t>el crimen organizado en Honduras.</w:t>
      </w:r>
    </w:p>
    <w:p w:rsidR="00E52FD8" w:rsidRPr="00BA6DBE" w:rsidRDefault="00E52FD8" w:rsidP="00BA6DBE">
      <w:pPr>
        <w:pStyle w:val="Prrafodelista"/>
        <w:numPr>
          <w:ilvl w:val="0"/>
          <w:numId w:val="24"/>
        </w:numPr>
        <w:spacing w:after="0" w:line="360" w:lineRule="auto"/>
        <w:jc w:val="both"/>
        <w:rPr>
          <w:rFonts w:ascii="Bookman Old Style" w:hAnsi="Bookman Old Style" w:cs="Times New Roman"/>
          <w:sz w:val="24"/>
          <w:szCs w:val="24"/>
        </w:rPr>
      </w:pPr>
      <w:r w:rsidRPr="00BA6DBE">
        <w:rPr>
          <w:rFonts w:ascii="Bookman Old Style" w:hAnsi="Bookman Old Style" w:cs="Times New Roman"/>
          <w:sz w:val="24"/>
          <w:szCs w:val="24"/>
        </w:rPr>
        <w:t xml:space="preserve">Ante </w:t>
      </w:r>
      <w:r w:rsidR="00F02992" w:rsidRPr="00BA6DBE">
        <w:rPr>
          <w:rFonts w:ascii="Bookman Old Style" w:hAnsi="Bookman Old Style" w:cs="Times New Roman"/>
          <w:sz w:val="24"/>
          <w:szCs w:val="24"/>
        </w:rPr>
        <w:t xml:space="preserve">un índice mínimo </w:t>
      </w:r>
      <w:r w:rsidRPr="00BA6DBE">
        <w:rPr>
          <w:rFonts w:ascii="Bookman Old Style" w:hAnsi="Bookman Old Style" w:cs="Times New Roman"/>
          <w:sz w:val="24"/>
          <w:szCs w:val="24"/>
        </w:rPr>
        <w:t xml:space="preserve">de terrorismo en la República de Honduras, no es menos cierto que la protección del </w:t>
      </w:r>
      <w:r w:rsidR="008E43D3" w:rsidRPr="00BA6DBE">
        <w:rPr>
          <w:rFonts w:ascii="Bookman Old Style" w:hAnsi="Bookman Old Style" w:cs="Times New Roman"/>
          <w:sz w:val="24"/>
          <w:szCs w:val="24"/>
        </w:rPr>
        <w:t>núcleo</w:t>
      </w:r>
      <w:r w:rsidRPr="00BA6DBE">
        <w:rPr>
          <w:rFonts w:ascii="Bookman Old Style" w:hAnsi="Bookman Old Style" w:cs="Times New Roman"/>
          <w:sz w:val="24"/>
          <w:szCs w:val="24"/>
        </w:rPr>
        <w:t xml:space="preserve"> duro de los Derechos Humanos, ya sea en tiempos de paz o guerra</w:t>
      </w:r>
      <w:r w:rsidR="006E4FC4" w:rsidRPr="00BA6DBE">
        <w:rPr>
          <w:rFonts w:ascii="Bookman Old Style" w:hAnsi="Bookman Old Style" w:cs="Times New Roman"/>
          <w:sz w:val="24"/>
          <w:szCs w:val="24"/>
        </w:rPr>
        <w:t xml:space="preserve"> es fundamental y siempre una prioridad</w:t>
      </w:r>
      <w:r w:rsidRPr="00BA6DBE">
        <w:rPr>
          <w:rFonts w:ascii="Bookman Old Style" w:hAnsi="Bookman Old Style" w:cs="Times New Roman"/>
          <w:sz w:val="24"/>
          <w:szCs w:val="24"/>
        </w:rPr>
        <w:t xml:space="preserve">. Honduras cuenta con situaciones </w:t>
      </w:r>
      <w:r w:rsidR="00D259B8" w:rsidRPr="00BA6DBE">
        <w:rPr>
          <w:rFonts w:ascii="Bookman Old Style" w:hAnsi="Bookman Old Style" w:cs="Times New Roman"/>
          <w:sz w:val="24"/>
          <w:szCs w:val="24"/>
        </w:rPr>
        <w:t xml:space="preserve">específicas </w:t>
      </w:r>
      <w:r w:rsidRPr="00BA6DBE">
        <w:rPr>
          <w:rFonts w:ascii="Bookman Old Style" w:hAnsi="Bookman Old Style" w:cs="Times New Roman"/>
          <w:sz w:val="24"/>
          <w:szCs w:val="24"/>
        </w:rPr>
        <w:t>que necesitan ser atendidas con acciones contundentes como es el tema del “</w:t>
      </w:r>
      <w:r w:rsidRPr="00BA6DBE">
        <w:rPr>
          <w:rFonts w:ascii="Bookman Old Style" w:hAnsi="Bookman Old Style" w:cs="Times New Roman"/>
          <w:i/>
          <w:iCs/>
          <w:sz w:val="24"/>
          <w:szCs w:val="24"/>
        </w:rPr>
        <w:t>crimen organizado</w:t>
      </w:r>
      <w:r w:rsidRPr="00BA6DBE">
        <w:rPr>
          <w:rFonts w:ascii="Bookman Old Style" w:hAnsi="Bookman Old Style" w:cs="Times New Roman"/>
          <w:sz w:val="24"/>
          <w:szCs w:val="24"/>
        </w:rPr>
        <w:t>”</w:t>
      </w:r>
      <w:r w:rsidR="00F02992" w:rsidRPr="00BA6DBE">
        <w:rPr>
          <w:rFonts w:ascii="Bookman Old Style" w:hAnsi="Bookman Old Style" w:cs="Times New Roman"/>
          <w:sz w:val="24"/>
          <w:szCs w:val="24"/>
        </w:rPr>
        <w:t>, representando este muchas</w:t>
      </w:r>
      <w:r w:rsidR="00543828" w:rsidRPr="00BA6DBE">
        <w:rPr>
          <w:rFonts w:ascii="Bookman Old Style" w:hAnsi="Bookman Old Style" w:cs="Times New Roman"/>
          <w:sz w:val="24"/>
          <w:szCs w:val="24"/>
        </w:rPr>
        <w:t xml:space="preserve"> veces una frágil línea con el t</w:t>
      </w:r>
      <w:r w:rsidR="00F02992" w:rsidRPr="00BA6DBE">
        <w:rPr>
          <w:rFonts w:ascii="Bookman Old Style" w:hAnsi="Bookman Old Style" w:cs="Times New Roman"/>
          <w:sz w:val="24"/>
          <w:szCs w:val="24"/>
        </w:rPr>
        <w:t>errorismo</w:t>
      </w:r>
      <w:r w:rsidR="007144E1" w:rsidRPr="00BA6DBE">
        <w:rPr>
          <w:rFonts w:ascii="Bookman Old Style" w:hAnsi="Bookman Old Style" w:cs="Times New Roman"/>
          <w:sz w:val="24"/>
          <w:szCs w:val="24"/>
        </w:rPr>
        <w:t xml:space="preserve"> o vínculos entre ambos</w:t>
      </w:r>
      <w:r w:rsidR="008E43D3" w:rsidRPr="00BA6DBE">
        <w:rPr>
          <w:rFonts w:ascii="Bookman Old Style" w:hAnsi="Bookman Old Style" w:cs="Times New Roman"/>
          <w:sz w:val="24"/>
          <w:szCs w:val="24"/>
        </w:rPr>
        <w:t xml:space="preserve">. La CIDH </w:t>
      </w:r>
      <w:r w:rsidR="006E0242" w:rsidRPr="00BA6DBE">
        <w:rPr>
          <w:rFonts w:ascii="Bookman Old Style" w:hAnsi="Bookman Old Style" w:cs="Times New Roman"/>
          <w:sz w:val="24"/>
          <w:szCs w:val="24"/>
        </w:rPr>
        <w:t>concluyó</w:t>
      </w:r>
      <w:r w:rsidR="00543828" w:rsidRPr="00BA6DBE">
        <w:rPr>
          <w:rFonts w:ascii="Bookman Old Style" w:hAnsi="Bookman Old Style" w:cs="Times New Roman"/>
          <w:sz w:val="24"/>
          <w:szCs w:val="24"/>
        </w:rPr>
        <w:t xml:space="preserve"> en uno</w:t>
      </w:r>
      <w:r w:rsidR="008E43D3" w:rsidRPr="00BA6DBE">
        <w:rPr>
          <w:rFonts w:ascii="Bookman Old Style" w:hAnsi="Bookman Old Style" w:cs="Times New Roman"/>
          <w:sz w:val="24"/>
          <w:szCs w:val="24"/>
        </w:rPr>
        <w:t xml:space="preserve"> de sus informes, </w:t>
      </w:r>
      <w:r w:rsidR="00543828" w:rsidRPr="00BA6DBE">
        <w:rPr>
          <w:rFonts w:ascii="Bookman Old Style" w:hAnsi="Bookman Old Style" w:cs="Times New Roman"/>
          <w:sz w:val="24"/>
          <w:szCs w:val="24"/>
        </w:rPr>
        <w:t xml:space="preserve">que </w:t>
      </w:r>
      <w:r w:rsidR="008E43D3" w:rsidRPr="00BA6DBE">
        <w:rPr>
          <w:rFonts w:ascii="Bookman Old Style" w:hAnsi="Bookman Old Style" w:cs="Times New Roman"/>
          <w:sz w:val="24"/>
          <w:szCs w:val="24"/>
        </w:rPr>
        <w:t xml:space="preserve">los niños, niñas y adolescentes se ven especialmente afectados en sus derechos en los contextos de inseguridad, violencia y actuar del crimen organizado, sin </w:t>
      </w:r>
      <w:r w:rsidR="00D259B8" w:rsidRPr="00BA6DBE">
        <w:rPr>
          <w:rFonts w:ascii="Bookman Old Style" w:hAnsi="Bookman Old Style" w:cs="Times New Roman"/>
          <w:sz w:val="24"/>
          <w:szCs w:val="24"/>
        </w:rPr>
        <w:t>embargo,</w:t>
      </w:r>
      <w:r w:rsidR="008E43D3" w:rsidRPr="00BA6DBE">
        <w:rPr>
          <w:rFonts w:ascii="Bookman Old Style" w:hAnsi="Bookman Old Style" w:cs="Times New Roman"/>
          <w:sz w:val="24"/>
          <w:szCs w:val="24"/>
        </w:rPr>
        <w:t xml:space="preserve"> se los percibe principalmente como victimarios y como responsables por el clima de inseguridad</w:t>
      </w:r>
      <w:r w:rsidR="006E0242" w:rsidRPr="00BA6DBE">
        <w:rPr>
          <w:rFonts w:ascii="Bookman Old Style" w:hAnsi="Bookman Old Style" w:cs="Times New Roman"/>
          <w:sz w:val="24"/>
          <w:szCs w:val="24"/>
        </w:rPr>
        <w:t>.</w:t>
      </w:r>
      <w:r w:rsidR="008E43D3" w:rsidRPr="00BA6DBE">
        <w:rPr>
          <w:rStyle w:val="Refdenotaalpie"/>
          <w:rFonts w:ascii="Bookman Old Style" w:hAnsi="Bookman Old Style" w:cs="Times New Roman"/>
          <w:sz w:val="24"/>
          <w:szCs w:val="24"/>
        </w:rPr>
        <w:footnoteReference w:id="6"/>
      </w:r>
      <w:r w:rsidR="00C84B10" w:rsidRPr="00BA6DBE">
        <w:rPr>
          <w:rFonts w:ascii="Bookman Old Style" w:hAnsi="Bookman Old Style" w:cs="Times New Roman"/>
          <w:sz w:val="24"/>
          <w:szCs w:val="24"/>
        </w:rPr>
        <w:t xml:space="preserve"> </w:t>
      </w:r>
      <w:r w:rsidR="00265061" w:rsidRPr="00BA6DBE">
        <w:rPr>
          <w:rFonts w:ascii="Bookman Old Style" w:hAnsi="Bookman Old Style" w:cs="Times New Roman"/>
          <w:sz w:val="24"/>
          <w:szCs w:val="24"/>
        </w:rPr>
        <w:t>Sin embargo Honduras ratificó la Con</w:t>
      </w:r>
      <w:r w:rsidR="00543828" w:rsidRPr="00BA6DBE">
        <w:rPr>
          <w:rFonts w:ascii="Bookman Old Style" w:hAnsi="Bookman Old Style" w:cs="Times New Roman"/>
          <w:sz w:val="24"/>
          <w:szCs w:val="24"/>
        </w:rPr>
        <w:t>vención sobre los Derechos del Niño y cuenta con un</w:t>
      </w:r>
      <w:r w:rsidR="00265061" w:rsidRPr="00BA6DBE">
        <w:rPr>
          <w:rFonts w:ascii="Bookman Old Style" w:hAnsi="Bookman Old Style" w:cs="Times New Roman"/>
          <w:sz w:val="24"/>
          <w:szCs w:val="24"/>
        </w:rPr>
        <w:t xml:space="preserve"> Código de la Niñez y la Adolescencia está regido bajo el principio rector de Justicia restaurativa que es un principio general del proceso penal para infractores de la Ley, que promueve la inclusión de los valores de respeto, responsabilidad y transformación de relaciones, en todos los </w:t>
      </w:r>
      <w:r w:rsidR="00543828" w:rsidRPr="00BA6DBE">
        <w:rPr>
          <w:rFonts w:ascii="Bookman Old Style" w:hAnsi="Bookman Old Style" w:cs="Times New Roman"/>
          <w:sz w:val="24"/>
          <w:szCs w:val="24"/>
        </w:rPr>
        <w:t>procesos que intervenga un Niño</w:t>
      </w:r>
      <w:r w:rsidR="00265061" w:rsidRPr="00BA6DBE">
        <w:rPr>
          <w:rFonts w:ascii="Bookman Old Style" w:hAnsi="Bookman Old Style" w:cs="Times New Roman"/>
          <w:sz w:val="24"/>
          <w:szCs w:val="24"/>
        </w:rPr>
        <w:t>(a), con el propósito de brindarle apoyo en su acto voluntario de responsabilizarse por sus acciones y efectos dañinos, a través del diálogo respetuoso con la persona ofendida, familiares y personas de su entorno comunitario, para encontrar en conjunto la manera de enmendar y corregir el mal causado. Este principio podrá ser aplicable, mediante la posibilidad de referir las diligencias instadas a programas de Justicia Restaurativa, creados fuera de El sistema o en colaboración con éste.</w:t>
      </w:r>
      <w:r w:rsidR="00265061" w:rsidRPr="00BA6DBE">
        <w:rPr>
          <w:rStyle w:val="Refdenotaalpie"/>
          <w:rFonts w:ascii="Bookman Old Style" w:hAnsi="Bookman Old Style" w:cs="Times New Roman"/>
          <w:sz w:val="24"/>
          <w:szCs w:val="24"/>
        </w:rPr>
        <w:footnoteReference w:id="7"/>
      </w:r>
    </w:p>
    <w:p w:rsidR="00B27922" w:rsidRPr="00BA6DBE" w:rsidRDefault="00B27922" w:rsidP="00BA6DBE">
      <w:pPr>
        <w:pStyle w:val="Prrafodelista"/>
        <w:spacing w:after="0" w:line="360" w:lineRule="auto"/>
        <w:jc w:val="both"/>
        <w:rPr>
          <w:rFonts w:ascii="Bookman Old Style" w:hAnsi="Bookman Old Style" w:cs="Times New Roman"/>
          <w:sz w:val="24"/>
          <w:szCs w:val="24"/>
        </w:rPr>
      </w:pPr>
    </w:p>
    <w:p w:rsidR="00650382" w:rsidRPr="00BA6DBE" w:rsidRDefault="00265061" w:rsidP="00BA6DBE">
      <w:pPr>
        <w:pStyle w:val="Prrafodelista"/>
        <w:numPr>
          <w:ilvl w:val="0"/>
          <w:numId w:val="24"/>
        </w:numPr>
        <w:spacing w:after="0" w:line="360" w:lineRule="auto"/>
        <w:jc w:val="both"/>
        <w:rPr>
          <w:rFonts w:ascii="Bookman Old Style" w:hAnsi="Bookman Old Style" w:cs="Times New Roman"/>
          <w:sz w:val="24"/>
          <w:szCs w:val="24"/>
        </w:rPr>
      </w:pPr>
      <w:r w:rsidRPr="00BA6DBE">
        <w:rPr>
          <w:rFonts w:ascii="Bookman Old Style" w:hAnsi="Bookman Old Style" w:cs="Times New Roman"/>
          <w:bCs/>
          <w:sz w:val="24"/>
          <w:szCs w:val="24"/>
        </w:rPr>
        <w:lastRenderedPageBreak/>
        <w:t>Honduras también ha tomado a</w:t>
      </w:r>
      <w:r w:rsidR="00FE1645" w:rsidRPr="00BA6DBE">
        <w:rPr>
          <w:rFonts w:ascii="Bookman Old Style" w:hAnsi="Bookman Old Style" w:cs="Times New Roman"/>
          <w:bCs/>
          <w:sz w:val="24"/>
          <w:szCs w:val="24"/>
        </w:rPr>
        <w:t xml:space="preserve">cciones </w:t>
      </w:r>
      <w:r w:rsidRPr="00BA6DBE">
        <w:rPr>
          <w:rFonts w:ascii="Bookman Old Style" w:hAnsi="Bookman Old Style" w:cs="Times New Roman"/>
          <w:bCs/>
          <w:sz w:val="24"/>
          <w:szCs w:val="24"/>
        </w:rPr>
        <w:t>preventivas</w:t>
      </w:r>
      <w:r w:rsidR="00FE1645" w:rsidRPr="00BA6DBE">
        <w:rPr>
          <w:rFonts w:ascii="Bookman Old Style" w:hAnsi="Bookman Old Style" w:cs="Times New Roman"/>
          <w:bCs/>
          <w:sz w:val="24"/>
          <w:szCs w:val="24"/>
        </w:rPr>
        <w:t xml:space="preserve"> para la protección d</w:t>
      </w:r>
      <w:r w:rsidRPr="00BA6DBE">
        <w:rPr>
          <w:rFonts w:ascii="Bookman Old Style" w:hAnsi="Bookman Old Style" w:cs="Times New Roman"/>
          <w:bCs/>
          <w:sz w:val="24"/>
          <w:szCs w:val="24"/>
        </w:rPr>
        <w:t>e los derechos humanos de su población contra el crimen organizado</w:t>
      </w:r>
      <w:r w:rsidR="00543828" w:rsidRPr="00BA6DBE">
        <w:rPr>
          <w:rFonts w:ascii="Bookman Old Style" w:hAnsi="Bookman Old Style" w:cs="Times New Roman"/>
          <w:bCs/>
          <w:sz w:val="24"/>
          <w:szCs w:val="24"/>
        </w:rPr>
        <w:t xml:space="preserve"> entre ellas podemos mencionar; </w:t>
      </w:r>
      <w:r w:rsidR="00543828" w:rsidRPr="00BA6DBE">
        <w:rPr>
          <w:rFonts w:ascii="Bookman Old Style" w:hAnsi="Bookman Old Style" w:cs="Times New Roman"/>
          <w:b/>
          <w:bCs/>
          <w:sz w:val="24"/>
          <w:szCs w:val="24"/>
        </w:rPr>
        <w:t>a)</w:t>
      </w:r>
      <w:r w:rsidR="00543828" w:rsidRPr="00BA6DBE">
        <w:rPr>
          <w:rFonts w:ascii="Bookman Old Style" w:hAnsi="Bookman Old Style" w:cs="Times New Roman"/>
          <w:bCs/>
          <w:sz w:val="24"/>
          <w:szCs w:val="24"/>
        </w:rPr>
        <w:t xml:space="preserve"> </w:t>
      </w:r>
      <w:r w:rsidRPr="00BA6DBE">
        <w:rPr>
          <w:rFonts w:ascii="Bookman Old Style" w:hAnsi="Bookman Old Style" w:cs="Times New Roman"/>
          <w:bCs/>
          <w:sz w:val="24"/>
          <w:szCs w:val="24"/>
        </w:rPr>
        <w:t xml:space="preserve">la creación de la Subsecretaría en el Despacho de Prevención representa la voluntad del Estado de prevenir el crimen y por ende </w:t>
      </w:r>
      <w:r w:rsidR="00543828" w:rsidRPr="00BA6DBE">
        <w:rPr>
          <w:rFonts w:ascii="Bookman Old Style" w:hAnsi="Bookman Old Style" w:cs="Times New Roman"/>
          <w:bCs/>
          <w:sz w:val="24"/>
          <w:szCs w:val="24"/>
        </w:rPr>
        <w:t>sus vínculos con el terrorismo</w:t>
      </w:r>
      <w:r w:rsidR="00C96C6A" w:rsidRPr="00BA6DBE">
        <w:rPr>
          <w:rFonts w:ascii="Bookman Old Style" w:hAnsi="Bookman Old Style" w:cs="Times New Roman"/>
          <w:bCs/>
          <w:sz w:val="24"/>
          <w:szCs w:val="24"/>
        </w:rPr>
        <w:t xml:space="preserve">, </w:t>
      </w:r>
      <w:r w:rsidR="00543828" w:rsidRPr="00BA6DBE">
        <w:rPr>
          <w:rFonts w:ascii="Bookman Old Style" w:hAnsi="Bookman Old Style" w:cs="Times New Roman"/>
          <w:b/>
          <w:bCs/>
          <w:sz w:val="24"/>
          <w:szCs w:val="24"/>
        </w:rPr>
        <w:t>b)</w:t>
      </w:r>
      <w:r w:rsidR="00543828" w:rsidRPr="00BA6DBE">
        <w:rPr>
          <w:rFonts w:ascii="Bookman Old Style" w:hAnsi="Bookman Old Style" w:cs="Times New Roman"/>
          <w:bCs/>
          <w:sz w:val="24"/>
          <w:szCs w:val="24"/>
        </w:rPr>
        <w:t xml:space="preserve"> </w:t>
      </w:r>
      <w:r w:rsidRPr="00BA6DBE">
        <w:rPr>
          <w:rFonts w:ascii="Bookman Old Style" w:hAnsi="Bookman Old Style" w:cs="Times New Roman"/>
          <w:bCs/>
          <w:sz w:val="24"/>
          <w:szCs w:val="24"/>
        </w:rPr>
        <w:t xml:space="preserve">La Subsecretaría de Seguridad en Prevención, que ejerce además las funciones de Secretaría Técnica del Gabinete de Prevención, </w:t>
      </w:r>
      <w:r w:rsidR="00C96C6A" w:rsidRPr="00BA6DBE">
        <w:rPr>
          <w:rFonts w:ascii="Bookman Old Style" w:hAnsi="Bookman Old Style" w:cs="Times New Roman"/>
          <w:bCs/>
          <w:sz w:val="24"/>
          <w:szCs w:val="24"/>
        </w:rPr>
        <w:t>Paz y Convivencia, articula la</w:t>
      </w:r>
      <w:r w:rsidRPr="00BA6DBE">
        <w:rPr>
          <w:rFonts w:ascii="Bookman Old Style" w:hAnsi="Bookman Old Style" w:cs="Times New Roman"/>
          <w:bCs/>
          <w:sz w:val="24"/>
          <w:szCs w:val="24"/>
        </w:rPr>
        <w:t xml:space="preserve"> estrategia integral</w:t>
      </w:r>
      <w:r w:rsidR="00C96C6A" w:rsidRPr="00BA6DBE">
        <w:rPr>
          <w:rFonts w:ascii="Bookman Old Style" w:hAnsi="Bookman Old Style" w:cs="Times New Roman"/>
          <w:bCs/>
          <w:sz w:val="24"/>
          <w:szCs w:val="24"/>
        </w:rPr>
        <w:t xml:space="preserve"> para la prevención de la violencia y el fomento de la sana convivencia,</w:t>
      </w:r>
      <w:r w:rsidRPr="00BA6DBE">
        <w:rPr>
          <w:rFonts w:ascii="Bookman Old Style" w:hAnsi="Bookman Old Style" w:cs="Times New Roman"/>
          <w:bCs/>
          <w:sz w:val="24"/>
          <w:szCs w:val="24"/>
        </w:rPr>
        <w:t xml:space="preserve"> a través de proyectos en prevención situacional de la violencia, prevención de la violencia contra la mujer, trata y femicidio y alianzas público-privadas, así como la utilización de fondos de la Tasa de Seguridad Poblacional y de la Oficina Administradora de Bienes Incautados (OABI)</w:t>
      </w:r>
      <w:r w:rsidR="00C96C6A" w:rsidRPr="00BA6DBE">
        <w:rPr>
          <w:rFonts w:ascii="Bookman Old Style" w:hAnsi="Bookman Old Style" w:cs="Times New Roman"/>
          <w:bCs/>
          <w:sz w:val="24"/>
          <w:szCs w:val="24"/>
        </w:rPr>
        <w:t>,</w:t>
      </w:r>
      <w:r w:rsidRPr="00BA6DBE">
        <w:rPr>
          <w:rStyle w:val="Refdenotaalpie"/>
          <w:rFonts w:ascii="Bookman Old Style" w:hAnsi="Bookman Old Style" w:cs="Times New Roman"/>
          <w:bCs/>
          <w:sz w:val="24"/>
          <w:szCs w:val="24"/>
        </w:rPr>
        <w:footnoteReference w:id="8"/>
      </w:r>
      <w:r w:rsidR="00C96C6A" w:rsidRPr="00BA6DBE">
        <w:rPr>
          <w:rFonts w:ascii="Bookman Old Style" w:hAnsi="Bookman Old Style" w:cs="Times New Roman"/>
          <w:sz w:val="24"/>
          <w:szCs w:val="24"/>
        </w:rPr>
        <w:t xml:space="preserve"> </w:t>
      </w:r>
      <w:r w:rsidR="00C96C6A" w:rsidRPr="00BA6DBE">
        <w:rPr>
          <w:rFonts w:ascii="Bookman Old Style" w:hAnsi="Bookman Old Style" w:cs="Times New Roman"/>
          <w:b/>
          <w:sz w:val="24"/>
          <w:szCs w:val="24"/>
        </w:rPr>
        <w:t>c)</w:t>
      </w:r>
      <w:r w:rsidR="00C96C6A" w:rsidRPr="00BA6DBE">
        <w:rPr>
          <w:rFonts w:ascii="Bookman Old Style" w:hAnsi="Bookman Old Style" w:cs="Times New Roman"/>
          <w:sz w:val="24"/>
          <w:szCs w:val="24"/>
        </w:rPr>
        <w:t xml:space="preserve"> Fortalecimiento</w:t>
      </w:r>
      <w:r w:rsidR="00650382" w:rsidRPr="00BA6DBE">
        <w:rPr>
          <w:rFonts w:ascii="Bookman Old Style" w:hAnsi="Bookman Old Style" w:cs="Times New Roman"/>
          <w:sz w:val="24"/>
          <w:szCs w:val="24"/>
        </w:rPr>
        <w:t xml:space="preserve"> </w:t>
      </w:r>
      <w:r w:rsidR="00C96C6A" w:rsidRPr="00BA6DBE">
        <w:rPr>
          <w:rFonts w:ascii="Bookman Old Style" w:hAnsi="Bookman Old Style" w:cs="Times New Roman"/>
          <w:sz w:val="24"/>
          <w:szCs w:val="24"/>
        </w:rPr>
        <w:t xml:space="preserve">de </w:t>
      </w:r>
      <w:r w:rsidR="00650382" w:rsidRPr="00BA6DBE">
        <w:rPr>
          <w:rFonts w:ascii="Bookman Old Style" w:hAnsi="Bookman Old Style" w:cs="Times New Roman"/>
          <w:sz w:val="24"/>
          <w:szCs w:val="24"/>
        </w:rPr>
        <w:t xml:space="preserve">40 Centros de Alcance (CDA) ya existentes y se inauguraron 5 nuevos en comunidades con altos índices de violencia, de población juvenil vulnerable, con un registro actual </w:t>
      </w:r>
      <w:r w:rsidR="00C96C6A" w:rsidRPr="00BA6DBE">
        <w:rPr>
          <w:rFonts w:ascii="Bookman Old Style" w:hAnsi="Bookman Old Style" w:cs="Times New Roman"/>
          <w:sz w:val="24"/>
          <w:szCs w:val="24"/>
        </w:rPr>
        <w:t xml:space="preserve">de 23, 880 jóvenes beneficiados, </w:t>
      </w:r>
      <w:r w:rsidR="00C96C6A" w:rsidRPr="00BA6DBE">
        <w:rPr>
          <w:rFonts w:ascii="Bookman Old Style" w:hAnsi="Bookman Old Style" w:cs="Times New Roman"/>
          <w:b/>
          <w:sz w:val="24"/>
          <w:szCs w:val="24"/>
        </w:rPr>
        <w:t xml:space="preserve">d) </w:t>
      </w:r>
      <w:r w:rsidR="00C96C6A" w:rsidRPr="00BA6DBE">
        <w:rPr>
          <w:rFonts w:ascii="Bookman Old Style" w:hAnsi="Bookman Old Style" w:cs="Times New Roman"/>
          <w:sz w:val="24"/>
          <w:szCs w:val="24"/>
        </w:rPr>
        <w:t>La creación de la Dirección Nacional Policial Antidrogas por parte de la Secretaria de Seguridad</w:t>
      </w:r>
      <w:r w:rsidR="00C96C6A" w:rsidRPr="00BA6DBE">
        <w:rPr>
          <w:rStyle w:val="Refdenotaalpie"/>
          <w:rFonts w:ascii="Bookman Old Style" w:hAnsi="Bookman Old Style" w:cs="Times New Roman"/>
          <w:sz w:val="24"/>
          <w:szCs w:val="24"/>
        </w:rPr>
        <w:footnoteReference w:id="9"/>
      </w:r>
      <w:r w:rsidR="00C96C6A" w:rsidRPr="00BA6DBE">
        <w:rPr>
          <w:rFonts w:ascii="Bookman Old Style" w:hAnsi="Bookman Old Style" w:cs="Times New Roman"/>
          <w:sz w:val="24"/>
          <w:szCs w:val="24"/>
        </w:rPr>
        <w:t>, encargada de la prevención, erradicación, investigación de conductas relacionadas con el tráfico de drogas y delitos conexos, bajo la dirección técnica y judicial de fiscales del Ministerio P</w:t>
      </w:r>
      <w:r w:rsidR="00D64611" w:rsidRPr="00BA6DBE">
        <w:rPr>
          <w:rFonts w:ascii="Bookman Old Style" w:hAnsi="Bookman Old Style" w:cs="Times New Roman"/>
          <w:sz w:val="24"/>
          <w:szCs w:val="24"/>
        </w:rPr>
        <w:t xml:space="preserve">ublico, </w:t>
      </w:r>
      <w:r w:rsidR="00D64611" w:rsidRPr="00BA6DBE">
        <w:rPr>
          <w:rFonts w:ascii="Bookman Old Style" w:hAnsi="Bookman Old Style" w:cs="Times New Roman"/>
          <w:b/>
          <w:sz w:val="24"/>
          <w:szCs w:val="24"/>
        </w:rPr>
        <w:t>e</w:t>
      </w:r>
      <w:r w:rsidR="00C96C6A" w:rsidRPr="00BA6DBE">
        <w:rPr>
          <w:rFonts w:ascii="Bookman Old Style" w:hAnsi="Bookman Old Style" w:cs="Times New Roman"/>
          <w:b/>
          <w:sz w:val="24"/>
          <w:szCs w:val="24"/>
        </w:rPr>
        <w:t>)</w:t>
      </w:r>
      <w:r w:rsidR="00C96C6A" w:rsidRPr="00BA6DBE">
        <w:rPr>
          <w:rFonts w:ascii="Bookman Old Style" w:hAnsi="Bookman Old Style" w:cs="Times New Roman"/>
          <w:sz w:val="24"/>
          <w:szCs w:val="24"/>
        </w:rPr>
        <w:t xml:space="preserve"> La Secretaría de Estado en el Despacho de Defensa Nacional (SEDENA) durante el 2018 realizo 83,663 patrullajes de seguridad, 64,986 patrullajes de reconocimiento, 22,219 apoyos de seguridad en allanamientos y desalojos, 4,798 saturaciones, 445 personas detenidas por portación ilegal de armas, 1,340 capturas por narcotráfico y 2,224 por otro </w:t>
      </w:r>
      <w:r w:rsidR="00C96C6A" w:rsidRPr="00BA6DBE">
        <w:rPr>
          <w:rFonts w:ascii="Bookman Old Style" w:hAnsi="Bookman Old Style" w:cs="Times New Roman"/>
          <w:sz w:val="24"/>
          <w:szCs w:val="24"/>
        </w:rPr>
        <w:lastRenderedPageBreak/>
        <w:t>tipo de delitos</w:t>
      </w:r>
      <w:r w:rsidR="00C96C6A" w:rsidRPr="00BA6DBE">
        <w:rPr>
          <w:rStyle w:val="Refdenotaalpie"/>
          <w:rFonts w:ascii="Bookman Old Style" w:hAnsi="Bookman Old Style" w:cs="Times New Roman"/>
          <w:sz w:val="24"/>
          <w:szCs w:val="24"/>
        </w:rPr>
        <w:footnoteReference w:id="10"/>
      </w:r>
      <w:r w:rsidR="00D64611" w:rsidRPr="00BA6DBE">
        <w:rPr>
          <w:rFonts w:ascii="Bookman Old Style" w:hAnsi="Bookman Old Style" w:cs="Times New Roman"/>
          <w:sz w:val="24"/>
          <w:szCs w:val="24"/>
        </w:rPr>
        <w:t xml:space="preserve">, </w:t>
      </w:r>
      <w:r w:rsidR="00D64611" w:rsidRPr="00BA6DBE">
        <w:rPr>
          <w:rFonts w:ascii="Bookman Old Style" w:hAnsi="Bookman Old Style" w:cs="Times New Roman"/>
          <w:b/>
          <w:sz w:val="24"/>
          <w:szCs w:val="24"/>
        </w:rPr>
        <w:t>f</w:t>
      </w:r>
      <w:r w:rsidR="00C96C6A" w:rsidRPr="00BA6DBE">
        <w:rPr>
          <w:rFonts w:ascii="Bookman Old Style" w:hAnsi="Bookman Old Style" w:cs="Times New Roman"/>
          <w:b/>
          <w:sz w:val="24"/>
          <w:szCs w:val="24"/>
        </w:rPr>
        <w:t>)</w:t>
      </w:r>
      <w:r w:rsidR="00C96C6A" w:rsidRPr="00BA6DBE">
        <w:rPr>
          <w:rFonts w:ascii="Bookman Old Style" w:hAnsi="Bookman Old Style" w:cs="Times New Roman"/>
          <w:sz w:val="24"/>
          <w:szCs w:val="24"/>
        </w:rPr>
        <w:t xml:space="preserve"> </w:t>
      </w:r>
      <w:r w:rsidR="00D64611" w:rsidRPr="00BA6DBE">
        <w:rPr>
          <w:rFonts w:ascii="Bookman Old Style" w:hAnsi="Bookman Old Style" w:cs="Times New Roman"/>
          <w:sz w:val="24"/>
          <w:szCs w:val="24"/>
        </w:rPr>
        <w:t xml:space="preserve">Los </w:t>
      </w:r>
      <w:r w:rsidR="00C96C6A" w:rsidRPr="00BA6DBE">
        <w:rPr>
          <w:rFonts w:ascii="Bookman Old Style" w:hAnsi="Bookman Old Style" w:cs="Times New Roman"/>
          <w:sz w:val="24"/>
          <w:szCs w:val="24"/>
        </w:rPr>
        <w:t>Juzgados de Letras Penal en Materia de Extorsión ingresaron 263 casos, de los cuales se emitieron 100 sentencias en procedimiento abreviado, 81 se encuentran con auto de apertura a juicio, 33 con diligencias prejudiciales, en 13 se han dictado órdenes de captura y hay 266 personas con auto de formal procesamiento</w:t>
      </w:r>
      <w:r w:rsidR="00D64611" w:rsidRPr="00BA6DBE">
        <w:rPr>
          <w:rStyle w:val="Refdenotaalpie"/>
          <w:rFonts w:ascii="Bookman Old Style" w:hAnsi="Bookman Old Style" w:cs="Times New Roman"/>
          <w:sz w:val="24"/>
          <w:szCs w:val="24"/>
        </w:rPr>
        <w:footnoteReference w:id="11"/>
      </w:r>
      <w:r w:rsidR="00D64611" w:rsidRPr="00BA6DBE">
        <w:rPr>
          <w:rFonts w:ascii="Bookman Old Style" w:hAnsi="Bookman Old Style" w:cs="Times New Roman"/>
          <w:sz w:val="24"/>
          <w:szCs w:val="24"/>
        </w:rPr>
        <w:t xml:space="preserve">, </w:t>
      </w:r>
      <w:r w:rsidR="00D64611" w:rsidRPr="00BA6DBE">
        <w:rPr>
          <w:rFonts w:ascii="Bookman Old Style" w:hAnsi="Bookman Old Style" w:cs="Times New Roman"/>
          <w:b/>
          <w:sz w:val="24"/>
          <w:szCs w:val="24"/>
        </w:rPr>
        <w:t xml:space="preserve">g) </w:t>
      </w:r>
      <w:r w:rsidR="00650382" w:rsidRPr="00BA6DBE">
        <w:rPr>
          <w:rFonts w:ascii="Bookman Old Style" w:hAnsi="Bookman Old Style" w:cs="Times New Roman"/>
          <w:sz w:val="24"/>
          <w:szCs w:val="24"/>
        </w:rPr>
        <w:t>En coordinación con el Despacho de la Primera Dama y el PNUD/UNV, se implementó el proyecto “</w:t>
      </w:r>
      <w:r w:rsidR="00650382" w:rsidRPr="00BA6DBE">
        <w:rPr>
          <w:rFonts w:ascii="Bookman Old Style" w:hAnsi="Bookman Old Style" w:cs="Times New Roman"/>
          <w:i/>
          <w:sz w:val="24"/>
          <w:szCs w:val="24"/>
        </w:rPr>
        <w:t>Voluntariado Juvenil para Promocionar una Cultura de Paz, la Prevención de Violencia y la Reintegración de Migrantes Retornados</w:t>
      </w:r>
      <w:r w:rsidR="00650382" w:rsidRPr="00BA6DBE">
        <w:rPr>
          <w:rFonts w:ascii="Bookman Old Style" w:hAnsi="Bookman Old Style" w:cs="Times New Roman"/>
          <w:sz w:val="24"/>
          <w:szCs w:val="24"/>
        </w:rPr>
        <w:t>” en los municipios de Tela, San Pedro Sula y el Distrito Central, contando ya con 3 oficinas habilitadas en las tres municipalidades.</w:t>
      </w:r>
    </w:p>
    <w:p w:rsidR="00650382" w:rsidRPr="00BA6DBE" w:rsidRDefault="00650382" w:rsidP="00BA6DBE">
      <w:pPr>
        <w:pStyle w:val="Prrafodelista"/>
        <w:numPr>
          <w:ilvl w:val="0"/>
          <w:numId w:val="25"/>
        </w:numPr>
        <w:spacing w:after="0" w:line="360" w:lineRule="auto"/>
        <w:jc w:val="both"/>
        <w:rPr>
          <w:rFonts w:ascii="Bookman Old Style" w:hAnsi="Bookman Old Style" w:cs="Times New Roman"/>
          <w:sz w:val="24"/>
          <w:szCs w:val="24"/>
        </w:rPr>
      </w:pPr>
      <w:r w:rsidRPr="00BA6DBE">
        <w:rPr>
          <w:rFonts w:ascii="Bookman Old Style" w:hAnsi="Bookman Old Style" w:cs="Times New Roman"/>
          <w:b/>
          <w:sz w:val="24"/>
          <w:szCs w:val="24"/>
        </w:rPr>
        <w:t>En prevención de Violencia juvenil</w:t>
      </w:r>
      <w:r w:rsidRPr="00BA6DBE">
        <w:rPr>
          <w:rFonts w:ascii="Bookman Old Style" w:hAnsi="Bookman Old Style" w:cs="Times New Roman"/>
          <w:sz w:val="24"/>
          <w:szCs w:val="24"/>
        </w:rPr>
        <w:t>: se han focalizado 22 centros educativos del Distrito Central para su fortalecimiento a través de donaciones de pupitres e instrumentos musicales, así como un enfoque integral que permite identificar de manera conjunta problemas como actividades ilícitas dentro de los colegios y necesidades de mejora.</w:t>
      </w:r>
    </w:p>
    <w:p w:rsidR="00B3791E" w:rsidRPr="00BA6DBE" w:rsidRDefault="00BA6DBE" w:rsidP="00BA6DBE">
      <w:pPr>
        <w:pStyle w:val="Prrafodelista"/>
        <w:spacing w:after="0" w:line="360" w:lineRule="auto"/>
        <w:ind w:left="1416"/>
        <w:jc w:val="both"/>
        <w:rPr>
          <w:rFonts w:ascii="Bookman Old Style" w:hAnsi="Bookman Old Style" w:cs="Times New Roman"/>
          <w:sz w:val="24"/>
          <w:szCs w:val="24"/>
        </w:rPr>
      </w:pPr>
      <w:r w:rsidRPr="00BA6DBE">
        <w:rPr>
          <w:rFonts w:ascii="Bookman Old Style" w:hAnsi="Bookman Old Style" w:cs="Times New Roman"/>
          <w:sz w:val="24"/>
          <w:szCs w:val="24"/>
        </w:rPr>
        <w:t>Asimismo,</w:t>
      </w:r>
      <w:r w:rsidR="00650382" w:rsidRPr="00BA6DBE">
        <w:rPr>
          <w:rFonts w:ascii="Bookman Old Style" w:hAnsi="Bookman Old Style" w:cs="Times New Roman"/>
          <w:sz w:val="24"/>
          <w:szCs w:val="24"/>
        </w:rPr>
        <w:t xml:space="preserve"> se desarrolló de la primera edición de la Copa Presidente con la participaron de más de 40 equipos de primera y segunda división, en más de 15 municipios del país, fomentando así el uso adecuado del tiempo, la convivencia familiar y la sana recreación.</w:t>
      </w:r>
    </w:p>
    <w:p w:rsidR="00650382" w:rsidRPr="00BA6DBE" w:rsidRDefault="00650382" w:rsidP="00BA6DBE">
      <w:pPr>
        <w:pStyle w:val="Prrafodelista"/>
        <w:numPr>
          <w:ilvl w:val="0"/>
          <w:numId w:val="25"/>
        </w:numPr>
        <w:spacing w:after="0" w:line="360" w:lineRule="auto"/>
        <w:jc w:val="both"/>
        <w:rPr>
          <w:rFonts w:ascii="Bookman Old Style" w:hAnsi="Bookman Old Style" w:cs="Times New Roman"/>
          <w:sz w:val="24"/>
          <w:szCs w:val="24"/>
        </w:rPr>
      </w:pPr>
      <w:r w:rsidRPr="00BA6DBE">
        <w:rPr>
          <w:rFonts w:ascii="Bookman Old Style" w:hAnsi="Bookman Old Style" w:cs="Times New Roman"/>
          <w:b/>
          <w:sz w:val="24"/>
          <w:szCs w:val="24"/>
        </w:rPr>
        <w:t>En prevención de Violencia de Género</w:t>
      </w:r>
      <w:r w:rsidRPr="00BA6DBE">
        <w:rPr>
          <w:rFonts w:ascii="Bookman Old Style" w:hAnsi="Bookman Old Style" w:cs="Times New Roman"/>
          <w:sz w:val="24"/>
          <w:szCs w:val="24"/>
        </w:rPr>
        <w:t xml:space="preserve">: La Subsecretaría de Seguridad en Prevención coordina el proyecto BA1” Prevención de Violencia contra las Mujeres en Centroamérica”, en 10 municipios del país, a través del cual continúa otorgando capital semilla a mujeres víctimas de la violencia, trata de </w:t>
      </w:r>
      <w:r w:rsidRPr="00BA6DBE">
        <w:rPr>
          <w:rFonts w:ascii="Bookman Old Style" w:hAnsi="Bookman Old Style" w:cs="Times New Roman"/>
          <w:sz w:val="24"/>
          <w:szCs w:val="24"/>
        </w:rPr>
        <w:lastRenderedPageBreak/>
        <w:t>personas y femicidios, además de asistencia técnica para el inicio de su propio negocio.</w:t>
      </w:r>
    </w:p>
    <w:p w:rsidR="00650382" w:rsidRPr="00BA6DBE" w:rsidRDefault="00650382" w:rsidP="00BA6DBE">
      <w:pPr>
        <w:spacing w:after="0" w:line="360" w:lineRule="auto"/>
        <w:ind w:left="1416"/>
        <w:jc w:val="both"/>
        <w:rPr>
          <w:rFonts w:ascii="Bookman Old Style" w:hAnsi="Bookman Old Style" w:cs="Times New Roman"/>
          <w:sz w:val="24"/>
          <w:szCs w:val="24"/>
        </w:rPr>
      </w:pPr>
      <w:r w:rsidRPr="00BA6DBE">
        <w:rPr>
          <w:rFonts w:ascii="Bookman Old Style" w:hAnsi="Bookman Old Style" w:cs="Times New Roman"/>
          <w:sz w:val="24"/>
          <w:szCs w:val="24"/>
        </w:rPr>
        <w:t>Se contribuyó al fortalecimiento técnico y operativo de la Unidad de Género de la Policía Nacional y de 10 Oficinas Municipales de la Mujer, con la donación de un lote de equipo para oficina, la formación y desarrollo de capacidades en prevención de la violencia y atención a las víctimas de este delito, así como la conformación de los Comités Locales para la Prevención de la Violencia contra la Mujer.</w:t>
      </w:r>
    </w:p>
    <w:p w:rsidR="00650382" w:rsidRPr="00BA6DBE" w:rsidRDefault="00650382" w:rsidP="00BA6DBE">
      <w:pPr>
        <w:pStyle w:val="Prrafodelista"/>
        <w:numPr>
          <w:ilvl w:val="0"/>
          <w:numId w:val="25"/>
        </w:numPr>
        <w:spacing w:after="0" w:line="360" w:lineRule="auto"/>
        <w:jc w:val="both"/>
        <w:rPr>
          <w:rFonts w:ascii="Bookman Old Style" w:hAnsi="Bookman Old Style" w:cs="Times New Roman"/>
          <w:sz w:val="24"/>
          <w:szCs w:val="24"/>
        </w:rPr>
      </w:pPr>
      <w:r w:rsidRPr="00BA6DBE">
        <w:rPr>
          <w:rFonts w:ascii="Bookman Old Style" w:hAnsi="Bookman Old Style" w:cs="Times New Roman"/>
          <w:b/>
          <w:sz w:val="24"/>
          <w:szCs w:val="24"/>
        </w:rPr>
        <w:t>En recuperación de espacios públicos</w:t>
      </w:r>
      <w:r w:rsidR="00D64611" w:rsidRPr="00BA6DBE">
        <w:rPr>
          <w:rFonts w:ascii="Bookman Old Style" w:hAnsi="Bookman Old Style" w:cs="Times New Roman"/>
          <w:sz w:val="24"/>
          <w:szCs w:val="24"/>
        </w:rPr>
        <w:t>:</w:t>
      </w:r>
      <w:r w:rsidRPr="00BA6DBE">
        <w:rPr>
          <w:rFonts w:ascii="Bookman Old Style" w:hAnsi="Bookman Old Style" w:cs="Times New Roman"/>
          <w:sz w:val="24"/>
          <w:szCs w:val="24"/>
        </w:rPr>
        <w:t xml:space="preserve"> como parte del proyecto Presidencial “Convive: Parques para una Vida Mejor” en alianza con la empresa privada, se han inaugurado cuatro parques recreativos financiados en un 60% a través del Fideicomiso de la Tasa de Seguridad Poblacional y un 40% de la empresa privada. Los cuatro parques se inauguraron en las colonias San José de la Vega y El Trapiche, en el Distrito Central; así como en Chamelecón y la Rivera Hernández, en San Pedro Sula.</w:t>
      </w:r>
    </w:p>
    <w:p w:rsidR="00650382" w:rsidRPr="00BA6DBE" w:rsidRDefault="00650382" w:rsidP="00BA6DBE">
      <w:pPr>
        <w:spacing w:after="0" w:line="360" w:lineRule="auto"/>
        <w:ind w:left="1416"/>
        <w:jc w:val="both"/>
        <w:rPr>
          <w:rFonts w:ascii="Bookman Old Style" w:hAnsi="Bookman Old Style" w:cs="Times New Roman"/>
          <w:sz w:val="24"/>
          <w:szCs w:val="24"/>
        </w:rPr>
      </w:pPr>
      <w:r w:rsidRPr="00BA6DBE">
        <w:rPr>
          <w:rFonts w:ascii="Bookman Old Style" w:hAnsi="Bookman Old Style" w:cs="Times New Roman"/>
          <w:sz w:val="24"/>
          <w:szCs w:val="24"/>
        </w:rPr>
        <w:t>Inauguración de 22 obras de Prevención Situacional para la disminución de delitos en los Municipios de Choloma, El Progreso y La Ceiba, como construcción de canchas multiusos y parques, restauración de escuelas, iluminación de barrios y colonias y otras obras complementarias</w:t>
      </w:r>
    </w:p>
    <w:p w:rsidR="00650382" w:rsidRPr="00BA6DBE" w:rsidRDefault="00650382" w:rsidP="00BA6DBE">
      <w:pPr>
        <w:pStyle w:val="Prrafodelista"/>
        <w:numPr>
          <w:ilvl w:val="0"/>
          <w:numId w:val="25"/>
        </w:numPr>
        <w:spacing w:after="0" w:line="360" w:lineRule="auto"/>
        <w:jc w:val="both"/>
        <w:rPr>
          <w:rFonts w:ascii="Bookman Old Style" w:hAnsi="Bookman Old Style" w:cs="Times New Roman"/>
          <w:sz w:val="24"/>
          <w:szCs w:val="24"/>
        </w:rPr>
      </w:pPr>
      <w:r w:rsidRPr="00BA6DBE">
        <w:rPr>
          <w:rFonts w:ascii="Bookman Old Style" w:hAnsi="Bookman Old Style" w:cs="Times New Roman"/>
          <w:b/>
          <w:sz w:val="24"/>
          <w:szCs w:val="24"/>
        </w:rPr>
        <w:t>En coordinación con la Policía Comunitaria</w:t>
      </w:r>
      <w:r w:rsidR="00D64611" w:rsidRPr="00BA6DBE">
        <w:rPr>
          <w:rFonts w:ascii="Bookman Old Style" w:hAnsi="Bookman Old Style" w:cs="Times New Roman"/>
          <w:sz w:val="24"/>
          <w:szCs w:val="24"/>
        </w:rPr>
        <w:t>:</w:t>
      </w:r>
      <w:r w:rsidRPr="00BA6DBE">
        <w:rPr>
          <w:rFonts w:ascii="Bookman Old Style" w:hAnsi="Bookman Old Style" w:cs="Times New Roman"/>
          <w:sz w:val="24"/>
          <w:szCs w:val="24"/>
        </w:rPr>
        <w:t xml:space="preserve"> cada viernes niños, niñas y jóvenes de centros educativos y centros de alcance entre otros, asisten a los “Viernes Recreativos”, en el parque infantil del Club de la Policía Nacional para desarrollar una mañana de sana recreación y capacitación para la prevención del uso y consumo de drogas, alcohol y otros estupefacientes y el acercamiento e interacción con la Policía </w:t>
      </w:r>
      <w:r w:rsidRPr="00BA6DBE">
        <w:rPr>
          <w:rFonts w:ascii="Bookman Old Style" w:hAnsi="Bookman Old Style" w:cs="Times New Roman"/>
          <w:sz w:val="24"/>
          <w:szCs w:val="24"/>
        </w:rPr>
        <w:lastRenderedPageBreak/>
        <w:t>Nacional. En el 2015 en conjunto con la Policía Nacional y el IHADFA se han capacitado 17 centros educativos.</w:t>
      </w:r>
    </w:p>
    <w:p w:rsidR="00C23828" w:rsidRPr="00BA6DBE" w:rsidRDefault="00C23828" w:rsidP="00BA6DBE">
      <w:pPr>
        <w:pStyle w:val="Prrafodelista"/>
        <w:numPr>
          <w:ilvl w:val="0"/>
          <w:numId w:val="25"/>
        </w:numPr>
        <w:spacing w:after="0" w:line="360" w:lineRule="auto"/>
        <w:jc w:val="both"/>
        <w:rPr>
          <w:rFonts w:ascii="Bookman Old Style" w:hAnsi="Bookman Old Style" w:cs="Times New Roman"/>
          <w:sz w:val="24"/>
          <w:szCs w:val="24"/>
        </w:rPr>
      </w:pPr>
      <w:r w:rsidRPr="00BA6DBE">
        <w:rPr>
          <w:rFonts w:ascii="Bookman Old Style" w:hAnsi="Bookman Old Style" w:cs="Times New Roman"/>
          <w:b/>
          <w:sz w:val="24"/>
          <w:szCs w:val="24"/>
        </w:rPr>
        <w:t>En gestión local de la seguridad</w:t>
      </w:r>
      <w:r w:rsidR="00D64611" w:rsidRPr="00BA6DBE">
        <w:rPr>
          <w:rFonts w:ascii="Bookman Old Style" w:hAnsi="Bookman Old Style" w:cs="Times New Roman"/>
          <w:sz w:val="24"/>
          <w:szCs w:val="24"/>
        </w:rPr>
        <w:t>:</w:t>
      </w:r>
      <w:r w:rsidRPr="00BA6DBE">
        <w:rPr>
          <w:rFonts w:ascii="Bookman Old Style" w:hAnsi="Bookman Old Style" w:cs="Times New Roman"/>
          <w:sz w:val="24"/>
          <w:szCs w:val="24"/>
        </w:rPr>
        <w:t xml:space="preserve"> a través del Programa “Municipios Más Seguros” se han fortalecido los consejos locales de convivencia y seguridad ciudadana en los municipios de Choloma, La Ceiba y El Progreso, con la implementación de más de 15 proyectos de prevención situacional y social de la violencia, con metodologías como: Talleres de Prevención de Violencia y Masculinidades impartidos a jóvenes, maestros, niñez, docentes, líderes y policías, así como encuentros deportivos con jóvenes y talleres de arte por Mi Comunidad, entre otros.</w:t>
      </w:r>
    </w:p>
    <w:p w:rsidR="00C23828" w:rsidRPr="00BA6DBE" w:rsidRDefault="00C23828" w:rsidP="00BA6DBE">
      <w:pPr>
        <w:pStyle w:val="Sinespaciado"/>
      </w:pPr>
    </w:p>
    <w:p w:rsidR="00C23828" w:rsidRPr="00BA6DBE" w:rsidRDefault="00C23828" w:rsidP="00BA6DBE">
      <w:pPr>
        <w:spacing w:after="0" w:line="360" w:lineRule="auto"/>
        <w:jc w:val="center"/>
        <w:rPr>
          <w:rFonts w:ascii="Bookman Old Style" w:hAnsi="Bookman Old Style" w:cs="Times New Roman"/>
          <w:b/>
          <w:sz w:val="24"/>
          <w:szCs w:val="24"/>
        </w:rPr>
      </w:pPr>
      <w:bookmarkStart w:id="0" w:name="_GoBack"/>
      <w:bookmarkEnd w:id="0"/>
      <w:r w:rsidRPr="00BA6DBE">
        <w:rPr>
          <w:rFonts w:ascii="Bookman Old Style" w:hAnsi="Bookman Old Style" w:cs="Times New Roman"/>
          <w:b/>
          <w:sz w:val="24"/>
          <w:szCs w:val="24"/>
        </w:rPr>
        <w:t>CONCLUSION</w:t>
      </w:r>
    </w:p>
    <w:p w:rsidR="00C23828" w:rsidRPr="00BA6DBE" w:rsidRDefault="00C23828" w:rsidP="00BA6DBE">
      <w:pPr>
        <w:pStyle w:val="Sinespaciado"/>
      </w:pPr>
    </w:p>
    <w:p w:rsidR="00C23828" w:rsidRPr="00BA6DBE" w:rsidRDefault="00C23828" w:rsidP="00BA6DBE">
      <w:pPr>
        <w:pStyle w:val="Prrafodelista"/>
        <w:numPr>
          <w:ilvl w:val="0"/>
          <w:numId w:val="26"/>
        </w:numPr>
        <w:spacing w:after="0" w:line="360" w:lineRule="auto"/>
        <w:jc w:val="both"/>
        <w:rPr>
          <w:rFonts w:ascii="Bookman Old Style" w:hAnsi="Bookman Old Style" w:cs="Times New Roman"/>
          <w:b/>
          <w:sz w:val="24"/>
          <w:szCs w:val="24"/>
        </w:rPr>
      </w:pPr>
      <w:r w:rsidRPr="00BA6DBE">
        <w:rPr>
          <w:rFonts w:ascii="Bookman Old Style" w:hAnsi="Bookman Old Style" w:cs="Times New Roman"/>
          <w:sz w:val="24"/>
          <w:szCs w:val="24"/>
        </w:rPr>
        <w:t xml:space="preserve">Honduras como Estado parte de la Convención Americana de Derechos Humanos, es un Estado garante de los Estándares Internacionales y las iniciativas del Crimen organizado que podrían estar vinculadas con el terrorismo son examinadas en relación a varios derechos humanos internacionales básicos, en particular el derecho a la vida, el derecho a un trato humano, el derecho a la libertad y la seguridad personales, el derecho a un juicio imparcial, el derecho a la libertad de expresión y la obligación de respetar y garantizar la no-discriminación y el derecho a la protección judicial. </w:t>
      </w:r>
    </w:p>
    <w:p w:rsidR="00C23828" w:rsidRPr="00BA6DBE" w:rsidRDefault="00C23828" w:rsidP="00BA6DBE">
      <w:pPr>
        <w:pStyle w:val="Prrafodelista"/>
        <w:spacing w:after="0" w:line="360" w:lineRule="auto"/>
        <w:jc w:val="both"/>
        <w:rPr>
          <w:rFonts w:ascii="Bookman Old Style" w:hAnsi="Bookman Old Style" w:cs="Times New Roman"/>
          <w:b/>
          <w:sz w:val="24"/>
          <w:szCs w:val="24"/>
        </w:rPr>
      </w:pPr>
    </w:p>
    <w:p w:rsidR="00C23828" w:rsidRPr="00BA6DBE" w:rsidRDefault="00C23828" w:rsidP="00BA6DBE">
      <w:pPr>
        <w:pStyle w:val="Prrafodelista"/>
        <w:spacing w:after="0" w:line="360" w:lineRule="auto"/>
        <w:ind w:left="1440"/>
        <w:jc w:val="both"/>
        <w:rPr>
          <w:rFonts w:ascii="Bookman Old Style" w:hAnsi="Bookman Old Style" w:cs="Times New Roman"/>
          <w:sz w:val="24"/>
          <w:szCs w:val="24"/>
        </w:rPr>
      </w:pPr>
    </w:p>
    <w:p w:rsidR="00C23828" w:rsidRPr="00BA6DBE" w:rsidRDefault="00C23828" w:rsidP="00BA6DBE">
      <w:pPr>
        <w:pStyle w:val="Prrafodelista"/>
        <w:spacing w:after="0" w:line="360" w:lineRule="auto"/>
        <w:ind w:left="1440"/>
        <w:jc w:val="both"/>
        <w:rPr>
          <w:rFonts w:ascii="Bookman Old Style" w:hAnsi="Bookman Old Style" w:cs="Times New Roman"/>
          <w:sz w:val="24"/>
          <w:szCs w:val="24"/>
          <w:lang w:val="es-HN"/>
        </w:rPr>
      </w:pPr>
    </w:p>
    <w:sectPr w:rsidR="00C23828" w:rsidRPr="00BA6DBE" w:rsidSect="00BA6DBE">
      <w:footerReference w:type="default" r:id="rId8"/>
      <w:headerReference w:type="first" r:id="rId9"/>
      <w:footerReference w:type="first" r:id="rId10"/>
      <w:pgSz w:w="12240" w:h="15840" w:code="119"/>
      <w:pgMar w:top="1417" w:right="1701" w:bottom="1530" w:left="1701" w:header="1872" w:footer="9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455" w:rsidRDefault="001C2455" w:rsidP="007241A2">
      <w:pPr>
        <w:spacing w:after="0" w:line="240" w:lineRule="auto"/>
      </w:pPr>
      <w:r>
        <w:separator/>
      </w:r>
    </w:p>
  </w:endnote>
  <w:endnote w:type="continuationSeparator" w:id="0">
    <w:p w:rsidR="001C2455" w:rsidRDefault="001C2455" w:rsidP="0072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497" w:rsidRPr="00612497" w:rsidRDefault="00612497" w:rsidP="00612497">
    <w:pPr>
      <w:pStyle w:val="Sinespaciado"/>
      <w:spacing w:line="276" w:lineRule="auto"/>
      <w:jc w:val="right"/>
      <w:rPr>
        <w:rFonts w:ascii="Bookman Old Style" w:hAnsi="Bookman Old Style"/>
        <w:sz w:val="16"/>
        <w:szCs w:val="16"/>
      </w:rPr>
    </w:pPr>
    <w:r w:rsidRPr="00612497">
      <w:rPr>
        <w:rFonts w:ascii="Bookman Old Style" w:eastAsia="Times New Roman" w:hAnsi="Bookman Old Style" w:cs="Arial"/>
        <w:color w:val="000000"/>
        <w:sz w:val="16"/>
        <w:szCs w:val="16"/>
        <w:lang w:val="es-HN" w:eastAsia="es-ES"/>
      </w:rPr>
      <w:t>Oficio No. SSDH-PROMO-087-2019</w:t>
    </w:r>
    <w:r w:rsidRPr="00612497">
      <w:rPr>
        <w:rFonts w:ascii="Bookman Old Style" w:eastAsia="Times New Roman" w:hAnsi="Bookman Old Style" w:cs="Arial"/>
        <w:color w:val="000000"/>
        <w:sz w:val="16"/>
        <w:szCs w:val="16"/>
        <w:lang w:val="es-HN" w:eastAsia="es-ES"/>
      </w:rPr>
      <w:t xml:space="preserve"> pág.</w:t>
    </w:r>
    <w:r w:rsidRPr="00612497">
      <w:rPr>
        <w:rFonts w:ascii="Bookman Old Style" w:hAnsi="Bookman Old Style"/>
        <w:sz w:val="16"/>
        <w:szCs w:val="16"/>
        <w:lang w:val="es-HN"/>
      </w:rPr>
      <w:t xml:space="preserve"> </w:t>
    </w:r>
    <w:sdt>
      <w:sdtPr>
        <w:rPr>
          <w:rFonts w:ascii="Bookman Old Style" w:hAnsi="Bookman Old Style"/>
          <w:sz w:val="16"/>
          <w:szCs w:val="16"/>
        </w:rPr>
        <w:id w:val="-118229143"/>
        <w:docPartObj>
          <w:docPartGallery w:val="Page Numbers (Bottom of Page)"/>
          <w:docPartUnique/>
        </w:docPartObj>
      </w:sdtPr>
      <w:sdtContent>
        <w:r w:rsidRPr="00612497">
          <w:rPr>
            <w:rFonts w:ascii="Bookman Old Style" w:hAnsi="Bookman Old Style"/>
            <w:sz w:val="16"/>
            <w:szCs w:val="16"/>
          </w:rPr>
          <w:fldChar w:fldCharType="begin"/>
        </w:r>
        <w:r w:rsidRPr="00612497">
          <w:rPr>
            <w:rFonts w:ascii="Bookman Old Style" w:hAnsi="Bookman Old Style"/>
            <w:sz w:val="16"/>
            <w:szCs w:val="16"/>
          </w:rPr>
          <w:instrText>PAGE   \* MERGEFORMAT</w:instrText>
        </w:r>
        <w:r w:rsidRPr="00612497">
          <w:rPr>
            <w:rFonts w:ascii="Bookman Old Style" w:hAnsi="Bookman Old Style"/>
            <w:sz w:val="16"/>
            <w:szCs w:val="16"/>
          </w:rPr>
          <w:fldChar w:fldCharType="separate"/>
        </w:r>
        <w:r w:rsidRPr="00612497">
          <w:rPr>
            <w:rFonts w:ascii="Bookman Old Style" w:hAnsi="Bookman Old Style"/>
            <w:sz w:val="16"/>
            <w:szCs w:val="16"/>
            <w:lang w:val="es-ES"/>
          </w:rPr>
          <w:t>2</w:t>
        </w:r>
        <w:r w:rsidRPr="00612497">
          <w:rPr>
            <w:rFonts w:ascii="Bookman Old Style" w:hAnsi="Bookman Old Style"/>
            <w:sz w:val="16"/>
            <w:szCs w:val="16"/>
          </w:rPr>
          <w:fldChar w:fldCharType="end"/>
        </w:r>
        <w:r w:rsidRPr="00612497">
          <w:rPr>
            <w:rFonts w:ascii="Bookman Old Style" w:hAnsi="Bookman Old Style"/>
            <w:sz w:val="16"/>
            <w:szCs w:val="16"/>
          </w:rPr>
          <w:t>/8</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DBE" w:rsidRDefault="00BA6DBE" w:rsidP="00BA6DBE">
    <w:pPr>
      <w:pStyle w:val="Sinespaciado"/>
      <w:spacing w:line="276" w:lineRule="auto"/>
      <w:jc w:val="right"/>
    </w:pPr>
    <w:r>
      <w:tab/>
    </w:r>
  </w:p>
  <w:p w:rsidR="00BA6DBE" w:rsidRPr="00612497" w:rsidRDefault="00BA6DBE" w:rsidP="00BA6DBE">
    <w:pPr>
      <w:pStyle w:val="Sinespaciado"/>
      <w:spacing w:line="276" w:lineRule="auto"/>
      <w:jc w:val="right"/>
      <w:rPr>
        <w:rFonts w:ascii="Bookman Old Style" w:hAnsi="Bookman Old Style"/>
        <w:sz w:val="16"/>
        <w:szCs w:val="16"/>
      </w:rPr>
    </w:pPr>
    <w:r w:rsidRPr="00612497">
      <w:rPr>
        <w:rFonts w:ascii="Bookman Old Style" w:eastAsia="Times New Roman" w:hAnsi="Bookman Old Style" w:cs="Arial"/>
        <w:color w:val="000000"/>
        <w:sz w:val="16"/>
        <w:szCs w:val="16"/>
        <w:lang w:val="es-HN" w:eastAsia="es-ES"/>
      </w:rPr>
      <w:t>Oficio No. SSDH-PROMO-087-2019 pág.</w:t>
    </w:r>
    <w:r w:rsidRPr="00612497">
      <w:rPr>
        <w:rFonts w:ascii="Bookman Old Style" w:hAnsi="Bookman Old Style"/>
        <w:sz w:val="16"/>
        <w:szCs w:val="16"/>
        <w:lang w:val="es-HN"/>
      </w:rPr>
      <w:t xml:space="preserve"> </w:t>
    </w:r>
    <w:sdt>
      <w:sdtPr>
        <w:rPr>
          <w:rFonts w:ascii="Bookman Old Style" w:hAnsi="Bookman Old Style"/>
          <w:sz w:val="16"/>
          <w:szCs w:val="16"/>
        </w:rPr>
        <w:id w:val="-634489634"/>
        <w:docPartObj>
          <w:docPartGallery w:val="Page Numbers (Bottom of Page)"/>
          <w:docPartUnique/>
        </w:docPartObj>
      </w:sdtPr>
      <w:sdtContent>
        <w:r w:rsidRPr="00612497">
          <w:rPr>
            <w:rFonts w:ascii="Bookman Old Style" w:hAnsi="Bookman Old Style"/>
            <w:sz w:val="16"/>
            <w:szCs w:val="16"/>
          </w:rPr>
          <w:fldChar w:fldCharType="begin"/>
        </w:r>
        <w:r w:rsidRPr="00BA6DBE">
          <w:rPr>
            <w:rFonts w:ascii="Bookman Old Style" w:hAnsi="Bookman Old Style"/>
            <w:sz w:val="16"/>
            <w:szCs w:val="16"/>
            <w:lang w:val="es-HN"/>
          </w:rPr>
          <w:instrText>PAGE   \* MERGEFORMAT</w:instrText>
        </w:r>
        <w:r w:rsidRPr="00612497">
          <w:rPr>
            <w:rFonts w:ascii="Bookman Old Style" w:hAnsi="Bookman Old Style"/>
            <w:sz w:val="16"/>
            <w:szCs w:val="16"/>
          </w:rPr>
          <w:fldChar w:fldCharType="separate"/>
        </w:r>
        <w:r>
          <w:rPr>
            <w:rFonts w:ascii="Bookman Old Style" w:hAnsi="Bookman Old Style"/>
            <w:sz w:val="16"/>
            <w:szCs w:val="16"/>
          </w:rPr>
          <w:t>2</w:t>
        </w:r>
        <w:r w:rsidRPr="00612497">
          <w:rPr>
            <w:rFonts w:ascii="Bookman Old Style" w:hAnsi="Bookman Old Style"/>
            <w:sz w:val="16"/>
            <w:szCs w:val="16"/>
          </w:rPr>
          <w:fldChar w:fldCharType="end"/>
        </w:r>
        <w:r w:rsidRPr="00612497">
          <w:rPr>
            <w:rFonts w:ascii="Bookman Old Style" w:hAnsi="Bookman Old Style"/>
            <w:sz w:val="16"/>
            <w:szCs w:val="16"/>
          </w:rPr>
          <w:t>/8</w:t>
        </w:r>
      </w:sdtContent>
    </w:sdt>
  </w:p>
  <w:p w:rsidR="00BA6DBE" w:rsidRDefault="00BA6DBE" w:rsidP="00BA6DBE">
    <w:pPr>
      <w:pStyle w:val="Piedepgina"/>
      <w:tabs>
        <w:tab w:val="clear" w:pos="4419"/>
        <w:tab w:val="clear" w:pos="8838"/>
        <w:tab w:val="left" w:pos="60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455" w:rsidRDefault="001C2455" w:rsidP="007241A2">
      <w:pPr>
        <w:spacing w:after="0" w:line="240" w:lineRule="auto"/>
      </w:pPr>
      <w:r>
        <w:separator/>
      </w:r>
    </w:p>
  </w:footnote>
  <w:footnote w:type="continuationSeparator" w:id="0">
    <w:p w:rsidR="001C2455" w:rsidRDefault="001C2455" w:rsidP="007241A2">
      <w:pPr>
        <w:spacing w:after="0" w:line="240" w:lineRule="auto"/>
      </w:pPr>
      <w:r>
        <w:continuationSeparator/>
      </w:r>
    </w:p>
  </w:footnote>
  <w:footnote w:id="1">
    <w:p w:rsidR="00F17F04" w:rsidRPr="00D64611" w:rsidRDefault="00F17F04" w:rsidP="00D64611">
      <w:pPr>
        <w:pStyle w:val="Textonotapie"/>
        <w:jc w:val="both"/>
        <w:rPr>
          <w:rFonts w:cstheme="minorHAnsi"/>
          <w:lang w:val="es-ES"/>
        </w:rPr>
      </w:pPr>
      <w:r w:rsidRPr="00D64611">
        <w:rPr>
          <w:rStyle w:val="Refdenotaalpie"/>
          <w:rFonts w:cstheme="minorHAnsi"/>
        </w:rPr>
        <w:footnoteRef/>
      </w:r>
      <w:r w:rsidR="00D64611">
        <w:rPr>
          <w:rFonts w:cstheme="minorHAnsi"/>
        </w:rPr>
        <w:t xml:space="preserve">Ley contra el Financiamiento del Terrorismo. </w:t>
      </w:r>
      <w:r w:rsidRPr="00D64611">
        <w:rPr>
          <w:rFonts w:cstheme="minorHAnsi"/>
        </w:rPr>
        <w:t xml:space="preserve">Artículo 1. Disponible en: </w:t>
      </w:r>
      <w:hyperlink r:id="rId1" w:history="1">
        <w:r w:rsidRPr="00D64611">
          <w:rPr>
            <w:rStyle w:val="Hipervnculo"/>
            <w:rFonts w:cstheme="minorHAnsi"/>
          </w:rPr>
          <w:t>http://www.poderjudicial.gob.hn/CEDIJ/Documents/Ley%20Contra%20el%20Financiamiento%20del%20Terrorismo.pdf</w:t>
        </w:r>
      </w:hyperlink>
    </w:p>
  </w:footnote>
  <w:footnote w:id="2">
    <w:p w:rsidR="00F17F04" w:rsidRPr="00D64611" w:rsidRDefault="00F17F04" w:rsidP="00D64611">
      <w:pPr>
        <w:pStyle w:val="Textonotapie"/>
        <w:jc w:val="both"/>
        <w:rPr>
          <w:rFonts w:cstheme="minorHAnsi"/>
          <w:lang w:val="es-ES"/>
        </w:rPr>
      </w:pPr>
      <w:r w:rsidRPr="00D64611">
        <w:rPr>
          <w:rStyle w:val="Refdenotaalpie"/>
          <w:rFonts w:cstheme="minorHAnsi"/>
        </w:rPr>
        <w:footnoteRef/>
      </w:r>
      <w:r w:rsidRPr="00D64611">
        <w:rPr>
          <w:rFonts w:cstheme="minorHAnsi"/>
        </w:rPr>
        <w:t xml:space="preserve"> </w:t>
      </w:r>
      <w:r w:rsidR="00D64611">
        <w:rPr>
          <w:rFonts w:cstheme="minorHAnsi"/>
        </w:rPr>
        <w:t xml:space="preserve">Reglamento para la Prevención y Detección de Financiamiento de Terrorismo. </w:t>
      </w:r>
      <w:r w:rsidRPr="00D64611">
        <w:rPr>
          <w:rFonts w:cstheme="minorHAnsi"/>
        </w:rPr>
        <w:t xml:space="preserve">Artículo 1. Disponible en: </w:t>
      </w:r>
      <w:hyperlink r:id="rId2" w:history="1">
        <w:r w:rsidRPr="00D64611">
          <w:rPr>
            <w:rStyle w:val="Hipervnculo"/>
            <w:rFonts w:cstheme="minorHAnsi"/>
          </w:rPr>
          <w:t>http://www.poderjudicial.gob.hn/CEDIJ/Leyes/Documents/Reglamento%20para%20Prevencion%20y%20Deteccion%20de%20Financiamiento%20del%20Terrorismo.PDF</w:t>
        </w:r>
      </w:hyperlink>
    </w:p>
  </w:footnote>
  <w:footnote w:id="3">
    <w:p w:rsidR="00656941" w:rsidRPr="00D64611" w:rsidRDefault="00656941" w:rsidP="00D64611">
      <w:pPr>
        <w:pStyle w:val="Textonotapie"/>
        <w:jc w:val="both"/>
        <w:rPr>
          <w:rFonts w:cstheme="minorHAnsi"/>
          <w:lang w:val="es-ES"/>
        </w:rPr>
      </w:pPr>
      <w:r w:rsidRPr="00D64611">
        <w:rPr>
          <w:rStyle w:val="Refdenotaalpie"/>
          <w:rFonts w:cstheme="minorHAnsi"/>
        </w:rPr>
        <w:footnoteRef/>
      </w:r>
      <w:r w:rsidR="00D64611" w:rsidRPr="00D64611">
        <w:rPr>
          <w:rFonts w:cstheme="minorHAnsi"/>
        </w:rPr>
        <w:t>Ley para la Regulación de Actividades y Profesiones no Financieras Designadas</w:t>
      </w:r>
      <w:r w:rsidR="00D64611">
        <w:rPr>
          <w:rFonts w:cstheme="minorHAnsi"/>
        </w:rPr>
        <w:t>.</w:t>
      </w:r>
      <w:r w:rsidRPr="00D64611">
        <w:rPr>
          <w:rFonts w:cstheme="minorHAnsi"/>
        </w:rPr>
        <w:t xml:space="preserve"> Artículo 1. Disponible en: </w:t>
      </w:r>
      <w:hyperlink r:id="rId3" w:history="1">
        <w:r w:rsidRPr="00D64611">
          <w:rPr>
            <w:rStyle w:val="Hipervnculo"/>
            <w:rFonts w:cstheme="minorHAnsi"/>
          </w:rPr>
          <w:t>http://congresonacional.hn/wp-content/uploads/2018/11/decreto-33718.pdf</w:t>
        </w:r>
      </w:hyperlink>
    </w:p>
  </w:footnote>
  <w:footnote w:id="4">
    <w:p w:rsidR="00C84B10" w:rsidRPr="00D64611" w:rsidRDefault="00C84B10" w:rsidP="00D64611">
      <w:pPr>
        <w:pStyle w:val="Textonotapie"/>
        <w:jc w:val="both"/>
        <w:rPr>
          <w:rFonts w:cstheme="minorHAnsi"/>
          <w:lang w:val="es-ES"/>
        </w:rPr>
      </w:pPr>
      <w:r w:rsidRPr="00D64611">
        <w:rPr>
          <w:rStyle w:val="Refdenotaalpie"/>
          <w:rFonts w:cstheme="minorHAnsi"/>
        </w:rPr>
        <w:footnoteRef/>
      </w:r>
      <w:r w:rsidRPr="00D64611">
        <w:rPr>
          <w:rFonts w:cstheme="minorHAnsi"/>
        </w:rPr>
        <w:t xml:space="preserve">Informe sobre Terrorismo y Derechos Humanos. Prefacio. Disponible en:  </w:t>
      </w:r>
      <w:hyperlink r:id="rId4" w:history="1">
        <w:r w:rsidRPr="00D64611">
          <w:rPr>
            <w:rStyle w:val="Hipervnculo"/>
            <w:rFonts w:cstheme="minorHAnsi"/>
          </w:rPr>
          <w:t>http://www.cidh.org/Terrorism/Span/prefacio.htm</w:t>
        </w:r>
      </w:hyperlink>
    </w:p>
  </w:footnote>
  <w:footnote w:id="5">
    <w:p w:rsidR="00C604E4" w:rsidRPr="00D64611" w:rsidRDefault="00C604E4" w:rsidP="00D64611">
      <w:pPr>
        <w:pStyle w:val="Textonotapie"/>
        <w:jc w:val="both"/>
        <w:rPr>
          <w:rFonts w:cstheme="minorHAnsi"/>
        </w:rPr>
      </w:pPr>
      <w:r w:rsidRPr="00D64611">
        <w:rPr>
          <w:rStyle w:val="Refdenotaalpie"/>
          <w:rFonts w:cstheme="minorHAnsi"/>
        </w:rPr>
        <w:footnoteRef/>
      </w:r>
      <w:r w:rsidR="00D64611" w:rsidRPr="00D64611">
        <w:rPr>
          <w:rFonts w:cstheme="minorHAnsi"/>
        </w:rPr>
        <w:t>Tratado Marco de Seguridad Democrática en Centroamérica</w:t>
      </w:r>
      <w:r w:rsidR="00D64611">
        <w:rPr>
          <w:rFonts w:cstheme="minorHAnsi"/>
        </w:rPr>
        <w:t xml:space="preserve">. </w:t>
      </w:r>
      <w:r w:rsidRPr="00D64611">
        <w:rPr>
          <w:rFonts w:cstheme="minorHAnsi"/>
        </w:rPr>
        <w:t xml:space="preserve">TITULO II: </w:t>
      </w:r>
      <w:r w:rsidR="00D64611">
        <w:rPr>
          <w:rFonts w:cstheme="minorHAnsi"/>
        </w:rPr>
        <w:t>Seguridad de las Personas y s</w:t>
      </w:r>
      <w:r w:rsidR="00D64611" w:rsidRPr="00D64611">
        <w:rPr>
          <w:rFonts w:cstheme="minorHAnsi"/>
        </w:rPr>
        <w:t>us Bienes</w:t>
      </w:r>
      <w:r w:rsidRPr="00D64611">
        <w:rPr>
          <w:rFonts w:cstheme="minorHAnsi"/>
        </w:rPr>
        <w:t xml:space="preserve">. Artículo 11. Disponible en: </w:t>
      </w:r>
      <w:hyperlink r:id="rId5" w:history="1">
        <w:r w:rsidRPr="00D64611">
          <w:rPr>
            <w:rStyle w:val="Hipervnculo"/>
            <w:rFonts w:cstheme="minorHAnsi"/>
          </w:rPr>
          <w:t>https://www.oas.org/csh/spanish/c&amp;ttratadocentroamerica.asp</w:t>
        </w:r>
      </w:hyperlink>
    </w:p>
  </w:footnote>
  <w:footnote w:id="6">
    <w:p w:rsidR="008E43D3" w:rsidRPr="00D64611" w:rsidRDefault="008E43D3" w:rsidP="00D64611">
      <w:pPr>
        <w:pStyle w:val="Textonotapie"/>
        <w:jc w:val="both"/>
        <w:rPr>
          <w:rFonts w:cstheme="minorHAnsi"/>
        </w:rPr>
      </w:pPr>
      <w:r w:rsidRPr="00D64611">
        <w:rPr>
          <w:rStyle w:val="Refdenotaalpie"/>
          <w:rFonts w:cstheme="minorHAnsi"/>
        </w:rPr>
        <w:footnoteRef/>
      </w:r>
      <w:r w:rsidR="00D64611" w:rsidRPr="00D64611">
        <w:rPr>
          <w:rFonts w:cstheme="minorHAnsi"/>
          <w:b/>
        </w:rPr>
        <w:t>Comisión Interamericana de Derechos Humanos (CIDH)</w:t>
      </w:r>
      <w:r w:rsidR="00D64611">
        <w:rPr>
          <w:rFonts w:cstheme="minorHAnsi"/>
        </w:rPr>
        <w:t>.</w:t>
      </w:r>
      <w:r w:rsidRPr="00D64611">
        <w:rPr>
          <w:rFonts w:cstheme="minorHAnsi"/>
        </w:rPr>
        <w:t xml:space="preserve"> Violencia, niñez y crimen organizado. Párr. 576. Disponible en:  </w:t>
      </w:r>
      <w:hyperlink r:id="rId6" w:history="1">
        <w:r w:rsidRPr="00D64611">
          <w:rPr>
            <w:rStyle w:val="Hipervnculo"/>
            <w:rFonts w:cstheme="minorHAnsi"/>
          </w:rPr>
          <w:t>http://www.oas.org/es/cidh/informes/pdfs/ViolenciaNinez2016.pdf</w:t>
        </w:r>
      </w:hyperlink>
    </w:p>
  </w:footnote>
  <w:footnote w:id="7">
    <w:p w:rsidR="00265061" w:rsidRPr="00D64611" w:rsidRDefault="00265061" w:rsidP="00D64611">
      <w:pPr>
        <w:pStyle w:val="Textonotapie"/>
        <w:jc w:val="both"/>
        <w:rPr>
          <w:rFonts w:cstheme="minorHAnsi"/>
          <w:lang w:val="es-ES"/>
        </w:rPr>
      </w:pPr>
      <w:r w:rsidRPr="00D64611">
        <w:rPr>
          <w:rStyle w:val="Refdenotaalpie"/>
          <w:rFonts w:cstheme="minorHAnsi"/>
        </w:rPr>
        <w:footnoteRef/>
      </w:r>
      <w:r w:rsidR="00D64611">
        <w:rPr>
          <w:rFonts w:cstheme="minorHAnsi"/>
        </w:rPr>
        <w:t>Código de la Niñez y</w:t>
      </w:r>
      <w:r w:rsidR="00D64611" w:rsidRPr="00D64611">
        <w:rPr>
          <w:rFonts w:cstheme="minorHAnsi"/>
        </w:rPr>
        <w:t xml:space="preserve"> Adolescencia</w:t>
      </w:r>
      <w:r w:rsidR="00D64611">
        <w:rPr>
          <w:rFonts w:cstheme="minorHAnsi"/>
        </w:rPr>
        <w:t xml:space="preserve">. </w:t>
      </w:r>
      <w:r w:rsidR="00D64611">
        <w:rPr>
          <w:rFonts w:cstheme="minorHAnsi"/>
          <w:i/>
        </w:rPr>
        <w:t>A</w:t>
      </w:r>
      <w:r w:rsidR="00D64611">
        <w:rPr>
          <w:rFonts w:cstheme="minorHAnsi"/>
        </w:rPr>
        <w:t>rtículo 180-B.</w:t>
      </w:r>
      <w:r w:rsidRPr="00D64611">
        <w:rPr>
          <w:rFonts w:cstheme="minorHAnsi"/>
          <w:i/>
        </w:rPr>
        <w:t xml:space="preserve"> </w:t>
      </w:r>
    </w:p>
  </w:footnote>
  <w:footnote w:id="8">
    <w:p w:rsidR="00265061" w:rsidRPr="00D64611" w:rsidRDefault="00265061" w:rsidP="00D64611">
      <w:pPr>
        <w:pStyle w:val="Textonotapie"/>
        <w:jc w:val="both"/>
        <w:rPr>
          <w:rFonts w:cstheme="minorHAnsi"/>
          <w:lang w:val="es-ES"/>
        </w:rPr>
      </w:pPr>
      <w:r w:rsidRPr="00D64611">
        <w:rPr>
          <w:rStyle w:val="Refdenotaalpie"/>
          <w:rFonts w:cstheme="minorHAnsi"/>
        </w:rPr>
        <w:footnoteRef/>
      </w:r>
      <w:r w:rsidR="00D64611" w:rsidRPr="00D64611">
        <w:rPr>
          <w:rFonts w:cstheme="minorHAnsi"/>
        </w:rPr>
        <w:t xml:space="preserve">Disponible en: </w:t>
      </w:r>
      <w:hyperlink r:id="rId7" w:history="1">
        <w:r w:rsidR="00D64611" w:rsidRPr="00D470D1">
          <w:rPr>
            <w:rStyle w:val="Hipervnculo"/>
            <w:rFonts w:cstheme="minorHAnsi"/>
          </w:rPr>
          <w:t>https://www.policianacional.gob.hn/subsecretaria-de-seguridad-en-el-despacho-de-prevencion</w:t>
        </w:r>
      </w:hyperlink>
      <w:r w:rsidR="00D64611">
        <w:rPr>
          <w:rFonts w:cstheme="minorHAnsi"/>
        </w:rPr>
        <w:t xml:space="preserve"> </w:t>
      </w:r>
    </w:p>
  </w:footnote>
  <w:footnote w:id="9">
    <w:p w:rsidR="00C96C6A" w:rsidRPr="00D64611" w:rsidRDefault="00C96C6A" w:rsidP="00D64611">
      <w:pPr>
        <w:pStyle w:val="Textonotapie"/>
        <w:jc w:val="both"/>
        <w:rPr>
          <w:rFonts w:cstheme="minorHAnsi"/>
          <w:lang w:val="es-ES"/>
        </w:rPr>
      </w:pPr>
      <w:r w:rsidRPr="00D64611">
        <w:rPr>
          <w:rStyle w:val="Refdenotaalpie"/>
          <w:rFonts w:cstheme="minorHAnsi"/>
        </w:rPr>
        <w:footnoteRef/>
      </w:r>
      <w:r w:rsidRPr="00D64611">
        <w:rPr>
          <w:rFonts w:cstheme="minorHAnsi"/>
          <w:b/>
        </w:rPr>
        <w:t>Decreto No. PCM 18-2017</w:t>
      </w:r>
      <w:r w:rsidR="00D64611">
        <w:rPr>
          <w:rFonts w:cstheme="minorHAnsi"/>
        </w:rPr>
        <w:t>.</w:t>
      </w:r>
      <w:r w:rsidRPr="00D64611">
        <w:rPr>
          <w:rFonts w:cstheme="minorHAnsi"/>
        </w:rPr>
        <w:t xml:space="preserve"> Publicada en el diario oficial La Gaceta del 20 de enero de 2018</w:t>
      </w:r>
    </w:p>
  </w:footnote>
  <w:footnote w:id="10">
    <w:p w:rsidR="00C96C6A" w:rsidRPr="00D64611" w:rsidRDefault="00C96C6A" w:rsidP="00D64611">
      <w:pPr>
        <w:pStyle w:val="Textonotapie"/>
        <w:jc w:val="both"/>
        <w:rPr>
          <w:rFonts w:cstheme="minorHAnsi"/>
          <w:lang w:val="es-ES"/>
        </w:rPr>
      </w:pPr>
      <w:r w:rsidRPr="00D64611">
        <w:rPr>
          <w:rStyle w:val="Refdenotaalpie"/>
          <w:rFonts w:cstheme="minorHAnsi"/>
        </w:rPr>
        <w:footnoteRef/>
      </w:r>
      <w:r w:rsidRPr="00D64611">
        <w:rPr>
          <w:rFonts w:cstheme="minorHAnsi"/>
          <w:b/>
        </w:rPr>
        <w:t>Secretaria de Derechos Humanos.</w:t>
      </w:r>
      <w:r w:rsidRPr="00D64611">
        <w:rPr>
          <w:rFonts w:cstheme="minorHAnsi"/>
        </w:rPr>
        <w:t xml:space="preserve"> Informe sobre la Situación de los Derechos Humanos en Honduras (2018). </w:t>
      </w:r>
      <w:r w:rsidR="00D64611">
        <w:rPr>
          <w:rFonts w:cstheme="minorHAnsi"/>
        </w:rPr>
        <w:t>Principales Avances en el Combate al Crimen O</w:t>
      </w:r>
      <w:r w:rsidRPr="00D64611">
        <w:rPr>
          <w:rFonts w:cstheme="minorHAnsi"/>
        </w:rPr>
        <w:t>rganizado. Pág. 12</w:t>
      </w:r>
    </w:p>
  </w:footnote>
  <w:footnote w:id="11">
    <w:p w:rsidR="00D64611" w:rsidRPr="00D64611" w:rsidRDefault="00D64611" w:rsidP="00D64611">
      <w:pPr>
        <w:pStyle w:val="Textonotapie"/>
        <w:jc w:val="both"/>
        <w:rPr>
          <w:rFonts w:cstheme="minorHAnsi"/>
          <w:lang w:val="en-US"/>
        </w:rPr>
      </w:pPr>
      <w:r w:rsidRPr="00D64611">
        <w:rPr>
          <w:rStyle w:val="Refdenotaalpie"/>
          <w:rFonts w:cstheme="minorHAnsi"/>
        </w:rPr>
        <w:footnoteRef/>
      </w:r>
      <w:r w:rsidRPr="00612497">
        <w:rPr>
          <w:rFonts w:cstheme="minorHAnsi"/>
          <w:lang w:val="es-HN"/>
        </w:rPr>
        <w:t xml:space="preserve">Ibidem. </w:t>
      </w:r>
      <w:r w:rsidRPr="00D64611">
        <w:rPr>
          <w:rFonts w:cstheme="minorHAnsi"/>
          <w:lang w:val="en-US"/>
        </w:rPr>
        <w:t xml:space="preserve">Pag. 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DBE" w:rsidRDefault="00BA6DBE">
    <w:pPr>
      <w:pStyle w:val="Encabezado"/>
    </w:pPr>
    <w:r>
      <w:rPr>
        <w:noProof/>
        <w:lang w:val="en-US" w:eastAsia="en-US"/>
      </w:rPr>
      <w:drawing>
        <wp:anchor distT="0" distB="0" distL="114300" distR="114300" simplePos="0" relativeHeight="251660288" behindDoc="1" locked="0" layoutInCell="1" allowOverlap="1" wp14:anchorId="5BA44B97" wp14:editId="48F4D99D">
          <wp:simplePos x="0" y="0"/>
          <wp:positionH relativeFrom="page">
            <wp:posOffset>3810</wp:posOffset>
          </wp:positionH>
          <wp:positionV relativeFrom="paragraph">
            <wp:posOffset>-1190625</wp:posOffset>
          </wp:positionV>
          <wp:extent cx="7789314" cy="10079925"/>
          <wp:effectExtent l="0" t="0" r="254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l Membretado Tamaño Carta-01.jpg"/>
                  <pic:cNvPicPr/>
                </pic:nvPicPr>
                <pic:blipFill>
                  <a:blip r:embed="rId1">
                    <a:extLst>
                      <a:ext uri="{28A0092B-C50C-407E-A947-70E740481C1C}">
                        <a14:useLocalDpi xmlns:a14="http://schemas.microsoft.com/office/drawing/2010/main" val="0"/>
                      </a:ext>
                    </a:extLst>
                  </a:blip>
                  <a:stretch>
                    <a:fillRect/>
                  </a:stretch>
                </pic:blipFill>
                <pic:spPr>
                  <a:xfrm>
                    <a:off x="0" y="0"/>
                    <a:ext cx="7789314" cy="10079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3BA8"/>
    <w:multiLevelType w:val="hybridMultilevel"/>
    <w:tmpl w:val="7C5A1CC2"/>
    <w:lvl w:ilvl="0" w:tplc="627A814A">
      <w:start w:val="1"/>
      <w:numFmt w:val="decimal"/>
      <w:lvlText w:val="%1)"/>
      <w:lvlJc w:val="left"/>
      <w:pPr>
        <w:ind w:left="1068" w:hanging="360"/>
      </w:pPr>
      <w:rPr>
        <w:rFonts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 w15:restartNumberingAfterBreak="0">
    <w:nsid w:val="0A9410A8"/>
    <w:multiLevelType w:val="hybridMultilevel"/>
    <w:tmpl w:val="AEE63440"/>
    <w:lvl w:ilvl="0" w:tplc="8AA205A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8337E"/>
    <w:multiLevelType w:val="hybridMultilevel"/>
    <w:tmpl w:val="2D7C3F9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04F4800"/>
    <w:multiLevelType w:val="hybridMultilevel"/>
    <w:tmpl w:val="E5B63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B27AD"/>
    <w:multiLevelType w:val="hybridMultilevel"/>
    <w:tmpl w:val="3D1019EA"/>
    <w:lvl w:ilvl="0" w:tplc="8E56F4AE">
      <w:start w:val="1"/>
      <w:numFmt w:val="lowerLetter"/>
      <w:lvlText w:val="%1."/>
      <w:lvlJc w:val="left"/>
      <w:pPr>
        <w:ind w:left="720" w:hanging="360"/>
      </w:pPr>
      <w:rPr>
        <w:rFonts w:ascii="Helvetica" w:eastAsiaTheme="minorEastAsia" w:hAnsi="Helvetica" w:cs="Helvetica"/>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80DDE"/>
    <w:multiLevelType w:val="hybridMultilevel"/>
    <w:tmpl w:val="60AAE98C"/>
    <w:lvl w:ilvl="0" w:tplc="38B627DA">
      <w:start w:val="1"/>
      <w:numFmt w:val="decimal"/>
      <w:lvlText w:val="%1."/>
      <w:lvlJc w:val="left"/>
      <w:pPr>
        <w:ind w:left="720" w:hanging="360"/>
      </w:pPr>
      <w:rPr>
        <w:rFonts w:hint="default"/>
        <w:b/>
        <w:bC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292662A5"/>
    <w:multiLevelType w:val="hybridMultilevel"/>
    <w:tmpl w:val="A6D83654"/>
    <w:lvl w:ilvl="0" w:tplc="C47C81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07758"/>
    <w:multiLevelType w:val="hybridMultilevel"/>
    <w:tmpl w:val="6454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12008"/>
    <w:multiLevelType w:val="hybridMultilevel"/>
    <w:tmpl w:val="1354E454"/>
    <w:lvl w:ilvl="0" w:tplc="480A0001">
      <w:start w:val="1"/>
      <w:numFmt w:val="bullet"/>
      <w:lvlText w:val=""/>
      <w:lvlJc w:val="left"/>
      <w:pPr>
        <w:ind w:left="1485" w:hanging="360"/>
      </w:pPr>
      <w:rPr>
        <w:rFonts w:ascii="Symbol" w:hAnsi="Symbol" w:hint="default"/>
      </w:rPr>
    </w:lvl>
    <w:lvl w:ilvl="1" w:tplc="480A0003" w:tentative="1">
      <w:start w:val="1"/>
      <w:numFmt w:val="bullet"/>
      <w:lvlText w:val="o"/>
      <w:lvlJc w:val="left"/>
      <w:pPr>
        <w:ind w:left="2205" w:hanging="360"/>
      </w:pPr>
      <w:rPr>
        <w:rFonts w:ascii="Courier New" w:hAnsi="Courier New" w:cs="Courier New" w:hint="default"/>
      </w:rPr>
    </w:lvl>
    <w:lvl w:ilvl="2" w:tplc="480A0005" w:tentative="1">
      <w:start w:val="1"/>
      <w:numFmt w:val="bullet"/>
      <w:lvlText w:val=""/>
      <w:lvlJc w:val="left"/>
      <w:pPr>
        <w:ind w:left="2925" w:hanging="360"/>
      </w:pPr>
      <w:rPr>
        <w:rFonts w:ascii="Wingdings" w:hAnsi="Wingdings" w:hint="default"/>
      </w:rPr>
    </w:lvl>
    <w:lvl w:ilvl="3" w:tplc="480A0001" w:tentative="1">
      <w:start w:val="1"/>
      <w:numFmt w:val="bullet"/>
      <w:lvlText w:val=""/>
      <w:lvlJc w:val="left"/>
      <w:pPr>
        <w:ind w:left="3645" w:hanging="360"/>
      </w:pPr>
      <w:rPr>
        <w:rFonts w:ascii="Symbol" w:hAnsi="Symbol" w:hint="default"/>
      </w:rPr>
    </w:lvl>
    <w:lvl w:ilvl="4" w:tplc="480A0003" w:tentative="1">
      <w:start w:val="1"/>
      <w:numFmt w:val="bullet"/>
      <w:lvlText w:val="o"/>
      <w:lvlJc w:val="left"/>
      <w:pPr>
        <w:ind w:left="4365" w:hanging="360"/>
      </w:pPr>
      <w:rPr>
        <w:rFonts w:ascii="Courier New" w:hAnsi="Courier New" w:cs="Courier New" w:hint="default"/>
      </w:rPr>
    </w:lvl>
    <w:lvl w:ilvl="5" w:tplc="480A0005" w:tentative="1">
      <w:start w:val="1"/>
      <w:numFmt w:val="bullet"/>
      <w:lvlText w:val=""/>
      <w:lvlJc w:val="left"/>
      <w:pPr>
        <w:ind w:left="5085" w:hanging="360"/>
      </w:pPr>
      <w:rPr>
        <w:rFonts w:ascii="Wingdings" w:hAnsi="Wingdings" w:hint="default"/>
      </w:rPr>
    </w:lvl>
    <w:lvl w:ilvl="6" w:tplc="480A0001" w:tentative="1">
      <w:start w:val="1"/>
      <w:numFmt w:val="bullet"/>
      <w:lvlText w:val=""/>
      <w:lvlJc w:val="left"/>
      <w:pPr>
        <w:ind w:left="5805" w:hanging="360"/>
      </w:pPr>
      <w:rPr>
        <w:rFonts w:ascii="Symbol" w:hAnsi="Symbol" w:hint="default"/>
      </w:rPr>
    </w:lvl>
    <w:lvl w:ilvl="7" w:tplc="480A0003" w:tentative="1">
      <w:start w:val="1"/>
      <w:numFmt w:val="bullet"/>
      <w:lvlText w:val="o"/>
      <w:lvlJc w:val="left"/>
      <w:pPr>
        <w:ind w:left="6525" w:hanging="360"/>
      </w:pPr>
      <w:rPr>
        <w:rFonts w:ascii="Courier New" w:hAnsi="Courier New" w:cs="Courier New" w:hint="default"/>
      </w:rPr>
    </w:lvl>
    <w:lvl w:ilvl="8" w:tplc="480A0005" w:tentative="1">
      <w:start w:val="1"/>
      <w:numFmt w:val="bullet"/>
      <w:lvlText w:val=""/>
      <w:lvlJc w:val="left"/>
      <w:pPr>
        <w:ind w:left="7245" w:hanging="360"/>
      </w:pPr>
      <w:rPr>
        <w:rFonts w:ascii="Wingdings" w:hAnsi="Wingdings" w:hint="default"/>
      </w:rPr>
    </w:lvl>
  </w:abstractNum>
  <w:abstractNum w:abstractNumId="9" w15:restartNumberingAfterBreak="0">
    <w:nsid w:val="32E64C3F"/>
    <w:multiLevelType w:val="hybridMultilevel"/>
    <w:tmpl w:val="89FCFBA8"/>
    <w:lvl w:ilvl="0" w:tplc="FFFFFFFF">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584AF5"/>
    <w:multiLevelType w:val="hybridMultilevel"/>
    <w:tmpl w:val="EBDC1F86"/>
    <w:lvl w:ilvl="0" w:tplc="DFBCE9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02CF9"/>
    <w:multiLevelType w:val="hybridMultilevel"/>
    <w:tmpl w:val="D8F24774"/>
    <w:lvl w:ilvl="0" w:tplc="C1B61F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057A33"/>
    <w:multiLevelType w:val="multilevel"/>
    <w:tmpl w:val="9038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C0FA2"/>
    <w:multiLevelType w:val="hybridMultilevel"/>
    <w:tmpl w:val="776E25E8"/>
    <w:lvl w:ilvl="0" w:tplc="480A0001">
      <w:start w:val="1"/>
      <w:numFmt w:val="bullet"/>
      <w:lvlText w:val=""/>
      <w:lvlJc w:val="left"/>
      <w:pPr>
        <w:ind w:left="960" w:hanging="360"/>
      </w:pPr>
      <w:rPr>
        <w:rFonts w:ascii="Symbol" w:hAnsi="Symbol" w:hint="default"/>
      </w:rPr>
    </w:lvl>
    <w:lvl w:ilvl="1" w:tplc="480A0003" w:tentative="1">
      <w:start w:val="1"/>
      <w:numFmt w:val="bullet"/>
      <w:lvlText w:val="o"/>
      <w:lvlJc w:val="left"/>
      <w:pPr>
        <w:ind w:left="1680" w:hanging="360"/>
      </w:pPr>
      <w:rPr>
        <w:rFonts w:ascii="Courier New" w:hAnsi="Courier New" w:cs="Courier New" w:hint="default"/>
      </w:rPr>
    </w:lvl>
    <w:lvl w:ilvl="2" w:tplc="480A0005" w:tentative="1">
      <w:start w:val="1"/>
      <w:numFmt w:val="bullet"/>
      <w:lvlText w:val=""/>
      <w:lvlJc w:val="left"/>
      <w:pPr>
        <w:ind w:left="2400" w:hanging="360"/>
      </w:pPr>
      <w:rPr>
        <w:rFonts w:ascii="Wingdings" w:hAnsi="Wingdings" w:hint="default"/>
      </w:rPr>
    </w:lvl>
    <w:lvl w:ilvl="3" w:tplc="480A0001" w:tentative="1">
      <w:start w:val="1"/>
      <w:numFmt w:val="bullet"/>
      <w:lvlText w:val=""/>
      <w:lvlJc w:val="left"/>
      <w:pPr>
        <w:ind w:left="3120" w:hanging="360"/>
      </w:pPr>
      <w:rPr>
        <w:rFonts w:ascii="Symbol" w:hAnsi="Symbol" w:hint="default"/>
      </w:rPr>
    </w:lvl>
    <w:lvl w:ilvl="4" w:tplc="480A0003" w:tentative="1">
      <w:start w:val="1"/>
      <w:numFmt w:val="bullet"/>
      <w:lvlText w:val="o"/>
      <w:lvlJc w:val="left"/>
      <w:pPr>
        <w:ind w:left="3840" w:hanging="360"/>
      </w:pPr>
      <w:rPr>
        <w:rFonts w:ascii="Courier New" w:hAnsi="Courier New" w:cs="Courier New" w:hint="default"/>
      </w:rPr>
    </w:lvl>
    <w:lvl w:ilvl="5" w:tplc="480A0005" w:tentative="1">
      <w:start w:val="1"/>
      <w:numFmt w:val="bullet"/>
      <w:lvlText w:val=""/>
      <w:lvlJc w:val="left"/>
      <w:pPr>
        <w:ind w:left="4560" w:hanging="360"/>
      </w:pPr>
      <w:rPr>
        <w:rFonts w:ascii="Wingdings" w:hAnsi="Wingdings" w:hint="default"/>
      </w:rPr>
    </w:lvl>
    <w:lvl w:ilvl="6" w:tplc="480A0001" w:tentative="1">
      <w:start w:val="1"/>
      <w:numFmt w:val="bullet"/>
      <w:lvlText w:val=""/>
      <w:lvlJc w:val="left"/>
      <w:pPr>
        <w:ind w:left="5280" w:hanging="360"/>
      </w:pPr>
      <w:rPr>
        <w:rFonts w:ascii="Symbol" w:hAnsi="Symbol" w:hint="default"/>
      </w:rPr>
    </w:lvl>
    <w:lvl w:ilvl="7" w:tplc="480A0003" w:tentative="1">
      <w:start w:val="1"/>
      <w:numFmt w:val="bullet"/>
      <w:lvlText w:val="o"/>
      <w:lvlJc w:val="left"/>
      <w:pPr>
        <w:ind w:left="6000" w:hanging="360"/>
      </w:pPr>
      <w:rPr>
        <w:rFonts w:ascii="Courier New" w:hAnsi="Courier New" w:cs="Courier New" w:hint="default"/>
      </w:rPr>
    </w:lvl>
    <w:lvl w:ilvl="8" w:tplc="480A0005" w:tentative="1">
      <w:start w:val="1"/>
      <w:numFmt w:val="bullet"/>
      <w:lvlText w:val=""/>
      <w:lvlJc w:val="left"/>
      <w:pPr>
        <w:ind w:left="6720" w:hanging="360"/>
      </w:pPr>
      <w:rPr>
        <w:rFonts w:ascii="Wingdings" w:hAnsi="Wingdings" w:hint="default"/>
      </w:rPr>
    </w:lvl>
  </w:abstractNum>
  <w:abstractNum w:abstractNumId="14" w15:restartNumberingAfterBreak="0">
    <w:nsid w:val="50C14D6B"/>
    <w:multiLevelType w:val="hybridMultilevel"/>
    <w:tmpl w:val="9392DD50"/>
    <w:lvl w:ilvl="0" w:tplc="D744D7CE">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512655CB"/>
    <w:multiLevelType w:val="hybridMultilevel"/>
    <w:tmpl w:val="15083EAA"/>
    <w:lvl w:ilvl="0" w:tplc="8B6054EA">
      <w:start w:val="1"/>
      <w:numFmt w:val="lowerLetter"/>
      <w:lvlText w:val="%1."/>
      <w:lvlJc w:val="left"/>
      <w:pPr>
        <w:ind w:left="720" w:hanging="360"/>
      </w:pPr>
      <w:rPr>
        <w:rFonts w:eastAsiaTheme="minorEastAsia"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719A4"/>
    <w:multiLevelType w:val="hybridMultilevel"/>
    <w:tmpl w:val="69F41264"/>
    <w:lvl w:ilvl="0" w:tplc="480A0015">
      <w:start w:val="1"/>
      <w:numFmt w:val="upp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7" w15:restartNumberingAfterBreak="0">
    <w:nsid w:val="57E70FF5"/>
    <w:multiLevelType w:val="hybridMultilevel"/>
    <w:tmpl w:val="0764C3F6"/>
    <w:lvl w:ilvl="0" w:tplc="B28E6D5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F0E91"/>
    <w:multiLevelType w:val="hybridMultilevel"/>
    <w:tmpl w:val="A612A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86361"/>
    <w:multiLevelType w:val="hybridMultilevel"/>
    <w:tmpl w:val="1570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165842"/>
    <w:multiLevelType w:val="hybridMultilevel"/>
    <w:tmpl w:val="64A8F51A"/>
    <w:lvl w:ilvl="0" w:tplc="FFFFFFFF">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BB52A1"/>
    <w:multiLevelType w:val="hybridMultilevel"/>
    <w:tmpl w:val="7AE4ED0C"/>
    <w:lvl w:ilvl="0" w:tplc="FFFFFFFF">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326E61"/>
    <w:multiLevelType w:val="hybridMultilevel"/>
    <w:tmpl w:val="9FC84BA4"/>
    <w:lvl w:ilvl="0" w:tplc="480A0001">
      <w:start w:val="1"/>
      <w:numFmt w:val="bullet"/>
      <w:lvlText w:val=""/>
      <w:lvlJc w:val="left"/>
      <w:pPr>
        <w:ind w:left="1425" w:hanging="360"/>
      </w:pPr>
      <w:rPr>
        <w:rFonts w:ascii="Symbol" w:hAnsi="Symbol" w:hint="default"/>
      </w:rPr>
    </w:lvl>
    <w:lvl w:ilvl="1" w:tplc="480A0003" w:tentative="1">
      <w:start w:val="1"/>
      <w:numFmt w:val="bullet"/>
      <w:lvlText w:val="o"/>
      <w:lvlJc w:val="left"/>
      <w:pPr>
        <w:ind w:left="2145" w:hanging="360"/>
      </w:pPr>
      <w:rPr>
        <w:rFonts w:ascii="Courier New" w:hAnsi="Courier New" w:cs="Courier New" w:hint="default"/>
      </w:rPr>
    </w:lvl>
    <w:lvl w:ilvl="2" w:tplc="480A0005" w:tentative="1">
      <w:start w:val="1"/>
      <w:numFmt w:val="bullet"/>
      <w:lvlText w:val=""/>
      <w:lvlJc w:val="left"/>
      <w:pPr>
        <w:ind w:left="2865" w:hanging="360"/>
      </w:pPr>
      <w:rPr>
        <w:rFonts w:ascii="Wingdings" w:hAnsi="Wingdings" w:hint="default"/>
      </w:rPr>
    </w:lvl>
    <w:lvl w:ilvl="3" w:tplc="480A0001" w:tentative="1">
      <w:start w:val="1"/>
      <w:numFmt w:val="bullet"/>
      <w:lvlText w:val=""/>
      <w:lvlJc w:val="left"/>
      <w:pPr>
        <w:ind w:left="3585" w:hanging="360"/>
      </w:pPr>
      <w:rPr>
        <w:rFonts w:ascii="Symbol" w:hAnsi="Symbol" w:hint="default"/>
      </w:rPr>
    </w:lvl>
    <w:lvl w:ilvl="4" w:tplc="480A0003" w:tentative="1">
      <w:start w:val="1"/>
      <w:numFmt w:val="bullet"/>
      <w:lvlText w:val="o"/>
      <w:lvlJc w:val="left"/>
      <w:pPr>
        <w:ind w:left="4305" w:hanging="360"/>
      </w:pPr>
      <w:rPr>
        <w:rFonts w:ascii="Courier New" w:hAnsi="Courier New" w:cs="Courier New" w:hint="default"/>
      </w:rPr>
    </w:lvl>
    <w:lvl w:ilvl="5" w:tplc="480A0005" w:tentative="1">
      <w:start w:val="1"/>
      <w:numFmt w:val="bullet"/>
      <w:lvlText w:val=""/>
      <w:lvlJc w:val="left"/>
      <w:pPr>
        <w:ind w:left="5025" w:hanging="360"/>
      </w:pPr>
      <w:rPr>
        <w:rFonts w:ascii="Wingdings" w:hAnsi="Wingdings" w:hint="default"/>
      </w:rPr>
    </w:lvl>
    <w:lvl w:ilvl="6" w:tplc="480A0001" w:tentative="1">
      <w:start w:val="1"/>
      <w:numFmt w:val="bullet"/>
      <w:lvlText w:val=""/>
      <w:lvlJc w:val="left"/>
      <w:pPr>
        <w:ind w:left="5745" w:hanging="360"/>
      </w:pPr>
      <w:rPr>
        <w:rFonts w:ascii="Symbol" w:hAnsi="Symbol" w:hint="default"/>
      </w:rPr>
    </w:lvl>
    <w:lvl w:ilvl="7" w:tplc="480A0003" w:tentative="1">
      <w:start w:val="1"/>
      <w:numFmt w:val="bullet"/>
      <w:lvlText w:val="o"/>
      <w:lvlJc w:val="left"/>
      <w:pPr>
        <w:ind w:left="6465" w:hanging="360"/>
      </w:pPr>
      <w:rPr>
        <w:rFonts w:ascii="Courier New" w:hAnsi="Courier New" w:cs="Courier New" w:hint="default"/>
      </w:rPr>
    </w:lvl>
    <w:lvl w:ilvl="8" w:tplc="480A0005" w:tentative="1">
      <w:start w:val="1"/>
      <w:numFmt w:val="bullet"/>
      <w:lvlText w:val=""/>
      <w:lvlJc w:val="left"/>
      <w:pPr>
        <w:ind w:left="7185" w:hanging="360"/>
      </w:pPr>
      <w:rPr>
        <w:rFonts w:ascii="Wingdings" w:hAnsi="Wingdings" w:hint="default"/>
      </w:rPr>
    </w:lvl>
  </w:abstractNum>
  <w:abstractNum w:abstractNumId="23" w15:restartNumberingAfterBreak="0">
    <w:nsid w:val="77E8601D"/>
    <w:multiLevelType w:val="hybridMultilevel"/>
    <w:tmpl w:val="A6861374"/>
    <w:lvl w:ilvl="0" w:tplc="C7BE828E">
      <w:start w:val="1"/>
      <w:numFmt w:val="decimal"/>
      <w:lvlText w:val="%1."/>
      <w:lvlJc w:val="left"/>
      <w:pPr>
        <w:ind w:left="720" w:hanging="360"/>
      </w:pPr>
      <w:rPr>
        <w:rFonts w:hint="default"/>
        <w:b/>
        <w:bC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787314B0"/>
    <w:multiLevelType w:val="hybridMultilevel"/>
    <w:tmpl w:val="B4E673EC"/>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65075A"/>
    <w:multiLevelType w:val="hybridMultilevel"/>
    <w:tmpl w:val="B678AE58"/>
    <w:lvl w:ilvl="0" w:tplc="E23482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20"/>
  </w:num>
  <w:num w:numId="4">
    <w:abstractNumId w:val="9"/>
  </w:num>
  <w:num w:numId="5">
    <w:abstractNumId w:val="2"/>
  </w:num>
  <w:num w:numId="6">
    <w:abstractNumId w:val="4"/>
  </w:num>
  <w:num w:numId="7">
    <w:abstractNumId w:val="11"/>
  </w:num>
  <w:num w:numId="8">
    <w:abstractNumId w:val="15"/>
  </w:num>
  <w:num w:numId="9">
    <w:abstractNumId w:val="12"/>
  </w:num>
  <w:num w:numId="10">
    <w:abstractNumId w:val="0"/>
  </w:num>
  <w:num w:numId="11">
    <w:abstractNumId w:val="18"/>
  </w:num>
  <w:num w:numId="12">
    <w:abstractNumId w:val="8"/>
  </w:num>
  <w:num w:numId="13">
    <w:abstractNumId w:val="22"/>
  </w:num>
  <w:num w:numId="14">
    <w:abstractNumId w:val="13"/>
  </w:num>
  <w:num w:numId="15">
    <w:abstractNumId w:val="17"/>
  </w:num>
  <w:num w:numId="16">
    <w:abstractNumId w:val="3"/>
  </w:num>
  <w:num w:numId="17">
    <w:abstractNumId w:val="10"/>
  </w:num>
  <w:num w:numId="18">
    <w:abstractNumId w:val="14"/>
  </w:num>
  <w:num w:numId="19">
    <w:abstractNumId w:val="16"/>
  </w:num>
  <w:num w:numId="20">
    <w:abstractNumId w:val="23"/>
  </w:num>
  <w:num w:numId="21">
    <w:abstractNumId w:val="5"/>
  </w:num>
  <w:num w:numId="22">
    <w:abstractNumId w:val="1"/>
  </w:num>
  <w:num w:numId="23">
    <w:abstractNumId w:val="6"/>
  </w:num>
  <w:num w:numId="24">
    <w:abstractNumId w:val="25"/>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1A2"/>
    <w:rsid w:val="00015C27"/>
    <w:rsid w:val="00033FA6"/>
    <w:rsid w:val="0004591F"/>
    <w:rsid w:val="000668FF"/>
    <w:rsid w:val="00085752"/>
    <w:rsid w:val="0009141D"/>
    <w:rsid w:val="000C3C5B"/>
    <w:rsid w:val="000D46A6"/>
    <w:rsid w:val="000D70E7"/>
    <w:rsid w:val="000D7A4B"/>
    <w:rsid w:val="000F0802"/>
    <w:rsid w:val="000F3DA1"/>
    <w:rsid w:val="000F7940"/>
    <w:rsid w:val="00106D96"/>
    <w:rsid w:val="0012405E"/>
    <w:rsid w:val="001244BD"/>
    <w:rsid w:val="00130420"/>
    <w:rsid w:val="00145C94"/>
    <w:rsid w:val="0015527A"/>
    <w:rsid w:val="00155969"/>
    <w:rsid w:val="00155E01"/>
    <w:rsid w:val="00166AFB"/>
    <w:rsid w:val="0016748C"/>
    <w:rsid w:val="00172B2F"/>
    <w:rsid w:val="00191B38"/>
    <w:rsid w:val="001960D7"/>
    <w:rsid w:val="001A1BA9"/>
    <w:rsid w:val="001A59FA"/>
    <w:rsid w:val="001C2455"/>
    <w:rsid w:val="001C5D11"/>
    <w:rsid w:val="001D7B49"/>
    <w:rsid w:val="001E20E7"/>
    <w:rsid w:val="001F568C"/>
    <w:rsid w:val="001F6341"/>
    <w:rsid w:val="002128EA"/>
    <w:rsid w:val="00224B79"/>
    <w:rsid w:val="002339D8"/>
    <w:rsid w:val="002522DF"/>
    <w:rsid w:val="00262D08"/>
    <w:rsid w:val="00265061"/>
    <w:rsid w:val="00272F6C"/>
    <w:rsid w:val="002736B3"/>
    <w:rsid w:val="00280C39"/>
    <w:rsid w:val="002A2348"/>
    <w:rsid w:val="002B0423"/>
    <w:rsid w:val="002B64E1"/>
    <w:rsid w:val="002C150C"/>
    <w:rsid w:val="002C292F"/>
    <w:rsid w:val="002C499D"/>
    <w:rsid w:val="002D6FFB"/>
    <w:rsid w:val="002F7673"/>
    <w:rsid w:val="00306A7F"/>
    <w:rsid w:val="0030767A"/>
    <w:rsid w:val="003315C4"/>
    <w:rsid w:val="003429D1"/>
    <w:rsid w:val="00354C58"/>
    <w:rsid w:val="0036742A"/>
    <w:rsid w:val="00371B59"/>
    <w:rsid w:val="00385470"/>
    <w:rsid w:val="00386914"/>
    <w:rsid w:val="00391093"/>
    <w:rsid w:val="003A6857"/>
    <w:rsid w:val="003B1EA1"/>
    <w:rsid w:val="003C131F"/>
    <w:rsid w:val="003D0C52"/>
    <w:rsid w:val="003E7DCD"/>
    <w:rsid w:val="003F5A95"/>
    <w:rsid w:val="00434755"/>
    <w:rsid w:val="00450B35"/>
    <w:rsid w:val="0046156E"/>
    <w:rsid w:val="00470B51"/>
    <w:rsid w:val="0047682B"/>
    <w:rsid w:val="00490175"/>
    <w:rsid w:val="0049776A"/>
    <w:rsid w:val="004A0371"/>
    <w:rsid w:val="004A18F9"/>
    <w:rsid w:val="004A3D7C"/>
    <w:rsid w:val="004D6C32"/>
    <w:rsid w:val="004E4A47"/>
    <w:rsid w:val="004E63E9"/>
    <w:rsid w:val="004E6F71"/>
    <w:rsid w:val="004F2AD1"/>
    <w:rsid w:val="004F7F42"/>
    <w:rsid w:val="00501291"/>
    <w:rsid w:val="005051C8"/>
    <w:rsid w:val="00513F01"/>
    <w:rsid w:val="00537D8D"/>
    <w:rsid w:val="005432FE"/>
    <w:rsid w:val="00543828"/>
    <w:rsid w:val="00566209"/>
    <w:rsid w:val="0058079E"/>
    <w:rsid w:val="0058710D"/>
    <w:rsid w:val="00595848"/>
    <w:rsid w:val="005C1BC7"/>
    <w:rsid w:val="005C352D"/>
    <w:rsid w:val="005C76FD"/>
    <w:rsid w:val="005D2009"/>
    <w:rsid w:val="005E1FD5"/>
    <w:rsid w:val="005E65E7"/>
    <w:rsid w:val="005F6421"/>
    <w:rsid w:val="00612497"/>
    <w:rsid w:val="00623898"/>
    <w:rsid w:val="00650382"/>
    <w:rsid w:val="006551EC"/>
    <w:rsid w:val="00656941"/>
    <w:rsid w:val="00667D64"/>
    <w:rsid w:val="0067453A"/>
    <w:rsid w:val="00693768"/>
    <w:rsid w:val="00697725"/>
    <w:rsid w:val="006A134D"/>
    <w:rsid w:val="006A4506"/>
    <w:rsid w:val="006C3102"/>
    <w:rsid w:val="006C7BC6"/>
    <w:rsid w:val="006C7C91"/>
    <w:rsid w:val="006E0242"/>
    <w:rsid w:val="006E1908"/>
    <w:rsid w:val="006E43B3"/>
    <w:rsid w:val="006E4406"/>
    <w:rsid w:val="006E4FC4"/>
    <w:rsid w:val="006F765B"/>
    <w:rsid w:val="007004FF"/>
    <w:rsid w:val="00700B93"/>
    <w:rsid w:val="00702770"/>
    <w:rsid w:val="007144E1"/>
    <w:rsid w:val="007241A2"/>
    <w:rsid w:val="00727498"/>
    <w:rsid w:val="007339AD"/>
    <w:rsid w:val="00763114"/>
    <w:rsid w:val="007909B7"/>
    <w:rsid w:val="00790A83"/>
    <w:rsid w:val="00795FC7"/>
    <w:rsid w:val="007B151D"/>
    <w:rsid w:val="007B742B"/>
    <w:rsid w:val="007C41E4"/>
    <w:rsid w:val="007D44DE"/>
    <w:rsid w:val="007D6774"/>
    <w:rsid w:val="007E3CD1"/>
    <w:rsid w:val="007E6D80"/>
    <w:rsid w:val="00803CBA"/>
    <w:rsid w:val="00817124"/>
    <w:rsid w:val="008330CA"/>
    <w:rsid w:val="00851C58"/>
    <w:rsid w:val="0086685E"/>
    <w:rsid w:val="00870F8F"/>
    <w:rsid w:val="008A0672"/>
    <w:rsid w:val="008A0C01"/>
    <w:rsid w:val="008A12B2"/>
    <w:rsid w:val="008B1C9F"/>
    <w:rsid w:val="008E43D3"/>
    <w:rsid w:val="008E5AD4"/>
    <w:rsid w:val="008F18A6"/>
    <w:rsid w:val="00906473"/>
    <w:rsid w:val="00907748"/>
    <w:rsid w:val="00947133"/>
    <w:rsid w:val="00953BD7"/>
    <w:rsid w:val="009544F3"/>
    <w:rsid w:val="00960EEC"/>
    <w:rsid w:val="00973150"/>
    <w:rsid w:val="00982F70"/>
    <w:rsid w:val="009A52B9"/>
    <w:rsid w:val="009C2D9E"/>
    <w:rsid w:val="009D007D"/>
    <w:rsid w:val="009D4B35"/>
    <w:rsid w:val="009F484D"/>
    <w:rsid w:val="00A013E6"/>
    <w:rsid w:val="00A155AF"/>
    <w:rsid w:val="00A2465B"/>
    <w:rsid w:val="00A2789A"/>
    <w:rsid w:val="00A32C62"/>
    <w:rsid w:val="00A720F0"/>
    <w:rsid w:val="00A84E89"/>
    <w:rsid w:val="00A92F93"/>
    <w:rsid w:val="00AA17BB"/>
    <w:rsid w:val="00AA546B"/>
    <w:rsid w:val="00AA6A94"/>
    <w:rsid w:val="00AB28FE"/>
    <w:rsid w:val="00AB46DE"/>
    <w:rsid w:val="00AC3BF8"/>
    <w:rsid w:val="00AC3FB5"/>
    <w:rsid w:val="00AC7C7C"/>
    <w:rsid w:val="00AD4C8D"/>
    <w:rsid w:val="00AF121E"/>
    <w:rsid w:val="00B01D1C"/>
    <w:rsid w:val="00B05F43"/>
    <w:rsid w:val="00B07B7A"/>
    <w:rsid w:val="00B1788A"/>
    <w:rsid w:val="00B20395"/>
    <w:rsid w:val="00B23526"/>
    <w:rsid w:val="00B27922"/>
    <w:rsid w:val="00B3791E"/>
    <w:rsid w:val="00B42481"/>
    <w:rsid w:val="00B44807"/>
    <w:rsid w:val="00B450B6"/>
    <w:rsid w:val="00B46BD9"/>
    <w:rsid w:val="00B567CB"/>
    <w:rsid w:val="00B6012C"/>
    <w:rsid w:val="00B616FD"/>
    <w:rsid w:val="00B6186F"/>
    <w:rsid w:val="00B64491"/>
    <w:rsid w:val="00BA60A2"/>
    <w:rsid w:val="00BA6DBE"/>
    <w:rsid w:val="00BB3E42"/>
    <w:rsid w:val="00BC045E"/>
    <w:rsid w:val="00BC13FE"/>
    <w:rsid w:val="00BE26D3"/>
    <w:rsid w:val="00BE3DBC"/>
    <w:rsid w:val="00BF0BA8"/>
    <w:rsid w:val="00C0141A"/>
    <w:rsid w:val="00C04AB7"/>
    <w:rsid w:val="00C04E74"/>
    <w:rsid w:val="00C143A9"/>
    <w:rsid w:val="00C23828"/>
    <w:rsid w:val="00C251E0"/>
    <w:rsid w:val="00C26CB9"/>
    <w:rsid w:val="00C50F64"/>
    <w:rsid w:val="00C55976"/>
    <w:rsid w:val="00C604E4"/>
    <w:rsid w:val="00C747E9"/>
    <w:rsid w:val="00C823F0"/>
    <w:rsid w:val="00C84B10"/>
    <w:rsid w:val="00C84E43"/>
    <w:rsid w:val="00C861CB"/>
    <w:rsid w:val="00C92670"/>
    <w:rsid w:val="00C96C6A"/>
    <w:rsid w:val="00CA2D28"/>
    <w:rsid w:val="00CA468D"/>
    <w:rsid w:val="00CA5EF7"/>
    <w:rsid w:val="00CB14A8"/>
    <w:rsid w:val="00CE0F08"/>
    <w:rsid w:val="00CE17AB"/>
    <w:rsid w:val="00CF69DB"/>
    <w:rsid w:val="00D11B2C"/>
    <w:rsid w:val="00D14D69"/>
    <w:rsid w:val="00D1618E"/>
    <w:rsid w:val="00D259B8"/>
    <w:rsid w:val="00D25F0D"/>
    <w:rsid w:val="00D41C51"/>
    <w:rsid w:val="00D4537B"/>
    <w:rsid w:val="00D64611"/>
    <w:rsid w:val="00D719CD"/>
    <w:rsid w:val="00D72308"/>
    <w:rsid w:val="00D92BF0"/>
    <w:rsid w:val="00D96CBD"/>
    <w:rsid w:val="00DA4782"/>
    <w:rsid w:val="00DB10FA"/>
    <w:rsid w:val="00DB351D"/>
    <w:rsid w:val="00DD6BFF"/>
    <w:rsid w:val="00E06347"/>
    <w:rsid w:val="00E073AF"/>
    <w:rsid w:val="00E07528"/>
    <w:rsid w:val="00E233DE"/>
    <w:rsid w:val="00E52FD8"/>
    <w:rsid w:val="00EA4451"/>
    <w:rsid w:val="00EA6056"/>
    <w:rsid w:val="00EB7429"/>
    <w:rsid w:val="00EE2209"/>
    <w:rsid w:val="00EF5DCC"/>
    <w:rsid w:val="00F02992"/>
    <w:rsid w:val="00F17F04"/>
    <w:rsid w:val="00F277FD"/>
    <w:rsid w:val="00F52F88"/>
    <w:rsid w:val="00F54C0A"/>
    <w:rsid w:val="00F559BA"/>
    <w:rsid w:val="00F564C3"/>
    <w:rsid w:val="00F6698C"/>
    <w:rsid w:val="00F755FE"/>
    <w:rsid w:val="00FA769C"/>
    <w:rsid w:val="00FD0F13"/>
    <w:rsid w:val="00FD57A0"/>
    <w:rsid w:val="00FE1645"/>
    <w:rsid w:val="00FF622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A61C4"/>
  <w15:docId w15:val="{D438C0AE-DF5F-4AF1-8F69-851DFD0F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84D"/>
    <w:rPr>
      <w:rFonts w:eastAsiaTheme="minorEastAsia"/>
      <w:lang w:val="es-MX" w:eastAsia="es-ES"/>
    </w:rPr>
  </w:style>
  <w:style w:type="paragraph" w:styleId="Ttulo2">
    <w:name w:val="heading 2"/>
    <w:basedOn w:val="Normal"/>
    <w:next w:val="Normal"/>
    <w:link w:val="Ttulo2Car"/>
    <w:uiPriority w:val="9"/>
    <w:semiHidden/>
    <w:unhideWhenUsed/>
    <w:qFormat/>
    <w:rsid w:val="000F3D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E1908"/>
    <w:pPr>
      <w:spacing w:before="100" w:beforeAutospacing="1" w:after="100" w:afterAutospacing="1" w:line="240" w:lineRule="auto"/>
      <w:outlineLvl w:val="2"/>
    </w:pPr>
    <w:rPr>
      <w:rFonts w:ascii="Times New Roman" w:eastAsia="Times New Roman" w:hAnsi="Times New Roman" w:cs="Times New Roman"/>
      <w:b/>
      <w:bCs/>
      <w:sz w:val="27"/>
      <w:szCs w:val="27"/>
      <w:lang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41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41A2"/>
  </w:style>
  <w:style w:type="paragraph" w:styleId="Piedepgina">
    <w:name w:val="footer"/>
    <w:basedOn w:val="Normal"/>
    <w:link w:val="PiedepginaCar"/>
    <w:uiPriority w:val="99"/>
    <w:unhideWhenUsed/>
    <w:rsid w:val="007241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41A2"/>
  </w:style>
  <w:style w:type="character" w:customStyle="1" w:styleId="Ttulo3Car">
    <w:name w:val="Título 3 Car"/>
    <w:basedOn w:val="Fuentedeprrafopredeter"/>
    <w:link w:val="Ttulo3"/>
    <w:uiPriority w:val="9"/>
    <w:rsid w:val="006E1908"/>
    <w:rPr>
      <w:rFonts w:ascii="Times New Roman" w:eastAsia="Times New Roman" w:hAnsi="Times New Roman" w:cs="Times New Roman"/>
      <w:b/>
      <w:bCs/>
      <w:sz w:val="27"/>
      <w:szCs w:val="27"/>
      <w:lang w:eastAsia="es-HN"/>
    </w:rPr>
  </w:style>
  <w:style w:type="paragraph" w:styleId="Prrafodelista">
    <w:name w:val="List Paragraph"/>
    <w:basedOn w:val="Normal"/>
    <w:uiPriority w:val="34"/>
    <w:qFormat/>
    <w:rsid w:val="009F484D"/>
    <w:pPr>
      <w:ind w:left="720"/>
      <w:contextualSpacing/>
    </w:pPr>
  </w:style>
  <w:style w:type="paragraph" w:styleId="Textonotapie">
    <w:name w:val="footnote text"/>
    <w:basedOn w:val="Normal"/>
    <w:link w:val="TextonotapieCar"/>
    <w:uiPriority w:val="99"/>
    <w:semiHidden/>
    <w:unhideWhenUsed/>
    <w:rsid w:val="009F48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484D"/>
    <w:rPr>
      <w:rFonts w:eastAsiaTheme="minorEastAsia"/>
      <w:sz w:val="20"/>
      <w:szCs w:val="20"/>
      <w:lang w:eastAsia="es-ES"/>
    </w:rPr>
  </w:style>
  <w:style w:type="character" w:styleId="Refdenotaalpie">
    <w:name w:val="footnote reference"/>
    <w:basedOn w:val="Fuentedeprrafopredeter"/>
    <w:uiPriority w:val="99"/>
    <w:semiHidden/>
    <w:unhideWhenUsed/>
    <w:rsid w:val="009F484D"/>
    <w:rPr>
      <w:vertAlign w:val="superscript"/>
    </w:rPr>
  </w:style>
  <w:style w:type="character" w:customStyle="1" w:styleId="Ninguno">
    <w:name w:val="Ninguno"/>
    <w:rsid w:val="009F484D"/>
    <w:rPr>
      <w:lang w:val="es-ES_tradnl"/>
    </w:rPr>
  </w:style>
  <w:style w:type="paragraph" w:customStyle="1" w:styleId="Cuerpo">
    <w:name w:val="Cuerpo"/>
    <w:rsid w:val="009F484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HN"/>
    </w:rPr>
  </w:style>
  <w:style w:type="character" w:styleId="nfasissutil">
    <w:name w:val="Subtle Emphasis"/>
    <w:basedOn w:val="Fuentedeprrafopredeter"/>
    <w:uiPriority w:val="19"/>
    <w:qFormat/>
    <w:rsid w:val="009F484D"/>
    <w:rPr>
      <w:i/>
      <w:iCs/>
      <w:color w:val="808080" w:themeColor="text1" w:themeTint="7F"/>
    </w:rPr>
  </w:style>
  <w:style w:type="character" w:customStyle="1" w:styleId="Ttulo2Car">
    <w:name w:val="Título 2 Car"/>
    <w:basedOn w:val="Fuentedeprrafopredeter"/>
    <w:link w:val="Ttulo2"/>
    <w:uiPriority w:val="9"/>
    <w:semiHidden/>
    <w:rsid w:val="000F3DA1"/>
    <w:rPr>
      <w:rFonts w:asciiTheme="majorHAnsi" w:eastAsiaTheme="majorEastAsia" w:hAnsiTheme="majorHAnsi" w:cstheme="majorBidi"/>
      <w:color w:val="2E74B5" w:themeColor="accent1" w:themeShade="BF"/>
      <w:sz w:val="26"/>
      <w:szCs w:val="26"/>
      <w:lang w:eastAsia="es-ES"/>
    </w:rPr>
  </w:style>
  <w:style w:type="character" w:styleId="Hipervnculo">
    <w:name w:val="Hyperlink"/>
    <w:basedOn w:val="Fuentedeprrafopredeter"/>
    <w:uiPriority w:val="99"/>
    <w:unhideWhenUsed/>
    <w:rsid w:val="000F3DA1"/>
    <w:rPr>
      <w:color w:val="0563C1" w:themeColor="hyperlink"/>
      <w:u w:val="single"/>
    </w:rPr>
  </w:style>
  <w:style w:type="character" w:customStyle="1" w:styleId="Mencinsinresolver1">
    <w:name w:val="Mención sin resolver1"/>
    <w:basedOn w:val="Fuentedeprrafopredeter"/>
    <w:uiPriority w:val="99"/>
    <w:semiHidden/>
    <w:unhideWhenUsed/>
    <w:rsid w:val="000F3DA1"/>
    <w:rPr>
      <w:color w:val="605E5C"/>
      <w:shd w:val="clear" w:color="auto" w:fill="E1DFDD"/>
    </w:rPr>
  </w:style>
  <w:style w:type="paragraph" w:styleId="Textonotaalfinal">
    <w:name w:val="endnote text"/>
    <w:basedOn w:val="Normal"/>
    <w:link w:val="TextonotaalfinalCar"/>
    <w:uiPriority w:val="99"/>
    <w:semiHidden/>
    <w:unhideWhenUsed/>
    <w:rsid w:val="00A2789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2789A"/>
    <w:rPr>
      <w:rFonts w:eastAsiaTheme="minorEastAsia"/>
      <w:sz w:val="20"/>
      <w:szCs w:val="20"/>
      <w:lang w:eastAsia="es-ES"/>
    </w:rPr>
  </w:style>
  <w:style w:type="character" w:styleId="Refdenotaalfinal">
    <w:name w:val="endnote reference"/>
    <w:basedOn w:val="Fuentedeprrafopredeter"/>
    <w:uiPriority w:val="99"/>
    <w:semiHidden/>
    <w:unhideWhenUsed/>
    <w:rsid w:val="00A2789A"/>
    <w:rPr>
      <w:vertAlign w:val="superscript"/>
    </w:rPr>
  </w:style>
  <w:style w:type="paragraph" w:styleId="NormalWeb">
    <w:name w:val="Normal (Web)"/>
    <w:basedOn w:val="Normal"/>
    <w:uiPriority w:val="99"/>
    <w:semiHidden/>
    <w:unhideWhenUsed/>
    <w:rsid w:val="005C1BC7"/>
    <w:rPr>
      <w:rFonts w:ascii="Times New Roman" w:hAnsi="Times New Roman" w:cs="Times New Roman"/>
      <w:sz w:val="24"/>
      <w:szCs w:val="24"/>
    </w:rPr>
  </w:style>
  <w:style w:type="paragraph" w:customStyle="1" w:styleId="SingleTxtG">
    <w:name w:val="_ Single Txt_G"/>
    <w:basedOn w:val="Normal"/>
    <w:link w:val="SingleTxtGChar"/>
    <w:qFormat/>
    <w:rsid w:val="004A3D7C"/>
    <w:pPr>
      <w:spacing w:after="120" w:line="240" w:lineRule="atLeast"/>
      <w:ind w:left="1134" w:right="1134"/>
      <w:jc w:val="both"/>
    </w:pPr>
    <w:rPr>
      <w:rFonts w:ascii="Times New Roman" w:eastAsia="Times New Roman" w:hAnsi="Times New Roman" w:cs="Times New Roman"/>
      <w:sz w:val="20"/>
      <w:szCs w:val="20"/>
      <w:lang w:val="es-ES"/>
    </w:rPr>
  </w:style>
  <w:style w:type="character" w:customStyle="1" w:styleId="SingleTxtGChar">
    <w:name w:val="_ Single Txt_G Char"/>
    <w:link w:val="SingleTxtG"/>
    <w:rsid w:val="004A3D7C"/>
    <w:rPr>
      <w:rFonts w:ascii="Times New Roman" w:eastAsia="Times New Roman" w:hAnsi="Times New Roman" w:cs="Times New Roman"/>
      <w:sz w:val="20"/>
      <w:szCs w:val="20"/>
      <w:lang w:val="es-ES" w:eastAsia="es-ES"/>
    </w:rPr>
  </w:style>
  <w:style w:type="paragraph" w:customStyle="1" w:styleId="bodytext">
    <w:name w:val="bodytext"/>
    <w:basedOn w:val="Normal"/>
    <w:rsid w:val="0058710D"/>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styleId="Textoennegrita">
    <w:name w:val="Strong"/>
    <w:basedOn w:val="Fuentedeprrafopredeter"/>
    <w:uiPriority w:val="22"/>
    <w:qFormat/>
    <w:rsid w:val="007004FF"/>
    <w:rPr>
      <w:b/>
      <w:bCs/>
    </w:rPr>
  </w:style>
  <w:style w:type="character" w:customStyle="1" w:styleId="Mencinsinresolver2">
    <w:name w:val="Mención sin resolver2"/>
    <w:basedOn w:val="Fuentedeprrafopredeter"/>
    <w:uiPriority w:val="99"/>
    <w:semiHidden/>
    <w:unhideWhenUsed/>
    <w:rsid w:val="00C84B10"/>
    <w:rPr>
      <w:color w:val="605E5C"/>
      <w:shd w:val="clear" w:color="auto" w:fill="E1DFDD"/>
    </w:rPr>
  </w:style>
  <w:style w:type="paragraph" w:styleId="Sinespaciado">
    <w:name w:val="No Spacing"/>
    <w:uiPriority w:val="1"/>
    <w:qFormat/>
    <w:rsid w:val="00612497"/>
    <w:pPr>
      <w:spacing w:after="0" w:line="240" w:lineRule="auto"/>
    </w:pPr>
    <w:rPr>
      <w:lang w:val="en-US"/>
    </w:rPr>
  </w:style>
  <w:style w:type="paragraph" w:styleId="Textodeglobo">
    <w:name w:val="Balloon Text"/>
    <w:basedOn w:val="Normal"/>
    <w:link w:val="TextodegloboCar"/>
    <w:uiPriority w:val="99"/>
    <w:semiHidden/>
    <w:unhideWhenUsed/>
    <w:rsid w:val="00BA6D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6DBE"/>
    <w:rPr>
      <w:rFonts w:ascii="Segoe UI" w:eastAsiaTheme="minorEastAsia" w:hAnsi="Segoe UI" w:cs="Segoe UI"/>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12114">
      <w:bodyDiv w:val="1"/>
      <w:marLeft w:val="0"/>
      <w:marRight w:val="0"/>
      <w:marTop w:val="0"/>
      <w:marBottom w:val="0"/>
      <w:divBdr>
        <w:top w:val="none" w:sz="0" w:space="0" w:color="auto"/>
        <w:left w:val="none" w:sz="0" w:space="0" w:color="auto"/>
        <w:bottom w:val="none" w:sz="0" w:space="0" w:color="auto"/>
        <w:right w:val="none" w:sz="0" w:space="0" w:color="auto"/>
      </w:divBdr>
    </w:div>
    <w:div w:id="492184442">
      <w:bodyDiv w:val="1"/>
      <w:marLeft w:val="0"/>
      <w:marRight w:val="0"/>
      <w:marTop w:val="0"/>
      <w:marBottom w:val="0"/>
      <w:divBdr>
        <w:top w:val="none" w:sz="0" w:space="0" w:color="auto"/>
        <w:left w:val="none" w:sz="0" w:space="0" w:color="auto"/>
        <w:bottom w:val="none" w:sz="0" w:space="0" w:color="auto"/>
        <w:right w:val="none" w:sz="0" w:space="0" w:color="auto"/>
      </w:divBdr>
    </w:div>
    <w:div w:id="634718472">
      <w:bodyDiv w:val="1"/>
      <w:marLeft w:val="0"/>
      <w:marRight w:val="0"/>
      <w:marTop w:val="0"/>
      <w:marBottom w:val="0"/>
      <w:divBdr>
        <w:top w:val="none" w:sz="0" w:space="0" w:color="auto"/>
        <w:left w:val="none" w:sz="0" w:space="0" w:color="auto"/>
        <w:bottom w:val="none" w:sz="0" w:space="0" w:color="auto"/>
        <w:right w:val="none" w:sz="0" w:space="0" w:color="auto"/>
      </w:divBdr>
    </w:div>
    <w:div w:id="1014844752">
      <w:bodyDiv w:val="1"/>
      <w:marLeft w:val="0"/>
      <w:marRight w:val="0"/>
      <w:marTop w:val="0"/>
      <w:marBottom w:val="0"/>
      <w:divBdr>
        <w:top w:val="none" w:sz="0" w:space="0" w:color="auto"/>
        <w:left w:val="none" w:sz="0" w:space="0" w:color="auto"/>
        <w:bottom w:val="none" w:sz="0" w:space="0" w:color="auto"/>
        <w:right w:val="none" w:sz="0" w:space="0" w:color="auto"/>
      </w:divBdr>
    </w:div>
    <w:div w:id="1120153034">
      <w:bodyDiv w:val="1"/>
      <w:marLeft w:val="0"/>
      <w:marRight w:val="0"/>
      <w:marTop w:val="0"/>
      <w:marBottom w:val="0"/>
      <w:divBdr>
        <w:top w:val="none" w:sz="0" w:space="0" w:color="auto"/>
        <w:left w:val="none" w:sz="0" w:space="0" w:color="auto"/>
        <w:bottom w:val="none" w:sz="0" w:space="0" w:color="auto"/>
        <w:right w:val="none" w:sz="0" w:space="0" w:color="auto"/>
      </w:divBdr>
    </w:div>
    <w:div w:id="1365908377">
      <w:bodyDiv w:val="1"/>
      <w:marLeft w:val="0"/>
      <w:marRight w:val="0"/>
      <w:marTop w:val="0"/>
      <w:marBottom w:val="0"/>
      <w:divBdr>
        <w:top w:val="none" w:sz="0" w:space="0" w:color="auto"/>
        <w:left w:val="none" w:sz="0" w:space="0" w:color="auto"/>
        <w:bottom w:val="none" w:sz="0" w:space="0" w:color="auto"/>
        <w:right w:val="none" w:sz="0" w:space="0" w:color="auto"/>
      </w:divBdr>
    </w:div>
    <w:div w:id="1513497465">
      <w:bodyDiv w:val="1"/>
      <w:marLeft w:val="0"/>
      <w:marRight w:val="0"/>
      <w:marTop w:val="0"/>
      <w:marBottom w:val="0"/>
      <w:divBdr>
        <w:top w:val="none" w:sz="0" w:space="0" w:color="auto"/>
        <w:left w:val="none" w:sz="0" w:space="0" w:color="auto"/>
        <w:bottom w:val="none" w:sz="0" w:space="0" w:color="auto"/>
        <w:right w:val="none" w:sz="0" w:space="0" w:color="auto"/>
      </w:divBdr>
      <w:divsChild>
        <w:div w:id="1453017342">
          <w:marLeft w:val="0"/>
          <w:marRight w:val="0"/>
          <w:marTop w:val="0"/>
          <w:marBottom w:val="0"/>
          <w:divBdr>
            <w:top w:val="none" w:sz="0" w:space="0" w:color="auto"/>
            <w:left w:val="none" w:sz="0" w:space="0" w:color="auto"/>
            <w:bottom w:val="none" w:sz="0" w:space="0" w:color="auto"/>
            <w:right w:val="none" w:sz="0" w:space="0" w:color="auto"/>
          </w:divBdr>
          <w:divsChild>
            <w:div w:id="96292014">
              <w:marLeft w:val="-225"/>
              <w:marRight w:val="-225"/>
              <w:marTop w:val="0"/>
              <w:marBottom w:val="0"/>
              <w:divBdr>
                <w:top w:val="none" w:sz="0" w:space="0" w:color="auto"/>
                <w:left w:val="none" w:sz="0" w:space="0" w:color="auto"/>
                <w:bottom w:val="none" w:sz="0" w:space="0" w:color="auto"/>
                <w:right w:val="none" w:sz="0" w:space="0" w:color="auto"/>
              </w:divBdr>
              <w:divsChild>
                <w:div w:id="248388335">
                  <w:marLeft w:val="0"/>
                  <w:marRight w:val="0"/>
                  <w:marTop w:val="0"/>
                  <w:marBottom w:val="0"/>
                  <w:divBdr>
                    <w:top w:val="none" w:sz="0" w:space="0" w:color="auto"/>
                    <w:left w:val="none" w:sz="0" w:space="0" w:color="auto"/>
                    <w:bottom w:val="none" w:sz="0" w:space="0" w:color="auto"/>
                    <w:right w:val="none" w:sz="0" w:space="0" w:color="auto"/>
                  </w:divBdr>
                  <w:divsChild>
                    <w:div w:id="1520698018">
                      <w:marLeft w:val="0"/>
                      <w:marRight w:val="0"/>
                      <w:marTop w:val="0"/>
                      <w:marBottom w:val="0"/>
                      <w:divBdr>
                        <w:top w:val="none" w:sz="0" w:space="0" w:color="auto"/>
                        <w:left w:val="none" w:sz="0" w:space="0" w:color="auto"/>
                        <w:bottom w:val="none" w:sz="0" w:space="0" w:color="auto"/>
                        <w:right w:val="none" w:sz="0" w:space="0" w:color="auto"/>
                      </w:divBdr>
                    </w:div>
                  </w:divsChild>
                </w:div>
                <w:div w:id="10863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61174">
      <w:bodyDiv w:val="1"/>
      <w:marLeft w:val="0"/>
      <w:marRight w:val="0"/>
      <w:marTop w:val="0"/>
      <w:marBottom w:val="0"/>
      <w:divBdr>
        <w:top w:val="none" w:sz="0" w:space="0" w:color="auto"/>
        <w:left w:val="none" w:sz="0" w:space="0" w:color="auto"/>
        <w:bottom w:val="none" w:sz="0" w:space="0" w:color="auto"/>
        <w:right w:val="none" w:sz="0" w:space="0" w:color="auto"/>
      </w:divBdr>
    </w:div>
    <w:div w:id="1593201001">
      <w:bodyDiv w:val="1"/>
      <w:marLeft w:val="0"/>
      <w:marRight w:val="0"/>
      <w:marTop w:val="0"/>
      <w:marBottom w:val="0"/>
      <w:divBdr>
        <w:top w:val="none" w:sz="0" w:space="0" w:color="auto"/>
        <w:left w:val="none" w:sz="0" w:space="0" w:color="auto"/>
        <w:bottom w:val="none" w:sz="0" w:space="0" w:color="auto"/>
        <w:right w:val="none" w:sz="0" w:space="0" w:color="auto"/>
      </w:divBdr>
    </w:div>
    <w:div w:id="1674450539">
      <w:bodyDiv w:val="1"/>
      <w:marLeft w:val="0"/>
      <w:marRight w:val="0"/>
      <w:marTop w:val="0"/>
      <w:marBottom w:val="0"/>
      <w:divBdr>
        <w:top w:val="none" w:sz="0" w:space="0" w:color="auto"/>
        <w:left w:val="none" w:sz="0" w:space="0" w:color="auto"/>
        <w:bottom w:val="none" w:sz="0" w:space="0" w:color="auto"/>
        <w:right w:val="none" w:sz="0" w:space="0" w:color="auto"/>
      </w:divBdr>
    </w:div>
    <w:div w:id="1843004121">
      <w:bodyDiv w:val="1"/>
      <w:marLeft w:val="0"/>
      <w:marRight w:val="0"/>
      <w:marTop w:val="0"/>
      <w:marBottom w:val="0"/>
      <w:divBdr>
        <w:top w:val="none" w:sz="0" w:space="0" w:color="auto"/>
        <w:left w:val="none" w:sz="0" w:space="0" w:color="auto"/>
        <w:bottom w:val="none" w:sz="0" w:space="0" w:color="auto"/>
        <w:right w:val="none" w:sz="0" w:space="0" w:color="auto"/>
      </w:divBdr>
    </w:div>
    <w:div w:id="19733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congresonacional.hn/wp-content/uploads/2018/11/decreto-33718.pdf" TargetMode="External"/><Relationship Id="rId7" Type="http://schemas.openxmlformats.org/officeDocument/2006/relationships/hyperlink" Target="https://www.policianacional.gob.hn/subsecretaria-de-seguridad-en-el-despacho-de-prevencion" TargetMode="External"/><Relationship Id="rId2" Type="http://schemas.openxmlformats.org/officeDocument/2006/relationships/hyperlink" Target="http://www.poderjudicial.gob.hn/CEDIJ/Leyes/Documents/Reglamento%20para%20Prevencion%20y%20Deteccion%20de%20Financiamiento%20del%20Terrorismo.PDF" TargetMode="External"/><Relationship Id="rId1" Type="http://schemas.openxmlformats.org/officeDocument/2006/relationships/hyperlink" Target="http://www.poderjudicial.gob.hn/CEDIJ/Documents/Ley%20Contra%20el%20Financiamiento%20del%20Terrorismo.pdf" TargetMode="External"/><Relationship Id="rId6" Type="http://schemas.openxmlformats.org/officeDocument/2006/relationships/hyperlink" Target="http://www.oas.org/es/cidh/informes/pdfs/ViolenciaNinez2016.pdf" TargetMode="External"/><Relationship Id="rId5" Type="http://schemas.openxmlformats.org/officeDocument/2006/relationships/hyperlink" Target="https://www.oas.org/csh/spanish/c&amp;ttratadocentroamerica.asp" TargetMode="External"/><Relationship Id="rId4" Type="http://schemas.openxmlformats.org/officeDocument/2006/relationships/hyperlink" Target="http://www.cidh.org/Terrorism/Span/prefaci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9FFCD7-79DF-4FD3-B5F6-FC6120E0308D}">
  <ds:schemaRefs>
    <ds:schemaRef ds:uri="http://schemas.openxmlformats.org/officeDocument/2006/bibliography"/>
  </ds:schemaRefs>
</ds:datastoreItem>
</file>

<file path=customXml/itemProps2.xml><?xml version="1.0" encoding="utf-8"?>
<ds:datastoreItem xmlns:ds="http://schemas.openxmlformats.org/officeDocument/2006/customXml" ds:itemID="{9FAB184A-6E6B-485A-8469-6ED0AF0B0F2C}"/>
</file>

<file path=customXml/itemProps3.xml><?xml version="1.0" encoding="utf-8"?>
<ds:datastoreItem xmlns:ds="http://schemas.openxmlformats.org/officeDocument/2006/customXml" ds:itemID="{64819B70-932F-48CC-98B4-B3CD8450204A}"/>
</file>

<file path=customXml/itemProps4.xml><?xml version="1.0" encoding="utf-8"?>
<ds:datastoreItem xmlns:ds="http://schemas.openxmlformats.org/officeDocument/2006/customXml" ds:itemID="{61AE9181-7770-4F15-9770-158E69C68E8A}"/>
</file>

<file path=docProps/app.xml><?xml version="1.0" encoding="utf-8"?>
<Properties xmlns="http://schemas.openxmlformats.org/officeDocument/2006/extended-properties" xmlns:vt="http://schemas.openxmlformats.org/officeDocument/2006/docPropsVTypes">
  <Template>Normal</Template>
  <TotalTime>78</TotalTime>
  <Pages>8</Pages>
  <Words>1949</Words>
  <Characters>10725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Genco</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Guerra</dc:creator>
  <cp:lastModifiedBy>Sumaya Solis Paz</cp:lastModifiedBy>
  <cp:revision>7</cp:revision>
  <cp:lastPrinted>2019-06-26T21:36:00Z</cp:lastPrinted>
  <dcterms:created xsi:type="dcterms:W3CDTF">2019-06-25T18:15:00Z</dcterms:created>
  <dcterms:modified xsi:type="dcterms:W3CDTF">2019-06-26T21:36:00Z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