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F9093" w14:textId="77777777" w:rsidR="007E7239" w:rsidRDefault="00397305">
      <w:bookmarkStart w:id="0" w:name="_GoBack"/>
      <w:bookmarkEnd w:id="0"/>
      <w:r>
        <w:t xml:space="preserve">On </w:t>
      </w:r>
      <w:proofErr w:type="spellStart"/>
      <w:r>
        <w:t>behalf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Netherlands </w:t>
      </w:r>
      <w:proofErr w:type="spellStart"/>
      <w:r>
        <w:t>Institute</w:t>
      </w:r>
      <w:proofErr w:type="spellEnd"/>
      <w:r>
        <w:t xml:space="preserve"> of Human </w:t>
      </w:r>
      <w:proofErr w:type="spellStart"/>
      <w:r>
        <w:t>Rights</w:t>
      </w:r>
      <w:proofErr w:type="spellEnd"/>
      <w:r>
        <w:t xml:space="preserve"> (</w:t>
      </w:r>
      <w:r>
        <w:rPr>
          <w:i/>
        </w:rPr>
        <w:t>College voor de Rechten van de Mens</w:t>
      </w:r>
      <w:r w:rsidRPr="00397305">
        <w:t>)</w:t>
      </w:r>
      <w:r>
        <w:t>,</w:t>
      </w:r>
      <w:r w:rsidRPr="00397305">
        <w:t xml:space="preserve"> </w:t>
      </w:r>
      <w:r>
        <w:t>w</w:t>
      </w:r>
      <w:r w:rsidR="007E2D39">
        <w:t xml:space="preserve">e </w:t>
      </w:r>
      <w:proofErr w:type="spellStart"/>
      <w:r w:rsidR="007E2D39">
        <w:t>welcome</w:t>
      </w:r>
      <w:proofErr w:type="spellEnd"/>
      <w:r w:rsidR="007E2D39">
        <w:t xml:space="preserve"> </w:t>
      </w:r>
      <w:proofErr w:type="spellStart"/>
      <w:r w:rsidR="007E2D39">
        <w:t>the</w:t>
      </w:r>
      <w:proofErr w:type="spellEnd"/>
      <w:r w:rsidR="007E2D39">
        <w:t xml:space="preserve"> opportunity </w:t>
      </w:r>
      <w:proofErr w:type="spellStart"/>
      <w:r w:rsidR="007E2D39">
        <w:t>to</w:t>
      </w:r>
      <w:proofErr w:type="spellEnd"/>
      <w:r w:rsidR="007E2D39">
        <w:t xml:space="preserve"> </w:t>
      </w:r>
      <w:r w:rsidR="007E7239">
        <w:t xml:space="preserve">make a </w:t>
      </w:r>
      <w:proofErr w:type="spellStart"/>
      <w:r w:rsidR="007E7239">
        <w:t>submission</w:t>
      </w:r>
      <w:proofErr w:type="spellEnd"/>
      <w:r w:rsidR="007E7239">
        <w:t xml:space="preserve"> </w:t>
      </w:r>
      <w:proofErr w:type="spellStart"/>
      <w:r w:rsidR="007E7239">
        <w:t>to</w:t>
      </w:r>
      <w:proofErr w:type="spellEnd"/>
      <w:r w:rsidR="007E7239">
        <w:t xml:space="preserve"> </w:t>
      </w:r>
      <w:proofErr w:type="spellStart"/>
      <w:r w:rsidR="007E7239">
        <w:t>your</w:t>
      </w:r>
      <w:proofErr w:type="spellEnd"/>
      <w:r w:rsidR="007E7239">
        <w:t xml:space="preserve"> </w:t>
      </w:r>
      <w:proofErr w:type="spellStart"/>
      <w:r w:rsidR="007E7239">
        <w:t>study</w:t>
      </w:r>
      <w:proofErr w:type="spellEnd"/>
      <w:r w:rsidR="007E7239">
        <w:t xml:space="preserve"> on “soft </w:t>
      </w:r>
      <w:proofErr w:type="spellStart"/>
      <w:r w:rsidR="007E7239">
        <w:t>law</w:t>
      </w:r>
      <w:proofErr w:type="spellEnd"/>
      <w:r w:rsidR="007E7239">
        <w:t xml:space="preserve">” </w:t>
      </w:r>
      <w:proofErr w:type="spellStart"/>
      <w:r w:rsidR="007E7239">
        <w:t>instruments</w:t>
      </w:r>
      <w:proofErr w:type="spellEnd"/>
      <w:r w:rsidR="007E7239">
        <w:t xml:space="preserve"> in</w:t>
      </w:r>
      <w:r>
        <w:t xml:space="preserve"> </w:t>
      </w:r>
      <w:proofErr w:type="spellStart"/>
      <w:r>
        <w:t>the</w:t>
      </w:r>
      <w:proofErr w:type="spellEnd"/>
      <w:r>
        <w:t xml:space="preserve"> context of </w:t>
      </w:r>
      <w:proofErr w:type="spellStart"/>
      <w:r>
        <w:t>combating</w:t>
      </w:r>
      <w:proofErr w:type="spellEnd"/>
      <w:r>
        <w:t xml:space="preserve"> </w:t>
      </w:r>
      <w:proofErr w:type="spellStart"/>
      <w:r>
        <w:t>terrorism</w:t>
      </w:r>
      <w:proofErr w:type="spellEnd"/>
      <w:r>
        <w:t xml:space="preserve">. </w:t>
      </w:r>
      <w:r w:rsidR="00BA5043">
        <w:t xml:space="preserve">The </w:t>
      </w:r>
      <w:proofErr w:type="spellStart"/>
      <w:r w:rsidR="00BA5043">
        <w:t>Institute</w:t>
      </w:r>
      <w:proofErr w:type="spellEnd"/>
      <w:r w:rsidR="00BA5043">
        <w:t xml:space="preserve"> </w:t>
      </w:r>
      <w:proofErr w:type="spellStart"/>
      <w:r w:rsidR="00BA5043">
        <w:t>would</w:t>
      </w:r>
      <w:proofErr w:type="spellEnd"/>
      <w:r w:rsidR="00BA5043">
        <w:t xml:space="preserve"> like </w:t>
      </w:r>
      <w:proofErr w:type="spellStart"/>
      <w:r w:rsidR="00BA5043">
        <w:t>to</w:t>
      </w:r>
      <w:proofErr w:type="spellEnd"/>
      <w:r w:rsidR="00BA5043">
        <w:t xml:space="preserve"> direct </w:t>
      </w:r>
      <w:proofErr w:type="spellStart"/>
      <w:r w:rsidR="00BA5043">
        <w:t>your</w:t>
      </w:r>
      <w:proofErr w:type="spellEnd"/>
      <w:r w:rsidR="00BA5043">
        <w:t xml:space="preserve"> attention </w:t>
      </w:r>
      <w:proofErr w:type="spellStart"/>
      <w:r w:rsidR="00BA5043">
        <w:t>to</w:t>
      </w:r>
      <w:proofErr w:type="spellEnd"/>
      <w:r w:rsidR="00BA5043">
        <w:t xml:space="preserve"> </w:t>
      </w:r>
      <w:proofErr w:type="spellStart"/>
      <w:r w:rsidR="00BA5043">
        <w:t>two</w:t>
      </w:r>
      <w:proofErr w:type="spellEnd"/>
      <w:r w:rsidR="00BA5043">
        <w:t xml:space="preserve"> </w:t>
      </w:r>
      <w:r w:rsidR="00CE6F55">
        <w:t>issues</w:t>
      </w:r>
      <w:r w:rsidR="00BA5043">
        <w:t xml:space="preserve"> </w:t>
      </w:r>
      <w:proofErr w:type="spellStart"/>
      <w:r w:rsidR="000555FD">
        <w:t>related</w:t>
      </w:r>
      <w:proofErr w:type="spellEnd"/>
      <w:r w:rsidR="000555FD">
        <w:t xml:space="preserve"> </w:t>
      </w:r>
      <w:proofErr w:type="spellStart"/>
      <w:r w:rsidR="000555FD">
        <w:t>to</w:t>
      </w:r>
      <w:proofErr w:type="spellEnd"/>
      <w:r w:rsidR="00BA5043">
        <w:t xml:space="preserve"> </w:t>
      </w:r>
      <w:proofErr w:type="spellStart"/>
      <w:r w:rsidR="00BA5043">
        <w:t>the</w:t>
      </w:r>
      <w:proofErr w:type="spellEnd"/>
      <w:r w:rsidR="00BA5043">
        <w:t xml:space="preserve"> Netherlands, </w:t>
      </w:r>
      <w:proofErr w:type="spellStart"/>
      <w:r w:rsidR="00BA5043">
        <w:t>which</w:t>
      </w:r>
      <w:proofErr w:type="spellEnd"/>
      <w:r w:rsidR="00BA5043">
        <w:t xml:space="preserve"> </w:t>
      </w:r>
      <w:proofErr w:type="spellStart"/>
      <w:r w:rsidR="00BA5043">
        <w:t>may</w:t>
      </w:r>
      <w:proofErr w:type="spellEnd"/>
      <w:r w:rsidR="00BA5043">
        <w:t xml:space="preserve"> </w:t>
      </w:r>
      <w:proofErr w:type="spellStart"/>
      <w:r w:rsidR="00BA5043">
        <w:t>be</w:t>
      </w:r>
      <w:proofErr w:type="spellEnd"/>
      <w:r w:rsidR="00BA5043">
        <w:t xml:space="preserve"> relevant </w:t>
      </w:r>
      <w:proofErr w:type="spellStart"/>
      <w:r w:rsidR="00BA5043">
        <w:t>to</w:t>
      </w:r>
      <w:proofErr w:type="spellEnd"/>
      <w:r w:rsidR="00BA5043">
        <w:t xml:space="preserve"> </w:t>
      </w:r>
      <w:proofErr w:type="spellStart"/>
      <w:r w:rsidR="00BA5043">
        <w:t>your</w:t>
      </w:r>
      <w:proofErr w:type="spellEnd"/>
      <w:r w:rsidR="00BA5043">
        <w:t xml:space="preserve"> </w:t>
      </w:r>
      <w:proofErr w:type="spellStart"/>
      <w:r w:rsidR="00BA5043">
        <w:t>upcoming</w:t>
      </w:r>
      <w:proofErr w:type="spellEnd"/>
      <w:r w:rsidR="00BA5043">
        <w:t xml:space="preserve"> report.</w:t>
      </w:r>
      <w:r w:rsidR="00CE6F55">
        <w:t xml:space="preserve"> The first concerns </w:t>
      </w:r>
      <w:proofErr w:type="spellStart"/>
      <w:r w:rsidR="00CE6F55">
        <w:t>the</w:t>
      </w:r>
      <w:proofErr w:type="spellEnd"/>
      <w:r w:rsidR="00CE6F55">
        <w:t xml:space="preserve"> </w:t>
      </w:r>
      <w:proofErr w:type="spellStart"/>
      <w:r w:rsidR="00DB78A0">
        <w:t>proliferation</w:t>
      </w:r>
      <w:proofErr w:type="spellEnd"/>
      <w:r w:rsidR="00DB78A0">
        <w:t xml:space="preserve"> of</w:t>
      </w:r>
      <w:r w:rsidR="00CE6F55">
        <w:t xml:space="preserve"> ‘soft’ approaches </w:t>
      </w:r>
      <w:proofErr w:type="spellStart"/>
      <w:r w:rsidR="00CE6F55">
        <w:t>to</w:t>
      </w:r>
      <w:proofErr w:type="spellEnd"/>
      <w:r w:rsidR="00CE6F55">
        <w:t xml:space="preserve"> </w:t>
      </w:r>
      <w:proofErr w:type="spellStart"/>
      <w:r w:rsidR="00CE6F55">
        <w:t>radicalization</w:t>
      </w:r>
      <w:proofErr w:type="spellEnd"/>
      <w:r w:rsidR="00CE6F55">
        <w:t xml:space="preserve"> </w:t>
      </w:r>
      <w:proofErr w:type="spellStart"/>
      <w:r w:rsidR="00CE6F55">
        <w:t>and</w:t>
      </w:r>
      <w:proofErr w:type="spellEnd"/>
      <w:r w:rsidR="00CE6F55">
        <w:t xml:space="preserve"> </w:t>
      </w:r>
      <w:proofErr w:type="spellStart"/>
      <w:r w:rsidR="00CE6F55">
        <w:t>extremism</w:t>
      </w:r>
      <w:proofErr w:type="spellEnd"/>
      <w:r w:rsidR="00DB78A0">
        <w:t xml:space="preserve"> as a part of person-</w:t>
      </w:r>
      <w:proofErr w:type="spellStart"/>
      <w:r w:rsidR="00DB78A0">
        <w:t>specific</w:t>
      </w:r>
      <w:proofErr w:type="spellEnd"/>
      <w:r w:rsidR="00DB78A0">
        <w:t xml:space="preserve"> </w:t>
      </w:r>
      <w:proofErr w:type="spellStart"/>
      <w:r w:rsidR="00DB78A0">
        <w:t>interventions</w:t>
      </w:r>
      <w:proofErr w:type="spellEnd"/>
      <w:r w:rsidR="00CE6F55">
        <w:t xml:space="preserve">, </w:t>
      </w:r>
      <w:proofErr w:type="spellStart"/>
      <w:r w:rsidR="00CE6F55">
        <w:t>the</w:t>
      </w:r>
      <w:proofErr w:type="spellEnd"/>
      <w:r w:rsidR="00CE6F55">
        <w:t xml:space="preserve"> second concerns </w:t>
      </w:r>
      <w:proofErr w:type="spellStart"/>
      <w:r w:rsidR="00DB78A0">
        <w:t>instruments</w:t>
      </w:r>
      <w:proofErr w:type="spellEnd"/>
      <w:r w:rsidR="00DB78A0">
        <w:t xml:space="preserve"> </w:t>
      </w:r>
      <w:proofErr w:type="spellStart"/>
      <w:r w:rsidR="00DB78A0">
        <w:t>governing</w:t>
      </w:r>
      <w:proofErr w:type="spellEnd"/>
      <w:r w:rsidR="00DB78A0">
        <w:t xml:space="preserve"> anti-</w:t>
      </w:r>
      <w:proofErr w:type="spellStart"/>
      <w:r w:rsidR="00DB78A0">
        <w:t>terrorism</w:t>
      </w:r>
      <w:proofErr w:type="spellEnd"/>
      <w:r w:rsidR="00DB78A0">
        <w:t xml:space="preserve"> </w:t>
      </w:r>
      <w:proofErr w:type="spellStart"/>
      <w:r w:rsidR="00DB78A0">
        <w:t>detention</w:t>
      </w:r>
      <w:proofErr w:type="spellEnd"/>
      <w:r w:rsidR="00DB78A0">
        <w:t xml:space="preserve"> regimes. Both these issues </w:t>
      </w:r>
      <w:proofErr w:type="spellStart"/>
      <w:r w:rsidR="00DB78A0">
        <w:t>involve</w:t>
      </w:r>
      <w:proofErr w:type="spellEnd"/>
      <w:r w:rsidR="00DB78A0">
        <w:t xml:space="preserve"> soft </w:t>
      </w:r>
      <w:proofErr w:type="spellStart"/>
      <w:r w:rsidR="00DB78A0">
        <w:t>law</w:t>
      </w:r>
      <w:proofErr w:type="spellEnd"/>
      <w:r w:rsidR="00DB78A0">
        <w:t xml:space="preserve"> </w:t>
      </w:r>
      <w:proofErr w:type="spellStart"/>
      <w:r w:rsidR="00DB78A0">
        <w:t>instruments</w:t>
      </w:r>
      <w:proofErr w:type="spellEnd"/>
      <w:r w:rsidR="00DB78A0">
        <w:t xml:space="preserve"> – or </w:t>
      </w:r>
      <w:proofErr w:type="spellStart"/>
      <w:r w:rsidR="00DB78A0">
        <w:t>the</w:t>
      </w:r>
      <w:proofErr w:type="spellEnd"/>
      <w:r w:rsidR="00DB78A0">
        <w:t xml:space="preserve"> </w:t>
      </w:r>
      <w:proofErr w:type="spellStart"/>
      <w:r w:rsidR="00DB78A0">
        <w:t>notable</w:t>
      </w:r>
      <w:proofErr w:type="spellEnd"/>
      <w:r w:rsidR="00DB78A0">
        <w:t xml:space="preserve"> absence </w:t>
      </w:r>
      <w:proofErr w:type="spellStart"/>
      <w:r w:rsidR="00DB78A0">
        <w:t>thereof</w:t>
      </w:r>
      <w:proofErr w:type="spellEnd"/>
      <w:r w:rsidR="00DB78A0">
        <w:t xml:space="preserve"> – </w:t>
      </w:r>
      <w:proofErr w:type="spellStart"/>
      <w:r w:rsidR="00DB78A0">
        <w:t>and</w:t>
      </w:r>
      <w:proofErr w:type="spellEnd"/>
      <w:r w:rsidR="00DB78A0">
        <w:t xml:space="preserve"> </w:t>
      </w:r>
      <w:proofErr w:type="spellStart"/>
      <w:r w:rsidR="00DB78A0">
        <w:t>may</w:t>
      </w:r>
      <w:proofErr w:type="spellEnd"/>
      <w:r w:rsidR="00DB78A0">
        <w:t xml:space="preserve"> </w:t>
      </w:r>
      <w:proofErr w:type="spellStart"/>
      <w:r w:rsidR="00DB78A0">
        <w:t>inform</w:t>
      </w:r>
      <w:proofErr w:type="spellEnd"/>
      <w:r w:rsidR="00DB78A0">
        <w:t xml:space="preserve"> </w:t>
      </w:r>
      <w:proofErr w:type="spellStart"/>
      <w:r w:rsidR="00DB78A0">
        <w:t>your</w:t>
      </w:r>
      <w:proofErr w:type="spellEnd"/>
      <w:r w:rsidR="00DB78A0">
        <w:t xml:space="preserve"> </w:t>
      </w:r>
      <w:proofErr w:type="spellStart"/>
      <w:r w:rsidR="00DB78A0">
        <w:t>further</w:t>
      </w:r>
      <w:proofErr w:type="spellEnd"/>
      <w:r w:rsidR="00DB78A0">
        <w:t xml:space="preserve"> studies.</w:t>
      </w:r>
    </w:p>
    <w:p w14:paraId="04BA61E0" w14:textId="77777777" w:rsidR="00DB78A0" w:rsidRDefault="00DB78A0">
      <w:r>
        <w:t>I</w:t>
      </w:r>
    </w:p>
    <w:p w14:paraId="7D497542" w14:textId="77777777" w:rsidR="00940B6F" w:rsidRDefault="00CE6F55">
      <w:pPr>
        <w:rPr>
          <w:rFonts w:cs="Brill"/>
          <w:color w:val="000000"/>
        </w:rPr>
      </w:pPr>
      <w:r>
        <w:t xml:space="preserve">In </w:t>
      </w:r>
      <w:proofErr w:type="spellStart"/>
      <w:r>
        <w:t>the</w:t>
      </w:r>
      <w:proofErr w:type="spellEnd"/>
      <w:r>
        <w:t xml:space="preserve"> Netherlands,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observes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r w:rsidR="005350FE">
        <w:t>of</w:t>
      </w:r>
      <w:r w:rsidR="00BA5043">
        <w:t xml:space="preserve"> </w:t>
      </w:r>
      <w:r w:rsidR="005350FE">
        <w:t>person-</w:t>
      </w:r>
      <w:proofErr w:type="spellStart"/>
      <w:r w:rsidR="005350FE">
        <w:t>specific</w:t>
      </w:r>
      <w:proofErr w:type="spellEnd"/>
      <w:r w:rsidR="005350FE">
        <w:t xml:space="preserve"> </w:t>
      </w:r>
      <w:proofErr w:type="spellStart"/>
      <w:r w:rsidR="005350FE">
        <w:t>interventions</w:t>
      </w:r>
      <w:proofErr w:type="spellEnd"/>
      <w:r w:rsidR="005350FE">
        <w:t xml:space="preserve"> </w:t>
      </w:r>
      <w:proofErr w:type="spellStart"/>
      <w:r w:rsidR="005350FE">
        <w:t>to</w:t>
      </w:r>
      <w:proofErr w:type="spellEnd"/>
      <w:r w:rsidR="005350FE">
        <w:t xml:space="preserve"> </w:t>
      </w:r>
      <w:proofErr w:type="spellStart"/>
      <w:r w:rsidR="005350FE">
        <w:t>combat</w:t>
      </w:r>
      <w:proofErr w:type="spellEnd"/>
      <w:r w:rsidR="005350FE">
        <w:t xml:space="preserve"> </w:t>
      </w:r>
      <w:proofErr w:type="spellStart"/>
      <w:r w:rsidR="005350FE">
        <w:t>radicalization</w:t>
      </w:r>
      <w:proofErr w:type="spellEnd"/>
      <w:r w:rsidR="005350FE">
        <w:t xml:space="preserve"> </w:t>
      </w:r>
      <w:proofErr w:type="spellStart"/>
      <w:r w:rsidR="005350FE">
        <w:t>and</w:t>
      </w:r>
      <w:proofErr w:type="spellEnd"/>
      <w:r w:rsidR="005350FE">
        <w:t xml:space="preserve"> violent </w:t>
      </w:r>
      <w:proofErr w:type="spellStart"/>
      <w:r w:rsidR="005350FE">
        <w:t>extremism</w:t>
      </w:r>
      <w:proofErr w:type="spellEnd"/>
      <w:r w:rsidR="005350FE">
        <w:t>.</w:t>
      </w:r>
      <w:r w:rsidR="00506109">
        <w:rPr>
          <w:rStyle w:val="FootnoteReference"/>
        </w:rPr>
        <w:footnoteReference w:id="1"/>
      </w:r>
      <w:r w:rsidR="005350FE">
        <w:t xml:space="preserve"> </w:t>
      </w:r>
      <w:proofErr w:type="spellStart"/>
      <w:r w:rsidR="00940B6F">
        <w:rPr>
          <w:rFonts w:cs="Brill"/>
          <w:color w:val="000000"/>
        </w:rPr>
        <w:t>This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based</w:t>
      </w:r>
      <w:proofErr w:type="spellEnd"/>
      <w:r w:rsidR="00940B6F">
        <w:rPr>
          <w:rFonts w:cs="Brill"/>
          <w:color w:val="000000"/>
        </w:rPr>
        <w:t xml:space="preserve"> on </w:t>
      </w:r>
      <w:proofErr w:type="spellStart"/>
      <w:r w:rsidR="00940B6F">
        <w:rPr>
          <w:rFonts w:cs="Brill"/>
          <w:color w:val="000000"/>
        </w:rPr>
        <w:t>the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so-called</w:t>
      </w:r>
      <w:proofErr w:type="spellEnd"/>
      <w:r w:rsidR="00940B6F">
        <w:rPr>
          <w:rFonts w:cs="Brill"/>
          <w:color w:val="000000"/>
        </w:rPr>
        <w:t xml:space="preserve"> “</w:t>
      </w:r>
      <w:proofErr w:type="spellStart"/>
      <w:r w:rsidR="00940B6F">
        <w:rPr>
          <w:rFonts w:cs="Brill"/>
          <w:color w:val="000000"/>
        </w:rPr>
        <w:t>broad</w:t>
      </w:r>
      <w:proofErr w:type="spellEnd"/>
      <w:r w:rsidR="00940B6F">
        <w:rPr>
          <w:rFonts w:cs="Brill"/>
          <w:color w:val="000000"/>
        </w:rPr>
        <w:t xml:space="preserve"> approach” </w:t>
      </w:r>
      <w:proofErr w:type="spellStart"/>
      <w:r w:rsidR="00940B6F">
        <w:rPr>
          <w:rFonts w:cs="Brill"/>
          <w:color w:val="000000"/>
        </w:rPr>
        <w:t>consisting</w:t>
      </w:r>
      <w:proofErr w:type="spellEnd"/>
      <w:r w:rsidR="00940B6F">
        <w:rPr>
          <w:rFonts w:cs="Brill"/>
          <w:color w:val="000000"/>
        </w:rPr>
        <w:t xml:space="preserve"> of a </w:t>
      </w:r>
      <w:proofErr w:type="spellStart"/>
      <w:r w:rsidR="00940B6F">
        <w:rPr>
          <w:rFonts w:cs="Brill"/>
          <w:color w:val="000000"/>
        </w:rPr>
        <w:t>combination</w:t>
      </w:r>
      <w:proofErr w:type="spellEnd"/>
      <w:r w:rsidR="00940B6F">
        <w:rPr>
          <w:rFonts w:cs="Brill"/>
          <w:color w:val="000000"/>
        </w:rPr>
        <w:t xml:space="preserve"> of </w:t>
      </w:r>
      <w:proofErr w:type="spellStart"/>
      <w:r w:rsidR="00940B6F">
        <w:rPr>
          <w:rFonts w:cs="Brill"/>
          <w:color w:val="000000"/>
        </w:rPr>
        <w:t>preventive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and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reactive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measures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to</w:t>
      </w:r>
      <w:proofErr w:type="spellEnd"/>
      <w:r w:rsidR="00940B6F">
        <w:rPr>
          <w:rFonts w:cs="Brill"/>
          <w:color w:val="000000"/>
        </w:rPr>
        <w:t xml:space="preserve"> deal </w:t>
      </w:r>
      <w:proofErr w:type="spellStart"/>
      <w:r w:rsidR="00940B6F">
        <w:rPr>
          <w:rFonts w:cs="Brill"/>
          <w:color w:val="000000"/>
        </w:rPr>
        <w:t>with</w:t>
      </w:r>
      <w:proofErr w:type="spellEnd"/>
      <w:r w:rsidR="00940B6F">
        <w:rPr>
          <w:rFonts w:cs="Brill"/>
          <w:color w:val="000000"/>
        </w:rPr>
        <w:t xml:space="preserve"> (violent) </w:t>
      </w:r>
      <w:proofErr w:type="spellStart"/>
      <w:r w:rsidR="00940B6F">
        <w:rPr>
          <w:rFonts w:cs="Brill"/>
          <w:color w:val="000000"/>
        </w:rPr>
        <w:t>extremists</w:t>
      </w:r>
      <w:proofErr w:type="spellEnd"/>
      <w:r w:rsidR="00940B6F">
        <w:rPr>
          <w:rFonts w:cs="Brill"/>
          <w:color w:val="000000"/>
        </w:rPr>
        <w:t>.</w:t>
      </w:r>
      <w:r w:rsidR="00940B6F">
        <w:rPr>
          <w:rStyle w:val="FootnoteReference"/>
          <w:rFonts w:cs="Brill"/>
          <w:color w:val="000000"/>
        </w:rPr>
        <w:footnoteReference w:id="2"/>
      </w:r>
      <w:r w:rsidR="00940B6F">
        <w:rPr>
          <w:rFonts w:cs="Brill"/>
          <w:color w:val="000000"/>
        </w:rPr>
        <w:t xml:space="preserve"> These </w:t>
      </w:r>
      <w:proofErr w:type="spellStart"/>
      <w:r w:rsidR="00940B6F">
        <w:rPr>
          <w:rFonts w:cs="Brill"/>
          <w:color w:val="000000"/>
        </w:rPr>
        <w:t>strategies</w:t>
      </w:r>
      <w:proofErr w:type="spellEnd"/>
      <w:r w:rsidR="00940B6F">
        <w:rPr>
          <w:rFonts w:cs="Brill"/>
          <w:color w:val="000000"/>
        </w:rPr>
        <w:t xml:space="preserve"> are </w:t>
      </w:r>
      <w:proofErr w:type="spellStart"/>
      <w:r w:rsidR="00940B6F">
        <w:rPr>
          <w:rFonts w:cs="Brill"/>
          <w:color w:val="000000"/>
        </w:rPr>
        <w:t>geared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towards</w:t>
      </w:r>
      <w:proofErr w:type="spellEnd"/>
      <w:r w:rsidR="00940B6F">
        <w:rPr>
          <w:rFonts w:cs="Brill"/>
          <w:color w:val="000000"/>
        </w:rPr>
        <w:t xml:space="preserve"> prevention, </w:t>
      </w:r>
      <w:proofErr w:type="spellStart"/>
      <w:r w:rsidR="00940B6F">
        <w:rPr>
          <w:rFonts w:cs="Brill"/>
          <w:color w:val="000000"/>
        </w:rPr>
        <w:t>protection</w:t>
      </w:r>
      <w:proofErr w:type="spellEnd"/>
      <w:r w:rsidR="00940B6F">
        <w:rPr>
          <w:rFonts w:cs="Brill"/>
          <w:color w:val="000000"/>
        </w:rPr>
        <w:t xml:space="preserve">, </w:t>
      </w:r>
      <w:proofErr w:type="spellStart"/>
      <w:r w:rsidR="00940B6F">
        <w:rPr>
          <w:rFonts w:cs="Brill"/>
          <w:color w:val="000000"/>
        </w:rPr>
        <w:t>pursuit</w:t>
      </w:r>
      <w:proofErr w:type="spellEnd"/>
      <w:r w:rsidR="00940B6F">
        <w:rPr>
          <w:rFonts w:cs="Brill"/>
          <w:color w:val="000000"/>
        </w:rPr>
        <w:t xml:space="preserve">, </w:t>
      </w:r>
      <w:proofErr w:type="spellStart"/>
      <w:r w:rsidR="00940B6F">
        <w:rPr>
          <w:rFonts w:cs="Brill"/>
          <w:color w:val="000000"/>
        </w:rPr>
        <w:t>and</w:t>
      </w:r>
      <w:proofErr w:type="spellEnd"/>
      <w:r w:rsidR="00940B6F">
        <w:rPr>
          <w:rFonts w:cs="Brill"/>
          <w:color w:val="000000"/>
        </w:rPr>
        <w:t xml:space="preserve"> re</w:t>
      </w:r>
      <w:r w:rsidR="00940B6F">
        <w:rPr>
          <w:rFonts w:cs="Brill"/>
          <w:color w:val="000000"/>
        </w:rPr>
        <w:softHyphen/>
        <w:t xml:space="preserve">sponse, </w:t>
      </w:r>
      <w:proofErr w:type="spellStart"/>
      <w:r w:rsidR="00940B6F">
        <w:rPr>
          <w:rFonts w:cs="Brill"/>
          <w:color w:val="000000"/>
        </w:rPr>
        <w:t>and</w:t>
      </w:r>
      <w:proofErr w:type="spellEnd"/>
      <w:r w:rsidR="00940B6F">
        <w:rPr>
          <w:rFonts w:cs="Brill"/>
          <w:color w:val="000000"/>
        </w:rPr>
        <w:t xml:space="preserve"> are </w:t>
      </w:r>
      <w:proofErr w:type="spellStart"/>
      <w:r w:rsidR="00940B6F">
        <w:rPr>
          <w:rFonts w:cs="Brill"/>
          <w:color w:val="000000"/>
        </w:rPr>
        <w:t>intended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to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constitute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an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integrated</w:t>
      </w:r>
      <w:proofErr w:type="spellEnd"/>
      <w:r w:rsidR="00940B6F">
        <w:rPr>
          <w:rFonts w:cs="Brill"/>
          <w:color w:val="000000"/>
        </w:rPr>
        <w:t xml:space="preserve"> approach </w:t>
      </w:r>
      <w:proofErr w:type="spellStart"/>
      <w:r w:rsidR="00940B6F">
        <w:rPr>
          <w:rFonts w:cs="Brill"/>
          <w:color w:val="000000"/>
        </w:rPr>
        <w:t>to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counter</w:t>
      </w:r>
      <w:r w:rsidR="00940B6F">
        <w:rPr>
          <w:rFonts w:cs="Brill"/>
          <w:color w:val="000000"/>
        </w:rPr>
        <w:softHyphen/>
        <w:t>ing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the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threat</w:t>
      </w:r>
      <w:proofErr w:type="spellEnd"/>
      <w:r w:rsidR="00940B6F">
        <w:rPr>
          <w:rFonts w:cs="Brill"/>
          <w:color w:val="000000"/>
        </w:rPr>
        <w:t xml:space="preserve"> of </w:t>
      </w:r>
      <w:proofErr w:type="spellStart"/>
      <w:r w:rsidR="00940B6F">
        <w:rPr>
          <w:rFonts w:cs="Brill"/>
          <w:color w:val="000000"/>
        </w:rPr>
        <w:t>terrorism</w:t>
      </w:r>
      <w:proofErr w:type="spellEnd"/>
      <w:r w:rsidR="00940B6F">
        <w:rPr>
          <w:rFonts w:cs="Brill"/>
          <w:color w:val="000000"/>
        </w:rPr>
        <w:t xml:space="preserve">. In </w:t>
      </w:r>
      <w:proofErr w:type="spellStart"/>
      <w:r w:rsidR="00940B6F">
        <w:rPr>
          <w:rFonts w:cs="Brill"/>
          <w:color w:val="000000"/>
        </w:rPr>
        <w:t>the</w:t>
      </w:r>
      <w:proofErr w:type="spellEnd"/>
      <w:r w:rsidR="00940B6F">
        <w:rPr>
          <w:rFonts w:cs="Brill"/>
          <w:color w:val="000000"/>
        </w:rPr>
        <w:t xml:space="preserve"> Dutch context </w:t>
      </w:r>
      <w:proofErr w:type="spellStart"/>
      <w:r w:rsidR="00940B6F">
        <w:rPr>
          <w:rFonts w:cs="Brill"/>
          <w:color w:val="000000"/>
        </w:rPr>
        <w:t>it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involves</w:t>
      </w:r>
      <w:proofErr w:type="spellEnd"/>
      <w:r w:rsidR="00940B6F">
        <w:rPr>
          <w:rFonts w:cs="Brill"/>
          <w:color w:val="000000"/>
        </w:rPr>
        <w:t xml:space="preserve"> a </w:t>
      </w:r>
      <w:proofErr w:type="spellStart"/>
      <w:r w:rsidR="00940B6F">
        <w:rPr>
          <w:rFonts w:cs="Brill"/>
          <w:color w:val="000000"/>
        </w:rPr>
        <w:t>combination</w:t>
      </w:r>
      <w:proofErr w:type="spellEnd"/>
      <w:r w:rsidR="00940B6F">
        <w:rPr>
          <w:rFonts w:cs="Brill"/>
          <w:color w:val="000000"/>
        </w:rPr>
        <w:t xml:space="preserve"> of </w:t>
      </w:r>
      <w:proofErr w:type="spellStart"/>
      <w:r w:rsidR="00940B6F">
        <w:rPr>
          <w:rFonts w:cs="Brill"/>
          <w:color w:val="000000"/>
        </w:rPr>
        <w:t>preventive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and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reactive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measures</w:t>
      </w:r>
      <w:proofErr w:type="spellEnd"/>
      <w:r w:rsidR="00940B6F">
        <w:rPr>
          <w:rFonts w:cs="Brill"/>
          <w:color w:val="000000"/>
        </w:rPr>
        <w:t xml:space="preserve">. The </w:t>
      </w:r>
      <w:proofErr w:type="spellStart"/>
      <w:r w:rsidR="00940B6F">
        <w:rPr>
          <w:rFonts w:cs="Brill"/>
          <w:color w:val="000000"/>
        </w:rPr>
        <w:t>former</w:t>
      </w:r>
      <w:proofErr w:type="spellEnd"/>
      <w:r w:rsidR="00940B6F">
        <w:rPr>
          <w:rFonts w:cs="Brill"/>
          <w:color w:val="000000"/>
        </w:rPr>
        <w:t xml:space="preserve"> are </w:t>
      </w:r>
      <w:proofErr w:type="spellStart"/>
      <w:r w:rsidR="00940B6F">
        <w:rPr>
          <w:rFonts w:cs="Brill"/>
          <w:color w:val="000000"/>
        </w:rPr>
        <w:t>geared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towards</w:t>
      </w:r>
      <w:proofErr w:type="spellEnd"/>
      <w:r w:rsidR="00940B6F">
        <w:rPr>
          <w:rFonts w:cs="Brill"/>
          <w:color w:val="000000"/>
        </w:rPr>
        <w:t xml:space="preserve"> promoting </w:t>
      </w:r>
      <w:proofErr w:type="spellStart"/>
      <w:r w:rsidR="00940B6F">
        <w:rPr>
          <w:rFonts w:cs="Brill"/>
          <w:color w:val="000000"/>
        </w:rPr>
        <w:t>social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cohesiveness</w:t>
      </w:r>
      <w:proofErr w:type="spellEnd"/>
      <w:r w:rsidR="00940B6F">
        <w:rPr>
          <w:rFonts w:cs="Brill"/>
          <w:color w:val="000000"/>
        </w:rPr>
        <w:t xml:space="preserve">, </w:t>
      </w:r>
      <w:proofErr w:type="spellStart"/>
      <w:r w:rsidR="00940B6F">
        <w:rPr>
          <w:rFonts w:cs="Brill"/>
          <w:color w:val="000000"/>
        </w:rPr>
        <w:t>integration</w:t>
      </w:r>
      <w:proofErr w:type="spellEnd"/>
      <w:r w:rsidR="00940B6F">
        <w:rPr>
          <w:rFonts w:cs="Brill"/>
          <w:color w:val="000000"/>
        </w:rPr>
        <w:t xml:space="preserve"> of </w:t>
      </w:r>
      <w:proofErr w:type="spellStart"/>
      <w:r w:rsidR="00940B6F">
        <w:rPr>
          <w:rFonts w:cs="Brill"/>
          <w:color w:val="000000"/>
        </w:rPr>
        <w:t>minorities</w:t>
      </w:r>
      <w:proofErr w:type="spellEnd"/>
      <w:r w:rsidR="00940B6F">
        <w:rPr>
          <w:rFonts w:cs="Brill"/>
          <w:color w:val="000000"/>
        </w:rPr>
        <w:t xml:space="preserve">, as well as </w:t>
      </w:r>
      <w:proofErr w:type="spellStart"/>
      <w:r w:rsidR="00940B6F">
        <w:rPr>
          <w:rFonts w:cs="Brill"/>
          <w:color w:val="000000"/>
        </w:rPr>
        <w:t>tackling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discrimina</w:t>
      </w:r>
      <w:r w:rsidR="00940B6F">
        <w:rPr>
          <w:rFonts w:cs="Brill"/>
          <w:color w:val="000000"/>
        </w:rPr>
        <w:softHyphen/>
        <w:t>tion</w:t>
      </w:r>
      <w:proofErr w:type="spellEnd"/>
      <w:r w:rsidR="00940B6F">
        <w:rPr>
          <w:rFonts w:cs="Brill"/>
          <w:color w:val="000000"/>
        </w:rPr>
        <w:t xml:space="preserve">, </w:t>
      </w:r>
      <w:proofErr w:type="spellStart"/>
      <w:r w:rsidR="00940B6F">
        <w:rPr>
          <w:rFonts w:cs="Brill"/>
          <w:color w:val="000000"/>
        </w:rPr>
        <w:t>whereas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the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latter</w:t>
      </w:r>
      <w:proofErr w:type="spellEnd"/>
      <w:r w:rsidR="00940B6F">
        <w:rPr>
          <w:rFonts w:cs="Brill"/>
          <w:color w:val="000000"/>
        </w:rPr>
        <w:t xml:space="preserve"> are </w:t>
      </w:r>
      <w:proofErr w:type="spellStart"/>
      <w:r w:rsidR="00940B6F">
        <w:rPr>
          <w:rFonts w:cs="Brill"/>
          <w:color w:val="000000"/>
        </w:rPr>
        <w:t>geared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toward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identifying</w:t>
      </w:r>
      <w:proofErr w:type="spellEnd"/>
      <w:r w:rsidR="00940B6F">
        <w:rPr>
          <w:rFonts w:cs="Brill"/>
          <w:color w:val="000000"/>
        </w:rPr>
        <w:t xml:space="preserve">, monitoring </w:t>
      </w:r>
      <w:proofErr w:type="spellStart"/>
      <w:r w:rsidR="00940B6F">
        <w:rPr>
          <w:rFonts w:cs="Brill"/>
          <w:color w:val="000000"/>
        </w:rPr>
        <w:t>and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com</w:t>
      </w:r>
      <w:r w:rsidR="00940B6F">
        <w:rPr>
          <w:rFonts w:cs="Brill"/>
          <w:color w:val="000000"/>
        </w:rPr>
        <w:softHyphen/>
        <w:t>bating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terrorism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and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extremism</w:t>
      </w:r>
      <w:proofErr w:type="spellEnd"/>
      <w:r w:rsidR="00940B6F">
        <w:rPr>
          <w:rFonts w:cs="Brill"/>
          <w:color w:val="000000"/>
        </w:rPr>
        <w:t xml:space="preserve">, </w:t>
      </w:r>
      <w:proofErr w:type="spellStart"/>
      <w:r w:rsidR="00940B6F">
        <w:rPr>
          <w:rFonts w:cs="Brill"/>
          <w:color w:val="000000"/>
        </w:rPr>
        <w:t>especially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ideologically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inspired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extremism</w:t>
      </w:r>
      <w:proofErr w:type="spellEnd"/>
      <w:r w:rsidR="00940B6F">
        <w:rPr>
          <w:rFonts w:cs="Brill"/>
          <w:color w:val="000000"/>
        </w:rPr>
        <w:t xml:space="preserve">. </w:t>
      </w:r>
      <w:proofErr w:type="spellStart"/>
      <w:r w:rsidR="00940B6F">
        <w:rPr>
          <w:rFonts w:cs="Brill"/>
          <w:color w:val="000000"/>
        </w:rPr>
        <w:t>One</w:t>
      </w:r>
      <w:proofErr w:type="spellEnd"/>
      <w:r w:rsidR="00940B6F">
        <w:rPr>
          <w:rFonts w:cs="Brill"/>
          <w:color w:val="000000"/>
        </w:rPr>
        <w:t xml:space="preserve"> of </w:t>
      </w:r>
      <w:proofErr w:type="spellStart"/>
      <w:r w:rsidR="00940B6F">
        <w:rPr>
          <w:rFonts w:cs="Brill"/>
          <w:color w:val="000000"/>
        </w:rPr>
        <w:t>the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characteristic</w:t>
      </w:r>
      <w:proofErr w:type="spellEnd"/>
      <w:r w:rsidR="00940B6F">
        <w:rPr>
          <w:rFonts w:cs="Brill"/>
          <w:color w:val="000000"/>
        </w:rPr>
        <w:t xml:space="preserve"> features of the Dutch policy on </w:t>
      </w:r>
      <w:proofErr w:type="spellStart"/>
      <w:r w:rsidR="00940B6F">
        <w:rPr>
          <w:rFonts w:cs="Brill"/>
          <w:color w:val="000000"/>
        </w:rPr>
        <w:t>countering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extrem</w:t>
      </w:r>
      <w:r w:rsidR="00940B6F">
        <w:rPr>
          <w:rFonts w:cs="Brill"/>
          <w:color w:val="000000"/>
        </w:rPr>
        <w:softHyphen/>
        <w:t>ism</w:t>
      </w:r>
      <w:proofErr w:type="spellEnd"/>
      <w:r w:rsidR="00940B6F">
        <w:rPr>
          <w:rFonts w:cs="Brill"/>
          <w:color w:val="000000"/>
        </w:rPr>
        <w:t xml:space="preserve"> is </w:t>
      </w:r>
      <w:proofErr w:type="spellStart"/>
      <w:r w:rsidR="00940B6F">
        <w:rPr>
          <w:rFonts w:cs="Brill"/>
          <w:color w:val="000000"/>
        </w:rPr>
        <w:t>its</w:t>
      </w:r>
      <w:proofErr w:type="spellEnd"/>
      <w:r w:rsidR="00940B6F">
        <w:rPr>
          <w:rFonts w:cs="Brill"/>
          <w:color w:val="000000"/>
        </w:rPr>
        <w:t xml:space="preserve"> focus on </w:t>
      </w:r>
      <w:proofErr w:type="spellStart"/>
      <w:r w:rsidR="00940B6F">
        <w:rPr>
          <w:rFonts w:cs="Brill"/>
          <w:color w:val="000000"/>
        </w:rPr>
        <w:t>the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role</w:t>
      </w:r>
      <w:proofErr w:type="spellEnd"/>
      <w:r w:rsidR="00940B6F">
        <w:rPr>
          <w:rFonts w:cs="Brill"/>
          <w:color w:val="000000"/>
        </w:rPr>
        <w:t xml:space="preserve"> of </w:t>
      </w:r>
      <w:proofErr w:type="spellStart"/>
      <w:r w:rsidR="00940B6F">
        <w:rPr>
          <w:rFonts w:cs="Brill"/>
          <w:color w:val="000000"/>
        </w:rPr>
        <w:t>the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municipal</w:t>
      </w:r>
      <w:proofErr w:type="spellEnd"/>
      <w:r w:rsidR="00940B6F">
        <w:rPr>
          <w:rFonts w:cs="Brill"/>
          <w:color w:val="000000"/>
        </w:rPr>
        <w:t xml:space="preserve"> </w:t>
      </w:r>
      <w:proofErr w:type="spellStart"/>
      <w:r w:rsidR="00940B6F">
        <w:rPr>
          <w:rFonts w:cs="Brill"/>
          <w:color w:val="000000"/>
        </w:rPr>
        <w:t>authorities</w:t>
      </w:r>
      <w:proofErr w:type="spellEnd"/>
    </w:p>
    <w:p w14:paraId="06246F99" w14:textId="77777777" w:rsidR="00940B6F" w:rsidRDefault="00940B6F">
      <w:proofErr w:type="spellStart"/>
      <w:r>
        <w:rPr>
          <w:rFonts w:cs="Brill"/>
          <w:color w:val="000000"/>
        </w:rPr>
        <w:t>Municipal</w:t>
      </w:r>
      <w:proofErr w:type="spellEnd"/>
      <w:r>
        <w:rPr>
          <w:rFonts w:cs="Brill"/>
          <w:color w:val="000000"/>
        </w:rPr>
        <w:t xml:space="preserve"> officials are </w:t>
      </w:r>
      <w:proofErr w:type="spellStart"/>
      <w:r>
        <w:rPr>
          <w:rFonts w:cs="Brill"/>
          <w:color w:val="000000"/>
        </w:rPr>
        <w:t>particularly</w:t>
      </w:r>
      <w:proofErr w:type="spellEnd"/>
      <w:r>
        <w:rPr>
          <w:rFonts w:cs="Brill"/>
          <w:color w:val="000000"/>
        </w:rPr>
        <w:t xml:space="preserve"> important in </w:t>
      </w:r>
      <w:proofErr w:type="spellStart"/>
      <w:r>
        <w:rPr>
          <w:rFonts w:cs="Brill"/>
          <w:color w:val="000000"/>
        </w:rPr>
        <w:t>dealing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with</w:t>
      </w:r>
      <w:proofErr w:type="spellEnd"/>
      <w:r>
        <w:rPr>
          <w:rFonts w:cs="Brill"/>
          <w:color w:val="000000"/>
        </w:rPr>
        <w:t xml:space="preserve"> (violent) </w:t>
      </w:r>
      <w:proofErr w:type="spellStart"/>
      <w:r>
        <w:rPr>
          <w:rFonts w:cs="Brill"/>
          <w:color w:val="000000"/>
        </w:rPr>
        <w:t>extremism</w:t>
      </w:r>
      <w:proofErr w:type="spellEnd"/>
      <w:r>
        <w:rPr>
          <w:rFonts w:cs="Brill"/>
          <w:color w:val="000000"/>
        </w:rPr>
        <w:t xml:space="preserve"> in society, as well as in </w:t>
      </w:r>
      <w:proofErr w:type="spellStart"/>
      <w:r>
        <w:rPr>
          <w:rFonts w:cs="Brill"/>
          <w:color w:val="000000"/>
        </w:rPr>
        <w:t>preventing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and</w:t>
      </w:r>
      <w:proofErr w:type="spellEnd"/>
      <w:r>
        <w:rPr>
          <w:rFonts w:cs="Brill"/>
          <w:color w:val="000000"/>
        </w:rPr>
        <w:t xml:space="preserve">/or </w:t>
      </w:r>
      <w:proofErr w:type="spellStart"/>
      <w:r>
        <w:rPr>
          <w:rFonts w:cs="Brill"/>
          <w:color w:val="000000"/>
        </w:rPr>
        <w:t>altering</w:t>
      </w:r>
      <w:proofErr w:type="spellEnd"/>
      <w:r>
        <w:rPr>
          <w:rFonts w:cs="Brill"/>
          <w:color w:val="000000"/>
        </w:rPr>
        <w:t xml:space="preserve"> of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actions, </w:t>
      </w:r>
      <w:proofErr w:type="spellStart"/>
      <w:r>
        <w:rPr>
          <w:rFonts w:cs="Brill"/>
          <w:color w:val="000000"/>
        </w:rPr>
        <w:t>and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sometimes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ideas</w:t>
      </w:r>
      <w:proofErr w:type="spellEnd"/>
      <w:r>
        <w:rPr>
          <w:rFonts w:cs="Brill"/>
          <w:color w:val="000000"/>
        </w:rPr>
        <w:t xml:space="preserve">, of </w:t>
      </w:r>
      <w:proofErr w:type="spellStart"/>
      <w:r>
        <w:rPr>
          <w:rFonts w:cs="Brill"/>
          <w:color w:val="000000"/>
        </w:rPr>
        <w:t>known</w:t>
      </w:r>
      <w:proofErr w:type="spellEnd"/>
      <w:r>
        <w:rPr>
          <w:rFonts w:cs="Brill"/>
          <w:color w:val="000000"/>
        </w:rPr>
        <w:t xml:space="preserve"> or </w:t>
      </w:r>
      <w:proofErr w:type="spellStart"/>
      <w:r>
        <w:rPr>
          <w:rFonts w:cs="Brill"/>
          <w:color w:val="000000"/>
        </w:rPr>
        <w:t>potential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extremists</w:t>
      </w:r>
      <w:proofErr w:type="spellEnd"/>
      <w:r>
        <w:rPr>
          <w:rFonts w:cs="Brill"/>
          <w:color w:val="000000"/>
        </w:rPr>
        <w:t xml:space="preserve">. </w:t>
      </w:r>
      <w:proofErr w:type="spellStart"/>
      <w:r>
        <w:rPr>
          <w:rFonts w:cs="Brill"/>
          <w:color w:val="000000"/>
        </w:rPr>
        <w:t>They</w:t>
      </w:r>
      <w:proofErr w:type="spellEnd"/>
      <w:r>
        <w:rPr>
          <w:rFonts w:cs="Brill"/>
          <w:color w:val="000000"/>
        </w:rPr>
        <w:t xml:space="preserve"> are </w:t>
      </w:r>
      <w:proofErr w:type="spellStart"/>
      <w:r>
        <w:rPr>
          <w:rFonts w:cs="Brill"/>
          <w:color w:val="000000"/>
        </w:rPr>
        <w:t>also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re</w:t>
      </w:r>
      <w:r>
        <w:rPr>
          <w:rFonts w:cs="Brill"/>
          <w:color w:val="000000"/>
        </w:rPr>
        <w:softHyphen/>
        <w:t>sponsible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for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implementing</w:t>
      </w:r>
      <w:proofErr w:type="spellEnd"/>
      <w:r>
        <w:rPr>
          <w:rFonts w:cs="Brill"/>
          <w:color w:val="000000"/>
        </w:rPr>
        <w:t xml:space="preserve"> person-</w:t>
      </w:r>
      <w:proofErr w:type="spellStart"/>
      <w:r>
        <w:rPr>
          <w:rFonts w:cs="Brill"/>
          <w:color w:val="000000"/>
        </w:rPr>
        <w:t>specific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interventions</w:t>
      </w:r>
      <w:proofErr w:type="spellEnd"/>
      <w:r>
        <w:rPr>
          <w:rFonts w:cs="Brill"/>
          <w:color w:val="000000"/>
        </w:rPr>
        <w:t xml:space="preserve">. </w:t>
      </w:r>
      <w:proofErr w:type="spellStart"/>
      <w:r>
        <w:rPr>
          <w:rFonts w:cs="Brill"/>
          <w:color w:val="000000"/>
        </w:rPr>
        <w:t>Local</w:t>
      </w:r>
      <w:proofErr w:type="spellEnd"/>
      <w:r>
        <w:rPr>
          <w:rFonts w:cs="Brill"/>
          <w:color w:val="000000"/>
        </w:rPr>
        <w:t xml:space="preserve"> professionals </w:t>
      </w:r>
      <w:proofErr w:type="spellStart"/>
      <w:r>
        <w:rPr>
          <w:rFonts w:cs="Brill"/>
          <w:color w:val="000000"/>
        </w:rPr>
        <w:t>play</w:t>
      </w:r>
      <w:proofErr w:type="spellEnd"/>
      <w:r>
        <w:rPr>
          <w:rFonts w:cs="Brill"/>
          <w:color w:val="000000"/>
        </w:rPr>
        <w:t xml:space="preserve"> a </w:t>
      </w:r>
      <w:proofErr w:type="spellStart"/>
      <w:r>
        <w:rPr>
          <w:rFonts w:cs="Brill"/>
          <w:color w:val="000000"/>
        </w:rPr>
        <w:t>central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role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here</w:t>
      </w:r>
      <w:proofErr w:type="spellEnd"/>
      <w:r>
        <w:rPr>
          <w:rFonts w:cs="Brill"/>
          <w:color w:val="000000"/>
        </w:rPr>
        <w:t xml:space="preserve">. The plan of action </w:t>
      </w:r>
      <w:proofErr w:type="spellStart"/>
      <w:r>
        <w:rPr>
          <w:rFonts w:cs="Brill"/>
          <w:color w:val="000000"/>
        </w:rPr>
        <w:t>builds</w:t>
      </w:r>
      <w:proofErr w:type="spellEnd"/>
      <w:r>
        <w:rPr>
          <w:rFonts w:cs="Brill"/>
          <w:color w:val="000000"/>
        </w:rPr>
        <w:t xml:space="preserve"> on, </w:t>
      </w:r>
      <w:proofErr w:type="spellStart"/>
      <w:r>
        <w:rPr>
          <w:rFonts w:cs="Brill"/>
          <w:color w:val="000000"/>
        </w:rPr>
        <w:t>and</w:t>
      </w:r>
      <w:proofErr w:type="spellEnd"/>
      <w:r>
        <w:rPr>
          <w:rFonts w:cs="Brill"/>
          <w:color w:val="000000"/>
        </w:rPr>
        <w:t xml:space="preserve"> is part of,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Netherlands’ “</w:t>
      </w:r>
      <w:proofErr w:type="spellStart"/>
      <w:r>
        <w:rPr>
          <w:rFonts w:cs="Brill"/>
          <w:color w:val="000000"/>
        </w:rPr>
        <w:t>broad</w:t>
      </w:r>
      <w:proofErr w:type="spellEnd"/>
      <w:r>
        <w:rPr>
          <w:rFonts w:cs="Brill"/>
          <w:color w:val="000000"/>
        </w:rPr>
        <w:t xml:space="preserve"> approach” </w:t>
      </w:r>
      <w:proofErr w:type="spellStart"/>
      <w:r>
        <w:rPr>
          <w:rFonts w:cs="Brill"/>
          <w:color w:val="000000"/>
        </w:rPr>
        <w:t>to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coun</w:t>
      </w:r>
      <w:r>
        <w:rPr>
          <w:rFonts w:cs="Brill"/>
          <w:color w:val="000000"/>
        </w:rPr>
        <w:softHyphen/>
        <w:t>terterrorism</w:t>
      </w:r>
      <w:proofErr w:type="spellEnd"/>
      <w:r>
        <w:rPr>
          <w:rFonts w:cs="Brill"/>
          <w:color w:val="000000"/>
        </w:rPr>
        <w:t xml:space="preserve">. </w:t>
      </w:r>
      <w:proofErr w:type="spellStart"/>
      <w:r>
        <w:rPr>
          <w:rFonts w:cs="Brill"/>
          <w:color w:val="000000"/>
        </w:rPr>
        <w:t>Certain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specific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measures</w:t>
      </w:r>
      <w:proofErr w:type="spellEnd"/>
      <w:r>
        <w:rPr>
          <w:rFonts w:cs="Brill"/>
          <w:color w:val="000000"/>
        </w:rPr>
        <w:t xml:space="preserve"> target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risk </w:t>
      </w:r>
      <w:proofErr w:type="spellStart"/>
      <w:r>
        <w:rPr>
          <w:rFonts w:cs="Brill"/>
          <w:color w:val="000000"/>
        </w:rPr>
        <w:t>posed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by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certain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indi</w:t>
      </w:r>
      <w:r>
        <w:rPr>
          <w:rFonts w:cs="Brill"/>
          <w:color w:val="000000"/>
        </w:rPr>
        <w:softHyphen/>
        <w:t>viduals</w:t>
      </w:r>
      <w:proofErr w:type="spellEnd"/>
      <w:r>
        <w:rPr>
          <w:rFonts w:cs="Brill"/>
          <w:color w:val="000000"/>
        </w:rPr>
        <w:t xml:space="preserve"> or </w:t>
      </w:r>
      <w:proofErr w:type="spellStart"/>
      <w:r>
        <w:rPr>
          <w:rFonts w:cs="Brill"/>
          <w:color w:val="000000"/>
        </w:rPr>
        <w:t>groups</w:t>
      </w:r>
      <w:proofErr w:type="spellEnd"/>
      <w:r>
        <w:rPr>
          <w:rFonts w:cs="Brill"/>
          <w:color w:val="000000"/>
        </w:rPr>
        <w:t>. These person-</w:t>
      </w:r>
      <w:proofErr w:type="spellStart"/>
      <w:r>
        <w:rPr>
          <w:rFonts w:cs="Brill"/>
          <w:color w:val="000000"/>
        </w:rPr>
        <w:t>specific</w:t>
      </w:r>
      <w:proofErr w:type="spellEnd"/>
      <w:r>
        <w:rPr>
          <w:rFonts w:cs="Brill"/>
          <w:color w:val="000000"/>
        </w:rPr>
        <w:t xml:space="preserve"> – or </w:t>
      </w:r>
      <w:proofErr w:type="spellStart"/>
      <w:r>
        <w:rPr>
          <w:rFonts w:cs="Brill"/>
          <w:color w:val="000000"/>
        </w:rPr>
        <w:t>group</w:t>
      </w:r>
      <w:proofErr w:type="spellEnd"/>
      <w:r>
        <w:rPr>
          <w:rFonts w:cs="Brill"/>
          <w:color w:val="000000"/>
        </w:rPr>
        <w:t xml:space="preserve"> actions are </w:t>
      </w:r>
      <w:proofErr w:type="spellStart"/>
      <w:r>
        <w:rPr>
          <w:rFonts w:cs="Brill"/>
          <w:color w:val="000000"/>
        </w:rPr>
        <w:t>coordinated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by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municipal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authority</w:t>
      </w:r>
      <w:proofErr w:type="spellEnd"/>
      <w:r>
        <w:rPr>
          <w:rFonts w:cs="Brill"/>
          <w:color w:val="000000"/>
        </w:rPr>
        <w:t xml:space="preserve">, </w:t>
      </w:r>
      <w:proofErr w:type="spellStart"/>
      <w:r>
        <w:rPr>
          <w:rFonts w:cs="Brill"/>
          <w:color w:val="000000"/>
        </w:rPr>
        <w:t>while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administrative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decisions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and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policies</w:t>
      </w:r>
      <w:proofErr w:type="spellEnd"/>
      <w:r>
        <w:rPr>
          <w:rFonts w:cs="Brill"/>
          <w:color w:val="000000"/>
        </w:rPr>
        <w:t xml:space="preserve"> are </w:t>
      </w:r>
      <w:proofErr w:type="spellStart"/>
      <w:r>
        <w:rPr>
          <w:rFonts w:cs="Brill"/>
          <w:color w:val="000000"/>
        </w:rPr>
        <w:t>implemented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by</w:t>
      </w:r>
      <w:proofErr w:type="spellEnd"/>
      <w:r>
        <w:rPr>
          <w:rFonts w:cs="Brill"/>
          <w:color w:val="000000"/>
        </w:rPr>
        <w:t xml:space="preserve"> different (</w:t>
      </w:r>
      <w:proofErr w:type="spellStart"/>
      <w:r>
        <w:rPr>
          <w:rFonts w:cs="Brill"/>
          <w:color w:val="000000"/>
        </w:rPr>
        <w:t>local</w:t>
      </w:r>
      <w:proofErr w:type="spellEnd"/>
      <w:r>
        <w:rPr>
          <w:rFonts w:cs="Brill"/>
          <w:color w:val="000000"/>
        </w:rPr>
        <w:t xml:space="preserve">) partners </w:t>
      </w:r>
      <w:proofErr w:type="spellStart"/>
      <w:r>
        <w:rPr>
          <w:rFonts w:cs="Brill"/>
          <w:color w:val="000000"/>
        </w:rPr>
        <w:t>that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participate</w:t>
      </w:r>
      <w:proofErr w:type="spellEnd"/>
      <w:r>
        <w:rPr>
          <w:rFonts w:cs="Brill"/>
          <w:color w:val="000000"/>
        </w:rPr>
        <w:t xml:space="preserve"> in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so-called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multidisciplinary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consultative</w:t>
      </w:r>
      <w:proofErr w:type="spellEnd"/>
      <w:r>
        <w:rPr>
          <w:rFonts w:cs="Brill"/>
          <w:color w:val="000000"/>
        </w:rPr>
        <w:t xml:space="preserve"> body. </w:t>
      </w:r>
      <w:proofErr w:type="spellStart"/>
      <w:r>
        <w:rPr>
          <w:rFonts w:cs="Brill"/>
          <w:color w:val="000000"/>
        </w:rPr>
        <w:t>This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consists</w:t>
      </w:r>
      <w:proofErr w:type="spellEnd"/>
      <w:r>
        <w:rPr>
          <w:rFonts w:cs="Brill"/>
          <w:color w:val="000000"/>
        </w:rPr>
        <w:t xml:space="preserve"> of professionals </w:t>
      </w:r>
      <w:proofErr w:type="spellStart"/>
      <w:r>
        <w:rPr>
          <w:rFonts w:cs="Brill"/>
          <w:color w:val="000000"/>
        </w:rPr>
        <w:t>working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for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municipal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authority</w:t>
      </w:r>
      <w:proofErr w:type="spellEnd"/>
      <w:r>
        <w:rPr>
          <w:rFonts w:cs="Brill"/>
          <w:color w:val="000000"/>
        </w:rPr>
        <w:t xml:space="preserve">,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police</w:t>
      </w:r>
      <w:proofErr w:type="spellEnd"/>
      <w:r>
        <w:rPr>
          <w:rFonts w:cs="Brill"/>
          <w:color w:val="000000"/>
        </w:rPr>
        <w:t xml:space="preserve">,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Public </w:t>
      </w:r>
      <w:proofErr w:type="spellStart"/>
      <w:r>
        <w:rPr>
          <w:rFonts w:cs="Brill"/>
          <w:color w:val="000000"/>
        </w:rPr>
        <w:t>Prosecution</w:t>
      </w:r>
      <w:proofErr w:type="spellEnd"/>
      <w:r>
        <w:rPr>
          <w:rFonts w:cs="Brill"/>
          <w:color w:val="000000"/>
        </w:rPr>
        <w:t xml:space="preserve"> Service,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mental</w:t>
      </w:r>
      <w:proofErr w:type="spellEnd"/>
      <w:r>
        <w:rPr>
          <w:rFonts w:cs="Brill"/>
          <w:color w:val="000000"/>
        </w:rPr>
        <w:t xml:space="preserve"> health care providers, </w:t>
      </w:r>
      <w:proofErr w:type="spellStart"/>
      <w:r>
        <w:rPr>
          <w:rFonts w:cs="Brill"/>
          <w:color w:val="000000"/>
        </w:rPr>
        <w:t>and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other</w:t>
      </w:r>
      <w:proofErr w:type="spellEnd"/>
      <w:r>
        <w:rPr>
          <w:rFonts w:cs="Brill"/>
          <w:color w:val="000000"/>
        </w:rPr>
        <w:t xml:space="preserve"> partners in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social</w:t>
      </w:r>
      <w:proofErr w:type="spellEnd"/>
      <w:r>
        <w:rPr>
          <w:rFonts w:cs="Brill"/>
          <w:color w:val="000000"/>
        </w:rPr>
        <w:t xml:space="preserve"> domain.</w:t>
      </w:r>
    </w:p>
    <w:p w14:paraId="3ED9F58F" w14:textId="77777777" w:rsidR="00DB78A0" w:rsidRDefault="00DB78A0">
      <w:pPr>
        <w:rPr>
          <w:rFonts w:cs="Brill"/>
          <w:color w:val="000000"/>
        </w:rPr>
      </w:pPr>
      <w:r>
        <w:rPr>
          <w:rFonts w:cs="Brill"/>
          <w:color w:val="000000"/>
        </w:rPr>
        <w:t>P</w:t>
      </w:r>
      <w:r w:rsidR="00CE6F55">
        <w:rPr>
          <w:rFonts w:cs="Brill"/>
          <w:color w:val="000000"/>
        </w:rPr>
        <w:t>erson-</w:t>
      </w:r>
      <w:proofErr w:type="spellStart"/>
      <w:r w:rsidR="00CE6F55">
        <w:rPr>
          <w:rFonts w:cs="Brill"/>
          <w:color w:val="000000"/>
        </w:rPr>
        <w:t>specific</w:t>
      </w:r>
      <w:proofErr w:type="spellEnd"/>
      <w:r w:rsidR="00CE6F55">
        <w:rPr>
          <w:rFonts w:cs="Brill"/>
          <w:color w:val="000000"/>
        </w:rPr>
        <w:t xml:space="preserve"> </w:t>
      </w:r>
      <w:proofErr w:type="spellStart"/>
      <w:r w:rsidR="00CE6F55">
        <w:rPr>
          <w:rFonts w:cs="Brill"/>
          <w:color w:val="000000"/>
        </w:rPr>
        <w:t>interventions</w:t>
      </w:r>
      <w:proofErr w:type="spellEnd"/>
      <w:r w:rsidR="00CE6F55">
        <w:rPr>
          <w:rFonts w:cs="Brill"/>
          <w:color w:val="000000"/>
        </w:rPr>
        <w:t xml:space="preserve"> </w:t>
      </w:r>
      <w:proofErr w:type="spellStart"/>
      <w:r w:rsidR="00CE6F55">
        <w:rPr>
          <w:rFonts w:cs="Brill"/>
          <w:color w:val="000000"/>
        </w:rPr>
        <w:t>can</w:t>
      </w:r>
      <w:proofErr w:type="spellEnd"/>
      <w:r w:rsidR="00CE6F55">
        <w:rPr>
          <w:rFonts w:cs="Brill"/>
          <w:color w:val="000000"/>
        </w:rPr>
        <w:t xml:space="preserve"> </w:t>
      </w:r>
      <w:proofErr w:type="spellStart"/>
      <w:r w:rsidR="00CE6F55">
        <w:rPr>
          <w:rFonts w:cs="Brill"/>
          <w:color w:val="000000"/>
        </w:rPr>
        <w:t>be</w:t>
      </w:r>
      <w:proofErr w:type="spellEnd"/>
      <w:r w:rsidR="00CE6F55">
        <w:rPr>
          <w:rFonts w:cs="Brill"/>
          <w:color w:val="000000"/>
        </w:rPr>
        <w:t xml:space="preserve"> a mix of different </w:t>
      </w:r>
      <w:proofErr w:type="spellStart"/>
      <w:r w:rsidR="00CE6F55">
        <w:rPr>
          <w:rFonts w:cs="Brill"/>
          <w:color w:val="000000"/>
        </w:rPr>
        <w:t>measures</w:t>
      </w:r>
      <w:proofErr w:type="spellEnd"/>
      <w:r w:rsidR="00CE6F55">
        <w:rPr>
          <w:rFonts w:cs="Brill"/>
          <w:color w:val="000000"/>
        </w:rPr>
        <w:t xml:space="preserve">, </w:t>
      </w:r>
      <w:proofErr w:type="spellStart"/>
      <w:r w:rsidR="00CE6F55">
        <w:rPr>
          <w:rFonts w:cs="Brill"/>
          <w:color w:val="000000"/>
        </w:rPr>
        <w:t>both</w:t>
      </w:r>
      <w:proofErr w:type="spellEnd"/>
      <w:r w:rsidR="00CE6F55">
        <w:rPr>
          <w:rFonts w:cs="Brill"/>
          <w:color w:val="000000"/>
        </w:rPr>
        <w:t xml:space="preserve"> ‘harder’ </w:t>
      </w:r>
      <w:proofErr w:type="spellStart"/>
      <w:r w:rsidR="00CE6F55">
        <w:rPr>
          <w:rFonts w:cs="Brill"/>
          <w:color w:val="000000"/>
        </w:rPr>
        <w:t>and</w:t>
      </w:r>
      <w:proofErr w:type="spellEnd"/>
      <w:r w:rsidR="00CE6F55">
        <w:rPr>
          <w:rFonts w:cs="Brill"/>
          <w:color w:val="000000"/>
        </w:rPr>
        <w:t xml:space="preserve"> ‘softer’</w:t>
      </w:r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measures</w:t>
      </w:r>
      <w:proofErr w:type="spellEnd"/>
      <w:r w:rsidR="00CE6F55">
        <w:rPr>
          <w:rFonts w:cs="Brill"/>
          <w:color w:val="000000"/>
        </w:rPr>
        <w:t xml:space="preserve">. </w:t>
      </w:r>
      <w:r w:rsidR="008D1A51">
        <w:rPr>
          <w:rFonts w:cs="Brill"/>
          <w:color w:val="000000"/>
        </w:rPr>
        <w:t xml:space="preserve">In </w:t>
      </w:r>
      <w:proofErr w:type="spellStart"/>
      <w:r w:rsidR="008D1A51">
        <w:rPr>
          <w:rFonts w:cs="Brill"/>
          <w:color w:val="000000"/>
        </w:rPr>
        <w:t>general</w:t>
      </w:r>
      <w:proofErr w:type="spellEnd"/>
      <w:r w:rsidR="008D1A51">
        <w:rPr>
          <w:rFonts w:cs="Brill"/>
          <w:color w:val="000000"/>
        </w:rPr>
        <w:t xml:space="preserve">, </w:t>
      </w:r>
      <w:proofErr w:type="spellStart"/>
      <w:r w:rsidR="008D1A51">
        <w:rPr>
          <w:rFonts w:cs="Brill"/>
          <w:color w:val="000000"/>
        </w:rPr>
        <w:t>the</w:t>
      </w:r>
      <w:proofErr w:type="spellEnd"/>
      <w:r w:rsidR="00654E61">
        <w:rPr>
          <w:rFonts w:cs="Brill"/>
          <w:color w:val="000000"/>
        </w:rPr>
        <w:t xml:space="preserve"> harder </w:t>
      </w:r>
      <w:proofErr w:type="spellStart"/>
      <w:r w:rsidR="00654E61">
        <w:rPr>
          <w:rFonts w:cs="Brill"/>
          <w:color w:val="000000"/>
        </w:rPr>
        <w:t>measures</w:t>
      </w:r>
      <w:proofErr w:type="spellEnd"/>
      <w:r w:rsidR="00654E61">
        <w:rPr>
          <w:rFonts w:cs="Brill"/>
          <w:color w:val="000000"/>
        </w:rPr>
        <w:t xml:space="preserve"> are</w:t>
      </w:r>
      <w:r w:rsidR="008D1A51">
        <w:rPr>
          <w:rFonts w:cs="Brill"/>
          <w:color w:val="000000"/>
        </w:rPr>
        <w:t xml:space="preserve"> </w:t>
      </w:r>
      <w:proofErr w:type="spellStart"/>
      <w:r w:rsidR="008D1A51">
        <w:rPr>
          <w:rFonts w:cs="Brill"/>
          <w:color w:val="000000"/>
        </w:rPr>
        <w:t>geared</w:t>
      </w:r>
      <w:proofErr w:type="spellEnd"/>
      <w:r w:rsidR="008D1A51">
        <w:rPr>
          <w:rFonts w:cs="Brill"/>
          <w:color w:val="000000"/>
        </w:rPr>
        <w:t xml:space="preserve"> </w:t>
      </w:r>
      <w:proofErr w:type="spellStart"/>
      <w:r w:rsidR="008D1A51">
        <w:rPr>
          <w:rFonts w:cs="Brill"/>
          <w:color w:val="000000"/>
        </w:rPr>
        <w:t>towards</w:t>
      </w:r>
      <w:proofErr w:type="spellEnd"/>
      <w:r w:rsidR="008D1A51">
        <w:rPr>
          <w:rFonts w:cs="Brill"/>
          <w:color w:val="000000"/>
        </w:rPr>
        <w:t xml:space="preserve"> </w:t>
      </w:r>
      <w:proofErr w:type="spellStart"/>
      <w:r w:rsidR="008D1A51">
        <w:rPr>
          <w:rFonts w:cs="Brill"/>
          <w:color w:val="000000"/>
        </w:rPr>
        <w:t>identifying</w:t>
      </w:r>
      <w:proofErr w:type="spellEnd"/>
      <w:r w:rsidR="008D1A51">
        <w:rPr>
          <w:rFonts w:cs="Brill"/>
          <w:color w:val="000000"/>
        </w:rPr>
        <w:t xml:space="preserve">, monitoring </w:t>
      </w:r>
      <w:proofErr w:type="spellStart"/>
      <w:r w:rsidR="008D1A51">
        <w:rPr>
          <w:rFonts w:cs="Brill"/>
          <w:color w:val="000000"/>
        </w:rPr>
        <w:t>and</w:t>
      </w:r>
      <w:proofErr w:type="spellEnd"/>
      <w:r w:rsidR="008D1A51">
        <w:rPr>
          <w:rFonts w:cs="Brill"/>
          <w:color w:val="000000"/>
        </w:rPr>
        <w:t xml:space="preserve"> </w:t>
      </w:r>
      <w:proofErr w:type="spellStart"/>
      <w:r w:rsidR="008D1A51">
        <w:rPr>
          <w:rFonts w:cs="Brill"/>
          <w:color w:val="000000"/>
        </w:rPr>
        <w:t>combating</w:t>
      </w:r>
      <w:proofErr w:type="spellEnd"/>
      <w:r w:rsidR="008D1A51">
        <w:rPr>
          <w:rFonts w:cs="Brill"/>
          <w:color w:val="000000"/>
        </w:rPr>
        <w:t xml:space="preserve"> (</w:t>
      </w:r>
      <w:proofErr w:type="spellStart"/>
      <w:r w:rsidR="008D1A51">
        <w:rPr>
          <w:rFonts w:cs="Brill"/>
          <w:color w:val="000000"/>
        </w:rPr>
        <w:t>potential</w:t>
      </w:r>
      <w:proofErr w:type="spellEnd"/>
      <w:r w:rsidR="008D1A51">
        <w:rPr>
          <w:rFonts w:cs="Brill"/>
          <w:color w:val="000000"/>
        </w:rPr>
        <w:t xml:space="preserve">) </w:t>
      </w:r>
      <w:proofErr w:type="spellStart"/>
      <w:r w:rsidR="008D1A51">
        <w:rPr>
          <w:rFonts w:cs="Brill"/>
          <w:color w:val="000000"/>
        </w:rPr>
        <w:t>extremists</w:t>
      </w:r>
      <w:proofErr w:type="spellEnd"/>
      <w:r w:rsidR="008D1A51">
        <w:rPr>
          <w:rFonts w:cs="Brill"/>
          <w:color w:val="000000"/>
        </w:rPr>
        <w:t>,</w:t>
      </w:r>
      <w:r w:rsidR="00CE6F55">
        <w:rPr>
          <w:rFonts w:cs="Brill"/>
          <w:color w:val="000000"/>
        </w:rPr>
        <w:t xml:space="preserve"> </w:t>
      </w:r>
      <w:proofErr w:type="spellStart"/>
      <w:r w:rsidR="00CE6F55">
        <w:rPr>
          <w:rFonts w:cs="Brill"/>
          <w:color w:val="000000"/>
        </w:rPr>
        <w:t>e</w:t>
      </w:r>
      <w:r w:rsidR="00506109">
        <w:rPr>
          <w:rFonts w:cs="Brill"/>
          <w:color w:val="000000"/>
        </w:rPr>
        <w:t>ither</w:t>
      </w:r>
      <w:proofErr w:type="spellEnd"/>
      <w:r w:rsidR="00506109">
        <w:rPr>
          <w:rFonts w:cs="Brill"/>
          <w:color w:val="000000"/>
        </w:rPr>
        <w:t xml:space="preserve"> </w:t>
      </w:r>
      <w:proofErr w:type="spellStart"/>
      <w:r w:rsidR="00506109">
        <w:rPr>
          <w:rFonts w:cs="Brill"/>
          <w:color w:val="000000"/>
        </w:rPr>
        <w:t>through</w:t>
      </w:r>
      <w:proofErr w:type="spellEnd"/>
      <w:r w:rsidR="00506109">
        <w:rPr>
          <w:rFonts w:cs="Brill"/>
          <w:color w:val="000000"/>
        </w:rPr>
        <w:t xml:space="preserve"> </w:t>
      </w:r>
      <w:proofErr w:type="spellStart"/>
      <w:r w:rsidR="00506109">
        <w:rPr>
          <w:rFonts w:cs="Brill"/>
          <w:color w:val="000000"/>
        </w:rPr>
        <w:t>criminal</w:t>
      </w:r>
      <w:proofErr w:type="spellEnd"/>
      <w:r w:rsidR="00506109">
        <w:rPr>
          <w:rFonts w:cs="Brill"/>
          <w:color w:val="000000"/>
        </w:rPr>
        <w:t xml:space="preserve"> </w:t>
      </w:r>
      <w:proofErr w:type="spellStart"/>
      <w:r w:rsidR="00506109">
        <w:rPr>
          <w:rFonts w:cs="Brill"/>
          <w:color w:val="000000"/>
        </w:rPr>
        <w:t>law</w:t>
      </w:r>
      <w:proofErr w:type="spellEnd"/>
      <w:r w:rsidR="00506109">
        <w:rPr>
          <w:rFonts w:cs="Brill"/>
          <w:color w:val="000000"/>
        </w:rPr>
        <w:t xml:space="preserve"> </w:t>
      </w:r>
      <w:proofErr w:type="spellStart"/>
      <w:r w:rsidR="00506109">
        <w:rPr>
          <w:rFonts w:cs="Brill"/>
          <w:color w:val="000000"/>
        </w:rPr>
        <w:t>and</w:t>
      </w:r>
      <w:proofErr w:type="spellEnd"/>
      <w:r w:rsidR="00506109">
        <w:rPr>
          <w:rFonts w:cs="Brill"/>
          <w:color w:val="000000"/>
        </w:rPr>
        <w:t xml:space="preserve"> procedure or </w:t>
      </w:r>
      <w:proofErr w:type="spellStart"/>
      <w:r w:rsidR="00506109">
        <w:rPr>
          <w:rFonts w:cs="Brill"/>
          <w:color w:val="000000"/>
        </w:rPr>
        <w:t>through</w:t>
      </w:r>
      <w:proofErr w:type="spellEnd"/>
      <w:r w:rsidR="00506109">
        <w:rPr>
          <w:rFonts w:cs="Brill"/>
          <w:color w:val="000000"/>
        </w:rPr>
        <w:t xml:space="preserve"> the intelligence services</w:t>
      </w:r>
      <w:r w:rsidR="00CE6F55">
        <w:rPr>
          <w:rFonts w:cs="Brill"/>
          <w:color w:val="000000"/>
        </w:rPr>
        <w:t>.</w:t>
      </w:r>
      <w:r w:rsidR="008D1A51">
        <w:rPr>
          <w:rFonts w:cs="Brill"/>
          <w:color w:val="000000"/>
        </w:rPr>
        <w:t xml:space="preserve"> </w:t>
      </w:r>
      <w:r w:rsidR="00654E61">
        <w:rPr>
          <w:rFonts w:cs="Brill"/>
          <w:color w:val="000000"/>
        </w:rPr>
        <w:t>The</w:t>
      </w:r>
      <w:r w:rsidR="008D1A51">
        <w:rPr>
          <w:rFonts w:cs="Brill"/>
          <w:color w:val="000000"/>
        </w:rPr>
        <w:t xml:space="preserve"> “soft” or “</w:t>
      </w:r>
      <w:proofErr w:type="spellStart"/>
      <w:r w:rsidR="008D1A51">
        <w:rPr>
          <w:rFonts w:cs="Brill"/>
          <w:color w:val="000000"/>
        </w:rPr>
        <w:t>preventive</w:t>
      </w:r>
      <w:proofErr w:type="spellEnd"/>
      <w:r w:rsidR="008D1A51">
        <w:rPr>
          <w:rFonts w:cs="Brill"/>
          <w:color w:val="000000"/>
        </w:rPr>
        <w:t xml:space="preserve">” </w:t>
      </w:r>
      <w:proofErr w:type="spellStart"/>
      <w:r w:rsidR="008D1A51">
        <w:rPr>
          <w:rFonts w:cs="Brill"/>
          <w:color w:val="000000"/>
        </w:rPr>
        <w:t>measures</w:t>
      </w:r>
      <w:proofErr w:type="spellEnd"/>
      <w:r w:rsidR="008D1A51">
        <w:rPr>
          <w:rFonts w:cs="Brill"/>
          <w:color w:val="000000"/>
        </w:rPr>
        <w:t xml:space="preserve"> are </w:t>
      </w:r>
      <w:proofErr w:type="spellStart"/>
      <w:r w:rsidR="008D1A51">
        <w:rPr>
          <w:rFonts w:cs="Brill"/>
          <w:color w:val="000000"/>
        </w:rPr>
        <w:t>geared</w:t>
      </w:r>
      <w:proofErr w:type="spellEnd"/>
      <w:r w:rsidR="008D1A51">
        <w:rPr>
          <w:rFonts w:cs="Brill"/>
          <w:color w:val="000000"/>
        </w:rPr>
        <w:t xml:space="preserve"> </w:t>
      </w:r>
      <w:proofErr w:type="spellStart"/>
      <w:r w:rsidR="008D1A51">
        <w:rPr>
          <w:rFonts w:cs="Brill"/>
          <w:color w:val="000000"/>
        </w:rPr>
        <w:t>towards</w:t>
      </w:r>
      <w:proofErr w:type="spellEnd"/>
      <w:r w:rsidR="008D1A51">
        <w:rPr>
          <w:rFonts w:cs="Brill"/>
          <w:color w:val="000000"/>
        </w:rPr>
        <w:t xml:space="preserve"> promoting </w:t>
      </w:r>
      <w:proofErr w:type="spellStart"/>
      <w:r w:rsidR="008D1A51">
        <w:rPr>
          <w:rFonts w:cs="Brill"/>
          <w:color w:val="000000"/>
        </w:rPr>
        <w:t>social</w:t>
      </w:r>
      <w:proofErr w:type="spellEnd"/>
      <w:r w:rsidR="008D1A51">
        <w:rPr>
          <w:rFonts w:cs="Brill"/>
          <w:color w:val="000000"/>
        </w:rPr>
        <w:t xml:space="preserve"> </w:t>
      </w:r>
      <w:proofErr w:type="spellStart"/>
      <w:r w:rsidR="008D1A51">
        <w:rPr>
          <w:rFonts w:cs="Brill"/>
          <w:color w:val="000000"/>
        </w:rPr>
        <w:t>cohe</w:t>
      </w:r>
      <w:r w:rsidR="008D1A51">
        <w:rPr>
          <w:rFonts w:cs="Brill"/>
          <w:color w:val="000000"/>
        </w:rPr>
        <w:softHyphen/>
        <w:t>siveness</w:t>
      </w:r>
      <w:proofErr w:type="spellEnd"/>
      <w:r w:rsidR="008D1A51">
        <w:rPr>
          <w:rFonts w:cs="Brill"/>
          <w:color w:val="000000"/>
        </w:rPr>
        <w:t xml:space="preserve">, </w:t>
      </w:r>
      <w:proofErr w:type="spellStart"/>
      <w:r w:rsidR="008D1A51">
        <w:rPr>
          <w:rFonts w:cs="Brill"/>
          <w:color w:val="000000"/>
        </w:rPr>
        <w:t>the</w:t>
      </w:r>
      <w:proofErr w:type="spellEnd"/>
      <w:r w:rsidR="008D1A51">
        <w:rPr>
          <w:rFonts w:cs="Brill"/>
          <w:color w:val="000000"/>
        </w:rPr>
        <w:t xml:space="preserve"> </w:t>
      </w:r>
      <w:proofErr w:type="spellStart"/>
      <w:r w:rsidR="008D1A51">
        <w:rPr>
          <w:rFonts w:cs="Brill"/>
          <w:color w:val="000000"/>
        </w:rPr>
        <w:t>integration</w:t>
      </w:r>
      <w:proofErr w:type="spellEnd"/>
      <w:r w:rsidR="008D1A51">
        <w:rPr>
          <w:rFonts w:cs="Brill"/>
          <w:color w:val="000000"/>
        </w:rPr>
        <w:t xml:space="preserve"> of </w:t>
      </w:r>
      <w:proofErr w:type="spellStart"/>
      <w:r w:rsidR="008D1A51">
        <w:rPr>
          <w:rFonts w:cs="Brill"/>
          <w:color w:val="000000"/>
        </w:rPr>
        <w:t>minorities</w:t>
      </w:r>
      <w:proofErr w:type="spellEnd"/>
      <w:r w:rsidR="008D1A51">
        <w:rPr>
          <w:rFonts w:cs="Brill"/>
          <w:color w:val="000000"/>
        </w:rPr>
        <w:t xml:space="preserve"> or </w:t>
      </w:r>
      <w:proofErr w:type="spellStart"/>
      <w:r w:rsidR="008D1A51">
        <w:rPr>
          <w:rFonts w:cs="Brill"/>
          <w:color w:val="000000"/>
        </w:rPr>
        <w:t>tackling</w:t>
      </w:r>
      <w:proofErr w:type="spellEnd"/>
      <w:r w:rsidR="008D1A51">
        <w:rPr>
          <w:rFonts w:cs="Brill"/>
          <w:color w:val="000000"/>
        </w:rPr>
        <w:t xml:space="preserve"> </w:t>
      </w:r>
      <w:proofErr w:type="spellStart"/>
      <w:r w:rsidR="008D1A51">
        <w:rPr>
          <w:rFonts w:cs="Brill"/>
          <w:color w:val="000000"/>
        </w:rPr>
        <w:t>discrimination</w:t>
      </w:r>
      <w:proofErr w:type="spellEnd"/>
      <w:r w:rsidR="008D1A51">
        <w:rPr>
          <w:rFonts w:cs="Brill"/>
          <w:color w:val="000000"/>
        </w:rPr>
        <w:t xml:space="preserve">. For </w:t>
      </w:r>
      <w:proofErr w:type="spellStart"/>
      <w:r w:rsidR="008D1A51">
        <w:rPr>
          <w:rFonts w:cs="Brill"/>
          <w:color w:val="000000"/>
        </w:rPr>
        <w:t>instance</w:t>
      </w:r>
      <w:proofErr w:type="spellEnd"/>
      <w:r w:rsidR="008D1A51">
        <w:rPr>
          <w:rFonts w:cs="Brill"/>
          <w:color w:val="000000"/>
        </w:rPr>
        <w:t xml:space="preserve">, in </w:t>
      </w:r>
      <w:proofErr w:type="spellStart"/>
      <w:r w:rsidR="008D1A51">
        <w:rPr>
          <w:rFonts w:cs="Brill"/>
          <w:color w:val="000000"/>
        </w:rPr>
        <w:t>addition</w:t>
      </w:r>
      <w:proofErr w:type="spellEnd"/>
      <w:r w:rsidR="008D1A51">
        <w:rPr>
          <w:rFonts w:cs="Brill"/>
          <w:color w:val="000000"/>
        </w:rPr>
        <w:t xml:space="preserve"> </w:t>
      </w:r>
      <w:proofErr w:type="spellStart"/>
      <w:r w:rsidR="008D1A51">
        <w:rPr>
          <w:rFonts w:cs="Brill"/>
          <w:color w:val="000000"/>
        </w:rPr>
        <w:t>to</w:t>
      </w:r>
      <w:proofErr w:type="spellEnd"/>
      <w:r w:rsidR="008D1A51">
        <w:rPr>
          <w:rFonts w:cs="Brill"/>
          <w:color w:val="000000"/>
        </w:rPr>
        <w:t xml:space="preserve"> </w:t>
      </w:r>
      <w:proofErr w:type="spellStart"/>
      <w:r w:rsidR="008D1A51">
        <w:rPr>
          <w:rFonts w:cs="Brill"/>
          <w:color w:val="000000"/>
        </w:rPr>
        <w:t>social</w:t>
      </w:r>
      <w:proofErr w:type="spellEnd"/>
      <w:r w:rsidR="008D1A51">
        <w:rPr>
          <w:rFonts w:cs="Brill"/>
          <w:color w:val="000000"/>
        </w:rPr>
        <w:t xml:space="preserve"> </w:t>
      </w:r>
      <w:proofErr w:type="spellStart"/>
      <w:r w:rsidR="008D1A51">
        <w:rPr>
          <w:rFonts w:cs="Brill"/>
          <w:color w:val="000000"/>
        </w:rPr>
        <w:t>measures</w:t>
      </w:r>
      <w:proofErr w:type="spellEnd"/>
      <w:r w:rsidR="008D1A51">
        <w:rPr>
          <w:rFonts w:cs="Brill"/>
          <w:color w:val="000000"/>
        </w:rPr>
        <w:t xml:space="preserve">, </w:t>
      </w:r>
      <w:proofErr w:type="spellStart"/>
      <w:r w:rsidR="008D1A51">
        <w:rPr>
          <w:rFonts w:cs="Brill"/>
          <w:color w:val="000000"/>
        </w:rPr>
        <w:lastRenderedPageBreak/>
        <w:t>including</w:t>
      </w:r>
      <w:proofErr w:type="spellEnd"/>
      <w:r w:rsidR="008D1A51">
        <w:rPr>
          <w:rFonts w:cs="Brill"/>
          <w:color w:val="000000"/>
        </w:rPr>
        <w:t xml:space="preserve"> welfare, </w:t>
      </w:r>
      <w:proofErr w:type="spellStart"/>
      <w:r w:rsidR="008D1A51">
        <w:rPr>
          <w:rFonts w:cs="Brill"/>
          <w:color w:val="000000"/>
        </w:rPr>
        <w:t>housing</w:t>
      </w:r>
      <w:proofErr w:type="spellEnd"/>
      <w:r w:rsidR="008D1A51">
        <w:rPr>
          <w:rFonts w:cs="Brill"/>
          <w:color w:val="000000"/>
        </w:rPr>
        <w:t xml:space="preserve">, care or </w:t>
      </w:r>
      <w:proofErr w:type="spellStart"/>
      <w:r w:rsidR="008D1A51">
        <w:rPr>
          <w:rFonts w:cs="Brill"/>
          <w:color w:val="000000"/>
        </w:rPr>
        <w:t>education</w:t>
      </w:r>
      <w:proofErr w:type="spellEnd"/>
      <w:r w:rsidR="008D1A51">
        <w:rPr>
          <w:rFonts w:cs="Brill"/>
          <w:color w:val="000000"/>
        </w:rPr>
        <w:t xml:space="preserve"> benefits, </w:t>
      </w:r>
      <w:proofErr w:type="spellStart"/>
      <w:r w:rsidR="008D1A51">
        <w:rPr>
          <w:rFonts w:cs="Brill"/>
          <w:color w:val="000000"/>
        </w:rPr>
        <w:t>mental</w:t>
      </w:r>
      <w:proofErr w:type="spellEnd"/>
      <w:r w:rsidR="008D1A51">
        <w:rPr>
          <w:rFonts w:cs="Brill"/>
          <w:color w:val="000000"/>
        </w:rPr>
        <w:t xml:space="preserve"> health-care </w:t>
      </w:r>
      <w:proofErr w:type="spellStart"/>
      <w:r w:rsidR="008D1A51">
        <w:rPr>
          <w:rFonts w:cs="Brill"/>
          <w:color w:val="000000"/>
        </w:rPr>
        <w:t>may</w:t>
      </w:r>
      <w:proofErr w:type="spellEnd"/>
      <w:r w:rsidR="008D1A51">
        <w:rPr>
          <w:rFonts w:cs="Brill"/>
          <w:color w:val="000000"/>
        </w:rPr>
        <w:t xml:space="preserve"> </w:t>
      </w:r>
      <w:proofErr w:type="spellStart"/>
      <w:r w:rsidR="008D1A51">
        <w:rPr>
          <w:rFonts w:cs="Brill"/>
          <w:color w:val="000000"/>
        </w:rPr>
        <w:t>be</w:t>
      </w:r>
      <w:proofErr w:type="spellEnd"/>
      <w:r w:rsidR="008D1A51">
        <w:rPr>
          <w:rFonts w:cs="Brill"/>
          <w:color w:val="000000"/>
        </w:rPr>
        <w:t xml:space="preserve"> </w:t>
      </w:r>
      <w:proofErr w:type="spellStart"/>
      <w:r w:rsidR="008D1A51">
        <w:rPr>
          <w:rFonts w:cs="Brill"/>
          <w:color w:val="000000"/>
        </w:rPr>
        <w:t>offered</w:t>
      </w:r>
      <w:proofErr w:type="spellEnd"/>
      <w:r w:rsidR="008D1A51">
        <w:rPr>
          <w:rFonts w:cs="Brill"/>
          <w:color w:val="000000"/>
        </w:rPr>
        <w:t xml:space="preserve"> in </w:t>
      </w:r>
      <w:proofErr w:type="spellStart"/>
      <w:r w:rsidR="008D1A51">
        <w:rPr>
          <w:rFonts w:cs="Brill"/>
          <w:color w:val="000000"/>
        </w:rPr>
        <w:t>the</w:t>
      </w:r>
      <w:proofErr w:type="spellEnd"/>
      <w:r w:rsidR="008D1A51">
        <w:rPr>
          <w:rFonts w:cs="Brill"/>
          <w:color w:val="000000"/>
        </w:rPr>
        <w:t xml:space="preserve"> </w:t>
      </w:r>
      <w:proofErr w:type="spellStart"/>
      <w:r w:rsidR="008D1A51">
        <w:rPr>
          <w:rFonts w:cs="Brill"/>
          <w:color w:val="000000"/>
        </w:rPr>
        <w:t>framework</w:t>
      </w:r>
      <w:proofErr w:type="spellEnd"/>
      <w:r w:rsidR="008D1A51">
        <w:rPr>
          <w:rFonts w:cs="Brill"/>
          <w:color w:val="000000"/>
        </w:rPr>
        <w:t xml:space="preserve"> of a </w:t>
      </w:r>
      <w:proofErr w:type="spellStart"/>
      <w:r w:rsidR="008D1A51">
        <w:rPr>
          <w:rFonts w:cs="Brill"/>
          <w:color w:val="000000"/>
        </w:rPr>
        <w:t>criminal-law</w:t>
      </w:r>
      <w:proofErr w:type="spellEnd"/>
      <w:r w:rsidR="008D1A51">
        <w:rPr>
          <w:rFonts w:cs="Brill"/>
          <w:color w:val="000000"/>
        </w:rPr>
        <w:t xml:space="preserve"> </w:t>
      </w:r>
      <w:proofErr w:type="spellStart"/>
      <w:r w:rsidR="008D1A51">
        <w:rPr>
          <w:rFonts w:cs="Brill"/>
          <w:color w:val="000000"/>
        </w:rPr>
        <w:t>interference</w:t>
      </w:r>
      <w:proofErr w:type="spellEnd"/>
      <w:r w:rsidR="008D1A51">
        <w:rPr>
          <w:rFonts w:cs="Brill"/>
          <w:color w:val="000000"/>
        </w:rPr>
        <w:t xml:space="preserve">, </w:t>
      </w:r>
      <w:proofErr w:type="spellStart"/>
      <w:r w:rsidR="008D1A51">
        <w:rPr>
          <w:rFonts w:cs="Brill"/>
          <w:color w:val="000000"/>
        </w:rPr>
        <w:t>through</w:t>
      </w:r>
      <w:proofErr w:type="spellEnd"/>
      <w:r w:rsidR="008D1A51">
        <w:rPr>
          <w:rFonts w:cs="Brill"/>
          <w:color w:val="000000"/>
        </w:rPr>
        <w:t xml:space="preserve"> </w:t>
      </w:r>
      <w:proofErr w:type="spellStart"/>
      <w:r w:rsidR="008D1A51">
        <w:rPr>
          <w:rFonts w:cs="Brill"/>
          <w:color w:val="000000"/>
        </w:rPr>
        <w:t>the</w:t>
      </w:r>
      <w:proofErr w:type="spellEnd"/>
      <w:r w:rsidR="008D1A51">
        <w:rPr>
          <w:rFonts w:cs="Brill"/>
          <w:color w:val="000000"/>
        </w:rPr>
        <w:t xml:space="preserve"> </w:t>
      </w:r>
      <w:proofErr w:type="spellStart"/>
      <w:r w:rsidR="008D1A51">
        <w:rPr>
          <w:rFonts w:cs="Brill"/>
          <w:color w:val="000000"/>
        </w:rPr>
        <w:t>Youth</w:t>
      </w:r>
      <w:proofErr w:type="spellEnd"/>
      <w:r w:rsidR="008D1A51">
        <w:rPr>
          <w:rFonts w:cs="Brill"/>
          <w:color w:val="000000"/>
        </w:rPr>
        <w:t xml:space="preserve"> Care – or </w:t>
      </w:r>
      <w:proofErr w:type="spellStart"/>
      <w:r w:rsidR="008D1A51">
        <w:rPr>
          <w:rFonts w:cs="Brill"/>
          <w:color w:val="000000"/>
        </w:rPr>
        <w:t>Proba</w:t>
      </w:r>
      <w:r w:rsidR="008D1A51">
        <w:rPr>
          <w:rFonts w:cs="Brill"/>
          <w:color w:val="000000"/>
        </w:rPr>
        <w:softHyphen/>
        <w:t>tion</w:t>
      </w:r>
      <w:proofErr w:type="spellEnd"/>
      <w:r w:rsidR="008D1A51">
        <w:rPr>
          <w:rFonts w:cs="Brill"/>
          <w:color w:val="000000"/>
        </w:rPr>
        <w:t xml:space="preserve"> Services.</w:t>
      </w:r>
      <w:r w:rsidR="00506109">
        <w:rPr>
          <w:rStyle w:val="FootnoteReference"/>
        </w:rPr>
        <w:footnoteReference w:id="3"/>
      </w:r>
      <w:r w:rsidR="008D1A51">
        <w:rPr>
          <w:rFonts w:cs="Brill"/>
          <w:color w:val="000000"/>
        </w:rPr>
        <w:t xml:space="preserve"> </w:t>
      </w:r>
    </w:p>
    <w:p w14:paraId="4AAE3289" w14:textId="77777777" w:rsidR="0010326B" w:rsidRDefault="008D1A51" w:rsidP="0010326B">
      <w:pPr>
        <w:rPr>
          <w:rFonts w:cs="Brill"/>
          <w:color w:val="000000"/>
        </w:rPr>
      </w:pPr>
      <w:r>
        <w:rPr>
          <w:rFonts w:cs="Brill"/>
          <w:color w:val="000000"/>
        </w:rPr>
        <w:t>Person-</w:t>
      </w:r>
      <w:proofErr w:type="spellStart"/>
      <w:r>
        <w:rPr>
          <w:rFonts w:cs="Brill"/>
          <w:color w:val="000000"/>
        </w:rPr>
        <w:t>specific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interventions</w:t>
      </w:r>
      <w:proofErr w:type="spellEnd"/>
      <w:r>
        <w:rPr>
          <w:rFonts w:cs="Brill"/>
          <w:color w:val="000000"/>
        </w:rPr>
        <w:t xml:space="preserve"> are </w:t>
      </w:r>
      <w:proofErr w:type="spellStart"/>
      <w:r>
        <w:rPr>
          <w:rFonts w:cs="Brill"/>
          <w:color w:val="000000"/>
        </w:rPr>
        <w:t>not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based</w:t>
      </w:r>
      <w:proofErr w:type="spellEnd"/>
      <w:r>
        <w:rPr>
          <w:rFonts w:cs="Brill"/>
          <w:color w:val="000000"/>
        </w:rPr>
        <w:t xml:space="preserve"> on a single </w:t>
      </w:r>
      <w:proofErr w:type="spellStart"/>
      <w:r>
        <w:rPr>
          <w:rFonts w:cs="Brill"/>
          <w:color w:val="000000"/>
        </w:rPr>
        <w:t>specific</w:t>
      </w:r>
      <w:proofErr w:type="spellEnd"/>
      <w:r>
        <w:rPr>
          <w:rFonts w:cs="Brill"/>
          <w:color w:val="000000"/>
        </w:rPr>
        <w:t xml:space="preserve"> act of </w:t>
      </w:r>
      <w:proofErr w:type="spellStart"/>
      <w:r>
        <w:rPr>
          <w:rFonts w:cs="Brill"/>
          <w:color w:val="000000"/>
        </w:rPr>
        <w:t>parlia</w:t>
      </w:r>
      <w:r>
        <w:rPr>
          <w:rFonts w:cs="Brill"/>
          <w:color w:val="000000"/>
        </w:rPr>
        <w:softHyphen/>
        <w:t>ment</w:t>
      </w:r>
      <w:proofErr w:type="spellEnd"/>
      <w:r>
        <w:rPr>
          <w:rFonts w:cs="Brill"/>
          <w:color w:val="000000"/>
        </w:rPr>
        <w:t xml:space="preserve"> or area of </w:t>
      </w:r>
      <w:proofErr w:type="spellStart"/>
      <w:r>
        <w:rPr>
          <w:rFonts w:cs="Brill"/>
          <w:color w:val="000000"/>
        </w:rPr>
        <w:t>law</w:t>
      </w:r>
      <w:proofErr w:type="spellEnd"/>
      <w:r>
        <w:rPr>
          <w:rFonts w:cs="Brill"/>
          <w:color w:val="000000"/>
        </w:rPr>
        <w:t xml:space="preserve">, but on a range of </w:t>
      </w:r>
      <w:proofErr w:type="spellStart"/>
      <w:r>
        <w:rPr>
          <w:rFonts w:cs="Brill"/>
          <w:color w:val="000000"/>
        </w:rPr>
        <w:t>existing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legislation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and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regulations</w:t>
      </w:r>
      <w:proofErr w:type="spellEnd"/>
      <w:r>
        <w:rPr>
          <w:rFonts w:cs="Brill"/>
          <w:color w:val="000000"/>
        </w:rPr>
        <w:t xml:space="preserve">, </w:t>
      </w:r>
      <w:proofErr w:type="spellStart"/>
      <w:r>
        <w:rPr>
          <w:rFonts w:cs="Brill"/>
          <w:color w:val="000000"/>
        </w:rPr>
        <w:t>in</w:t>
      </w:r>
      <w:r>
        <w:rPr>
          <w:rFonts w:cs="Brill"/>
          <w:color w:val="000000"/>
        </w:rPr>
        <w:softHyphen/>
        <w:t>cluding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Municipalities</w:t>
      </w:r>
      <w:proofErr w:type="spellEnd"/>
      <w:r>
        <w:rPr>
          <w:rFonts w:cs="Brill"/>
          <w:color w:val="000000"/>
        </w:rPr>
        <w:t xml:space="preserve"> Act, the Passport Act,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Aliens Act, </w:t>
      </w:r>
      <w:proofErr w:type="spellStart"/>
      <w:r>
        <w:rPr>
          <w:rFonts w:cs="Brill"/>
          <w:color w:val="000000"/>
        </w:rPr>
        <w:t>social</w:t>
      </w:r>
      <w:proofErr w:type="spellEnd"/>
      <w:r>
        <w:rPr>
          <w:rFonts w:cs="Brill"/>
          <w:color w:val="000000"/>
        </w:rPr>
        <w:t xml:space="preserve"> security </w:t>
      </w:r>
      <w:proofErr w:type="spellStart"/>
      <w:r>
        <w:rPr>
          <w:rFonts w:cs="Brill"/>
          <w:color w:val="000000"/>
        </w:rPr>
        <w:t>legislation</w:t>
      </w:r>
      <w:proofErr w:type="spellEnd"/>
      <w:r>
        <w:rPr>
          <w:rFonts w:cs="Brill"/>
          <w:color w:val="000000"/>
        </w:rPr>
        <w:t xml:space="preserve">,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Student Finance Act 2000,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Fees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and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Educational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Expenses</w:t>
      </w:r>
      <w:proofErr w:type="spellEnd"/>
      <w:r>
        <w:rPr>
          <w:rFonts w:cs="Brill"/>
          <w:color w:val="000000"/>
        </w:rPr>
        <w:t xml:space="preserve"> (</w:t>
      </w:r>
      <w:proofErr w:type="spellStart"/>
      <w:r>
        <w:rPr>
          <w:rFonts w:cs="Brill"/>
          <w:color w:val="000000"/>
        </w:rPr>
        <w:t>Allowances</w:t>
      </w:r>
      <w:proofErr w:type="spellEnd"/>
      <w:r>
        <w:rPr>
          <w:rFonts w:cs="Brill"/>
          <w:color w:val="000000"/>
        </w:rPr>
        <w:t xml:space="preserve">) Act,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General </w:t>
      </w:r>
      <w:proofErr w:type="spellStart"/>
      <w:r>
        <w:rPr>
          <w:rFonts w:cs="Brill"/>
          <w:color w:val="000000"/>
        </w:rPr>
        <w:t>Income-Dependent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Schemes</w:t>
      </w:r>
      <w:proofErr w:type="spellEnd"/>
      <w:r>
        <w:rPr>
          <w:rFonts w:cs="Brill"/>
          <w:color w:val="000000"/>
        </w:rPr>
        <w:t xml:space="preserve"> Act, </w:t>
      </w:r>
      <w:proofErr w:type="spellStart"/>
      <w:r>
        <w:rPr>
          <w:rFonts w:cs="Brill"/>
          <w:color w:val="000000"/>
        </w:rPr>
        <w:t>and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Urban </w:t>
      </w:r>
      <w:proofErr w:type="spellStart"/>
      <w:r>
        <w:rPr>
          <w:rFonts w:cs="Brill"/>
          <w:color w:val="000000"/>
        </w:rPr>
        <w:t>Areas</w:t>
      </w:r>
      <w:proofErr w:type="spellEnd"/>
      <w:r>
        <w:rPr>
          <w:rFonts w:cs="Brill"/>
          <w:color w:val="000000"/>
        </w:rPr>
        <w:t xml:space="preserve"> (Special </w:t>
      </w:r>
      <w:proofErr w:type="spellStart"/>
      <w:r>
        <w:rPr>
          <w:rFonts w:cs="Brill"/>
          <w:color w:val="000000"/>
        </w:rPr>
        <w:t>Measures</w:t>
      </w:r>
      <w:proofErr w:type="spellEnd"/>
      <w:r>
        <w:rPr>
          <w:rFonts w:cs="Brill"/>
          <w:color w:val="000000"/>
        </w:rPr>
        <w:t xml:space="preserve">) Act in </w:t>
      </w:r>
      <w:proofErr w:type="spellStart"/>
      <w:r>
        <w:rPr>
          <w:rFonts w:cs="Brill"/>
          <w:color w:val="000000"/>
        </w:rPr>
        <w:t>connection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with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selective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housing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allocation</w:t>
      </w:r>
      <w:proofErr w:type="spellEnd"/>
      <w:r>
        <w:rPr>
          <w:rFonts w:cs="Brill"/>
          <w:color w:val="000000"/>
        </w:rPr>
        <w:t xml:space="preserve"> on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basis of </w:t>
      </w:r>
      <w:proofErr w:type="spellStart"/>
      <w:r>
        <w:rPr>
          <w:rFonts w:cs="Brill"/>
          <w:color w:val="000000"/>
        </w:rPr>
        <w:t>criminal</w:t>
      </w:r>
      <w:proofErr w:type="spellEnd"/>
      <w:r>
        <w:rPr>
          <w:rFonts w:cs="Brill"/>
          <w:color w:val="000000"/>
        </w:rPr>
        <w:t xml:space="preserve"> or </w:t>
      </w:r>
      <w:proofErr w:type="spellStart"/>
      <w:r>
        <w:rPr>
          <w:rFonts w:cs="Brill"/>
          <w:color w:val="000000"/>
        </w:rPr>
        <w:t>nuisance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behaviour</w:t>
      </w:r>
      <w:proofErr w:type="spellEnd"/>
      <w:r>
        <w:rPr>
          <w:rFonts w:cs="Brill"/>
          <w:color w:val="000000"/>
        </w:rPr>
        <w:t xml:space="preserve">. </w:t>
      </w:r>
      <w:proofErr w:type="spellStart"/>
      <w:r>
        <w:rPr>
          <w:rFonts w:cs="Brill"/>
          <w:color w:val="000000"/>
        </w:rPr>
        <w:t>Sometimes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action taken is </w:t>
      </w:r>
      <w:proofErr w:type="spellStart"/>
      <w:r>
        <w:rPr>
          <w:rFonts w:cs="Brill"/>
          <w:color w:val="000000"/>
        </w:rPr>
        <w:t>based</w:t>
      </w:r>
      <w:proofErr w:type="spellEnd"/>
      <w:r>
        <w:rPr>
          <w:rFonts w:cs="Brill"/>
          <w:color w:val="000000"/>
        </w:rPr>
        <w:t xml:space="preserve"> on </w:t>
      </w:r>
      <w:proofErr w:type="spellStart"/>
      <w:r>
        <w:rPr>
          <w:rFonts w:cs="Brill"/>
          <w:color w:val="000000"/>
        </w:rPr>
        <w:t>voluntary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agreements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between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municipal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authority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and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person </w:t>
      </w:r>
      <w:proofErr w:type="spellStart"/>
      <w:r>
        <w:rPr>
          <w:rFonts w:cs="Brill"/>
          <w:color w:val="000000"/>
        </w:rPr>
        <w:t>concerned</w:t>
      </w:r>
      <w:proofErr w:type="spellEnd"/>
      <w:r>
        <w:rPr>
          <w:rFonts w:cs="Brill"/>
          <w:color w:val="000000"/>
        </w:rPr>
        <w:t xml:space="preserve">. </w:t>
      </w:r>
      <w:r w:rsidR="00DB78A0">
        <w:rPr>
          <w:rFonts w:cs="Brill"/>
          <w:color w:val="000000"/>
        </w:rPr>
        <w:t xml:space="preserve">Generally, </w:t>
      </w:r>
      <w:proofErr w:type="spellStart"/>
      <w:r w:rsidR="00DB78A0">
        <w:rPr>
          <w:rFonts w:cs="Brill"/>
          <w:color w:val="000000"/>
        </w:rPr>
        <w:t>the</w:t>
      </w:r>
      <w:proofErr w:type="spellEnd"/>
      <w:r w:rsidR="00DB78A0">
        <w:rPr>
          <w:rFonts w:cs="Brill"/>
          <w:color w:val="000000"/>
        </w:rPr>
        <w:t xml:space="preserve"> Public </w:t>
      </w:r>
      <w:proofErr w:type="spellStart"/>
      <w:r w:rsidR="00DB78A0">
        <w:rPr>
          <w:rFonts w:cs="Brill"/>
          <w:color w:val="000000"/>
        </w:rPr>
        <w:t>Prosecution</w:t>
      </w:r>
      <w:proofErr w:type="spellEnd"/>
      <w:r w:rsidR="00DB78A0">
        <w:rPr>
          <w:rFonts w:cs="Brill"/>
          <w:color w:val="000000"/>
        </w:rPr>
        <w:t xml:space="preserve"> Service </w:t>
      </w:r>
      <w:proofErr w:type="spellStart"/>
      <w:r w:rsidR="00DB78A0">
        <w:rPr>
          <w:rFonts w:cs="Brill"/>
          <w:color w:val="000000"/>
        </w:rPr>
        <w:t>coordinates</w:t>
      </w:r>
      <w:proofErr w:type="spellEnd"/>
      <w:r w:rsidR="00DB78A0">
        <w:rPr>
          <w:rFonts w:cs="Brill"/>
          <w:color w:val="000000"/>
        </w:rPr>
        <w:t xml:space="preserve"> </w:t>
      </w:r>
      <w:proofErr w:type="spellStart"/>
      <w:r w:rsidR="00DB78A0">
        <w:rPr>
          <w:rFonts w:cs="Brill"/>
          <w:color w:val="000000"/>
        </w:rPr>
        <w:t>criminal</w:t>
      </w:r>
      <w:proofErr w:type="spellEnd"/>
      <w:r w:rsidR="00DB78A0">
        <w:rPr>
          <w:rFonts w:cs="Brill"/>
          <w:color w:val="000000"/>
        </w:rPr>
        <w:t xml:space="preserve"> </w:t>
      </w:r>
      <w:proofErr w:type="spellStart"/>
      <w:r w:rsidR="00DB78A0">
        <w:rPr>
          <w:rFonts w:cs="Brill"/>
          <w:color w:val="000000"/>
        </w:rPr>
        <w:t>based</w:t>
      </w:r>
      <w:proofErr w:type="spellEnd"/>
      <w:r w:rsidR="00DB78A0">
        <w:rPr>
          <w:rFonts w:cs="Brill"/>
          <w:color w:val="000000"/>
        </w:rPr>
        <w:t xml:space="preserve"> person-</w:t>
      </w:r>
      <w:proofErr w:type="spellStart"/>
      <w:r w:rsidR="00DB78A0">
        <w:rPr>
          <w:rFonts w:cs="Brill"/>
          <w:color w:val="000000"/>
        </w:rPr>
        <w:t>specific</w:t>
      </w:r>
      <w:proofErr w:type="spellEnd"/>
      <w:r w:rsidR="00DB78A0">
        <w:rPr>
          <w:rFonts w:cs="Brill"/>
          <w:color w:val="000000"/>
        </w:rPr>
        <w:t xml:space="preserve"> – or </w:t>
      </w:r>
      <w:proofErr w:type="spellStart"/>
      <w:r w:rsidR="00DB78A0">
        <w:rPr>
          <w:rFonts w:cs="Brill"/>
          <w:color w:val="000000"/>
        </w:rPr>
        <w:t>group</w:t>
      </w:r>
      <w:proofErr w:type="spellEnd"/>
      <w:r w:rsidR="00DB78A0">
        <w:rPr>
          <w:rFonts w:cs="Brill"/>
          <w:color w:val="000000"/>
        </w:rPr>
        <w:t xml:space="preserve"> actions, </w:t>
      </w:r>
      <w:proofErr w:type="spellStart"/>
      <w:r w:rsidR="00DB78A0">
        <w:rPr>
          <w:rFonts w:cs="Brill"/>
          <w:color w:val="000000"/>
        </w:rPr>
        <w:t>while</w:t>
      </w:r>
      <w:proofErr w:type="spellEnd"/>
      <w:r w:rsidR="00DB78A0">
        <w:rPr>
          <w:rFonts w:cs="Brill"/>
          <w:color w:val="000000"/>
        </w:rPr>
        <w:t xml:space="preserve"> </w:t>
      </w:r>
      <w:proofErr w:type="spellStart"/>
      <w:r w:rsidR="00DB78A0">
        <w:rPr>
          <w:rFonts w:cs="Brill"/>
          <w:color w:val="000000"/>
        </w:rPr>
        <w:t>the</w:t>
      </w:r>
      <w:proofErr w:type="spellEnd"/>
      <w:r w:rsidR="00DB78A0">
        <w:rPr>
          <w:rFonts w:cs="Brill"/>
          <w:color w:val="000000"/>
        </w:rPr>
        <w:t xml:space="preserve"> </w:t>
      </w:r>
      <w:proofErr w:type="spellStart"/>
      <w:r w:rsidR="00DB78A0">
        <w:rPr>
          <w:rFonts w:cs="Brill"/>
          <w:color w:val="000000"/>
        </w:rPr>
        <w:t>administrative</w:t>
      </w:r>
      <w:proofErr w:type="spellEnd"/>
      <w:r w:rsidR="00DB78A0">
        <w:rPr>
          <w:rFonts w:cs="Brill"/>
          <w:color w:val="000000"/>
        </w:rPr>
        <w:t xml:space="preserve"> </w:t>
      </w:r>
      <w:proofErr w:type="spellStart"/>
      <w:r w:rsidR="00DB78A0">
        <w:rPr>
          <w:rFonts w:cs="Brill"/>
          <w:color w:val="000000"/>
        </w:rPr>
        <w:t>and</w:t>
      </w:r>
      <w:proofErr w:type="spellEnd"/>
      <w:r w:rsidR="00DB78A0">
        <w:rPr>
          <w:rFonts w:cs="Brill"/>
          <w:color w:val="000000"/>
        </w:rPr>
        <w:t xml:space="preserve"> </w:t>
      </w:r>
      <w:proofErr w:type="spellStart"/>
      <w:r w:rsidR="00DB78A0">
        <w:rPr>
          <w:rFonts w:cs="Brill"/>
          <w:color w:val="000000"/>
        </w:rPr>
        <w:t>social</w:t>
      </w:r>
      <w:proofErr w:type="spellEnd"/>
      <w:r w:rsidR="00DB78A0">
        <w:rPr>
          <w:rFonts w:cs="Brill"/>
          <w:color w:val="000000"/>
        </w:rPr>
        <w:t xml:space="preserve"> </w:t>
      </w:r>
      <w:proofErr w:type="spellStart"/>
      <w:r w:rsidR="00DB78A0">
        <w:rPr>
          <w:rFonts w:cs="Brill"/>
          <w:color w:val="000000"/>
        </w:rPr>
        <w:t>interferences</w:t>
      </w:r>
      <w:proofErr w:type="spellEnd"/>
      <w:r w:rsidR="00DB78A0">
        <w:rPr>
          <w:rFonts w:cs="Brill"/>
          <w:color w:val="000000"/>
        </w:rPr>
        <w:t xml:space="preserve"> are </w:t>
      </w:r>
      <w:proofErr w:type="spellStart"/>
      <w:r w:rsidR="00DB78A0">
        <w:rPr>
          <w:rFonts w:cs="Brill"/>
          <w:color w:val="000000"/>
        </w:rPr>
        <w:t>implemented</w:t>
      </w:r>
      <w:proofErr w:type="spellEnd"/>
      <w:r w:rsidR="00DB78A0">
        <w:rPr>
          <w:rFonts w:cs="Brill"/>
          <w:color w:val="000000"/>
        </w:rPr>
        <w:t xml:space="preserve"> </w:t>
      </w:r>
      <w:proofErr w:type="spellStart"/>
      <w:r w:rsidR="00DB78A0">
        <w:rPr>
          <w:rFonts w:cs="Brill"/>
          <w:color w:val="000000"/>
        </w:rPr>
        <w:t>by</w:t>
      </w:r>
      <w:proofErr w:type="spellEnd"/>
      <w:r w:rsidR="00DB78A0">
        <w:rPr>
          <w:rFonts w:cs="Brill"/>
          <w:color w:val="000000"/>
        </w:rPr>
        <w:t xml:space="preserve"> </w:t>
      </w:r>
      <w:proofErr w:type="spellStart"/>
      <w:r w:rsidR="00DB78A0">
        <w:rPr>
          <w:rFonts w:cs="Brill"/>
          <w:color w:val="000000"/>
        </w:rPr>
        <w:t>individual</w:t>
      </w:r>
      <w:proofErr w:type="spellEnd"/>
      <w:r w:rsidR="00DB78A0">
        <w:rPr>
          <w:rFonts w:cs="Brill"/>
          <w:color w:val="000000"/>
        </w:rPr>
        <w:t xml:space="preserve"> professionals </w:t>
      </w:r>
      <w:proofErr w:type="spellStart"/>
      <w:r w:rsidR="00DB78A0">
        <w:rPr>
          <w:rFonts w:cs="Brill"/>
          <w:color w:val="000000"/>
        </w:rPr>
        <w:t>who</w:t>
      </w:r>
      <w:proofErr w:type="spellEnd"/>
      <w:r w:rsidR="00DB78A0">
        <w:rPr>
          <w:rFonts w:cs="Brill"/>
          <w:color w:val="000000"/>
        </w:rPr>
        <w:t xml:space="preserve"> </w:t>
      </w:r>
      <w:proofErr w:type="spellStart"/>
      <w:r w:rsidR="00DB78A0">
        <w:rPr>
          <w:rFonts w:cs="Brill"/>
          <w:color w:val="000000"/>
        </w:rPr>
        <w:t>often</w:t>
      </w:r>
      <w:proofErr w:type="spellEnd"/>
      <w:r w:rsidR="00DB78A0">
        <w:rPr>
          <w:rFonts w:cs="Brill"/>
          <w:color w:val="000000"/>
        </w:rPr>
        <w:t xml:space="preserve"> </w:t>
      </w:r>
      <w:proofErr w:type="spellStart"/>
      <w:r w:rsidR="00DB78A0">
        <w:rPr>
          <w:rFonts w:cs="Brill"/>
          <w:color w:val="000000"/>
        </w:rPr>
        <w:t>partici</w:t>
      </w:r>
      <w:r w:rsidR="00DB78A0">
        <w:rPr>
          <w:rFonts w:cs="Brill"/>
          <w:color w:val="000000"/>
        </w:rPr>
        <w:softHyphen/>
        <w:t>pate</w:t>
      </w:r>
      <w:proofErr w:type="spellEnd"/>
      <w:r w:rsidR="00DB78A0">
        <w:rPr>
          <w:rFonts w:cs="Brill"/>
          <w:color w:val="000000"/>
        </w:rPr>
        <w:t xml:space="preserve"> in a (</w:t>
      </w:r>
      <w:proofErr w:type="spellStart"/>
      <w:r w:rsidR="00DB78A0">
        <w:rPr>
          <w:rFonts w:cs="Brill"/>
          <w:color w:val="000000"/>
        </w:rPr>
        <w:t>local</w:t>
      </w:r>
      <w:proofErr w:type="spellEnd"/>
      <w:r w:rsidR="00DB78A0">
        <w:rPr>
          <w:rFonts w:cs="Brill"/>
          <w:color w:val="000000"/>
        </w:rPr>
        <w:t xml:space="preserve">) </w:t>
      </w:r>
      <w:proofErr w:type="spellStart"/>
      <w:r w:rsidR="00DB78A0">
        <w:rPr>
          <w:rFonts w:cs="Brill"/>
          <w:color w:val="000000"/>
        </w:rPr>
        <w:t>multidisciplinary</w:t>
      </w:r>
      <w:proofErr w:type="spellEnd"/>
      <w:r w:rsidR="00DB78A0">
        <w:rPr>
          <w:rFonts w:cs="Brill"/>
          <w:color w:val="000000"/>
        </w:rPr>
        <w:t xml:space="preserve"> </w:t>
      </w:r>
      <w:proofErr w:type="spellStart"/>
      <w:r w:rsidR="00DB78A0">
        <w:rPr>
          <w:rFonts w:cs="Brill"/>
          <w:color w:val="000000"/>
        </w:rPr>
        <w:t>consultative</w:t>
      </w:r>
      <w:proofErr w:type="spellEnd"/>
      <w:r w:rsidR="00DB78A0">
        <w:rPr>
          <w:rFonts w:cs="Brill"/>
          <w:color w:val="000000"/>
        </w:rPr>
        <w:t xml:space="preserve"> body </w:t>
      </w:r>
      <w:proofErr w:type="spellStart"/>
      <w:r w:rsidR="00DB78A0">
        <w:rPr>
          <w:rFonts w:cs="Brill"/>
          <w:color w:val="000000"/>
        </w:rPr>
        <w:t>organized</w:t>
      </w:r>
      <w:proofErr w:type="spellEnd"/>
      <w:r w:rsidR="00DB78A0">
        <w:rPr>
          <w:rFonts w:cs="Brill"/>
          <w:color w:val="000000"/>
        </w:rPr>
        <w:t xml:space="preserve"> on a </w:t>
      </w:r>
      <w:proofErr w:type="spellStart"/>
      <w:r w:rsidR="00DB78A0">
        <w:rPr>
          <w:rFonts w:cs="Brill"/>
          <w:color w:val="000000"/>
        </w:rPr>
        <w:t>local</w:t>
      </w:r>
      <w:proofErr w:type="spellEnd"/>
      <w:r w:rsidR="00DB78A0">
        <w:rPr>
          <w:rFonts w:cs="Brill"/>
          <w:color w:val="000000"/>
        </w:rPr>
        <w:t xml:space="preserve"> level. </w:t>
      </w:r>
      <w:proofErr w:type="spellStart"/>
      <w:r w:rsidR="00DB78A0">
        <w:rPr>
          <w:rFonts w:cs="Brill"/>
          <w:color w:val="000000"/>
        </w:rPr>
        <w:t>This</w:t>
      </w:r>
      <w:proofErr w:type="spellEnd"/>
      <w:r w:rsidR="00DB78A0">
        <w:rPr>
          <w:rFonts w:cs="Brill"/>
          <w:color w:val="000000"/>
        </w:rPr>
        <w:t xml:space="preserve"> </w:t>
      </w:r>
      <w:proofErr w:type="spellStart"/>
      <w:r w:rsidR="00DB78A0">
        <w:rPr>
          <w:rFonts w:cs="Brill"/>
          <w:color w:val="000000"/>
        </w:rPr>
        <w:t>framework</w:t>
      </w:r>
      <w:proofErr w:type="spellEnd"/>
      <w:r w:rsidR="00DB78A0">
        <w:rPr>
          <w:rFonts w:cs="Brill"/>
          <w:color w:val="000000"/>
        </w:rPr>
        <w:t xml:space="preserve"> </w:t>
      </w:r>
      <w:proofErr w:type="spellStart"/>
      <w:r w:rsidR="00DB78A0">
        <w:rPr>
          <w:rFonts w:cs="Brill"/>
          <w:color w:val="000000"/>
        </w:rPr>
        <w:t>consists</w:t>
      </w:r>
      <w:proofErr w:type="spellEnd"/>
      <w:r w:rsidR="00DB78A0">
        <w:rPr>
          <w:rFonts w:cs="Brill"/>
          <w:color w:val="000000"/>
        </w:rPr>
        <w:t xml:space="preserve"> of professionals </w:t>
      </w:r>
      <w:proofErr w:type="spellStart"/>
      <w:r w:rsidR="00DB78A0">
        <w:rPr>
          <w:rFonts w:cs="Brill"/>
          <w:color w:val="000000"/>
        </w:rPr>
        <w:t>working</w:t>
      </w:r>
      <w:proofErr w:type="spellEnd"/>
      <w:r w:rsidR="00DB78A0">
        <w:rPr>
          <w:rFonts w:cs="Brill"/>
          <w:color w:val="000000"/>
        </w:rPr>
        <w:t xml:space="preserve"> </w:t>
      </w:r>
      <w:proofErr w:type="spellStart"/>
      <w:r w:rsidR="00DB78A0">
        <w:rPr>
          <w:rFonts w:cs="Brill"/>
          <w:color w:val="000000"/>
        </w:rPr>
        <w:t>for</w:t>
      </w:r>
      <w:proofErr w:type="spellEnd"/>
      <w:r w:rsidR="00DB78A0">
        <w:rPr>
          <w:rFonts w:cs="Brill"/>
          <w:color w:val="000000"/>
        </w:rPr>
        <w:t xml:space="preserve"> </w:t>
      </w:r>
      <w:proofErr w:type="spellStart"/>
      <w:r w:rsidR="00DB78A0">
        <w:rPr>
          <w:rFonts w:cs="Brill"/>
          <w:color w:val="000000"/>
        </w:rPr>
        <w:t>the</w:t>
      </w:r>
      <w:proofErr w:type="spellEnd"/>
      <w:r w:rsidR="00DB78A0">
        <w:rPr>
          <w:rFonts w:cs="Brill"/>
          <w:color w:val="000000"/>
        </w:rPr>
        <w:t xml:space="preserve"> </w:t>
      </w:r>
      <w:proofErr w:type="spellStart"/>
      <w:r w:rsidR="00DB78A0">
        <w:rPr>
          <w:rFonts w:cs="Brill"/>
          <w:color w:val="000000"/>
        </w:rPr>
        <w:t>municipal</w:t>
      </w:r>
      <w:proofErr w:type="spellEnd"/>
      <w:r w:rsidR="00DB78A0">
        <w:rPr>
          <w:rFonts w:cs="Brill"/>
          <w:color w:val="000000"/>
        </w:rPr>
        <w:t xml:space="preserve"> </w:t>
      </w:r>
      <w:proofErr w:type="spellStart"/>
      <w:r w:rsidR="00DB78A0">
        <w:rPr>
          <w:rFonts w:cs="Brill"/>
          <w:color w:val="000000"/>
        </w:rPr>
        <w:t>authority</w:t>
      </w:r>
      <w:proofErr w:type="spellEnd"/>
      <w:r w:rsidR="00DB78A0">
        <w:rPr>
          <w:rFonts w:cs="Brill"/>
          <w:color w:val="000000"/>
        </w:rPr>
        <w:t xml:space="preserve">, </w:t>
      </w:r>
      <w:proofErr w:type="spellStart"/>
      <w:r w:rsidR="00DB78A0">
        <w:rPr>
          <w:rFonts w:cs="Brill"/>
          <w:color w:val="000000"/>
        </w:rPr>
        <w:t>the</w:t>
      </w:r>
      <w:proofErr w:type="spellEnd"/>
      <w:r w:rsidR="00DB78A0">
        <w:rPr>
          <w:rFonts w:cs="Brill"/>
          <w:color w:val="000000"/>
        </w:rPr>
        <w:t xml:space="preserve"> </w:t>
      </w:r>
      <w:proofErr w:type="spellStart"/>
      <w:r w:rsidR="00DB78A0">
        <w:rPr>
          <w:rFonts w:cs="Brill"/>
          <w:color w:val="000000"/>
        </w:rPr>
        <w:t>police</w:t>
      </w:r>
      <w:proofErr w:type="spellEnd"/>
      <w:r w:rsidR="00DB78A0">
        <w:rPr>
          <w:rFonts w:cs="Brill"/>
          <w:color w:val="000000"/>
        </w:rPr>
        <w:t xml:space="preserve"> services, </w:t>
      </w:r>
      <w:proofErr w:type="spellStart"/>
      <w:r w:rsidR="00DB78A0">
        <w:rPr>
          <w:rFonts w:cs="Brill"/>
          <w:color w:val="000000"/>
        </w:rPr>
        <w:t>the</w:t>
      </w:r>
      <w:proofErr w:type="spellEnd"/>
      <w:r w:rsidR="00DB78A0">
        <w:rPr>
          <w:rFonts w:cs="Brill"/>
          <w:color w:val="000000"/>
        </w:rPr>
        <w:t xml:space="preserve"> Public </w:t>
      </w:r>
      <w:proofErr w:type="spellStart"/>
      <w:r w:rsidR="00DB78A0">
        <w:rPr>
          <w:rFonts w:cs="Brill"/>
          <w:color w:val="000000"/>
        </w:rPr>
        <w:t>Prosecution</w:t>
      </w:r>
      <w:proofErr w:type="spellEnd"/>
      <w:r w:rsidR="00DB78A0">
        <w:rPr>
          <w:rFonts w:cs="Brill"/>
          <w:color w:val="000000"/>
        </w:rPr>
        <w:t xml:space="preserve"> Service, </w:t>
      </w:r>
      <w:proofErr w:type="spellStart"/>
      <w:r w:rsidR="00DB78A0">
        <w:rPr>
          <w:rFonts w:cs="Brill"/>
          <w:color w:val="000000"/>
        </w:rPr>
        <w:t>the</w:t>
      </w:r>
      <w:proofErr w:type="spellEnd"/>
      <w:r w:rsidR="00DB78A0">
        <w:rPr>
          <w:rFonts w:cs="Brill"/>
          <w:color w:val="000000"/>
        </w:rPr>
        <w:t xml:space="preserve"> </w:t>
      </w:r>
      <w:proofErr w:type="spellStart"/>
      <w:r w:rsidR="00DB78A0">
        <w:rPr>
          <w:rFonts w:cs="Brill"/>
          <w:color w:val="000000"/>
        </w:rPr>
        <w:t>mental</w:t>
      </w:r>
      <w:proofErr w:type="spellEnd"/>
      <w:r w:rsidR="00DB78A0">
        <w:rPr>
          <w:rFonts w:cs="Brill"/>
          <w:color w:val="000000"/>
        </w:rPr>
        <w:t xml:space="preserve"> health care services, </w:t>
      </w:r>
      <w:proofErr w:type="spellStart"/>
      <w:r w:rsidR="00DB78A0">
        <w:rPr>
          <w:rFonts w:cs="Brill"/>
          <w:color w:val="000000"/>
        </w:rPr>
        <w:t>and</w:t>
      </w:r>
      <w:proofErr w:type="spellEnd"/>
      <w:r w:rsidR="00DB78A0">
        <w:rPr>
          <w:rFonts w:cs="Brill"/>
          <w:color w:val="000000"/>
        </w:rPr>
        <w:t xml:space="preserve"> </w:t>
      </w:r>
      <w:proofErr w:type="spellStart"/>
      <w:r w:rsidR="00DB78A0">
        <w:rPr>
          <w:rFonts w:cs="Brill"/>
          <w:color w:val="000000"/>
        </w:rPr>
        <w:t>other</w:t>
      </w:r>
      <w:proofErr w:type="spellEnd"/>
      <w:r w:rsidR="00DB78A0">
        <w:rPr>
          <w:rFonts w:cs="Brill"/>
          <w:color w:val="000000"/>
        </w:rPr>
        <w:t xml:space="preserve"> partners in </w:t>
      </w:r>
      <w:proofErr w:type="spellStart"/>
      <w:r w:rsidR="00DB78A0">
        <w:rPr>
          <w:rFonts w:cs="Brill"/>
          <w:color w:val="000000"/>
        </w:rPr>
        <w:t>the</w:t>
      </w:r>
      <w:proofErr w:type="spellEnd"/>
      <w:r w:rsidR="00DB78A0">
        <w:rPr>
          <w:rFonts w:cs="Brill"/>
          <w:color w:val="000000"/>
        </w:rPr>
        <w:t xml:space="preserve"> </w:t>
      </w:r>
      <w:proofErr w:type="spellStart"/>
      <w:r w:rsidR="00DB78A0">
        <w:rPr>
          <w:rFonts w:cs="Brill"/>
          <w:color w:val="000000"/>
        </w:rPr>
        <w:t>social</w:t>
      </w:r>
      <w:proofErr w:type="spellEnd"/>
      <w:r w:rsidR="00DB78A0">
        <w:rPr>
          <w:rFonts w:cs="Brill"/>
          <w:color w:val="000000"/>
        </w:rPr>
        <w:t xml:space="preserve"> domain</w:t>
      </w:r>
      <w:r w:rsidR="00940B6F">
        <w:rPr>
          <w:rFonts w:cs="Brill"/>
          <w:color w:val="000000"/>
        </w:rPr>
        <w:t>.</w:t>
      </w:r>
    </w:p>
    <w:p w14:paraId="17D58578" w14:textId="77777777" w:rsidR="008D1A51" w:rsidRDefault="00940B6F">
      <w:pPr>
        <w:rPr>
          <w:rFonts w:cs="Brill"/>
          <w:color w:val="000000"/>
        </w:rPr>
      </w:pPr>
      <w:r>
        <w:rPr>
          <w:rFonts w:cs="Brill"/>
          <w:color w:val="000000"/>
        </w:rPr>
        <w:t xml:space="preserve">Apart </w:t>
      </w:r>
      <w:proofErr w:type="spellStart"/>
      <w:r>
        <w:rPr>
          <w:rFonts w:cs="Brill"/>
          <w:color w:val="000000"/>
        </w:rPr>
        <w:t>from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question </w:t>
      </w:r>
      <w:proofErr w:type="spellStart"/>
      <w:r>
        <w:rPr>
          <w:rFonts w:cs="Brill"/>
          <w:color w:val="000000"/>
        </w:rPr>
        <w:t>whether</w:t>
      </w:r>
      <w:proofErr w:type="spellEnd"/>
      <w:r>
        <w:rPr>
          <w:rFonts w:cs="Brill"/>
          <w:color w:val="000000"/>
        </w:rPr>
        <w:t xml:space="preserve"> these </w:t>
      </w:r>
      <w:proofErr w:type="spellStart"/>
      <w:r>
        <w:rPr>
          <w:rFonts w:cs="Brill"/>
          <w:color w:val="000000"/>
        </w:rPr>
        <w:t>measures</w:t>
      </w:r>
      <w:proofErr w:type="spellEnd"/>
      <w:r>
        <w:rPr>
          <w:rFonts w:cs="Brill"/>
          <w:color w:val="000000"/>
        </w:rPr>
        <w:t xml:space="preserve"> are </w:t>
      </w:r>
      <w:proofErr w:type="spellStart"/>
      <w:r>
        <w:rPr>
          <w:rFonts w:cs="Brill"/>
          <w:color w:val="000000"/>
        </w:rPr>
        <w:t>effective</w:t>
      </w:r>
      <w:proofErr w:type="spellEnd"/>
      <w:r>
        <w:rPr>
          <w:rFonts w:cs="Brill"/>
          <w:color w:val="000000"/>
        </w:rPr>
        <w:t xml:space="preserve"> in </w:t>
      </w:r>
      <w:proofErr w:type="spellStart"/>
      <w:r>
        <w:rPr>
          <w:rFonts w:cs="Brill"/>
          <w:color w:val="000000"/>
        </w:rPr>
        <w:t>practice</w:t>
      </w:r>
      <w:proofErr w:type="spellEnd"/>
      <w:r>
        <w:rPr>
          <w:rFonts w:cs="Brill"/>
          <w:color w:val="000000"/>
        </w:rPr>
        <w:t xml:space="preserve">, </w:t>
      </w:r>
      <w:proofErr w:type="spellStart"/>
      <w:r>
        <w:rPr>
          <w:rFonts w:cs="Brill"/>
          <w:color w:val="000000"/>
        </w:rPr>
        <w:t>they</w:t>
      </w:r>
      <w:proofErr w:type="spellEnd"/>
      <w:r w:rsidR="0010326B">
        <w:rPr>
          <w:rFonts w:cs="Brill"/>
          <w:color w:val="000000"/>
        </w:rPr>
        <w:t xml:space="preserve"> </w:t>
      </w:r>
      <w:proofErr w:type="spellStart"/>
      <w:r w:rsidR="0010326B">
        <w:rPr>
          <w:rFonts w:cs="Brill"/>
          <w:color w:val="000000"/>
        </w:rPr>
        <w:t>come</w:t>
      </w:r>
      <w:proofErr w:type="spellEnd"/>
      <w:r w:rsidR="0010326B">
        <w:rPr>
          <w:rFonts w:cs="Brill"/>
          <w:color w:val="000000"/>
        </w:rPr>
        <w:t xml:space="preserve"> </w:t>
      </w:r>
      <w:proofErr w:type="spellStart"/>
      <w:r w:rsidR="0010326B">
        <w:rPr>
          <w:rFonts w:cs="Brill"/>
          <w:color w:val="000000"/>
        </w:rPr>
        <w:t>with</w:t>
      </w:r>
      <w:proofErr w:type="spellEnd"/>
      <w:r w:rsidR="0010326B">
        <w:rPr>
          <w:rFonts w:cs="Brill"/>
          <w:color w:val="000000"/>
        </w:rPr>
        <w:t xml:space="preserve"> human </w:t>
      </w:r>
      <w:proofErr w:type="spellStart"/>
      <w:r w:rsidR="0010326B">
        <w:rPr>
          <w:rFonts w:cs="Brill"/>
          <w:color w:val="000000"/>
        </w:rPr>
        <w:t>rights</w:t>
      </w:r>
      <w:proofErr w:type="spellEnd"/>
      <w:r w:rsidR="0010326B">
        <w:rPr>
          <w:rFonts w:cs="Brill"/>
          <w:color w:val="000000"/>
        </w:rPr>
        <w:t xml:space="preserve"> </w:t>
      </w:r>
      <w:proofErr w:type="spellStart"/>
      <w:r w:rsidR="0010326B">
        <w:rPr>
          <w:rFonts w:cs="Brill"/>
          <w:color w:val="000000"/>
        </w:rPr>
        <w:t>risks</w:t>
      </w:r>
      <w:proofErr w:type="spellEnd"/>
      <w:r w:rsidR="0010326B">
        <w:rPr>
          <w:rFonts w:cs="Brill"/>
          <w:color w:val="000000"/>
        </w:rPr>
        <w:t xml:space="preserve">: in </w:t>
      </w:r>
      <w:proofErr w:type="spellStart"/>
      <w:r w:rsidR="0010326B">
        <w:rPr>
          <w:rFonts w:cs="Brill"/>
          <w:color w:val="000000"/>
        </w:rPr>
        <w:t>particular</w:t>
      </w:r>
      <w:proofErr w:type="spellEnd"/>
      <w:r w:rsidR="0010326B">
        <w:rPr>
          <w:rFonts w:cs="Brill"/>
          <w:color w:val="000000"/>
        </w:rPr>
        <w:t xml:space="preserve"> </w:t>
      </w:r>
      <w:proofErr w:type="spellStart"/>
      <w:r w:rsidR="0010326B">
        <w:rPr>
          <w:rFonts w:cs="Brill"/>
          <w:color w:val="000000"/>
        </w:rPr>
        <w:t>concerning</w:t>
      </w:r>
      <w:proofErr w:type="spellEnd"/>
      <w:r w:rsidR="0010326B">
        <w:rPr>
          <w:rFonts w:cs="Brill"/>
          <w:color w:val="000000"/>
        </w:rPr>
        <w:t xml:space="preserve"> </w:t>
      </w:r>
      <w:proofErr w:type="spellStart"/>
      <w:r w:rsidR="0010326B">
        <w:rPr>
          <w:rFonts w:cs="Brill"/>
          <w:color w:val="000000"/>
        </w:rPr>
        <w:t>the</w:t>
      </w:r>
      <w:proofErr w:type="spellEnd"/>
      <w:r w:rsidR="0010326B">
        <w:rPr>
          <w:rFonts w:cs="Brill"/>
          <w:color w:val="000000"/>
        </w:rPr>
        <w:t xml:space="preserve"> right </w:t>
      </w:r>
      <w:proofErr w:type="spellStart"/>
      <w:r w:rsidR="0010326B">
        <w:rPr>
          <w:rFonts w:cs="Brill"/>
          <w:color w:val="000000"/>
        </w:rPr>
        <w:t>to</w:t>
      </w:r>
      <w:proofErr w:type="spellEnd"/>
      <w:r w:rsidR="0010326B">
        <w:rPr>
          <w:rFonts w:cs="Brill"/>
          <w:color w:val="000000"/>
        </w:rPr>
        <w:t xml:space="preserve"> privacy </w:t>
      </w:r>
      <w:proofErr w:type="spellStart"/>
      <w:r w:rsidR="0010326B">
        <w:rPr>
          <w:rFonts w:cs="Brill"/>
          <w:color w:val="000000"/>
        </w:rPr>
        <w:t>and</w:t>
      </w:r>
      <w:proofErr w:type="spellEnd"/>
      <w:r w:rsidR="0010326B">
        <w:rPr>
          <w:rFonts w:cs="Brill"/>
          <w:color w:val="000000"/>
        </w:rPr>
        <w:t xml:space="preserve"> </w:t>
      </w:r>
      <w:proofErr w:type="spellStart"/>
      <w:r w:rsidR="0010326B">
        <w:rPr>
          <w:rFonts w:cs="Brill"/>
          <w:color w:val="000000"/>
        </w:rPr>
        <w:t>the</w:t>
      </w:r>
      <w:proofErr w:type="spellEnd"/>
      <w:r w:rsidR="0010326B">
        <w:rPr>
          <w:rFonts w:cs="Brill"/>
          <w:color w:val="000000"/>
        </w:rPr>
        <w:t xml:space="preserve"> right </w:t>
      </w:r>
      <w:proofErr w:type="spellStart"/>
      <w:r w:rsidR="0010326B">
        <w:rPr>
          <w:rFonts w:cs="Brill"/>
          <w:color w:val="000000"/>
        </w:rPr>
        <w:t>to</w:t>
      </w:r>
      <w:proofErr w:type="spellEnd"/>
      <w:r w:rsidR="0010326B">
        <w:rPr>
          <w:rFonts w:cs="Brill"/>
          <w:color w:val="000000"/>
        </w:rPr>
        <w:t xml:space="preserve"> family life of </w:t>
      </w:r>
      <w:proofErr w:type="spellStart"/>
      <w:r w:rsidR="0010326B">
        <w:rPr>
          <w:rFonts w:cs="Brill"/>
          <w:color w:val="000000"/>
        </w:rPr>
        <w:t>those</w:t>
      </w:r>
      <w:proofErr w:type="spellEnd"/>
      <w:r w:rsidR="0010326B">
        <w:rPr>
          <w:rFonts w:cs="Brill"/>
          <w:color w:val="000000"/>
        </w:rPr>
        <w:t xml:space="preserve"> </w:t>
      </w:r>
      <w:proofErr w:type="spellStart"/>
      <w:r w:rsidR="0010326B">
        <w:rPr>
          <w:rFonts w:cs="Brill"/>
          <w:color w:val="000000"/>
        </w:rPr>
        <w:t>targeted</w:t>
      </w:r>
      <w:proofErr w:type="spellEnd"/>
      <w:r w:rsidR="0010326B">
        <w:rPr>
          <w:rFonts w:cs="Brill"/>
          <w:color w:val="000000"/>
        </w:rPr>
        <w:t>.</w:t>
      </w:r>
      <w:r w:rsidR="008D1A51"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Moreover</w:t>
      </w:r>
      <w:proofErr w:type="spellEnd"/>
      <w:r w:rsidR="0010326B">
        <w:rPr>
          <w:rFonts w:cs="Brill"/>
          <w:color w:val="000000"/>
        </w:rPr>
        <w:t xml:space="preserve">, access </w:t>
      </w:r>
      <w:proofErr w:type="spellStart"/>
      <w:r w:rsidR="0010326B">
        <w:rPr>
          <w:rFonts w:cs="Brill"/>
          <w:color w:val="000000"/>
        </w:rPr>
        <w:t>to</w:t>
      </w:r>
      <w:proofErr w:type="spellEnd"/>
      <w:r w:rsidR="0010326B">
        <w:rPr>
          <w:rFonts w:cs="Brill"/>
          <w:color w:val="000000"/>
        </w:rPr>
        <w:t xml:space="preserve"> </w:t>
      </w:r>
      <w:proofErr w:type="spellStart"/>
      <w:r w:rsidR="0010326B">
        <w:rPr>
          <w:rFonts w:cs="Brill"/>
          <w:color w:val="000000"/>
        </w:rPr>
        <w:t>justice</w:t>
      </w:r>
      <w:proofErr w:type="spellEnd"/>
      <w:r w:rsidR="0010326B">
        <w:rPr>
          <w:rFonts w:cs="Brill"/>
          <w:color w:val="000000"/>
        </w:rPr>
        <w:t xml:space="preserve"> </w:t>
      </w:r>
      <w:proofErr w:type="spellStart"/>
      <w:r w:rsidR="0010326B">
        <w:rPr>
          <w:rFonts w:cs="Brill"/>
          <w:color w:val="000000"/>
        </w:rPr>
        <w:t>for</w:t>
      </w:r>
      <w:proofErr w:type="spellEnd"/>
      <w:r w:rsidR="0010326B">
        <w:rPr>
          <w:rFonts w:cs="Brill"/>
          <w:color w:val="000000"/>
        </w:rPr>
        <w:t xml:space="preserve"> </w:t>
      </w:r>
      <w:proofErr w:type="spellStart"/>
      <w:r w:rsidR="0010326B">
        <w:rPr>
          <w:rFonts w:cs="Brill"/>
          <w:color w:val="000000"/>
        </w:rPr>
        <w:t>those</w:t>
      </w:r>
      <w:proofErr w:type="spellEnd"/>
      <w:r w:rsidR="0010326B">
        <w:rPr>
          <w:rFonts w:cs="Brill"/>
          <w:color w:val="000000"/>
        </w:rPr>
        <w:t xml:space="preserve"> </w:t>
      </w:r>
      <w:proofErr w:type="spellStart"/>
      <w:r w:rsidR="0010326B">
        <w:rPr>
          <w:rFonts w:cs="Brill"/>
          <w:color w:val="000000"/>
        </w:rPr>
        <w:t>affected</w:t>
      </w:r>
      <w:proofErr w:type="spellEnd"/>
      <w:r w:rsidR="0010326B">
        <w:rPr>
          <w:rFonts w:cs="Brill"/>
          <w:color w:val="000000"/>
        </w:rPr>
        <w:t xml:space="preserve"> </w:t>
      </w:r>
      <w:proofErr w:type="spellStart"/>
      <w:r w:rsidR="0010326B">
        <w:rPr>
          <w:rFonts w:cs="Brill"/>
          <w:color w:val="000000"/>
        </w:rPr>
        <w:t>by</w:t>
      </w:r>
      <w:proofErr w:type="spellEnd"/>
      <w:r w:rsidR="0010326B">
        <w:rPr>
          <w:rFonts w:cs="Brill"/>
          <w:color w:val="000000"/>
        </w:rPr>
        <w:t xml:space="preserve"> </w:t>
      </w:r>
      <w:r>
        <w:rPr>
          <w:rFonts w:cs="Brill"/>
          <w:color w:val="000000"/>
        </w:rPr>
        <w:t>person-</w:t>
      </w:r>
      <w:proofErr w:type="spellStart"/>
      <w:r>
        <w:rPr>
          <w:rFonts w:cs="Brill"/>
          <w:color w:val="000000"/>
        </w:rPr>
        <w:t>specific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measures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can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be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problematic</w:t>
      </w:r>
      <w:proofErr w:type="spellEnd"/>
      <w:r>
        <w:rPr>
          <w:rFonts w:cs="Brill"/>
          <w:color w:val="000000"/>
        </w:rPr>
        <w:t xml:space="preserve">. </w:t>
      </w:r>
      <w:proofErr w:type="spellStart"/>
      <w:r>
        <w:rPr>
          <w:rFonts w:cs="Brill"/>
          <w:color w:val="000000"/>
        </w:rPr>
        <w:t>Paradoxically</w:t>
      </w:r>
      <w:proofErr w:type="spellEnd"/>
      <w:r>
        <w:rPr>
          <w:rFonts w:cs="Brill"/>
          <w:color w:val="000000"/>
        </w:rPr>
        <w:t xml:space="preserve">,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softer </w:t>
      </w:r>
      <w:proofErr w:type="spellStart"/>
      <w:r>
        <w:rPr>
          <w:rFonts w:cs="Brill"/>
          <w:color w:val="000000"/>
        </w:rPr>
        <w:t>measures</w:t>
      </w:r>
      <w:proofErr w:type="spellEnd"/>
      <w:r>
        <w:rPr>
          <w:rFonts w:cs="Brill"/>
          <w:color w:val="000000"/>
        </w:rPr>
        <w:t xml:space="preserve"> are </w:t>
      </w:r>
      <w:proofErr w:type="spellStart"/>
      <w:r>
        <w:rPr>
          <w:rFonts w:cs="Brill"/>
          <w:color w:val="000000"/>
        </w:rPr>
        <w:t>often</w:t>
      </w:r>
      <w:proofErr w:type="spellEnd"/>
      <w:r>
        <w:rPr>
          <w:rFonts w:cs="Brill"/>
          <w:color w:val="000000"/>
        </w:rPr>
        <w:t xml:space="preserve"> subject </w:t>
      </w:r>
      <w:proofErr w:type="spellStart"/>
      <w:r>
        <w:rPr>
          <w:rFonts w:cs="Brill"/>
          <w:color w:val="000000"/>
        </w:rPr>
        <w:t>to</w:t>
      </w:r>
      <w:proofErr w:type="spellEnd"/>
      <w:r>
        <w:rPr>
          <w:rFonts w:cs="Brill"/>
          <w:color w:val="000000"/>
        </w:rPr>
        <w:t xml:space="preserve"> far </w:t>
      </w:r>
      <w:proofErr w:type="spellStart"/>
      <w:r>
        <w:rPr>
          <w:rFonts w:cs="Brill"/>
          <w:color w:val="000000"/>
        </w:rPr>
        <w:t>less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legal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protection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than</w:t>
      </w:r>
      <w:proofErr w:type="spellEnd"/>
      <w:r>
        <w:rPr>
          <w:rFonts w:cs="Brill"/>
          <w:color w:val="000000"/>
        </w:rPr>
        <w:t xml:space="preserve"> harder </w:t>
      </w:r>
      <w:proofErr w:type="spellStart"/>
      <w:r>
        <w:rPr>
          <w:rFonts w:cs="Brill"/>
          <w:color w:val="000000"/>
        </w:rPr>
        <w:t>measures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based</w:t>
      </w:r>
      <w:proofErr w:type="spellEnd"/>
      <w:r>
        <w:rPr>
          <w:rFonts w:cs="Brill"/>
          <w:color w:val="000000"/>
        </w:rPr>
        <w:t xml:space="preserve"> in </w:t>
      </w:r>
      <w:proofErr w:type="spellStart"/>
      <w:r>
        <w:rPr>
          <w:rFonts w:cs="Brill"/>
          <w:color w:val="000000"/>
        </w:rPr>
        <w:t>criminal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law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and</w:t>
      </w:r>
      <w:proofErr w:type="spellEnd"/>
      <w:r>
        <w:rPr>
          <w:rFonts w:cs="Brill"/>
          <w:color w:val="000000"/>
        </w:rPr>
        <w:t xml:space="preserve"> procedure. </w:t>
      </w:r>
      <w:proofErr w:type="spellStart"/>
      <w:r>
        <w:rPr>
          <w:rFonts w:cs="Brill"/>
          <w:color w:val="000000"/>
        </w:rPr>
        <w:t>Whereas</w:t>
      </w:r>
      <w:proofErr w:type="spellEnd"/>
      <w:r>
        <w:rPr>
          <w:rFonts w:cs="Brill"/>
          <w:color w:val="000000"/>
        </w:rPr>
        <w:t xml:space="preserve"> </w:t>
      </w:r>
      <w:proofErr w:type="spellStart"/>
      <w:r w:rsidR="002C055F">
        <w:rPr>
          <w:rFonts w:cs="Brill"/>
          <w:color w:val="000000"/>
        </w:rPr>
        <w:t>measures</w:t>
      </w:r>
      <w:proofErr w:type="spellEnd"/>
      <w:r w:rsidR="002C055F">
        <w:rPr>
          <w:rFonts w:cs="Brill"/>
          <w:color w:val="000000"/>
        </w:rPr>
        <w:t xml:space="preserve"> </w:t>
      </w:r>
      <w:proofErr w:type="spellStart"/>
      <w:r w:rsidR="002C055F">
        <w:rPr>
          <w:rFonts w:cs="Brill"/>
          <w:color w:val="000000"/>
        </w:rPr>
        <w:t>based</w:t>
      </w:r>
      <w:proofErr w:type="spellEnd"/>
      <w:r w:rsidR="002C055F">
        <w:rPr>
          <w:rFonts w:cs="Brill"/>
          <w:color w:val="000000"/>
        </w:rPr>
        <w:t xml:space="preserve"> in </w:t>
      </w:r>
      <w:proofErr w:type="spellStart"/>
      <w:r w:rsidR="002C055F">
        <w:rPr>
          <w:rFonts w:cs="Brill"/>
          <w:color w:val="000000"/>
        </w:rPr>
        <w:t>criminal</w:t>
      </w:r>
      <w:proofErr w:type="spellEnd"/>
      <w:r w:rsidR="002C055F">
        <w:rPr>
          <w:rFonts w:cs="Brill"/>
          <w:color w:val="000000"/>
        </w:rPr>
        <w:t xml:space="preserve"> </w:t>
      </w:r>
      <w:proofErr w:type="spellStart"/>
      <w:r w:rsidR="002C055F">
        <w:rPr>
          <w:rFonts w:cs="Brill"/>
          <w:color w:val="000000"/>
        </w:rPr>
        <w:t>law</w:t>
      </w:r>
      <w:proofErr w:type="spellEnd"/>
      <w:r w:rsidR="002C055F">
        <w:rPr>
          <w:rFonts w:cs="Brill"/>
          <w:color w:val="000000"/>
        </w:rPr>
        <w:t xml:space="preserve"> or surveillance </w:t>
      </w:r>
      <w:proofErr w:type="spellStart"/>
      <w:r w:rsidR="002C055F">
        <w:rPr>
          <w:rFonts w:cs="Brill"/>
          <w:color w:val="000000"/>
        </w:rPr>
        <w:t>law</w:t>
      </w:r>
      <w:proofErr w:type="spellEnd"/>
      <w:r w:rsidR="002C055F">
        <w:rPr>
          <w:rFonts w:cs="Brill"/>
          <w:color w:val="000000"/>
        </w:rPr>
        <w:t xml:space="preserve"> </w:t>
      </w:r>
      <w:proofErr w:type="spellStart"/>
      <w:r w:rsidR="002C055F">
        <w:rPr>
          <w:rFonts w:cs="Brill"/>
          <w:color w:val="000000"/>
        </w:rPr>
        <w:t>generally</w:t>
      </w:r>
      <w:proofErr w:type="spellEnd"/>
      <w:r w:rsidR="002C055F">
        <w:rPr>
          <w:rFonts w:cs="Brill"/>
          <w:color w:val="000000"/>
        </w:rPr>
        <w:t xml:space="preserve"> </w:t>
      </w:r>
      <w:proofErr w:type="spellStart"/>
      <w:r w:rsidR="002C055F">
        <w:rPr>
          <w:rFonts w:cs="Brill"/>
          <w:color w:val="000000"/>
        </w:rPr>
        <w:t>require</w:t>
      </w:r>
      <w:proofErr w:type="spellEnd"/>
      <w:r w:rsidR="002C055F">
        <w:rPr>
          <w:rFonts w:cs="Brill"/>
          <w:color w:val="000000"/>
        </w:rPr>
        <w:t xml:space="preserve"> </w:t>
      </w:r>
      <w:proofErr w:type="spellStart"/>
      <w:r w:rsidR="002C055F">
        <w:rPr>
          <w:rFonts w:cs="Brill"/>
          <w:color w:val="000000"/>
        </w:rPr>
        <w:t>that</w:t>
      </w:r>
      <w:proofErr w:type="spellEnd"/>
      <w:r w:rsidR="002C055F">
        <w:rPr>
          <w:rFonts w:cs="Brill"/>
          <w:color w:val="000000"/>
        </w:rPr>
        <w:t xml:space="preserve"> </w:t>
      </w:r>
      <w:proofErr w:type="spellStart"/>
      <w:r w:rsidR="002C055F">
        <w:rPr>
          <w:rFonts w:cs="Brill"/>
          <w:color w:val="000000"/>
        </w:rPr>
        <w:t>they</w:t>
      </w:r>
      <w:proofErr w:type="spellEnd"/>
      <w:r w:rsidR="002C055F">
        <w:rPr>
          <w:rFonts w:cs="Brill"/>
          <w:color w:val="000000"/>
        </w:rPr>
        <w:t xml:space="preserve"> are </w:t>
      </w:r>
      <w:proofErr w:type="spellStart"/>
      <w:r w:rsidR="002C055F">
        <w:rPr>
          <w:rFonts w:cs="Brill"/>
          <w:color w:val="000000"/>
        </w:rPr>
        <w:t>approved</w:t>
      </w:r>
      <w:proofErr w:type="spellEnd"/>
      <w:r w:rsidR="002C055F">
        <w:rPr>
          <w:rFonts w:cs="Brill"/>
          <w:color w:val="000000"/>
        </w:rPr>
        <w:t xml:space="preserve"> </w:t>
      </w:r>
      <w:proofErr w:type="spellStart"/>
      <w:r w:rsidR="002C055F">
        <w:rPr>
          <w:rFonts w:cs="Brill"/>
          <w:color w:val="000000"/>
        </w:rPr>
        <w:t>by</w:t>
      </w:r>
      <w:proofErr w:type="spellEnd"/>
      <w:r w:rsidR="002C055F">
        <w:rPr>
          <w:rFonts w:cs="Brill"/>
          <w:color w:val="000000"/>
        </w:rPr>
        <w:t xml:space="preserve"> a </w:t>
      </w:r>
      <w:proofErr w:type="spellStart"/>
      <w:r w:rsidR="002C055F">
        <w:rPr>
          <w:rFonts w:cs="Brill"/>
          <w:color w:val="000000"/>
        </w:rPr>
        <w:t>judge</w:t>
      </w:r>
      <w:proofErr w:type="spellEnd"/>
      <w:r w:rsidR="002C055F">
        <w:rPr>
          <w:rFonts w:cs="Brill"/>
          <w:color w:val="000000"/>
        </w:rPr>
        <w:t xml:space="preserve">, no </w:t>
      </w:r>
      <w:proofErr w:type="spellStart"/>
      <w:r w:rsidR="002C055F">
        <w:rPr>
          <w:rFonts w:cs="Brill"/>
          <w:color w:val="000000"/>
        </w:rPr>
        <w:t>such</w:t>
      </w:r>
      <w:proofErr w:type="spellEnd"/>
      <w:r w:rsidR="002C055F">
        <w:rPr>
          <w:rFonts w:cs="Brill"/>
          <w:color w:val="000000"/>
        </w:rPr>
        <w:t xml:space="preserve"> </w:t>
      </w:r>
      <w:proofErr w:type="spellStart"/>
      <w:r w:rsidR="002C055F">
        <w:rPr>
          <w:rFonts w:cs="Brill"/>
          <w:color w:val="000000"/>
        </w:rPr>
        <w:t>approval</w:t>
      </w:r>
      <w:proofErr w:type="spellEnd"/>
      <w:r w:rsidR="002C055F">
        <w:rPr>
          <w:rFonts w:cs="Brill"/>
          <w:color w:val="000000"/>
        </w:rPr>
        <w:t xml:space="preserve"> is </w:t>
      </w:r>
      <w:proofErr w:type="spellStart"/>
      <w:r w:rsidR="002C055F">
        <w:rPr>
          <w:rFonts w:cs="Brill"/>
          <w:color w:val="000000"/>
        </w:rPr>
        <w:t>needed</w:t>
      </w:r>
      <w:proofErr w:type="spellEnd"/>
      <w:r w:rsidR="002C055F">
        <w:rPr>
          <w:rFonts w:cs="Brill"/>
          <w:color w:val="000000"/>
        </w:rPr>
        <w:t xml:space="preserve"> </w:t>
      </w:r>
      <w:proofErr w:type="spellStart"/>
      <w:r w:rsidR="002C055F">
        <w:rPr>
          <w:rFonts w:cs="Brill"/>
          <w:color w:val="000000"/>
        </w:rPr>
        <w:t>for</w:t>
      </w:r>
      <w:proofErr w:type="spellEnd"/>
      <w:r w:rsidR="002C055F">
        <w:rPr>
          <w:rFonts w:cs="Brill"/>
          <w:color w:val="000000"/>
        </w:rPr>
        <w:t xml:space="preserve"> </w:t>
      </w:r>
      <w:proofErr w:type="spellStart"/>
      <w:r w:rsidR="002C055F">
        <w:rPr>
          <w:rFonts w:cs="Brill"/>
          <w:color w:val="000000"/>
        </w:rPr>
        <w:t>measures</w:t>
      </w:r>
      <w:proofErr w:type="spellEnd"/>
      <w:r w:rsidR="002C055F">
        <w:rPr>
          <w:rFonts w:cs="Brill"/>
          <w:color w:val="000000"/>
        </w:rPr>
        <w:t xml:space="preserve"> </w:t>
      </w:r>
      <w:proofErr w:type="spellStart"/>
      <w:r w:rsidR="002C055F">
        <w:rPr>
          <w:rFonts w:cs="Brill"/>
          <w:color w:val="000000"/>
        </w:rPr>
        <w:t>based</w:t>
      </w:r>
      <w:proofErr w:type="spellEnd"/>
      <w:r w:rsidR="002C055F">
        <w:rPr>
          <w:rFonts w:cs="Brill"/>
          <w:color w:val="000000"/>
        </w:rPr>
        <w:t xml:space="preserve"> in </w:t>
      </w:r>
      <w:proofErr w:type="spellStart"/>
      <w:r w:rsidR="002C055F">
        <w:rPr>
          <w:rFonts w:cs="Brill"/>
          <w:color w:val="000000"/>
        </w:rPr>
        <w:t>the</w:t>
      </w:r>
      <w:proofErr w:type="spellEnd"/>
      <w:r w:rsidR="002C055F">
        <w:rPr>
          <w:rFonts w:cs="Brill"/>
          <w:color w:val="000000"/>
        </w:rPr>
        <w:t xml:space="preserve"> </w:t>
      </w:r>
      <w:proofErr w:type="spellStart"/>
      <w:r w:rsidR="002C055F">
        <w:rPr>
          <w:rFonts w:cs="Brill"/>
          <w:color w:val="000000"/>
        </w:rPr>
        <w:t>social</w:t>
      </w:r>
      <w:proofErr w:type="spellEnd"/>
      <w:r w:rsidR="002C055F">
        <w:rPr>
          <w:rFonts w:cs="Brill"/>
          <w:color w:val="000000"/>
        </w:rPr>
        <w:t xml:space="preserve"> domain. </w:t>
      </w:r>
      <w:proofErr w:type="spellStart"/>
      <w:r w:rsidR="002C055F">
        <w:rPr>
          <w:rFonts w:cs="Brill"/>
          <w:color w:val="000000"/>
        </w:rPr>
        <w:t>If</w:t>
      </w:r>
      <w:proofErr w:type="spellEnd"/>
      <w:r w:rsidR="002C055F">
        <w:rPr>
          <w:rFonts w:cs="Brill"/>
          <w:color w:val="000000"/>
        </w:rPr>
        <w:t xml:space="preserve"> information is shared </w:t>
      </w:r>
      <w:proofErr w:type="spellStart"/>
      <w:r w:rsidR="002C055F">
        <w:rPr>
          <w:rFonts w:cs="Brill"/>
          <w:color w:val="000000"/>
        </w:rPr>
        <w:t>between</w:t>
      </w:r>
      <w:proofErr w:type="spellEnd"/>
      <w:r w:rsidR="002C055F">
        <w:rPr>
          <w:rFonts w:cs="Brill"/>
          <w:color w:val="000000"/>
        </w:rPr>
        <w:t xml:space="preserve"> </w:t>
      </w:r>
      <w:proofErr w:type="spellStart"/>
      <w:r w:rsidR="002C055F">
        <w:rPr>
          <w:rFonts w:cs="Brill"/>
          <w:color w:val="000000"/>
        </w:rPr>
        <w:t>the</w:t>
      </w:r>
      <w:proofErr w:type="spellEnd"/>
      <w:r w:rsidR="002C055F">
        <w:rPr>
          <w:rFonts w:cs="Brill"/>
          <w:color w:val="000000"/>
        </w:rPr>
        <w:t xml:space="preserve"> </w:t>
      </w:r>
      <w:proofErr w:type="spellStart"/>
      <w:r w:rsidR="002C055F">
        <w:rPr>
          <w:rFonts w:cs="Brill"/>
          <w:color w:val="000000"/>
        </w:rPr>
        <w:t>consultative</w:t>
      </w:r>
      <w:proofErr w:type="spellEnd"/>
      <w:r w:rsidR="002C055F">
        <w:rPr>
          <w:rFonts w:cs="Brill"/>
          <w:color w:val="000000"/>
        </w:rPr>
        <w:t xml:space="preserve"> </w:t>
      </w:r>
      <w:proofErr w:type="spellStart"/>
      <w:r w:rsidR="002C055F">
        <w:rPr>
          <w:rFonts w:cs="Brill"/>
          <w:color w:val="000000"/>
        </w:rPr>
        <w:t>bodies</w:t>
      </w:r>
      <w:proofErr w:type="spellEnd"/>
      <w:r w:rsidR="002C055F">
        <w:rPr>
          <w:rFonts w:cs="Brill"/>
          <w:color w:val="000000"/>
        </w:rPr>
        <w:t xml:space="preserve"> </w:t>
      </w:r>
      <w:proofErr w:type="spellStart"/>
      <w:r w:rsidR="002C055F">
        <w:rPr>
          <w:rFonts w:cs="Brill"/>
          <w:color w:val="000000"/>
        </w:rPr>
        <w:t>concerning</w:t>
      </w:r>
      <w:proofErr w:type="spellEnd"/>
      <w:r w:rsidR="002C055F">
        <w:rPr>
          <w:rFonts w:cs="Brill"/>
          <w:color w:val="000000"/>
        </w:rPr>
        <w:t xml:space="preserve"> </w:t>
      </w:r>
      <w:proofErr w:type="spellStart"/>
      <w:r w:rsidR="002C055F">
        <w:rPr>
          <w:rFonts w:cs="Brill"/>
          <w:color w:val="000000"/>
        </w:rPr>
        <w:t>particular</w:t>
      </w:r>
      <w:proofErr w:type="spellEnd"/>
      <w:r w:rsidR="002C055F">
        <w:rPr>
          <w:rFonts w:cs="Brill"/>
          <w:color w:val="000000"/>
        </w:rPr>
        <w:t xml:space="preserve"> persons, </w:t>
      </w:r>
      <w:proofErr w:type="spellStart"/>
      <w:r w:rsidR="002C055F">
        <w:rPr>
          <w:rFonts w:cs="Brill"/>
          <w:color w:val="000000"/>
        </w:rPr>
        <w:t>they</w:t>
      </w:r>
      <w:proofErr w:type="spellEnd"/>
      <w:r w:rsidR="002C055F">
        <w:rPr>
          <w:rFonts w:cs="Brill"/>
          <w:color w:val="000000"/>
        </w:rPr>
        <w:t xml:space="preserve"> </w:t>
      </w:r>
      <w:proofErr w:type="spellStart"/>
      <w:r w:rsidR="002C055F">
        <w:rPr>
          <w:rFonts w:cs="Brill"/>
          <w:color w:val="000000"/>
        </w:rPr>
        <w:t>may</w:t>
      </w:r>
      <w:proofErr w:type="spellEnd"/>
      <w:r w:rsidR="002C055F">
        <w:rPr>
          <w:rFonts w:cs="Brill"/>
          <w:color w:val="000000"/>
        </w:rPr>
        <w:t xml:space="preserve"> </w:t>
      </w:r>
      <w:proofErr w:type="spellStart"/>
      <w:r w:rsidR="002C055F">
        <w:rPr>
          <w:rFonts w:cs="Brill"/>
          <w:color w:val="000000"/>
        </w:rPr>
        <w:t>not</w:t>
      </w:r>
      <w:proofErr w:type="spellEnd"/>
      <w:r w:rsidR="002C055F">
        <w:rPr>
          <w:rFonts w:cs="Brill"/>
          <w:color w:val="000000"/>
        </w:rPr>
        <w:t xml:space="preserve"> </w:t>
      </w:r>
      <w:proofErr w:type="spellStart"/>
      <w:r w:rsidR="002C055F">
        <w:rPr>
          <w:rFonts w:cs="Brill"/>
          <w:color w:val="000000"/>
        </w:rPr>
        <w:t>necessarily</w:t>
      </w:r>
      <w:proofErr w:type="spellEnd"/>
      <w:r w:rsidR="002C055F">
        <w:rPr>
          <w:rFonts w:cs="Brill"/>
          <w:color w:val="000000"/>
        </w:rPr>
        <w:t xml:space="preserve"> </w:t>
      </w:r>
      <w:proofErr w:type="spellStart"/>
      <w:r w:rsidR="002C055F">
        <w:rPr>
          <w:rFonts w:cs="Brill"/>
          <w:color w:val="000000"/>
        </w:rPr>
        <w:t>be</w:t>
      </w:r>
      <w:proofErr w:type="spellEnd"/>
      <w:r w:rsidR="002C055F">
        <w:rPr>
          <w:rFonts w:cs="Brill"/>
          <w:color w:val="000000"/>
        </w:rPr>
        <w:t xml:space="preserve"> </w:t>
      </w:r>
      <w:proofErr w:type="spellStart"/>
      <w:r w:rsidR="002C055F">
        <w:rPr>
          <w:rFonts w:cs="Brill"/>
          <w:color w:val="000000"/>
        </w:rPr>
        <w:t>informed</w:t>
      </w:r>
      <w:proofErr w:type="spellEnd"/>
      <w:r w:rsidR="002C055F">
        <w:rPr>
          <w:rFonts w:cs="Brill"/>
          <w:color w:val="000000"/>
        </w:rPr>
        <w:t xml:space="preserve"> of </w:t>
      </w:r>
      <w:proofErr w:type="spellStart"/>
      <w:r w:rsidR="002C055F">
        <w:rPr>
          <w:rFonts w:cs="Brill"/>
          <w:color w:val="000000"/>
        </w:rPr>
        <w:t>the</w:t>
      </w:r>
      <w:proofErr w:type="spellEnd"/>
      <w:r w:rsidR="002C055F">
        <w:rPr>
          <w:rFonts w:cs="Brill"/>
          <w:color w:val="000000"/>
        </w:rPr>
        <w:t xml:space="preserve"> </w:t>
      </w:r>
      <w:proofErr w:type="spellStart"/>
      <w:r w:rsidR="002C055F">
        <w:rPr>
          <w:rFonts w:cs="Brill"/>
          <w:color w:val="000000"/>
        </w:rPr>
        <w:t>fact</w:t>
      </w:r>
      <w:proofErr w:type="spellEnd"/>
      <w:r w:rsidR="002C055F">
        <w:rPr>
          <w:rFonts w:cs="Brill"/>
          <w:color w:val="000000"/>
        </w:rPr>
        <w:t xml:space="preserve"> </w:t>
      </w:r>
      <w:proofErr w:type="spellStart"/>
      <w:r w:rsidR="002C055F">
        <w:rPr>
          <w:rFonts w:cs="Brill"/>
          <w:color w:val="000000"/>
        </w:rPr>
        <w:t>that</w:t>
      </w:r>
      <w:proofErr w:type="spellEnd"/>
      <w:r w:rsidR="002C055F">
        <w:rPr>
          <w:rFonts w:cs="Brill"/>
          <w:color w:val="000000"/>
        </w:rPr>
        <w:t xml:space="preserve"> </w:t>
      </w:r>
      <w:proofErr w:type="spellStart"/>
      <w:r w:rsidR="002C055F">
        <w:rPr>
          <w:rFonts w:cs="Brill"/>
          <w:color w:val="000000"/>
        </w:rPr>
        <w:t>they</w:t>
      </w:r>
      <w:proofErr w:type="spellEnd"/>
      <w:r w:rsidR="002C055F">
        <w:rPr>
          <w:rFonts w:cs="Brill"/>
          <w:color w:val="000000"/>
        </w:rPr>
        <w:t xml:space="preserve"> are </w:t>
      </w:r>
      <w:proofErr w:type="spellStart"/>
      <w:r w:rsidR="002C055F">
        <w:rPr>
          <w:rFonts w:cs="Brill"/>
          <w:color w:val="000000"/>
        </w:rPr>
        <w:t>being</w:t>
      </w:r>
      <w:proofErr w:type="spellEnd"/>
      <w:r w:rsidR="002C055F">
        <w:rPr>
          <w:rFonts w:cs="Brill"/>
          <w:color w:val="000000"/>
        </w:rPr>
        <w:t xml:space="preserve"> </w:t>
      </w:r>
      <w:proofErr w:type="spellStart"/>
      <w:r w:rsidR="002C055F">
        <w:rPr>
          <w:rFonts w:cs="Brill"/>
          <w:color w:val="000000"/>
        </w:rPr>
        <w:t>discussed</w:t>
      </w:r>
      <w:proofErr w:type="spellEnd"/>
      <w:r w:rsidR="002C055F">
        <w:rPr>
          <w:rFonts w:cs="Brill"/>
          <w:color w:val="000000"/>
        </w:rPr>
        <w:t xml:space="preserve"> </w:t>
      </w:r>
      <w:proofErr w:type="spellStart"/>
      <w:r w:rsidR="002C055F">
        <w:rPr>
          <w:rFonts w:cs="Brill"/>
          <w:color w:val="000000"/>
        </w:rPr>
        <w:t>by</w:t>
      </w:r>
      <w:proofErr w:type="spellEnd"/>
      <w:r w:rsidR="002C055F">
        <w:rPr>
          <w:rFonts w:cs="Brill"/>
          <w:color w:val="000000"/>
        </w:rPr>
        <w:t xml:space="preserve"> </w:t>
      </w:r>
      <w:proofErr w:type="spellStart"/>
      <w:r w:rsidR="002C055F">
        <w:rPr>
          <w:rFonts w:cs="Brill"/>
          <w:color w:val="000000"/>
        </w:rPr>
        <w:t>local</w:t>
      </w:r>
      <w:proofErr w:type="spellEnd"/>
      <w:r w:rsidR="002C055F">
        <w:rPr>
          <w:rFonts w:cs="Brill"/>
          <w:color w:val="000000"/>
        </w:rPr>
        <w:t xml:space="preserve"> </w:t>
      </w:r>
      <w:proofErr w:type="spellStart"/>
      <w:r w:rsidR="002C055F">
        <w:rPr>
          <w:rFonts w:cs="Brill"/>
          <w:color w:val="000000"/>
        </w:rPr>
        <w:t>authorities</w:t>
      </w:r>
      <w:proofErr w:type="spellEnd"/>
      <w:r w:rsidR="002C055F">
        <w:rPr>
          <w:rFonts w:cs="Brill"/>
          <w:color w:val="000000"/>
        </w:rPr>
        <w:t>.</w:t>
      </w:r>
    </w:p>
    <w:p w14:paraId="756DFBF2" w14:textId="77777777" w:rsidR="002C055F" w:rsidRDefault="002C055F">
      <w:pPr>
        <w:rPr>
          <w:rFonts w:cs="Brill"/>
          <w:color w:val="000000"/>
        </w:rPr>
      </w:pPr>
      <w:proofErr w:type="spellStart"/>
      <w:r>
        <w:rPr>
          <w:rFonts w:cs="Brill"/>
          <w:color w:val="000000"/>
        </w:rPr>
        <w:t>Moreover</w:t>
      </w:r>
      <w:proofErr w:type="spellEnd"/>
      <w:r>
        <w:rPr>
          <w:rFonts w:cs="Brill"/>
          <w:color w:val="000000"/>
        </w:rPr>
        <w:t xml:space="preserve">, even </w:t>
      </w:r>
      <w:proofErr w:type="spellStart"/>
      <w:r>
        <w:rPr>
          <w:rFonts w:cs="Brill"/>
          <w:color w:val="000000"/>
        </w:rPr>
        <w:t>if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legal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protection</w:t>
      </w:r>
      <w:proofErr w:type="spellEnd"/>
      <w:r w:rsidRPr="002C055F"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against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such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measures</w:t>
      </w:r>
      <w:proofErr w:type="spellEnd"/>
      <w:r>
        <w:rPr>
          <w:rFonts w:cs="Brill"/>
          <w:color w:val="000000"/>
        </w:rPr>
        <w:t xml:space="preserve"> is </w:t>
      </w:r>
      <w:proofErr w:type="spellStart"/>
      <w:r>
        <w:rPr>
          <w:rFonts w:cs="Brill"/>
          <w:color w:val="000000"/>
        </w:rPr>
        <w:t>available</w:t>
      </w:r>
      <w:proofErr w:type="spellEnd"/>
      <w:r>
        <w:rPr>
          <w:rFonts w:cs="Brill"/>
          <w:color w:val="000000"/>
        </w:rPr>
        <w:t xml:space="preserve">,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question has been </w:t>
      </w:r>
      <w:proofErr w:type="spellStart"/>
      <w:r>
        <w:rPr>
          <w:rFonts w:cs="Brill"/>
          <w:color w:val="000000"/>
        </w:rPr>
        <w:t>raised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to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what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extent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it</w:t>
      </w:r>
      <w:proofErr w:type="spellEnd"/>
      <w:r>
        <w:rPr>
          <w:rFonts w:cs="Brill"/>
          <w:color w:val="000000"/>
        </w:rPr>
        <w:t xml:space="preserve"> is </w:t>
      </w:r>
      <w:proofErr w:type="spellStart"/>
      <w:r>
        <w:rPr>
          <w:rFonts w:cs="Brill"/>
          <w:color w:val="000000"/>
        </w:rPr>
        <w:t>actually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effective</w:t>
      </w:r>
      <w:proofErr w:type="spellEnd"/>
      <w:r>
        <w:rPr>
          <w:rFonts w:cs="Brill"/>
          <w:color w:val="000000"/>
        </w:rPr>
        <w:t xml:space="preserve">. </w:t>
      </w:r>
      <w:proofErr w:type="spellStart"/>
      <w:r>
        <w:rPr>
          <w:rFonts w:cs="Brill"/>
          <w:color w:val="000000"/>
        </w:rPr>
        <w:t>Especially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when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measures</w:t>
      </w:r>
      <w:proofErr w:type="spellEnd"/>
      <w:r>
        <w:rPr>
          <w:rFonts w:cs="Brill"/>
          <w:color w:val="000000"/>
        </w:rPr>
        <w:t xml:space="preserve"> are </w:t>
      </w:r>
      <w:proofErr w:type="spellStart"/>
      <w:r>
        <w:rPr>
          <w:rFonts w:cs="Brill"/>
          <w:color w:val="000000"/>
        </w:rPr>
        <w:t>based</w:t>
      </w:r>
      <w:proofErr w:type="spellEnd"/>
      <w:r>
        <w:rPr>
          <w:rFonts w:cs="Brill"/>
          <w:color w:val="000000"/>
        </w:rPr>
        <w:t xml:space="preserve"> in </w:t>
      </w:r>
      <w:proofErr w:type="spellStart"/>
      <w:r>
        <w:rPr>
          <w:rFonts w:cs="Brill"/>
          <w:color w:val="000000"/>
        </w:rPr>
        <w:t>administrative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law</w:t>
      </w:r>
      <w:proofErr w:type="spellEnd"/>
      <w:r>
        <w:rPr>
          <w:rFonts w:cs="Brill"/>
          <w:color w:val="000000"/>
        </w:rPr>
        <w:t xml:space="preserve">, a court </w:t>
      </w:r>
      <w:proofErr w:type="spellStart"/>
      <w:r>
        <w:rPr>
          <w:rFonts w:cs="Brill"/>
          <w:color w:val="000000"/>
        </w:rPr>
        <w:t>may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only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be</w:t>
      </w:r>
      <w:proofErr w:type="spellEnd"/>
      <w:r>
        <w:rPr>
          <w:rFonts w:cs="Brill"/>
          <w:color w:val="000000"/>
        </w:rPr>
        <w:t xml:space="preserve"> competent </w:t>
      </w:r>
      <w:proofErr w:type="spellStart"/>
      <w:r>
        <w:rPr>
          <w:rFonts w:cs="Brill"/>
          <w:color w:val="000000"/>
        </w:rPr>
        <w:t>to</w:t>
      </w:r>
      <w:proofErr w:type="spellEnd"/>
      <w:r>
        <w:rPr>
          <w:rFonts w:cs="Brill"/>
          <w:color w:val="000000"/>
        </w:rPr>
        <w:t xml:space="preserve"> review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procedure </w:t>
      </w:r>
      <w:proofErr w:type="spellStart"/>
      <w:r>
        <w:rPr>
          <w:rFonts w:cs="Brill"/>
          <w:color w:val="000000"/>
        </w:rPr>
        <w:t>that</w:t>
      </w:r>
      <w:proofErr w:type="spellEnd"/>
      <w:r>
        <w:rPr>
          <w:rFonts w:cs="Brill"/>
          <w:color w:val="000000"/>
        </w:rPr>
        <w:t xml:space="preserve"> was </w:t>
      </w:r>
      <w:proofErr w:type="spellStart"/>
      <w:r>
        <w:rPr>
          <w:rFonts w:cs="Brill"/>
          <w:color w:val="000000"/>
        </w:rPr>
        <w:t>followed</w:t>
      </w:r>
      <w:proofErr w:type="spellEnd"/>
      <w:r>
        <w:rPr>
          <w:rFonts w:cs="Brill"/>
          <w:color w:val="000000"/>
        </w:rPr>
        <w:t xml:space="preserve">, but </w:t>
      </w:r>
      <w:proofErr w:type="spellStart"/>
      <w:r>
        <w:rPr>
          <w:rFonts w:cs="Brill"/>
          <w:color w:val="000000"/>
        </w:rPr>
        <w:t>not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content of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measure</w:t>
      </w:r>
      <w:proofErr w:type="spellEnd"/>
      <w:r>
        <w:rPr>
          <w:rFonts w:cs="Brill"/>
          <w:color w:val="000000"/>
        </w:rPr>
        <w:t xml:space="preserve">. </w:t>
      </w:r>
      <w:proofErr w:type="spellStart"/>
      <w:r>
        <w:rPr>
          <w:rFonts w:cs="Brill"/>
          <w:color w:val="000000"/>
        </w:rPr>
        <w:t>This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problem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for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example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exists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with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regard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to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revocation</w:t>
      </w:r>
      <w:proofErr w:type="spellEnd"/>
      <w:r>
        <w:rPr>
          <w:rFonts w:cs="Brill"/>
          <w:color w:val="000000"/>
        </w:rPr>
        <w:t xml:space="preserve"> of </w:t>
      </w:r>
      <w:proofErr w:type="spellStart"/>
      <w:r>
        <w:rPr>
          <w:rFonts w:cs="Brill"/>
          <w:color w:val="000000"/>
        </w:rPr>
        <w:t>passports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to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prevent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someone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from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travelling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abroad</w:t>
      </w:r>
      <w:proofErr w:type="spellEnd"/>
      <w:r>
        <w:rPr>
          <w:rFonts w:cs="Brill"/>
          <w:color w:val="000000"/>
        </w:rPr>
        <w:t xml:space="preserve">, </w:t>
      </w:r>
      <w:proofErr w:type="spellStart"/>
      <w:r>
        <w:rPr>
          <w:rFonts w:cs="Brill"/>
          <w:color w:val="000000"/>
        </w:rPr>
        <w:t>which</w:t>
      </w:r>
      <w:proofErr w:type="spellEnd"/>
      <w:r>
        <w:rPr>
          <w:rFonts w:cs="Brill"/>
          <w:color w:val="000000"/>
        </w:rPr>
        <w:t xml:space="preserve"> is a </w:t>
      </w:r>
      <w:proofErr w:type="spellStart"/>
      <w:r>
        <w:rPr>
          <w:rFonts w:cs="Brill"/>
          <w:color w:val="000000"/>
        </w:rPr>
        <w:t>measure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that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cannot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be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reviewed</w:t>
      </w:r>
      <w:proofErr w:type="spellEnd"/>
      <w:r>
        <w:rPr>
          <w:rFonts w:cs="Brill"/>
          <w:color w:val="000000"/>
        </w:rPr>
        <w:t xml:space="preserve"> as </w:t>
      </w:r>
      <w:proofErr w:type="spellStart"/>
      <w:r>
        <w:rPr>
          <w:rFonts w:cs="Brill"/>
          <w:color w:val="000000"/>
        </w:rPr>
        <w:t>to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its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reasonableness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by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court. </w:t>
      </w:r>
      <w:proofErr w:type="spellStart"/>
      <w:r>
        <w:rPr>
          <w:rFonts w:cs="Brill"/>
          <w:color w:val="000000"/>
        </w:rPr>
        <w:t>Another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such</w:t>
      </w:r>
      <w:proofErr w:type="spellEnd"/>
      <w:r>
        <w:rPr>
          <w:rFonts w:cs="Brill"/>
          <w:color w:val="000000"/>
        </w:rPr>
        <w:t xml:space="preserve"> issue is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possibility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to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revoke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nationality</w:t>
      </w:r>
      <w:proofErr w:type="spellEnd"/>
      <w:r>
        <w:rPr>
          <w:rFonts w:cs="Brill"/>
          <w:color w:val="000000"/>
        </w:rPr>
        <w:t xml:space="preserve"> of persons </w:t>
      </w:r>
      <w:proofErr w:type="spellStart"/>
      <w:r>
        <w:rPr>
          <w:rFonts w:cs="Brill"/>
          <w:color w:val="000000"/>
        </w:rPr>
        <w:t>suspected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to</w:t>
      </w:r>
      <w:proofErr w:type="spellEnd"/>
      <w:r>
        <w:rPr>
          <w:rFonts w:cs="Brill"/>
          <w:color w:val="000000"/>
        </w:rPr>
        <w:t xml:space="preserve"> have </w:t>
      </w:r>
      <w:proofErr w:type="spellStart"/>
      <w:r>
        <w:rPr>
          <w:rFonts w:cs="Brill"/>
          <w:color w:val="000000"/>
        </w:rPr>
        <w:t>travelled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abroad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pursuant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to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an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amendment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to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Netherlands </w:t>
      </w:r>
      <w:proofErr w:type="spellStart"/>
      <w:r>
        <w:rPr>
          <w:rFonts w:cs="Brill"/>
          <w:color w:val="000000"/>
        </w:rPr>
        <w:t>Nationality</w:t>
      </w:r>
      <w:proofErr w:type="spellEnd"/>
      <w:r>
        <w:rPr>
          <w:rFonts w:cs="Brill"/>
          <w:color w:val="000000"/>
        </w:rPr>
        <w:t xml:space="preserve"> Act, over </w:t>
      </w:r>
      <w:proofErr w:type="spellStart"/>
      <w:r>
        <w:rPr>
          <w:rFonts w:cs="Brill"/>
          <w:color w:val="000000"/>
        </w:rPr>
        <w:t>which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NHRI has </w:t>
      </w:r>
      <w:proofErr w:type="spellStart"/>
      <w:r>
        <w:rPr>
          <w:rFonts w:cs="Brill"/>
          <w:color w:val="000000"/>
        </w:rPr>
        <w:t>expressed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its</w:t>
      </w:r>
      <w:proofErr w:type="spellEnd"/>
      <w:r>
        <w:rPr>
          <w:rFonts w:cs="Brill"/>
          <w:color w:val="000000"/>
        </w:rPr>
        <w:t xml:space="preserve"> concerns as </w:t>
      </w:r>
      <w:proofErr w:type="spellStart"/>
      <w:r>
        <w:rPr>
          <w:rFonts w:cs="Brill"/>
          <w:color w:val="000000"/>
        </w:rPr>
        <w:t>to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whether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such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measures</w:t>
      </w:r>
      <w:proofErr w:type="spellEnd"/>
      <w:r>
        <w:rPr>
          <w:rFonts w:cs="Brill"/>
          <w:color w:val="000000"/>
        </w:rPr>
        <w:t xml:space="preserve"> do </w:t>
      </w:r>
      <w:proofErr w:type="spellStart"/>
      <w:r>
        <w:rPr>
          <w:rFonts w:cs="Brill"/>
          <w:color w:val="000000"/>
        </w:rPr>
        <w:t>not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unduly</w:t>
      </w:r>
      <w:proofErr w:type="spellEnd"/>
      <w:r>
        <w:rPr>
          <w:rFonts w:cs="Brill"/>
          <w:color w:val="000000"/>
        </w:rPr>
        <w:t xml:space="preserve"> </w:t>
      </w:r>
      <w:proofErr w:type="spellStart"/>
      <w:r>
        <w:rPr>
          <w:rFonts w:cs="Brill"/>
          <w:color w:val="000000"/>
        </w:rPr>
        <w:t>encroach</w:t>
      </w:r>
      <w:proofErr w:type="spellEnd"/>
      <w:r>
        <w:rPr>
          <w:rFonts w:cs="Brill"/>
          <w:color w:val="000000"/>
        </w:rPr>
        <w:t xml:space="preserve"> on </w:t>
      </w:r>
      <w:proofErr w:type="spellStart"/>
      <w:r>
        <w:rPr>
          <w:rFonts w:cs="Brill"/>
          <w:color w:val="000000"/>
        </w:rPr>
        <w:t>the</w:t>
      </w:r>
      <w:proofErr w:type="spellEnd"/>
      <w:r>
        <w:rPr>
          <w:rFonts w:cs="Brill"/>
          <w:color w:val="000000"/>
        </w:rPr>
        <w:t xml:space="preserve"> right </w:t>
      </w:r>
      <w:proofErr w:type="spellStart"/>
      <w:r>
        <w:rPr>
          <w:rFonts w:cs="Brill"/>
          <w:color w:val="000000"/>
        </w:rPr>
        <w:t>to</w:t>
      </w:r>
      <w:proofErr w:type="spellEnd"/>
      <w:r>
        <w:rPr>
          <w:rFonts w:cs="Brill"/>
          <w:color w:val="000000"/>
        </w:rPr>
        <w:t xml:space="preserve"> family life.</w:t>
      </w:r>
    </w:p>
    <w:p w14:paraId="17676B54" w14:textId="77777777" w:rsidR="008D1A51" w:rsidRDefault="002C055F">
      <w:pPr>
        <w:rPr>
          <w:rFonts w:cs="Brill"/>
          <w:color w:val="000000"/>
        </w:rPr>
      </w:pPr>
      <w:proofErr w:type="spellStart"/>
      <w:r>
        <w:rPr>
          <w:rFonts w:cs="Brill"/>
          <w:color w:val="000000"/>
        </w:rPr>
        <w:t>Lastly</w:t>
      </w:r>
      <w:proofErr w:type="spellEnd"/>
      <w:r>
        <w:rPr>
          <w:rFonts w:cs="Brill"/>
          <w:color w:val="000000"/>
        </w:rPr>
        <w:t xml:space="preserve">, </w:t>
      </w:r>
      <w:proofErr w:type="spellStart"/>
      <w:r w:rsidR="00FC2233">
        <w:rPr>
          <w:rFonts w:cs="Brill"/>
          <w:color w:val="000000"/>
        </w:rPr>
        <w:t>there</w:t>
      </w:r>
      <w:proofErr w:type="spellEnd"/>
      <w:r w:rsidR="00FC2233">
        <w:rPr>
          <w:rFonts w:cs="Brill"/>
          <w:color w:val="000000"/>
        </w:rPr>
        <w:t xml:space="preserve"> is a significant risk of </w:t>
      </w:r>
      <w:proofErr w:type="spellStart"/>
      <w:r w:rsidR="00FC2233">
        <w:rPr>
          <w:rFonts w:cs="Brill"/>
          <w:color w:val="000000"/>
        </w:rPr>
        <w:t>arbitrariness</w:t>
      </w:r>
      <w:proofErr w:type="spellEnd"/>
      <w:r w:rsidR="00FC2233">
        <w:rPr>
          <w:rFonts w:cs="Brill"/>
          <w:color w:val="000000"/>
        </w:rPr>
        <w:t xml:space="preserve"> in </w:t>
      </w:r>
      <w:proofErr w:type="spellStart"/>
      <w:r w:rsidR="00FC2233">
        <w:rPr>
          <w:rFonts w:cs="Brill"/>
          <w:color w:val="000000"/>
        </w:rPr>
        <w:t>deciding</w:t>
      </w:r>
      <w:proofErr w:type="spellEnd"/>
      <w:r w:rsidR="00FC2233">
        <w:rPr>
          <w:rFonts w:cs="Brill"/>
          <w:color w:val="000000"/>
        </w:rPr>
        <w:t xml:space="preserve"> on </w:t>
      </w:r>
      <w:proofErr w:type="spellStart"/>
      <w:r w:rsidR="00FC2233">
        <w:rPr>
          <w:rFonts w:cs="Brill"/>
          <w:color w:val="000000"/>
        </w:rPr>
        <w:t>particular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interventions</w:t>
      </w:r>
      <w:proofErr w:type="spellEnd"/>
      <w:r w:rsidR="00FC2233">
        <w:rPr>
          <w:rFonts w:cs="Brill"/>
          <w:color w:val="000000"/>
        </w:rPr>
        <w:t>.</w:t>
      </w:r>
      <w:r w:rsidR="00FC2233">
        <w:rPr>
          <w:rStyle w:val="FootnoteReference"/>
          <w:rFonts w:cs="Brill"/>
          <w:color w:val="000000"/>
        </w:rPr>
        <w:footnoteReference w:id="4"/>
      </w:r>
      <w:r w:rsidR="00FC2233">
        <w:rPr>
          <w:rFonts w:cs="Brill"/>
          <w:color w:val="000000"/>
        </w:rPr>
        <w:t xml:space="preserve"> As these person-</w:t>
      </w:r>
      <w:proofErr w:type="spellStart"/>
      <w:r w:rsidR="00FC2233">
        <w:rPr>
          <w:rFonts w:cs="Brill"/>
          <w:color w:val="000000"/>
        </w:rPr>
        <w:t>specific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interventions</w:t>
      </w:r>
      <w:proofErr w:type="spellEnd"/>
      <w:r w:rsidR="00FC2233">
        <w:rPr>
          <w:rFonts w:cs="Brill"/>
          <w:color w:val="000000"/>
        </w:rPr>
        <w:t xml:space="preserve"> are in </w:t>
      </w:r>
      <w:proofErr w:type="spellStart"/>
      <w:r w:rsidR="00FC2233">
        <w:rPr>
          <w:rFonts w:cs="Brill"/>
          <w:color w:val="000000"/>
        </w:rPr>
        <w:t>principle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municipal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affairs</w:t>
      </w:r>
      <w:proofErr w:type="spellEnd"/>
      <w:r w:rsidR="00FC2233">
        <w:rPr>
          <w:rFonts w:cs="Brill"/>
          <w:color w:val="000000"/>
        </w:rPr>
        <w:t xml:space="preserve">, </w:t>
      </w:r>
      <w:proofErr w:type="spellStart"/>
      <w:r w:rsidR="00FC2233">
        <w:rPr>
          <w:rFonts w:cs="Brill"/>
          <w:color w:val="000000"/>
        </w:rPr>
        <w:t>certain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municipalities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can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adopt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stricter</w:t>
      </w:r>
      <w:proofErr w:type="spellEnd"/>
      <w:r w:rsidR="00FC2233">
        <w:rPr>
          <w:rFonts w:cs="Brill"/>
          <w:color w:val="000000"/>
        </w:rPr>
        <w:t xml:space="preserve"> approaches </w:t>
      </w:r>
      <w:proofErr w:type="spellStart"/>
      <w:r w:rsidR="00FC2233">
        <w:rPr>
          <w:rFonts w:cs="Brill"/>
          <w:color w:val="000000"/>
        </w:rPr>
        <w:t>than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others</w:t>
      </w:r>
      <w:proofErr w:type="spellEnd"/>
      <w:r w:rsidR="00FC2233">
        <w:rPr>
          <w:rFonts w:cs="Brill"/>
          <w:color w:val="000000"/>
        </w:rPr>
        <w:t xml:space="preserve">. It </w:t>
      </w:r>
      <w:proofErr w:type="spellStart"/>
      <w:r w:rsidR="00FC2233">
        <w:rPr>
          <w:rFonts w:cs="Brill"/>
          <w:color w:val="000000"/>
        </w:rPr>
        <w:t>can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also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be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unclear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why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particular</w:t>
      </w:r>
      <w:proofErr w:type="spellEnd"/>
      <w:r w:rsidR="00FC2233">
        <w:rPr>
          <w:rFonts w:cs="Brill"/>
          <w:color w:val="000000"/>
        </w:rPr>
        <w:t xml:space="preserve"> persons are </w:t>
      </w:r>
      <w:proofErr w:type="spellStart"/>
      <w:r w:rsidR="00FC2233">
        <w:rPr>
          <w:rFonts w:cs="Brill"/>
          <w:color w:val="000000"/>
        </w:rPr>
        <w:t>singled</w:t>
      </w:r>
      <w:proofErr w:type="spellEnd"/>
      <w:r w:rsidR="00FC2233">
        <w:rPr>
          <w:rFonts w:cs="Brill"/>
          <w:color w:val="000000"/>
        </w:rPr>
        <w:t xml:space="preserve"> out </w:t>
      </w:r>
      <w:proofErr w:type="spellStart"/>
      <w:r w:rsidR="00FC2233">
        <w:rPr>
          <w:rFonts w:cs="Brill"/>
          <w:color w:val="000000"/>
        </w:rPr>
        <w:t>for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certain</w:t>
      </w:r>
      <w:proofErr w:type="spellEnd"/>
      <w:r w:rsidR="00FC2233">
        <w:rPr>
          <w:rFonts w:cs="Brill"/>
          <w:color w:val="000000"/>
        </w:rPr>
        <w:t xml:space="preserve"> ‘softer’ </w:t>
      </w:r>
      <w:proofErr w:type="spellStart"/>
      <w:r w:rsidR="00FC2233">
        <w:rPr>
          <w:rFonts w:cs="Brill"/>
          <w:color w:val="000000"/>
        </w:rPr>
        <w:t>measures</w:t>
      </w:r>
      <w:proofErr w:type="spellEnd"/>
      <w:r w:rsidR="00FC2233">
        <w:rPr>
          <w:rFonts w:cs="Brill"/>
          <w:color w:val="000000"/>
        </w:rPr>
        <w:t xml:space="preserve">, </w:t>
      </w:r>
      <w:proofErr w:type="spellStart"/>
      <w:r w:rsidR="00FC2233">
        <w:rPr>
          <w:rFonts w:cs="Brill"/>
          <w:color w:val="000000"/>
        </w:rPr>
        <w:t>whereas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other</w:t>
      </w:r>
      <w:proofErr w:type="spellEnd"/>
      <w:r w:rsidR="00FC2233">
        <w:rPr>
          <w:rFonts w:cs="Brill"/>
          <w:color w:val="000000"/>
        </w:rPr>
        <w:t xml:space="preserve"> persons are </w:t>
      </w:r>
      <w:proofErr w:type="spellStart"/>
      <w:r w:rsidR="00FC2233">
        <w:rPr>
          <w:rFonts w:cs="Brill"/>
          <w:color w:val="000000"/>
        </w:rPr>
        <w:t>deemed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higher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risks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and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selected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for</w:t>
      </w:r>
      <w:proofErr w:type="spellEnd"/>
      <w:r w:rsidR="00FC2233">
        <w:rPr>
          <w:rFonts w:cs="Brill"/>
          <w:color w:val="000000"/>
        </w:rPr>
        <w:t xml:space="preserve"> more </w:t>
      </w:r>
      <w:proofErr w:type="spellStart"/>
      <w:r w:rsidR="00FC2233">
        <w:rPr>
          <w:rFonts w:cs="Brill"/>
          <w:color w:val="000000"/>
        </w:rPr>
        <w:t>invasive</w:t>
      </w:r>
      <w:proofErr w:type="spellEnd"/>
      <w:r w:rsidR="00FC2233">
        <w:rPr>
          <w:rFonts w:cs="Brill"/>
          <w:color w:val="000000"/>
        </w:rPr>
        <w:t xml:space="preserve"> action. It is </w:t>
      </w:r>
      <w:proofErr w:type="spellStart"/>
      <w:r w:rsidR="00FC2233">
        <w:rPr>
          <w:rFonts w:cs="Brill"/>
          <w:color w:val="000000"/>
        </w:rPr>
        <w:t>also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difficult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to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assess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whether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biases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with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regard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to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certain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ethinicities</w:t>
      </w:r>
      <w:proofErr w:type="spellEnd"/>
      <w:r w:rsidR="00FC2233">
        <w:rPr>
          <w:rFonts w:cs="Brill"/>
          <w:color w:val="000000"/>
        </w:rPr>
        <w:t xml:space="preserve"> or </w:t>
      </w:r>
      <w:proofErr w:type="spellStart"/>
      <w:r w:rsidR="00FC2233">
        <w:rPr>
          <w:rFonts w:cs="Brill"/>
          <w:color w:val="000000"/>
        </w:rPr>
        <w:t>religions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influence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the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decision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to</w:t>
      </w:r>
      <w:proofErr w:type="spellEnd"/>
      <w:r w:rsidR="00FC2233">
        <w:rPr>
          <w:rFonts w:cs="Brill"/>
          <w:color w:val="000000"/>
        </w:rPr>
        <w:t xml:space="preserve"> resort </w:t>
      </w:r>
      <w:proofErr w:type="spellStart"/>
      <w:r w:rsidR="00FC2233">
        <w:rPr>
          <w:rFonts w:cs="Brill"/>
          <w:color w:val="000000"/>
        </w:rPr>
        <w:t>to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particular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interventions</w:t>
      </w:r>
      <w:proofErr w:type="spellEnd"/>
      <w:r w:rsidR="00FC2233">
        <w:rPr>
          <w:rFonts w:cs="Brill"/>
          <w:color w:val="000000"/>
        </w:rPr>
        <w:t xml:space="preserve">. As </w:t>
      </w:r>
      <w:proofErr w:type="spellStart"/>
      <w:r w:rsidR="00FC2233">
        <w:rPr>
          <w:rFonts w:cs="Brill"/>
          <w:color w:val="000000"/>
        </w:rPr>
        <w:t>the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underlying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agreements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lastRenderedPageBreak/>
        <w:t>that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govern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the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integrated</w:t>
      </w:r>
      <w:proofErr w:type="spellEnd"/>
      <w:r w:rsidR="00FC2233">
        <w:rPr>
          <w:rFonts w:cs="Brill"/>
          <w:color w:val="000000"/>
        </w:rPr>
        <w:t xml:space="preserve"> approach </w:t>
      </w:r>
      <w:proofErr w:type="spellStart"/>
      <w:r w:rsidR="00FC2233">
        <w:rPr>
          <w:rFonts w:cs="Brill"/>
          <w:color w:val="000000"/>
        </w:rPr>
        <w:t>can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generally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not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be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reviewed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by</w:t>
      </w:r>
      <w:proofErr w:type="spellEnd"/>
      <w:r w:rsidR="00FC2233">
        <w:rPr>
          <w:rFonts w:cs="Brill"/>
          <w:color w:val="000000"/>
        </w:rPr>
        <w:t xml:space="preserve"> courts, </w:t>
      </w:r>
      <w:proofErr w:type="spellStart"/>
      <w:r w:rsidR="00FC2233">
        <w:rPr>
          <w:rFonts w:cs="Brill"/>
          <w:color w:val="000000"/>
        </w:rPr>
        <w:t>their</w:t>
      </w:r>
      <w:proofErr w:type="spellEnd"/>
      <w:r w:rsidR="00FC2233">
        <w:rPr>
          <w:rFonts w:cs="Brill"/>
          <w:color w:val="000000"/>
        </w:rPr>
        <w:t xml:space="preserve"> human </w:t>
      </w:r>
      <w:proofErr w:type="spellStart"/>
      <w:r w:rsidR="00FC2233">
        <w:rPr>
          <w:rFonts w:cs="Brill"/>
          <w:color w:val="000000"/>
        </w:rPr>
        <w:t>rights</w:t>
      </w:r>
      <w:proofErr w:type="spellEnd"/>
      <w:r w:rsidR="00FC2233">
        <w:rPr>
          <w:rFonts w:cs="Brill"/>
          <w:color w:val="000000"/>
        </w:rPr>
        <w:t xml:space="preserve"> compliance </w:t>
      </w:r>
      <w:proofErr w:type="spellStart"/>
      <w:r w:rsidR="00FC2233">
        <w:rPr>
          <w:rFonts w:cs="Brill"/>
          <w:color w:val="000000"/>
        </w:rPr>
        <w:t>can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also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not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be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independently</w:t>
      </w:r>
      <w:proofErr w:type="spellEnd"/>
      <w:r w:rsidR="00FC2233">
        <w:rPr>
          <w:rFonts w:cs="Brill"/>
          <w:color w:val="000000"/>
        </w:rPr>
        <w:t xml:space="preserve"> </w:t>
      </w:r>
      <w:proofErr w:type="spellStart"/>
      <w:r w:rsidR="00FC2233">
        <w:rPr>
          <w:rFonts w:cs="Brill"/>
          <w:color w:val="000000"/>
        </w:rPr>
        <w:t>assessed</w:t>
      </w:r>
      <w:proofErr w:type="spellEnd"/>
      <w:r w:rsidR="00FC2233">
        <w:rPr>
          <w:rFonts w:cs="Brill"/>
          <w:color w:val="000000"/>
        </w:rPr>
        <w:t>.</w:t>
      </w:r>
    </w:p>
    <w:p w14:paraId="758D2518" w14:textId="77777777" w:rsidR="00881ECA" w:rsidRDefault="00654E61">
      <w:r>
        <w:t xml:space="preserve">II </w:t>
      </w:r>
    </w:p>
    <w:p w14:paraId="42D4F0AC" w14:textId="77777777" w:rsidR="00654E61" w:rsidRDefault="002C055F">
      <w:r>
        <w:t>A second</w:t>
      </w:r>
      <w:r w:rsidR="00310BB5">
        <w:t xml:space="preserve">, </w:t>
      </w:r>
      <w:proofErr w:type="spellStart"/>
      <w:r w:rsidR="00310BB5">
        <w:t>much</w:t>
      </w:r>
      <w:proofErr w:type="spellEnd"/>
      <w:r w:rsidR="00310BB5">
        <w:t xml:space="preserve"> more brief</w:t>
      </w:r>
      <w:r>
        <w:t xml:space="preserve"> point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studies concerns </w:t>
      </w:r>
      <w:proofErr w:type="spellStart"/>
      <w:r>
        <w:t>the</w:t>
      </w:r>
      <w:proofErr w:type="spellEnd"/>
      <w:r>
        <w:t xml:space="preserve"> development o</w:t>
      </w:r>
      <w:r w:rsidR="00FC2233">
        <w:t xml:space="preserve">f a soft </w:t>
      </w:r>
      <w:proofErr w:type="spellStart"/>
      <w:r w:rsidR="00FC2233">
        <w:t>law</w:t>
      </w:r>
      <w:proofErr w:type="spellEnd"/>
      <w:r w:rsidR="00FC2233">
        <w:t xml:space="preserve"> </w:t>
      </w:r>
      <w:proofErr w:type="spellStart"/>
      <w:r w:rsidR="00FC2233">
        <w:t>framework</w:t>
      </w:r>
      <w:proofErr w:type="spellEnd"/>
      <w:r w:rsidR="00FC2233">
        <w:t xml:space="preserve"> on </w:t>
      </w:r>
      <w:proofErr w:type="spellStart"/>
      <w:r w:rsidR="00FC2233">
        <w:t>individual</w:t>
      </w:r>
      <w:proofErr w:type="spellEnd"/>
      <w:r w:rsidR="00FC2233">
        <w:t xml:space="preserve"> risk assessments </w:t>
      </w:r>
      <w:proofErr w:type="spellStart"/>
      <w:r w:rsidR="00FC2233">
        <w:t>for</w:t>
      </w:r>
      <w:proofErr w:type="spellEnd"/>
      <w:r w:rsidR="00FC2233">
        <w:t xml:space="preserve"> </w:t>
      </w:r>
      <w:proofErr w:type="spellStart"/>
      <w:r w:rsidR="00FC2233">
        <w:t>prospective</w:t>
      </w:r>
      <w:proofErr w:type="spellEnd"/>
      <w:r w:rsidR="00FC2233">
        <w:t xml:space="preserve"> </w:t>
      </w:r>
      <w:proofErr w:type="spellStart"/>
      <w:r w:rsidR="00FC2233">
        <w:t>detainees</w:t>
      </w:r>
      <w:proofErr w:type="spellEnd"/>
      <w:r w:rsidR="00FC2233">
        <w:t xml:space="preserve"> in special anti-</w:t>
      </w:r>
      <w:proofErr w:type="spellStart"/>
      <w:r w:rsidR="00FC2233">
        <w:t>terrorism</w:t>
      </w:r>
      <w:proofErr w:type="spellEnd"/>
      <w:r w:rsidR="00FC2233">
        <w:t xml:space="preserve"> </w:t>
      </w:r>
      <w:proofErr w:type="spellStart"/>
      <w:r w:rsidR="00FC2233">
        <w:t>detention</w:t>
      </w:r>
      <w:proofErr w:type="spellEnd"/>
      <w:r w:rsidR="00FC2233">
        <w:t xml:space="preserve"> regimes. </w:t>
      </w:r>
      <w:proofErr w:type="spellStart"/>
      <w:r w:rsidR="00FC2233">
        <w:t>Currently</w:t>
      </w:r>
      <w:proofErr w:type="spellEnd"/>
      <w:r w:rsidR="00FC2233">
        <w:t xml:space="preserve">, </w:t>
      </w:r>
      <w:proofErr w:type="spellStart"/>
      <w:r w:rsidR="00FC2233">
        <w:t>there</w:t>
      </w:r>
      <w:proofErr w:type="spellEnd"/>
      <w:r w:rsidR="00FC2233">
        <w:t xml:space="preserve"> are </w:t>
      </w:r>
      <w:proofErr w:type="spellStart"/>
      <w:r w:rsidR="00FC2233">
        <w:t>two</w:t>
      </w:r>
      <w:proofErr w:type="spellEnd"/>
      <w:r w:rsidR="00FC2233">
        <w:t xml:space="preserve"> Dutch prisons in De Schie </w:t>
      </w:r>
      <w:proofErr w:type="spellStart"/>
      <w:r w:rsidR="00FC2233">
        <w:t>and</w:t>
      </w:r>
      <w:proofErr w:type="spellEnd"/>
      <w:r w:rsidR="00FC2233">
        <w:t xml:space="preserve"> Vught </w:t>
      </w:r>
      <w:proofErr w:type="spellStart"/>
      <w:r w:rsidR="00FC2233">
        <w:t>that</w:t>
      </w:r>
      <w:proofErr w:type="spellEnd"/>
      <w:r w:rsidR="00FC2233">
        <w:t xml:space="preserve"> </w:t>
      </w:r>
      <w:proofErr w:type="spellStart"/>
      <w:r w:rsidR="00FC2233">
        <w:t>contain</w:t>
      </w:r>
      <w:proofErr w:type="spellEnd"/>
      <w:r w:rsidR="00FC2233">
        <w:t xml:space="preserve"> special ‘terrorist units’ (</w:t>
      </w:r>
      <w:r w:rsidR="00FC2233">
        <w:rPr>
          <w:i/>
        </w:rPr>
        <w:t xml:space="preserve">Terrorisme Afdeling, </w:t>
      </w:r>
      <w:r w:rsidR="00FC2233">
        <w:t xml:space="preserve">or TA). </w:t>
      </w:r>
      <w:proofErr w:type="spellStart"/>
      <w:r w:rsidR="00FC2233">
        <w:t>Detainees</w:t>
      </w:r>
      <w:proofErr w:type="spellEnd"/>
      <w:r w:rsidR="00FC2233">
        <w:t xml:space="preserve"> </w:t>
      </w:r>
      <w:proofErr w:type="spellStart"/>
      <w:r w:rsidR="00FC2233">
        <w:t>placed</w:t>
      </w:r>
      <w:proofErr w:type="spellEnd"/>
      <w:r w:rsidR="00FC2233">
        <w:t xml:space="preserve"> in </w:t>
      </w:r>
      <w:proofErr w:type="spellStart"/>
      <w:r w:rsidR="00FC2233">
        <w:t>such</w:t>
      </w:r>
      <w:proofErr w:type="spellEnd"/>
      <w:r w:rsidR="00FC2233">
        <w:t xml:space="preserve"> units are </w:t>
      </w:r>
      <w:proofErr w:type="spellStart"/>
      <w:r w:rsidR="00FC2233">
        <w:t>subjected</w:t>
      </w:r>
      <w:proofErr w:type="spellEnd"/>
      <w:r w:rsidR="00FC2233">
        <w:t xml:space="preserve"> </w:t>
      </w:r>
      <w:proofErr w:type="spellStart"/>
      <w:r w:rsidR="00FC2233">
        <w:t>to</w:t>
      </w:r>
      <w:proofErr w:type="spellEnd"/>
      <w:r w:rsidR="00FC2233">
        <w:t xml:space="preserve"> </w:t>
      </w:r>
      <w:r w:rsidR="00310BB5">
        <w:t xml:space="preserve">high-security </w:t>
      </w:r>
      <w:proofErr w:type="spellStart"/>
      <w:r w:rsidR="00310BB5">
        <w:t>measures</w:t>
      </w:r>
      <w:proofErr w:type="spellEnd"/>
      <w:r w:rsidR="00310BB5">
        <w:t xml:space="preserve"> more stringent </w:t>
      </w:r>
      <w:proofErr w:type="spellStart"/>
      <w:r w:rsidR="00310BB5">
        <w:t>than</w:t>
      </w:r>
      <w:proofErr w:type="spellEnd"/>
      <w:r w:rsidR="00310BB5">
        <w:t xml:space="preserve"> </w:t>
      </w:r>
      <w:proofErr w:type="spellStart"/>
      <w:r w:rsidR="00310BB5">
        <w:t>those</w:t>
      </w:r>
      <w:proofErr w:type="spellEnd"/>
      <w:r w:rsidR="00310BB5">
        <w:t xml:space="preserve"> </w:t>
      </w:r>
      <w:proofErr w:type="spellStart"/>
      <w:r w:rsidR="00310BB5">
        <w:t>experienced</w:t>
      </w:r>
      <w:proofErr w:type="spellEnd"/>
      <w:r w:rsidR="00310BB5">
        <w:t xml:space="preserve"> in </w:t>
      </w:r>
      <w:proofErr w:type="spellStart"/>
      <w:r w:rsidR="00310BB5">
        <w:t>regular</w:t>
      </w:r>
      <w:proofErr w:type="spellEnd"/>
      <w:r w:rsidR="00310BB5">
        <w:t xml:space="preserve"> </w:t>
      </w:r>
      <w:proofErr w:type="spellStart"/>
      <w:r w:rsidR="00310BB5">
        <w:t>detention</w:t>
      </w:r>
      <w:proofErr w:type="spellEnd"/>
      <w:r w:rsidR="00310BB5">
        <w:t xml:space="preserve">. </w:t>
      </w:r>
      <w:proofErr w:type="spellStart"/>
      <w:r w:rsidR="00310BB5">
        <w:t>This</w:t>
      </w:r>
      <w:proofErr w:type="spellEnd"/>
      <w:r w:rsidR="00310BB5">
        <w:t xml:space="preserve"> </w:t>
      </w:r>
      <w:proofErr w:type="spellStart"/>
      <w:r w:rsidR="00310BB5">
        <w:t>includes</w:t>
      </w:r>
      <w:proofErr w:type="spellEnd"/>
      <w:r w:rsidR="00310BB5">
        <w:t xml:space="preserve"> </w:t>
      </w:r>
      <w:proofErr w:type="spellStart"/>
      <w:r w:rsidR="00310BB5">
        <w:t>conditions</w:t>
      </w:r>
      <w:proofErr w:type="spellEnd"/>
      <w:r w:rsidR="00310BB5">
        <w:t xml:space="preserve"> </w:t>
      </w:r>
      <w:proofErr w:type="spellStart"/>
      <w:r w:rsidR="00310BB5">
        <w:t>potentially</w:t>
      </w:r>
      <w:proofErr w:type="spellEnd"/>
      <w:r w:rsidR="00310BB5">
        <w:t xml:space="preserve"> </w:t>
      </w:r>
      <w:proofErr w:type="spellStart"/>
      <w:r w:rsidR="00310BB5">
        <w:t>amounting</w:t>
      </w:r>
      <w:proofErr w:type="spellEnd"/>
      <w:r w:rsidR="00310BB5">
        <w:t xml:space="preserve"> </w:t>
      </w:r>
      <w:proofErr w:type="spellStart"/>
      <w:r w:rsidR="00310BB5">
        <w:t>to</w:t>
      </w:r>
      <w:proofErr w:type="spellEnd"/>
      <w:r w:rsidR="00310BB5">
        <w:t xml:space="preserve"> </w:t>
      </w:r>
      <w:proofErr w:type="spellStart"/>
      <w:r w:rsidR="00310BB5">
        <w:t>prolonged</w:t>
      </w:r>
      <w:proofErr w:type="spellEnd"/>
      <w:r w:rsidR="00310BB5">
        <w:t xml:space="preserve"> </w:t>
      </w:r>
      <w:proofErr w:type="spellStart"/>
      <w:r w:rsidR="00310BB5">
        <w:t>solitary</w:t>
      </w:r>
      <w:proofErr w:type="spellEnd"/>
      <w:r w:rsidR="00310BB5">
        <w:t xml:space="preserve"> </w:t>
      </w:r>
      <w:proofErr w:type="spellStart"/>
      <w:r w:rsidR="00310BB5">
        <w:t>confinement</w:t>
      </w:r>
      <w:proofErr w:type="spellEnd"/>
      <w:r w:rsidR="00310BB5">
        <w:t xml:space="preserve">, severe </w:t>
      </w:r>
      <w:proofErr w:type="spellStart"/>
      <w:r w:rsidR="00310BB5">
        <w:t>restrictions</w:t>
      </w:r>
      <w:proofErr w:type="spellEnd"/>
      <w:r w:rsidR="00310BB5">
        <w:t xml:space="preserve"> </w:t>
      </w:r>
      <w:proofErr w:type="spellStart"/>
      <w:r w:rsidR="00310BB5">
        <w:t>to</w:t>
      </w:r>
      <w:proofErr w:type="spellEnd"/>
      <w:r w:rsidR="00310BB5">
        <w:t xml:space="preserve"> </w:t>
      </w:r>
      <w:proofErr w:type="spellStart"/>
      <w:r w:rsidR="00310BB5">
        <w:t>visitors</w:t>
      </w:r>
      <w:proofErr w:type="spellEnd"/>
      <w:r w:rsidR="00310BB5">
        <w:t xml:space="preserve"> </w:t>
      </w:r>
      <w:proofErr w:type="spellStart"/>
      <w:r w:rsidR="00310BB5">
        <w:t>and</w:t>
      </w:r>
      <w:proofErr w:type="spellEnd"/>
      <w:r w:rsidR="00310BB5">
        <w:t xml:space="preserve"> </w:t>
      </w:r>
      <w:proofErr w:type="spellStart"/>
      <w:r w:rsidR="00310BB5">
        <w:t>regular</w:t>
      </w:r>
      <w:proofErr w:type="spellEnd"/>
      <w:r w:rsidR="00310BB5">
        <w:t xml:space="preserve"> full-</w:t>
      </w:r>
      <w:proofErr w:type="spellStart"/>
      <w:r w:rsidR="00310BB5">
        <w:t>nudity</w:t>
      </w:r>
      <w:proofErr w:type="spellEnd"/>
      <w:r w:rsidR="00310BB5">
        <w:t xml:space="preserve"> body </w:t>
      </w:r>
      <w:proofErr w:type="spellStart"/>
      <w:r w:rsidR="00310BB5">
        <w:t>searches</w:t>
      </w:r>
      <w:proofErr w:type="spellEnd"/>
      <w:r w:rsidR="00310BB5">
        <w:t xml:space="preserve">. Placement in these units </w:t>
      </w:r>
      <w:proofErr w:type="spellStart"/>
      <w:r w:rsidR="00310BB5">
        <w:t>used</w:t>
      </w:r>
      <w:proofErr w:type="spellEnd"/>
      <w:r w:rsidR="00310BB5">
        <w:t xml:space="preserve"> </w:t>
      </w:r>
      <w:proofErr w:type="spellStart"/>
      <w:r w:rsidR="00310BB5">
        <w:t>to</w:t>
      </w:r>
      <w:proofErr w:type="spellEnd"/>
      <w:r w:rsidR="00310BB5">
        <w:t xml:space="preserve"> </w:t>
      </w:r>
      <w:proofErr w:type="spellStart"/>
      <w:r w:rsidR="00310BB5">
        <w:t>be</w:t>
      </w:r>
      <w:proofErr w:type="spellEnd"/>
      <w:r w:rsidR="00310BB5">
        <w:t xml:space="preserve"> </w:t>
      </w:r>
      <w:proofErr w:type="spellStart"/>
      <w:r w:rsidR="00310BB5">
        <w:t>based</w:t>
      </w:r>
      <w:proofErr w:type="spellEnd"/>
      <w:r w:rsidR="00310BB5">
        <w:t xml:space="preserve"> on </w:t>
      </w:r>
      <w:proofErr w:type="spellStart"/>
      <w:r w:rsidR="00310BB5">
        <w:t>the</w:t>
      </w:r>
      <w:proofErr w:type="spellEnd"/>
      <w:r w:rsidR="00310BB5">
        <w:t xml:space="preserve"> </w:t>
      </w:r>
      <w:proofErr w:type="spellStart"/>
      <w:r w:rsidR="00310BB5">
        <w:t>offence</w:t>
      </w:r>
      <w:proofErr w:type="spellEnd"/>
      <w:r w:rsidR="00310BB5">
        <w:t xml:space="preserve"> </w:t>
      </w:r>
      <w:proofErr w:type="spellStart"/>
      <w:r w:rsidR="00310BB5">
        <w:t>alone</w:t>
      </w:r>
      <w:proofErr w:type="spellEnd"/>
      <w:r w:rsidR="00310BB5">
        <w:t xml:space="preserve">: </w:t>
      </w:r>
      <w:proofErr w:type="spellStart"/>
      <w:r w:rsidR="00310BB5">
        <w:t>both</w:t>
      </w:r>
      <w:proofErr w:type="spellEnd"/>
      <w:r w:rsidR="00310BB5">
        <w:t xml:space="preserve"> persons </w:t>
      </w:r>
      <w:proofErr w:type="spellStart"/>
      <w:r w:rsidR="00310BB5">
        <w:t>suspected</w:t>
      </w:r>
      <w:proofErr w:type="spellEnd"/>
      <w:r w:rsidR="00310BB5">
        <w:t xml:space="preserve"> of </w:t>
      </w:r>
      <w:proofErr w:type="spellStart"/>
      <w:r w:rsidR="00310BB5">
        <w:t>certain</w:t>
      </w:r>
      <w:proofErr w:type="spellEnd"/>
      <w:r w:rsidR="00310BB5">
        <w:t xml:space="preserve"> </w:t>
      </w:r>
      <w:proofErr w:type="spellStart"/>
      <w:r w:rsidR="00310BB5">
        <w:t>terrorism-related</w:t>
      </w:r>
      <w:proofErr w:type="spellEnd"/>
      <w:r w:rsidR="00310BB5">
        <w:t xml:space="preserve"> </w:t>
      </w:r>
      <w:proofErr w:type="spellStart"/>
      <w:r w:rsidR="00310BB5">
        <w:t>offences</w:t>
      </w:r>
      <w:proofErr w:type="spellEnd"/>
      <w:r w:rsidR="00310BB5">
        <w:t xml:space="preserve">, </w:t>
      </w:r>
      <w:proofErr w:type="spellStart"/>
      <w:r w:rsidR="00310BB5">
        <w:t>and</w:t>
      </w:r>
      <w:proofErr w:type="spellEnd"/>
      <w:r w:rsidR="00310BB5">
        <w:t xml:space="preserve"> persons </w:t>
      </w:r>
      <w:proofErr w:type="spellStart"/>
      <w:r w:rsidR="00310BB5">
        <w:t>convicted</w:t>
      </w:r>
      <w:proofErr w:type="spellEnd"/>
      <w:r w:rsidR="00310BB5">
        <w:t xml:space="preserve"> of </w:t>
      </w:r>
      <w:proofErr w:type="spellStart"/>
      <w:r w:rsidR="00310BB5">
        <w:t>such</w:t>
      </w:r>
      <w:proofErr w:type="spellEnd"/>
      <w:r w:rsidR="00310BB5">
        <w:t xml:space="preserve"> </w:t>
      </w:r>
      <w:proofErr w:type="spellStart"/>
      <w:r w:rsidR="00310BB5">
        <w:t>offences</w:t>
      </w:r>
      <w:proofErr w:type="spellEnd"/>
      <w:r w:rsidR="00310BB5">
        <w:t xml:space="preserve">, </w:t>
      </w:r>
      <w:proofErr w:type="spellStart"/>
      <w:r w:rsidR="00310BB5">
        <w:t>would</w:t>
      </w:r>
      <w:proofErr w:type="spellEnd"/>
      <w:r w:rsidR="00310BB5">
        <w:t xml:space="preserve"> </w:t>
      </w:r>
      <w:proofErr w:type="spellStart"/>
      <w:r w:rsidR="00310BB5">
        <w:t>automatically</w:t>
      </w:r>
      <w:proofErr w:type="spellEnd"/>
      <w:r w:rsidR="00310BB5">
        <w:t xml:space="preserve"> </w:t>
      </w:r>
      <w:proofErr w:type="spellStart"/>
      <w:r w:rsidR="00310BB5">
        <w:t>be</w:t>
      </w:r>
      <w:proofErr w:type="spellEnd"/>
      <w:r w:rsidR="00310BB5">
        <w:t xml:space="preserve"> </w:t>
      </w:r>
      <w:proofErr w:type="spellStart"/>
      <w:r w:rsidR="00310BB5">
        <w:t>placed</w:t>
      </w:r>
      <w:proofErr w:type="spellEnd"/>
      <w:r w:rsidR="00310BB5">
        <w:t xml:space="preserve"> in a TA. </w:t>
      </w:r>
      <w:proofErr w:type="spellStart"/>
      <w:r w:rsidR="00310BB5">
        <w:t>Moreover</w:t>
      </w:r>
      <w:proofErr w:type="spellEnd"/>
      <w:r w:rsidR="00310BB5">
        <w:t xml:space="preserve">, </w:t>
      </w:r>
      <w:proofErr w:type="spellStart"/>
      <w:r w:rsidR="00310BB5">
        <w:t>this</w:t>
      </w:r>
      <w:proofErr w:type="spellEnd"/>
      <w:r w:rsidR="00310BB5">
        <w:t xml:space="preserve"> placement </w:t>
      </w:r>
      <w:proofErr w:type="spellStart"/>
      <w:r w:rsidR="00310BB5">
        <w:t>could</w:t>
      </w:r>
      <w:proofErr w:type="spellEnd"/>
      <w:r w:rsidR="00310BB5">
        <w:t xml:space="preserve"> </w:t>
      </w:r>
      <w:proofErr w:type="spellStart"/>
      <w:r w:rsidR="00310BB5">
        <w:t>not</w:t>
      </w:r>
      <w:proofErr w:type="spellEnd"/>
      <w:r w:rsidR="00310BB5">
        <w:t xml:space="preserve"> </w:t>
      </w:r>
      <w:proofErr w:type="spellStart"/>
      <w:r w:rsidR="00310BB5">
        <w:t>be</w:t>
      </w:r>
      <w:proofErr w:type="spellEnd"/>
      <w:r w:rsidR="00310BB5">
        <w:t xml:space="preserve"> </w:t>
      </w:r>
      <w:proofErr w:type="spellStart"/>
      <w:r w:rsidR="00310BB5">
        <w:t>legally</w:t>
      </w:r>
      <w:proofErr w:type="spellEnd"/>
      <w:r w:rsidR="00310BB5">
        <w:t xml:space="preserve"> </w:t>
      </w:r>
      <w:proofErr w:type="spellStart"/>
      <w:r w:rsidR="00310BB5">
        <w:t>challenged</w:t>
      </w:r>
      <w:proofErr w:type="spellEnd"/>
      <w:r w:rsidR="00310BB5">
        <w:t xml:space="preserve">. A 2017 report </w:t>
      </w:r>
      <w:proofErr w:type="spellStart"/>
      <w:r w:rsidR="00310BB5">
        <w:t>by</w:t>
      </w:r>
      <w:proofErr w:type="spellEnd"/>
      <w:r w:rsidR="00310BB5">
        <w:t xml:space="preserve"> Amnesty International </w:t>
      </w:r>
      <w:proofErr w:type="spellStart"/>
      <w:r w:rsidR="00310BB5">
        <w:t>and</w:t>
      </w:r>
      <w:proofErr w:type="spellEnd"/>
      <w:r w:rsidR="00310BB5">
        <w:t xml:space="preserve"> </w:t>
      </w:r>
      <w:proofErr w:type="spellStart"/>
      <w:r w:rsidR="00310BB5">
        <w:t>the</w:t>
      </w:r>
      <w:proofErr w:type="spellEnd"/>
      <w:r w:rsidR="00310BB5">
        <w:t xml:space="preserve"> Open Society </w:t>
      </w:r>
      <w:proofErr w:type="spellStart"/>
      <w:r w:rsidR="00310BB5">
        <w:t>Justice</w:t>
      </w:r>
      <w:proofErr w:type="spellEnd"/>
      <w:r w:rsidR="00310BB5">
        <w:t xml:space="preserve"> </w:t>
      </w:r>
      <w:proofErr w:type="spellStart"/>
      <w:r w:rsidR="00310BB5">
        <w:t>Initiative</w:t>
      </w:r>
      <w:proofErr w:type="spellEnd"/>
      <w:r w:rsidR="00310BB5">
        <w:t xml:space="preserve"> </w:t>
      </w:r>
      <w:proofErr w:type="spellStart"/>
      <w:r w:rsidR="00310BB5">
        <w:t>flagged</w:t>
      </w:r>
      <w:proofErr w:type="spellEnd"/>
      <w:r w:rsidR="00310BB5">
        <w:t xml:space="preserve"> </w:t>
      </w:r>
      <w:proofErr w:type="spellStart"/>
      <w:r w:rsidR="00310BB5">
        <w:t>this</w:t>
      </w:r>
      <w:proofErr w:type="spellEnd"/>
      <w:r w:rsidR="00310BB5">
        <w:t xml:space="preserve"> automatic placement, </w:t>
      </w:r>
      <w:proofErr w:type="spellStart"/>
      <w:r w:rsidR="00310BB5">
        <w:t>together</w:t>
      </w:r>
      <w:proofErr w:type="spellEnd"/>
      <w:r w:rsidR="00310BB5">
        <w:t xml:space="preserve"> </w:t>
      </w:r>
      <w:proofErr w:type="spellStart"/>
      <w:r w:rsidR="00310BB5">
        <w:t>with</w:t>
      </w:r>
      <w:proofErr w:type="spellEnd"/>
      <w:r w:rsidR="00310BB5">
        <w:t xml:space="preserve"> </w:t>
      </w:r>
      <w:proofErr w:type="spellStart"/>
      <w:r w:rsidR="00310BB5">
        <w:t>the</w:t>
      </w:r>
      <w:proofErr w:type="spellEnd"/>
      <w:r w:rsidR="00310BB5">
        <w:t xml:space="preserve"> regime in </w:t>
      </w:r>
      <w:proofErr w:type="spellStart"/>
      <w:r w:rsidR="00310BB5">
        <w:t>the</w:t>
      </w:r>
      <w:proofErr w:type="spellEnd"/>
      <w:r w:rsidR="00310BB5">
        <w:t xml:space="preserve"> </w:t>
      </w:r>
      <w:proofErr w:type="spellStart"/>
      <w:r w:rsidR="00310BB5">
        <w:t>TAs</w:t>
      </w:r>
      <w:proofErr w:type="spellEnd"/>
      <w:r w:rsidR="00310BB5">
        <w:t xml:space="preserve"> </w:t>
      </w:r>
      <w:proofErr w:type="spellStart"/>
      <w:r w:rsidR="00310BB5">
        <w:t>itself</w:t>
      </w:r>
      <w:proofErr w:type="spellEnd"/>
      <w:r w:rsidR="00310BB5">
        <w:t xml:space="preserve"> as a </w:t>
      </w:r>
      <w:proofErr w:type="spellStart"/>
      <w:r w:rsidR="00310BB5">
        <w:t>possible</w:t>
      </w:r>
      <w:proofErr w:type="spellEnd"/>
      <w:r w:rsidR="00310BB5">
        <w:t xml:space="preserve"> human </w:t>
      </w:r>
      <w:proofErr w:type="spellStart"/>
      <w:r w:rsidR="00310BB5">
        <w:t>rights</w:t>
      </w:r>
      <w:proofErr w:type="spellEnd"/>
      <w:r w:rsidR="00310BB5">
        <w:t xml:space="preserve"> </w:t>
      </w:r>
      <w:proofErr w:type="spellStart"/>
      <w:r w:rsidR="00310BB5">
        <w:t>violation</w:t>
      </w:r>
      <w:proofErr w:type="spellEnd"/>
      <w:r w:rsidR="00310BB5">
        <w:t>.</w:t>
      </w:r>
      <w:r w:rsidR="00310BB5">
        <w:rPr>
          <w:rStyle w:val="FootnoteReference"/>
        </w:rPr>
        <w:footnoteReference w:id="5"/>
      </w:r>
    </w:p>
    <w:p w14:paraId="7E21C023" w14:textId="77777777" w:rsidR="00DB0582" w:rsidRDefault="00DB0582">
      <w:r>
        <w:t xml:space="preserve">In response,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of </w:t>
      </w:r>
      <w:proofErr w:type="spellStart"/>
      <w:r>
        <w:t>individual</w:t>
      </w:r>
      <w:proofErr w:type="spellEnd"/>
      <w:r>
        <w:t xml:space="preserve"> risk assessments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persons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on a TA. </w:t>
      </w:r>
      <w:proofErr w:type="spellStart"/>
      <w:r>
        <w:t>That</w:t>
      </w:r>
      <w:proofErr w:type="spellEnd"/>
      <w:r>
        <w:t xml:space="preserve"> risk assessment is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an</w:t>
      </w:r>
      <w:proofErr w:type="spellEnd"/>
      <w:r>
        <w:t xml:space="preserve"> </w:t>
      </w:r>
      <w:proofErr w:type="spellStart"/>
      <w:r>
        <w:t>observation</w:t>
      </w:r>
      <w:proofErr w:type="spellEnd"/>
      <w:r>
        <w:t xml:space="preserve"> of maximum 10 weeks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conversations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detainee</w:t>
      </w:r>
      <w:proofErr w:type="spellEnd"/>
      <w:r>
        <w:t xml:space="preserve">, </w:t>
      </w:r>
      <w:proofErr w:type="spellStart"/>
      <w:r>
        <w:t>resulting</w:t>
      </w:r>
      <w:proofErr w:type="spellEnd"/>
      <w:r>
        <w:t xml:space="preserve"> in a risk assessment report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Dutch </w:t>
      </w:r>
      <w:proofErr w:type="spellStart"/>
      <w:r>
        <w:t>Probation</w:t>
      </w:r>
      <w:proofErr w:type="spellEnd"/>
      <w:r>
        <w:t xml:space="preserve"> Services. </w:t>
      </w:r>
      <w:proofErr w:type="spellStart"/>
      <w:r>
        <w:t>Moreover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report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as a basis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determining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security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adopted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; </w:t>
      </w:r>
      <w:proofErr w:type="spellStart"/>
      <w:r>
        <w:t>not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of </w:t>
      </w:r>
      <w:proofErr w:type="spellStart"/>
      <w:r>
        <w:t>respecting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of </w:t>
      </w:r>
      <w:proofErr w:type="spellStart"/>
      <w:r>
        <w:t>detainees</w:t>
      </w:r>
      <w:proofErr w:type="spellEnd"/>
      <w:r>
        <w:t xml:space="preserve">, but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persons </w:t>
      </w:r>
      <w:proofErr w:type="spellStart"/>
      <w:r>
        <w:t>who</w:t>
      </w:r>
      <w:proofErr w:type="spellEnd"/>
      <w:r>
        <w:t xml:space="preserve"> have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radicalized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influence</w:t>
      </w:r>
      <w:proofErr w:type="spellEnd"/>
      <w:r>
        <w:t xml:space="preserve"> of </w:t>
      </w:r>
      <w:proofErr w:type="spellStart"/>
      <w:r>
        <w:t>other</w:t>
      </w:r>
      <w:proofErr w:type="spellEnd"/>
      <w:r>
        <w:t xml:space="preserve">, </w:t>
      </w:r>
      <w:proofErr w:type="spellStart"/>
      <w:r>
        <w:t>much</w:t>
      </w:r>
      <w:proofErr w:type="spellEnd"/>
      <w:r>
        <w:t xml:space="preserve"> more </w:t>
      </w:r>
      <w:proofErr w:type="spellStart"/>
      <w:r>
        <w:t>radical</w:t>
      </w:r>
      <w:proofErr w:type="spellEnd"/>
      <w:r>
        <w:t xml:space="preserve"> </w:t>
      </w:r>
      <w:proofErr w:type="spellStart"/>
      <w:r>
        <w:t>detainees</w:t>
      </w:r>
      <w:proofErr w:type="spellEnd"/>
      <w:r>
        <w:t>.</w:t>
      </w:r>
      <w:r w:rsidR="00261759">
        <w:rPr>
          <w:rStyle w:val="FootnoteReference"/>
        </w:rPr>
        <w:footnoteReference w:id="6"/>
      </w:r>
      <w:r>
        <w:t xml:space="preserve"> </w:t>
      </w:r>
    </w:p>
    <w:p w14:paraId="6FD4EDC2" w14:textId="77777777" w:rsidR="00261759" w:rsidRPr="00261759" w:rsidRDefault="00261759">
      <w:proofErr w:type="spellStart"/>
      <w:r>
        <w:t>Individual</w:t>
      </w:r>
      <w:proofErr w:type="spellEnd"/>
      <w:r>
        <w:t xml:space="preserve"> risk assessments are </w:t>
      </w:r>
      <w:proofErr w:type="spellStart"/>
      <w:r>
        <w:t>an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 xml:space="preserve"> over automatic placement in a high-security regime </w:t>
      </w:r>
      <w:proofErr w:type="spellStart"/>
      <w:r>
        <w:t>with</w:t>
      </w:r>
      <w:proofErr w:type="spellEnd"/>
      <w:r>
        <w:t xml:space="preserve"> significant </w:t>
      </w:r>
      <w:proofErr w:type="spellStart"/>
      <w:r>
        <w:t>restrictions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personal life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bodily</w:t>
      </w:r>
      <w:proofErr w:type="spellEnd"/>
      <w:r>
        <w:t xml:space="preserve"> </w:t>
      </w:r>
      <w:proofErr w:type="spellStart"/>
      <w:r>
        <w:t>autonomy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question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underlying</w:t>
      </w:r>
      <w:proofErr w:type="spellEnd"/>
      <w:r>
        <w:t xml:space="preserve"> risk assessment tools </w:t>
      </w:r>
      <w:proofErr w:type="spellStart"/>
      <w:r>
        <w:t>incorporate</w:t>
      </w:r>
      <w:proofErr w:type="spellEnd"/>
      <w:r>
        <w:t xml:space="preserve"> human </w:t>
      </w:r>
      <w:proofErr w:type="spellStart"/>
      <w:r>
        <w:t>rights</w:t>
      </w:r>
      <w:proofErr w:type="spellEnd"/>
      <w:r>
        <w:t xml:space="preserve">, next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security </w:t>
      </w:r>
      <w:proofErr w:type="spellStart"/>
      <w:r>
        <w:t>risks</w:t>
      </w:r>
      <w:proofErr w:type="spellEnd"/>
      <w:r>
        <w:t xml:space="preserve"> </w:t>
      </w:r>
      <w:proofErr w:type="spellStart"/>
      <w:r>
        <w:t>posed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detainee</w:t>
      </w:r>
      <w:proofErr w:type="spellEnd"/>
      <w:r>
        <w:t xml:space="preserve">. </w:t>
      </w:r>
      <w:proofErr w:type="spellStart"/>
      <w:r>
        <w:t>Secondly</w:t>
      </w:r>
      <w:proofErr w:type="spellEnd"/>
      <w:r>
        <w:t xml:space="preserve">, </w:t>
      </w:r>
      <w:proofErr w:type="spellStart"/>
      <w:r>
        <w:t>neither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risk assessment </w:t>
      </w:r>
      <w:proofErr w:type="spellStart"/>
      <w:r>
        <w:t>itself</w:t>
      </w:r>
      <w:proofErr w:type="spellEnd"/>
      <w:r>
        <w:t xml:space="preserve">, nor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underlying</w:t>
      </w:r>
      <w:proofErr w:type="spellEnd"/>
      <w:r>
        <w:t xml:space="preserve"> tools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challenged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a court, as </w:t>
      </w:r>
      <w:proofErr w:type="spellStart"/>
      <w:r>
        <w:t>determination</w:t>
      </w:r>
      <w:proofErr w:type="spellEnd"/>
      <w:r>
        <w:t xml:space="preserve"> of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is </w:t>
      </w:r>
      <w:proofErr w:type="spellStart"/>
      <w:r>
        <w:t>placed</w:t>
      </w:r>
      <w:proofErr w:type="spellEnd"/>
      <w:r>
        <w:t xml:space="preserve"> in a TA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that</w:t>
      </w:r>
      <w:proofErr w:type="spellEnd"/>
      <w:r>
        <w:t xml:space="preserve"> assessment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judicial</w:t>
      </w:r>
      <w:proofErr w:type="spellEnd"/>
      <w:r>
        <w:t xml:space="preserve"> body but </w:t>
      </w:r>
      <w:proofErr w:type="spellStart"/>
      <w:r>
        <w:t>by</w:t>
      </w:r>
      <w:proofErr w:type="spellEnd"/>
      <w:r>
        <w:t xml:space="preserve"> the administratieve body of </w:t>
      </w:r>
      <w:proofErr w:type="spellStart"/>
      <w:r>
        <w:t>the</w:t>
      </w:r>
      <w:proofErr w:type="spellEnd"/>
      <w:r>
        <w:t xml:space="preserve"> TA </w:t>
      </w:r>
      <w:proofErr w:type="spellStart"/>
      <w:r>
        <w:t>itself</w:t>
      </w:r>
      <w:proofErr w:type="spellEnd"/>
      <w:r>
        <w:t xml:space="preserve">.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complaints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directed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review </w:t>
      </w:r>
      <w:proofErr w:type="spellStart"/>
      <w:r>
        <w:t>commissioner</w:t>
      </w:r>
      <w:proofErr w:type="spellEnd"/>
      <w:r>
        <w:t xml:space="preserve"> (</w:t>
      </w:r>
      <w:r>
        <w:rPr>
          <w:i/>
        </w:rPr>
        <w:t>selectiecommissaris</w:t>
      </w:r>
      <w:r>
        <w:t xml:space="preserve">),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appeal </w:t>
      </w:r>
      <w:proofErr w:type="spellStart"/>
      <w:r>
        <w:t>possibility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appeals</w:t>
      </w:r>
      <w:proofErr w:type="spellEnd"/>
      <w:r>
        <w:t xml:space="preserve"> board (</w:t>
      </w:r>
      <w:r>
        <w:rPr>
          <w:i/>
        </w:rPr>
        <w:t>Beroepscommissie van de Raad voor de Strafrechtstoepassing en Jeugdbescherming</w:t>
      </w:r>
      <w:r>
        <w:t xml:space="preserve">, or RSJ). </w:t>
      </w:r>
      <w:proofErr w:type="spellStart"/>
      <w:r>
        <w:t>Similarly</w:t>
      </w:r>
      <w:proofErr w:type="spellEnd"/>
      <w:r>
        <w:t xml:space="preserve">, </w:t>
      </w:r>
      <w:proofErr w:type="spellStart"/>
      <w:r>
        <w:t>complaints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regime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directed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director of </w:t>
      </w:r>
      <w:proofErr w:type="spellStart"/>
      <w:r>
        <w:t>the</w:t>
      </w:r>
      <w:proofErr w:type="spellEnd"/>
      <w:r>
        <w:t xml:space="preserve"> TA,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possibility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appeal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appeals</w:t>
      </w:r>
      <w:proofErr w:type="spellEnd"/>
      <w:r>
        <w:t xml:space="preserve"> board of the RSJ.</w:t>
      </w:r>
    </w:p>
    <w:sectPr w:rsidR="00261759" w:rsidRPr="0026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971FA" w14:textId="77777777" w:rsidR="001E1216" w:rsidRDefault="001E1216" w:rsidP="00506109">
      <w:pPr>
        <w:spacing w:after="0" w:line="240" w:lineRule="auto"/>
      </w:pPr>
      <w:r>
        <w:separator/>
      </w:r>
    </w:p>
  </w:endnote>
  <w:endnote w:type="continuationSeparator" w:id="0">
    <w:p w14:paraId="7C42B93E" w14:textId="77777777" w:rsidR="001E1216" w:rsidRDefault="001E1216" w:rsidP="0050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ll">
    <w:altName w:val="Bril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97576" w14:textId="77777777" w:rsidR="001E1216" w:rsidRDefault="001E1216" w:rsidP="00506109">
      <w:pPr>
        <w:spacing w:after="0" w:line="240" w:lineRule="auto"/>
      </w:pPr>
      <w:r>
        <w:separator/>
      </w:r>
    </w:p>
  </w:footnote>
  <w:footnote w:type="continuationSeparator" w:id="0">
    <w:p w14:paraId="320ADF3D" w14:textId="77777777" w:rsidR="001E1216" w:rsidRDefault="001E1216" w:rsidP="00506109">
      <w:pPr>
        <w:spacing w:after="0" w:line="240" w:lineRule="auto"/>
      </w:pPr>
      <w:r>
        <w:continuationSeparator/>
      </w:r>
    </w:p>
  </w:footnote>
  <w:footnote w:id="1">
    <w:p w14:paraId="4A72598B" w14:textId="77777777" w:rsidR="00506109" w:rsidRPr="0010326B" w:rsidRDefault="00506109" w:rsidP="001032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0326B" w:rsidRPr="0010326B">
        <w:t>Q</w:t>
      </w:r>
      <w:r w:rsidR="0010326B">
        <w:t>uirine</w:t>
      </w:r>
      <w:r w:rsidR="0010326B" w:rsidRPr="0010326B">
        <w:t xml:space="preserve"> Eijkman </w:t>
      </w:r>
      <w:proofErr w:type="spellStart"/>
      <w:r w:rsidR="0010326B" w:rsidRPr="0010326B">
        <w:t>and</w:t>
      </w:r>
      <w:proofErr w:type="spellEnd"/>
      <w:r w:rsidR="0010326B" w:rsidRPr="0010326B">
        <w:t xml:space="preserve"> </w:t>
      </w:r>
      <w:proofErr w:type="spellStart"/>
      <w:r w:rsidR="0010326B" w:rsidRPr="0010326B">
        <w:t>J</w:t>
      </w:r>
      <w:r w:rsidR="0010326B">
        <w:t>osien</w:t>
      </w:r>
      <w:proofErr w:type="spellEnd"/>
      <w:r w:rsidR="0010326B" w:rsidRPr="0010326B">
        <w:t xml:space="preserve"> </w:t>
      </w:r>
      <w:proofErr w:type="spellStart"/>
      <w:r w:rsidR="0010326B" w:rsidRPr="0010326B">
        <w:t>Roodnat</w:t>
      </w:r>
      <w:proofErr w:type="spellEnd"/>
      <w:r w:rsidR="0010326B" w:rsidRPr="0010326B">
        <w:t xml:space="preserve">, “Beware of Branding </w:t>
      </w:r>
      <w:proofErr w:type="spellStart"/>
      <w:r w:rsidR="0010326B" w:rsidRPr="0010326B">
        <w:t>Some</w:t>
      </w:r>
      <w:r w:rsidR="0010326B" w:rsidRPr="0010326B">
        <w:softHyphen/>
        <w:t>one</w:t>
      </w:r>
      <w:proofErr w:type="spellEnd"/>
      <w:r w:rsidR="0010326B" w:rsidRPr="0010326B">
        <w:t xml:space="preserve"> a Terrorist!: </w:t>
      </w:r>
      <w:proofErr w:type="spellStart"/>
      <w:r w:rsidR="0010326B" w:rsidRPr="0010326B">
        <w:t>Local</w:t>
      </w:r>
      <w:proofErr w:type="spellEnd"/>
      <w:r w:rsidR="0010326B" w:rsidRPr="0010326B">
        <w:t xml:space="preserve"> Professionals on Person-</w:t>
      </w:r>
      <w:proofErr w:type="spellStart"/>
      <w:r w:rsidR="0010326B" w:rsidRPr="0010326B">
        <w:t>Specific</w:t>
      </w:r>
      <w:proofErr w:type="spellEnd"/>
      <w:r w:rsidR="0010326B" w:rsidRPr="0010326B">
        <w:t xml:space="preserve"> </w:t>
      </w:r>
      <w:proofErr w:type="spellStart"/>
      <w:r w:rsidR="0010326B" w:rsidRPr="0010326B">
        <w:t>Interventions</w:t>
      </w:r>
      <w:proofErr w:type="spellEnd"/>
      <w:r w:rsidR="0010326B" w:rsidRPr="0010326B">
        <w:t xml:space="preserve"> </w:t>
      </w:r>
      <w:proofErr w:type="spellStart"/>
      <w:r w:rsidR="0010326B" w:rsidRPr="0010326B">
        <w:t>to</w:t>
      </w:r>
      <w:proofErr w:type="spellEnd"/>
      <w:r w:rsidR="0010326B" w:rsidRPr="0010326B">
        <w:t xml:space="preserve"> Counter </w:t>
      </w:r>
      <w:proofErr w:type="spellStart"/>
      <w:r w:rsidR="0010326B" w:rsidRPr="0010326B">
        <w:t>Extremism</w:t>
      </w:r>
      <w:proofErr w:type="spellEnd"/>
      <w:r w:rsidR="0010326B" w:rsidRPr="0010326B">
        <w:t xml:space="preserve">”, </w:t>
      </w:r>
      <w:r w:rsidR="0010326B">
        <w:t xml:space="preserve">2017 </w:t>
      </w:r>
      <w:r w:rsidR="0010326B" w:rsidRPr="0010326B">
        <w:rPr>
          <w:i/>
          <w:iCs/>
        </w:rPr>
        <w:t xml:space="preserve">Journal </w:t>
      </w:r>
      <w:proofErr w:type="spellStart"/>
      <w:r w:rsidR="0010326B" w:rsidRPr="0010326B">
        <w:rPr>
          <w:i/>
          <w:iCs/>
        </w:rPr>
        <w:t>for</w:t>
      </w:r>
      <w:proofErr w:type="spellEnd"/>
      <w:r w:rsidR="0010326B" w:rsidRPr="0010326B">
        <w:rPr>
          <w:i/>
          <w:iCs/>
        </w:rPr>
        <w:t xml:space="preserve"> </w:t>
      </w:r>
      <w:proofErr w:type="spellStart"/>
      <w:r w:rsidR="0010326B" w:rsidRPr="0010326B">
        <w:rPr>
          <w:i/>
          <w:iCs/>
        </w:rPr>
        <w:t>Deradicalisation</w:t>
      </w:r>
      <w:proofErr w:type="spellEnd"/>
      <w:r w:rsidR="0010326B">
        <w:t xml:space="preserve">, </w:t>
      </w:r>
      <w:r w:rsidR="0010326B" w:rsidRPr="0010326B">
        <w:t>no. 10, pp. 23–50</w:t>
      </w:r>
      <w:r w:rsidR="0010326B">
        <w:t xml:space="preserve">, </w:t>
      </w:r>
      <w:proofErr w:type="spellStart"/>
      <w:r w:rsidR="0010326B">
        <w:t>and</w:t>
      </w:r>
      <w:proofErr w:type="spellEnd"/>
      <w:r w:rsidR="0010326B">
        <w:t xml:space="preserve"> Quirine Eijkman </w:t>
      </w:r>
      <w:proofErr w:type="spellStart"/>
      <w:r w:rsidR="0010326B">
        <w:t>and</w:t>
      </w:r>
      <w:proofErr w:type="spellEnd"/>
      <w:r w:rsidR="0010326B">
        <w:t xml:space="preserve"> </w:t>
      </w:r>
      <w:proofErr w:type="spellStart"/>
      <w:r w:rsidR="0010326B">
        <w:t>Josien</w:t>
      </w:r>
      <w:proofErr w:type="spellEnd"/>
      <w:r w:rsidR="0010326B">
        <w:t xml:space="preserve"> </w:t>
      </w:r>
      <w:proofErr w:type="spellStart"/>
      <w:r w:rsidR="0010326B">
        <w:t>Roodnat</w:t>
      </w:r>
      <w:proofErr w:type="spellEnd"/>
      <w:r w:rsidR="0010326B">
        <w:t xml:space="preserve">, </w:t>
      </w:r>
      <w:r w:rsidR="0010326B" w:rsidRPr="0010326B">
        <w:t>“</w:t>
      </w:r>
      <w:r w:rsidR="0010326B" w:rsidRPr="0010326B">
        <w:rPr>
          <w:bCs/>
        </w:rPr>
        <w:t xml:space="preserve">Access </w:t>
      </w:r>
      <w:proofErr w:type="spellStart"/>
      <w:r w:rsidR="0010326B" w:rsidRPr="0010326B">
        <w:rPr>
          <w:bCs/>
        </w:rPr>
        <w:t>to</w:t>
      </w:r>
      <w:proofErr w:type="spellEnd"/>
      <w:r w:rsidR="0010326B" w:rsidRPr="0010326B">
        <w:rPr>
          <w:bCs/>
        </w:rPr>
        <w:t xml:space="preserve"> </w:t>
      </w:r>
      <w:proofErr w:type="spellStart"/>
      <w:r w:rsidR="0010326B" w:rsidRPr="0010326B">
        <w:rPr>
          <w:bCs/>
        </w:rPr>
        <w:t>Justice</w:t>
      </w:r>
      <w:proofErr w:type="spellEnd"/>
      <w:r w:rsidR="0010326B" w:rsidRPr="0010326B">
        <w:rPr>
          <w:bCs/>
        </w:rPr>
        <w:t xml:space="preserve"> 4 </w:t>
      </w:r>
      <w:proofErr w:type="spellStart"/>
      <w:r w:rsidR="0010326B" w:rsidRPr="0010326B">
        <w:rPr>
          <w:bCs/>
        </w:rPr>
        <w:t>Known</w:t>
      </w:r>
      <w:proofErr w:type="spellEnd"/>
      <w:r w:rsidR="0010326B" w:rsidRPr="0010326B">
        <w:rPr>
          <w:bCs/>
        </w:rPr>
        <w:t xml:space="preserve"> or </w:t>
      </w:r>
      <w:proofErr w:type="spellStart"/>
      <w:r w:rsidR="0010326B" w:rsidRPr="0010326B">
        <w:rPr>
          <w:bCs/>
        </w:rPr>
        <w:t>Potential</w:t>
      </w:r>
      <w:proofErr w:type="spellEnd"/>
      <w:r w:rsidR="0010326B" w:rsidRPr="0010326B">
        <w:rPr>
          <w:bCs/>
        </w:rPr>
        <w:t xml:space="preserve"> </w:t>
      </w:r>
      <w:proofErr w:type="spellStart"/>
      <w:r w:rsidR="0010326B" w:rsidRPr="0010326B">
        <w:rPr>
          <w:bCs/>
        </w:rPr>
        <w:t>Extremists</w:t>
      </w:r>
      <w:proofErr w:type="spellEnd"/>
      <w:r w:rsidR="0010326B" w:rsidRPr="0010326B">
        <w:rPr>
          <w:bCs/>
        </w:rPr>
        <w:t xml:space="preserve">? </w:t>
      </w:r>
      <w:proofErr w:type="spellStart"/>
      <w:r w:rsidR="0010326B" w:rsidRPr="0010326B">
        <w:rPr>
          <w:bCs/>
          <w:iCs/>
        </w:rPr>
        <w:t>Local</w:t>
      </w:r>
      <w:proofErr w:type="spellEnd"/>
      <w:r w:rsidR="0010326B" w:rsidRPr="0010326B">
        <w:rPr>
          <w:bCs/>
          <w:iCs/>
        </w:rPr>
        <w:t xml:space="preserve"> Professionals on Legal Remedies </w:t>
      </w:r>
      <w:proofErr w:type="spellStart"/>
      <w:r w:rsidR="0010326B" w:rsidRPr="0010326B">
        <w:rPr>
          <w:bCs/>
          <w:iCs/>
        </w:rPr>
        <w:t>Against</w:t>
      </w:r>
      <w:proofErr w:type="spellEnd"/>
      <w:r w:rsidR="0010326B" w:rsidRPr="0010326B">
        <w:rPr>
          <w:bCs/>
          <w:iCs/>
        </w:rPr>
        <w:t xml:space="preserve"> Person-</w:t>
      </w:r>
      <w:proofErr w:type="spellStart"/>
      <w:r w:rsidR="0010326B" w:rsidRPr="0010326B">
        <w:rPr>
          <w:bCs/>
          <w:iCs/>
        </w:rPr>
        <w:t>Specific</w:t>
      </w:r>
      <w:proofErr w:type="spellEnd"/>
      <w:r w:rsidR="0010326B" w:rsidRPr="0010326B">
        <w:rPr>
          <w:bCs/>
          <w:iCs/>
        </w:rPr>
        <w:t xml:space="preserve"> </w:t>
      </w:r>
      <w:proofErr w:type="spellStart"/>
      <w:r w:rsidR="0010326B" w:rsidRPr="0010326B">
        <w:rPr>
          <w:bCs/>
          <w:iCs/>
        </w:rPr>
        <w:t>Interventions</w:t>
      </w:r>
      <w:proofErr w:type="spellEnd"/>
      <w:r w:rsidR="0010326B">
        <w:rPr>
          <w:bCs/>
          <w:iCs/>
        </w:rPr>
        <w:t xml:space="preserve">”, 2016 </w:t>
      </w:r>
      <w:r w:rsidR="0010326B">
        <w:rPr>
          <w:bCs/>
          <w:i/>
          <w:iCs/>
        </w:rPr>
        <w:t xml:space="preserve">Security </w:t>
      </w:r>
      <w:proofErr w:type="spellStart"/>
      <w:r w:rsidR="0010326B">
        <w:rPr>
          <w:bCs/>
          <w:i/>
          <w:iCs/>
        </w:rPr>
        <w:t>and</w:t>
      </w:r>
      <w:proofErr w:type="spellEnd"/>
      <w:r w:rsidR="0010326B">
        <w:rPr>
          <w:bCs/>
          <w:i/>
          <w:iCs/>
        </w:rPr>
        <w:t xml:space="preserve"> Human </w:t>
      </w:r>
      <w:proofErr w:type="spellStart"/>
      <w:r w:rsidR="0010326B">
        <w:rPr>
          <w:bCs/>
          <w:i/>
          <w:iCs/>
        </w:rPr>
        <w:t>Rights</w:t>
      </w:r>
      <w:proofErr w:type="spellEnd"/>
      <w:r w:rsidR="0010326B">
        <w:rPr>
          <w:bCs/>
          <w:iCs/>
        </w:rPr>
        <w:t>, no. 27, pp. 94-115.</w:t>
      </w:r>
    </w:p>
  </w:footnote>
  <w:footnote w:id="2">
    <w:p w14:paraId="1FE1F88C" w14:textId="77777777" w:rsidR="00940B6F" w:rsidRDefault="00940B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40B6F">
        <w:t xml:space="preserve">National </w:t>
      </w:r>
      <w:proofErr w:type="spellStart"/>
      <w:r w:rsidRPr="00940B6F">
        <w:t>Coordinator</w:t>
      </w:r>
      <w:proofErr w:type="spellEnd"/>
      <w:r w:rsidRPr="00940B6F">
        <w:t xml:space="preserve"> </w:t>
      </w:r>
      <w:proofErr w:type="spellStart"/>
      <w:r w:rsidRPr="00940B6F">
        <w:t>for</w:t>
      </w:r>
      <w:proofErr w:type="spellEnd"/>
      <w:r w:rsidRPr="00940B6F">
        <w:t xml:space="preserve"> </w:t>
      </w:r>
      <w:proofErr w:type="spellStart"/>
      <w:r w:rsidRPr="00940B6F">
        <w:t>Counterterrorism</w:t>
      </w:r>
      <w:proofErr w:type="spellEnd"/>
      <w:r w:rsidRPr="00940B6F">
        <w:t xml:space="preserve"> </w:t>
      </w:r>
      <w:proofErr w:type="spellStart"/>
      <w:r w:rsidRPr="00940B6F">
        <w:t>and</w:t>
      </w:r>
      <w:proofErr w:type="spellEnd"/>
      <w:r w:rsidRPr="00940B6F">
        <w:t xml:space="preserve"> Security (</w:t>
      </w:r>
      <w:r>
        <w:t>NCTV</w:t>
      </w:r>
      <w:r w:rsidRPr="00940B6F">
        <w:t xml:space="preserve">), National </w:t>
      </w:r>
      <w:proofErr w:type="spellStart"/>
      <w:r w:rsidRPr="00940B6F">
        <w:t>Counterterrorismstrategy</w:t>
      </w:r>
      <w:proofErr w:type="spellEnd"/>
      <w:r w:rsidRPr="00940B6F">
        <w:t xml:space="preserve"> (</w:t>
      </w:r>
      <w:r w:rsidRPr="00940B6F">
        <w:rPr>
          <w:i/>
        </w:rPr>
        <w:t xml:space="preserve">Nationale </w:t>
      </w:r>
      <w:proofErr w:type="spellStart"/>
      <w:r w:rsidRPr="00940B6F">
        <w:rPr>
          <w:i/>
        </w:rPr>
        <w:t>Contraterrorismestrategie</w:t>
      </w:r>
      <w:proofErr w:type="spellEnd"/>
      <w:r w:rsidRPr="00940B6F">
        <w:t xml:space="preserve">) 2016–2020, The Hague, </w:t>
      </w:r>
      <w:r>
        <w:t>NCTV</w:t>
      </w:r>
      <w:r w:rsidRPr="00940B6F">
        <w:t>, 2016</w:t>
      </w:r>
      <w:r>
        <w:t>.</w:t>
      </w:r>
    </w:p>
  </w:footnote>
  <w:footnote w:id="3">
    <w:p w14:paraId="3B08DE8A" w14:textId="77777777" w:rsidR="00506109" w:rsidRPr="00940B6F" w:rsidRDefault="00506109" w:rsidP="005061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6109">
        <w:t xml:space="preserve">Liesbeth van der Heide </w:t>
      </w:r>
      <w:proofErr w:type="spellStart"/>
      <w:r w:rsidRPr="00506109">
        <w:t>and</w:t>
      </w:r>
      <w:proofErr w:type="spellEnd"/>
      <w:r w:rsidRPr="00506109">
        <w:t xml:space="preserve"> Bart Schuurman (2018), ‘</w:t>
      </w:r>
      <w:proofErr w:type="spellStart"/>
      <w:r w:rsidRPr="00506109">
        <w:t>Reintegrating</w:t>
      </w:r>
      <w:proofErr w:type="spellEnd"/>
      <w:r w:rsidRPr="00506109">
        <w:t xml:space="preserve"> violent</w:t>
      </w:r>
      <w:r w:rsidR="00940B6F">
        <w:t xml:space="preserve"> </w:t>
      </w:r>
      <w:r w:rsidRPr="00506109">
        <w:t xml:space="preserve">extremist </w:t>
      </w:r>
      <w:proofErr w:type="spellStart"/>
      <w:r w:rsidRPr="00506109">
        <w:t>offenders</w:t>
      </w:r>
      <w:proofErr w:type="spellEnd"/>
      <w:r w:rsidRPr="00506109">
        <w:t xml:space="preserve">: </w:t>
      </w:r>
      <w:proofErr w:type="spellStart"/>
      <w:r w:rsidRPr="00506109">
        <w:t>evaluating</w:t>
      </w:r>
      <w:proofErr w:type="spellEnd"/>
      <w:r w:rsidRPr="00506109">
        <w:t xml:space="preserve"> </w:t>
      </w:r>
      <w:proofErr w:type="spellStart"/>
      <w:r w:rsidRPr="00506109">
        <w:t>the</w:t>
      </w:r>
      <w:proofErr w:type="spellEnd"/>
      <w:r w:rsidRPr="00506109">
        <w:t xml:space="preserve"> Dutch approach’, </w:t>
      </w:r>
      <w:r w:rsidRPr="00506109">
        <w:rPr>
          <w:i/>
          <w:iCs/>
        </w:rPr>
        <w:t>ISGA Report</w:t>
      </w:r>
      <w:r w:rsidR="00940B6F">
        <w:rPr>
          <w:iCs/>
        </w:rPr>
        <w:t>.</w:t>
      </w:r>
    </w:p>
  </w:footnote>
  <w:footnote w:id="4">
    <w:p w14:paraId="5E4E1924" w14:textId="77777777" w:rsidR="00FC2233" w:rsidRDefault="00FC2233">
      <w:pPr>
        <w:pStyle w:val="FootnoteText"/>
      </w:pPr>
      <w:r>
        <w:rPr>
          <w:rStyle w:val="FootnoteReference"/>
        </w:rPr>
        <w:footnoteRef/>
      </w:r>
      <w:r>
        <w:t xml:space="preserve"> See Eijkman &amp; </w:t>
      </w:r>
      <w:proofErr w:type="spellStart"/>
      <w:r>
        <w:t>Roodnat</w:t>
      </w:r>
      <w:proofErr w:type="spellEnd"/>
      <w:r>
        <w:t>, p. 113.</w:t>
      </w:r>
    </w:p>
  </w:footnote>
  <w:footnote w:id="5">
    <w:p w14:paraId="75275F14" w14:textId="77777777" w:rsidR="00310BB5" w:rsidRPr="00310BB5" w:rsidRDefault="00310B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0BB5">
        <w:t> </w:t>
      </w:r>
      <w:r>
        <w:t xml:space="preserve">Amnesty International, </w:t>
      </w:r>
      <w:proofErr w:type="spellStart"/>
      <w:r w:rsidRPr="00310BB5">
        <w:rPr>
          <w:i/>
          <w:iCs/>
        </w:rPr>
        <w:t>Inhuman</w:t>
      </w:r>
      <w:proofErr w:type="spellEnd"/>
      <w:r w:rsidRPr="00310BB5">
        <w:rPr>
          <w:i/>
          <w:iCs/>
        </w:rPr>
        <w:t xml:space="preserve"> </w:t>
      </w:r>
      <w:proofErr w:type="spellStart"/>
      <w:r w:rsidRPr="00310BB5">
        <w:rPr>
          <w:i/>
          <w:iCs/>
        </w:rPr>
        <w:t>and</w:t>
      </w:r>
      <w:proofErr w:type="spellEnd"/>
      <w:r w:rsidRPr="00310BB5">
        <w:rPr>
          <w:i/>
          <w:iCs/>
        </w:rPr>
        <w:t xml:space="preserve"> </w:t>
      </w:r>
      <w:proofErr w:type="spellStart"/>
      <w:r w:rsidRPr="00310BB5">
        <w:rPr>
          <w:i/>
          <w:iCs/>
        </w:rPr>
        <w:t>unnecessary</w:t>
      </w:r>
      <w:proofErr w:type="spellEnd"/>
      <w:r w:rsidRPr="00310BB5">
        <w:rPr>
          <w:i/>
          <w:iCs/>
        </w:rPr>
        <w:t xml:space="preserve">: Human </w:t>
      </w:r>
      <w:proofErr w:type="spellStart"/>
      <w:r w:rsidRPr="00310BB5">
        <w:rPr>
          <w:i/>
          <w:iCs/>
        </w:rPr>
        <w:t>rights</w:t>
      </w:r>
      <w:proofErr w:type="spellEnd"/>
      <w:r w:rsidRPr="00310BB5">
        <w:rPr>
          <w:i/>
          <w:iCs/>
        </w:rPr>
        <w:t xml:space="preserve"> </w:t>
      </w:r>
      <w:proofErr w:type="spellStart"/>
      <w:r w:rsidRPr="00310BB5">
        <w:rPr>
          <w:i/>
          <w:iCs/>
        </w:rPr>
        <w:t>violations</w:t>
      </w:r>
      <w:proofErr w:type="spellEnd"/>
      <w:r w:rsidRPr="00310BB5">
        <w:rPr>
          <w:i/>
          <w:iCs/>
        </w:rPr>
        <w:t xml:space="preserve"> in Dutch high-security prisons in </w:t>
      </w:r>
      <w:proofErr w:type="spellStart"/>
      <w:r w:rsidRPr="00310BB5">
        <w:rPr>
          <w:i/>
          <w:iCs/>
        </w:rPr>
        <w:t>the</w:t>
      </w:r>
      <w:proofErr w:type="spellEnd"/>
      <w:r w:rsidRPr="00310BB5">
        <w:rPr>
          <w:i/>
          <w:iCs/>
        </w:rPr>
        <w:t xml:space="preserve"> context of </w:t>
      </w:r>
      <w:proofErr w:type="spellStart"/>
      <w:r w:rsidRPr="00310BB5">
        <w:rPr>
          <w:i/>
          <w:iCs/>
        </w:rPr>
        <w:t>counterterrorism</w:t>
      </w:r>
      <w:proofErr w:type="spellEnd"/>
      <w:r>
        <w:rPr>
          <w:iCs/>
        </w:rPr>
        <w:t>, 2017</w:t>
      </w:r>
    </w:p>
  </w:footnote>
  <w:footnote w:id="6">
    <w:p w14:paraId="02777CC7" w14:textId="77777777" w:rsidR="00261759" w:rsidRPr="00261759" w:rsidRDefault="002617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Kamerstukken II</w:t>
      </w:r>
      <w:r>
        <w:t>, 2017-2018, 29 754, Nr. 438.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43"/>
    <w:rsid w:val="000555FD"/>
    <w:rsid w:val="0010326B"/>
    <w:rsid w:val="001E1216"/>
    <w:rsid w:val="00261759"/>
    <w:rsid w:val="002C055F"/>
    <w:rsid w:val="00310BB5"/>
    <w:rsid w:val="00397305"/>
    <w:rsid w:val="003A09E3"/>
    <w:rsid w:val="00506109"/>
    <w:rsid w:val="005350FE"/>
    <w:rsid w:val="00654E61"/>
    <w:rsid w:val="007328D4"/>
    <w:rsid w:val="007E2D39"/>
    <w:rsid w:val="007E7239"/>
    <w:rsid w:val="00856DD8"/>
    <w:rsid w:val="00881ECA"/>
    <w:rsid w:val="008D1A51"/>
    <w:rsid w:val="00940B6F"/>
    <w:rsid w:val="00BA5043"/>
    <w:rsid w:val="00CE6F55"/>
    <w:rsid w:val="00DB0582"/>
    <w:rsid w:val="00DB78A0"/>
    <w:rsid w:val="00F9722F"/>
    <w:rsid w:val="00FC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396D"/>
  <w15:docId w15:val="{DEAEC95F-AAFA-5D4D-B2DC-E1750C27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061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1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61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72E4A1-1AFB-46D8-A577-E15F2AC13C7C}"/>
</file>

<file path=customXml/itemProps2.xml><?xml version="1.0" encoding="utf-8"?>
<ds:datastoreItem xmlns:ds="http://schemas.openxmlformats.org/officeDocument/2006/customXml" ds:itemID="{8915AC0B-C0F6-46F8-A471-F7AC74C3CF97}"/>
</file>

<file path=customXml/itemProps3.xml><?xml version="1.0" encoding="utf-8"?>
<ds:datastoreItem xmlns:ds="http://schemas.openxmlformats.org/officeDocument/2006/customXml" ds:itemID="{A6F68D62-3BB6-4D47-B48B-EFFBADD058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College voor de Rechten van de Mens</Company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Roorda, L (Mensenrechten)</dc:creator>
  <cp:lastModifiedBy>Krisztina Huszti-Orban</cp:lastModifiedBy>
  <cp:revision>2</cp:revision>
  <dcterms:created xsi:type="dcterms:W3CDTF">2019-07-22T20:12:00Z</dcterms:created>
  <dcterms:modified xsi:type="dcterms:W3CDTF">2019-07-22T20:12:00Z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