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D8" w:rsidRPr="000912CE" w:rsidRDefault="009F0ED8" w:rsidP="00D84164">
      <w:pPr>
        <w:autoSpaceDE w:val="0"/>
        <w:autoSpaceDN w:val="0"/>
        <w:adjustRightInd w:val="0"/>
        <w:jc w:val="both"/>
        <w:rPr>
          <w:rFonts w:ascii="Bookman Old Style" w:hAnsi="Bookman Old Style" w:cs="Bookman Old Style"/>
          <w:b/>
          <w:bCs/>
          <w:sz w:val="24"/>
          <w:szCs w:val="24"/>
          <w:u w:val="single"/>
        </w:rPr>
      </w:pPr>
      <w:r w:rsidRPr="000912CE">
        <w:rPr>
          <w:rFonts w:ascii="Bookman Old Style" w:hAnsi="Bookman Old Style" w:cs="Bookman Old Style"/>
          <w:b/>
          <w:bCs/>
          <w:sz w:val="24"/>
          <w:szCs w:val="24"/>
          <w:u w:val="single"/>
        </w:rPr>
        <w:t>Submission to the Special Rapporteur</w:t>
      </w:r>
      <w:r w:rsidR="002B29E1" w:rsidRPr="000912CE">
        <w:rPr>
          <w:rFonts w:ascii="Bookman Old Style" w:hAnsi="Bookman Old Style" w:cs="Bookman Old Style"/>
          <w:b/>
          <w:bCs/>
          <w:sz w:val="24"/>
          <w:szCs w:val="24"/>
          <w:u w:val="single"/>
        </w:rPr>
        <w:t xml:space="preserve"> on human rights and hazardous substances</w:t>
      </w:r>
      <w:r w:rsidR="002600C7" w:rsidRPr="000912CE">
        <w:rPr>
          <w:rFonts w:ascii="Bookman Old Style" w:hAnsi="Bookman Old Style" w:cs="Bookman Old Style"/>
          <w:b/>
          <w:bCs/>
          <w:sz w:val="24"/>
          <w:szCs w:val="24"/>
          <w:u w:val="single"/>
        </w:rPr>
        <w:t>- The Right to Access to I</w:t>
      </w:r>
      <w:r w:rsidRPr="000912CE">
        <w:rPr>
          <w:rFonts w:ascii="Bookman Old Style" w:hAnsi="Bookman Old Style" w:cs="Bookman Old Style"/>
          <w:b/>
          <w:bCs/>
          <w:sz w:val="24"/>
          <w:szCs w:val="24"/>
          <w:u w:val="single"/>
        </w:rPr>
        <w:t>nformation in the field of hazardous substances and wastes</w:t>
      </w:r>
    </w:p>
    <w:p w:rsidR="008E003C" w:rsidRPr="004460C9" w:rsidRDefault="008E003C" w:rsidP="00D84164">
      <w:pPr>
        <w:autoSpaceDE w:val="0"/>
        <w:autoSpaceDN w:val="0"/>
        <w:adjustRightInd w:val="0"/>
        <w:jc w:val="both"/>
        <w:rPr>
          <w:rFonts w:ascii="Bookman Old Style" w:hAnsi="Bookman Old Style" w:cs="Bookman Old Style"/>
          <w:bCs/>
          <w:sz w:val="24"/>
          <w:szCs w:val="24"/>
        </w:rPr>
      </w:pPr>
      <w:r w:rsidRPr="004460C9">
        <w:rPr>
          <w:rFonts w:ascii="Bookman Old Style" w:hAnsi="Bookman Old Style" w:cs="Bookman Old Style"/>
          <w:bCs/>
          <w:sz w:val="24"/>
          <w:szCs w:val="24"/>
        </w:rPr>
        <w:t>This submission will aim to answer questions enclosed and offer a critical analysis on the implementa</w:t>
      </w:r>
      <w:r w:rsidR="002600C7">
        <w:rPr>
          <w:rFonts w:ascii="Bookman Old Style" w:hAnsi="Bookman Old Style" w:cs="Bookman Old Style"/>
          <w:bCs/>
          <w:sz w:val="24"/>
          <w:szCs w:val="24"/>
        </w:rPr>
        <w:t xml:space="preserve">tion of access to information in relation to </w:t>
      </w:r>
      <w:r w:rsidRPr="004460C9">
        <w:rPr>
          <w:rFonts w:ascii="Bookman Old Style" w:hAnsi="Bookman Old Style" w:cs="Bookman Old Style"/>
          <w:bCs/>
          <w:sz w:val="24"/>
          <w:szCs w:val="24"/>
        </w:rPr>
        <w:t xml:space="preserve"> hazardous and toxic substances in Uganda. </w:t>
      </w:r>
    </w:p>
    <w:p w:rsidR="002600C7" w:rsidRDefault="002600C7" w:rsidP="00D84164">
      <w:pPr>
        <w:autoSpaceDE w:val="0"/>
        <w:autoSpaceDN w:val="0"/>
        <w:adjustRightInd w:val="0"/>
        <w:jc w:val="both"/>
        <w:rPr>
          <w:rFonts w:ascii="Bookman Old Style" w:hAnsi="Bookman Old Style" w:cs="Bookman Old Style"/>
          <w:b/>
          <w:bCs/>
          <w:sz w:val="24"/>
          <w:szCs w:val="24"/>
        </w:rPr>
      </w:pPr>
    </w:p>
    <w:p w:rsidR="00257715" w:rsidRPr="004460C9" w:rsidRDefault="00257715" w:rsidP="00D84164">
      <w:pPr>
        <w:autoSpaceDE w:val="0"/>
        <w:autoSpaceDN w:val="0"/>
        <w:adjustRightInd w:val="0"/>
        <w:jc w:val="both"/>
        <w:rPr>
          <w:rFonts w:ascii="Bookman Old Style" w:hAnsi="Bookman Old Style" w:cs="Bookman Old Style"/>
          <w:b/>
          <w:bCs/>
          <w:sz w:val="24"/>
          <w:szCs w:val="24"/>
        </w:rPr>
      </w:pPr>
      <w:r w:rsidRPr="004460C9">
        <w:rPr>
          <w:rFonts w:ascii="Bookman Old Style" w:hAnsi="Bookman Old Style" w:cs="Bookman Old Style"/>
          <w:b/>
          <w:bCs/>
          <w:sz w:val="24"/>
          <w:szCs w:val="24"/>
        </w:rPr>
        <w:t>Question 1</w:t>
      </w:r>
      <w:r w:rsidR="002600C7">
        <w:rPr>
          <w:rFonts w:ascii="Bookman Old Style" w:hAnsi="Bookman Old Style" w:cs="Bookman Old Style"/>
          <w:b/>
          <w:bCs/>
          <w:sz w:val="24"/>
          <w:szCs w:val="24"/>
        </w:rPr>
        <w:t xml:space="preserve"> – Obligations of the Government – International, regional and national.</w:t>
      </w:r>
    </w:p>
    <w:p w:rsidR="009F0ED8" w:rsidRPr="002600C7" w:rsidRDefault="009F0ED8" w:rsidP="00D84164">
      <w:pPr>
        <w:autoSpaceDE w:val="0"/>
        <w:autoSpaceDN w:val="0"/>
        <w:adjustRightInd w:val="0"/>
        <w:jc w:val="both"/>
        <w:rPr>
          <w:rFonts w:ascii="Bookman Old Style" w:hAnsi="Bookman Old Style" w:cs="Bookman Old Style"/>
          <w:b/>
          <w:sz w:val="24"/>
          <w:szCs w:val="24"/>
        </w:rPr>
      </w:pPr>
      <w:r w:rsidRPr="002600C7">
        <w:rPr>
          <w:rFonts w:ascii="Bookman Old Style" w:hAnsi="Bookman Old Style" w:cs="Bookman Old Style"/>
          <w:b/>
          <w:sz w:val="24"/>
          <w:szCs w:val="24"/>
        </w:rPr>
        <w:t>International and Regional Legal Instruments</w:t>
      </w:r>
    </w:p>
    <w:p w:rsidR="008D67D0" w:rsidRPr="005A2A9D" w:rsidRDefault="001646CD" w:rsidP="00D84164">
      <w:pPr>
        <w:autoSpaceDE w:val="0"/>
        <w:autoSpaceDN w:val="0"/>
        <w:adjustRightInd w:val="0"/>
        <w:jc w:val="both"/>
        <w:rPr>
          <w:rFonts w:ascii="Bookman Old Style" w:hAnsi="Bookman Old Style" w:cs="Bookman Old Style"/>
          <w:sz w:val="24"/>
          <w:szCs w:val="24"/>
        </w:rPr>
      </w:pPr>
      <w:r w:rsidRPr="005A2A9D">
        <w:rPr>
          <w:rFonts w:ascii="Bookman Old Style" w:hAnsi="Bookman Old Style" w:cs="Bookman Old Style"/>
          <w:sz w:val="24"/>
          <w:szCs w:val="24"/>
        </w:rPr>
        <w:t xml:space="preserve">Uganda has signed all </w:t>
      </w:r>
      <w:r w:rsidR="008B7F4F" w:rsidRPr="005A2A9D">
        <w:rPr>
          <w:rFonts w:ascii="Bookman Old Style" w:hAnsi="Bookman Old Style" w:cs="Bookman Old Style"/>
          <w:sz w:val="24"/>
          <w:szCs w:val="24"/>
        </w:rPr>
        <w:t>nine core</w:t>
      </w:r>
      <w:r w:rsidR="002600C7" w:rsidRPr="005A2A9D">
        <w:rPr>
          <w:rFonts w:ascii="Bookman Old Style" w:hAnsi="Bookman Old Style" w:cs="Bookman Old Style"/>
          <w:sz w:val="24"/>
          <w:szCs w:val="24"/>
        </w:rPr>
        <w:t xml:space="preserve"> i</w:t>
      </w:r>
      <w:r w:rsidR="009F0ED8" w:rsidRPr="005A2A9D">
        <w:rPr>
          <w:rFonts w:ascii="Bookman Old Style" w:hAnsi="Bookman Old Style" w:cs="Bookman Old Style"/>
          <w:sz w:val="24"/>
          <w:szCs w:val="24"/>
        </w:rPr>
        <w:t>nternational</w:t>
      </w:r>
      <w:r w:rsidR="002600C7" w:rsidRPr="005A2A9D">
        <w:rPr>
          <w:rFonts w:ascii="Bookman Old Style" w:hAnsi="Bookman Old Style" w:cs="Bookman Old Style"/>
          <w:sz w:val="24"/>
          <w:szCs w:val="24"/>
        </w:rPr>
        <w:t xml:space="preserve"> human r</w:t>
      </w:r>
      <w:r w:rsidR="00163936" w:rsidRPr="005A2A9D">
        <w:rPr>
          <w:rFonts w:ascii="Bookman Old Style" w:hAnsi="Bookman Old Style" w:cs="Bookman Old Style"/>
          <w:sz w:val="24"/>
          <w:szCs w:val="24"/>
        </w:rPr>
        <w:t>ights treaties</w:t>
      </w:r>
      <w:r w:rsidR="00D84164">
        <w:rPr>
          <w:rFonts w:ascii="Bookman Old Style" w:hAnsi="Bookman Old Style" w:cs="Bookman Old Style"/>
          <w:sz w:val="24"/>
          <w:szCs w:val="24"/>
        </w:rPr>
        <w:t xml:space="preserve"> and has </w:t>
      </w:r>
      <w:r w:rsidR="002600C7" w:rsidRPr="005A2A9D">
        <w:rPr>
          <w:rFonts w:ascii="Bookman Old Style" w:hAnsi="Bookman Old Style" w:cs="Bookman Old Style"/>
          <w:sz w:val="24"/>
          <w:szCs w:val="24"/>
        </w:rPr>
        <w:t>ratified eight of theses treaties</w:t>
      </w:r>
      <w:r w:rsidR="002600C7" w:rsidRPr="005A2A9D">
        <w:rPr>
          <w:rStyle w:val="FootnoteReference"/>
          <w:rFonts w:ascii="Bookman Old Style" w:hAnsi="Bookman Old Style" w:cs="Bookman Old Style"/>
          <w:sz w:val="24"/>
          <w:szCs w:val="24"/>
        </w:rPr>
        <w:footnoteReference w:id="2"/>
      </w:r>
      <w:r w:rsidR="002600C7" w:rsidRPr="005A2A9D">
        <w:rPr>
          <w:rFonts w:ascii="Bookman Old Style" w:hAnsi="Bookman Old Style" w:cs="Bookman Old Style"/>
          <w:sz w:val="24"/>
          <w:szCs w:val="24"/>
        </w:rPr>
        <w:t xml:space="preserve">. </w:t>
      </w:r>
      <w:r w:rsidR="005A2A9D" w:rsidRPr="005A2A9D">
        <w:rPr>
          <w:rFonts w:ascii="Bookman Old Style" w:hAnsi="Bookman Old Style" w:cs="Bookman Old Style"/>
          <w:sz w:val="24"/>
          <w:szCs w:val="24"/>
        </w:rPr>
        <w:t xml:space="preserve"> Uganda </w:t>
      </w:r>
      <w:r w:rsidR="002600C7" w:rsidRPr="005A2A9D">
        <w:rPr>
          <w:rFonts w:ascii="Bookman Old Style" w:hAnsi="Bookman Old Style" w:cs="Bookman Old Style"/>
          <w:sz w:val="24"/>
          <w:szCs w:val="24"/>
        </w:rPr>
        <w:t>thus has an obligation under international l</w:t>
      </w:r>
      <w:r w:rsidR="00347769" w:rsidRPr="005A2A9D">
        <w:rPr>
          <w:rFonts w:ascii="Bookman Old Style" w:hAnsi="Bookman Old Style" w:cs="Bookman Old Style"/>
          <w:sz w:val="24"/>
          <w:szCs w:val="24"/>
        </w:rPr>
        <w:t>aw to respec</w:t>
      </w:r>
      <w:r w:rsidR="002600C7" w:rsidRPr="005A2A9D">
        <w:rPr>
          <w:rFonts w:ascii="Bookman Old Style" w:hAnsi="Bookman Old Style" w:cs="Bookman Old Style"/>
          <w:sz w:val="24"/>
          <w:szCs w:val="24"/>
        </w:rPr>
        <w:t>t, protect and provide for the rights contained within the treaties that</w:t>
      </w:r>
      <w:r w:rsidR="005A2A9D" w:rsidRPr="005A2A9D">
        <w:rPr>
          <w:rFonts w:ascii="Bookman Old Style" w:hAnsi="Bookman Old Style" w:cs="Bookman Old Style"/>
          <w:sz w:val="24"/>
          <w:szCs w:val="24"/>
        </w:rPr>
        <w:t xml:space="preserve"> provide for the access to information</w:t>
      </w:r>
      <w:r w:rsidR="00347769" w:rsidRPr="005A2A9D">
        <w:rPr>
          <w:rFonts w:ascii="Bookman Old Style" w:hAnsi="Bookman Old Style" w:cs="Bookman Old Style"/>
          <w:sz w:val="24"/>
          <w:szCs w:val="24"/>
        </w:rPr>
        <w:t>.</w:t>
      </w:r>
      <w:r w:rsidR="005A2A9D" w:rsidRPr="005A2A9D">
        <w:rPr>
          <w:rFonts w:ascii="Bookman Old Style" w:hAnsi="Bookman Old Style" w:cs="Bookman Old Style"/>
          <w:sz w:val="24"/>
          <w:szCs w:val="24"/>
        </w:rPr>
        <w:t xml:space="preserve"> In addition to this</w:t>
      </w:r>
      <w:r w:rsidR="00353411" w:rsidRPr="005A2A9D">
        <w:rPr>
          <w:rFonts w:ascii="Bookman Old Style" w:hAnsi="Bookman Old Style" w:cs="Bookman Old Style"/>
          <w:sz w:val="24"/>
          <w:szCs w:val="24"/>
        </w:rPr>
        <w:t>, Uganda</w:t>
      </w:r>
      <w:r w:rsidR="00347769" w:rsidRPr="005A2A9D">
        <w:rPr>
          <w:rFonts w:ascii="Bookman Old Style" w:hAnsi="Bookman Old Style" w:cs="Bookman Old Style"/>
          <w:sz w:val="24"/>
          <w:szCs w:val="24"/>
        </w:rPr>
        <w:t xml:space="preserve"> is </w:t>
      </w:r>
      <w:r w:rsidR="007D0523" w:rsidRPr="005A2A9D">
        <w:rPr>
          <w:rFonts w:ascii="Bookman Old Style" w:hAnsi="Bookman Old Style" w:cs="Bookman Old Style"/>
          <w:sz w:val="24"/>
          <w:szCs w:val="24"/>
        </w:rPr>
        <w:t>p</w:t>
      </w:r>
      <w:r w:rsidR="00347769" w:rsidRPr="005A2A9D">
        <w:rPr>
          <w:rFonts w:ascii="Bookman Old Style" w:hAnsi="Bookman Old Style" w:cs="Bookman Old Style"/>
          <w:sz w:val="24"/>
          <w:szCs w:val="24"/>
        </w:rPr>
        <w:t xml:space="preserve">arty </w:t>
      </w:r>
      <w:r w:rsidR="00163936" w:rsidRPr="005A2A9D">
        <w:rPr>
          <w:rFonts w:ascii="Bookman Old Style" w:hAnsi="Bookman Old Style" w:cs="Bookman Old Style"/>
          <w:sz w:val="24"/>
          <w:szCs w:val="24"/>
        </w:rPr>
        <w:t xml:space="preserve">to </w:t>
      </w:r>
      <w:r w:rsidR="00AF641B" w:rsidRPr="005A2A9D">
        <w:rPr>
          <w:rFonts w:ascii="Bookman Old Style" w:hAnsi="Bookman Old Style" w:cs="Bookman Old Style"/>
          <w:sz w:val="24"/>
          <w:szCs w:val="24"/>
        </w:rPr>
        <w:t>the</w:t>
      </w:r>
      <w:r w:rsidR="00AF641B" w:rsidRPr="005A2A9D">
        <w:rPr>
          <w:rFonts w:ascii="Bookman Old Style" w:hAnsi="Bookman Old Style"/>
          <w:sz w:val="24"/>
          <w:szCs w:val="24"/>
        </w:rPr>
        <w:t xml:space="preserve"> UNEP</w:t>
      </w:r>
      <w:r w:rsidR="005A2A9D" w:rsidRPr="005A2A9D">
        <w:rPr>
          <w:rFonts w:ascii="Bookman Old Style" w:hAnsi="Bookman Old Style"/>
          <w:sz w:val="24"/>
          <w:szCs w:val="24"/>
        </w:rPr>
        <w:t xml:space="preserve"> </w:t>
      </w:r>
      <w:r w:rsidR="00960F2B" w:rsidRPr="005A2A9D">
        <w:rPr>
          <w:rFonts w:ascii="Bookman Old Style" w:hAnsi="Bookman Old Style" w:cs="Bookman Old Style"/>
          <w:sz w:val="24"/>
          <w:szCs w:val="24"/>
        </w:rPr>
        <w:t>Basel Convention on the Control of Trans</w:t>
      </w:r>
      <w:r w:rsidR="00AF641B">
        <w:rPr>
          <w:rFonts w:ascii="Bookman Old Style" w:hAnsi="Bookman Old Style" w:cs="Bookman Old Style"/>
          <w:sz w:val="24"/>
          <w:szCs w:val="24"/>
        </w:rPr>
        <w:t xml:space="preserve"> </w:t>
      </w:r>
      <w:r w:rsidR="00960F2B" w:rsidRPr="005A2A9D">
        <w:rPr>
          <w:rFonts w:ascii="Bookman Old Style" w:hAnsi="Bookman Old Style" w:cs="Bookman Old Style"/>
          <w:sz w:val="24"/>
          <w:szCs w:val="24"/>
        </w:rPr>
        <w:t>boundary Movements of Hazardous Wastes and their Disposal</w:t>
      </w:r>
      <w:r w:rsidR="00AF641B">
        <w:rPr>
          <w:rStyle w:val="FootnoteReference"/>
          <w:rFonts w:ascii="Bookman Old Style" w:hAnsi="Bookman Old Style" w:cs="Bookman Old Style"/>
          <w:sz w:val="24"/>
          <w:szCs w:val="24"/>
        </w:rPr>
        <w:footnoteReference w:id="3"/>
      </w:r>
      <w:r w:rsidR="005A2A9D" w:rsidRPr="005A2A9D">
        <w:rPr>
          <w:rFonts w:ascii="Bookman Old Style" w:hAnsi="Bookman Old Style" w:cs="Bookman Old Style"/>
          <w:sz w:val="24"/>
          <w:szCs w:val="24"/>
        </w:rPr>
        <w:t xml:space="preserve">, </w:t>
      </w:r>
      <w:r w:rsidR="0065175D" w:rsidRPr="005A2A9D">
        <w:rPr>
          <w:rFonts w:ascii="Bookman Old Style" w:hAnsi="Bookman Old Style" w:cs="Bookman Old Style"/>
          <w:sz w:val="24"/>
          <w:szCs w:val="24"/>
        </w:rPr>
        <w:t xml:space="preserve">the </w:t>
      </w:r>
      <w:r w:rsidR="00AF641B">
        <w:rPr>
          <w:rFonts w:ascii="Bookman Old Style" w:hAnsi="Bookman Old Style" w:cs="Bookman Old Style"/>
          <w:sz w:val="24"/>
          <w:szCs w:val="24"/>
        </w:rPr>
        <w:t xml:space="preserve">UNEP </w:t>
      </w:r>
      <w:r w:rsidR="0065175D" w:rsidRPr="005A2A9D">
        <w:rPr>
          <w:rFonts w:ascii="Bookman Old Style" w:hAnsi="Bookman Old Style" w:cs="Bookman Old Style"/>
          <w:sz w:val="24"/>
          <w:szCs w:val="24"/>
        </w:rPr>
        <w:t>Rotterdam Convention</w:t>
      </w:r>
      <w:r w:rsidR="00365BDE" w:rsidRPr="005A2A9D">
        <w:rPr>
          <w:rFonts w:ascii="Bookman Old Style" w:hAnsi="Bookman Old Style" w:cs="Bookman Old Style"/>
          <w:sz w:val="24"/>
          <w:szCs w:val="24"/>
        </w:rPr>
        <w:t xml:space="preserve"> </w:t>
      </w:r>
      <w:r w:rsidR="00AF641B">
        <w:rPr>
          <w:rFonts w:ascii="Bookman Old Style" w:hAnsi="Bookman Old Style" w:cs="Bookman Old Style"/>
          <w:sz w:val="24"/>
          <w:szCs w:val="24"/>
        </w:rPr>
        <w:t>September 1998</w:t>
      </w:r>
      <w:r w:rsidR="00E64C6E">
        <w:rPr>
          <w:rStyle w:val="FootnoteReference"/>
          <w:rFonts w:ascii="Bookman Old Style" w:hAnsi="Bookman Old Style" w:cs="Bookman Old Style"/>
          <w:sz w:val="24"/>
          <w:szCs w:val="24"/>
        </w:rPr>
        <w:footnoteReference w:id="4"/>
      </w:r>
      <w:r w:rsidR="00AF641B">
        <w:rPr>
          <w:rFonts w:ascii="Bookman Old Style" w:hAnsi="Bookman Old Style" w:cs="Bookman Old Style"/>
          <w:sz w:val="24"/>
          <w:szCs w:val="24"/>
        </w:rPr>
        <w:t xml:space="preserve"> </w:t>
      </w:r>
      <w:r w:rsidR="005F594C">
        <w:rPr>
          <w:rFonts w:ascii="Bookman Old Style" w:hAnsi="Bookman Old Style" w:cs="Bookman Old Style"/>
          <w:sz w:val="24"/>
          <w:szCs w:val="24"/>
        </w:rPr>
        <w:t xml:space="preserve">, </w:t>
      </w:r>
      <w:r w:rsidR="008D67D0" w:rsidRPr="005A2A9D">
        <w:rPr>
          <w:rFonts w:ascii="Bookman Old Style" w:hAnsi="Bookman Old Style" w:cs="Bookman Old Style"/>
          <w:sz w:val="24"/>
          <w:szCs w:val="24"/>
        </w:rPr>
        <w:t>the</w:t>
      </w:r>
      <w:r w:rsidR="008D67D0" w:rsidRPr="005A2A9D">
        <w:rPr>
          <w:rFonts w:ascii="Bookman Old Style" w:eastAsia="Times New Roman" w:hAnsi="Bookman Old Style" w:cs="Times New Roman"/>
          <w:b/>
          <w:bCs/>
          <w:color w:val="000000"/>
          <w:kern w:val="36"/>
          <w:sz w:val="24"/>
          <w:szCs w:val="24"/>
        </w:rPr>
        <w:t xml:space="preserve"> </w:t>
      </w:r>
      <w:r w:rsidR="008D67D0" w:rsidRPr="005A2A9D">
        <w:rPr>
          <w:rFonts w:ascii="Bookman Old Style" w:hAnsi="Bookman Old Style" w:cs="Bookman Old Style"/>
          <w:sz w:val="24"/>
          <w:szCs w:val="24"/>
        </w:rPr>
        <w:t>Stockholm Convention on Persistent Organic Pollutants</w:t>
      </w:r>
      <w:r w:rsidR="005F594C">
        <w:rPr>
          <w:rFonts w:ascii="Bookman Old Style" w:hAnsi="Bookman Old Style" w:cs="Bookman Old Style"/>
          <w:sz w:val="24"/>
          <w:szCs w:val="24"/>
        </w:rPr>
        <w:t xml:space="preserve"> and the Rio Declaration of Environment and Development 1992</w:t>
      </w:r>
      <w:r w:rsidR="005F594C">
        <w:rPr>
          <w:rStyle w:val="FootnoteReference"/>
          <w:rFonts w:ascii="Bookman Old Style" w:hAnsi="Bookman Old Style" w:cs="Bookman Old Style"/>
          <w:sz w:val="24"/>
          <w:szCs w:val="24"/>
        </w:rPr>
        <w:footnoteReference w:id="5"/>
      </w:r>
      <w:r w:rsidR="005F594C">
        <w:rPr>
          <w:rFonts w:ascii="Bookman Old Style" w:hAnsi="Bookman Old Style" w:cs="Bookman Old Style"/>
          <w:sz w:val="24"/>
          <w:szCs w:val="24"/>
        </w:rPr>
        <w:t xml:space="preserve"> </w:t>
      </w:r>
      <w:r w:rsidR="008D67D0" w:rsidRPr="005A2A9D">
        <w:rPr>
          <w:rFonts w:ascii="Bookman Old Style" w:hAnsi="Bookman Old Style" w:cs="Bookman Old Style"/>
          <w:sz w:val="24"/>
          <w:szCs w:val="24"/>
        </w:rPr>
        <w:t>.</w:t>
      </w:r>
      <w:r w:rsidR="00372D06" w:rsidRPr="005A2A9D">
        <w:rPr>
          <w:rFonts w:ascii="Bookman Old Style" w:hAnsi="Bookman Old Style" w:cs="Bookman Old Style"/>
          <w:sz w:val="24"/>
          <w:szCs w:val="24"/>
        </w:rPr>
        <w:t xml:space="preserve"> Although it is yet to be ratified, Uganda </w:t>
      </w:r>
      <w:r w:rsidR="00536284" w:rsidRPr="005A2A9D">
        <w:rPr>
          <w:rFonts w:ascii="Bookman Old Style" w:hAnsi="Bookman Old Style" w:cs="Bookman Old Style"/>
          <w:sz w:val="24"/>
          <w:szCs w:val="24"/>
        </w:rPr>
        <w:t xml:space="preserve">became </w:t>
      </w:r>
      <w:r w:rsidR="005F594C">
        <w:rPr>
          <w:rFonts w:ascii="Bookman Old Style" w:hAnsi="Bookman Old Style" w:cs="Bookman Old Style"/>
          <w:sz w:val="24"/>
          <w:szCs w:val="24"/>
        </w:rPr>
        <w:t xml:space="preserve">a </w:t>
      </w:r>
      <w:r w:rsidR="00536284" w:rsidRPr="005A2A9D">
        <w:rPr>
          <w:rFonts w:ascii="Bookman Old Style" w:hAnsi="Bookman Old Style" w:cs="Bookman Old Style"/>
          <w:sz w:val="24"/>
          <w:szCs w:val="24"/>
        </w:rPr>
        <w:t>signatory to the Minamata Conventi</w:t>
      </w:r>
      <w:r w:rsidR="00372D06" w:rsidRPr="005A2A9D">
        <w:rPr>
          <w:rFonts w:ascii="Bookman Old Style" w:hAnsi="Bookman Old Style" w:cs="Bookman Old Style"/>
          <w:sz w:val="24"/>
          <w:szCs w:val="24"/>
        </w:rPr>
        <w:t xml:space="preserve">on on Mercury in October 2013. </w:t>
      </w:r>
    </w:p>
    <w:p w:rsidR="00341646" w:rsidRDefault="00365BDE" w:rsidP="00D84164">
      <w:pPr>
        <w:autoSpaceDE w:val="0"/>
        <w:autoSpaceDN w:val="0"/>
        <w:adjustRightInd w:val="0"/>
        <w:jc w:val="both"/>
        <w:rPr>
          <w:rFonts w:ascii="Bookman Old Style" w:hAnsi="Bookman Old Style" w:cs="Bookman Old Style"/>
          <w:sz w:val="24"/>
          <w:szCs w:val="24"/>
        </w:rPr>
      </w:pPr>
      <w:r w:rsidRPr="005A2A9D">
        <w:rPr>
          <w:rFonts w:ascii="Bookman Old Style" w:hAnsi="Bookman Old Style" w:cs="Bookman Old Style"/>
          <w:sz w:val="24"/>
          <w:szCs w:val="24"/>
        </w:rPr>
        <w:t xml:space="preserve">On the </w:t>
      </w:r>
      <w:r w:rsidR="005F594C">
        <w:rPr>
          <w:rFonts w:ascii="Bookman Old Style" w:hAnsi="Bookman Old Style" w:cs="Bookman Old Style"/>
          <w:sz w:val="24"/>
          <w:szCs w:val="24"/>
        </w:rPr>
        <w:t>r</w:t>
      </w:r>
      <w:r w:rsidR="009F0ED8" w:rsidRPr="005A2A9D">
        <w:rPr>
          <w:rFonts w:ascii="Bookman Old Style" w:hAnsi="Bookman Old Style" w:cs="Bookman Old Style"/>
          <w:sz w:val="24"/>
          <w:szCs w:val="24"/>
        </w:rPr>
        <w:t>egional</w:t>
      </w:r>
      <w:r w:rsidRPr="005A2A9D">
        <w:rPr>
          <w:rFonts w:ascii="Bookman Old Style" w:hAnsi="Bookman Old Style" w:cs="Bookman Old Style"/>
          <w:sz w:val="24"/>
          <w:szCs w:val="24"/>
        </w:rPr>
        <w:t xml:space="preserve"> level</w:t>
      </w:r>
      <w:r w:rsidR="005F594C">
        <w:rPr>
          <w:rFonts w:ascii="Bookman Old Style" w:hAnsi="Bookman Old Style" w:cs="Bookman Old Style"/>
          <w:sz w:val="24"/>
          <w:szCs w:val="24"/>
        </w:rPr>
        <w:t xml:space="preserve">, </w:t>
      </w:r>
      <w:r w:rsidRPr="005A2A9D">
        <w:rPr>
          <w:rFonts w:ascii="Bookman Old Style" w:hAnsi="Bookman Old Style" w:cs="Bookman Old Style"/>
          <w:sz w:val="24"/>
          <w:szCs w:val="24"/>
        </w:rPr>
        <w:t>Ugan</w:t>
      </w:r>
      <w:r w:rsidR="006A1040" w:rsidRPr="005A2A9D">
        <w:rPr>
          <w:rFonts w:ascii="Bookman Old Style" w:hAnsi="Bookman Old Style" w:cs="Bookman Old Style"/>
          <w:sz w:val="24"/>
          <w:szCs w:val="24"/>
        </w:rPr>
        <w:t xml:space="preserve">da is </w:t>
      </w:r>
      <w:r w:rsidR="005F594C">
        <w:rPr>
          <w:rFonts w:ascii="Bookman Old Style" w:hAnsi="Bookman Old Style" w:cs="Bookman Old Style"/>
          <w:sz w:val="24"/>
          <w:szCs w:val="24"/>
        </w:rPr>
        <w:t xml:space="preserve">a </w:t>
      </w:r>
      <w:r w:rsidR="006A1040" w:rsidRPr="005A2A9D">
        <w:rPr>
          <w:rFonts w:ascii="Bookman Old Style" w:hAnsi="Bookman Old Style" w:cs="Bookman Old Style"/>
          <w:sz w:val="24"/>
          <w:szCs w:val="24"/>
        </w:rPr>
        <w:t>party to the</w:t>
      </w:r>
      <w:r w:rsidRPr="005A2A9D">
        <w:rPr>
          <w:rFonts w:ascii="Bookman Old Style" w:hAnsi="Bookman Old Style" w:cs="Bookman Old Style"/>
          <w:sz w:val="24"/>
          <w:szCs w:val="24"/>
        </w:rPr>
        <w:t xml:space="preserve"> African Chart</w:t>
      </w:r>
      <w:r w:rsidR="005746BB" w:rsidRPr="005A2A9D">
        <w:rPr>
          <w:rFonts w:ascii="Bookman Old Style" w:hAnsi="Bookman Old Style" w:cs="Bookman Old Style"/>
          <w:sz w:val="24"/>
          <w:szCs w:val="24"/>
        </w:rPr>
        <w:t>er on Human and Peoples’ Rights, Declara</w:t>
      </w:r>
      <w:r w:rsidR="005F594C">
        <w:rPr>
          <w:rFonts w:ascii="Bookman Old Style" w:hAnsi="Bookman Old Style" w:cs="Bookman Old Style"/>
          <w:sz w:val="24"/>
          <w:szCs w:val="24"/>
        </w:rPr>
        <w:t>tion of Principles on Freedom of</w:t>
      </w:r>
      <w:r w:rsidR="005746BB" w:rsidRPr="005A2A9D">
        <w:rPr>
          <w:rFonts w:ascii="Bookman Old Style" w:hAnsi="Bookman Old Style" w:cs="Bookman Old Style"/>
          <w:sz w:val="24"/>
          <w:szCs w:val="24"/>
        </w:rPr>
        <w:t xml:space="preserve"> Expression</w:t>
      </w:r>
      <w:r w:rsidR="00215DFC">
        <w:rPr>
          <w:rFonts w:ascii="Bookman Old Style" w:hAnsi="Bookman Old Style" w:cs="Bookman Old Style"/>
          <w:sz w:val="24"/>
          <w:szCs w:val="24"/>
        </w:rPr>
        <w:t xml:space="preserve"> i</w:t>
      </w:r>
      <w:r w:rsidR="005F594C">
        <w:rPr>
          <w:rFonts w:ascii="Bookman Old Style" w:hAnsi="Bookman Old Style" w:cs="Bookman Old Style"/>
          <w:sz w:val="24"/>
          <w:szCs w:val="24"/>
        </w:rPr>
        <w:t>n Africa</w:t>
      </w:r>
      <w:r w:rsidR="005F594C">
        <w:rPr>
          <w:rStyle w:val="FootnoteReference"/>
          <w:rFonts w:ascii="Bookman Old Style" w:hAnsi="Bookman Old Style" w:cs="Bookman Old Style"/>
          <w:sz w:val="24"/>
          <w:szCs w:val="24"/>
        </w:rPr>
        <w:footnoteReference w:id="6"/>
      </w:r>
      <w:r w:rsidR="005746BB" w:rsidRPr="005A2A9D">
        <w:rPr>
          <w:rFonts w:ascii="Bookman Old Style" w:hAnsi="Bookman Old Style" w:cs="Bookman Old Style"/>
          <w:sz w:val="24"/>
          <w:szCs w:val="24"/>
        </w:rPr>
        <w:t xml:space="preserve">, African Union Convention on Preventing and Combating Corruption </w:t>
      </w:r>
      <w:r w:rsidRPr="005A2A9D">
        <w:rPr>
          <w:rFonts w:ascii="Bookman Old Style" w:hAnsi="Bookman Old Style" w:cs="Bookman Old Style"/>
          <w:sz w:val="24"/>
          <w:szCs w:val="24"/>
        </w:rPr>
        <w:t xml:space="preserve">and Model </w:t>
      </w:r>
      <w:r w:rsidR="00E25285" w:rsidRPr="005A2A9D">
        <w:rPr>
          <w:rFonts w:ascii="Bookman Old Style" w:hAnsi="Bookman Old Style" w:cs="Bookman Old Style"/>
          <w:sz w:val="24"/>
          <w:szCs w:val="24"/>
        </w:rPr>
        <w:t>Law on Access to Information for Africa in 2013.</w:t>
      </w:r>
      <w:r w:rsidRPr="005A2A9D">
        <w:rPr>
          <w:rFonts w:ascii="Bookman Old Style" w:hAnsi="Bookman Old Style" w:cs="Bookman Old Style"/>
          <w:sz w:val="24"/>
          <w:szCs w:val="24"/>
        </w:rPr>
        <w:t xml:space="preserve"> </w:t>
      </w:r>
    </w:p>
    <w:p w:rsidR="009F0ED8" w:rsidRPr="005F594C" w:rsidRDefault="009F0ED8" w:rsidP="00D84164">
      <w:pPr>
        <w:autoSpaceDE w:val="0"/>
        <w:autoSpaceDN w:val="0"/>
        <w:adjustRightInd w:val="0"/>
        <w:jc w:val="both"/>
        <w:rPr>
          <w:rFonts w:ascii="Bookman Old Style" w:hAnsi="Bookman Old Style" w:cs="Bookman Old Style"/>
          <w:b/>
          <w:sz w:val="24"/>
          <w:szCs w:val="24"/>
        </w:rPr>
      </w:pPr>
      <w:r w:rsidRPr="005F594C">
        <w:rPr>
          <w:rFonts w:ascii="Bookman Old Style" w:hAnsi="Bookman Old Style" w:cs="Bookman Old Style"/>
          <w:b/>
          <w:sz w:val="24"/>
          <w:szCs w:val="24"/>
        </w:rPr>
        <w:t xml:space="preserve">National Legal Instruments </w:t>
      </w:r>
    </w:p>
    <w:p w:rsidR="00FA7F68" w:rsidRPr="005A2A9D" w:rsidRDefault="00220060" w:rsidP="00D84164">
      <w:pPr>
        <w:autoSpaceDE w:val="0"/>
        <w:autoSpaceDN w:val="0"/>
        <w:adjustRightInd w:val="0"/>
        <w:jc w:val="both"/>
        <w:rPr>
          <w:rFonts w:ascii="Bookman Old Style" w:hAnsi="Bookman Old Style" w:cs="Bookman Old Style"/>
          <w:b/>
          <w:sz w:val="24"/>
          <w:szCs w:val="24"/>
        </w:rPr>
      </w:pPr>
      <w:r w:rsidRPr="005A2A9D">
        <w:rPr>
          <w:rFonts w:ascii="Bookman Old Style" w:hAnsi="Bookman Old Style" w:cs="Bookman Old Style"/>
          <w:sz w:val="24"/>
          <w:szCs w:val="24"/>
        </w:rPr>
        <w:t>Article 41 (1) of t</w:t>
      </w:r>
      <w:r w:rsidR="009F0ED8" w:rsidRPr="005A2A9D">
        <w:rPr>
          <w:rFonts w:ascii="Bookman Old Style" w:hAnsi="Bookman Old Style" w:cs="Bookman Old Style"/>
          <w:sz w:val="24"/>
          <w:szCs w:val="24"/>
        </w:rPr>
        <w:t>he Cons</w:t>
      </w:r>
      <w:r w:rsidRPr="005A2A9D">
        <w:rPr>
          <w:rFonts w:ascii="Bookman Old Style" w:hAnsi="Bookman Old Style" w:cs="Bookman Old Style"/>
          <w:sz w:val="24"/>
          <w:szCs w:val="24"/>
        </w:rPr>
        <w:t xml:space="preserve">titution of the Republic of </w:t>
      </w:r>
      <w:r w:rsidR="009F0ED8" w:rsidRPr="005A2A9D">
        <w:rPr>
          <w:rFonts w:ascii="Bookman Old Style" w:hAnsi="Bookman Old Style" w:cs="Bookman Old Style"/>
          <w:sz w:val="24"/>
          <w:szCs w:val="24"/>
        </w:rPr>
        <w:t>Uganda</w:t>
      </w:r>
      <w:r w:rsidRPr="005A2A9D">
        <w:rPr>
          <w:rFonts w:ascii="Bookman Old Style" w:hAnsi="Bookman Old Style" w:cs="Bookman Old Style"/>
          <w:sz w:val="24"/>
          <w:szCs w:val="24"/>
        </w:rPr>
        <w:t xml:space="preserve"> guarantees the right of access to information of every citizen</w:t>
      </w:r>
      <w:r w:rsidR="00FA7F68" w:rsidRPr="005A2A9D">
        <w:rPr>
          <w:rFonts w:ascii="Bookman Old Style" w:hAnsi="Bookman Old Style" w:cs="Bookman Old Style"/>
          <w:sz w:val="24"/>
          <w:szCs w:val="24"/>
        </w:rPr>
        <w:t xml:space="preserve"> </w:t>
      </w:r>
      <w:r w:rsidR="005A4613" w:rsidRPr="005A2A9D">
        <w:rPr>
          <w:rFonts w:ascii="Bookman Old Style" w:hAnsi="Bookman Old Style" w:cs="Bookman Old Style"/>
          <w:sz w:val="24"/>
          <w:szCs w:val="24"/>
        </w:rPr>
        <w:t xml:space="preserve">to records of Government </w:t>
      </w:r>
      <w:r w:rsidR="002B29E1" w:rsidRPr="005A2A9D">
        <w:rPr>
          <w:rFonts w:ascii="Bookman Old Style" w:hAnsi="Bookman Old Style" w:cs="Bookman Old Style"/>
          <w:sz w:val="24"/>
          <w:szCs w:val="24"/>
        </w:rPr>
        <w:t>Ministries</w:t>
      </w:r>
      <w:r w:rsidR="005A4613" w:rsidRPr="005A2A9D">
        <w:rPr>
          <w:rFonts w:ascii="Bookman Old Style" w:hAnsi="Bookman Old Style" w:cs="Bookman Old Style"/>
          <w:sz w:val="24"/>
          <w:szCs w:val="24"/>
        </w:rPr>
        <w:t xml:space="preserve"> and organs so as to promote transparency and accountability. </w:t>
      </w:r>
      <w:r w:rsidRPr="005A2A9D">
        <w:rPr>
          <w:rFonts w:ascii="Bookman Old Style" w:hAnsi="Bookman Old Style" w:cs="Bookman Old Style"/>
          <w:sz w:val="24"/>
          <w:szCs w:val="24"/>
        </w:rPr>
        <w:t>Article 41 (2)</w:t>
      </w:r>
      <w:r w:rsidR="00FA7F68" w:rsidRPr="005A2A9D">
        <w:rPr>
          <w:rFonts w:ascii="Bookman Old Style" w:hAnsi="Bookman Old Style" w:cs="Bookman Old Style"/>
          <w:sz w:val="24"/>
          <w:szCs w:val="24"/>
        </w:rPr>
        <w:t xml:space="preserve"> </w:t>
      </w:r>
      <w:r w:rsidR="00FA7F68" w:rsidRPr="005A2A9D">
        <w:rPr>
          <w:rFonts w:ascii="Bookman Old Style" w:hAnsi="Bookman Old Style" w:cs="Bookman Old Style"/>
          <w:sz w:val="24"/>
          <w:szCs w:val="24"/>
        </w:rPr>
        <w:lastRenderedPageBreak/>
        <w:t>also</w:t>
      </w:r>
      <w:r w:rsidRPr="005A2A9D">
        <w:rPr>
          <w:rFonts w:ascii="Bookman Old Style" w:hAnsi="Bookman Old Style" w:cs="Bookman Old Style"/>
          <w:sz w:val="24"/>
          <w:szCs w:val="24"/>
        </w:rPr>
        <w:t xml:space="preserve"> urges Parliament to make laws prescribing classes of information where access is restricted</w:t>
      </w:r>
      <w:r w:rsidR="00FA7F68" w:rsidRPr="005A2A9D">
        <w:rPr>
          <w:rFonts w:ascii="Bookman Old Style" w:hAnsi="Bookman Old Style" w:cs="Bookman Old Style"/>
          <w:sz w:val="24"/>
          <w:szCs w:val="24"/>
        </w:rPr>
        <w:t>.</w:t>
      </w:r>
      <w:r w:rsidR="006A1040" w:rsidRPr="005A2A9D">
        <w:rPr>
          <w:rFonts w:ascii="Bookman Old Style" w:hAnsi="Bookman Old Style" w:cs="Bookman Old Style"/>
          <w:sz w:val="24"/>
          <w:szCs w:val="24"/>
        </w:rPr>
        <w:t xml:space="preserve"> </w:t>
      </w:r>
    </w:p>
    <w:p w:rsidR="008B7F4F" w:rsidRPr="005A2A9D" w:rsidRDefault="00E25285" w:rsidP="00D84164">
      <w:pPr>
        <w:autoSpaceDE w:val="0"/>
        <w:autoSpaceDN w:val="0"/>
        <w:adjustRightInd w:val="0"/>
        <w:jc w:val="both"/>
        <w:rPr>
          <w:rFonts w:ascii="Bookman Old Style" w:hAnsi="Bookman Old Style" w:cs="Bookman Old Style"/>
          <w:sz w:val="24"/>
          <w:szCs w:val="24"/>
        </w:rPr>
      </w:pPr>
      <w:r w:rsidRPr="005A2A9D">
        <w:rPr>
          <w:rFonts w:ascii="Bookman Old Style" w:hAnsi="Bookman Old Style" w:cs="Bookman Old Style"/>
          <w:sz w:val="24"/>
          <w:szCs w:val="24"/>
        </w:rPr>
        <w:t xml:space="preserve">Uganda remains one of the </w:t>
      </w:r>
      <w:r w:rsidR="0088306D">
        <w:rPr>
          <w:rFonts w:ascii="Bookman Old Style" w:hAnsi="Bookman Old Style" w:cs="Bookman Old Style"/>
          <w:sz w:val="24"/>
          <w:szCs w:val="24"/>
        </w:rPr>
        <w:t xml:space="preserve">only </w:t>
      </w:r>
      <w:r w:rsidR="007D0523" w:rsidRPr="005A2A9D">
        <w:rPr>
          <w:rFonts w:ascii="Bookman Old Style" w:hAnsi="Bookman Old Style" w:cs="Bookman Old Style"/>
          <w:sz w:val="24"/>
          <w:szCs w:val="24"/>
        </w:rPr>
        <w:t xml:space="preserve">five countries in Africa with a comprehensive </w:t>
      </w:r>
      <w:r w:rsidR="00215DFC">
        <w:rPr>
          <w:rFonts w:ascii="Bookman Old Style" w:hAnsi="Bookman Old Style" w:cs="Bookman Old Style"/>
          <w:sz w:val="24"/>
          <w:szCs w:val="24"/>
        </w:rPr>
        <w:t>a</w:t>
      </w:r>
      <w:r w:rsidRPr="005A2A9D">
        <w:rPr>
          <w:rFonts w:ascii="Bookman Old Style" w:hAnsi="Bookman Old Style" w:cs="Bookman Old Style"/>
          <w:sz w:val="24"/>
          <w:szCs w:val="24"/>
        </w:rPr>
        <w:t>cc</w:t>
      </w:r>
      <w:r w:rsidR="00215DFC">
        <w:rPr>
          <w:rFonts w:ascii="Bookman Old Style" w:hAnsi="Bookman Old Style" w:cs="Bookman Old Style"/>
          <w:sz w:val="24"/>
          <w:szCs w:val="24"/>
        </w:rPr>
        <w:t>ess to information l</w:t>
      </w:r>
      <w:r w:rsidR="0088306D">
        <w:rPr>
          <w:rFonts w:ascii="Bookman Old Style" w:hAnsi="Bookman Old Style" w:cs="Bookman Old Style"/>
          <w:sz w:val="24"/>
          <w:szCs w:val="24"/>
        </w:rPr>
        <w:t>egislation</w:t>
      </w:r>
      <w:r w:rsidR="00215DFC">
        <w:rPr>
          <w:rFonts w:ascii="Bookman Old Style" w:hAnsi="Bookman Old Style" w:cs="Bookman Old Style"/>
          <w:sz w:val="24"/>
          <w:szCs w:val="24"/>
        </w:rPr>
        <w:t>. T</w:t>
      </w:r>
      <w:r w:rsidR="001C7656" w:rsidRPr="005A2A9D">
        <w:rPr>
          <w:rFonts w:ascii="Bookman Old Style" w:hAnsi="Bookman Old Style" w:cs="Bookman Old Style"/>
          <w:sz w:val="24"/>
          <w:szCs w:val="24"/>
        </w:rPr>
        <w:t xml:space="preserve">he Access to Information Act </w:t>
      </w:r>
      <w:r w:rsidR="00215DFC">
        <w:rPr>
          <w:rFonts w:ascii="Bookman Old Style" w:hAnsi="Bookman Old Style" w:cs="Bookman Old Style"/>
          <w:sz w:val="24"/>
          <w:szCs w:val="24"/>
        </w:rPr>
        <w:t xml:space="preserve">was passed </w:t>
      </w:r>
      <w:r w:rsidR="00FA7F68" w:rsidRPr="005A2A9D">
        <w:rPr>
          <w:rFonts w:ascii="Bookman Old Style" w:hAnsi="Bookman Old Style" w:cs="Bookman Old Style"/>
          <w:sz w:val="24"/>
          <w:szCs w:val="24"/>
        </w:rPr>
        <w:t xml:space="preserve">in 2005. </w:t>
      </w:r>
      <w:r w:rsidR="003A38FD" w:rsidRPr="005A2A9D">
        <w:rPr>
          <w:rFonts w:ascii="Bookman Old Style" w:hAnsi="Bookman Old Style" w:cs="Bookman Old Style"/>
          <w:sz w:val="24"/>
          <w:szCs w:val="24"/>
        </w:rPr>
        <w:t>The Act aims to promote transparency and accountability in all organs of the State by providing the public with timely, accessible and accurate information.</w:t>
      </w:r>
      <w:r w:rsidR="003A38FD" w:rsidRPr="005A2A9D">
        <w:rPr>
          <w:rStyle w:val="FootnoteReference"/>
          <w:rFonts w:ascii="Bookman Old Style" w:hAnsi="Bookman Old Style" w:cs="Bookman Old Style"/>
          <w:sz w:val="24"/>
          <w:szCs w:val="24"/>
        </w:rPr>
        <w:footnoteReference w:id="7"/>
      </w:r>
      <w:r w:rsidR="00960F2B" w:rsidRPr="005A2A9D">
        <w:rPr>
          <w:rFonts w:ascii="Bookman Old Style" w:hAnsi="Bookman Old Style" w:cs="Bookman Old Style"/>
          <w:sz w:val="24"/>
          <w:szCs w:val="24"/>
        </w:rPr>
        <w:t xml:space="preserve"> </w:t>
      </w:r>
      <w:r w:rsidR="0082104E">
        <w:rPr>
          <w:rFonts w:ascii="Bookman Old Style" w:hAnsi="Bookman Old Style" w:cs="Bookman Old Style"/>
          <w:sz w:val="24"/>
          <w:szCs w:val="24"/>
        </w:rPr>
        <w:t xml:space="preserve">Section </w:t>
      </w:r>
      <w:r w:rsidR="003A38FD" w:rsidRPr="005A2A9D">
        <w:rPr>
          <w:rFonts w:ascii="Bookman Old Style" w:hAnsi="Bookman Old Style" w:cs="Bookman Old Style"/>
          <w:sz w:val="24"/>
          <w:szCs w:val="24"/>
        </w:rPr>
        <w:t>2 (a) stipulates that the act a</w:t>
      </w:r>
      <w:r w:rsidR="00163936" w:rsidRPr="005A2A9D">
        <w:rPr>
          <w:rFonts w:ascii="Bookman Old Style" w:hAnsi="Bookman Old Style" w:cs="Bookman Old Style"/>
          <w:sz w:val="24"/>
          <w:szCs w:val="24"/>
        </w:rPr>
        <w:t>pplies to all</w:t>
      </w:r>
      <w:r w:rsidR="003A38FD" w:rsidRPr="005A2A9D">
        <w:rPr>
          <w:rFonts w:ascii="Bookman Old Style" w:hAnsi="Bookman Old Style" w:cs="Bookman Old Style"/>
          <w:sz w:val="24"/>
          <w:szCs w:val="24"/>
        </w:rPr>
        <w:t xml:space="preserve"> information and records of Government ministries, departments, local governments, statutory corporations and bodies, commissions and other Government organs and agencies, unle</w:t>
      </w:r>
      <w:r w:rsidR="006A1040" w:rsidRPr="005A2A9D">
        <w:rPr>
          <w:rFonts w:ascii="Bookman Old Style" w:hAnsi="Bookman Old Style" w:cs="Bookman Old Style"/>
          <w:sz w:val="24"/>
          <w:szCs w:val="24"/>
        </w:rPr>
        <w:t>ss specifically exempted by the provisions in the</w:t>
      </w:r>
      <w:r w:rsidR="003A38FD" w:rsidRPr="005A2A9D">
        <w:rPr>
          <w:rFonts w:ascii="Bookman Old Style" w:hAnsi="Bookman Old Style" w:cs="Bookman Old Style"/>
          <w:sz w:val="24"/>
          <w:szCs w:val="24"/>
        </w:rPr>
        <w:t xml:space="preserve"> Act</w:t>
      </w:r>
      <w:r w:rsidR="00163936" w:rsidRPr="005A2A9D">
        <w:rPr>
          <w:rFonts w:ascii="Bookman Old Style" w:hAnsi="Bookman Old Style" w:cs="Bookman Old Style"/>
          <w:sz w:val="24"/>
          <w:szCs w:val="24"/>
        </w:rPr>
        <w:t>.</w:t>
      </w:r>
      <w:r w:rsidR="0082104E">
        <w:rPr>
          <w:rFonts w:ascii="Bookman Old Style" w:hAnsi="Bookman Old Style" w:cs="Bookman Old Style"/>
          <w:sz w:val="24"/>
          <w:szCs w:val="24"/>
        </w:rPr>
        <w:t xml:space="preserve"> </w:t>
      </w:r>
      <w:r w:rsidR="00FA7F68" w:rsidRPr="005A2A9D">
        <w:rPr>
          <w:rFonts w:ascii="Bookman Old Style" w:hAnsi="Bookman Old Style" w:cs="Bookman Old Style"/>
          <w:sz w:val="24"/>
          <w:szCs w:val="24"/>
        </w:rPr>
        <w:t xml:space="preserve">The Act is </w:t>
      </w:r>
      <w:r w:rsidRPr="005A2A9D">
        <w:rPr>
          <w:rFonts w:ascii="Bookman Old Style" w:hAnsi="Bookman Old Style" w:cs="Bookman Old Style"/>
          <w:sz w:val="24"/>
          <w:szCs w:val="24"/>
        </w:rPr>
        <w:t xml:space="preserve">duly </w:t>
      </w:r>
      <w:r w:rsidR="00FA7F68" w:rsidRPr="005A2A9D">
        <w:rPr>
          <w:rFonts w:ascii="Bookman Old Style" w:hAnsi="Bookman Old Style" w:cs="Bookman Old Style"/>
          <w:sz w:val="24"/>
          <w:szCs w:val="24"/>
        </w:rPr>
        <w:t>supplemented by the Access to Information Regulations 2011</w:t>
      </w:r>
      <w:r w:rsidR="006A1040" w:rsidRPr="005A2A9D">
        <w:rPr>
          <w:rFonts w:ascii="Bookman Old Style" w:hAnsi="Bookman Old Style" w:cs="Bookman Old Style"/>
          <w:sz w:val="24"/>
          <w:szCs w:val="24"/>
        </w:rPr>
        <w:t>.</w:t>
      </w:r>
      <w:r w:rsidRPr="005A2A9D">
        <w:rPr>
          <w:rFonts w:ascii="Bookman Old Style" w:hAnsi="Bookman Old Style" w:cs="Bookman Old Style"/>
          <w:sz w:val="24"/>
          <w:szCs w:val="24"/>
        </w:rPr>
        <w:t xml:space="preserve"> </w:t>
      </w:r>
      <w:r w:rsidR="00215DFC">
        <w:rPr>
          <w:rFonts w:ascii="Bookman Old Style" w:hAnsi="Bookman Old Style" w:cs="Bookman Old Style"/>
          <w:sz w:val="24"/>
          <w:szCs w:val="24"/>
        </w:rPr>
        <w:t xml:space="preserve"> Consequently, all government ministries, departments and agencies that specifically deal with hazardous wastes and substances such as the </w:t>
      </w:r>
      <w:r w:rsidR="00362F11">
        <w:rPr>
          <w:rFonts w:ascii="Bookman Old Style" w:hAnsi="Bookman Old Style" w:cs="Bookman Old Style"/>
          <w:sz w:val="24"/>
          <w:szCs w:val="24"/>
        </w:rPr>
        <w:t>Ministry of Water and Environment, are subject to the provisions of this Act.0</w:t>
      </w:r>
    </w:p>
    <w:p w:rsidR="00D04744" w:rsidRPr="005A2A9D" w:rsidRDefault="00D04744" w:rsidP="00D84164">
      <w:pPr>
        <w:autoSpaceDE w:val="0"/>
        <w:autoSpaceDN w:val="0"/>
        <w:adjustRightInd w:val="0"/>
        <w:jc w:val="both"/>
        <w:rPr>
          <w:rFonts w:ascii="Bookman Old Style" w:hAnsi="Bookman Old Style" w:cs="Bookman Old Style"/>
          <w:sz w:val="24"/>
          <w:szCs w:val="24"/>
        </w:rPr>
      </w:pPr>
      <w:r w:rsidRPr="005A2A9D">
        <w:rPr>
          <w:rFonts w:ascii="Bookman Old Style" w:hAnsi="Bookman Old Style" w:cs="Bookman Old Style"/>
          <w:sz w:val="24"/>
          <w:szCs w:val="24"/>
        </w:rPr>
        <w:t xml:space="preserve">Clause 85 of the </w:t>
      </w:r>
      <w:r w:rsidR="006C25FC" w:rsidRPr="005A2A9D">
        <w:rPr>
          <w:rFonts w:ascii="Bookman Old Style" w:hAnsi="Bookman Old Style" w:cs="Bookman Old Style"/>
          <w:sz w:val="24"/>
          <w:szCs w:val="24"/>
        </w:rPr>
        <w:t>N</w:t>
      </w:r>
      <w:r w:rsidR="0085299C" w:rsidRPr="005A2A9D">
        <w:rPr>
          <w:rFonts w:ascii="Bookman Old Style" w:hAnsi="Bookman Old Style" w:cs="Bookman Old Style"/>
          <w:sz w:val="24"/>
          <w:szCs w:val="24"/>
        </w:rPr>
        <w:t>ational Environment</w:t>
      </w:r>
      <w:r w:rsidR="003C4D83" w:rsidRPr="005A2A9D">
        <w:rPr>
          <w:rFonts w:ascii="Bookman Old Style" w:hAnsi="Bookman Old Style" w:cs="Bookman Old Style"/>
          <w:sz w:val="24"/>
          <w:szCs w:val="24"/>
        </w:rPr>
        <w:t xml:space="preserve"> Act</w:t>
      </w:r>
      <w:r w:rsidRPr="005A2A9D">
        <w:rPr>
          <w:rFonts w:ascii="Bookman Old Style" w:hAnsi="Bookman Old Style" w:cs="Bookman Old Style"/>
          <w:sz w:val="24"/>
          <w:szCs w:val="24"/>
        </w:rPr>
        <w:t xml:space="preserve"> 1995 </w:t>
      </w:r>
      <w:r w:rsidR="00EB33C6" w:rsidRPr="005A2A9D">
        <w:rPr>
          <w:rFonts w:ascii="Bookman Old Style" w:hAnsi="Bookman Old Style" w:cs="Bookman Old Style"/>
          <w:sz w:val="24"/>
          <w:szCs w:val="24"/>
        </w:rPr>
        <w:t>Cap 153</w:t>
      </w:r>
      <w:r w:rsidR="0085299C" w:rsidRPr="005A2A9D">
        <w:rPr>
          <w:rFonts w:ascii="Bookman Old Style" w:hAnsi="Bookman Old Style" w:cs="Bookman Old Style"/>
          <w:sz w:val="24"/>
          <w:szCs w:val="24"/>
        </w:rPr>
        <w:t xml:space="preserve"> provides for every person’s access to any information relating t</w:t>
      </w:r>
      <w:r w:rsidR="00391EE4" w:rsidRPr="005A2A9D">
        <w:rPr>
          <w:rFonts w:ascii="Bookman Old Style" w:hAnsi="Bookman Old Style" w:cs="Bookman Old Style"/>
          <w:sz w:val="24"/>
          <w:szCs w:val="24"/>
        </w:rPr>
        <w:t>o the implementation of the Act.</w:t>
      </w:r>
      <w:r w:rsidR="006C25FC" w:rsidRPr="005A2A9D">
        <w:rPr>
          <w:rFonts w:ascii="Bookman Old Style" w:hAnsi="Bookman Old Style" w:cs="Bookman Old Style"/>
          <w:sz w:val="24"/>
          <w:szCs w:val="24"/>
        </w:rPr>
        <w:t xml:space="preserve"> </w:t>
      </w:r>
      <w:r w:rsidR="00391EE4" w:rsidRPr="005A2A9D">
        <w:rPr>
          <w:rFonts w:ascii="Bookman Old Style" w:hAnsi="Bookman Old Style" w:cs="Bookman Old Style"/>
          <w:sz w:val="24"/>
          <w:szCs w:val="24"/>
        </w:rPr>
        <w:t>The Act is appropriately complimented by the National Environment (Waste Management) Regulations, S.I.</w:t>
      </w:r>
      <w:r w:rsidR="00391EE4" w:rsidRPr="005A2A9D">
        <w:rPr>
          <w:rFonts w:ascii="Bookman Old Style" w:hAnsi="Bookman Old Style"/>
          <w:sz w:val="24"/>
          <w:szCs w:val="24"/>
        </w:rPr>
        <w:t xml:space="preserve"> </w:t>
      </w:r>
      <w:r w:rsidR="00391EE4" w:rsidRPr="005A2A9D">
        <w:rPr>
          <w:rFonts w:ascii="Bookman Old Style" w:hAnsi="Bookman Old Style" w:cs="Bookman Old Style"/>
          <w:sz w:val="24"/>
          <w:szCs w:val="24"/>
        </w:rPr>
        <w:t xml:space="preserve">No 52/1999. </w:t>
      </w:r>
    </w:p>
    <w:p w:rsidR="00D04744" w:rsidRPr="005A2A9D" w:rsidRDefault="006C25FC" w:rsidP="00D84164">
      <w:pPr>
        <w:autoSpaceDE w:val="0"/>
        <w:autoSpaceDN w:val="0"/>
        <w:adjustRightInd w:val="0"/>
        <w:jc w:val="both"/>
        <w:rPr>
          <w:rFonts w:ascii="Bookman Old Style" w:hAnsi="Bookman Old Style" w:cs="Bookman Old Style"/>
          <w:sz w:val="24"/>
          <w:szCs w:val="24"/>
        </w:rPr>
      </w:pPr>
      <w:r w:rsidRPr="005A2A9D">
        <w:rPr>
          <w:rFonts w:ascii="Bookman Old Style" w:hAnsi="Bookman Old Style" w:cs="Bookman Old Style"/>
          <w:sz w:val="24"/>
          <w:szCs w:val="24"/>
        </w:rPr>
        <w:t>The Act</w:t>
      </w:r>
      <w:r w:rsidR="0085299C" w:rsidRPr="005A2A9D">
        <w:rPr>
          <w:rFonts w:ascii="Bookman Old Style" w:hAnsi="Bookman Old Style" w:cs="Bookman Old Style"/>
          <w:sz w:val="24"/>
          <w:szCs w:val="24"/>
        </w:rPr>
        <w:t xml:space="preserve"> is implemented mainly through the National Environment</w:t>
      </w:r>
      <w:r w:rsidRPr="005A2A9D">
        <w:rPr>
          <w:rFonts w:ascii="Bookman Old Style" w:hAnsi="Bookman Old Style" w:cs="Bookman Old Style"/>
          <w:sz w:val="24"/>
          <w:szCs w:val="24"/>
        </w:rPr>
        <w:t xml:space="preserve"> Management Auth</w:t>
      </w:r>
      <w:r w:rsidR="0085299C" w:rsidRPr="005A2A9D">
        <w:rPr>
          <w:rFonts w:ascii="Bookman Old Style" w:hAnsi="Bookman Old Style" w:cs="Bookman Old Style"/>
          <w:sz w:val="24"/>
          <w:szCs w:val="24"/>
        </w:rPr>
        <w:t>ority (NEMA) establ</w:t>
      </w:r>
      <w:r w:rsidR="00E535AA" w:rsidRPr="005A2A9D">
        <w:rPr>
          <w:rFonts w:ascii="Bookman Old Style" w:hAnsi="Bookman Old Style" w:cs="Bookman Old Style"/>
          <w:sz w:val="24"/>
          <w:szCs w:val="24"/>
        </w:rPr>
        <w:t>ished under part III.</w:t>
      </w:r>
      <w:r w:rsidR="0085299C" w:rsidRPr="005A2A9D">
        <w:rPr>
          <w:rFonts w:ascii="Bookman Old Style" w:hAnsi="Bookman Old Style" w:cs="Bookman Old Style"/>
          <w:sz w:val="24"/>
          <w:szCs w:val="24"/>
        </w:rPr>
        <w:t xml:space="preserve"> </w:t>
      </w:r>
      <w:r w:rsidR="00E535AA" w:rsidRPr="005A2A9D">
        <w:rPr>
          <w:rFonts w:ascii="Bookman Old Style" w:hAnsi="Bookman Old Style" w:cs="Bookman Old Style"/>
          <w:sz w:val="24"/>
          <w:szCs w:val="24"/>
        </w:rPr>
        <w:t>NEMA takes the lead in development of environmental policies, laws and regulations for the supervision of environmental</w:t>
      </w:r>
      <w:r w:rsidR="002E1B62" w:rsidRPr="005A2A9D">
        <w:rPr>
          <w:rFonts w:ascii="Bookman Old Style" w:hAnsi="Bookman Old Style" w:cs="Bookman Old Style"/>
          <w:sz w:val="24"/>
          <w:szCs w:val="24"/>
        </w:rPr>
        <w:t xml:space="preserve"> management in the c</w:t>
      </w:r>
      <w:r w:rsidR="00E535AA" w:rsidRPr="005A2A9D">
        <w:rPr>
          <w:rFonts w:ascii="Bookman Old Style" w:hAnsi="Bookman Old Style" w:cs="Bookman Old Style"/>
          <w:sz w:val="24"/>
          <w:szCs w:val="24"/>
        </w:rPr>
        <w:t xml:space="preserve">ountry. NEMA carries out it functions with the assistance of District Environmental Officers responsible for the implementation of the Act in Local and Municipal levels. </w:t>
      </w:r>
    </w:p>
    <w:p w:rsidR="00976A2B" w:rsidRPr="005A2A9D" w:rsidRDefault="00134C48" w:rsidP="00D84164">
      <w:pPr>
        <w:jc w:val="both"/>
        <w:rPr>
          <w:rFonts w:ascii="Bookman Old Style" w:hAnsi="Bookman Old Style" w:cs="Bookman Old Style"/>
          <w:b/>
          <w:sz w:val="24"/>
          <w:szCs w:val="24"/>
        </w:rPr>
      </w:pPr>
      <w:r w:rsidRPr="005A2A9D">
        <w:rPr>
          <w:rFonts w:ascii="Bookman Old Style" w:hAnsi="Bookman Old Style" w:cs="Bookman Old Style"/>
          <w:b/>
          <w:sz w:val="24"/>
          <w:szCs w:val="24"/>
        </w:rPr>
        <w:t>Gri</w:t>
      </w:r>
      <w:r w:rsidR="00E601A8" w:rsidRPr="005A2A9D">
        <w:rPr>
          <w:rFonts w:ascii="Bookman Old Style" w:hAnsi="Bookman Old Style" w:cs="Bookman Old Style"/>
          <w:b/>
          <w:sz w:val="24"/>
          <w:szCs w:val="24"/>
        </w:rPr>
        <w:t>evance</w:t>
      </w:r>
      <w:r w:rsidR="00163936" w:rsidRPr="005A2A9D">
        <w:rPr>
          <w:rFonts w:ascii="Bookman Old Style" w:hAnsi="Bookman Old Style" w:cs="Bookman Old Style"/>
          <w:b/>
          <w:sz w:val="24"/>
          <w:szCs w:val="24"/>
        </w:rPr>
        <w:t xml:space="preserve"> Mechanisms </w:t>
      </w:r>
    </w:p>
    <w:p w:rsidR="00603773" w:rsidRPr="005A2A9D" w:rsidRDefault="00965F4A" w:rsidP="00D84164">
      <w:pPr>
        <w:jc w:val="both"/>
        <w:rPr>
          <w:rFonts w:ascii="Bookman Old Style" w:hAnsi="Bookman Old Style" w:cs="Bookman Old Style"/>
          <w:sz w:val="24"/>
          <w:szCs w:val="24"/>
        </w:rPr>
      </w:pPr>
      <w:r w:rsidRPr="005A2A9D">
        <w:rPr>
          <w:rFonts w:ascii="Bookman Old Style" w:hAnsi="Bookman Old Style" w:cs="Bookman Old Style"/>
          <w:sz w:val="24"/>
          <w:szCs w:val="24"/>
        </w:rPr>
        <w:t xml:space="preserve">Individuals and groups in Uganda have unhindered access to justice through judicial and non judicial means. </w:t>
      </w:r>
      <w:r w:rsidR="00257715" w:rsidRPr="005A2A9D">
        <w:rPr>
          <w:rFonts w:ascii="Bookman Old Style" w:hAnsi="Bookman Old Style" w:cs="Bookman Old Style"/>
          <w:sz w:val="24"/>
          <w:szCs w:val="24"/>
        </w:rPr>
        <w:t>On the regional level, applications can be submitted to the African C</w:t>
      </w:r>
      <w:r w:rsidR="005C107F">
        <w:rPr>
          <w:rFonts w:ascii="Bookman Old Style" w:hAnsi="Bookman Old Style" w:cs="Bookman Old Style"/>
          <w:sz w:val="24"/>
          <w:szCs w:val="24"/>
        </w:rPr>
        <w:t>ommission on Human and Peoples Rights.</w:t>
      </w:r>
    </w:p>
    <w:p w:rsidR="00F304B5" w:rsidRPr="005A2A9D" w:rsidRDefault="00476E11" w:rsidP="00D84164">
      <w:pPr>
        <w:jc w:val="both"/>
        <w:rPr>
          <w:rFonts w:ascii="Bookman Old Style" w:hAnsi="Bookman Old Style" w:cs="Bookman Old Style"/>
          <w:sz w:val="24"/>
          <w:szCs w:val="24"/>
        </w:rPr>
      </w:pPr>
      <w:r w:rsidRPr="005A2A9D">
        <w:rPr>
          <w:rFonts w:ascii="Bookman Old Style" w:hAnsi="Bookman Old Style" w:cs="Bookman Old Style"/>
          <w:sz w:val="24"/>
          <w:szCs w:val="24"/>
        </w:rPr>
        <w:t>The Constitution in Article 50 guarantees</w:t>
      </w:r>
      <w:r w:rsidR="0054493B" w:rsidRPr="005A2A9D">
        <w:rPr>
          <w:rFonts w:ascii="Bookman Old Style" w:hAnsi="Bookman Old Style" w:cs="Bookman Old Style"/>
          <w:sz w:val="24"/>
          <w:szCs w:val="24"/>
        </w:rPr>
        <w:t xml:space="preserve"> the right of an individual or group to apply to a competent court for redress </w:t>
      </w:r>
      <w:r w:rsidR="002B29E1" w:rsidRPr="005A2A9D">
        <w:rPr>
          <w:rFonts w:ascii="Bookman Old Style" w:hAnsi="Bookman Old Style" w:cs="Bookman Old Style"/>
          <w:sz w:val="24"/>
          <w:szCs w:val="24"/>
        </w:rPr>
        <w:t>in the event of the infringement of rights. Article 50 (3) further states that “any person aggrieved by any decision of the court may appeal to the appropriate court.”</w:t>
      </w:r>
      <w:r w:rsidR="005C107F">
        <w:rPr>
          <w:rFonts w:ascii="Bookman Old Style" w:hAnsi="Bookman Old Style" w:cs="Bookman Old Style"/>
          <w:sz w:val="24"/>
          <w:szCs w:val="24"/>
        </w:rPr>
        <w:t xml:space="preserve">  Further, the Access to Information </w:t>
      </w:r>
      <w:r w:rsidR="00F304B5" w:rsidRPr="005A2A9D">
        <w:rPr>
          <w:rFonts w:ascii="Bookman Old Style" w:hAnsi="Bookman Old Style" w:cs="Bookman Old Style"/>
          <w:sz w:val="24"/>
          <w:szCs w:val="24"/>
        </w:rPr>
        <w:t xml:space="preserve">Act contains provisions for individuals or groups to submit grievances to the Magistrates Court and if unsatisfied, submit appeals to the </w:t>
      </w:r>
      <w:r w:rsidR="00F304B5" w:rsidRPr="005A2A9D">
        <w:rPr>
          <w:rFonts w:ascii="Bookman Old Style" w:hAnsi="Bookman Old Style" w:cs="Bookman Old Style"/>
          <w:sz w:val="24"/>
          <w:szCs w:val="24"/>
        </w:rPr>
        <w:lastRenderedPageBreak/>
        <w:t>High Court.</w:t>
      </w:r>
      <w:r w:rsidR="00F304B5" w:rsidRPr="005A2A9D">
        <w:rPr>
          <w:rStyle w:val="FootnoteReference"/>
          <w:rFonts w:ascii="Bookman Old Style" w:hAnsi="Bookman Old Style" w:cs="Bookman Old Style"/>
          <w:sz w:val="24"/>
          <w:szCs w:val="24"/>
        </w:rPr>
        <w:footnoteReference w:id="8"/>
      </w:r>
      <w:r w:rsidR="00F304B5" w:rsidRPr="005A2A9D">
        <w:rPr>
          <w:rFonts w:ascii="Bookman Old Style" w:hAnsi="Bookman Old Style" w:cs="Bookman Old Style"/>
          <w:sz w:val="24"/>
          <w:szCs w:val="24"/>
        </w:rPr>
        <w:t xml:space="preserve"> </w:t>
      </w:r>
      <w:r w:rsidR="005C107F">
        <w:rPr>
          <w:rFonts w:ascii="Bookman Old Style" w:hAnsi="Bookman Old Style" w:cs="Bookman Old Style"/>
          <w:sz w:val="24"/>
          <w:szCs w:val="24"/>
        </w:rPr>
        <w:t xml:space="preserve"> To this end, g</w:t>
      </w:r>
      <w:r w:rsidR="005C107F" w:rsidRPr="005A2A9D">
        <w:rPr>
          <w:rFonts w:ascii="Bookman Old Style" w:hAnsi="Bookman Old Style" w:cs="Bookman Old Style"/>
          <w:sz w:val="24"/>
          <w:szCs w:val="24"/>
        </w:rPr>
        <w:t>roups and individuals have previously sought redress before the courts in Uganda relating to the right to access to information</w:t>
      </w:r>
      <w:r w:rsidR="005C107F">
        <w:rPr>
          <w:rStyle w:val="FootnoteReference"/>
          <w:rFonts w:ascii="Bookman Old Style" w:hAnsi="Bookman Old Style" w:cs="Bookman Old Style"/>
          <w:sz w:val="24"/>
          <w:szCs w:val="24"/>
        </w:rPr>
        <w:footnoteReference w:id="9"/>
      </w:r>
      <w:r w:rsidR="005C107F" w:rsidRPr="005A2A9D">
        <w:rPr>
          <w:rFonts w:ascii="Bookman Old Style" w:hAnsi="Bookman Old Style" w:cs="Bookman Old Style"/>
          <w:bCs/>
          <w:i/>
          <w:sz w:val="24"/>
          <w:szCs w:val="24"/>
        </w:rPr>
        <w:t>.</w:t>
      </w:r>
    </w:p>
    <w:p w:rsidR="001D2BEF" w:rsidRPr="005A2A9D" w:rsidRDefault="001D2BEF" w:rsidP="00D84164">
      <w:pPr>
        <w:jc w:val="both"/>
        <w:rPr>
          <w:rFonts w:ascii="Bookman Old Style" w:hAnsi="Bookman Old Style" w:cs="Bookman Old Style"/>
          <w:sz w:val="24"/>
          <w:szCs w:val="24"/>
        </w:rPr>
      </w:pPr>
      <w:r w:rsidRPr="005A2A9D">
        <w:rPr>
          <w:rFonts w:ascii="Bookman Old Style" w:hAnsi="Bookman Old Style" w:cs="Bookman Old Style"/>
          <w:sz w:val="24"/>
          <w:szCs w:val="24"/>
        </w:rPr>
        <w:t>Article 52 (1)</w:t>
      </w:r>
      <w:r w:rsidR="00960F2B" w:rsidRPr="005A2A9D">
        <w:rPr>
          <w:rFonts w:ascii="Bookman Old Style" w:hAnsi="Bookman Old Style" w:cs="Bookman Old Style"/>
          <w:sz w:val="24"/>
          <w:szCs w:val="24"/>
        </w:rPr>
        <w:t xml:space="preserve">a </w:t>
      </w:r>
      <w:r w:rsidR="00F304B5" w:rsidRPr="005A2A9D">
        <w:rPr>
          <w:rFonts w:ascii="Bookman Old Style" w:hAnsi="Bookman Old Style" w:cs="Bookman Old Style"/>
          <w:sz w:val="24"/>
          <w:szCs w:val="24"/>
        </w:rPr>
        <w:t xml:space="preserve">of the Constitution </w:t>
      </w:r>
      <w:r w:rsidR="00960F2B" w:rsidRPr="005A2A9D">
        <w:rPr>
          <w:rFonts w:ascii="Bookman Old Style" w:hAnsi="Bookman Old Style" w:cs="Bookman Old Style"/>
          <w:sz w:val="24"/>
          <w:szCs w:val="24"/>
        </w:rPr>
        <w:t>also</w:t>
      </w:r>
      <w:r w:rsidRPr="005A2A9D">
        <w:rPr>
          <w:rFonts w:ascii="Bookman Old Style" w:hAnsi="Bookman Old Style" w:cs="Bookman Old Style"/>
          <w:sz w:val="24"/>
          <w:szCs w:val="24"/>
        </w:rPr>
        <w:t xml:space="preserve"> gives the </w:t>
      </w:r>
      <w:r w:rsidR="00D84164">
        <w:rPr>
          <w:rFonts w:ascii="Bookman Old Style" w:hAnsi="Bookman Old Style" w:cs="Bookman Old Style"/>
          <w:sz w:val="24"/>
          <w:szCs w:val="24"/>
        </w:rPr>
        <w:t>UHRC</w:t>
      </w:r>
      <w:r w:rsidRPr="005A2A9D">
        <w:rPr>
          <w:rFonts w:ascii="Bookman Old Style" w:hAnsi="Bookman Old Style" w:cs="Bookman Old Style"/>
          <w:sz w:val="24"/>
          <w:szCs w:val="24"/>
        </w:rPr>
        <w:t xml:space="preserve"> the mandate to investigate on its own initiative or on a complaint made by any person or group against the violation of their human rights. The Complaints, Investigations and Legal Services department within the UHRC receives, examin</w:t>
      </w:r>
      <w:r w:rsidR="006A1040" w:rsidRPr="005A2A9D">
        <w:rPr>
          <w:rFonts w:ascii="Bookman Old Style" w:hAnsi="Bookman Old Style" w:cs="Bookman Old Style"/>
          <w:sz w:val="24"/>
          <w:szCs w:val="24"/>
        </w:rPr>
        <w:t xml:space="preserve">es and resolves complaints. </w:t>
      </w:r>
      <w:r w:rsidR="005C107F">
        <w:rPr>
          <w:rFonts w:ascii="Bookman Old Style" w:hAnsi="Bookman Old Style" w:cs="Bookman Old Style"/>
          <w:sz w:val="24"/>
          <w:szCs w:val="24"/>
        </w:rPr>
        <w:t xml:space="preserve">Such complaints could be resolved by the tribunals held by UHRC. </w:t>
      </w:r>
    </w:p>
    <w:p w:rsidR="00C56D57" w:rsidRPr="005A2A9D" w:rsidRDefault="00C56D57" w:rsidP="00D84164">
      <w:pPr>
        <w:jc w:val="both"/>
        <w:rPr>
          <w:rFonts w:ascii="Bookman Old Style" w:hAnsi="Bookman Old Style" w:cs="Bookman Old Style"/>
          <w:bCs/>
          <w:i/>
          <w:sz w:val="24"/>
          <w:szCs w:val="24"/>
        </w:rPr>
      </w:pPr>
    </w:p>
    <w:p w:rsidR="00077A62" w:rsidRPr="005A2A9D" w:rsidRDefault="00077A62" w:rsidP="00D84164">
      <w:pPr>
        <w:jc w:val="both"/>
        <w:rPr>
          <w:rFonts w:ascii="Bookman Old Style" w:hAnsi="Bookman Old Style" w:cs="Bookman Old Style"/>
          <w:b/>
          <w:sz w:val="24"/>
          <w:szCs w:val="24"/>
        </w:rPr>
      </w:pPr>
      <w:r w:rsidRPr="005A2A9D">
        <w:rPr>
          <w:rFonts w:ascii="Bookman Old Style" w:hAnsi="Bookman Old Style" w:cs="Bookman Old Style"/>
          <w:b/>
          <w:sz w:val="24"/>
          <w:szCs w:val="24"/>
        </w:rPr>
        <w:t>Question 2</w:t>
      </w:r>
      <w:r w:rsidR="006231B1">
        <w:rPr>
          <w:rFonts w:ascii="Bookman Old Style" w:hAnsi="Bookman Old Style" w:cs="Bookman Old Style"/>
          <w:b/>
          <w:sz w:val="24"/>
          <w:szCs w:val="24"/>
        </w:rPr>
        <w:t xml:space="preserve"> – The scope and characteristics of hazardous substances  and wastes – related information  that is accessible or may be accessible to the public</w:t>
      </w:r>
    </w:p>
    <w:p w:rsidR="006231B1" w:rsidRDefault="006231B1" w:rsidP="00D84164">
      <w:pPr>
        <w:jc w:val="both"/>
        <w:rPr>
          <w:rFonts w:ascii="Bookman Old Style" w:hAnsi="Bookman Old Style" w:cs="Bookman Old Style"/>
          <w:sz w:val="24"/>
          <w:szCs w:val="24"/>
        </w:rPr>
      </w:pPr>
      <w:r>
        <w:rPr>
          <w:rFonts w:ascii="Bookman Old Style" w:hAnsi="Bookman Old Style" w:cs="Bookman Old Style"/>
          <w:sz w:val="24"/>
          <w:szCs w:val="24"/>
        </w:rPr>
        <w:t xml:space="preserve">The National Environmental Management Authority (NEMA) </w:t>
      </w:r>
      <w:r w:rsidR="00077A62" w:rsidRPr="005A2A9D">
        <w:rPr>
          <w:rFonts w:ascii="Bookman Old Style" w:hAnsi="Bookman Old Style" w:cs="Bookman Old Style"/>
          <w:sz w:val="24"/>
          <w:szCs w:val="24"/>
        </w:rPr>
        <w:t>regularly publishes information relating to waste management.</w:t>
      </w:r>
      <w:r>
        <w:rPr>
          <w:rFonts w:ascii="Bookman Old Style" w:hAnsi="Bookman Old Style" w:cs="Bookman Old Style"/>
          <w:sz w:val="24"/>
          <w:szCs w:val="24"/>
        </w:rPr>
        <w:t xml:space="preserve"> This can most easily be obtained from their website.</w:t>
      </w:r>
      <w:r w:rsidR="00077A62" w:rsidRPr="005A2A9D">
        <w:rPr>
          <w:rFonts w:ascii="Bookman Old Style" w:hAnsi="Bookman Old Style" w:cs="Bookman Old Style"/>
          <w:sz w:val="24"/>
          <w:szCs w:val="24"/>
        </w:rPr>
        <w:t xml:space="preserve"> For instance, NEMA publishes a list of licensed environmental practitioners including information relating to their qualifications and contact details. NEMA also makes available a list, updated yearly, of qualified waste handlers in the country including those in municipal levels. This information is divided into the type of service they provide i.e. transportation or management services; type of waste </w:t>
      </w:r>
      <w:r>
        <w:rPr>
          <w:rFonts w:ascii="Bookman Old Style" w:hAnsi="Bookman Old Style" w:cs="Bookman Old Style"/>
          <w:sz w:val="24"/>
          <w:szCs w:val="24"/>
        </w:rPr>
        <w:t xml:space="preserve">they </w:t>
      </w:r>
      <w:r w:rsidR="00077A62" w:rsidRPr="005A2A9D">
        <w:rPr>
          <w:rFonts w:ascii="Bookman Old Style" w:hAnsi="Bookman Old Style" w:cs="Bookman Old Style"/>
          <w:sz w:val="24"/>
          <w:szCs w:val="24"/>
        </w:rPr>
        <w:t xml:space="preserve">handled; license expiry date and contact details. </w:t>
      </w:r>
      <w:r w:rsidR="00F14CAF">
        <w:rPr>
          <w:rFonts w:ascii="Bookman Old Style" w:hAnsi="Bookman Old Style" w:cs="Bookman Old Style"/>
          <w:sz w:val="24"/>
          <w:szCs w:val="24"/>
        </w:rPr>
        <w:t xml:space="preserve"> Most importantly, NEMA produces a yearly report which is effectively the state of the environment for the year</w:t>
      </w:r>
      <w:r w:rsidR="00BA3B19">
        <w:rPr>
          <w:rStyle w:val="FootnoteReference"/>
          <w:rFonts w:ascii="Bookman Old Style" w:hAnsi="Bookman Old Style" w:cs="Bookman Old Style"/>
          <w:sz w:val="24"/>
          <w:szCs w:val="24"/>
        </w:rPr>
        <w:footnoteReference w:id="10"/>
      </w:r>
      <w:r w:rsidR="00F14CAF">
        <w:rPr>
          <w:rFonts w:ascii="Bookman Old Style" w:hAnsi="Bookman Old Style" w:cs="Bookman Old Style"/>
          <w:sz w:val="24"/>
          <w:szCs w:val="24"/>
        </w:rPr>
        <w:t xml:space="preserve"> under review. Hazardous wastes have featured in this report year after year. </w:t>
      </w:r>
    </w:p>
    <w:p w:rsidR="00372D06" w:rsidRPr="005A2A9D" w:rsidRDefault="00077A62" w:rsidP="00D84164">
      <w:pPr>
        <w:jc w:val="both"/>
        <w:rPr>
          <w:rFonts w:ascii="Bookman Old Style" w:hAnsi="Bookman Old Style" w:cs="Bookman Old Style"/>
          <w:sz w:val="24"/>
          <w:szCs w:val="24"/>
        </w:rPr>
      </w:pPr>
      <w:r w:rsidRPr="005A2A9D">
        <w:rPr>
          <w:rFonts w:ascii="Bookman Old Style" w:hAnsi="Bookman Old Style" w:cs="Bookman Old Style"/>
          <w:sz w:val="24"/>
          <w:szCs w:val="24"/>
        </w:rPr>
        <w:t xml:space="preserve">UHRC </w:t>
      </w:r>
      <w:r w:rsidR="00D84164">
        <w:rPr>
          <w:rFonts w:ascii="Bookman Old Style" w:hAnsi="Bookman Old Style" w:cs="Bookman Old Style"/>
          <w:sz w:val="24"/>
          <w:szCs w:val="24"/>
        </w:rPr>
        <w:t xml:space="preserve">in addition to this </w:t>
      </w:r>
      <w:r w:rsidRPr="005A2A9D">
        <w:rPr>
          <w:rFonts w:ascii="Bookman Old Style" w:hAnsi="Bookman Old Style" w:cs="Bookman Old Style"/>
          <w:sz w:val="24"/>
          <w:szCs w:val="24"/>
        </w:rPr>
        <w:t>established that any person is free to approac</w:t>
      </w:r>
      <w:r w:rsidR="006231B1">
        <w:rPr>
          <w:rFonts w:ascii="Bookman Old Style" w:hAnsi="Bookman Old Style" w:cs="Bookman Old Style"/>
          <w:sz w:val="24"/>
          <w:szCs w:val="24"/>
        </w:rPr>
        <w:t>h the clinical department of Ministry of Health</w:t>
      </w:r>
      <w:r w:rsidRPr="005A2A9D">
        <w:rPr>
          <w:rFonts w:ascii="Bookman Old Style" w:hAnsi="Bookman Old Style" w:cs="Bookman Old Style"/>
          <w:sz w:val="24"/>
          <w:szCs w:val="24"/>
        </w:rPr>
        <w:t xml:space="preserve"> to request for information relating to the management of hazardous waste originating from the health sector. </w:t>
      </w:r>
    </w:p>
    <w:p w:rsidR="00C56D57" w:rsidRPr="005A2A9D" w:rsidRDefault="00C56D57" w:rsidP="00D84164">
      <w:pPr>
        <w:jc w:val="both"/>
        <w:rPr>
          <w:rFonts w:ascii="Bookman Old Style" w:hAnsi="Bookman Old Style" w:cs="Bookman Old Style"/>
          <w:bCs/>
          <w:vanish/>
          <w:sz w:val="24"/>
          <w:szCs w:val="24"/>
        </w:rPr>
      </w:pPr>
      <w:r w:rsidRPr="005A2A9D">
        <w:rPr>
          <w:rFonts w:ascii="Bookman Old Style" w:hAnsi="Bookman Old Style" w:cs="Bookman Old Style"/>
          <w:bCs/>
          <w:vanish/>
          <w:sz w:val="24"/>
          <w:szCs w:val="24"/>
        </w:rPr>
        <w:t>Bottom of Form</w:t>
      </w:r>
    </w:p>
    <w:p w:rsidR="008B2DC1" w:rsidRPr="005A2A9D" w:rsidRDefault="008B2DC1" w:rsidP="00D84164">
      <w:pPr>
        <w:jc w:val="both"/>
        <w:rPr>
          <w:rFonts w:ascii="Bookman Old Style" w:hAnsi="Bookman Old Style" w:cs="Bookman Old Style"/>
          <w:b/>
          <w:sz w:val="24"/>
          <w:szCs w:val="24"/>
        </w:rPr>
      </w:pPr>
      <w:r w:rsidRPr="005A2A9D">
        <w:rPr>
          <w:rFonts w:ascii="Bookman Old Style" w:hAnsi="Bookman Old Style" w:cs="Bookman Old Style"/>
          <w:b/>
          <w:sz w:val="24"/>
          <w:szCs w:val="24"/>
        </w:rPr>
        <w:t>Question 3</w:t>
      </w:r>
      <w:r w:rsidR="00BA3B19">
        <w:rPr>
          <w:rFonts w:ascii="Bookman Old Style" w:hAnsi="Bookman Old Style" w:cs="Bookman Old Style"/>
          <w:b/>
          <w:sz w:val="24"/>
          <w:szCs w:val="24"/>
        </w:rPr>
        <w:t xml:space="preserve"> – Explain how information on hazardous substances and wastes is made available to the public</w:t>
      </w:r>
    </w:p>
    <w:p w:rsidR="000D3A8C" w:rsidRPr="005A2A9D" w:rsidRDefault="008B2DC1" w:rsidP="00D84164">
      <w:pPr>
        <w:jc w:val="both"/>
        <w:rPr>
          <w:rFonts w:ascii="Bookman Old Style" w:hAnsi="Bookman Old Style" w:cs="Bookman Old Style"/>
          <w:sz w:val="24"/>
          <w:szCs w:val="24"/>
        </w:rPr>
      </w:pPr>
      <w:r w:rsidRPr="005A2A9D">
        <w:rPr>
          <w:rFonts w:ascii="Bookman Old Style" w:hAnsi="Bookman Old Style" w:cs="Bookman Old Style"/>
          <w:sz w:val="24"/>
          <w:szCs w:val="24"/>
        </w:rPr>
        <w:t>Information on hazardous substan</w:t>
      </w:r>
      <w:r w:rsidR="00391EE4" w:rsidRPr="005A2A9D">
        <w:rPr>
          <w:rFonts w:ascii="Bookman Old Style" w:hAnsi="Bookman Old Style" w:cs="Bookman Old Style"/>
          <w:sz w:val="24"/>
          <w:szCs w:val="24"/>
        </w:rPr>
        <w:t>ces and</w:t>
      </w:r>
      <w:r w:rsidR="007E49E4" w:rsidRPr="005A2A9D">
        <w:rPr>
          <w:rFonts w:ascii="Bookman Old Style" w:hAnsi="Bookman Old Style" w:cs="Bookman Old Style"/>
          <w:sz w:val="24"/>
          <w:szCs w:val="24"/>
        </w:rPr>
        <w:t xml:space="preserve"> wastes is disseminated</w:t>
      </w:r>
      <w:r w:rsidRPr="005A2A9D">
        <w:rPr>
          <w:rFonts w:ascii="Bookman Old Style" w:hAnsi="Bookman Old Style" w:cs="Bookman Old Style"/>
          <w:sz w:val="24"/>
          <w:szCs w:val="24"/>
        </w:rPr>
        <w:t xml:space="preserve"> to the public through</w:t>
      </w:r>
      <w:r w:rsidR="00E40937" w:rsidRPr="005A2A9D">
        <w:rPr>
          <w:rFonts w:ascii="Bookman Old Style" w:hAnsi="Bookman Old Style" w:cs="Bookman Old Style"/>
          <w:sz w:val="24"/>
          <w:szCs w:val="24"/>
        </w:rPr>
        <w:t xml:space="preserve"> various means</w:t>
      </w:r>
      <w:r w:rsidR="0051698E">
        <w:rPr>
          <w:rFonts w:ascii="Bookman Old Style" w:hAnsi="Bookman Old Style" w:cs="Bookman Old Style"/>
          <w:sz w:val="24"/>
          <w:szCs w:val="24"/>
        </w:rPr>
        <w:t xml:space="preserve"> </w:t>
      </w:r>
      <w:r w:rsidR="00BA3B19">
        <w:rPr>
          <w:rFonts w:ascii="Bookman Old Style" w:hAnsi="Bookman Old Style" w:cs="Bookman Old Style"/>
          <w:sz w:val="24"/>
          <w:szCs w:val="24"/>
        </w:rPr>
        <w:t xml:space="preserve">from a range of actors including the </w:t>
      </w:r>
      <w:r w:rsidR="00391EE4" w:rsidRPr="005A2A9D">
        <w:rPr>
          <w:rFonts w:ascii="Bookman Old Style" w:hAnsi="Bookman Old Style" w:cs="Bookman Old Style"/>
          <w:sz w:val="24"/>
          <w:szCs w:val="24"/>
        </w:rPr>
        <w:t>media, private compa</w:t>
      </w:r>
      <w:r w:rsidR="00873ECD" w:rsidRPr="005A2A9D">
        <w:rPr>
          <w:rFonts w:ascii="Bookman Old Style" w:hAnsi="Bookman Old Style" w:cs="Bookman Old Style"/>
          <w:sz w:val="24"/>
          <w:szCs w:val="24"/>
        </w:rPr>
        <w:t xml:space="preserve">nies, </w:t>
      </w:r>
      <w:r w:rsidR="0051698E">
        <w:rPr>
          <w:rFonts w:ascii="Bookman Old Style" w:hAnsi="Bookman Old Style" w:cs="Bookman Old Style"/>
          <w:sz w:val="24"/>
          <w:szCs w:val="24"/>
        </w:rPr>
        <w:t>the government,</w:t>
      </w:r>
      <w:r w:rsidR="00873ECD" w:rsidRPr="005A2A9D">
        <w:rPr>
          <w:rFonts w:ascii="Bookman Old Style" w:hAnsi="Bookman Old Style" w:cs="Bookman Old Style"/>
          <w:sz w:val="24"/>
          <w:szCs w:val="24"/>
        </w:rPr>
        <w:t xml:space="preserve"> </w:t>
      </w:r>
      <w:r w:rsidR="00391EE4" w:rsidRPr="005A2A9D">
        <w:rPr>
          <w:rFonts w:ascii="Bookman Old Style" w:hAnsi="Bookman Old Style" w:cs="Bookman Old Style"/>
          <w:sz w:val="24"/>
          <w:szCs w:val="24"/>
        </w:rPr>
        <w:t>and CSO organizations</w:t>
      </w:r>
      <w:r w:rsidR="00E40937" w:rsidRPr="005A2A9D">
        <w:rPr>
          <w:rFonts w:ascii="Bookman Old Style" w:hAnsi="Bookman Old Style" w:cs="Bookman Old Style"/>
          <w:sz w:val="24"/>
          <w:szCs w:val="24"/>
        </w:rPr>
        <w:t xml:space="preserve">. </w:t>
      </w:r>
    </w:p>
    <w:p w:rsidR="004D007A" w:rsidRPr="005A2A9D" w:rsidRDefault="000D3A8C" w:rsidP="00D84164">
      <w:pPr>
        <w:jc w:val="both"/>
        <w:rPr>
          <w:rFonts w:ascii="Bookman Old Style" w:hAnsi="Bookman Old Style"/>
          <w:sz w:val="24"/>
          <w:szCs w:val="24"/>
        </w:rPr>
      </w:pPr>
      <w:r w:rsidRPr="005A2A9D">
        <w:rPr>
          <w:rFonts w:ascii="Bookman Old Style" w:hAnsi="Bookman Old Style" w:cs="Bookman Old Style"/>
          <w:b/>
          <w:sz w:val="24"/>
          <w:szCs w:val="24"/>
        </w:rPr>
        <w:lastRenderedPageBreak/>
        <w:t>Media:</w:t>
      </w:r>
      <w:r w:rsidRPr="005A2A9D">
        <w:rPr>
          <w:rFonts w:ascii="Bookman Old Style" w:hAnsi="Bookman Old Style" w:cs="Bookman Old Style"/>
          <w:sz w:val="24"/>
          <w:szCs w:val="24"/>
        </w:rPr>
        <w:t xml:space="preserve"> </w:t>
      </w:r>
      <w:r w:rsidR="008B2DC1" w:rsidRPr="005A2A9D">
        <w:rPr>
          <w:rFonts w:ascii="Bookman Old Style" w:hAnsi="Bookman Old Style" w:cs="Bookman Old Style"/>
          <w:sz w:val="24"/>
          <w:szCs w:val="24"/>
        </w:rPr>
        <w:t xml:space="preserve">To begin with, </w:t>
      </w:r>
      <w:r w:rsidR="00481C74" w:rsidRPr="005A2A9D">
        <w:rPr>
          <w:rFonts w:ascii="Bookman Old Style" w:hAnsi="Bookman Old Style"/>
          <w:sz w:val="24"/>
          <w:szCs w:val="24"/>
        </w:rPr>
        <w:t>Uganda has a variety of print and</w:t>
      </w:r>
      <w:r w:rsidR="0051698E">
        <w:rPr>
          <w:rFonts w:ascii="Bookman Old Style" w:hAnsi="Bookman Old Style"/>
          <w:sz w:val="24"/>
          <w:szCs w:val="24"/>
        </w:rPr>
        <w:t xml:space="preserve"> electronic</w:t>
      </w:r>
      <w:r w:rsidR="000912CE">
        <w:rPr>
          <w:rFonts w:ascii="Bookman Old Style" w:hAnsi="Bookman Old Style"/>
          <w:sz w:val="24"/>
          <w:szCs w:val="24"/>
        </w:rPr>
        <w:t xml:space="preserve"> media outlets who enjoy </w:t>
      </w:r>
      <w:r w:rsidR="0051698E">
        <w:rPr>
          <w:rFonts w:ascii="Bookman Old Style" w:hAnsi="Bookman Old Style"/>
          <w:sz w:val="24"/>
          <w:szCs w:val="24"/>
        </w:rPr>
        <w:t>a freedom of expression and as such have on numerous occasions published various information in respect on hazardous waste.</w:t>
      </w:r>
      <w:r w:rsidR="004D007A" w:rsidRPr="004D007A">
        <w:rPr>
          <w:rFonts w:ascii="Bookman Old Style" w:hAnsi="Bookman Old Style" w:cs="Bookman Old Style"/>
          <w:sz w:val="24"/>
          <w:szCs w:val="24"/>
        </w:rPr>
        <w:t xml:space="preserve"> </w:t>
      </w:r>
      <w:r w:rsidR="004D007A" w:rsidRPr="005A2A9D">
        <w:rPr>
          <w:rFonts w:ascii="Bookman Old Style" w:hAnsi="Bookman Old Style" w:cs="Bookman Old Style"/>
          <w:sz w:val="24"/>
          <w:szCs w:val="24"/>
        </w:rPr>
        <w:t>For instance, the largest newspaper in Uganda with wide distribution nationwide recently published a story titled ‘</w:t>
      </w:r>
      <w:r w:rsidR="004D007A" w:rsidRPr="005A2A9D">
        <w:rPr>
          <w:rFonts w:ascii="Bookman Old Style" w:hAnsi="Bookman Old Style" w:cs="Bookman Old Style"/>
          <w:i/>
          <w:sz w:val="24"/>
          <w:szCs w:val="24"/>
        </w:rPr>
        <w:t>How Prepared is NEMA for the oil waste”</w:t>
      </w:r>
      <w:r w:rsidR="004D007A" w:rsidRPr="005A2A9D">
        <w:rPr>
          <w:rFonts w:ascii="Bookman Old Style" w:hAnsi="Bookman Old Style" w:cs="Bookman Old Style"/>
          <w:sz w:val="24"/>
          <w:szCs w:val="24"/>
        </w:rPr>
        <w:t xml:space="preserve"> in November 2012 highlighting the challenges faced by the Environmental Authority in dealing with waste generated as a result of oil exploration activities.</w:t>
      </w:r>
      <w:r w:rsidR="004D007A" w:rsidRPr="005A2A9D">
        <w:rPr>
          <w:rStyle w:val="FootnoteReference"/>
          <w:rFonts w:ascii="Bookman Old Style" w:hAnsi="Bookman Old Style" w:cs="Bookman Old Style"/>
          <w:sz w:val="24"/>
          <w:szCs w:val="24"/>
        </w:rPr>
        <w:footnoteReference w:id="11"/>
      </w:r>
      <w:r w:rsidR="004D007A" w:rsidRPr="004D007A">
        <w:rPr>
          <w:rFonts w:ascii="Bookman Old Style" w:hAnsi="Bookman Old Style" w:cs="Bookman Old Style"/>
          <w:sz w:val="24"/>
          <w:szCs w:val="24"/>
        </w:rPr>
        <w:t xml:space="preserve"> </w:t>
      </w:r>
      <w:r w:rsidR="004D007A" w:rsidRPr="005A2A9D">
        <w:rPr>
          <w:rFonts w:ascii="Bookman Old Style" w:hAnsi="Bookman Old Style" w:cs="Bookman Old Style"/>
          <w:sz w:val="24"/>
          <w:szCs w:val="24"/>
        </w:rPr>
        <w:t xml:space="preserve">Similarly, the East African, a respected newspaper distributed across Eastern Africa also featured a lengthy investigative report </w:t>
      </w:r>
      <w:r w:rsidR="004D007A" w:rsidRPr="005A2A9D">
        <w:rPr>
          <w:rFonts w:ascii="Bookman Old Style" w:hAnsi="Bookman Old Style" w:cs="Bookman Old Style"/>
          <w:i/>
          <w:sz w:val="24"/>
          <w:szCs w:val="24"/>
        </w:rPr>
        <w:t xml:space="preserve">‘Time bomb in the Albertine as Oil Firms lack waste disposal plan” </w:t>
      </w:r>
      <w:r w:rsidR="004D007A" w:rsidRPr="005A2A9D">
        <w:rPr>
          <w:rFonts w:ascii="Bookman Old Style" w:hAnsi="Bookman Old Style" w:cs="Bookman Old Style"/>
          <w:sz w:val="24"/>
          <w:szCs w:val="24"/>
        </w:rPr>
        <w:t>in August 2014.</w:t>
      </w:r>
      <w:r w:rsidR="004D007A" w:rsidRPr="005A2A9D">
        <w:rPr>
          <w:rStyle w:val="FootnoteReference"/>
          <w:rFonts w:ascii="Bookman Old Style" w:hAnsi="Bookman Old Style" w:cs="Bookman Old Style"/>
          <w:sz w:val="24"/>
          <w:szCs w:val="24"/>
        </w:rPr>
        <w:footnoteReference w:id="12"/>
      </w:r>
      <w:r w:rsidR="004D007A" w:rsidRPr="005A2A9D">
        <w:rPr>
          <w:rFonts w:ascii="Bookman Old Style" w:hAnsi="Bookman Old Style" w:cs="Bookman Old Style"/>
          <w:i/>
          <w:sz w:val="24"/>
          <w:szCs w:val="24"/>
        </w:rPr>
        <w:t xml:space="preserve"> </w:t>
      </w:r>
      <w:r w:rsidR="004D007A" w:rsidRPr="005A2A9D">
        <w:rPr>
          <w:rFonts w:ascii="Bookman Old Style" w:hAnsi="Bookman Old Style" w:cs="Bookman Old Style"/>
          <w:sz w:val="24"/>
          <w:szCs w:val="24"/>
        </w:rPr>
        <w:t xml:space="preserve">It is however important to note that these newspapers are only accessible to those who can afford to buy them and those who are literate. </w:t>
      </w:r>
    </w:p>
    <w:p w:rsidR="00D73442" w:rsidRPr="005A2A9D" w:rsidRDefault="000D3A8C" w:rsidP="00D84164">
      <w:pPr>
        <w:jc w:val="both"/>
        <w:rPr>
          <w:rFonts w:ascii="Bookman Old Style" w:hAnsi="Bookman Old Style" w:cs="Bookman Old Style"/>
          <w:sz w:val="24"/>
          <w:szCs w:val="24"/>
        </w:rPr>
      </w:pPr>
      <w:r w:rsidRPr="005A2A9D">
        <w:rPr>
          <w:rFonts w:ascii="Bookman Old Style" w:hAnsi="Bookman Old Style" w:cs="Bookman Old Style"/>
          <w:b/>
          <w:sz w:val="24"/>
          <w:szCs w:val="24"/>
        </w:rPr>
        <w:t>UHRC:</w:t>
      </w:r>
      <w:r w:rsidRPr="005A2A9D">
        <w:rPr>
          <w:rFonts w:ascii="Bookman Old Style" w:hAnsi="Bookman Old Style" w:cs="Bookman Old Style"/>
          <w:sz w:val="24"/>
          <w:szCs w:val="24"/>
        </w:rPr>
        <w:t xml:space="preserve"> The mandate of the UHRC also extends to conducting research, education and awareness activities on human rights issues in the country.</w:t>
      </w:r>
      <w:r w:rsidR="00257715" w:rsidRPr="005A2A9D">
        <w:rPr>
          <w:rStyle w:val="FootnoteReference"/>
          <w:rFonts w:ascii="Bookman Old Style" w:hAnsi="Bookman Old Style" w:cs="Bookman Old Style"/>
          <w:sz w:val="24"/>
          <w:szCs w:val="24"/>
        </w:rPr>
        <w:footnoteReference w:id="13"/>
      </w:r>
      <w:r w:rsidRPr="005A2A9D">
        <w:rPr>
          <w:rFonts w:ascii="Bookman Old Style" w:hAnsi="Bookman Old Style" w:cs="Bookman Old Style"/>
          <w:sz w:val="24"/>
          <w:szCs w:val="24"/>
        </w:rPr>
        <w:t xml:space="preserve"> The UHRC also publishes </w:t>
      </w:r>
      <w:r w:rsidR="004536F9" w:rsidRPr="005A2A9D">
        <w:rPr>
          <w:rFonts w:ascii="Bookman Old Style" w:hAnsi="Bookman Old Style" w:cs="Bookman Old Style"/>
          <w:sz w:val="24"/>
          <w:szCs w:val="24"/>
        </w:rPr>
        <w:t>an annual report and various periodic and special reports focusing on emerging human rights issues.</w:t>
      </w:r>
      <w:r w:rsidR="00257715" w:rsidRPr="005A2A9D">
        <w:rPr>
          <w:rStyle w:val="FootnoteReference"/>
          <w:rFonts w:ascii="Bookman Old Style" w:hAnsi="Bookman Old Style" w:cs="Bookman Old Style"/>
          <w:sz w:val="24"/>
          <w:szCs w:val="24"/>
        </w:rPr>
        <w:footnoteReference w:id="14"/>
      </w:r>
      <w:r w:rsidR="000912CE">
        <w:rPr>
          <w:rFonts w:ascii="Bookman Old Style" w:hAnsi="Bookman Old Style" w:cs="Bookman Old Style"/>
          <w:sz w:val="24"/>
          <w:szCs w:val="24"/>
        </w:rPr>
        <w:t xml:space="preserve"> An example of this includes a report relating</w:t>
      </w:r>
      <w:r w:rsidR="004536F9" w:rsidRPr="005A2A9D">
        <w:rPr>
          <w:rFonts w:ascii="Bookman Old Style" w:hAnsi="Bookman Old Style" w:cs="Bookman Old Style"/>
          <w:sz w:val="24"/>
          <w:szCs w:val="24"/>
        </w:rPr>
        <w:t xml:space="preserve"> to the extractive industries sector in Uganda. This published report titled </w:t>
      </w:r>
      <w:r w:rsidR="004536F9" w:rsidRPr="005A2A9D">
        <w:rPr>
          <w:rFonts w:ascii="Bookman Old Style" w:hAnsi="Bookman Old Style" w:cs="Bookman Old Style"/>
          <w:i/>
          <w:sz w:val="24"/>
          <w:szCs w:val="24"/>
        </w:rPr>
        <w:t>‘Oil in Uganda’</w:t>
      </w:r>
      <w:r w:rsidR="004536F9" w:rsidRPr="005A2A9D">
        <w:rPr>
          <w:rFonts w:ascii="Bookman Old Style" w:hAnsi="Bookman Old Style" w:cs="Bookman Old Style"/>
          <w:sz w:val="24"/>
          <w:szCs w:val="24"/>
        </w:rPr>
        <w:t xml:space="preserve"> highlights the l</w:t>
      </w:r>
      <w:r w:rsidR="00E40937" w:rsidRPr="005A2A9D">
        <w:rPr>
          <w:rFonts w:ascii="Bookman Old Style" w:hAnsi="Bookman Old Style" w:cs="Bookman Old Style"/>
          <w:sz w:val="24"/>
          <w:szCs w:val="24"/>
        </w:rPr>
        <w:t>ack of access</w:t>
      </w:r>
      <w:r w:rsidR="00481C74" w:rsidRPr="005A2A9D">
        <w:rPr>
          <w:rFonts w:ascii="Bookman Old Style" w:hAnsi="Bookman Old Style" w:cs="Bookman Old Style"/>
          <w:sz w:val="24"/>
          <w:szCs w:val="24"/>
        </w:rPr>
        <w:t xml:space="preserve"> to information to</w:t>
      </w:r>
      <w:r w:rsidR="00E40937" w:rsidRPr="005A2A9D">
        <w:rPr>
          <w:rFonts w:ascii="Bookman Old Style" w:hAnsi="Bookman Old Style" w:cs="Bookman Old Style"/>
          <w:sz w:val="24"/>
          <w:szCs w:val="24"/>
        </w:rPr>
        <w:t xml:space="preserve"> </w:t>
      </w:r>
      <w:r w:rsidR="004536F9" w:rsidRPr="005A2A9D">
        <w:rPr>
          <w:rFonts w:ascii="Bookman Old Style" w:hAnsi="Bookman Old Style" w:cs="Bookman Old Style"/>
          <w:sz w:val="24"/>
          <w:szCs w:val="24"/>
        </w:rPr>
        <w:t>communities in the Albertine region to</w:t>
      </w:r>
      <w:r w:rsidR="00535830" w:rsidRPr="005A2A9D">
        <w:rPr>
          <w:rFonts w:ascii="Bookman Old Style" w:hAnsi="Bookman Old Style" w:cs="Bookman Old Style"/>
          <w:sz w:val="24"/>
          <w:szCs w:val="24"/>
        </w:rPr>
        <w:t xml:space="preserve"> oil exploration </w:t>
      </w:r>
      <w:r w:rsidR="004536F9" w:rsidRPr="005A2A9D">
        <w:rPr>
          <w:rFonts w:ascii="Bookman Old Style" w:hAnsi="Bookman Old Style" w:cs="Bookman Old Style"/>
          <w:sz w:val="24"/>
          <w:szCs w:val="24"/>
        </w:rPr>
        <w:t>activities</w:t>
      </w:r>
      <w:r w:rsidR="00535830" w:rsidRPr="005A2A9D">
        <w:rPr>
          <w:rFonts w:ascii="Bookman Old Style" w:hAnsi="Bookman Old Style" w:cs="Bookman Old Style"/>
          <w:sz w:val="24"/>
          <w:szCs w:val="24"/>
        </w:rPr>
        <w:t xml:space="preserve"> including information relating to the disposal of waste</w:t>
      </w:r>
      <w:r w:rsidR="004536F9" w:rsidRPr="005A2A9D">
        <w:rPr>
          <w:rFonts w:ascii="Bookman Old Style" w:hAnsi="Bookman Old Style" w:cs="Bookman Old Style"/>
          <w:sz w:val="24"/>
          <w:szCs w:val="24"/>
        </w:rPr>
        <w:t>.</w:t>
      </w:r>
      <w:r w:rsidR="000603E7" w:rsidRPr="005A2A9D">
        <w:rPr>
          <w:rStyle w:val="FootnoteReference"/>
          <w:rFonts w:ascii="Bookman Old Style" w:hAnsi="Bookman Old Style" w:cs="Bookman Old Style"/>
          <w:sz w:val="24"/>
          <w:szCs w:val="24"/>
        </w:rPr>
        <w:footnoteReference w:id="15"/>
      </w:r>
      <w:r w:rsidR="000603E7" w:rsidRPr="005A2A9D">
        <w:rPr>
          <w:rFonts w:ascii="Bookman Old Style" w:hAnsi="Bookman Old Style" w:cs="Bookman Old Style"/>
          <w:sz w:val="24"/>
          <w:szCs w:val="24"/>
        </w:rPr>
        <w:t xml:space="preserve"> </w:t>
      </w:r>
      <w:r w:rsidR="004536F9" w:rsidRPr="005A2A9D">
        <w:rPr>
          <w:rFonts w:ascii="Bookman Old Style" w:hAnsi="Bookman Old Style" w:cs="Bookman Old Style"/>
          <w:sz w:val="24"/>
          <w:szCs w:val="24"/>
        </w:rPr>
        <w:t>The report is</w:t>
      </w:r>
      <w:r w:rsidR="00A44965" w:rsidRPr="005A2A9D">
        <w:rPr>
          <w:rFonts w:ascii="Bookman Old Style" w:hAnsi="Bookman Old Style" w:cs="Bookman Old Style"/>
          <w:sz w:val="24"/>
          <w:szCs w:val="24"/>
        </w:rPr>
        <w:t xml:space="preserve"> available online and is</w:t>
      </w:r>
      <w:r w:rsidR="004536F9" w:rsidRPr="005A2A9D">
        <w:rPr>
          <w:rFonts w:ascii="Bookman Old Style" w:hAnsi="Bookman Old Style" w:cs="Bookman Old Style"/>
          <w:sz w:val="24"/>
          <w:szCs w:val="24"/>
        </w:rPr>
        <w:t xml:space="preserve"> widely </w:t>
      </w:r>
      <w:r w:rsidR="00481C74" w:rsidRPr="005A2A9D">
        <w:rPr>
          <w:rFonts w:ascii="Bookman Old Style" w:hAnsi="Bookman Old Style" w:cs="Bookman Old Style"/>
          <w:sz w:val="24"/>
          <w:szCs w:val="24"/>
        </w:rPr>
        <w:t>dissemina</w:t>
      </w:r>
      <w:r w:rsidR="00A44965" w:rsidRPr="005A2A9D">
        <w:rPr>
          <w:rFonts w:ascii="Bookman Old Style" w:hAnsi="Bookman Old Style" w:cs="Bookman Old Style"/>
          <w:sz w:val="24"/>
          <w:szCs w:val="24"/>
        </w:rPr>
        <w:t>ted</w:t>
      </w:r>
      <w:r w:rsidR="00D73442" w:rsidRPr="005A2A9D">
        <w:rPr>
          <w:rFonts w:ascii="Bookman Old Style" w:hAnsi="Bookman Old Style" w:cs="Bookman Old Style"/>
          <w:sz w:val="24"/>
          <w:szCs w:val="24"/>
        </w:rPr>
        <w:t xml:space="preserve"> to the media, CSO’s, development partners, NGO’s and all other stakeholders including businesses</w:t>
      </w:r>
      <w:r w:rsidR="00A44965" w:rsidRPr="005A2A9D">
        <w:rPr>
          <w:rFonts w:ascii="Bookman Old Style" w:hAnsi="Bookman Old Style" w:cs="Bookman Old Style"/>
          <w:sz w:val="24"/>
          <w:szCs w:val="24"/>
        </w:rPr>
        <w:t>.</w:t>
      </w:r>
      <w:r w:rsidR="000603E7" w:rsidRPr="005A2A9D">
        <w:rPr>
          <w:rStyle w:val="FootnoteReference"/>
          <w:rFonts w:ascii="Bookman Old Style" w:hAnsi="Bookman Old Style" w:cs="Bookman Old Style"/>
          <w:sz w:val="24"/>
          <w:szCs w:val="24"/>
        </w:rPr>
        <w:footnoteReference w:id="16"/>
      </w:r>
      <w:r w:rsidR="00A44965" w:rsidRPr="005A2A9D">
        <w:rPr>
          <w:rFonts w:ascii="Bookman Old Style" w:hAnsi="Bookman Old Style" w:cs="Bookman Old Style"/>
          <w:sz w:val="24"/>
          <w:szCs w:val="24"/>
        </w:rPr>
        <w:t xml:space="preserve"> </w:t>
      </w:r>
    </w:p>
    <w:p w:rsidR="00615373" w:rsidRPr="005A2A9D" w:rsidRDefault="00615373" w:rsidP="00D84164">
      <w:pPr>
        <w:jc w:val="both"/>
        <w:rPr>
          <w:rFonts w:ascii="Bookman Old Style" w:hAnsi="Bookman Old Style" w:cs="Bookman Old Style"/>
          <w:sz w:val="24"/>
          <w:szCs w:val="24"/>
        </w:rPr>
      </w:pPr>
      <w:r w:rsidRPr="005A2A9D">
        <w:rPr>
          <w:rFonts w:ascii="Bookman Old Style" w:hAnsi="Bookman Old Style" w:cs="Bookman Old Style"/>
          <w:b/>
          <w:sz w:val="24"/>
          <w:szCs w:val="24"/>
        </w:rPr>
        <w:t xml:space="preserve">Relevant Stakeholders: </w:t>
      </w:r>
      <w:r w:rsidRPr="005A2A9D">
        <w:rPr>
          <w:rFonts w:ascii="Bookman Old Style" w:hAnsi="Bookman Old Style" w:cs="Bookman Old Style"/>
          <w:sz w:val="24"/>
          <w:szCs w:val="24"/>
        </w:rPr>
        <w:t xml:space="preserve">As documented in the aforementioned report, UHRC noted that Total E&amp;P and Tullow Oil (two of the three companies licensed to operate oil exploration activities) established Community Liaison Offices (CLO) in Nebbi and Hoima districts. These offices were created in an attempt </w:t>
      </w:r>
      <w:r w:rsidR="00370192" w:rsidRPr="005A2A9D">
        <w:rPr>
          <w:rFonts w:ascii="Bookman Old Style" w:hAnsi="Bookman Old Style" w:cs="Bookman Old Style"/>
          <w:sz w:val="24"/>
          <w:szCs w:val="24"/>
        </w:rPr>
        <w:t xml:space="preserve">to ease communication, </w:t>
      </w:r>
      <w:r w:rsidRPr="005A2A9D">
        <w:rPr>
          <w:rFonts w:ascii="Bookman Old Style" w:hAnsi="Bookman Old Style" w:cs="Bookman Old Style"/>
          <w:sz w:val="24"/>
          <w:szCs w:val="24"/>
        </w:rPr>
        <w:t>facilitate free access to information</w:t>
      </w:r>
      <w:r w:rsidR="00370192" w:rsidRPr="005A2A9D">
        <w:rPr>
          <w:rFonts w:ascii="Bookman Old Style" w:hAnsi="Bookman Old Style" w:cs="Bookman Old Style"/>
          <w:sz w:val="24"/>
          <w:szCs w:val="24"/>
        </w:rPr>
        <w:t xml:space="preserve"> and bridge the communication gap</w:t>
      </w:r>
      <w:r w:rsidRPr="005A2A9D">
        <w:rPr>
          <w:rFonts w:ascii="Bookman Old Style" w:hAnsi="Bookman Old Style" w:cs="Bookman Old Style"/>
          <w:sz w:val="24"/>
          <w:szCs w:val="24"/>
        </w:rPr>
        <w:t xml:space="preserve"> between oil companies and community members.</w:t>
      </w:r>
      <w:r w:rsidRPr="005A2A9D">
        <w:rPr>
          <w:rStyle w:val="FootnoteReference"/>
          <w:rFonts w:ascii="Bookman Old Style" w:hAnsi="Bookman Old Style" w:cs="Bookman Old Style"/>
          <w:sz w:val="24"/>
          <w:szCs w:val="24"/>
        </w:rPr>
        <w:footnoteReference w:id="17"/>
      </w:r>
    </w:p>
    <w:p w:rsidR="00CD18A2" w:rsidRPr="005A2A9D" w:rsidRDefault="004D007A" w:rsidP="00D84164">
      <w:pPr>
        <w:jc w:val="both"/>
        <w:rPr>
          <w:rFonts w:ascii="Bookman Old Style" w:hAnsi="Bookman Old Style" w:cs="Bookman Old Style"/>
          <w:sz w:val="24"/>
          <w:szCs w:val="24"/>
        </w:rPr>
      </w:pPr>
      <w:r>
        <w:rPr>
          <w:rFonts w:ascii="Bookman Old Style" w:hAnsi="Bookman Old Style" w:cs="Bookman Old Style"/>
          <w:b/>
          <w:sz w:val="24"/>
          <w:szCs w:val="24"/>
        </w:rPr>
        <w:lastRenderedPageBreak/>
        <w:t>Ministry of Information</w:t>
      </w:r>
      <w:r w:rsidR="00CD18A2" w:rsidRPr="005A2A9D">
        <w:rPr>
          <w:rFonts w:ascii="Bookman Old Style" w:hAnsi="Bookman Old Style" w:cs="Bookman Old Style"/>
          <w:b/>
          <w:sz w:val="24"/>
          <w:szCs w:val="24"/>
        </w:rPr>
        <w:t xml:space="preserve"> and National Guidance: </w:t>
      </w:r>
      <w:r w:rsidR="00CD18A2" w:rsidRPr="005A2A9D">
        <w:rPr>
          <w:rFonts w:ascii="Bookman Old Style" w:hAnsi="Bookman Old Style" w:cs="Bookman Old Style"/>
          <w:sz w:val="24"/>
          <w:szCs w:val="24"/>
        </w:rPr>
        <w:t xml:space="preserve">Established under the Office of the Prime Minister, the Directorate </w:t>
      </w:r>
      <w:r w:rsidR="006D2B8A" w:rsidRPr="005A2A9D">
        <w:rPr>
          <w:rFonts w:ascii="Bookman Old Style" w:hAnsi="Bookman Old Style" w:cs="Bookman Old Style"/>
          <w:sz w:val="24"/>
          <w:szCs w:val="24"/>
        </w:rPr>
        <w:t xml:space="preserve">is mandated to co ordinate the dissemination of information on Government program and activities. </w:t>
      </w:r>
    </w:p>
    <w:p w:rsidR="00391EE4" w:rsidRDefault="00391EE4" w:rsidP="00D84164">
      <w:pPr>
        <w:jc w:val="both"/>
        <w:rPr>
          <w:rFonts w:ascii="Bookman Old Style" w:hAnsi="Bookman Old Style" w:cs="Bookman Old Style"/>
          <w:sz w:val="24"/>
          <w:szCs w:val="24"/>
        </w:rPr>
      </w:pPr>
      <w:r w:rsidRPr="005A2A9D">
        <w:rPr>
          <w:rFonts w:ascii="Bookman Old Style" w:hAnsi="Bookman Old Style" w:cs="Bookman Old Style"/>
          <w:b/>
          <w:sz w:val="24"/>
          <w:szCs w:val="24"/>
        </w:rPr>
        <w:t xml:space="preserve">NEMA: </w:t>
      </w:r>
      <w:r w:rsidRPr="005A2A9D">
        <w:rPr>
          <w:rFonts w:ascii="Bookman Old Style" w:hAnsi="Bookman Old Style" w:cs="Bookman Old Style"/>
          <w:sz w:val="24"/>
          <w:szCs w:val="24"/>
        </w:rPr>
        <w:t>The National Environmental Authority, through its webpage,</w:t>
      </w:r>
      <w:r w:rsidR="00E94219" w:rsidRPr="005A2A9D">
        <w:rPr>
          <w:rFonts w:ascii="Bookman Old Style" w:hAnsi="Bookman Old Style" w:cs="Bookman Old Style"/>
          <w:sz w:val="24"/>
          <w:szCs w:val="24"/>
        </w:rPr>
        <w:t xml:space="preserve"> has made available information relating to licensed environmental practitioners in the country including contact addresses; licensed waste handlers divided into the type of</w:t>
      </w:r>
      <w:r w:rsidR="00372D06" w:rsidRPr="005A2A9D">
        <w:rPr>
          <w:rFonts w:ascii="Bookman Old Style" w:hAnsi="Bookman Old Style" w:cs="Bookman Old Style"/>
          <w:sz w:val="24"/>
          <w:szCs w:val="24"/>
        </w:rPr>
        <w:t xml:space="preserve"> </w:t>
      </w:r>
      <w:r w:rsidR="00E94219" w:rsidRPr="005A2A9D">
        <w:rPr>
          <w:rFonts w:ascii="Bookman Old Style" w:hAnsi="Bookman Old Style" w:cs="Bookman Old Style"/>
          <w:sz w:val="24"/>
          <w:szCs w:val="24"/>
        </w:rPr>
        <w:t xml:space="preserve">waste they handle </w:t>
      </w:r>
    </w:p>
    <w:p w:rsidR="002B4DFA" w:rsidRDefault="00BA110D" w:rsidP="00D84164">
      <w:pPr>
        <w:jc w:val="both"/>
        <w:rPr>
          <w:rFonts w:ascii="Bookman Old Style" w:hAnsi="Bookman Old Style" w:cs="Bookman Old Style"/>
          <w:b/>
          <w:sz w:val="24"/>
          <w:szCs w:val="24"/>
        </w:rPr>
      </w:pPr>
      <w:r w:rsidRPr="005A2A9D">
        <w:rPr>
          <w:rFonts w:ascii="Bookman Old Style" w:hAnsi="Bookman Old Style" w:cs="Bookman Old Style"/>
          <w:b/>
          <w:sz w:val="24"/>
          <w:szCs w:val="24"/>
        </w:rPr>
        <w:t>Question 4</w:t>
      </w:r>
      <w:r w:rsidR="004D007A">
        <w:rPr>
          <w:rFonts w:ascii="Bookman Old Style" w:hAnsi="Bookman Old Style" w:cs="Bookman Old Style"/>
          <w:sz w:val="24"/>
          <w:szCs w:val="24"/>
        </w:rPr>
        <w:t xml:space="preserve"> -</w:t>
      </w:r>
      <w:r w:rsidR="004D007A" w:rsidRPr="004D007A">
        <w:rPr>
          <w:rFonts w:ascii="Bookman Old Style" w:hAnsi="Bookman Old Style" w:cs="Bookman Old Style"/>
          <w:b/>
          <w:sz w:val="24"/>
          <w:szCs w:val="24"/>
        </w:rPr>
        <w:t xml:space="preserve"> </w:t>
      </w:r>
      <w:r w:rsidR="0051049B" w:rsidRPr="004D007A">
        <w:rPr>
          <w:rFonts w:ascii="Bookman Old Style" w:hAnsi="Bookman Old Style" w:cs="Bookman Old Style"/>
          <w:b/>
          <w:sz w:val="24"/>
          <w:szCs w:val="24"/>
        </w:rPr>
        <w:t>Examples of how information on hazardous subst</w:t>
      </w:r>
      <w:r w:rsidR="002B4DFA" w:rsidRPr="004D007A">
        <w:rPr>
          <w:rFonts w:ascii="Bookman Old Style" w:hAnsi="Bookman Old Style" w:cs="Bookman Old Style"/>
          <w:b/>
          <w:sz w:val="24"/>
          <w:szCs w:val="24"/>
        </w:rPr>
        <w:t>ances and wastes has been used to:</w:t>
      </w:r>
    </w:p>
    <w:p w:rsidR="00625731" w:rsidRDefault="00625731" w:rsidP="00D84164">
      <w:pPr>
        <w:jc w:val="both"/>
        <w:rPr>
          <w:rFonts w:ascii="Bookman Old Style" w:hAnsi="Bookman Old Style" w:cs="Bookman Old Style"/>
          <w:sz w:val="24"/>
          <w:szCs w:val="24"/>
        </w:rPr>
      </w:pPr>
      <w:r>
        <w:rPr>
          <w:rFonts w:ascii="Bookman Old Style" w:hAnsi="Bookman Old Style" w:cs="Bookman Old Style"/>
          <w:b/>
          <w:sz w:val="24"/>
          <w:szCs w:val="24"/>
        </w:rPr>
        <w:t xml:space="preserve">Protect the human rights of individuals and groups from the adverse impacts of hazardous substances and </w:t>
      </w:r>
      <w:r w:rsidR="00E80C8F">
        <w:rPr>
          <w:rFonts w:ascii="Bookman Old Style" w:hAnsi="Bookman Old Style" w:cs="Bookman Old Style"/>
          <w:b/>
          <w:sz w:val="24"/>
          <w:szCs w:val="24"/>
        </w:rPr>
        <w:t>waste -</w:t>
      </w:r>
      <w:r w:rsidR="00A3437F">
        <w:rPr>
          <w:rFonts w:ascii="Bookman Old Style" w:hAnsi="Bookman Old Style" w:cs="Bookman Old Style"/>
          <w:b/>
          <w:sz w:val="24"/>
          <w:szCs w:val="24"/>
        </w:rPr>
        <w:t xml:space="preserve"> </w:t>
      </w:r>
      <w:r w:rsidR="00A3437F">
        <w:rPr>
          <w:rFonts w:ascii="Bookman Old Style" w:hAnsi="Bookman Old Style" w:cs="Bookman Old Style"/>
          <w:sz w:val="24"/>
          <w:szCs w:val="24"/>
        </w:rPr>
        <w:t xml:space="preserve">UHRC has the mandate </w:t>
      </w:r>
      <w:r w:rsidR="00E80C8F">
        <w:rPr>
          <w:rFonts w:ascii="Bookman Old Style" w:hAnsi="Bookman Old Style" w:cs="Bookman Old Style"/>
          <w:sz w:val="24"/>
          <w:szCs w:val="24"/>
        </w:rPr>
        <w:t>under Article 52 of the Constitution to investigate at its own initiative or on a complaint made by any person or group of persons against the violations of any human rights. If there is enough evidence proving a violation of a human right , the Commission could utilize arbitration , mediation or the tribunal as a means of compensating for the violation.   This forms part of the protective function of UHRC. Currently, the Commission is investigating a complaint where there has been an allegation of the pollution of Lake Victoria with hazardous wastes by several industries located in the vicinity. In considering the investigation, UHRC has had to make reference to information relating to hazardous wastes.</w:t>
      </w:r>
    </w:p>
    <w:p w:rsidR="00CC220E" w:rsidRPr="005A2A9D" w:rsidRDefault="00E80C8F" w:rsidP="00D84164">
      <w:pPr>
        <w:jc w:val="both"/>
        <w:rPr>
          <w:rFonts w:ascii="Bookman Old Style" w:hAnsi="Bookman Old Style" w:cs="Bookman Old Style"/>
          <w:sz w:val="24"/>
          <w:szCs w:val="24"/>
        </w:rPr>
      </w:pPr>
      <w:r>
        <w:rPr>
          <w:rFonts w:ascii="Bookman Old Style" w:hAnsi="Bookman Old Style" w:cs="Bookman Old Style"/>
          <w:sz w:val="24"/>
          <w:szCs w:val="24"/>
        </w:rPr>
        <w:t xml:space="preserve">An additional example is the </w:t>
      </w:r>
      <w:r w:rsidR="00C8021C">
        <w:rPr>
          <w:rFonts w:ascii="Bookman Old Style" w:hAnsi="Bookman Old Style" w:cs="Bookman Old Style"/>
          <w:sz w:val="24"/>
          <w:szCs w:val="24"/>
        </w:rPr>
        <w:t xml:space="preserve">investigation </w:t>
      </w:r>
      <w:r>
        <w:rPr>
          <w:rFonts w:ascii="Bookman Old Style" w:hAnsi="Bookman Old Style" w:cs="Bookman Old Style"/>
          <w:sz w:val="24"/>
          <w:szCs w:val="24"/>
        </w:rPr>
        <w:t>UHRC carried out in re</w:t>
      </w:r>
      <w:r w:rsidR="00CC220E">
        <w:rPr>
          <w:rFonts w:ascii="Bookman Old Style" w:hAnsi="Bookman Old Style" w:cs="Bookman Old Style"/>
          <w:sz w:val="24"/>
          <w:szCs w:val="24"/>
        </w:rPr>
        <w:t xml:space="preserve">lation to the rights of workers. When carrying out this investigation, </w:t>
      </w:r>
      <w:r w:rsidR="00CC220E" w:rsidRPr="005A2A9D">
        <w:rPr>
          <w:rFonts w:ascii="Bookman Old Style" w:hAnsi="Bookman Old Style" w:cs="Bookman Old Style"/>
          <w:sz w:val="24"/>
          <w:szCs w:val="24"/>
        </w:rPr>
        <w:t>UHRC observed the use of mercury and cyanide in artisanal and small scale mining activities in Busia gold mining areas.</w:t>
      </w:r>
      <w:r w:rsidR="00CC220E" w:rsidRPr="005A2A9D">
        <w:rPr>
          <w:rStyle w:val="FootnoteReference"/>
          <w:rFonts w:ascii="Bookman Old Style" w:hAnsi="Bookman Old Style" w:cs="Bookman Old Style"/>
          <w:sz w:val="24"/>
          <w:szCs w:val="24"/>
        </w:rPr>
        <w:footnoteReference w:id="18"/>
      </w:r>
      <w:r w:rsidR="00CC220E" w:rsidRPr="005A2A9D">
        <w:rPr>
          <w:rFonts w:ascii="Bookman Old Style" w:hAnsi="Bookman Old Style" w:cs="Bookman Old Style"/>
          <w:sz w:val="24"/>
          <w:szCs w:val="24"/>
        </w:rPr>
        <w:t xml:space="preserve"> Mercury is said to have adverse neurological and other health effects, with particular concerns expressed about its harmful effects on unborn children and infants.</w:t>
      </w:r>
      <w:r w:rsidR="00CC220E" w:rsidRPr="005A2A9D">
        <w:rPr>
          <w:rStyle w:val="FootnoteReference"/>
          <w:rFonts w:ascii="Bookman Old Style" w:hAnsi="Bookman Old Style" w:cs="Bookman Old Style"/>
          <w:sz w:val="24"/>
          <w:szCs w:val="24"/>
        </w:rPr>
        <w:footnoteReference w:id="19"/>
      </w:r>
      <w:r w:rsidR="00CC220E">
        <w:rPr>
          <w:rFonts w:ascii="Bookman Old Style" w:hAnsi="Bookman Old Style" w:cs="Bookman Old Style"/>
          <w:sz w:val="24"/>
          <w:szCs w:val="24"/>
        </w:rPr>
        <w:t xml:space="preserve"> UHRC mentioned these challenges in its special report </w:t>
      </w:r>
      <w:r w:rsidR="00CC220E">
        <w:rPr>
          <w:rStyle w:val="FootnoteReference"/>
          <w:rFonts w:ascii="Bookman Old Style" w:hAnsi="Bookman Old Style" w:cs="Bookman Old Style"/>
          <w:sz w:val="24"/>
          <w:szCs w:val="24"/>
        </w:rPr>
        <w:footnoteReference w:id="20"/>
      </w:r>
      <w:r w:rsidR="00CC220E">
        <w:rPr>
          <w:rFonts w:ascii="Bookman Old Style" w:hAnsi="Bookman Old Style" w:cs="Bookman Old Style"/>
          <w:sz w:val="24"/>
          <w:szCs w:val="24"/>
        </w:rPr>
        <w:t xml:space="preserve"> and made several recommendations to the government as to how to rectify these challenges. </w:t>
      </w:r>
      <w:r w:rsidR="00C8021C">
        <w:rPr>
          <w:rFonts w:ascii="Bookman Old Style" w:hAnsi="Bookman Old Style" w:cs="Bookman Old Style"/>
          <w:sz w:val="24"/>
          <w:szCs w:val="24"/>
        </w:rPr>
        <w:t xml:space="preserve"> In considering their findings in relation to hazardous wastes in this respect, UHRC had to rely and refer to external information regarding hazardous substances and wastes. </w:t>
      </w:r>
      <w:r w:rsidR="00CC220E">
        <w:rPr>
          <w:rFonts w:ascii="Bookman Old Style" w:hAnsi="Bookman Old Style" w:cs="Bookman Old Style"/>
          <w:sz w:val="24"/>
          <w:szCs w:val="24"/>
        </w:rPr>
        <w:t>This is</w:t>
      </w:r>
      <w:r w:rsidR="00C8021C">
        <w:rPr>
          <w:rFonts w:ascii="Bookman Old Style" w:hAnsi="Bookman Old Style" w:cs="Bookman Old Style"/>
          <w:sz w:val="24"/>
          <w:szCs w:val="24"/>
        </w:rPr>
        <w:t xml:space="preserve"> in</w:t>
      </w:r>
      <w:r w:rsidR="00CC220E">
        <w:rPr>
          <w:rFonts w:ascii="Bookman Old Style" w:hAnsi="Bookman Old Style" w:cs="Bookman Old Style"/>
          <w:sz w:val="24"/>
          <w:szCs w:val="24"/>
        </w:rPr>
        <w:t xml:space="preserve"> furtherance of the protective mandate of UHRC.</w:t>
      </w:r>
    </w:p>
    <w:p w:rsidR="00625731" w:rsidRPr="00083421" w:rsidRDefault="001F3C62" w:rsidP="00D84164">
      <w:pPr>
        <w:jc w:val="both"/>
        <w:rPr>
          <w:rFonts w:ascii="Bookman Old Style" w:hAnsi="Bookman Old Style" w:cs="Bookman Old Style"/>
          <w:sz w:val="24"/>
          <w:szCs w:val="24"/>
        </w:rPr>
      </w:pPr>
      <w:r>
        <w:rPr>
          <w:rFonts w:ascii="Bookman Old Style" w:hAnsi="Bookman Old Style" w:cs="Bookman Old Style"/>
          <w:b/>
          <w:sz w:val="24"/>
          <w:szCs w:val="24"/>
        </w:rPr>
        <w:lastRenderedPageBreak/>
        <w:t>Promote other human rights</w:t>
      </w:r>
      <w:r w:rsidR="00E80C8F">
        <w:rPr>
          <w:rFonts w:ascii="Bookman Old Style" w:hAnsi="Bookman Old Style" w:cs="Bookman Old Style"/>
          <w:b/>
          <w:sz w:val="24"/>
          <w:szCs w:val="24"/>
        </w:rPr>
        <w:t xml:space="preserve"> </w:t>
      </w:r>
      <w:r w:rsidR="00083421">
        <w:rPr>
          <w:rFonts w:ascii="Bookman Old Style" w:hAnsi="Bookman Old Style" w:cs="Bookman Old Style"/>
          <w:b/>
          <w:sz w:val="24"/>
          <w:szCs w:val="24"/>
        </w:rPr>
        <w:t>–</w:t>
      </w:r>
      <w:r w:rsidR="00E80C8F">
        <w:rPr>
          <w:rFonts w:ascii="Bookman Old Style" w:hAnsi="Bookman Old Style" w:cs="Bookman Old Style"/>
          <w:b/>
          <w:sz w:val="24"/>
          <w:szCs w:val="24"/>
        </w:rPr>
        <w:t xml:space="preserve"> </w:t>
      </w:r>
      <w:r w:rsidR="00083421">
        <w:rPr>
          <w:rFonts w:ascii="Bookman Old Style" w:hAnsi="Bookman Old Style" w:cs="Bookman Old Style"/>
          <w:sz w:val="24"/>
          <w:szCs w:val="24"/>
        </w:rPr>
        <w:t xml:space="preserve">The Ministry of Information and Guidance is mandated to regulate the media and to coordinate dissemination of information on government programmes and activities. In carry out this mandate, the Ministry shall in essence be promoting other human </w:t>
      </w:r>
      <w:r w:rsidR="000912CE">
        <w:rPr>
          <w:rFonts w:ascii="Bookman Old Style" w:hAnsi="Bookman Old Style" w:cs="Bookman Old Style"/>
          <w:sz w:val="24"/>
          <w:szCs w:val="24"/>
        </w:rPr>
        <w:t xml:space="preserve">rights. The Ministry has disseminated </w:t>
      </w:r>
      <w:r w:rsidR="00083421">
        <w:rPr>
          <w:rFonts w:ascii="Bookman Old Style" w:hAnsi="Bookman Old Style" w:cs="Bookman Old Style"/>
          <w:sz w:val="24"/>
          <w:szCs w:val="24"/>
        </w:rPr>
        <w:t xml:space="preserve">information in relation to the hazardous wastes. For instance, they disseminated and </w:t>
      </w:r>
      <w:r w:rsidR="00D65807">
        <w:rPr>
          <w:rFonts w:ascii="Bookman Old Style" w:hAnsi="Bookman Old Style" w:cs="Bookman Old Style"/>
          <w:sz w:val="24"/>
          <w:szCs w:val="24"/>
        </w:rPr>
        <w:t>explained the</w:t>
      </w:r>
      <w:r w:rsidR="00083421">
        <w:rPr>
          <w:rFonts w:ascii="Bookman Old Style" w:hAnsi="Bookman Old Style" w:cs="Bookman Old Style"/>
          <w:sz w:val="24"/>
          <w:szCs w:val="24"/>
        </w:rPr>
        <w:t xml:space="preserve"> strategy and the national policy for Electronic Waste Management  </w:t>
      </w:r>
    </w:p>
    <w:p w:rsidR="001F3C62" w:rsidRPr="009A2A02" w:rsidRDefault="001F3C62" w:rsidP="00D84164">
      <w:pPr>
        <w:jc w:val="both"/>
        <w:rPr>
          <w:rFonts w:ascii="Bookman Old Style" w:hAnsi="Bookman Old Style" w:cs="Bookman Old Style"/>
          <w:sz w:val="24"/>
          <w:szCs w:val="24"/>
        </w:rPr>
      </w:pPr>
      <w:r>
        <w:rPr>
          <w:rFonts w:ascii="Bookman Old Style" w:hAnsi="Bookman Old Style" w:cs="Bookman Old Style"/>
          <w:b/>
          <w:sz w:val="24"/>
          <w:szCs w:val="24"/>
        </w:rPr>
        <w:t xml:space="preserve">Hold perpetrators accountable and seek </w:t>
      </w:r>
      <w:r w:rsidR="00D65807">
        <w:rPr>
          <w:rFonts w:ascii="Bookman Old Style" w:hAnsi="Bookman Old Style" w:cs="Bookman Old Style"/>
          <w:b/>
          <w:sz w:val="24"/>
          <w:szCs w:val="24"/>
        </w:rPr>
        <w:t xml:space="preserve">remedy – </w:t>
      </w:r>
      <w:r w:rsidR="00D65807">
        <w:rPr>
          <w:rFonts w:ascii="Bookman Old Style" w:hAnsi="Bookman Old Style" w:cs="Bookman Old Style"/>
          <w:sz w:val="24"/>
          <w:szCs w:val="24"/>
        </w:rPr>
        <w:t xml:space="preserve">There has been increased litigation and </w:t>
      </w:r>
      <w:r w:rsidR="009A2A02">
        <w:rPr>
          <w:rFonts w:ascii="Bookman Old Style" w:hAnsi="Bookman Old Style" w:cs="Bookman Old Style"/>
          <w:sz w:val="24"/>
          <w:szCs w:val="24"/>
        </w:rPr>
        <w:t>jurisprudence in</w:t>
      </w:r>
      <w:r w:rsidR="00D65807">
        <w:rPr>
          <w:rFonts w:ascii="Bookman Old Style" w:hAnsi="Bookman Old Style" w:cs="Bookman Old Style"/>
          <w:sz w:val="24"/>
          <w:szCs w:val="24"/>
        </w:rPr>
        <w:t xml:space="preserve"> respect to holing perpetrators accountable and indeed seek a remedy in this respect. The most prominent case in this respect is the Green Watch v Attorney General and NEMA Misc. Cause No. 5 of 2011. In this case, a court </w:t>
      </w:r>
      <w:r w:rsidR="009A2A02">
        <w:rPr>
          <w:rFonts w:ascii="Bookman Old Style" w:hAnsi="Bookman Old Style" w:cs="Bookman Old Style"/>
          <w:sz w:val="24"/>
          <w:szCs w:val="24"/>
        </w:rPr>
        <w:t xml:space="preserve">order </w:t>
      </w:r>
      <w:r w:rsidR="00D65807">
        <w:rPr>
          <w:rFonts w:ascii="Bookman Old Style" w:hAnsi="Bookman Old Style" w:cs="Bookman Old Style"/>
          <w:sz w:val="24"/>
          <w:szCs w:val="24"/>
        </w:rPr>
        <w:t>was made to the effect that</w:t>
      </w:r>
      <w:r w:rsidR="009A2A02" w:rsidRPr="009A2A02">
        <w:t xml:space="preserve"> </w:t>
      </w:r>
      <w:r w:rsidR="009A2A02" w:rsidRPr="009A2A02">
        <w:rPr>
          <w:rFonts w:ascii="Bookman Old Style" w:hAnsi="Bookman Old Style"/>
          <w:sz w:val="24"/>
          <w:szCs w:val="24"/>
        </w:rPr>
        <w:t xml:space="preserve">the manufacture, distribution, use, sale, sell disposal of plastic bags, plastic containers, plastic food wrappers, and all other forms of plastic commonly referred to as 'kaveera' violates the rights of citizens of Uganda to a clean and healthy environment </w:t>
      </w:r>
      <w:r w:rsidR="009A2A02">
        <w:rPr>
          <w:rFonts w:ascii="Bookman Old Style" w:hAnsi="Bookman Old Style"/>
          <w:sz w:val="24"/>
          <w:szCs w:val="24"/>
        </w:rPr>
        <w:t>and were considered as solid  and hazardous waste. This eventually culminated into a ban being introduced by NEMA that bans the manufacture, use and sale of plastic bags.</w:t>
      </w:r>
    </w:p>
    <w:p w:rsidR="00C56D57" w:rsidRPr="005A2A9D" w:rsidRDefault="00097021" w:rsidP="00D84164">
      <w:pPr>
        <w:jc w:val="both"/>
        <w:rPr>
          <w:rFonts w:ascii="Bookman Old Style" w:hAnsi="Bookman Old Style" w:cs="Bookman Old Style"/>
          <w:sz w:val="24"/>
          <w:szCs w:val="24"/>
        </w:rPr>
      </w:pPr>
      <w:r w:rsidRPr="005A2A9D">
        <w:rPr>
          <w:rFonts w:ascii="Bookman Old Style" w:hAnsi="Bookman Old Style" w:cs="Bookman Old Style"/>
          <w:b/>
          <w:sz w:val="24"/>
          <w:szCs w:val="24"/>
        </w:rPr>
        <w:t xml:space="preserve">Question 5 </w:t>
      </w:r>
      <w:r w:rsidR="008F1CA5">
        <w:rPr>
          <w:rFonts w:ascii="Bookman Old Style" w:hAnsi="Bookman Old Style" w:cs="Bookman Old Style"/>
          <w:b/>
          <w:sz w:val="24"/>
          <w:szCs w:val="24"/>
        </w:rPr>
        <w:t>- Which</w:t>
      </w:r>
      <w:r w:rsidR="000278E3">
        <w:rPr>
          <w:rFonts w:ascii="Bookman Old Style" w:hAnsi="Bookman Old Style" w:cs="Bookman Old Style"/>
          <w:b/>
          <w:sz w:val="24"/>
          <w:szCs w:val="24"/>
        </w:rPr>
        <w:t xml:space="preserve"> businesses are required to provide on harzadous substances and wastes </w:t>
      </w:r>
    </w:p>
    <w:p w:rsidR="000278E3" w:rsidRPr="005A2A9D" w:rsidRDefault="00A0394C" w:rsidP="00D84164">
      <w:pPr>
        <w:jc w:val="both"/>
        <w:rPr>
          <w:rFonts w:ascii="Bookman Old Style" w:hAnsi="Bookman Old Style" w:cs="Bookman Old Style"/>
          <w:sz w:val="24"/>
          <w:szCs w:val="24"/>
        </w:rPr>
      </w:pPr>
      <w:r w:rsidRPr="005A2A9D">
        <w:rPr>
          <w:rFonts w:ascii="Bookman Old Style" w:hAnsi="Bookman Old Style" w:cs="Bookman Old Style"/>
          <w:sz w:val="24"/>
          <w:szCs w:val="24"/>
        </w:rPr>
        <w:t>Section 41 of</w:t>
      </w:r>
      <w:r w:rsidR="008C7F38" w:rsidRPr="005A2A9D">
        <w:rPr>
          <w:rFonts w:ascii="Bookman Old Style" w:hAnsi="Bookman Old Style" w:cs="Bookman Old Style"/>
          <w:sz w:val="24"/>
          <w:szCs w:val="24"/>
        </w:rPr>
        <w:t xml:space="preserve"> the</w:t>
      </w:r>
      <w:r w:rsidR="0040183C" w:rsidRPr="005A2A9D">
        <w:rPr>
          <w:rFonts w:ascii="Bookman Old Style" w:hAnsi="Bookman Old Style" w:cs="Bookman Old Style"/>
          <w:sz w:val="24"/>
          <w:szCs w:val="24"/>
        </w:rPr>
        <w:t xml:space="preserve"> Occupat</w:t>
      </w:r>
      <w:r w:rsidRPr="005A2A9D">
        <w:rPr>
          <w:rFonts w:ascii="Bookman Old Style" w:hAnsi="Bookman Old Style" w:cs="Bookman Old Style"/>
          <w:sz w:val="24"/>
          <w:szCs w:val="24"/>
        </w:rPr>
        <w:t xml:space="preserve">ion Safety and Health Act </w:t>
      </w:r>
      <w:r w:rsidR="00CD13C9" w:rsidRPr="005A2A9D">
        <w:rPr>
          <w:rFonts w:ascii="Bookman Old Style" w:hAnsi="Bookman Old Style" w:cs="Bookman Old Style"/>
          <w:sz w:val="24"/>
          <w:szCs w:val="24"/>
        </w:rPr>
        <w:t xml:space="preserve">No. 9 </w:t>
      </w:r>
      <w:r w:rsidRPr="005A2A9D">
        <w:rPr>
          <w:rFonts w:ascii="Bookman Old Style" w:hAnsi="Bookman Old Style" w:cs="Bookman Old Style"/>
          <w:sz w:val="24"/>
          <w:szCs w:val="24"/>
        </w:rPr>
        <w:t xml:space="preserve">2006 requires </w:t>
      </w:r>
      <w:r w:rsidR="008C7F38" w:rsidRPr="005A2A9D">
        <w:rPr>
          <w:rFonts w:ascii="Bookman Old Style" w:hAnsi="Bookman Old Style" w:cs="Bookman Old Style"/>
          <w:sz w:val="24"/>
          <w:szCs w:val="24"/>
        </w:rPr>
        <w:t>all wo</w:t>
      </w:r>
      <w:r w:rsidR="009A2A02">
        <w:rPr>
          <w:rFonts w:ascii="Bookman Old Style" w:hAnsi="Bookman Old Style" w:cs="Bookman Old Style"/>
          <w:sz w:val="24"/>
          <w:szCs w:val="24"/>
        </w:rPr>
        <w:t xml:space="preserve">rk places, including permanent and temporary </w:t>
      </w:r>
      <w:r w:rsidR="008C7F38" w:rsidRPr="005A2A9D">
        <w:rPr>
          <w:rFonts w:ascii="Bookman Old Style" w:hAnsi="Bookman Old Style" w:cs="Bookman Old Style"/>
          <w:sz w:val="24"/>
          <w:szCs w:val="24"/>
        </w:rPr>
        <w:t>workplaces in the field, oil refineries and mobil</w:t>
      </w:r>
      <w:r w:rsidRPr="005A2A9D">
        <w:rPr>
          <w:rFonts w:ascii="Bookman Old Style" w:hAnsi="Bookman Old Style" w:cs="Bookman Old Style"/>
          <w:sz w:val="24"/>
          <w:szCs w:val="24"/>
        </w:rPr>
        <w:t>e places</w:t>
      </w:r>
      <w:r w:rsidR="008C7F38" w:rsidRPr="005A2A9D">
        <w:rPr>
          <w:rFonts w:ascii="Bookman Old Style" w:hAnsi="Bookman Old Style" w:cs="Bookman Old Style"/>
          <w:sz w:val="24"/>
          <w:szCs w:val="24"/>
        </w:rPr>
        <w:t xml:space="preserve"> </w:t>
      </w:r>
      <w:r w:rsidRPr="005A2A9D">
        <w:rPr>
          <w:rFonts w:ascii="Bookman Old Style" w:hAnsi="Bookman Old Style" w:cs="Bookman Old Style"/>
          <w:sz w:val="24"/>
          <w:szCs w:val="24"/>
        </w:rPr>
        <w:t xml:space="preserve">to </w:t>
      </w:r>
      <w:r w:rsidR="008C7F38" w:rsidRPr="005A2A9D">
        <w:rPr>
          <w:rFonts w:ascii="Bookman Old Style" w:hAnsi="Bookman Old Style" w:cs="Bookman Old Style"/>
          <w:sz w:val="24"/>
          <w:szCs w:val="24"/>
        </w:rPr>
        <w:t>be registered and issued with a certificate of registration</w:t>
      </w:r>
      <w:r w:rsidRPr="005A2A9D">
        <w:rPr>
          <w:rFonts w:ascii="Bookman Old Style" w:hAnsi="Bookman Old Style" w:cs="Bookman Old Style"/>
          <w:sz w:val="24"/>
          <w:szCs w:val="24"/>
        </w:rPr>
        <w:t xml:space="preserve">. </w:t>
      </w:r>
      <w:r w:rsidR="00A936D4" w:rsidRPr="005A2A9D">
        <w:rPr>
          <w:rFonts w:ascii="Bookman Old Style" w:hAnsi="Bookman Old Style" w:cs="Bookman Old Style"/>
          <w:sz w:val="24"/>
          <w:szCs w:val="24"/>
        </w:rPr>
        <w:t xml:space="preserve"> The </w:t>
      </w:r>
      <w:r w:rsidR="009A2A02">
        <w:rPr>
          <w:rFonts w:ascii="Bookman Old Style" w:hAnsi="Bookman Old Style" w:cs="Bookman Old Style"/>
          <w:sz w:val="24"/>
          <w:szCs w:val="24"/>
        </w:rPr>
        <w:t xml:space="preserve">registration </w:t>
      </w:r>
      <w:r w:rsidR="00A936D4" w:rsidRPr="005A2A9D">
        <w:rPr>
          <w:rFonts w:ascii="Bookman Old Style" w:hAnsi="Bookman Old Style" w:cs="Bookman Old Style"/>
          <w:sz w:val="24"/>
          <w:szCs w:val="24"/>
        </w:rPr>
        <w:t xml:space="preserve">form contains information such as the precise location of the workplace, the nature of work, whether there is intent to use </w:t>
      </w:r>
      <w:r w:rsidRPr="005A2A9D">
        <w:rPr>
          <w:rFonts w:ascii="Bookman Old Style" w:hAnsi="Bookman Old Style" w:cs="Bookman Old Style"/>
          <w:sz w:val="24"/>
          <w:szCs w:val="24"/>
        </w:rPr>
        <w:t xml:space="preserve">hazardous and toxic substances, </w:t>
      </w:r>
      <w:r w:rsidR="009A2A02">
        <w:rPr>
          <w:rFonts w:ascii="Bookman Old Style" w:hAnsi="Bookman Old Style" w:cs="Bookman Old Style"/>
          <w:sz w:val="24"/>
          <w:szCs w:val="24"/>
        </w:rPr>
        <w:t xml:space="preserve">and </w:t>
      </w:r>
      <w:r w:rsidRPr="005A2A9D">
        <w:rPr>
          <w:rFonts w:ascii="Bookman Old Style" w:hAnsi="Bookman Old Style" w:cs="Bookman Old Style"/>
          <w:sz w:val="24"/>
          <w:szCs w:val="24"/>
        </w:rPr>
        <w:t xml:space="preserve">if so, the chemical properties, and perceived effects including reproductive effects, method of handling waste and whether there is intent to use an industrial waste treatment plant. This information is </w:t>
      </w:r>
      <w:r w:rsidR="00D644D1" w:rsidRPr="005A2A9D">
        <w:rPr>
          <w:rFonts w:ascii="Bookman Old Style" w:hAnsi="Bookman Old Style" w:cs="Bookman Old Style"/>
          <w:sz w:val="24"/>
          <w:szCs w:val="24"/>
        </w:rPr>
        <w:t xml:space="preserve">provided during the initial workplace registration and is not restricted to any sector, operational context, and size or ownership structure. It applies to all permanent or temporary businesses of any sector. </w:t>
      </w:r>
      <w:r w:rsidR="00CB4413" w:rsidRPr="005A2A9D">
        <w:rPr>
          <w:rFonts w:ascii="Bookman Old Style" w:hAnsi="Bookman Old Style" w:cs="Bookman Old Style"/>
          <w:sz w:val="24"/>
          <w:szCs w:val="24"/>
        </w:rPr>
        <w:t>The information is</w:t>
      </w:r>
      <w:r w:rsidR="005F0FB1" w:rsidRPr="005A2A9D">
        <w:rPr>
          <w:rFonts w:ascii="Bookman Old Style" w:hAnsi="Bookman Old Style" w:cs="Bookman Old Style"/>
          <w:sz w:val="24"/>
          <w:szCs w:val="24"/>
        </w:rPr>
        <w:t xml:space="preserve"> submitted to the </w:t>
      </w:r>
      <w:r w:rsidR="00CB4413" w:rsidRPr="005A2A9D">
        <w:rPr>
          <w:rFonts w:ascii="Bookman Old Style" w:hAnsi="Bookman Old Style" w:cs="Bookman Old Style"/>
          <w:sz w:val="24"/>
          <w:szCs w:val="24"/>
        </w:rPr>
        <w:t>Occupational</w:t>
      </w:r>
      <w:r w:rsidR="005F0FB1" w:rsidRPr="005A2A9D">
        <w:rPr>
          <w:rFonts w:ascii="Bookman Old Style" w:hAnsi="Bookman Old Style" w:cs="Bookman Old Style"/>
          <w:sz w:val="24"/>
          <w:szCs w:val="24"/>
        </w:rPr>
        <w:t xml:space="preserve"> Health and</w:t>
      </w:r>
      <w:r w:rsidR="00CB4413" w:rsidRPr="005A2A9D">
        <w:rPr>
          <w:rFonts w:ascii="Bookman Old Style" w:hAnsi="Bookman Old Style" w:cs="Bookman Old Style"/>
          <w:sz w:val="24"/>
          <w:szCs w:val="24"/>
        </w:rPr>
        <w:t xml:space="preserve"> Safety </w:t>
      </w:r>
      <w:r w:rsidR="005F0FB1" w:rsidRPr="005A2A9D">
        <w:rPr>
          <w:rFonts w:ascii="Bookman Old Style" w:hAnsi="Bookman Old Style" w:cs="Bookman Old Style"/>
          <w:sz w:val="24"/>
          <w:szCs w:val="24"/>
        </w:rPr>
        <w:t xml:space="preserve">Department </w:t>
      </w:r>
      <w:r w:rsidR="00CB4413" w:rsidRPr="005A2A9D">
        <w:rPr>
          <w:rFonts w:ascii="Bookman Old Style" w:hAnsi="Bookman Old Style" w:cs="Bookman Old Style"/>
          <w:sz w:val="24"/>
          <w:szCs w:val="24"/>
        </w:rPr>
        <w:t xml:space="preserve">under the Ministry of Gender, Labour and Social Development. </w:t>
      </w:r>
      <w:r w:rsidR="000278E3" w:rsidRPr="005A2A9D">
        <w:rPr>
          <w:rFonts w:ascii="Bookman Old Style" w:hAnsi="Bookman Old Style" w:cs="Bookman Old Style"/>
          <w:sz w:val="24"/>
          <w:szCs w:val="24"/>
        </w:rPr>
        <w:t>Businesses are required to provide inf</w:t>
      </w:r>
      <w:r w:rsidR="000278E3">
        <w:rPr>
          <w:rFonts w:ascii="Bookman Old Style" w:hAnsi="Bookman Old Style" w:cs="Bookman Old Style"/>
          <w:sz w:val="24"/>
          <w:szCs w:val="24"/>
        </w:rPr>
        <w:t xml:space="preserve">ormation as stated in Schedule </w:t>
      </w:r>
      <w:r w:rsidR="000278E3" w:rsidRPr="005A2A9D">
        <w:rPr>
          <w:rFonts w:ascii="Bookman Old Style" w:hAnsi="Bookman Old Style" w:cs="Bookman Old Style"/>
          <w:sz w:val="24"/>
          <w:szCs w:val="24"/>
        </w:rPr>
        <w:t>3. They are obliged to provide information relating to the type, treatment and management of hazardous waste and the perceived effects it has on</w:t>
      </w:r>
      <w:r w:rsidR="000912CE">
        <w:rPr>
          <w:rFonts w:ascii="Bookman Old Style" w:hAnsi="Bookman Old Style" w:cs="Bookman Old Style"/>
          <w:sz w:val="24"/>
          <w:szCs w:val="24"/>
        </w:rPr>
        <w:t xml:space="preserve"> health and the environment. In the </w:t>
      </w:r>
      <w:r w:rsidR="000278E3" w:rsidRPr="005A2A9D">
        <w:rPr>
          <w:rFonts w:ascii="Bookman Old Style" w:hAnsi="Bookman Old Style" w:cs="Bookman Old Style"/>
          <w:sz w:val="24"/>
          <w:szCs w:val="24"/>
        </w:rPr>
        <w:t>first instance, the information is m</w:t>
      </w:r>
      <w:r w:rsidR="000278E3">
        <w:rPr>
          <w:rFonts w:ascii="Bookman Old Style" w:hAnsi="Bookman Old Style" w:cs="Bookman Old Style"/>
          <w:sz w:val="24"/>
          <w:szCs w:val="24"/>
        </w:rPr>
        <w:t>ade available to the D</w:t>
      </w:r>
      <w:r w:rsidR="000278E3" w:rsidRPr="005A2A9D">
        <w:rPr>
          <w:rFonts w:ascii="Bookman Old Style" w:hAnsi="Bookman Old Style" w:cs="Bookman Old Style"/>
          <w:sz w:val="24"/>
          <w:szCs w:val="24"/>
        </w:rPr>
        <w:t xml:space="preserve">epartment and the Health and Safety inspector. </w:t>
      </w:r>
    </w:p>
    <w:p w:rsidR="00C56D57" w:rsidRDefault="000278E3" w:rsidP="00D84164">
      <w:pPr>
        <w:jc w:val="both"/>
        <w:rPr>
          <w:rFonts w:ascii="Bookman Old Style" w:hAnsi="Bookman Old Style" w:cs="Bookman Old Style"/>
          <w:sz w:val="24"/>
          <w:szCs w:val="24"/>
        </w:rPr>
      </w:pPr>
      <w:r>
        <w:rPr>
          <w:rFonts w:ascii="Bookman Old Style" w:hAnsi="Bookman Old Style" w:cs="Bookman Old Style"/>
          <w:sz w:val="24"/>
          <w:szCs w:val="24"/>
        </w:rPr>
        <w:lastRenderedPageBreak/>
        <w:t>Any person</w:t>
      </w:r>
      <w:r w:rsidR="00CB4413" w:rsidRPr="005A2A9D">
        <w:rPr>
          <w:rFonts w:ascii="Bookman Old Style" w:hAnsi="Bookman Old Style" w:cs="Bookman Old Style"/>
          <w:sz w:val="24"/>
          <w:szCs w:val="24"/>
        </w:rPr>
        <w:t xml:space="preserve"> who want</w:t>
      </w:r>
      <w:r>
        <w:rPr>
          <w:rFonts w:ascii="Bookman Old Style" w:hAnsi="Bookman Old Style" w:cs="Bookman Old Style"/>
          <w:sz w:val="24"/>
          <w:szCs w:val="24"/>
        </w:rPr>
        <w:t>s</w:t>
      </w:r>
      <w:r w:rsidR="00CB4413" w:rsidRPr="005A2A9D">
        <w:rPr>
          <w:rFonts w:ascii="Bookman Old Style" w:hAnsi="Bookman Old Style" w:cs="Bookman Old Style"/>
          <w:sz w:val="24"/>
          <w:szCs w:val="24"/>
        </w:rPr>
        <w:t xml:space="preserve"> t</w:t>
      </w:r>
      <w:r w:rsidR="00372C4E" w:rsidRPr="005A2A9D">
        <w:rPr>
          <w:rFonts w:ascii="Bookman Old Style" w:hAnsi="Bookman Old Style" w:cs="Bookman Old Style"/>
          <w:sz w:val="24"/>
          <w:szCs w:val="24"/>
        </w:rPr>
        <w:t xml:space="preserve">o access </w:t>
      </w:r>
      <w:r>
        <w:rPr>
          <w:rFonts w:ascii="Bookman Old Style" w:hAnsi="Bookman Old Style" w:cs="Bookman Old Style"/>
          <w:sz w:val="24"/>
          <w:szCs w:val="24"/>
        </w:rPr>
        <w:t xml:space="preserve">this </w:t>
      </w:r>
      <w:r w:rsidR="00372C4E" w:rsidRPr="005A2A9D">
        <w:rPr>
          <w:rFonts w:ascii="Bookman Old Style" w:hAnsi="Bookman Old Style" w:cs="Bookman Old Style"/>
          <w:sz w:val="24"/>
          <w:szCs w:val="24"/>
        </w:rPr>
        <w:t xml:space="preserve">information contained in this form must then go through the </w:t>
      </w:r>
      <w:r w:rsidR="009A2A02">
        <w:rPr>
          <w:rFonts w:ascii="Bookman Old Style" w:hAnsi="Bookman Old Style" w:cs="Bookman Old Style"/>
          <w:sz w:val="24"/>
          <w:szCs w:val="24"/>
        </w:rPr>
        <w:t xml:space="preserve">provisions of the </w:t>
      </w:r>
      <w:r w:rsidR="00372C4E" w:rsidRPr="005A2A9D">
        <w:rPr>
          <w:rFonts w:ascii="Bookman Old Style" w:hAnsi="Bookman Old Style" w:cs="Bookman Old Style"/>
          <w:sz w:val="24"/>
          <w:szCs w:val="24"/>
        </w:rPr>
        <w:t>A</w:t>
      </w:r>
      <w:r w:rsidR="009A2A02">
        <w:rPr>
          <w:rFonts w:ascii="Bookman Old Style" w:hAnsi="Bookman Old Style" w:cs="Bookman Old Style"/>
          <w:sz w:val="24"/>
          <w:szCs w:val="24"/>
        </w:rPr>
        <w:t xml:space="preserve">ccess </w:t>
      </w:r>
      <w:r w:rsidR="00372C4E" w:rsidRPr="005A2A9D">
        <w:rPr>
          <w:rFonts w:ascii="Bookman Old Style" w:hAnsi="Bookman Old Style" w:cs="Bookman Old Style"/>
          <w:sz w:val="24"/>
          <w:szCs w:val="24"/>
        </w:rPr>
        <w:t>T</w:t>
      </w:r>
      <w:r w:rsidR="009A2A02">
        <w:rPr>
          <w:rFonts w:ascii="Bookman Old Style" w:hAnsi="Bookman Old Style" w:cs="Bookman Old Style"/>
          <w:sz w:val="24"/>
          <w:szCs w:val="24"/>
        </w:rPr>
        <w:t xml:space="preserve">o </w:t>
      </w:r>
      <w:r w:rsidR="00372C4E" w:rsidRPr="005A2A9D">
        <w:rPr>
          <w:rFonts w:ascii="Bookman Old Style" w:hAnsi="Bookman Old Style" w:cs="Bookman Old Style"/>
          <w:sz w:val="24"/>
          <w:szCs w:val="24"/>
        </w:rPr>
        <w:t>I</w:t>
      </w:r>
      <w:r>
        <w:rPr>
          <w:rFonts w:ascii="Bookman Old Style" w:hAnsi="Bookman Old Style" w:cs="Bookman Old Style"/>
          <w:sz w:val="24"/>
          <w:szCs w:val="24"/>
        </w:rPr>
        <w:t>nformation</w:t>
      </w:r>
      <w:r w:rsidR="00372C4E" w:rsidRPr="005A2A9D">
        <w:rPr>
          <w:rFonts w:ascii="Bookman Old Style" w:hAnsi="Bookman Old Style" w:cs="Bookman Old Style"/>
          <w:sz w:val="24"/>
          <w:szCs w:val="24"/>
        </w:rPr>
        <w:t xml:space="preserve"> Act to obtain such information since the ATI Act is applicable to </w:t>
      </w:r>
      <w:r w:rsidR="00C60A82" w:rsidRPr="005A2A9D">
        <w:rPr>
          <w:rFonts w:ascii="Bookman Old Style" w:hAnsi="Bookman Old Style" w:cs="Bookman Old Style"/>
          <w:sz w:val="24"/>
          <w:szCs w:val="24"/>
        </w:rPr>
        <w:t>Government Ministries and departments.</w:t>
      </w:r>
      <w:r w:rsidR="00C60A82" w:rsidRPr="005A2A9D">
        <w:rPr>
          <w:rStyle w:val="FootnoteReference"/>
          <w:rFonts w:ascii="Bookman Old Style" w:hAnsi="Bookman Old Style" w:cs="Bookman Old Style"/>
          <w:sz w:val="24"/>
          <w:szCs w:val="24"/>
        </w:rPr>
        <w:footnoteReference w:id="21"/>
      </w:r>
    </w:p>
    <w:p w:rsidR="000278E3" w:rsidRPr="005A2A9D" w:rsidRDefault="000278E3" w:rsidP="00D84164">
      <w:pPr>
        <w:jc w:val="both"/>
        <w:rPr>
          <w:rFonts w:ascii="Bookman Old Style" w:hAnsi="Bookman Old Style" w:cs="Bookman Old Style"/>
          <w:sz w:val="24"/>
          <w:szCs w:val="24"/>
        </w:rPr>
      </w:pPr>
      <w:r>
        <w:rPr>
          <w:rFonts w:ascii="Bookman Old Style" w:hAnsi="Bookman Old Style" w:cs="Bookman Old Style"/>
          <w:sz w:val="24"/>
          <w:szCs w:val="24"/>
        </w:rPr>
        <w:t xml:space="preserve">There several challenges associated with obtaining such information. </w:t>
      </w:r>
      <w:r w:rsidRPr="005A2A9D">
        <w:rPr>
          <w:rFonts w:ascii="Bookman Old Style" w:hAnsi="Bookman Old Style" w:cs="Bookman Old Style"/>
          <w:sz w:val="24"/>
          <w:szCs w:val="24"/>
        </w:rPr>
        <w:t>Although there are no significant legislative restrictions on access to information pertaining to hazardous substances, the challenge still remains with procedural restrictions. The process for applying to secure access is cumbersome. For instance, a fee of 20,000 UGX is imposed on requests for information from Governmental institutions in addition to record ‘reproduction’ fees once access has been granted.</w:t>
      </w:r>
      <w:r w:rsidRPr="005A2A9D">
        <w:rPr>
          <w:rStyle w:val="FootnoteReference"/>
          <w:rFonts w:ascii="Bookman Old Style" w:hAnsi="Bookman Old Style" w:cs="Bookman Old Style"/>
          <w:sz w:val="24"/>
          <w:szCs w:val="24"/>
        </w:rPr>
        <w:footnoteReference w:id="22"/>
      </w:r>
      <w:r w:rsidRPr="005A2A9D">
        <w:rPr>
          <w:rFonts w:ascii="Bookman Old Style" w:hAnsi="Bookman Old Style" w:cs="Bookman Old Style"/>
          <w:sz w:val="24"/>
          <w:szCs w:val="24"/>
        </w:rPr>
        <w:t>. It can also be observed that although information is readily available, access is particularly restricted to those with access to the internet, newspapers and to those who are literate. Applicants are required to fill fifteen different forms in order to request for access.</w:t>
      </w:r>
      <w:r w:rsidRPr="000278E3">
        <w:rPr>
          <w:rFonts w:ascii="Bookman Old Style" w:hAnsi="Bookman Old Style" w:cs="Bookman Old Style"/>
          <w:sz w:val="24"/>
          <w:szCs w:val="24"/>
        </w:rPr>
        <w:t xml:space="preserve"> </w:t>
      </w:r>
      <w:r>
        <w:rPr>
          <w:rFonts w:ascii="Bookman Old Style" w:hAnsi="Bookman Old Style" w:cs="Bookman Old Style"/>
          <w:sz w:val="24"/>
          <w:szCs w:val="24"/>
        </w:rPr>
        <w:t xml:space="preserve">In addition to this, </w:t>
      </w:r>
      <w:r w:rsidRPr="005A2A9D">
        <w:rPr>
          <w:rFonts w:ascii="Bookman Old Style" w:hAnsi="Bookman Old Style" w:cs="Bookman Old Style"/>
          <w:sz w:val="24"/>
          <w:szCs w:val="24"/>
        </w:rPr>
        <w:t>The Act does not accept applications of access to information anonymously. All applicants are required to submit their names and other identifying information. This however has the potential to deter seeking for access to information</w:t>
      </w:r>
    </w:p>
    <w:p w:rsidR="000278E3" w:rsidRDefault="000278E3" w:rsidP="00D84164">
      <w:pPr>
        <w:jc w:val="both"/>
        <w:rPr>
          <w:rFonts w:ascii="Bookman Old Style" w:hAnsi="Bookman Old Style" w:cs="Bookman Old Style"/>
          <w:sz w:val="24"/>
          <w:szCs w:val="24"/>
        </w:rPr>
      </w:pPr>
    </w:p>
    <w:p w:rsidR="00077A62" w:rsidRPr="005A2A9D" w:rsidRDefault="00077A62" w:rsidP="00D84164">
      <w:pPr>
        <w:jc w:val="both"/>
        <w:rPr>
          <w:rFonts w:ascii="Bookman Old Style" w:hAnsi="Bookman Old Style" w:cs="Bookman Old Style"/>
          <w:b/>
          <w:sz w:val="24"/>
          <w:szCs w:val="24"/>
        </w:rPr>
      </w:pPr>
      <w:r w:rsidRPr="005A2A9D">
        <w:rPr>
          <w:rFonts w:ascii="Bookman Old Style" w:hAnsi="Bookman Old Style" w:cs="Bookman Old Style"/>
          <w:b/>
          <w:sz w:val="24"/>
          <w:szCs w:val="24"/>
        </w:rPr>
        <w:t xml:space="preserve">Question 6 </w:t>
      </w:r>
      <w:r w:rsidR="008F1CA5">
        <w:rPr>
          <w:rFonts w:ascii="Bookman Old Style" w:hAnsi="Bookman Old Style" w:cs="Bookman Old Style"/>
          <w:b/>
          <w:sz w:val="24"/>
          <w:szCs w:val="24"/>
        </w:rPr>
        <w:t>- When does the government limit the right of access to information on hazardous substances and wastes.</w:t>
      </w:r>
    </w:p>
    <w:p w:rsidR="00077A62" w:rsidRPr="005A2A9D" w:rsidRDefault="00077A62" w:rsidP="00D84164">
      <w:pPr>
        <w:jc w:val="both"/>
        <w:rPr>
          <w:rFonts w:ascii="Bookman Old Style" w:hAnsi="Bookman Old Style" w:cs="Bookman Old Style"/>
          <w:i/>
          <w:sz w:val="24"/>
          <w:szCs w:val="24"/>
        </w:rPr>
      </w:pPr>
      <w:r w:rsidRPr="005A2A9D">
        <w:rPr>
          <w:rFonts w:ascii="Bookman Old Style" w:hAnsi="Bookman Old Style" w:cs="Bookman Old Style"/>
          <w:sz w:val="24"/>
          <w:szCs w:val="24"/>
        </w:rPr>
        <w:t xml:space="preserve">Article 41 of the Constitution clearly stipulates that access to information may be limited in instances </w:t>
      </w:r>
      <w:r w:rsidRPr="005A2A9D">
        <w:rPr>
          <w:rFonts w:ascii="Bookman Old Style" w:hAnsi="Bookman Old Style" w:cs="Bookman Old Style"/>
          <w:i/>
          <w:sz w:val="24"/>
          <w:szCs w:val="24"/>
        </w:rPr>
        <w:t>“where the release of the information is likely to prejudice the security or sovereignty of the state or interfere with the right to privacy of any other person.”</w:t>
      </w:r>
    </w:p>
    <w:p w:rsidR="00077A62" w:rsidRPr="005A2A9D" w:rsidRDefault="007E18BD" w:rsidP="00D84164">
      <w:pPr>
        <w:jc w:val="both"/>
        <w:rPr>
          <w:rFonts w:ascii="Bookman Old Style" w:hAnsi="Bookman Old Style" w:cs="Bookman Old Style"/>
          <w:sz w:val="24"/>
          <w:szCs w:val="24"/>
        </w:rPr>
      </w:pPr>
      <w:r>
        <w:rPr>
          <w:rFonts w:ascii="Bookman Old Style" w:hAnsi="Bookman Old Style" w:cs="Bookman Old Style"/>
          <w:sz w:val="24"/>
          <w:szCs w:val="24"/>
        </w:rPr>
        <w:t>S</w:t>
      </w:r>
      <w:r w:rsidRPr="005A2A9D">
        <w:rPr>
          <w:rFonts w:ascii="Bookman Old Style" w:hAnsi="Bookman Old Style" w:cs="Bookman Old Style"/>
          <w:sz w:val="24"/>
          <w:szCs w:val="24"/>
        </w:rPr>
        <w:t>imi</w:t>
      </w:r>
      <w:r>
        <w:rPr>
          <w:rFonts w:ascii="Bookman Old Style" w:hAnsi="Bookman Old Style" w:cs="Bookman Old Style"/>
          <w:sz w:val="24"/>
          <w:szCs w:val="24"/>
        </w:rPr>
        <w:t>larly, P</w:t>
      </w:r>
      <w:r w:rsidR="008F1CA5">
        <w:rPr>
          <w:rFonts w:ascii="Bookman Old Style" w:hAnsi="Bookman Old Style" w:cs="Bookman Old Style"/>
          <w:sz w:val="24"/>
          <w:szCs w:val="24"/>
        </w:rPr>
        <w:t xml:space="preserve">art III of the Access to Information Act </w:t>
      </w:r>
      <w:r w:rsidR="00077A62" w:rsidRPr="005A2A9D">
        <w:rPr>
          <w:rFonts w:ascii="Bookman Old Style" w:hAnsi="Bookman Old Style" w:cs="Bookman Old Style"/>
          <w:sz w:val="24"/>
          <w:szCs w:val="24"/>
        </w:rPr>
        <w:t xml:space="preserve">also provides for a list on examples where access is subject to conditions. This list however excludes information relating to hazardous substances and wastes. Access to information relating to the following is </w:t>
      </w:r>
      <w:r>
        <w:rPr>
          <w:rFonts w:ascii="Bookman Old Style" w:hAnsi="Bookman Old Style" w:cs="Bookman Old Style"/>
          <w:sz w:val="24"/>
          <w:szCs w:val="24"/>
        </w:rPr>
        <w:t>restricted:</w:t>
      </w:r>
      <w:r w:rsidR="00077A62" w:rsidRPr="005A2A9D">
        <w:rPr>
          <w:rFonts w:ascii="Bookman Old Style" w:hAnsi="Bookman Old Style" w:cs="Bookman Old Style"/>
          <w:sz w:val="24"/>
          <w:szCs w:val="24"/>
        </w:rPr>
        <w:t xml:space="preserve"> cabinet and committee minutes, information relating to privacy of the person, commercial information of a third party, information relating to the protection of safety of persons and property, if access leads to a breach of a duty of confidence, documents in legal proceeding and information relating to defense security and international relations </w:t>
      </w:r>
    </w:p>
    <w:p w:rsidR="00077A62" w:rsidRPr="005A2A9D" w:rsidRDefault="00077A62" w:rsidP="00D84164">
      <w:pPr>
        <w:jc w:val="both"/>
        <w:rPr>
          <w:rFonts w:ascii="Bookman Old Style" w:hAnsi="Bookman Old Style" w:cs="Bookman Old Style"/>
          <w:sz w:val="24"/>
          <w:szCs w:val="24"/>
        </w:rPr>
      </w:pPr>
      <w:r w:rsidRPr="005A2A9D">
        <w:rPr>
          <w:rFonts w:ascii="Bookman Old Style" w:hAnsi="Bookman Old Style" w:cs="Bookman Old Style"/>
          <w:sz w:val="24"/>
          <w:szCs w:val="24"/>
        </w:rPr>
        <w:lastRenderedPageBreak/>
        <w:t xml:space="preserve">Clause 34 however states that request for access to information “shall be granted” where disclosure of the record would reveal evidence of a substantial contravention of the law or an imminent or serious public safety, public, health or environmental risk. Clause 34 (b) goes on to say that access shall be granted if the public interest in the disclosure of the record is greater than the harm anticipated in breach of the aforementioned instances. It is estimated that a significant proportion of waste generated in the health sector is considered hazardous. Thus, an unsafe waste management poses serious health and environmental risks and has the </w:t>
      </w:r>
      <w:r w:rsidR="007E18BD" w:rsidRPr="005A2A9D">
        <w:rPr>
          <w:rFonts w:ascii="Bookman Old Style" w:hAnsi="Bookman Old Style" w:cs="Bookman Old Style"/>
          <w:sz w:val="24"/>
          <w:szCs w:val="24"/>
        </w:rPr>
        <w:t>potential to</w:t>
      </w:r>
      <w:r w:rsidRPr="005A2A9D">
        <w:rPr>
          <w:rFonts w:ascii="Bookman Old Style" w:hAnsi="Bookman Old Style" w:cs="Bookman Old Style"/>
          <w:sz w:val="24"/>
          <w:szCs w:val="24"/>
        </w:rPr>
        <w:t xml:space="preserve"> cause harm to health workers, patients and the community at large. Therefore, under clause 34 access to information relating to hazardous substances shall be granted because a) an improper handling of hazardous substances can have serious public health and environmental consequences b) because of the gravity of the risk, the interests of the public will always be far greater.</w:t>
      </w:r>
    </w:p>
    <w:p w:rsidR="006D3069" w:rsidRPr="005A2A9D" w:rsidRDefault="006D3069" w:rsidP="00D84164">
      <w:pPr>
        <w:jc w:val="both"/>
        <w:rPr>
          <w:rFonts w:ascii="Bookman Old Style" w:hAnsi="Bookman Old Style" w:cs="Bookman Old Style"/>
          <w:b/>
          <w:sz w:val="24"/>
          <w:szCs w:val="24"/>
        </w:rPr>
      </w:pPr>
      <w:r w:rsidRPr="005A2A9D">
        <w:rPr>
          <w:rFonts w:ascii="Bookman Old Style" w:hAnsi="Bookman Old Style" w:cs="Bookman Old Style"/>
          <w:b/>
          <w:sz w:val="24"/>
          <w:szCs w:val="24"/>
        </w:rPr>
        <w:t xml:space="preserve">Question 7 </w:t>
      </w:r>
      <w:r w:rsidR="00426562">
        <w:rPr>
          <w:rFonts w:ascii="Bookman Old Style" w:hAnsi="Bookman Old Style" w:cs="Bookman Old Style"/>
          <w:b/>
          <w:sz w:val="24"/>
          <w:szCs w:val="24"/>
        </w:rPr>
        <w:t>– How does  the Government ensure the right of access to this information is fulfilled while also respecting the confidentiality  of business information.</w:t>
      </w:r>
    </w:p>
    <w:p w:rsidR="008D263E" w:rsidRPr="005A2A9D" w:rsidRDefault="006D3069" w:rsidP="00D84164">
      <w:pPr>
        <w:jc w:val="both"/>
        <w:rPr>
          <w:rFonts w:ascii="Bookman Old Style" w:hAnsi="Bookman Old Style" w:cs="Bookman Old Style"/>
          <w:sz w:val="24"/>
          <w:szCs w:val="24"/>
        </w:rPr>
      </w:pPr>
      <w:r w:rsidRPr="005A2A9D">
        <w:rPr>
          <w:rFonts w:ascii="Bookman Old Style" w:hAnsi="Bookman Old Style" w:cs="Bookman Old Style"/>
          <w:sz w:val="24"/>
          <w:szCs w:val="24"/>
        </w:rPr>
        <w:t xml:space="preserve">The Government has put in place a strong legal framework that protects the right to privacy of individuals and confidentiality of business information. Under the Constitution access to information is restricted if the release of information will </w:t>
      </w:r>
      <w:r w:rsidRPr="005A2A9D">
        <w:rPr>
          <w:rFonts w:ascii="Bookman Old Style" w:hAnsi="Bookman Old Style" w:cs="Bookman Old Style"/>
          <w:i/>
          <w:sz w:val="24"/>
          <w:szCs w:val="24"/>
        </w:rPr>
        <w:t>i</w:t>
      </w:r>
      <w:r w:rsidRPr="005A2A9D">
        <w:rPr>
          <w:rFonts w:ascii="Bookman Old Style" w:hAnsi="Bookman Old Style" w:cs="Bookman Old Style"/>
          <w:sz w:val="24"/>
          <w:szCs w:val="24"/>
        </w:rPr>
        <w:t>nterfere with the right to privacy of any other person.</w:t>
      </w:r>
      <w:r w:rsidRPr="005A2A9D">
        <w:rPr>
          <w:rStyle w:val="FootnoteReference"/>
          <w:rFonts w:ascii="Bookman Old Style" w:hAnsi="Bookman Old Style" w:cs="Bookman Old Style"/>
          <w:sz w:val="24"/>
          <w:szCs w:val="24"/>
        </w:rPr>
        <w:footnoteReference w:id="23"/>
      </w:r>
      <w:r w:rsidR="00426562">
        <w:rPr>
          <w:rFonts w:ascii="Bookman Old Style" w:hAnsi="Bookman Old Style" w:cs="Bookman Old Style"/>
          <w:sz w:val="24"/>
          <w:szCs w:val="24"/>
        </w:rPr>
        <w:t xml:space="preserve"> The Access to Information </w:t>
      </w:r>
      <w:r w:rsidRPr="005A2A9D">
        <w:rPr>
          <w:rFonts w:ascii="Bookman Old Style" w:hAnsi="Bookman Old Style" w:cs="Bookman Old Style"/>
          <w:sz w:val="24"/>
          <w:szCs w:val="24"/>
        </w:rPr>
        <w:t>Act also</w:t>
      </w:r>
      <w:r w:rsidR="008D263E" w:rsidRPr="005A2A9D">
        <w:rPr>
          <w:rFonts w:ascii="Bookman Old Style" w:hAnsi="Bookman Old Style" w:cs="Bookman Old Style"/>
          <w:sz w:val="24"/>
          <w:szCs w:val="24"/>
        </w:rPr>
        <w:t xml:space="preserve"> </w:t>
      </w:r>
      <w:r w:rsidR="0024033F" w:rsidRPr="005A2A9D">
        <w:rPr>
          <w:rFonts w:ascii="Bookman Old Style" w:hAnsi="Bookman Old Style" w:cs="Bookman Old Style"/>
          <w:sz w:val="24"/>
          <w:szCs w:val="24"/>
        </w:rPr>
        <w:t>puts conditions on access to</w:t>
      </w:r>
      <w:r w:rsidR="008D263E" w:rsidRPr="005A2A9D">
        <w:rPr>
          <w:rFonts w:ascii="Bookman Old Style" w:hAnsi="Bookman Old Style" w:cs="Bookman Old Style"/>
          <w:sz w:val="24"/>
          <w:szCs w:val="24"/>
        </w:rPr>
        <w:t xml:space="preserve"> information relating to the privacy of a person, commercial information of a third party and if access leads to a breach of a duty of confidence.</w:t>
      </w:r>
      <w:r w:rsidR="008D263E" w:rsidRPr="005A2A9D">
        <w:rPr>
          <w:rStyle w:val="FootnoteReference"/>
          <w:rFonts w:ascii="Bookman Old Style" w:hAnsi="Bookman Old Style" w:cs="Bookman Old Style"/>
          <w:sz w:val="24"/>
          <w:szCs w:val="24"/>
        </w:rPr>
        <w:footnoteReference w:id="24"/>
      </w:r>
    </w:p>
    <w:p w:rsidR="002420CB" w:rsidRPr="000912CE" w:rsidRDefault="0024033F" w:rsidP="00D84164">
      <w:pPr>
        <w:jc w:val="both"/>
        <w:rPr>
          <w:rFonts w:ascii="Bookman Old Style" w:hAnsi="Bookman Old Style" w:cs="Bookman Old Style"/>
          <w:bCs/>
          <w:sz w:val="24"/>
          <w:szCs w:val="24"/>
        </w:rPr>
      </w:pPr>
      <w:r w:rsidRPr="005A2A9D">
        <w:rPr>
          <w:rFonts w:ascii="Bookman Old Style" w:hAnsi="Bookman Old Style" w:cs="Bookman Old Style"/>
          <w:sz w:val="24"/>
          <w:szCs w:val="24"/>
        </w:rPr>
        <w:t xml:space="preserve">The Courts have interpreted this in the literal sense and have upheld that access should be restricted </w:t>
      </w:r>
      <w:r w:rsidR="00D5049C" w:rsidRPr="005A2A9D">
        <w:rPr>
          <w:rFonts w:ascii="Bookman Old Style" w:hAnsi="Bookman Old Style" w:cs="Bookman Old Style"/>
          <w:sz w:val="24"/>
          <w:szCs w:val="24"/>
        </w:rPr>
        <w:t xml:space="preserve">in order to protect confidentiality of business information </w:t>
      </w:r>
      <w:r w:rsidR="00426562">
        <w:rPr>
          <w:rFonts w:ascii="Bookman Old Style" w:hAnsi="Bookman Old Style" w:cs="Bookman Old Style"/>
          <w:sz w:val="24"/>
          <w:szCs w:val="24"/>
        </w:rPr>
        <w:t xml:space="preserve">. This was seen </w:t>
      </w:r>
      <w:r w:rsidR="00D5049C" w:rsidRPr="005A2A9D">
        <w:rPr>
          <w:rFonts w:ascii="Bookman Old Style" w:hAnsi="Bookman Old Style" w:cs="Bookman Old Style"/>
          <w:sz w:val="24"/>
          <w:szCs w:val="24"/>
        </w:rPr>
        <w:t xml:space="preserve">in the case of </w:t>
      </w:r>
      <w:r w:rsidR="00D5049C" w:rsidRPr="005A2A9D">
        <w:rPr>
          <w:rFonts w:ascii="Bookman Old Style" w:hAnsi="Bookman Old Style" w:cs="Bookman Old Style"/>
          <w:bCs/>
          <w:i/>
          <w:sz w:val="24"/>
          <w:szCs w:val="24"/>
        </w:rPr>
        <w:t xml:space="preserve">Charles Mwanguhya Mpagi and Izama Angelo v. Attorney General. </w:t>
      </w:r>
      <w:r w:rsidR="00D5049C" w:rsidRPr="005A2A9D">
        <w:rPr>
          <w:rFonts w:ascii="Bookman Old Style" w:hAnsi="Bookman Old Style" w:cs="Bookman Old Style"/>
          <w:bCs/>
          <w:sz w:val="24"/>
          <w:szCs w:val="24"/>
        </w:rPr>
        <w:t>In the aforementioned case, two journalists</w:t>
      </w:r>
      <w:r w:rsidR="005D4BF0" w:rsidRPr="005A2A9D">
        <w:rPr>
          <w:rFonts w:ascii="Bookman Old Style" w:hAnsi="Bookman Old Style" w:cs="Bookman Old Style"/>
          <w:bCs/>
          <w:sz w:val="24"/>
          <w:szCs w:val="24"/>
        </w:rPr>
        <w:t xml:space="preserve"> requested access to the production sharing agreement between the Ugandan Government and Total regarding the exploration of oil in the Albertine region. The Nakawa Chief Magistrates Court held that the release of this agreement would violate confidentiality clauses</w:t>
      </w:r>
      <w:r w:rsidR="004460C9" w:rsidRPr="005A2A9D">
        <w:rPr>
          <w:rFonts w:ascii="Bookman Old Style" w:hAnsi="Bookman Old Style" w:cs="Bookman Old Style"/>
          <w:bCs/>
          <w:sz w:val="24"/>
          <w:szCs w:val="24"/>
        </w:rPr>
        <w:t xml:space="preserve"> as contained</w:t>
      </w:r>
      <w:r w:rsidR="005D4BF0" w:rsidRPr="005A2A9D">
        <w:rPr>
          <w:rFonts w:ascii="Bookman Old Style" w:hAnsi="Bookman Old Style" w:cs="Bookman Old Style"/>
          <w:bCs/>
          <w:sz w:val="24"/>
          <w:szCs w:val="24"/>
        </w:rPr>
        <w:t xml:space="preserve"> in the agreements and</w:t>
      </w:r>
      <w:r w:rsidR="004460C9" w:rsidRPr="005A2A9D">
        <w:rPr>
          <w:rFonts w:ascii="Bookman Old Style" w:hAnsi="Bookman Old Style" w:cs="Bookman Old Style"/>
          <w:bCs/>
          <w:sz w:val="24"/>
          <w:szCs w:val="24"/>
        </w:rPr>
        <w:t xml:space="preserve"> that</w:t>
      </w:r>
      <w:r w:rsidR="005D4BF0" w:rsidRPr="005A2A9D">
        <w:rPr>
          <w:rFonts w:ascii="Bookman Old Style" w:hAnsi="Bookman Old Style" w:cs="Bookman Old Style"/>
          <w:bCs/>
          <w:sz w:val="24"/>
          <w:szCs w:val="24"/>
        </w:rPr>
        <w:t xml:space="preserve"> third party consent is required </w:t>
      </w:r>
      <w:r w:rsidR="004460C9" w:rsidRPr="005A2A9D">
        <w:rPr>
          <w:rFonts w:ascii="Bookman Old Style" w:hAnsi="Bookman Old Style" w:cs="Bookman Old Style"/>
          <w:bCs/>
          <w:sz w:val="24"/>
          <w:szCs w:val="24"/>
        </w:rPr>
        <w:t>before the release of any information.</w:t>
      </w:r>
      <w:r w:rsidR="00682168" w:rsidRPr="005A2A9D">
        <w:rPr>
          <w:rFonts w:ascii="Bookman Old Style" w:hAnsi="Bookman Old Style" w:cs="Bookman Old Style"/>
          <w:bCs/>
          <w:sz w:val="24"/>
          <w:szCs w:val="24"/>
        </w:rPr>
        <w:t xml:space="preserve"> The judge also stated that the burden of proof had been transferred to t</w:t>
      </w:r>
      <w:r w:rsidR="00754C4A" w:rsidRPr="005A2A9D">
        <w:rPr>
          <w:rFonts w:ascii="Bookman Old Style" w:hAnsi="Bookman Old Style" w:cs="Bookman Old Style"/>
          <w:bCs/>
          <w:sz w:val="24"/>
          <w:szCs w:val="24"/>
        </w:rPr>
        <w:t xml:space="preserve">he two journalists, </w:t>
      </w:r>
      <w:r w:rsidR="00682168" w:rsidRPr="005A2A9D">
        <w:rPr>
          <w:rFonts w:ascii="Bookman Old Style" w:hAnsi="Bookman Old Style" w:cs="Bookman Old Style"/>
          <w:bCs/>
          <w:sz w:val="24"/>
          <w:szCs w:val="24"/>
        </w:rPr>
        <w:t>to prove that the release on the inform</w:t>
      </w:r>
      <w:r w:rsidR="00754C4A" w:rsidRPr="005A2A9D">
        <w:rPr>
          <w:rFonts w:ascii="Bookman Old Style" w:hAnsi="Bookman Old Style" w:cs="Bookman Old Style"/>
          <w:bCs/>
          <w:sz w:val="24"/>
          <w:szCs w:val="24"/>
        </w:rPr>
        <w:t xml:space="preserve">ation requested would </w:t>
      </w:r>
      <w:r w:rsidR="003D0A3A" w:rsidRPr="005A2A9D">
        <w:rPr>
          <w:rFonts w:ascii="Bookman Old Style" w:hAnsi="Bookman Old Style" w:cs="Bookman Old Style"/>
          <w:bCs/>
          <w:sz w:val="24"/>
          <w:szCs w:val="24"/>
        </w:rPr>
        <w:t>outweigh</w:t>
      </w:r>
      <w:r w:rsidR="00754C4A" w:rsidRPr="005A2A9D">
        <w:rPr>
          <w:rFonts w:ascii="Bookman Old Style" w:hAnsi="Bookman Old Style" w:cs="Bookman Old Style"/>
          <w:bCs/>
          <w:sz w:val="24"/>
          <w:szCs w:val="24"/>
        </w:rPr>
        <w:t xml:space="preserve"> </w:t>
      </w:r>
      <w:r w:rsidR="00D73442" w:rsidRPr="005A2A9D">
        <w:rPr>
          <w:rFonts w:ascii="Bookman Old Style" w:hAnsi="Bookman Old Style" w:cs="Bookman Old Style"/>
          <w:bCs/>
          <w:sz w:val="24"/>
          <w:szCs w:val="24"/>
        </w:rPr>
        <w:t xml:space="preserve">the breach. </w:t>
      </w:r>
      <w:r w:rsidR="004460C9" w:rsidRPr="005A2A9D">
        <w:rPr>
          <w:rFonts w:ascii="Bookman Old Style" w:hAnsi="Bookman Old Style" w:cs="Bookman Old Style"/>
          <w:bCs/>
          <w:sz w:val="24"/>
          <w:szCs w:val="24"/>
        </w:rPr>
        <w:t>The case is currently on appeal at the High Cour</w:t>
      </w:r>
    </w:p>
    <w:p w:rsidR="002420CB" w:rsidRPr="005A2A9D" w:rsidRDefault="002420CB" w:rsidP="00D84164">
      <w:pPr>
        <w:jc w:val="both"/>
        <w:rPr>
          <w:rFonts w:ascii="Bookman Old Style" w:hAnsi="Bookman Old Style" w:cs="Bookman Old Style"/>
          <w:sz w:val="24"/>
          <w:szCs w:val="24"/>
        </w:rPr>
      </w:pPr>
    </w:p>
    <w:p w:rsidR="002420CB" w:rsidRPr="005A2A9D" w:rsidRDefault="002420CB" w:rsidP="00D84164">
      <w:pPr>
        <w:jc w:val="both"/>
        <w:rPr>
          <w:rFonts w:ascii="Bookman Old Style" w:hAnsi="Bookman Old Style" w:cs="Bookman Old Style"/>
          <w:sz w:val="24"/>
          <w:szCs w:val="24"/>
        </w:rPr>
      </w:pPr>
    </w:p>
    <w:p w:rsidR="009E3C9B" w:rsidRPr="005A2A9D" w:rsidRDefault="009E3C9B" w:rsidP="00D84164">
      <w:pPr>
        <w:jc w:val="both"/>
        <w:rPr>
          <w:rFonts w:ascii="Bookman Old Style" w:hAnsi="Bookman Old Style" w:cs="Bookman Old Style"/>
          <w:sz w:val="24"/>
          <w:szCs w:val="24"/>
        </w:rPr>
      </w:pPr>
    </w:p>
    <w:sectPr w:rsidR="009E3C9B" w:rsidRPr="005A2A9D" w:rsidSect="005C772C">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ABC" w:rsidRDefault="00D27ABC" w:rsidP="003A38FD">
      <w:pPr>
        <w:spacing w:after="0" w:line="240" w:lineRule="auto"/>
      </w:pPr>
      <w:r>
        <w:separator/>
      </w:r>
    </w:p>
  </w:endnote>
  <w:endnote w:type="continuationSeparator" w:id="1">
    <w:p w:rsidR="00D27ABC" w:rsidRDefault="00D27ABC" w:rsidP="003A3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3302"/>
      <w:docPartObj>
        <w:docPartGallery w:val="Page Numbers (Bottom of Page)"/>
        <w:docPartUnique/>
      </w:docPartObj>
    </w:sdtPr>
    <w:sdtContent>
      <w:p w:rsidR="00D84164" w:rsidRDefault="00D84164">
        <w:pPr>
          <w:pStyle w:val="Footer"/>
          <w:jc w:val="center"/>
        </w:pPr>
        <w:fldSimple w:instr=" PAGE   \* MERGEFORMAT ">
          <w:r w:rsidR="009D1BFB">
            <w:rPr>
              <w:noProof/>
            </w:rPr>
            <w:t>1</w:t>
          </w:r>
        </w:fldSimple>
      </w:p>
    </w:sdtContent>
  </w:sdt>
  <w:p w:rsidR="00D84164" w:rsidRDefault="00D84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ABC" w:rsidRDefault="00D27ABC" w:rsidP="003A38FD">
      <w:pPr>
        <w:spacing w:after="0" w:line="240" w:lineRule="auto"/>
      </w:pPr>
      <w:r>
        <w:separator/>
      </w:r>
    </w:p>
  </w:footnote>
  <w:footnote w:type="continuationSeparator" w:id="1">
    <w:p w:rsidR="00D27ABC" w:rsidRDefault="00D27ABC" w:rsidP="003A38FD">
      <w:pPr>
        <w:spacing w:after="0" w:line="240" w:lineRule="auto"/>
      </w:pPr>
      <w:r>
        <w:continuationSeparator/>
      </w:r>
    </w:p>
  </w:footnote>
  <w:footnote w:id="2">
    <w:p w:rsidR="002600C7" w:rsidRDefault="002600C7">
      <w:pPr>
        <w:pStyle w:val="FootnoteText"/>
      </w:pPr>
      <w:r>
        <w:rPr>
          <w:rStyle w:val="FootnoteReference"/>
        </w:rPr>
        <w:footnoteRef/>
      </w:r>
      <w:r>
        <w:t xml:space="preserve"> Uganda has ratified ICCPR, ICESCR, CEDAW, CRC, CERD, CAT, CRPD, ICRMW,</w:t>
      </w:r>
    </w:p>
  </w:footnote>
  <w:footnote w:id="3">
    <w:p w:rsidR="00AF641B" w:rsidRDefault="00AF641B">
      <w:pPr>
        <w:pStyle w:val="FootnoteText"/>
      </w:pPr>
      <w:r>
        <w:rPr>
          <w:rStyle w:val="FootnoteReference"/>
        </w:rPr>
        <w:footnoteRef/>
      </w:r>
      <w:r>
        <w:t xml:space="preserve"> Article 13 has provisions in relation to information </w:t>
      </w:r>
    </w:p>
  </w:footnote>
  <w:footnote w:id="4">
    <w:p w:rsidR="00E64C6E" w:rsidRDefault="00E64C6E">
      <w:pPr>
        <w:pStyle w:val="FootnoteText"/>
      </w:pPr>
      <w:r>
        <w:rPr>
          <w:rStyle w:val="FootnoteReference"/>
        </w:rPr>
        <w:footnoteRef/>
      </w:r>
      <w:r>
        <w:rPr>
          <w:rFonts w:cstheme="minorHAnsi"/>
          <w:color w:val="252525"/>
          <w:shd w:val="clear" w:color="auto" w:fill="FFFFFF"/>
        </w:rPr>
        <w:t>This</w:t>
      </w:r>
      <w:r w:rsidRPr="00E64C6E">
        <w:rPr>
          <w:rFonts w:cstheme="minorHAnsi"/>
          <w:color w:val="252525"/>
          <w:shd w:val="clear" w:color="auto" w:fill="FFFFFF"/>
        </w:rPr>
        <w:t xml:space="preserve"> convention promotes open exchange of information and calls on exporters of hazardous chemicals to use proper labeling, include directions on safe handling, and inform purchasers of any known restrictions or bans. </w:t>
      </w:r>
    </w:p>
  </w:footnote>
  <w:footnote w:id="5">
    <w:p w:rsidR="005F594C" w:rsidRDefault="005F594C">
      <w:pPr>
        <w:pStyle w:val="FootnoteText"/>
      </w:pPr>
      <w:r>
        <w:rPr>
          <w:rStyle w:val="FootnoteReference"/>
        </w:rPr>
        <w:footnoteRef/>
      </w:r>
      <w:r>
        <w:t xml:space="preserve"> Principle 10 </w:t>
      </w:r>
      <w:r w:rsidR="00215DFC">
        <w:t xml:space="preserve">is a provision in relation to access to information </w:t>
      </w:r>
    </w:p>
  </w:footnote>
  <w:footnote w:id="6">
    <w:p w:rsidR="005F594C" w:rsidRDefault="005F594C">
      <w:pPr>
        <w:pStyle w:val="FootnoteText"/>
      </w:pPr>
      <w:r>
        <w:rPr>
          <w:rStyle w:val="FootnoteReference"/>
        </w:rPr>
        <w:footnoteRef/>
      </w:r>
      <w:r>
        <w:t xml:space="preserve"> October 2002</w:t>
      </w:r>
    </w:p>
  </w:footnote>
  <w:footnote w:id="7">
    <w:p w:rsidR="004347F3" w:rsidRPr="0054493B" w:rsidRDefault="004347F3">
      <w:pPr>
        <w:pStyle w:val="FootnoteText"/>
        <w:rPr>
          <w:rFonts w:ascii="Bookman Old Style" w:hAnsi="Bookman Old Style"/>
        </w:rPr>
      </w:pPr>
      <w:r w:rsidRPr="00EF7615">
        <w:rPr>
          <w:rStyle w:val="FootnoteReference"/>
          <w:rFonts w:ascii="Bookman Old Style" w:hAnsi="Bookman Old Style"/>
        </w:rPr>
        <w:footnoteRef/>
      </w:r>
      <w:r w:rsidRPr="00EF7615">
        <w:rPr>
          <w:rFonts w:ascii="Bookman Old Style" w:hAnsi="Bookman Old Style"/>
        </w:rPr>
        <w:t xml:space="preserve"> Article 3 (d)</w:t>
      </w:r>
    </w:p>
  </w:footnote>
  <w:footnote w:id="8">
    <w:p w:rsidR="004347F3" w:rsidRPr="0054493B" w:rsidRDefault="004347F3" w:rsidP="00F304B5">
      <w:pPr>
        <w:pStyle w:val="FootnoteText"/>
        <w:rPr>
          <w:rFonts w:ascii="Bookman Old Style" w:hAnsi="Bookman Old Style"/>
        </w:rPr>
      </w:pPr>
      <w:r w:rsidRPr="0054493B">
        <w:rPr>
          <w:rStyle w:val="FootnoteReference"/>
          <w:rFonts w:ascii="Bookman Old Style" w:hAnsi="Bookman Old Style"/>
        </w:rPr>
        <w:footnoteRef/>
      </w:r>
      <w:r w:rsidRPr="0054493B">
        <w:rPr>
          <w:rFonts w:ascii="Bookman Old Style" w:hAnsi="Bookman Old Style"/>
        </w:rPr>
        <w:t xml:space="preserve"> Part V (Articles 37 – 40)</w:t>
      </w:r>
    </w:p>
  </w:footnote>
  <w:footnote w:id="9">
    <w:p w:rsidR="005C107F" w:rsidRDefault="005C107F">
      <w:pPr>
        <w:pStyle w:val="FootnoteText"/>
      </w:pPr>
      <w:r>
        <w:rPr>
          <w:rStyle w:val="FootnoteReference"/>
        </w:rPr>
        <w:footnoteRef/>
      </w:r>
      <w:r>
        <w:t xml:space="preserve"> </w:t>
      </w:r>
      <w:r w:rsidRPr="005C107F">
        <w:rPr>
          <w:rFonts w:ascii="Bookman Old Style" w:hAnsi="Bookman Old Style" w:cs="Bookman Old Style"/>
          <w:bCs/>
        </w:rPr>
        <w:t>Charles Mwanguhya Mpagi and I</w:t>
      </w:r>
      <w:r w:rsidR="006231B1">
        <w:rPr>
          <w:rFonts w:ascii="Bookman Old Style" w:hAnsi="Bookman Old Style" w:cs="Bookman Old Style"/>
          <w:bCs/>
        </w:rPr>
        <w:t xml:space="preserve">zama Angelo v. Attorney General; </w:t>
      </w:r>
      <w:r w:rsidRPr="005C107F">
        <w:rPr>
          <w:rFonts w:ascii="Bookman Old Style" w:hAnsi="Bookman Old Style" w:cs="Bookman Old Style"/>
          <w:bCs/>
        </w:rPr>
        <w:t>Greenwatch (U) Ltd v. Attorney General of Uganda and Uganda Electricity Transmission Co. Ltd</w:t>
      </w:r>
    </w:p>
  </w:footnote>
  <w:footnote w:id="10">
    <w:p w:rsidR="00BA3B19" w:rsidRDefault="00BA3B19">
      <w:pPr>
        <w:pStyle w:val="FootnoteText"/>
      </w:pPr>
      <w:r>
        <w:rPr>
          <w:rStyle w:val="FootnoteReference"/>
        </w:rPr>
        <w:footnoteRef/>
      </w:r>
      <w:r>
        <w:t xml:space="preserve"> </w:t>
      </w:r>
      <w:r w:rsidRPr="00BA3B19">
        <w:rPr>
          <w:rFonts w:ascii="Bookman Old Style" w:hAnsi="Bookman Old Style"/>
        </w:rPr>
        <w:t>State for the Environment Report For Uganda</w:t>
      </w:r>
    </w:p>
  </w:footnote>
  <w:footnote w:id="11">
    <w:p w:rsidR="004D007A" w:rsidRDefault="004D007A" w:rsidP="004D007A">
      <w:pPr>
        <w:pStyle w:val="FootnoteText"/>
        <w:jc w:val="both"/>
      </w:pPr>
      <w:r w:rsidRPr="0054493B">
        <w:rPr>
          <w:rStyle w:val="FootnoteReference"/>
          <w:rFonts w:ascii="Bookman Old Style" w:hAnsi="Bookman Old Style"/>
        </w:rPr>
        <w:footnoteRef/>
      </w:r>
      <w:r w:rsidRPr="0054493B">
        <w:rPr>
          <w:rFonts w:ascii="Bookman Old Style" w:hAnsi="Bookman Old Style"/>
        </w:rPr>
        <w:t xml:space="preserve"> Available at </w:t>
      </w:r>
      <w:hyperlink r:id="rId1" w:history="1">
        <w:r w:rsidRPr="0054493B">
          <w:rPr>
            <w:rStyle w:val="Hyperlink"/>
            <w:rFonts w:ascii="Bookman Old Style" w:hAnsi="Bookman Old Style"/>
          </w:rPr>
          <w:t>http://www.newvision.co.ug/news/637395-how-prepared-is-nema-for-the-oil-waste.html</w:t>
        </w:r>
      </w:hyperlink>
      <w:r>
        <w:t xml:space="preserve"> </w:t>
      </w:r>
    </w:p>
  </w:footnote>
  <w:footnote w:id="12">
    <w:p w:rsidR="004D007A" w:rsidRPr="0054493B" w:rsidRDefault="004D007A" w:rsidP="004D007A">
      <w:pPr>
        <w:pStyle w:val="FootnoteText"/>
        <w:jc w:val="both"/>
        <w:rPr>
          <w:rFonts w:ascii="Bookman Old Style" w:hAnsi="Bookman Old Style"/>
        </w:rPr>
      </w:pPr>
      <w:r w:rsidRPr="0054493B">
        <w:rPr>
          <w:rStyle w:val="FootnoteReference"/>
          <w:rFonts w:ascii="Bookman Old Style" w:hAnsi="Bookman Old Style"/>
        </w:rPr>
        <w:footnoteRef/>
      </w:r>
      <w:r w:rsidRPr="0054493B">
        <w:rPr>
          <w:rFonts w:ascii="Bookman Old Style" w:hAnsi="Bookman Old Style"/>
        </w:rPr>
        <w:t xml:space="preserve"> Available at </w:t>
      </w:r>
      <w:hyperlink r:id="rId2" w:history="1">
        <w:r w:rsidRPr="0054493B">
          <w:rPr>
            <w:rStyle w:val="Hyperlink"/>
            <w:rFonts w:ascii="Bookman Old Style" w:hAnsi="Bookman Old Style"/>
          </w:rPr>
          <w:t>http://www.theeastafrican.co.ke/news/Time-bomb-in-Albertine-as-oil-firms-lack-waste-disposal-plan/-/2558/2435622/-/23qnxcz/-/index.html</w:t>
        </w:r>
      </w:hyperlink>
      <w:r w:rsidRPr="0054493B">
        <w:rPr>
          <w:rFonts w:ascii="Bookman Old Style" w:hAnsi="Bookman Old Style"/>
        </w:rPr>
        <w:t xml:space="preserve"> </w:t>
      </w:r>
    </w:p>
  </w:footnote>
  <w:footnote w:id="13">
    <w:p w:rsidR="004347F3" w:rsidRPr="00257715" w:rsidRDefault="004347F3" w:rsidP="00535830">
      <w:pPr>
        <w:pStyle w:val="FootnoteText"/>
        <w:jc w:val="both"/>
        <w:rPr>
          <w:rFonts w:ascii="Bookman Old Style" w:hAnsi="Bookman Old Style"/>
        </w:rPr>
      </w:pPr>
      <w:r w:rsidRPr="00257715">
        <w:rPr>
          <w:rStyle w:val="FootnoteReference"/>
          <w:rFonts w:ascii="Bookman Old Style" w:hAnsi="Bookman Old Style"/>
        </w:rPr>
        <w:footnoteRef/>
      </w:r>
      <w:r w:rsidRPr="00257715">
        <w:rPr>
          <w:rFonts w:ascii="Bookman Old Style" w:hAnsi="Bookman Old Style"/>
        </w:rPr>
        <w:t xml:space="preserve"> Article 52 (1) c Constitution of the Republic of Uganda, 1995</w:t>
      </w:r>
    </w:p>
  </w:footnote>
  <w:footnote w:id="14">
    <w:p w:rsidR="004347F3" w:rsidRPr="00257715" w:rsidRDefault="004347F3" w:rsidP="00535830">
      <w:pPr>
        <w:pStyle w:val="FootnoteText"/>
        <w:jc w:val="both"/>
        <w:rPr>
          <w:rFonts w:ascii="Bookman Old Style" w:hAnsi="Bookman Old Style"/>
        </w:rPr>
      </w:pPr>
      <w:r w:rsidRPr="00257715">
        <w:rPr>
          <w:rStyle w:val="FootnoteReference"/>
          <w:rFonts w:ascii="Bookman Old Style" w:hAnsi="Bookman Old Style"/>
        </w:rPr>
        <w:footnoteRef/>
      </w:r>
      <w:r w:rsidRPr="00257715">
        <w:rPr>
          <w:rFonts w:ascii="Bookman Old Style" w:hAnsi="Bookman Old Style"/>
        </w:rPr>
        <w:t xml:space="preserve"> Ibid, Article 52 (2)</w:t>
      </w:r>
    </w:p>
  </w:footnote>
  <w:footnote w:id="15">
    <w:p w:rsidR="004347F3" w:rsidRPr="000603E7" w:rsidRDefault="004347F3">
      <w:pPr>
        <w:pStyle w:val="FootnoteText"/>
        <w:rPr>
          <w:rFonts w:ascii="Bookman Old Style" w:hAnsi="Bookman Old Style"/>
        </w:rPr>
      </w:pPr>
      <w:r w:rsidRPr="000603E7">
        <w:rPr>
          <w:rStyle w:val="FootnoteReference"/>
          <w:rFonts w:ascii="Bookman Old Style" w:hAnsi="Bookman Old Style"/>
        </w:rPr>
        <w:footnoteRef/>
      </w:r>
      <w:r w:rsidRPr="000603E7">
        <w:rPr>
          <w:rFonts w:ascii="Bookman Old Style" w:hAnsi="Bookman Old Style"/>
        </w:rPr>
        <w:t xml:space="preserve"> Oil in Uganda: emerging human rights issues, Uganda Human Rights Commission, December 2013, Pg. 21</w:t>
      </w:r>
    </w:p>
  </w:footnote>
  <w:footnote w:id="16">
    <w:p w:rsidR="004347F3" w:rsidRDefault="004347F3">
      <w:pPr>
        <w:pStyle w:val="FootnoteText"/>
      </w:pPr>
      <w:r>
        <w:rPr>
          <w:rStyle w:val="FootnoteReference"/>
        </w:rPr>
        <w:footnoteRef/>
      </w:r>
      <w:r>
        <w:t xml:space="preserve"> </w:t>
      </w:r>
      <w:r w:rsidRPr="00535830">
        <w:rPr>
          <w:rFonts w:ascii="Bookman Old Style" w:hAnsi="Bookman Old Style"/>
        </w:rPr>
        <w:t xml:space="preserve">The said report is available on </w:t>
      </w:r>
      <w:hyperlink r:id="rId3" w:history="1">
        <w:r w:rsidRPr="00535830">
          <w:rPr>
            <w:rStyle w:val="Hyperlink"/>
            <w:rFonts w:ascii="Bookman Old Style" w:hAnsi="Bookman Old Style"/>
          </w:rPr>
          <w:t>http://csco.ug/files/downloads/UHRC%20Oil%20report%202014%20UHRC%20REPORT.pdf</w:t>
        </w:r>
      </w:hyperlink>
    </w:p>
  </w:footnote>
  <w:footnote w:id="17">
    <w:p w:rsidR="004347F3" w:rsidRPr="00615373" w:rsidRDefault="004347F3">
      <w:pPr>
        <w:pStyle w:val="FootnoteText"/>
        <w:rPr>
          <w:rFonts w:ascii="Bookman Old Style" w:hAnsi="Bookman Old Style"/>
        </w:rPr>
      </w:pPr>
      <w:r w:rsidRPr="00615373">
        <w:rPr>
          <w:rStyle w:val="FootnoteReference"/>
          <w:rFonts w:ascii="Bookman Old Style" w:hAnsi="Bookman Old Style"/>
        </w:rPr>
        <w:footnoteRef/>
      </w:r>
      <w:r w:rsidRPr="00615373">
        <w:rPr>
          <w:rFonts w:ascii="Bookman Old Style" w:hAnsi="Bookman Old Style"/>
        </w:rPr>
        <w:t xml:space="preserve"> Ibid, Pg. 23</w:t>
      </w:r>
    </w:p>
  </w:footnote>
  <w:footnote w:id="18">
    <w:p w:rsidR="00CC220E" w:rsidRPr="00875895" w:rsidRDefault="00CC220E" w:rsidP="00CC220E">
      <w:pPr>
        <w:pStyle w:val="FootnoteText"/>
        <w:rPr>
          <w:rFonts w:ascii="Bookman Old Style" w:hAnsi="Bookman Old Style"/>
        </w:rPr>
      </w:pPr>
      <w:r w:rsidRPr="00875895">
        <w:rPr>
          <w:rStyle w:val="FootnoteReference"/>
          <w:rFonts w:ascii="Bookman Old Style" w:hAnsi="Bookman Old Style"/>
        </w:rPr>
        <w:footnoteRef/>
      </w:r>
      <w:r w:rsidRPr="00875895">
        <w:rPr>
          <w:rFonts w:ascii="Bookman Old Style" w:hAnsi="Bookman Old Style"/>
        </w:rPr>
        <w:t xml:space="preserve"> Uganda Human Rights Commission, 16</w:t>
      </w:r>
      <w:r w:rsidRPr="00875895">
        <w:rPr>
          <w:rFonts w:ascii="Bookman Old Style" w:hAnsi="Bookman Old Style"/>
          <w:vertAlign w:val="superscript"/>
        </w:rPr>
        <w:t>th</w:t>
      </w:r>
      <w:r>
        <w:rPr>
          <w:rFonts w:ascii="Bookman Old Style" w:hAnsi="Bookman Old Style"/>
        </w:rPr>
        <w:t xml:space="preserve"> Annual Report, 2013, Pg. 198</w:t>
      </w:r>
    </w:p>
  </w:footnote>
  <w:footnote w:id="19">
    <w:p w:rsidR="00CC220E" w:rsidRPr="007420EE" w:rsidRDefault="00CC220E" w:rsidP="00CC220E">
      <w:pPr>
        <w:pStyle w:val="FootnoteText"/>
        <w:rPr>
          <w:rFonts w:ascii="Bookman Old Style" w:hAnsi="Bookman Old Style"/>
        </w:rPr>
      </w:pPr>
      <w:r w:rsidRPr="007420EE">
        <w:rPr>
          <w:rStyle w:val="FootnoteReference"/>
          <w:rFonts w:ascii="Bookman Old Style" w:hAnsi="Bookman Old Style"/>
        </w:rPr>
        <w:footnoteRef/>
      </w:r>
      <w:r w:rsidRPr="007420EE">
        <w:rPr>
          <w:rFonts w:ascii="Bookman Old Style" w:hAnsi="Bookman Old Style"/>
        </w:rPr>
        <w:t xml:space="preserve"> Minamata Convention on Mercury, available at </w:t>
      </w:r>
      <w:hyperlink r:id="rId4" w:history="1">
        <w:r w:rsidRPr="007420EE">
          <w:rPr>
            <w:rStyle w:val="Hyperlink"/>
            <w:rFonts w:ascii="Bookman Old Style" w:hAnsi="Bookman Old Style"/>
          </w:rPr>
          <w:t>http://www.mercuryconvention.org/Portals/11/documents/Booklets/Minamata%20Convention%20on%20Mercury_booklet_English.pdf</w:t>
        </w:r>
      </w:hyperlink>
      <w:r w:rsidRPr="007420EE">
        <w:rPr>
          <w:rFonts w:ascii="Bookman Old Style" w:hAnsi="Bookman Old Style"/>
        </w:rPr>
        <w:t xml:space="preserve"> pg. 3</w:t>
      </w:r>
    </w:p>
  </w:footnote>
  <w:footnote w:id="20">
    <w:p w:rsidR="00CC220E" w:rsidRDefault="00CC220E">
      <w:pPr>
        <w:pStyle w:val="FootnoteText"/>
      </w:pPr>
      <w:r>
        <w:rPr>
          <w:rStyle w:val="FootnoteReference"/>
        </w:rPr>
        <w:footnoteRef/>
      </w:r>
      <w:r>
        <w:t xml:space="preserve"> </w:t>
      </w:r>
    </w:p>
  </w:footnote>
  <w:footnote w:id="21">
    <w:p w:rsidR="00C60A82" w:rsidRPr="00C60A82" w:rsidRDefault="00C60A82">
      <w:pPr>
        <w:pStyle w:val="FootnoteText"/>
        <w:rPr>
          <w:rFonts w:ascii="Bookman Old Style" w:hAnsi="Bookman Old Style"/>
        </w:rPr>
      </w:pPr>
      <w:r w:rsidRPr="00875895">
        <w:rPr>
          <w:rStyle w:val="FootnoteReference"/>
          <w:rFonts w:ascii="Bookman Old Style" w:hAnsi="Bookman Old Style"/>
        </w:rPr>
        <w:footnoteRef/>
      </w:r>
      <w:r w:rsidRPr="00875895">
        <w:rPr>
          <w:rFonts w:ascii="Bookman Old Style" w:hAnsi="Bookman Old Style"/>
        </w:rPr>
        <w:t xml:space="preserve"> Cla</w:t>
      </w:r>
      <w:r w:rsidRPr="00C60A82">
        <w:rPr>
          <w:rFonts w:ascii="Bookman Old Style" w:hAnsi="Bookman Old Style"/>
        </w:rPr>
        <w:t>use 2 (1)</w:t>
      </w:r>
    </w:p>
  </w:footnote>
  <w:footnote w:id="22">
    <w:p w:rsidR="000278E3" w:rsidRPr="00E6248D" w:rsidRDefault="000278E3" w:rsidP="000278E3">
      <w:pPr>
        <w:pStyle w:val="FootnoteText"/>
        <w:rPr>
          <w:rFonts w:ascii="Bookman Old Style" w:hAnsi="Bookman Old Style"/>
        </w:rPr>
      </w:pPr>
      <w:r w:rsidRPr="00E6248D">
        <w:rPr>
          <w:rStyle w:val="FootnoteReference"/>
          <w:rFonts w:ascii="Bookman Old Style" w:hAnsi="Bookman Old Style"/>
        </w:rPr>
        <w:footnoteRef/>
      </w:r>
      <w:r>
        <w:rPr>
          <w:rFonts w:ascii="Bookman Old Style" w:hAnsi="Bookman Old Style"/>
        </w:rPr>
        <w:t xml:space="preserve"> Schedule 3,</w:t>
      </w:r>
      <w:r w:rsidRPr="00E6248D">
        <w:rPr>
          <w:rFonts w:ascii="Bookman Old Style" w:hAnsi="Bookman Old Style"/>
        </w:rPr>
        <w:t xml:space="preserve"> ATI Act </w:t>
      </w:r>
    </w:p>
  </w:footnote>
  <w:footnote w:id="23">
    <w:p w:rsidR="006D3069" w:rsidRPr="008D263E" w:rsidRDefault="006D3069">
      <w:pPr>
        <w:pStyle w:val="FootnoteText"/>
        <w:rPr>
          <w:rFonts w:ascii="Bookman Old Style" w:hAnsi="Bookman Old Style"/>
        </w:rPr>
      </w:pPr>
      <w:r w:rsidRPr="008D263E">
        <w:rPr>
          <w:rStyle w:val="FootnoteReference"/>
          <w:rFonts w:ascii="Bookman Old Style" w:hAnsi="Bookman Old Style"/>
        </w:rPr>
        <w:footnoteRef/>
      </w:r>
      <w:r w:rsidRPr="008D263E">
        <w:rPr>
          <w:rFonts w:ascii="Bookman Old Style" w:hAnsi="Bookman Old Style"/>
        </w:rPr>
        <w:t xml:space="preserve"> Article 41</w:t>
      </w:r>
    </w:p>
  </w:footnote>
  <w:footnote w:id="24">
    <w:p w:rsidR="008D263E" w:rsidRDefault="008D263E">
      <w:pPr>
        <w:pStyle w:val="FootnoteText"/>
      </w:pPr>
      <w:r w:rsidRPr="008D263E">
        <w:rPr>
          <w:rStyle w:val="FootnoteReference"/>
          <w:rFonts w:ascii="Bookman Old Style" w:hAnsi="Bookman Old Style"/>
        </w:rPr>
        <w:footnoteRef/>
      </w:r>
      <w:r w:rsidRPr="008D263E">
        <w:rPr>
          <w:rFonts w:ascii="Bookman Old Style" w:hAnsi="Bookman Old Style"/>
        </w:rPr>
        <w:t xml:space="preserve"> Part III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8A78A4"/>
    <w:lvl w:ilvl="0">
      <w:numFmt w:val="bullet"/>
      <w:lvlText w:val="*"/>
      <w:lvlJc w:val="left"/>
    </w:lvl>
  </w:abstractNum>
  <w:abstractNum w:abstractNumId="1">
    <w:nsid w:val="48D849B5"/>
    <w:multiLevelType w:val="multilevel"/>
    <w:tmpl w:val="A24255D6"/>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04C6F3B"/>
    <w:multiLevelType w:val="hybridMultilevel"/>
    <w:tmpl w:val="47781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41A8E"/>
    <w:multiLevelType w:val="hybridMultilevel"/>
    <w:tmpl w:val="DBE6A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0ED8"/>
    <w:rsid w:val="000278E3"/>
    <w:rsid w:val="000603E7"/>
    <w:rsid w:val="000724D0"/>
    <w:rsid w:val="00077A62"/>
    <w:rsid w:val="00083421"/>
    <w:rsid w:val="000912CE"/>
    <w:rsid w:val="00097021"/>
    <w:rsid w:val="000D3A8C"/>
    <w:rsid w:val="00134C48"/>
    <w:rsid w:val="00155EB0"/>
    <w:rsid w:val="00163936"/>
    <w:rsid w:val="001646CD"/>
    <w:rsid w:val="00174DA7"/>
    <w:rsid w:val="001B3D73"/>
    <w:rsid w:val="001B5097"/>
    <w:rsid w:val="001B7EB8"/>
    <w:rsid w:val="001C7656"/>
    <w:rsid w:val="001D2BEF"/>
    <w:rsid w:val="001F3C62"/>
    <w:rsid w:val="002114EB"/>
    <w:rsid w:val="00215DFC"/>
    <w:rsid w:val="00220060"/>
    <w:rsid w:val="0024033F"/>
    <w:rsid w:val="002420CB"/>
    <w:rsid w:val="00246400"/>
    <w:rsid w:val="00253058"/>
    <w:rsid w:val="00253117"/>
    <w:rsid w:val="00257715"/>
    <w:rsid w:val="0025788F"/>
    <w:rsid w:val="002600C7"/>
    <w:rsid w:val="0028643C"/>
    <w:rsid w:val="002B29E1"/>
    <w:rsid w:val="002B4DFA"/>
    <w:rsid w:val="002D6CC4"/>
    <w:rsid w:val="002E1B62"/>
    <w:rsid w:val="002E2C5D"/>
    <w:rsid w:val="003238E2"/>
    <w:rsid w:val="00341646"/>
    <w:rsid w:val="00347769"/>
    <w:rsid w:val="00353411"/>
    <w:rsid w:val="00362F11"/>
    <w:rsid w:val="00365BDE"/>
    <w:rsid w:val="00370192"/>
    <w:rsid w:val="00372C4E"/>
    <w:rsid w:val="00372D06"/>
    <w:rsid w:val="0037440F"/>
    <w:rsid w:val="003821C8"/>
    <w:rsid w:val="003821CB"/>
    <w:rsid w:val="003868B1"/>
    <w:rsid w:val="00391EE4"/>
    <w:rsid w:val="003A38FD"/>
    <w:rsid w:val="003A5399"/>
    <w:rsid w:val="003B0D36"/>
    <w:rsid w:val="003B211E"/>
    <w:rsid w:val="003C4D83"/>
    <w:rsid w:val="003D0A3A"/>
    <w:rsid w:val="003D12B4"/>
    <w:rsid w:val="003D2CFD"/>
    <w:rsid w:val="003F2392"/>
    <w:rsid w:val="0040183C"/>
    <w:rsid w:val="00413186"/>
    <w:rsid w:val="00426562"/>
    <w:rsid w:val="004347F3"/>
    <w:rsid w:val="00435F45"/>
    <w:rsid w:val="004460C9"/>
    <w:rsid w:val="004536F9"/>
    <w:rsid w:val="00476E11"/>
    <w:rsid w:val="00481C74"/>
    <w:rsid w:val="00487E1D"/>
    <w:rsid w:val="004A50EC"/>
    <w:rsid w:val="004D007A"/>
    <w:rsid w:val="004F0DC3"/>
    <w:rsid w:val="00502326"/>
    <w:rsid w:val="0051049B"/>
    <w:rsid w:val="0051698E"/>
    <w:rsid w:val="00522BD9"/>
    <w:rsid w:val="00535830"/>
    <w:rsid w:val="00536284"/>
    <w:rsid w:val="0054493B"/>
    <w:rsid w:val="00571934"/>
    <w:rsid w:val="005746BB"/>
    <w:rsid w:val="005853B7"/>
    <w:rsid w:val="0059380D"/>
    <w:rsid w:val="005A2A9D"/>
    <w:rsid w:val="005A4613"/>
    <w:rsid w:val="005C107F"/>
    <w:rsid w:val="005C385B"/>
    <w:rsid w:val="005C772C"/>
    <w:rsid w:val="005D4BF0"/>
    <w:rsid w:val="005F0FB1"/>
    <w:rsid w:val="005F39DD"/>
    <w:rsid w:val="005F594C"/>
    <w:rsid w:val="00603773"/>
    <w:rsid w:val="00607255"/>
    <w:rsid w:val="00615373"/>
    <w:rsid w:val="006231B1"/>
    <w:rsid w:val="00625731"/>
    <w:rsid w:val="0065175D"/>
    <w:rsid w:val="0065687C"/>
    <w:rsid w:val="00682168"/>
    <w:rsid w:val="006A1040"/>
    <w:rsid w:val="006C11C4"/>
    <w:rsid w:val="006C25FC"/>
    <w:rsid w:val="006D2B8A"/>
    <w:rsid w:val="006D3069"/>
    <w:rsid w:val="00702421"/>
    <w:rsid w:val="0070458A"/>
    <w:rsid w:val="007119CA"/>
    <w:rsid w:val="00715722"/>
    <w:rsid w:val="007420EE"/>
    <w:rsid w:val="00754C4A"/>
    <w:rsid w:val="007D0523"/>
    <w:rsid w:val="007E18BD"/>
    <w:rsid w:val="007E49E4"/>
    <w:rsid w:val="007E6B9C"/>
    <w:rsid w:val="007F4433"/>
    <w:rsid w:val="007F5EE4"/>
    <w:rsid w:val="00817100"/>
    <w:rsid w:val="0082104E"/>
    <w:rsid w:val="0085299C"/>
    <w:rsid w:val="00864DA3"/>
    <w:rsid w:val="00866C4D"/>
    <w:rsid w:val="00871196"/>
    <w:rsid w:val="00873ECD"/>
    <w:rsid w:val="00875895"/>
    <w:rsid w:val="0088306D"/>
    <w:rsid w:val="008B2DC1"/>
    <w:rsid w:val="008B7F4F"/>
    <w:rsid w:val="008C7F38"/>
    <w:rsid w:val="008D263E"/>
    <w:rsid w:val="008D67D0"/>
    <w:rsid w:val="008E003C"/>
    <w:rsid w:val="008F1CA5"/>
    <w:rsid w:val="0095168E"/>
    <w:rsid w:val="00960F2B"/>
    <w:rsid w:val="0096552F"/>
    <w:rsid w:val="00965F4A"/>
    <w:rsid w:val="00976A2B"/>
    <w:rsid w:val="0098117F"/>
    <w:rsid w:val="0098509E"/>
    <w:rsid w:val="009A2A02"/>
    <w:rsid w:val="009B766A"/>
    <w:rsid w:val="009D1BFB"/>
    <w:rsid w:val="009E3C9B"/>
    <w:rsid w:val="009F0ED8"/>
    <w:rsid w:val="00A0394C"/>
    <w:rsid w:val="00A3437F"/>
    <w:rsid w:val="00A44965"/>
    <w:rsid w:val="00A54D96"/>
    <w:rsid w:val="00A936D4"/>
    <w:rsid w:val="00AC0EFB"/>
    <w:rsid w:val="00AF641B"/>
    <w:rsid w:val="00B06FC5"/>
    <w:rsid w:val="00B13FED"/>
    <w:rsid w:val="00B32432"/>
    <w:rsid w:val="00B85C0D"/>
    <w:rsid w:val="00BA110D"/>
    <w:rsid w:val="00BA3B19"/>
    <w:rsid w:val="00BB0449"/>
    <w:rsid w:val="00BC5306"/>
    <w:rsid w:val="00BF0B40"/>
    <w:rsid w:val="00C10507"/>
    <w:rsid w:val="00C56D57"/>
    <w:rsid w:val="00C60A82"/>
    <w:rsid w:val="00C6494D"/>
    <w:rsid w:val="00C65470"/>
    <w:rsid w:val="00C8021C"/>
    <w:rsid w:val="00C94536"/>
    <w:rsid w:val="00CB4413"/>
    <w:rsid w:val="00CC220E"/>
    <w:rsid w:val="00CD13C9"/>
    <w:rsid w:val="00CD18A2"/>
    <w:rsid w:val="00D04744"/>
    <w:rsid w:val="00D27ABC"/>
    <w:rsid w:val="00D5049C"/>
    <w:rsid w:val="00D526DA"/>
    <w:rsid w:val="00D644D1"/>
    <w:rsid w:val="00D65807"/>
    <w:rsid w:val="00D73442"/>
    <w:rsid w:val="00D84164"/>
    <w:rsid w:val="00D86C22"/>
    <w:rsid w:val="00DE4B70"/>
    <w:rsid w:val="00DF2B71"/>
    <w:rsid w:val="00E25285"/>
    <w:rsid w:val="00E40937"/>
    <w:rsid w:val="00E51D8C"/>
    <w:rsid w:val="00E535AA"/>
    <w:rsid w:val="00E601A8"/>
    <w:rsid w:val="00E6248D"/>
    <w:rsid w:val="00E64C6E"/>
    <w:rsid w:val="00E80C8F"/>
    <w:rsid w:val="00E90339"/>
    <w:rsid w:val="00E94219"/>
    <w:rsid w:val="00EA5B89"/>
    <w:rsid w:val="00EB33C6"/>
    <w:rsid w:val="00EB5EE4"/>
    <w:rsid w:val="00EE2CA3"/>
    <w:rsid w:val="00EF7615"/>
    <w:rsid w:val="00F14CAF"/>
    <w:rsid w:val="00F304B5"/>
    <w:rsid w:val="00F32875"/>
    <w:rsid w:val="00F367B1"/>
    <w:rsid w:val="00F372FF"/>
    <w:rsid w:val="00F406FC"/>
    <w:rsid w:val="00F41F54"/>
    <w:rsid w:val="00F56CEF"/>
    <w:rsid w:val="00F7437A"/>
    <w:rsid w:val="00F85D66"/>
    <w:rsid w:val="00FA7F68"/>
    <w:rsid w:val="00FB74AE"/>
    <w:rsid w:val="00FC7906"/>
    <w:rsid w:val="00FD00FC"/>
    <w:rsid w:val="00FD0D0D"/>
    <w:rsid w:val="00FE1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D8"/>
  </w:style>
  <w:style w:type="paragraph" w:styleId="Heading1">
    <w:name w:val="heading 1"/>
    <w:basedOn w:val="Normal"/>
    <w:next w:val="Normal"/>
    <w:link w:val="Heading1Char"/>
    <w:uiPriority w:val="9"/>
    <w:qFormat/>
    <w:rsid w:val="008D67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D8"/>
    <w:pPr>
      <w:ind w:left="720"/>
      <w:contextualSpacing/>
    </w:pPr>
  </w:style>
  <w:style w:type="paragraph" w:styleId="FootnoteText">
    <w:name w:val="footnote text"/>
    <w:basedOn w:val="Normal"/>
    <w:link w:val="FootnoteTextChar"/>
    <w:uiPriority w:val="99"/>
    <w:unhideWhenUsed/>
    <w:rsid w:val="003A38FD"/>
    <w:pPr>
      <w:spacing w:after="0" w:line="240" w:lineRule="auto"/>
    </w:pPr>
    <w:rPr>
      <w:sz w:val="20"/>
      <w:szCs w:val="20"/>
    </w:rPr>
  </w:style>
  <w:style w:type="character" w:customStyle="1" w:styleId="FootnoteTextChar">
    <w:name w:val="Footnote Text Char"/>
    <w:basedOn w:val="DefaultParagraphFont"/>
    <w:link w:val="FootnoteText"/>
    <w:uiPriority w:val="99"/>
    <w:rsid w:val="003A38FD"/>
    <w:rPr>
      <w:sz w:val="20"/>
      <w:szCs w:val="20"/>
    </w:rPr>
  </w:style>
  <w:style w:type="character" w:styleId="FootnoteReference">
    <w:name w:val="footnote reference"/>
    <w:basedOn w:val="DefaultParagraphFont"/>
    <w:uiPriority w:val="99"/>
    <w:unhideWhenUsed/>
    <w:rsid w:val="003A38FD"/>
    <w:rPr>
      <w:vertAlign w:val="superscript"/>
    </w:rPr>
  </w:style>
  <w:style w:type="character" w:styleId="Hyperlink">
    <w:name w:val="Hyperlink"/>
    <w:basedOn w:val="DefaultParagraphFont"/>
    <w:uiPriority w:val="99"/>
    <w:unhideWhenUsed/>
    <w:rsid w:val="007119CA"/>
    <w:rPr>
      <w:color w:val="0000FF" w:themeColor="hyperlink"/>
      <w:u w:val="single"/>
    </w:rPr>
  </w:style>
  <w:style w:type="character" w:customStyle="1" w:styleId="Heading1Char">
    <w:name w:val="Heading 1 Char"/>
    <w:basedOn w:val="DefaultParagraphFont"/>
    <w:link w:val="Heading1"/>
    <w:uiPriority w:val="9"/>
    <w:rsid w:val="008D67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841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164"/>
  </w:style>
  <w:style w:type="paragraph" w:styleId="Footer">
    <w:name w:val="footer"/>
    <w:basedOn w:val="Normal"/>
    <w:link w:val="FooterChar"/>
    <w:uiPriority w:val="99"/>
    <w:unhideWhenUsed/>
    <w:rsid w:val="00D8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938617">
      <w:bodyDiv w:val="1"/>
      <w:marLeft w:val="0"/>
      <w:marRight w:val="0"/>
      <w:marTop w:val="0"/>
      <w:marBottom w:val="0"/>
      <w:divBdr>
        <w:top w:val="none" w:sz="0" w:space="0" w:color="auto"/>
        <w:left w:val="none" w:sz="0" w:space="0" w:color="auto"/>
        <w:bottom w:val="none" w:sz="0" w:space="0" w:color="auto"/>
        <w:right w:val="none" w:sz="0" w:space="0" w:color="auto"/>
      </w:divBdr>
    </w:div>
    <w:div w:id="630525196">
      <w:bodyDiv w:val="1"/>
      <w:marLeft w:val="0"/>
      <w:marRight w:val="0"/>
      <w:marTop w:val="0"/>
      <w:marBottom w:val="0"/>
      <w:divBdr>
        <w:top w:val="none" w:sz="0" w:space="0" w:color="auto"/>
        <w:left w:val="none" w:sz="0" w:space="0" w:color="auto"/>
        <w:bottom w:val="none" w:sz="0" w:space="0" w:color="auto"/>
        <w:right w:val="none" w:sz="0" w:space="0" w:color="auto"/>
      </w:divBdr>
    </w:div>
    <w:div w:id="1255243556">
      <w:bodyDiv w:val="1"/>
      <w:marLeft w:val="0"/>
      <w:marRight w:val="0"/>
      <w:marTop w:val="0"/>
      <w:marBottom w:val="0"/>
      <w:divBdr>
        <w:top w:val="none" w:sz="0" w:space="0" w:color="auto"/>
        <w:left w:val="none" w:sz="0" w:space="0" w:color="auto"/>
        <w:bottom w:val="none" w:sz="0" w:space="0" w:color="auto"/>
        <w:right w:val="none" w:sz="0" w:space="0" w:color="auto"/>
      </w:divBdr>
      <w:divsChild>
        <w:div w:id="79374134">
          <w:marLeft w:val="0"/>
          <w:marRight w:val="0"/>
          <w:marTop w:val="0"/>
          <w:marBottom w:val="0"/>
          <w:divBdr>
            <w:top w:val="none" w:sz="0" w:space="0" w:color="auto"/>
            <w:left w:val="none" w:sz="0" w:space="0" w:color="auto"/>
            <w:bottom w:val="none" w:sz="0" w:space="0" w:color="auto"/>
            <w:right w:val="none" w:sz="0" w:space="0" w:color="auto"/>
          </w:divBdr>
          <w:divsChild>
            <w:div w:id="1259289624">
              <w:marLeft w:val="0"/>
              <w:marRight w:val="0"/>
              <w:marTop w:val="0"/>
              <w:marBottom w:val="0"/>
              <w:divBdr>
                <w:top w:val="none" w:sz="0" w:space="0" w:color="auto"/>
                <w:left w:val="none" w:sz="0" w:space="0" w:color="auto"/>
                <w:bottom w:val="none" w:sz="0" w:space="0" w:color="auto"/>
                <w:right w:val="none" w:sz="0" w:space="0" w:color="auto"/>
              </w:divBdr>
            </w:div>
          </w:divsChild>
        </w:div>
        <w:div w:id="299306127">
          <w:marLeft w:val="0"/>
          <w:marRight w:val="0"/>
          <w:marTop w:val="0"/>
          <w:marBottom w:val="0"/>
          <w:divBdr>
            <w:top w:val="none" w:sz="0" w:space="0" w:color="auto"/>
            <w:left w:val="none" w:sz="0" w:space="0" w:color="auto"/>
            <w:bottom w:val="none" w:sz="0" w:space="0" w:color="auto"/>
            <w:right w:val="none" w:sz="0" w:space="0" w:color="auto"/>
          </w:divBdr>
          <w:divsChild>
            <w:div w:id="15095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155">
      <w:bodyDiv w:val="1"/>
      <w:marLeft w:val="0"/>
      <w:marRight w:val="0"/>
      <w:marTop w:val="0"/>
      <w:marBottom w:val="0"/>
      <w:divBdr>
        <w:top w:val="none" w:sz="0" w:space="0" w:color="auto"/>
        <w:left w:val="none" w:sz="0" w:space="0" w:color="auto"/>
        <w:bottom w:val="none" w:sz="0" w:space="0" w:color="auto"/>
        <w:right w:val="none" w:sz="0" w:space="0" w:color="auto"/>
      </w:divBdr>
    </w:div>
    <w:div w:id="1770546624">
      <w:bodyDiv w:val="1"/>
      <w:marLeft w:val="0"/>
      <w:marRight w:val="0"/>
      <w:marTop w:val="0"/>
      <w:marBottom w:val="0"/>
      <w:divBdr>
        <w:top w:val="none" w:sz="0" w:space="0" w:color="auto"/>
        <w:left w:val="none" w:sz="0" w:space="0" w:color="auto"/>
        <w:bottom w:val="none" w:sz="0" w:space="0" w:color="auto"/>
        <w:right w:val="none" w:sz="0" w:space="0" w:color="auto"/>
      </w:divBdr>
      <w:divsChild>
        <w:div w:id="928389907">
          <w:marLeft w:val="0"/>
          <w:marRight w:val="0"/>
          <w:marTop w:val="0"/>
          <w:marBottom w:val="0"/>
          <w:divBdr>
            <w:top w:val="none" w:sz="0" w:space="0" w:color="auto"/>
            <w:left w:val="none" w:sz="0" w:space="0" w:color="auto"/>
            <w:bottom w:val="none" w:sz="0" w:space="0" w:color="auto"/>
            <w:right w:val="none" w:sz="0" w:space="0" w:color="auto"/>
          </w:divBdr>
          <w:divsChild>
            <w:div w:id="9963235">
              <w:marLeft w:val="0"/>
              <w:marRight w:val="0"/>
              <w:marTop w:val="0"/>
              <w:marBottom w:val="0"/>
              <w:divBdr>
                <w:top w:val="none" w:sz="0" w:space="0" w:color="auto"/>
                <w:left w:val="none" w:sz="0" w:space="0" w:color="auto"/>
                <w:bottom w:val="none" w:sz="0" w:space="0" w:color="auto"/>
                <w:right w:val="none" w:sz="0" w:space="0" w:color="auto"/>
              </w:divBdr>
            </w:div>
          </w:divsChild>
        </w:div>
        <w:div w:id="154689445">
          <w:marLeft w:val="0"/>
          <w:marRight w:val="0"/>
          <w:marTop w:val="0"/>
          <w:marBottom w:val="0"/>
          <w:divBdr>
            <w:top w:val="none" w:sz="0" w:space="0" w:color="auto"/>
            <w:left w:val="none" w:sz="0" w:space="0" w:color="auto"/>
            <w:bottom w:val="none" w:sz="0" w:space="0" w:color="auto"/>
            <w:right w:val="none" w:sz="0" w:space="0" w:color="auto"/>
          </w:divBdr>
          <w:divsChild>
            <w:div w:id="9394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csco.ug/files/downloads/UHRC%20Oil%20report%202014%20UHRC%20REPORT.pdf" TargetMode="External"/><Relationship Id="rId2" Type="http://schemas.openxmlformats.org/officeDocument/2006/relationships/hyperlink" Target="http://www.theeastafrican.co.ke/news/Time-bomb-in-Albertine-as-oil-firms-lack-waste-disposal-plan/-/2558/2435622/-/23qnxcz/-/index.html" TargetMode="External"/><Relationship Id="rId1" Type="http://schemas.openxmlformats.org/officeDocument/2006/relationships/hyperlink" Target="http://www.newvision.co.ug/news/637395-how-prepared-is-nema-for-the-oil-waste.html" TargetMode="External"/><Relationship Id="rId4" Type="http://schemas.openxmlformats.org/officeDocument/2006/relationships/hyperlink" Target="http://www.mercuryconvention.org/Portals/11/documents/Booklets/Minamata%20Convention%20on%20Mercury_bookle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45B54-B1E4-4C67-BA49-3F9118F0C04B}"/>
</file>

<file path=customXml/itemProps2.xml><?xml version="1.0" encoding="utf-8"?>
<ds:datastoreItem xmlns:ds="http://schemas.openxmlformats.org/officeDocument/2006/customXml" ds:itemID="{E5BEC3A8-2C07-4C78-AEC5-DFE26B329E92}"/>
</file>

<file path=customXml/itemProps3.xml><?xml version="1.0" encoding="utf-8"?>
<ds:datastoreItem xmlns:ds="http://schemas.openxmlformats.org/officeDocument/2006/customXml" ds:itemID="{A27E2D41-6852-4E4C-B9D1-FBCD5E8C325E}"/>
</file>

<file path=customXml/itemProps4.xml><?xml version="1.0" encoding="utf-8"?>
<ds:datastoreItem xmlns:ds="http://schemas.openxmlformats.org/officeDocument/2006/customXml" ds:itemID="{310F6C39-5FFA-43AE-A2B2-1DE42AD3B450}"/>
</file>

<file path=docProps/app.xml><?xml version="1.0" encoding="utf-8"?>
<Properties xmlns="http://schemas.openxmlformats.org/officeDocument/2006/extended-properties" xmlns:vt="http://schemas.openxmlformats.org/officeDocument/2006/docPropsVTypes">
  <Template>Normal</Template>
  <TotalTime>4</TotalTime>
  <Pages>9</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Uganda Human Rights contribution (Word)</dc:title>
  <dc:creator>uhrc.int</dc:creator>
  <cp:lastModifiedBy>rutabingwa</cp:lastModifiedBy>
  <cp:revision>2</cp:revision>
  <dcterms:created xsi:type="dcterms:W3CDTF">2015-04-27T08:19:00Z</dcterms:created>
  <dcterms:modified xsi:type="dcterms:W3CDTF">2015-04-27T08:19:00Z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2811100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