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E" w:rsidRDefault="00AA6EAE" w:rsidP="001D21F2">
      <w:pPr>
        <w:pStyle w:val="Heading2"/>
        <w:rPr>
          <w:rFonts w:ascii="Verdana" w:hAnsi="Verdana" w:cs="Calibri"/>
          <w:b/>
          <w:bCs/>
          <w:color w:val="0072C6"/>
          <w:sz w:val="35"/>
          <w:szCs w:val="35"/>
          <w:lang w:val="es-CO"/>
        </w:rPr>
      </w:pPr>
      <w:r w:rsidRPr="001D21F2">
        <w:rPr>
          <w:rFonts w:ascii="Verdana" w:hAnsi="Verdana" w:cs="Calibri"/>
          <w:b/>
          <w:bCs/>
          <w:color w:val="0072C6"/>
          <w:sz w:val="35"/>
          <w:szCs w:val="35"/>
          <w:lang w:val="es-CO"/>
        </w:rPr>
        <w:t>Convocatoria para la entrega de comentarios -Informe de la Relatora Especial de las Naciones Unidas sobre la trata de personas, especialmente mujeres y niños.</w:t>
      </w:r>
    </w:p>
    <w:p w:rsidR="001C52CF" w:rsidRDefault="001C52CF" w:rsidP="001C52CF">
      <w:pPr>
        <w:rPr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41"/>
      </w:tblGrid>
      <w:tr w:rsidR="001C52CF" w:rsidRPr="00886331" w:rsidTr="00E51893">
        <w:tc>
          <w:tcPr>
            <w:tcW w:w="2122" w:type="dxa"/>
          </w:tcPr>
          <w:p w:rsidR="001C52CF" w:rsidRPr="00FA5D80" w:rsidRDefault="001C52CF" w:rsidP="00E51893">
            <w:pPr>
              <w:rPr>
                <w:rFonts w:ascii="Verdana" w:eastAsia="Verdana" w:hAnsi="Verdana" w:cs="Verdana"/>
              </w:rPr>
            </w:pPr>
            <w:proofErr w:type="spellStart"/>
            <w:r w:rsidRPr="00FA5D80">
              <w:rPr>
                <w:rFonts w:ascii="Verdana" w:eastAsia="Verdana" w:hAnsi="Verdana" w:cs="Verdana"/>
              </w:rPr>
              <w:t>Plazo</w:t>
            </w:r>
            <w:proofErr w:type="spellEnd"/>
            <w:r w:rsidRPr="00FA5D80">
              <w:rPr>
                <w:rFonts w:ascii="Verdana" w:eastAsia="Verdana" w:hAnsi="Verdana" w:cs="Verdana"/>
              </w:rPr>
              <w:t>:</w:t>
            </w:r>
          </w:p>
          <w:p w:rsidR="001C52CF" w:rsidRPr="00FA5D80" w:rsidRDefault="001C52CF" w:rsidP="00E5189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228" w:type="dxa"/>
          </w:tcPr>
          <w:p w:rsidR="001C52CF" w:rsidRPr="0027358E" w:rsidRDefault="001C52CF" w:rsidP="001C52CF">
            <w:pPr>
              <w:rPr>
                <w:rFonts w:ascii="Verdana" w:eastAsia="Verdana" w:hAnsi="Verdana" w:cs="Verdana"/>
                <w:b/>
              </w:rPr>
            </w:pPr>
            <w:r w:rsidRPr="0027358E">
              <w:rPr>
                <w:rFonts w:ascii="Verdana" w:eastAsia="Verdana" w:hAnsi="Verdana" w:cs="Verdana"/>
                <w:b/>
              </w:rPr>
              <w:t xml:space="preserve">14 </w:t>
            </w:r>
            <w:proofErr w:type="spellStart"/>
            <w:r w:rsidRPr="0027358E">
              <w:rPr>
                <w:rFonts w:ascii="Verdana" w:eastAsia="Verdana" w:hAnsi="Verdana" w:cs="Verdana"/>
                <w:b/>
              </w:rPr>
              <w:t>febrero</w:t>
            </w:r>
            <w:proofErr w:type="spellEnd"/>
            <w:r w:rsidRPr="0027358E">
              <w:rPr>
                <w:rFonts w:ascii="Verdana" w:eastAsia="Verdana" w:hAnsi="Verdana" w:cs="Verdana"/>
                <w:b/>
              </w:rPr>
              <w:t xml:space="preserve"> 2021 </w:t>
            </w:r>
          </w:p>
        </w:tc>
      </w:tr>
      <w:tr w:rsidR="001C52CF" w:rsidRPr="005546F7" w:rsidTr="00E51893">
        <w:tc>
          <w:tcPr>
            <w:tcW w:w="2122" w:type="dxa"/>
          </w:tcPr>
          <w:p w:rsidR="001C52CF" w:rsidRPr="00FA5D80" w:rsidRDefault="00FA5D80" w:rsidP="00E51893">
            <w:pPr>
              <w:rPr>
                <w:rFonts w:ascii="Verdana" w:eastAsia="Verdana" w:hAnsi="Verdana" w:cs="Verdana"/>
              </w:rPr>
            </w:pPr>
            <w:proofErr w:type="spellStart"/>
            <w:r w:rsidRPr="00FA5D80">
              <w:rPr>
                <w:rFonts w:ascii="Verdana" w:eastAsia="Verdana" w:hAnsi="Verdana" w:cs="Verdana"/>
              </w:rPr>
              <w:t>Emitida</w:t>
            </w:r>
            <w:proofErr w:type="spellEnd"/>
            <w:r w:rsidRPr="00FA5D80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FA5D80">
              <w:rPr>
                <w:rFonts w:ascii="Verdana" w:eastAsia="Verdana" w:hAnsi="Verdana" w:cs="Verdana"/>
              </w:rPr>
              <w:t>por</w:t>
            </w:r>
            <w:proofErr w:type="spellEnd"/>
            <w:r w:rsidR="001C52CF" w:rsidRPr="00FA5D80">
              <w:rPr>
                <w:rFonts w:ascii="Verdana" w:eastAsia="Verdana" w:hAnsi="Verdana" w:cs="Verdana"/>
              </w:rPr>
              <w:t>:</w:t>
            </w:r>
          </w:p>
          <w:p w:rsidR="001C52CF" w:rsidRPr="001C52CF" w:rsidRDefault="001C52CF" w:rsidP="00E51893">
            <w:pPr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7228" w:type="dxa"/>
          </w:tcPr>
          <w:p w:rsidR="001C52CF" w:rsidRPr="00FA5D80" w:rsidRDefault="00FA5D80" w:rsidP="00FA5D80">
            <w:pPr>
              <w:rPr>
                <w:rFonts w:ascii="Verdana" w:eastAsia="Verdana" w:hAnsi="Verdana" w:cs="Verdana"/>
                <w:lang w:val="es-CO"/>
              </w:rPr>
            </w:pPr>
            <w:r w:rsidRPr="00FA5D80">
              <w:rPr>
                <w:rFonts w:ascii="Verdana" w:eastAsia="Verdana" w:hAnsi="Verdana" w:cs="Verdana"/>
                <w:lang w:val="es-CO"/>
              </w:rPr>
              <w:t xml:space="preserve">Relatora Especial de las Naciones Unidas sobre la trata de personas especialmente mujeres y niños. </w:t>
            </w:r>
          </w:p>
          <w:p w:rsidR="00FA5D80" w:rsidRPr="00FA5D80" w:rsidRDefault="00FA5D80" w:rsidP="00FA5D80">
            <w:pPr>
              <w:rPr>
                <w:rFonts w:ascii="Verdana" w:eastAsia="Verdana" w:hAnsi="Verdana" w:cs="Verdana"/>
                <w:highlight w:val="yellow"/>
                <w:lang w:val="es-CO"/>
              </w:rPr>
            </w:pPr>
          </w:p>
        </w:tc>
      </w:tr>
      <w:tr w:rsidR="001C52CF" w:rsidRPr="005546F7" w:rsidTr="00E51893">
        <w:trPr>
          <w:trHeight w:val="467"/>
        </w:trPr>
        <w:tc>
          <w:tcPr>
            <w:tcW w:w="2122" w:type="dxa"/>
          </w:tcPr>
          <w:p w:rsidR="001C52CF" w:rsidRPr="00FA5D80" w:rsidRDefault="00FA5D80" w:rsidP="00E51893">
            <w:pPr>
              <w:rPr>
                <w:rFonts w:ascii="Verdana" w:eastAsia="Verdana" w:hAnsi="Verdana" w:cs="Verdana"/>
                <w:highlight w:val="yellow"/>
                <w:lang w:val="es-CO"/>
              </w:rPr>
            </w:pPr>
            <w:r w:rsidRPr="00FA5D80">
              <w:rPr>
                <w:rFonts w:ascii="Verdana" w:eastAsia="Verdana" w:hAnsi="Verdana" w:cs="Verdana"/>
                <w:lang w:val="es-CO"/>
              </w:rPr>
              <w:t>Propó</w:t>
            </w:r>
            <w:r w:rsidR="001C52CF" w:rsidRPr="00FA5D80">
              <w:rPr>
                <w:rFonts w:ascii="Verdana" w:eastAsia="Verdana" w:hAnsi="Verdana" w:cs="Verdana"/>
                <w:lang w:val="es-CO"/>
              </w:rPr>
              <w:t>sito:</w:t>
            </w:r>
          </w:p>
        </w:tc>
        <w:tc>
          <w:tcPr>
            <w:tcW w:w="7228" w:type="dxa"/>
          </w:tcPr>
          <w:p w:rsidR="001C52CF" w:rsidRPr="00FA5D80" w:rsidRDefault="00FA5D80" w:rsidP="00FA5D80">
            <w:pPr>
              <w:jc w:val="both"/>
              <w:rPr>
                <w:rFonts w:ascii="Verdana" w:eastAsia="Verdana" w:hAnsi="Verdana" w:cs="Verdana"/>
                <w:highlight w:val="yellow"/>
                <w:lang w:val="es-CO"/>
              </w:rPr>
            </w:pPr>
            <w:r w:rsidRPr="00FA5D80">
              <w:rPr>
                <w:rFonts w:ascii="Verdana" w:eastAsia="Verdana" w:hAnsi="Verdana" w:cs="Verdana"/>
                <w:lang w:val="es-CO"/>
              </w:rPr>
              <w:t xml:space="preserve">Para </w:t>
            </w:r>
            <w:r>
              <w:rPr>
                <w:rFonts w:ascii="Verdana" w:eastAsia="Verdana" w:hAnsi="Verdana" w:cs="Verdana"/>
                <w:lang w:val="es-CO"/>
              </w:rPr>
              <w:t>el informe de la Relatora Especial</w:t>
            </w:r>
            <w:r w:rsidRPr="00FA5D80">
              <w:rPr>
                <w:rFonts w:ascii="Verdana" w:eastAsia="Verdana" w:hAnsi="Verdana" w:cs="Verdana"/>
                <w:lang w:val="es-CO"/>
              </w:rPr>
              <w:t xml:space="preserve"> que se presentará en el 47º período de sesiones del Consejo de Derechos Humanos, junio de 2021</w:t>
            </w:r>
          </w:p>
        </w:tc>
      </w:tr>
    </w:tbl>
    <w:p w:rsidR="001C52CF" w:rsidRPr="00FA5D80" w:rsidRDefault="001C52CF" w:rsidP="001C52CF">
      <w:pPr>
        <w:rPr>
          <w:lang w:val="es-CO"/>
        </w:rPr>
      </w:pPr>
    </w:p>
    <w:p w:rsidR="001D21F2" w:rsidRPr="00FA5D80" w:rsidRDefault="001D21F2" w:rsidP="001D21F2">
      <w:pPr>
        <w:rPr>
          <w:lang w:val="es-CO"/>
        </w:rPr>
      </w:pPr>
    </w:p>
    <w:p w:rsidR="006F5F78" w:rsidRDefault="00AA6EAE" w:rsidP="006F5F78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  <w:lang w:val="es-CO"/>
        </w:rPr>
      </w:pPr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La Relatora Especial de las Naciones Unidas sobre la trata de personas, especialmente mujeres y niños, Sra. </w:t>
      </w:r>
      <w:proofErr w:type="spellStart"/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>Siobhán</w:t>
      </w:r>
      <w:proofErr w:type="spellEnd"/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</w:t>
      </w:r>
      <w:proofErr w:type="spellStart"/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>Mullally</w:t>
      </w:r>
      <w:proofErr w:type="spellEnd"/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>, está preparando un informe sobre la aplica</w:t>
      </w:r>
      <w:r w:rsidR="001D21F2"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>ción</w:t>
      </w:r>
      <w:r w:rsid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del principio de no penalizació</w:t>
      </w:r>
      <w:r w:rsidR="001D21F2"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>n</w:t>
      </w:r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en el contexto de la trata de personas. El p</w:t>
      </w:r>
      <w:r w:rsidR="001D21F2"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>ropósito de este</w:t>
      </w:r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informe es identificar las obligaciones fundamentales de los Estados en materia de derechos humanos y exa</w:t>
      </w:r>
      <w:r w:rsid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>minar cómo las formas de penalización</w:t>
      </w:r>
      <w:r w:rsidRPr="001D21F2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como la privación de la ciudadanía, la detención, los regresos forzados, así como las sanciones administrativas y penales, repercuten en los derechos humanos de las víct</w:t>
      </w:r>
      <w:r w:rsid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>imas/supervivientes de la trata</w:t>
      </w:r>
    </w:p>
    <w:p w:rsidR="006F5F78" w:rsidRDefault="00865818" w:rsidP="006F5F78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  <w:lang w:val="es-CO"/>
        </w:rPr>
      </w:pPr>
      <w:r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>En el informe se pondrán de relieve las nuevas tendencias, así como las buenas prácticas en la aplicac</w:t>
      </w:r>
      <w:r w:rsid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>ión del principio de no penalización.</w:t>
      </w:r>
    </w:p>
    <w:p w:rsidR="006F5F78" w:rsidRDefault="006F5F78" w:rsidP="006F5F78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  <w:highlight w:val="white"/>
          <w:lang w:val="es-CO"/>
        </w:rPr>
      </w:pPr>
      <w:r>
        <w:rPr>
          <w:rFonts w:ascii="Verdana" w:eastAsia="Verdana" w:hAnsi="Verdana" w:cs="Verdana"/>
          <w:sz w:val="24"/>
          <w:szCs w:val="24"/>
          <w:highlight w:val="white"/>
          <w:lang w:val="es-CO"/>
        </w:rPr>
        <w:t>La</w:t>
      </w:r>
      <w:r w:rsidR="00865818"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Relator</w:t>
      </w:r>
      <w:r>
        <w:rPr>
          <w:rFonts w:ascii="Verdana" w:eastAsia="Verdana" w:hAnsi="Verdana" w:cs="Verdana"/>
          <w:sz w:val="24"/>
          <w:szCs w:val="24"/>
          <w:highlight w:val="white"/>
          <w:lang w:val="es-CO"/>
        </w:rPr>
        <w:t>a</w:t>
      </w:r>
      <w:r w:rsidR="00865818"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Especial invita a las personas y organizaciones interesadas, incluidos los expertos y las organizaciones afectadas, los encargados de formular políticas, los profesionales y los académicos, a que hagan </w:t>
      </w:r>
      <w:r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contribuciones </w:t>
      </w:r>
      <w:r w:rsidR="00865818"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para la preparación del informe, que se entregará al Consejo de Derechos Humanos en </w:t>
      </w:r>
      <w:r w:rsidR="00865818" w:rsidRPr="006F5F78">
        <w:rPr>
          <w:rFonts w:ascii="Verdana" w:eastAsia="Verdana" w:hAnsi="Verdana" w:cs="Verdana"/>
          <w:b/>
          <w:sz w:val="24"/>
          <w:szCs w:val="24"/>
          <w:highlight w:val="white"/>
          <w:lang w:val="es-CO"/>
        </w:rPr>
        <w:t>junio de 2021</w:t>
      </w:r>
      <w:r w:rsidRPr="006F5F78">
        <w:rPr>
          <w:rFonts w:ascii="Verdana" w:eastAsia="Verdana" w:hAnsi="Verdana" w:cs="Verdana"/>
          <w:b/>
          <w:sz w:val="24"/>
          <w:szCs w:val="24"/>
          <w:highlight w:val="white"/>
          <w:lang w:val="es-CO"/>
        </w:rPr>
        <w:t>.</w:t>
      </w:r>
    </w:p>
    <w:p w:rsidR="00FA5D80" w:rsidRDefault="00FA5D80" w:rsidP="006F5F78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  <w:highlight w:val="white"/>
          <w:lang w:val="es-CO"/>
        </w:rPr>
      </w:pPr>
    </w:p>
    <w:p w:rsidR="00FA5D80" w:rsidRDefault="00FA5D80" w:rsidP="006F5F78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262626"/>
          <w:sz w:val="28"/>
          <w:szCs w:val="28"/>
          <w:lang w:val="es-CO"/>
        </w:rPr>
      </w:pPr>
      <w:r w:rsidRPr="00FA5D80">
        <w:rPr>
          <w:rFonts w:ascii="Verdana" w:eastAsia="Times New Roman" w:hAnsi="Verdana" w:cs="Times New Roman"/>
          <w:b/>
          <w:bCs/>
          <w:color w:val="262626"/>
          <w:sz w:val="28"/>
          <w:szCs w:val="28"/>
          <w:lang w:val="es-CO"/>
        </w:rPr>
        <w:lastRenderedPageBreak/>
        <w:t>¿Cómo envia</w:t>
      </w:r>
      <w:r>
        <w:rPr>
          <w:rFonts w:ascii="Verdana" w:eastAsia="Times New Roman" w:hAnsi="Verdana" w:cs="Times New Roman"/>
          <w:b/>
          <w:bCs/>
          <w:color w:val="262626"/>
          <w:sz w:val="28"/>
          <w:szCs w:val="28"/>
          <w:lang w:val="es-CO"/>
        </w:rPr>
        <w:t>r sus contribuciones</w:t>
      </w:r>
      <w:r w:rsidRPr="00FA5D80">
        <w:rPr>
          <w:rFonts w:ascii="Verdana" w:eastAsia="Times New Roman" w:hAnsi="Verdana" w:cs="Times New Roman"/>
          <w:b/>
          <w:bCs/>
          <w:color w:val="262626"/>
          <w:sz w:val="28"/>
          <w:szCs w:val="28"/>
          <w:lang w:val="es-CO"/>
        </w:rPr>
        <w:t xml:space="preserve"> por escrito a la Relatora Especial?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155"/>
      </w:tblGrid>
      <w:tr w:rsidR="00FA5D80" w:rsidTr="00C86352">
        <w:tc>
          <w:tcPr>
            <w:tcW w:w="2977" w:type="dxa"/>
          </w:tcPr>
          <w:p w:rsidR="00FA5D80" w:rsidRDefault="00FA5D80" w:rsidP="00C86352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highlight w:val="white"/>
                <w:lang w:val="en-GB"/>
              </w:rPr>
              <w:t xml:space="preserve">E-mail: </w:t>
            </w:r>
          </w:p>
        </w:tc>
        <w:tc>
          <w:tcPr>
            <w:tcW w:w="6373" w:type="dxa"/>
          </w:tcPr>
          <w:p w:rsidR="00FA5D80" w:rsidRDefault="00FA5D80" w:rsidP="00C86352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 w:rsidRPr="00545A2D">
              <w:rPr>
                <w:rFonts w:ascii="Verdana" w:eastAsia="Verdana" w:hAnsi="Verdana" w:cs="Verdana"/>
                <w:b/>
              </w:rPr>
              <w:t>srtrafficking@ohchr.org</w:t>
            </w:r>
          </w:p>
        </w:tc>
      </w:tr>
      <w:tr w:rsidR="00FA5D80" w:rsidRPr="005546F7" w:rsidTr="00C86352">
        <w:tc>
          <w:tcPr>
            <w:tcW w:w="2977" w:type="dxa"/>
          </w:tcPr>
          <w:p w:rsidR="00FA5D80" w:rsidRDefault="00FA5D80" w:rsidP="00C86352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proofErr w:type="spellStart"/>
            <w:r>
              <w:rPr>
                <w:rFonts w:ascii="Verdana" w:eastAsia="Verdana" w:hAnsi="Verdana" w:cs="Verdana"/>
                <w:highlight w:val="white"/>
                <w:lang w:val="en-GB"/>
              </w:rPr>
              <w:t>Asunto</w:t>
            </w:r>
            <w:proofErr w:type="spellEnd"/>
            <w:r>
              <w:rPr>
                <w:rFonts w:ascii="Verdana" w:eastAsia="Verdana" w:hAnsi="Verdana" w:cs="Verdana"/>
                <w:highlight w:val="white"/>
                <w:lang w:val="en-GB"/>
              </w:rPr>
              <w:t xml:space="preserve"> del E- mail: </w:t>
            </w:r>
          </w:p>
        </w:tc>
        <w:tc>
          <w:tcPr>
            <w:tcW w:w="6373" w:type="dxa"/>
          </w:tcPr>
          <w:p w:rsidR="00FA5D80" w:rsidRPr="0027358E" w:rsidRDefault="00FA5D80" w:rsidP="0027358E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s-CO"/>
              </w:rPr>
            </w:pPr>
            <w:r w:rsidRPr="0027358E">
              <w:rPr>
                <w:rFonts w:ascii="Verdana" w:eastAsia="Verdana" w:hAnsi="Verdana" w:cs="Verdana"/>
                <w:highlight w:val="white"/>
                <w:lang w:val="es-CO"/>
              </w:rPr>
              <w:t>“</w:t>
            </w:r>
            <w:r w:rsidR="0027358E" w:rsidRPr="0027358E">
              <w:rPr>
                <w:rFonts w:ascii="Verdana" w:eastAsia="Verdana" w:hAnsi="Verdana" w:cs="Verdana"/>
                <w:lang w:val="es-CO"/>
              </w:rPr>
              <w:t>Aportaciones al informe sobre la aplicación del principio de no penalización</w:t>
            </w:r>
            <w:r w:rsidRPr="0027358E">
              <w:rPr>
                <w:rFonts w:ascii="Verdana" w:eastAsia="Verdana" w:hAnsi="Verdana" w:cs="Verdana"/>
                <w:highlight w:val="white"/>
                <w:lang w:val="es-CO"/>
              </w:rPr>
              <w:t>”</w:t>
            </w:r>
          </w:p>
        </w:tc>
      </w:tr>
      <w:tr w:rsidR="00FA5D80" w:rsidRPr="0027358E" w:rsidTr="00C86352">
        <w:tc>
          <w:tcPr>
            <w:tcW w:w="2977" w:type="dxa"/>
          </w:tcPr>
          <w:p w:rsidR="00FA5D80" w:rsidRDefault="00FA5D80" w:rsidP="00C86352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proofErr w:type="spellStart"/>
            <w:r>
              <w:rPr>
                <w:rFonts w:ascii="Verdana" w:eastAsia="Verdana" w:hAnsi="Verdana" w:cs="Verdana"/>
                <w:highlight w:val="white"/>
                <w:lang w:val="en-GB"/>
              </w:rPr>
              <w:t>Idiomas</w:t>
            </w:r>
            <w:proofErr w:type="spellEnd"/>
            <w:r>
              <w:rPr>
                <w:rFonts w:ascii="Verdana" w:eastAsia="Verdana" w:hAnsi="Verdana" w:cs="Verdana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highlight w:val="white"/>
                <w:lang w:val="en-GB"/>
              </w:rPr>
              <w:t>aceptados</w:t>
            </w:r>
            <w:proofErr w:type="spellEnd"/>
            <w:r>
              <w:rPr>
                <w:rFonts w:ascii="Verdana" w:eastAsia="Verdana" w:hAnsi="Verdana" w:cs="Verdana"/>
                <w:highlight w:val="white"/>
                <w:lang w:val="en-GB"/>
              </w:rPr>
              <w:t>:</w:t>
            </w:r>
          </w:p>
        </w:tc>
        <w:tc>
          <w:tcPr>
            <w:tcW w:w="6373" w:type="dxa"/>
          </w:tcPr>
          <w:p w:rsidR="00FA5D80" w:rsidRPr="0027358E" w:rsidRDefault="0027358E" w:rsidP="0027358E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s-CO"/>
              </w:rPr>
            </w:pPr>
            <w:r>
              <w:rPr>
                <w:rFonts w:ascii="Verdana" w:eastAsia="Verdana" w:hAnsi="Verdana" w:cs="Verdana"/>
                <w:highlight w:val="white"/>
                <w:lang w:val="es-CO"/>
              </w:rPr>
              <w:t>I</w:t>
            </w:r>
            <w:r w:rsidR="00FA5D80">
              <w:rPr>
                <w:rFonts w:ascii="Verdana" w:eastAsia="Verdana" w:hAnsi="Verdana" w:cs="Verdana"/>
                <w:highlight w:val="white"/>
                <w:lang w:val="es-CO"/>
              </w:rPr>
              <w:t>nglés</w:t>
            </w:r>
            <w:r>
              <w:rPr>
                <w:rFonts w:ascii="Verdana" w:eastAsia="Verdana" w:hAnsi="Verdana" w:cs="Verdana"/>
                <w:highlight w:val="white"/>
                <w:lang w:val="es-CO"/>
              </w:rPr>
              <w:t>, Francés o Español</w:t>
            </w:r>
          </w:p>
        </w:tc>
      </w:tr>
    </w:tbl>
    <w:p w:rsidR="006F5F78" w:rsidRPr="006F5F78" w:rsidRDefault="006F5F78" w:rsidP="006F5F78">
      <w:pPr>
        <w:rPr>
          <w:lang w:val="es-CO"/>
        </w:rPr>
      </w:pPr>
    </w:p>
    <w:p w:rsidR="006F5F78" w:rsidRDefault="006F5F78" w:rsidP="006F5F78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Se pide a los interesados que limiten sus comentarios a un máximo de </w:t>
      </w:r>
      <w:r w:rsidRPr="009F0335">
        <w:rPr>
          <w:rFonts w:ascii="Verdana" w:eastAsia="Verdana" w:hAnsi="Verdana" w:cs="Verdana"/>
          <w:b/>
          <w:sz w:val="24"/>
          <w:szCs w:val="24"/>
          <w:highlight w:val="white"/>
          <w:lang w:val="es-CO"/>
        </w:rPr>
        <w:t>2.000</w:t>
      </w:r>
      <w:r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palabras. Pueden adjuntarse materiales de apoyo adicionales, como informes, estudi</w:t>
      </w:r>
      <w:r>
        <w:rPr>
          <w:rFonts w:ascii="Verdana" w:eastAsia="Verdana" w:hAnsi="Verdana" w:cs="Verdana"/>
          <w:sz w:val="24"/>
          <w:szCs w:val="24"/>
          <w:highlight w:val="white"/>
          <w:lang w:val="es-CO"/>
        </w:rPr>
        <w:t>os académicos y otros documentos</w:t>
      </w:r>
      <w:r w:rsidRPr="006F5F78">
        <w:rPr>
          <w:rFonts w:ascii="Verdana" w:eastAsia="Verdana" w:hAnsi="Verdana" w:cs="Verdana"/>
          <w:sz w:val="24"/>
          <w:szCs w:val="24"/>
          <w:highlight w:val="white"/>
          <w:lang w:val="es-CO"/>
        </w:rPr>
        <w:t xml:space="preserve"> de base.</w:t>
      </w:r>
    </w:p>
    <w:p w:rsidR="0027358E" w:rsidRPr="0027358E" w:rsidRDefault="00684333" w:rsidP="0027358E">
      <w:pPr>
        <w:pStyle w:val="Heading3"/>
        <w:shd w:val="clear" w:color="auto" w:fill="FFFFFF"/>
        <w:jc w:val="both"/>
        <w:rPr>
          <w:rFonts w:ascii="Verdana" w:eastAsia="Verdana" w:hAnsi="Verdana" w:cs="Verdana"/>
          <w:b/>
          <w:color w:val="auto"/>
          <w:sz w:val="24"/>
          <w:szCs w:val="24"/>
          <w:highlight w:val="white"/>
          <w:lang w:val="es-CO"/>
        </w:rPr>
      </w:pPr>
      <w:r w:rsidRPr="005F3532">
        <w:rPr>
          <w:rFonts w:ascii="Verdana" w:eastAsia="Verdana" w:hAnsi="Verdana" w:cs="Verdana"/>
          <w:b/>
          <w:color w:val="auto"/>
          <w:sz w:val="24"/>
          <w:szCs w:val="24"/>
          <w:highlight w:val="white"/>
          <w:lang w:val="es-CO"/>
        </w:rPr>
        <w:t>Todas las contribuciones se publicarán en el sitio web del mandato. Si desea mantener la confidencialidad de su</w:t>
      </w:r>
      <w:r w:rsidR="00150FE2" w:rsidRPr="005F3532">
        <w:rPr>
          <w:rFonts w:ascii="Verdana" w:eastAsia="Verdana" w:hAnsi="Verdana" w:cs="Verdana"/>
          <w:b/>
          <w:color w:val="auto"/>
          <w:sz w:val="24"/>
          <w:szCs w:val="24"/>
          <w:highlight w:val="white"/>
          <w:lang w:val="es-CO"/>
        </w:rPr>
        <w:t>s aportaciones</w:t>
      </w:r>
      <w:r w:rsidRPr="005F3532">
        <w:rPr>
          <w:rFonts w:ascii="Verdana" w:eastAsia="Verdana" w:hAnsi="Verdana" w:cs="Verdana"/>
          <w:b/>
          <w:color w:val="auto"/>
          <w:sz w:val="24"/>
          <w:szCs w:val="24"/>
          <w:highlight w:val="white"/>
          <w:lang w:val="es-CO"/>
        </w:rPr>
        <w:t>, tenga la amabilidad de indicarlo claramente e</w:t>
      </w:r>
      <w:r w:rsidR="00A65E72">
        <w:rPr>
          <w:rFonts w:ascii="Verdana" w:eastAsia="Verdana" w:hAnsi="Verdana" w:cs="Verdana"/>
          <w:b/>
          <w:color w:val="auto"/>
          <w:sz w:val="24"/>
          <w:szCs w:val="24"/>
          <w:highlight w:val="white"/>
          <w:lang w:val="es-CO"/>
        </w:rPr>
        <w:t xml:space="preserve">n el momento de la presentación. </w:t>
      </w:r>
    </w:p>
    <w:p w:rsidR="00865818" w:rsidRDefault="00865818" w:rsidP="00685CBB">
      <w:pPr>
        <w:pStyle w:val="Heading3"/>
        <w:shd w:val="clear" w:color="auto" w:fill="FFFFFF"/>
        <w:jc w:val="both"/>
        <w:rPr>
          <w:rFonts w:ascii="Verdana" w:hAnsi="Verdana"/>
          <w:b/>
          <w:bCs/>
          <w:color w:val="262626"/>
          <w:lang w:val="es-CO"/>
        </w:rPr>
      </w:pPr>
      <w:r w:rsidRPr="00685CBB">
        <w:rPr>
          <w:rFonts w:ascii="Verdana" w:hAnsi="Verdana"/>
          <w:b/>
          <w:bCs/>
          <w:color w:val="262626"/>
          <w:lang w:val="es-CO"/>
        </w:rPr>
        <w:t>Preguntas y cuestiones clave que deben abordarse:</w:t>
      </w:r>
    </w:p>
    <w:p w:rsidR="00685CBB" w:rsidRPr="00685CBB" w:rsidRDefault="00685CBB" w:rsidP="00685CBB">
      <w:pPr>
        <w:rPr>
          <w:lang w:val="es-CO"/>
        </w:rPr>
      </w:pPr>
    </w:p>
    <w:p w:rsidR="002C1C11" w:rsidRDefault="00685CBB" w:rsidP="002C1C11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85CBB">
        <w:rPr>
          <w:rFonts w:ascii="Verdana" w:eastAsia="Verdana" w:hAnsi="Verdana" w:cs="Verdana"/>
          <w:sz w:val="24"/>
          <w:szCs w:val="24"/>
          <w:lang w:val="es-CO"/>
        </w:rPr>
        <w:t xml:space="preserve">El presente informe temático se basará en la labor preparatoria realizada </w:t>
      </w:r>
      <w:r w:rsidR="00F41A78">
        <w:rPr>
          <w:rFonts w:ascii="Verdana" w:eastAsia="Verdana" w:hAnsi="Verdana" w:cs="Verdana"/>
          <w:sz w:val="24"/>
          <w:szCs w:val="24"/>
          <w:lang w:val="es-CO"/>
        </w:rPr>
        <w:t xml:space="preserve">por mi predecesora </w:t>
      </w:r>
      <w:r w:rsidRPr="00685CBB">
        <w:rPr>
          <w:rFonts w:ascii="Verdana" w:eastAsia="Verdana" w:hAnsi="Verdana" w:cs="Verdana"/>
          <w:sz w:val="24"/>
          <w:szCs w:val="24"/>
          <w:lang w:val="es-CO"/>
        </w:rPr>
        <w:t xml:space="preserve">en el </w:t>
      </w:r>
      <w:hyperlink r:id="rId5" w:history="1">
        <w:r w:rsidRPr="002C1C11">
          <w:rPr>
            <w:rStyle w:val="Hyperlink"/>
            <w:rFonts w:ascii="Verdana" w:eastAsia="Verdana" w:hAnsi="Verdana" w:cs="Verdana"/>
            <w:sz w:val="24"/>
            <w:szCs w:val="24"/>
            <w:lang w:val="es-CO"/>
          </w:rPr>
          <w:t>documento de posición</w:t>
        </w:r>
      </w:hyperlink>
      <w:r w:rsidRPr="00685CBB">
        <w:rPr>
          <w:rFonts w:ascii="Verdana" w:eastAsia="Verdana" w:hAnsi="Verdana" w:cs="Verdana"/>
          <w:sz w:val="24"/>
          <w:szCs w:val="24"/>
          <w:lang w:val="es-CO"/>
        </w:rPr>
        <w:t xml:space="preserve"> de 2020 sobre el</w:t>
      </w:r>
      <w:r w:rsidR="002C1C11">
        <w:rPr>
          <w:rFonts w:ascii="Verdana" w:eastAsia="Verdana" w:hAnsi="Verdana" w:cs="Verdana"/>
          <w:sz w:val="24"/>
          <w:szCs w:val="24"/>
          <w:lang w:val="es-CO"/>
        </w:rPr>
        <w:t xml:space="preserve"> principio de no penalización.</w:t>
      </w:r>
    </w:p>
    <w:p w:rsidR="00850680" w:rsidRDefault="00865818" w:rsidP="00850680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2C1C11">
        <w:rPr>
          <w:rFonts w:ascii="Verdana" w:eastAsia="Verdana" w:hAnsi="Verdana" w:cs="Verdana"/>
          <w:sz w:val="24"/>
          <w:szCs w:val="24"/>
          <w:lang w:val="es-CO"/>
        </w:rPr>
        <w:t>Si bien se acogen con satis</w:t>
      </w:r>
      <w:r w:rsidR="002C1C11">
        <w:rPr>
          <w:rFonts w:ascii="Verdana" w:eastAsia="Verdana" w:hAnsi="Verdana" w:cs="Verdana"/>
          <w:sz w:val="24"/>
          <w:szCs w:val="24"/>
          <w:lang w:val="es-CO"/>
        </w:rPr>
        <w:t xml:space="preserve">facción todas las aportaciones, la Relatora </w:t>
      </w:r>
      <w:r w:rsidRPr="002C1C11">
        <w:rPr>
          <w:rFonts w:ascii="Verdana" w:eastAsia="Verdana" w:hAnsi="Verdana" w:cs="Verdana"/>
          <w:sz w:val="24"/>
          <w:szCs w:val="24"/>
          <w:lang w:val="es-CO"/>
        </w:rPr>
        <w:t>Especial invita en particular a</w:t>
      </w:r>
      <w:r w:rsidR="002C1C11">
        <w:rPr>
          <w:rFonts w:ascii="Verdana" w:eastAsia="Verdana" w:hAnsi="Verdana" w:cs="Verdana"/>
          <w:sz w:val="24"/>
          <w:szCs w:val="24"/>
          <w:lang w:val="es-CO"/>
        </w:rPr>
        <w:t xml:space="preserve"> que se formulen observaciones y se proporcione</w:t>
      </w:r>
      <w:r w:rsidRPr="002C1C11">
        <w:rPr>
          <w:rFonts w:ascii="Verdana" w:eastAsia="Verdana" w:hAnsi="Verdana" w:cs="Verdana"/>
          <w:sz w:val="24"/>
          <w:szCs w:val="24"/>
          <w:lang w:val="es-CO"/>
        </w:rPr>
        <w:t xml:space="preserve"> información sobre las siguientes cuestiones:</w:t>
      </w:r>
    </w:p>
    <w:p w:rsidR="00850680" w:rsidRPr="00850680" w:rsidRDefault="002C1C11" w:rsidP="00850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50680">
        <w:rPr>
          <w:rFonts w:ascii="Verdana" w:eastAsia="Verdana" w:hAnsi="Verdana" w:cs="Verdana"/>
          <w:sz w:val="24"/>
          <w:szCs w:val="24"/>
          <w:lang w:val="es-CO"/>
        </w:rPr>
        <w:t>La dimensión de género en</w:t>
      </w:r>
      <w:r w:rsidR="00865818" w:rsidRPr="00850680">
        <w:rPr>
          <w:rFonts w:ascii="Verdana" w:eastAsia="Verdana" w:hAnsi="Verdana" w:cs="Verdana"/>
          <w:sz w:val="24"/>
          <w:szCs w:val="24"/>
          <w:lang w:val="es-CO"/>
        </w:rPr>
        <w:t xml:space="preserve"> la aplica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>ción del principio de no penalización;</w:t>
      </w:r>
    </w:p>
    <w:p w:rsidR="00850680" w:rsidRDefault="00865818" w:rsidP="00850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50680">
        <w:rPr>
          <w:rFonts w:ascii="Verdana" w:eastAsia="Verdana" w:hAnsi="Verdana" w:cs="Verdana"/>
          <w:sz w:val="24"/>
          <w:szCs w:val="24"/>
          <w:lang w:val="es-CO"/>
        </w:rPr>
        <w:t>Ejemplos de privaci</w:t>
      </w:r>
      <w:r w:rsidR="002C1C11" w:rsidRPr="00850680">
        <w:rPr>
          <w:rFonts w:ascii="Verdana" w:eastAsia="Verdana" w:hAnsi="Verdana" w:cs="Verdana"/>
          <w:sz w:val="24"/>
          <w:szCs w:val="24"/>
          <w:lang w:val="es-CO"/>
        </w:rPr>
        <w:t>ón de</w:t>
      </w:r>
      <w:r w:rsidR="00135121">
        <w:rPr>
          <w:rFonts w:ascii="Verdana" w:eastAsia="Verdana" w:hAnsi="Verdana" w:cs="Verdana"/>
          <w:sz w:val="24"/>
          <w:szCs w:val="24"/>
          <w:lang w:val="es-CO"/>
        </w:rPr>
        <w:t xml:space="preserve"> la ciudadanía como sanción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 xml:space="preserve"> c</w:t>
      </w:r>
      <w:r w:rsidR="00850680" w:rsidRPr="00850680">
        <w:rPr>
          <w:rFonts w:ascii="Verdana" w:eastAsia="Verdana" w:hAnsi="Verdana" w:cs="Verdana"/>
          <w:sz w:val="24"/>
          <w:szCs w:val="24"/>
          <w:lang w:val="es-CO"/>
        </w:rPr>
        <w:t>ontra las</w:t>
      </w:r>
      <w:r w:rsidR="00612728">
        <w:rPr>
          <w:rFonts w:ascii="Verdana" w:eastAsia="Verdana" w:hAnsi="Verdana" w:cs="Verdana"/>
          <w:sz w:val="24"/>
          <w:szCs w:val="24"/>
          <w:lang w:val="es-CO"/>
        </w:rPr>
        <w:t xml:space="preserve"> personas</w:t>
      </w:r>
      <w:r w:rsidR="00850680" w:rsidRPr="00850680">
        <w:rPr>
          <w:rFonts w:ascii="Verdana" w:eastAsia="Verdana" w:hAnsi="Verdana" w:cs="Verdana"/>
          <w:sz w:val="24"/>
          <w:szCs w:val="24"/>
          <w:lang w:val="es-CO"/>
        </w:rPr>
        <w:t xml:space="preserve"> víctimas de la trata;</w:t>
      </w:r>
    </w:p>
    <w:p w:rsidR="00850680" w:rsidRPr="00882179" w:rsidRDefault="00865818" w:rsidP="00865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82179">
        <w:rPr>
          <w:rFonts w:ascii="Verdana" w:eastAsia="Verdana" w:hAnsi="Verdana" w:cs="Verdana"/>
          <w:sz w:val="24"/>
          <w:szCs w:val="24"/>
          <w:lang w:val="es-CO"/>
        </w:rPr>
        <w:t>Arresto, detención u otras formas de custodia de las perso</w:t>
      </w:r>
      <w:r w:rsidR="00135121">
        <w:rPr>
          <w:rFonts w:ascii="Verdana" w:eastAsia="Verdana" w:hAnsi="Verdana" w:cs="Verdana"/>
          <w:sz w:val="24"/>
          <w:szCs w:val="24"/>
          <w:lang w:val="es-CO"/>
        </w:rPr>
        <w:t>nas</w:t>
      </w:r>
      <w:r w:rsidR="00612728">
        <w:rPr>
          <w:rFonts w:ascii="Verdana" w:eastAsia="Verdana" w:hAnsi="Verdana" w:cs="Verdana"/>
          <w:sz w:val="24"/>
          <w:szCs w:val="24"/>
          <w:lang w:val="es-CO"/>
        </w:rPr>
        <w:t xml:space="preserve"> víctimas </w:t>
      </w:r>
      <w:r w:rsidR="00135121">
        <w:rPr>
          <w:rFonts w:ascii="Verdana" w:eastAsia="Verdana" w:hAnsi="Verdana" w:cs="Verdana"/>
          <w:sz w:val="24"/>
          <w:szCs w:val="24"/>
          <w:lang w:val="es-CO"/>
        </w:rPr>
        <w:t>de trata como sanción</w:t>
      </w:r>
      <w:r w:rsidRPr="00882179">
        <w:rPr>
          <w:rFonts w:ascii="Verdana" w:eastAsia="Verdana" w:hAnsi="Verdana" w:cs="Verdana"/>
          <w:sz w:val="24"/>
          <w:szCs w:val="24"/>
          <w:lang w:val="es-CO"/>
        </w:rPr>
        <w:t>;</w:t>
      </w:r>
    </w:p>
    <w:p w:rsidR="00850680" w:rsidRDefault="00865818" w:rsidP="00865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50680">
        <w:rPr>
          <w:rFonts w:ascii="Verdana" w:eastAsia="Verdana" w:hAnsi="Verdana" w:cs="Verdana"/>
          <w:sz w:val="24"/>
          <w:szCs w:val="24"/>
          <w:lang w:val="es-CO"/>
        </w:rPr>
        <w:t>In</w:t>
      </w:r>
      <w:r w:rsidR="00850680">
        <w:rPr>
          <w:rFonts w:ascii="Verdana" w:eastAsia="Verdana" w:hAnsi="Verdana" w:cs="Verdana"/>
          <w:sz w:val="24"/>
          <w:szCs w:val="24"/>
          <w:lang w:val="es-CO"/>
        </w:rPr>
        <w:t>cidentes de retorno forzado a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 xml:space="preserve"> país</w:t>
      </w:r>
      <w:r w:rsidR="00850680">
        <w:rPr>
          <w:rFonts w:ascii="Verdana" w:eastAsia="Verdana" w:hAnsi="Verdana" w:cs="Verdana"/>
          <w:sz w:val="24"/>
          <w:szCs w:val="24"/>
          <w:lang w:val="es-CO"/>
        </w:rPr>
        <w:t>es</w:t>
      </w:r>
      <w:r w:rsidR="00135121">
        <w:rPr>
          <w:rFonts w:ascii="Verdana" w:eastAsia="Verdana" w:hAnsi="Verdana" w:cs="Verdana"/>
          <w:sz w:val="24"/>
          <w:szCs w:val="24"/>
          <w:lang w:val="es-CO"/>
        </w:rPr>
        <w:t xml:space="preserve"> de origen como sanción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850680" w:rsidRDefault="00865818" w:rsidP="00865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50680">
        <w:rPr>
          <w:rFonts w:ascii="Verdana" w:eastAsia="Verdana" w:hAnsi="Verdana" w:cs="Verdana"/>
          <w:sz w:val="24"/>
          <w:szCs w:val="24"/>
          <w:lang w:val="es-CO"/>
        </w:rPr>
        <w:lastRenderedPageBreak/>
        <w:t>Los límites o desafíos en la aplica</w:t>
      </w:r>
      <w:r w:rsidR="00850680" w:rsidRPr="00850680">
        <w:rPr>
          <w:rFonts w:ascii="Verdana" w:eastAsia="Verdana" w:hAnsi="Verdana" w:cs="Verdana"/>
          <w:sz w:val="24"/>
          <w:szCs w:val="24"/>
          <w:lang w:val="es-CO"/>
        </w:rPr>
        <w:t>ción del principio de no penalización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>, en la ley o en la práctica;</w:t>
      </w:r>
    </w:p>
    <w:p w:rsidR="00882179" w:rsidRPr="00135121" w:rsidRDefault="00865818" w:rsidP="00865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50680">
        <w:rPr>
          <w:rFonts w:ascii="Verdana" w:eastAsia="Verdana" w:hAnsi="Verdana" w:cs="Verdana"/>
          <w:sz w:val="24"/>
          <w:szCs w:val="24"/>
          <w:lang w:val="es-CO"/>
        </w:rPr>
        <w:t>Las disposiciones discriminatorias en la ley o en la</w:t>
      </w:r>
      <w:r w:rsidR="00850680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 xml:space="preserve"> política</w:t>
      </w:r>
      <w:r w:rsidR="00850680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 xml:space="preserve"> sobre el principio de</w:t>
      </w:r>
      <w:r w:rsidR="00850680">
        <w:rPr>
          <w:rFonts w:ascii="Verdana" w:eastAsia="Verdana" w:hAnsi="Verdana" w:cs="Verdana"/>
          <w:sz w:val="24"/>
          <w:szCs w:val="24"/>
          <w:lang w:val="es-CO"/>
        </w:rPr>
        <w:t xml:space="preserve"> no penalización</w:t>
      </w:r>
      <w:r w:rsidRPr="00850680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135121">
        <w:rPr>
          <w:rFonts w:ascii="Verdana" w:eastAsia="Verdana" w:hAnsi="Verdana" w:cs="Verdana"/>
          <w:sz w:val="24"/>
          <w:szCs w:val="24"/>
          <w:lang w:val="es-CO"/>
        </w:rPr>
        <w:t>o la discriminación</w:t>
      </w:r>
      <w:r w:rsidR="00882179" w:rsidRPr="00135121">
        <w:rPr>
          <w:rFonts w:ascii="Verdana" w:eastAsia="Verdana" w:hAnsi="Verdana" w:cs="Verdana"/>
          <w:sz w:val="24"/>
          <w:szCs w:val="24"/>
          <w:lang w:val="es-CO"/>
        </w:rPr>
        <w:t xml:space="preserve"> actual en la aplicación</w:t>
      </w:r>
      <w:r w:rsidRPr="0013512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35121" w:rsidRPr="00135121" w:rsidRDefault="00865818" w:rsidP="006746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135121">
        <w:rPr>
          <w:rFonts w:ascii="Verdana" w:eastAsia="Verdana" w:hAnsi="Verdana" w:cs="Verdana"/>
          <w:sz w:val="24"/>
          <w:szCs w:val="24"/>
          <w:lang w:val="es-CO"/>
        </w:rPr>
        <w:t xml:space="preserve"> Información sobre las leyes y políticas relativas a la aplica</w:t>
      </w:r>
      <w:r w:rsidR="00882179" w:rsidRPr="00135121">
        <w:rPr>
          <w:rFonts w:ascii="Verdana" w:eastAsia="Verdana" w:hAnsi="Verdana" w:cs="Verdana"/>
          <w:sz w:val="24"/>
          <w:szCs w:val="24"/>
          <w:lang w:val="es-CO"/>
        </w:rPr>
        <w:t>ción del principio de no penalización</w:t>
      </w:r>
      <w:r w:rsidRPr="00135121">
        <w:rPr>
          <w:rFonts w:ascii="Verdana" w:eastAsia="Verdana" w:hAnsi="Verdana" w:cs="Verdana"/>
          <w:sz w:val="24"/>
          <w:szCs w:val="24"/>
          <w:lang w:val="es-CO"/>
        </w:rPr>
        <w:t xml:space="preserve">, en particular </w:t>
      </w:r>
      <w:r w:rsidRPr="00135121">
        <w:rPr>
          <w:rFonts w:ascii="Verdana" w:eastAsia="Verdana" w:hAnsi="Verdana" w:cs="Verdana"/>
          <w:b/>
          <w:sz w:val="24"/>
          <w:szCs w:val="24"/>
          <w:lang w:val="es-CO"/>
        </w:rPr>
        <w:t>ejemplos de buenas prácticas</w:t>
      </w:r>
      <w:r w:rsidRPr="00135121">
        <w:rPr>
          <w:rFonts w:ascii="Verdana" w:eastAsia="Verdana" w:hAnsi="Verdana" w:cs="Verdana"/>
          <w:sz w:val="24"/>
          <w:szCs w:val="24"/>
          <w:lang w:val="es-CO"/>
        </w:rPr>
        <w:t>, incluidas leyes, políticas u orientaciones específicas adoptadas sobre la aplica</w:t>
      </w:r>
      <w:r w:rsidR="00882179" w:rsidRPr="00135121">
        <w:rPr>
          <w:rFonts w:ascii="Verdana" w:eastAsia="Verdana" w:hAnsi="Verdana" w:cs="Verdana"/>
          <w:sz w:val="24"/>
          <w:szCs w:val="24"/>
          <w:lang w:val="es-CO"/>
        </w:rPr>
        <w:t>ción del principio de</w:t>
      </w:r>
      <w:r w:rsidR="00135121" w:rsidRPr="00135121">
        <w:rPr>
          <w:rFonts w:ascii="Verdana" w:eastAsia="Verdana" w:hAnsi="Verdana" w:cs="Verdana"/>
          <w:sz w:val="24"/>
          <w:szCs w:val="24"/>
          <w:lang w:val="es-CO"/>
        </w:rPr>
        <w:t xml:space="preserve"> no</w:t>
      </w:r>
      <w:r w:rsidR="00882179" w:rsidRPr="00135121">
        <w:rPr>
          <w:rFonts w:ascii="Verdana" w:eastAsia="Verdana" w:hAnsi="Verdana" w:cs="Verdana"/>
          <w:sz w:val="24"/>
          <w:szCs w:val="24"/>
          <w:lang w:val="es-CO"/>
        </w:rPr>
        <w:t xml:space="preserve"> penalización</w:t>
      </w:r>
      <w:r w:rsidRPr="00135121">
        <w:rPr>
          <w:rFonts w:ascii="Verdana" w:eastAsia="Verdana" w:hAnsi="Verdana" w:cs="Verdana"/>
          <w:sz w:val="24"/>
          <w:szCs w:val="24"/>
          <w:lang w:val="es-CO"/>
        </w:rPr>
        <w:t xml:space="preserve">, que hayan impedido efectivamente que las </w:t>
      </w:r>
      <w:r w:rsidR="00612728">
        <w:rPr>
          <w:rFonts w:ascii="Verdana" w:eastAsia="Verdana" w:hAnsi="Verdana" w:cs="Verdana"/>
          <w:sz w:val="24"/>
          <w:szCs w:val="24"/>
          <w:lang w:val="es-CO"/>
        </w:rPr>
        <w:t xml:space="preserve">personas </w:t>
      </w:r>
      <w:r w:rsidRPr="00135121">
        <w:rPr>
          <w:rFonts w:ascii="Verdana" w:eastAsia="Verdana" w:hAnsi="Verdana" w:cs="Verdana"/>
          <w:sz w:val="24"/>
          <w:szCs w:val="24"/>
          <w:lang w:val="es-CO"/>
        </w:rPr>
        <w:t>víctimas de la trata sean consideradas responsables en virtud de leyes penales, civiles o administrativas, incluidos los delitos de inmigración, en la medida en que esa participación sea conse</w:t>
      </w:r>
      <w:r w:rsidR="00135121" w:rsidRPr="00135121">
        <w:rPr>
          <w:rFonts w:ascii="Verdana" w:eastAsia="Verdana" w:hAnsi="Verdana" w:cs="Verdana"/>
          <w:sz w:val="24"/>
          <w:szCs w:val="24"/>
          <w:lang w:val="es-CO"/>
        </w:rPr>
        <w:t>cuencia directa de su situación</w:t>
      </w:r>
      <w:r w:rsidR="00612728">
        <w:rPr>
          <w:rFonts w:ascii="Verdana" w:eastAsia="Verdana" w:hAnsi="Verdana" w:cs="Verdana"/>
          <w:sz w:val="24"/>
          <w:szCs w:val="24"/>
          <w:lang w:val="es-CO"/>
        </w:rPr>
        <w:t xml:space="preserve"> como víctimas de trata</w:t>
      </w:r>
      <w:r w:rsidR="00135121" w:rsidRPr="0013512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</w:p>
    <w:p w:rsidR="00FE6D89" w:rsidRDefault="001D21F2" w:rsidP="00FE6D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82179">
        <w:rPr>
          <w:rFonts w:ascii="Verdana" w:eastAsia="Verdana" w:hAnsi="Verdana" w:cs="Verdana"/>
          <w:sz w:val="24"/>
          <w:szCs w:val="24"/>
          <w:lang w:val="es-CO"/>
        </w:rPr>
        <w:t xml:space="preserve">Información específica sobre </w:t>
      </w:r>
      <w:r w:rsidRPr="00882179">
        <w:rPr>
          <w:rFonts w:ascii="Verdana" w:eastAsia="Verdana" w:hAnsi="Verdana" w:cs="Verdana"/>
          <w:b/>
          <w:sz w:val="24"/>
          <w:szCs w:val="24"/>
          <w:lang w:val="es-CO"/>
        </w:rPr>
        <w:t>los modelos de aplicación,</w:t>
      </w:r>
      <w:r w:rsidRPr="00882179">
        <w:rPr>
          <w:rFonts w:ascii="Verdana" w:eastAsia="Verdana" w:hAnsi="Verdana" w:cs="Verdana"/>
          <w:sz w:val="24"/>
          <w:szCs w:val="24"/>
          <w:lang w:val="es-CO"/>
        </w:rPr>
        <w:t xml:space="preserve"> en particular: </w:t>
      </w:r>
      <w:r w:rsidR="00882179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</w:p>
    <w:p w:rsidR="00FE6D89" w:rsidRPr="00FE6D89" w:rsidRDefault="00FE6D89" w:rsidP="00FE6D89">
      <w:pPr>
        <w:pStyle w:val="ListParagraph"/>
        <w:spacing w:line="360" w:lineRule="auto"/>
        <w:ind w:left="360"/>
        <w:jc w:val="both"/>
        <w:rPr>
          <w:rFonts w:ascii="Verdana" w:eastAsia="Verdana" w:hAnsi="Verdana" w:cs="Verdana"/>
          <w:sz w:val="24"/>
          <w:szCs w:val="24"/>
          <w:lang w:val="es-CO"/>
        </w:rPr>
      </w:pPr>
    </w:p>
    <w:p w:rsidR="00FE6D89" w:rsidRPr="00FE6D89" w:rsidRDefault="00FE6D89" w:rsidP="00FE6D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FE6D89">
        <w:rPr>
          <w:rFonts w:ascii="Verdana" w:eastAsia="Verdana" w:hAnsi="Verdana" w:cs="Verdana"/>
          <w:sz w:val="24"/>
          <w:szCs w:val="24"/>
          <w:lang w:val="es-CO"/>
        </w:rPr>
        <w:t>Si el principio se aplica mediante disposiciones jurídicas específicas sobre la no penalización en su legislación interna;</w:t>
      </w:r>
    </w:p>
    <w:p w:rsidR="00FE6D89" w:rsidRPr="00FE6D89" w:rsidRDefault="00FE6D89" w:rsidP="00FE6D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FE6D89">
        <w:rPr>
          <w:rFonts w:ascii="Verdana" w:eastAsia="Verdana" w:hAnsi="Verdana" w:cs="Verdana"/>
          <w:sz w:val="24"/>
          <w:szCs w:val="24"/>
          <w:lang w:val="es-CO"/>
        </w:rPr>
        <w:t xml:space="preserve">El criterio utilizado para definir el vínculo entre la comisión del acto ilícito y el sometimiento de la víctima a la influencia de los traficantes (ya sea un vínculo de causalidad o de defensa </w:t>
      </w:r>
      <w:r w:rsidR="005546F7">
        <w:rPr>
          <w:rFonts w:ascii="Verdana" w:eastAsia="Verdana" w:hAnsi="Verdana" w:cs="Verdana"/>
          <w:sz w:val="24"/>
          <w:szCs w:val="24"/>
          <w:lang w:val="es-CO"/>
        </w:rPr>
        <w:t xml:space="preserve">por </w:t>
      </w:r>
      <w:bookmarkStart w:id="0" w:name="_GoBack"/>
      <w:bookmarkEnd w:id="0"/>
      <w:r w:rsidRPr="00FE6D89">
        <w:rPr>
          <w:rFonts w:ascii="Verdana" w:eastAsia="Verdana" w:hAnsi="Verdana" w:cs="Verdana"/>
          <w:sz w:val="24"/>
          <w:szCs w:val="24"/>
          <w:lang w:val="es-CO"/>
        </w:rPr>
        <w:t>coacción, en caso de esta última, cómo se interpreta la coacción);</w:t>
      </w:r>
    </w:p>
    <w:p w:rsidR="00FE6D89" w:rsidRPr="00FE6D89" w:rsidRDefault="00FE6D89" w:rsidP="00FE6D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FE6D89">
        <w:rPr>
          <w:rFonts w:ascii="Verdana" w:eastAsia="Verdana" w:hAnsi="Verdana" w:cs="Verdana"/>
          <w:sz w:val="24"/>
          <w:szCs w:val="24"/>
          <w:lang w:val="es-CO"/>
        </w:rPr>
        <w:t>Si el principio se aplica a todos los actos ilícitos en las que la víctima haya tomado parte o su aplicación se limita a determinadas actos únicamente;</w:t>
      </w:r>
    </w:p>
    <w:p w:rsidR="00FE6D89" w:rsidRPr="00FE6D89" w:rsidRDefault="00FE6D89" w:rsidP="00FE6D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FE6D89">
        <w:rPr>
          <w:rFonts w:ascii="Verdana" w:eastAsia="Verdana" w:hAnsi="Verdana" w:cs="Verdana"/>
          <w:sz w:val="24"/>
          <w:szCs w:val="24"/>
          <w:lang w:val="es-CO"/>
        </w:rPr>
        <w:t>En qué fase de la investigación o del enjuiciamiento puede aplicarse y por quién, y si es necesario que la víctima haya sido formalmente identificada.</w:t>
      </w:r>
    </w:p>
    <w:p w:rsidR="00FE6D89" w:rsidRDefault="00FE6D89" w:rsidP="00FE6D89">
      <w:pPr>
        <w:pStyle w:val="ListParagraph"/>
        <w:spacing w:line="360" w:lineRule="auto"/>
        <w:ind w:left="360"/>
        <w:jc w:val="both"/>
        <w:rPr>
          <w:rFonts w:ascii="Verdana" w:eastAsia="Verdana" w:hAnsi="Verdana" w:cs="Verdana"/>
          <w:sz w:val="24"/>
          <w:szCs w:val="24"/>
          <w:lang w:val="es-CO"/>
        </w:rPr>
      </w:pPr>
    </w:p>
    <w:p w:rsidR="00882179" w:rsidRDefault="00882179" w:rsidP="00882179">
      <w:pPr>
        <w:pStyle w:val="ListParagraph"/>
        <w:spacing w:line="360" w:lineRule="auto"/>
        <w:ind w:left="360"/>
        <w:jc w:val="both"/>
        <w:rPr>
          <w:rFonts w:ascii="Verdana" w:eastAsia="Verdana" w:hAnsi="Verdana" w:cs="Verdana"/>
          <w:sz w:val="24"/>
          <w:szCs w:val="24"/>
          <w:lang w:val="es-CO"/>
        </w:rPr>
      </w:pPr>
    </w:p>
    <w:p w:rsidR="001D21F2" w:rsidRPr="00882179" w:rsidRDefault="001D21F2" w:rsidP="00882179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82179">
        <w:rPr>
          <w:rFonts w:ascii="Verdana" w:eastAsia="Verdana" w:hAnsi="Verdana" w:cs="Verdana"/>
          <w:sz w:val="24"/>
          <w:szCs w:val="24"/>
          <w:highlight w:val="white"/>
          <w:lang w:val="es-CO"/>
        </w:rPr>
        <w:t>Para más información sobre la Relatora Especial sobre la trata de personas, especialmente mujeres y niños, y las actividades del mandato, véase</w:t>
      </w:r>
      <w:r w:rsidR="00612728">
        <w:rPr>
          <w:rFonts w:ascii="Verdana" w:eastAsia="Verdana" w:hAnsi="Verdana" w:cs="Verdana"/>
          <w:sz w:val="24"/>
          <w:szCs w:val="24"/>
          <w:lang w:val="es-CO"/>
        </w:rPr>
        <w:t>:</w:t>
      </w:r>
    </w:p>
    <w:p w:rsidR="001D21F2" w:rsidRPr="009D2BFB" w:rsidRDefault="005546F7" w:rsidP="006F5F78">
      <w:pPr>
        <w:spacing w:after="0" w:line="360" w:lineRule="auto"/>
        <w:ind w:right="720"/>
        <w:jc w:val="both"/>
        <w:rPr>
          <w:rStyle w:val="Hyperlink"/>
          <w:rFonts w:ascii="Verdana" w:eastAsia="Verdana" w:hAnsi="Verdana" w:cs="Verdana"/>
          <w:b/>
          <w:color w:val="auto"/>
          <w:sz w:val="24"/>
          <w:szCs w:val="24"/>
          <w:u w:val="none"/>
          <w:lang w:val="es-CO"/>
        </w:rPr>
      </w:pPr>
      <w:hyperlink r:id="rId6" w:history="1">
        <w:r w:rsidR="009D2BFB" w:rsidRPr="009D2BFB">
          <w:rPr>
            <w:rStyle w:val="Hyperlink"/>
            <w:rFonts w:ascii="Verdana" w:eastAsia="Verdana" w:hAnsi="Verdana" w:cs="Verdana"/>
            <w:b/>
            <w:sz w:val="24"/>
            <w:szCs w:val="24"/>
            <w:u w:val="none"/>
            <w:lang w:val="es-CO"/>
          </w:rPr>
          <w:t>https://www.ohchr.org/SP/Issues/Trafficking/Pages/TraffickingIndex.aspx</w:t>
        </w:r>
      </w:hyperlink>
    </w:p>
    <w:p w:rsidR="009D2BFB" w:rsidRPr="005546F7" w:rsidRDefault="009D2BFB" w:rsidP="006F5F78">
      <w:pPr>
        <w:spacing w:after="0" w:line="360" w:lineRule="auto"/>
        <w:ind w:right="720"/>
        <w:jc w:val="both"/>
        <w:rPr>
          <w:highlight w:val="white"/>
          <w:lang w:val="es-CO"/>
        </w:rPr>
      </w:pPr>
    </w:p>
    <w:p w:rsidR="009D2BFB" w:rsidRPr="009D2BFB" w:rsidRDefault="00A726B5" w:rsidP="006F5F78">
      <w:pPr>
        <w:spacing w:after="0" w:line="360" w:lineRule="auto"/>
        <w:ind w:right="720"/>
        <w:jc w:val="both"/>
        <w:rPr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Twitter</w:t>
      </w:r>
      <w:r w:rsidR="009D2BFB" w:rsidRPr="009D2BFB"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hyperlink r:id="rId7" w:tgtFrame="_blank" w:history="1">
        <w:r w:rsidR="009D2BFB" w:rsidRPr="009D2BFB">
          <w:rPr>
            <w:rFonts w:ascii="Verdana" w:eastAsia="Verdana" w:hAnsi="Verdana" w:cs="Verdana"/>
            <w:sz w:val="24"/>
            <w:szCs w:val="24"/>
            <w:highlight w:val="white"/>
          </w:rPr>
          <w:t>@</w:t>
        </w:r>
        <w:proofErr w:type="spellStart"/>
        <w:r w:rsidR="009D2BFB" w:rsidRPr="009D2BFB">
          <w:rPr>
            <w:rFonts w:ascii="Verdana" w:eastAsia="Verdana" w:hAnsi="Verdana" w:cs="Verdana"/>
            <w:sz w:val="24"/>
            <w:szCs w:val="24"/>
            <w:highlight w:val="white"/>
          </w:rPr>
          <w:t>UN_SPExperts</w:t>
        </w:r>
        <w:proofErr w:type="spellEnd"/>
      </w:hyperlink>
    </w:p>
    <w:sectPr w:rsidR="009D2BFB" w:rsidRPr="009D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037"/>
    <w:multiLevelType w:val="hybridMultilevel"/>
    <w:tmpl w:val="6EBEE858"/>
    <w:lvl w:ilvl="0" w:tplc="08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7252026"/>
    <w:multiLevelType w:val="hybridMultilevel"/>
    <w:tmpl w:val="56AEC232"/>
    <w:lvl w:ilvl="0" w:tplc="B6D48B62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B6D48B6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lang w:val="es-ES_tradn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B598A"/>
    <w:multiLevelType w:val="hybridMultilevel"/>
    <w:tmpl w:val="635C3030"/>
    <w:lvl w:ilvl="0" w:tplc="B6D48B62">
      <w:numFmt w:val="bullet"/>
      <w:lvlText w:val="-"/>
      <w:lvlJc w:val="left"/>
      <w:pPr>
        <w:ind w:left="927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7"/>
    <w:rsid w:val="00135121"/>
    <w:rsid w:val="00150FE2"/>
    <w:rsid w:val="00162A8D"/>
    <w:rsid w:val="001C52CF"/>
    <w:rsid w:val="001D21F2"/>
    <w:rsid w:val="0027358E"/>
    <w:rsid w:val="002C1C11"/>
    <w:rsid w:val="00434077"/>
    <w:rsid w:val="004E5D23"/>
    <w:rsid w:val="005546F7"/>
    <w:rsid w:val="005F3532"/>
    <w:rsid w:val="00612728"/>
    <w:rsid w:val="00684333"/>
    <w:rsid w:val="00685CBB"/>
    <w:rsid w:val="006F5F78"/>
    <w:rsid w:val="00850680"/>
    <w:rsid w:val="00865818"/>
    <w:rsid w:val="00882179"/>
    <w:rsid w:val="0090583D"/>
    <w:rsid w:val="009D2BFB"/>
    <w:rsid w:val="009E33B7"/>
    <w:rsid w:val="009F0335"/>
    <w:rsid w:val="00A65E72"/>
    <w:rsid w:val="00A726B5"/>
    <w:rsid w:val="00AA6EAE"/>
    <w:rsid w:val="00CE0EB6"/>
    <w:rsid w:val="00DD18A1"/>
    <w:rsid w:val="00E01546"/>
    <w:rsid w:val="00F41A78"/>
    <w:rsid w:val="00FA5D80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E8E7"/>
  <w15:chartTrackingRefBased/>
  <w15:docId w15:val="{347A7886-21C2-4F39-B166-48E4A84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1F2"/>
    <w:pPr>
      <w:keepNext/>
      <w:keepLines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78"/>
    <w:pPr>
      <w:keepNext/>
      <w:keepLines/>
      <w:spacing w:before="320" w:after="80" w:line="240" w:lineRule="auto"/>
      <w:outlineLvl w:val="2"/>
    </w:pPr>
    <w:rPr>
      <w:rFonts w:ascii="Times New Roman" w:eastAsia="Times New Roman" w:hAnsi="Times New Roman" w:cs="Times New Roman"/>
      <w:color w:val="434343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21F2"/>
    <w:rPr>
      <w:rFonts w:ascii="Times New Roman" w:eastAsia="Times New Roman" w:hAnsi="Times New Roman" w:cs="Times New Roman"/>
      <w:sz w:val="32"/>
      <w:szCs w:val="32"/>
      <w:lang w:val="en-IE"/>
    </w:rPr>
  </w:style>
  <w:style w:type="character" w:styleId="Hyperlink">
    <w:name w:val="Hyperlink"/>
    <w:basedOn w:val="DefaultParagraphFont"/>
    <w:uiPriority w:val="99"/>
    <w:unhideWhenUsed/>
    <w:rsid w:val="006F5F7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5F78"/>
    <w:rPr>
      <w:rFonts w:ascii="Times New Roman" w:eastAsia="Times New Roman" w:hAnsi="Times New Roman" w:cs="Times New Roman"/>
      <w:color w:val="434343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850680"/>
    <w:pPr>
      <w:ind w:left="720"/>
      <w:contextualSpacing/>
    </w:pPr>
  </w:style>
  <w:style w:type="table" w:styleId="TableGrid">
    <w:name w:val="Table Grid"/>
    <w:basedOn w:val="TableNormal"/>
    <w:uiPriority w:val="39"/>
    <w:rsid w:val="001C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UN_SPExpert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SP/Issues/Trafficking/Pages/Trafficking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ohchr.org/Documents/Issues/Trafficking/Non-Punishment-Paper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9131D-EB4E-41CE-998D-404007C3EA40}"/>
</file>

<file path=customXml/itemProps2.xml><?xml version="1.0" encoding="utf-8"?>
<ds:datastoreItem xmlns:ds="http://schemas.openxmlformats.org/officeDocument/2006/customXml" ds:itemID="{6CAF20F9-A530-4D06-B1BC-2344CDB84B6C}"/>
</file>

<file path=customXml/itemProps3.xml><?xml version="1.0" encoding="utf-8"?>
<ds:datastoreItem xmlns:ds="http://schemas.openxmlformats.org/officeDocument/2006/customXml" ds:itemID="{F5E45376-97AF-4154-B493-394126007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ASENSIO PEREZ Vanessa</dc:creator>
  <cp:keywords/>
  <dc:description/>
  <cp:lastModifiedBy>ASENSIO PEREZ Vanessa</cp:lastModifiedBy>
  <cp:revision>22</cp:revision>
  <dcterms:created xsi:type="dcterms:W3CDTF">2020-12-10T09:01:00Z</dcterms:created>
  <dcterms:modified xsi:type="dcterms:W3CDTF">2020-12-14T12:14:00Z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