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E6F" w:rsidRPr="00AC1603" w:rsidRDefault="00720E6F" w:rsidP="00720E6F">
      <w:pPr>
        <w:shd w:val="clear" w:color="auto" w:fill="FFFFFF"/>
        <w:jc w:val="center"/>
        <w:rPr>
          <w:rFonts w:ascii="Arial" w:eastAsia="Times New Roman" w:hAnsi="Arial" w:cs="Arial"/>
          <w:b/>
          <w:color w:val="222222"/>
          <w:sz w:val="28"/>
          <w:szCs w:val="28"/>
          <w:lang w:val="en-GB" w:eastAsia="es-ES"/>
        </w:rPr>
      </w:pPr>
      <w:bookmarkStart w:id="0" w:name="_GoBack"/>
      <w:bookmarkEnd w:id="0"/>
      <w:r w:rsidRPr="00AC1603">
        <w:rPr>
          <w:rFonts w:ascii="Arial" w:eastAsia="Times New Roman" w:hAnsi="Arial" w:cs="Arial"/>
          <w:b/>
          <w:color w:val="222222"/>
          <w:sz w:val="28"/>
          <w:szCs w:val="28"/>
          <w:lang w:val="en-GB" w:eastAsia="es-ES"/>
        </w:rPr>
        <w:t xml:space="preserve">Submissions from Alex </w:t>
      </w:r>
      <w:proofErr w:type="spellStart"/>
      <w:r w:rsidRPr="00AC1603">
        <w:rPr>
          <w:rFonts w:ascii="Arial" w:eastAsia="Times New Roman" w:hAnsi="Arial" w:cs="Arial"/>
          <w:b/>
          <w:color w:val="222222"/>
          <w:sz w:val="28"/>
          <w:szCs w:val="28"/>
          <w:lang w:val="en-GB" w:eastAsia="es-ES"/>
        </w:rPr>
        <w:t>Latta</w:t>
      </w:r>
      <w:proofErr w:type="spellEnd"/>
      <w:r w:rsidRPr="00AC1603">
        <w:rPr>
          <w:rFonts w:ascii="Arial" w:eastAsia="Times New Roman" w:hAnsi="Arial" w:cs="Arial"/>
          <w:b/>
          <w:color w:val="222222"/>
          <w:sz w:val="28"/>
          <w:szCs w:val="28"/>
          <w:lang w:val="en-GB" w:eastAsia="es-ES"/>
        </w:rPr>
        <w:t xml:space="preserve"> (Associate Professor on Global Studies and Geography and Environmental Studies and Chair of the Department of Global Studies at the Wilfrid Laurier University, Canada) for the drafting of the Special Rapporteur on the human rights to drinking water and sanitation´s thematic report on the impacts of mega-projects on the human rights to water and sanitation</w:t>
      </w:r>
    </w:p>
    <w:p w:rsidR="00720E6F" w:rsidRPr="00AC1603" w:rsidRDefault="00720E6F" w:rsidP="00720E6F">
      <w:pPr>
        <w:shd w:val="clear" w:color="auto" w:fill="FFFFFF"/>
        <w:spacing w:after="0" w:line="240" w:lineRule="auto"/>
        <w:rPr>
          <w:rFonts w:ascii="Arial" w:eastAsia="Times New Roman" w:hAnsi="Arial" w:cs="Arial"/>
          <w:color w:val="222222"/>
          <w:sz w:val="24"/>
          <w:szCs w:val="24"/>
          <w:lang w:val="en-GB" w:eastAsia="es-ES"/>
        </w:rPr>
      </w:pPr>
    </w:p>
    <w:p w:rsidR="00720E6F" w:rsidRPr="00AC1603" w:rsidRDefault="00720E6F" w:rsidP="00720E6F">
      <w:pPr>
        <w:shd w:val="clear" w:color="auto" w:fill="FFFFFF"/>
        <w:spacing w:after="0" w:line="240" w:lineRule="auto"/>
        <w:rPr>
          <w:rFonts w:ascii="Arial" w:eastAsia="Times New Roman" w:hAnsi="Arial" w:cs="Arial"/>
          <w:color w:val="222222"/>
          <w:sz w:val="24"/>
          <w:szCs w:val="24"/>
          <w:lang w:val="en-GB" w:eastAsia="es-ES"/>
        </w:rPr>
      </w:pP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r w:rsidRPr="00AC1603">
        <w:rPr>
          <w:rFonts w:ascii="Arial" w:eastAsia="Times New Roman" w:hAnsi="Arial" w:cs="Arial"/>
          <w:color w:val="222222"/>
          <w:sz w:val="24"/>
          <w:szCs w:val="24"/>
          <w:lang w:eastAsia="es-ES"/>
        </w:rPr>
        <w:t>PLANIFICACIÓN ESTRATEGICA A NIVEL REGIONAL/</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r w:rsidRPr="00AC1603">
        <w:rPr>
          <w:rFonts w:ascii="Arial" w:eastAsia="Times New Roman" w:hAnsi="Arial" w:cs="Arial"/>
          <w:color w:val="222222"/>
          <w:sz w:val="24"/>
          <w:szCs w:val="24"/>
          <w:lang w:eastAsia="es-ES"/>
        </w:rPr>
        <w:t>REGIONAL LEVEL STRATEGIC PLANNING</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r w:rsidRPr="00AC1603">
        <w:rPr>
          <w:rFonts w:ascii="Arial" w:eastAsia="Times New Roman" w:hAnsi="Arial" w:cs="Arial"/>
          <w:color w:val="222222"/>
          <w:sz w:val="24"/>
          <w:szCs w:val="24"/>
          <w:lang w:eastAsia="es-ES"/>
        </w:rPr>
        <w:t xml:space="preserve">La planificación estratégica a nivel regional o de cuenca es sumamente importante para establecer una visión, metas y procesos participativos para guiar las políticas públicas en torno al agua. La Estrategia de Gestión de Agua del </w:t>
      </w:r>
      <w:proofErr w:type="spellStart"/>
      <w:r w:rsidRPr="00AC1603">
        <w:rPr>
          <w:rFonts w:ascii="Arial" w:eastAsia="Times New Roman" w:hAnsi="Arial" w:cs="Arial"/>
          <w:color w:val="222222"/>
          <w:sz w:val="24"/>
          <w:szCs w:val="24"/>
          <w:lang w:eastAsia="es-ES"/>
        </w:rPr>
        <w:t>Northwest</w:t>
      </w:r>
      <w:proofErr w:type="spellEnd"/>
      <w:r w:rsidRPr="00AC1603">
        <w:rPr>
          <w:rFonts w:ascii="Arial" w:eastAsia="Times New Roman" w:hAnsi="Arial" w:cs="Arial"/>
          <w:color w:val="222222"/>
          <w:sz w:val="24"/>
          <w:szCs w:val="24"/>
          <w:lang w:eastAsia="es-ES"/>
        </w:rPr>
        <w:t xml:space="preserve"> </w:t>
      </w:r>
      <w:proofErr w:type="spellStart"/>
      <w:r w:rsidRPr="00AC1603">
        <w:rPr>
          <w:rFonts w:ascii="Arial" w:eastAsia="Times New Roman" w:hAnsi="Arial" w:cs="Arial"/>
          <w:color w:val="222222"/>
          <w:sz w:val="24"/>
          <w:szCs w:val="24"/>
          <w:lang w:eastAsia="es-ES"/>
        </w:rPr>
        <w:t>Territories</w:t>
      </w:r>
      <w:proofErr w:type="spellEnd"/>
      <w:r w:rsidRPr="00AC1603">
        <w:rPr>
          <w:rFonts w:ascii="Arial" w:eastAsia="Times New Roman" w:hAnsi="Arial" w:cs="Arial"/>
          <w:color w:val="222222"/>
          <w:sz w:val="24"/>
          <w:szCs w:val="24"/>
          <w:lang w:eastAsia="es-ES"/>
        </w:rPr>
        <w:t xml:space="preserve"> (NWT), Canadá, es un ejemplo de mejores prácticas en este ámbito. La Estrategia, inaugurado en 2010, representa un avance en términos de participación indígena y visión ecosistémica en la gestión del recurso hídrico. Por ejemplo, un Consejo Directivo Indígena, compuesto por representantes de los gobiernos indígenas del NWT, es consultado 3-4 veces al año para guiar la formación de políticas públicas. Existen desafíos para mantener el nivel de participación a través de las largas distancias entre comunidades y considerando la carencia de recursos y capacidad a nivel local. Sin embargo, la Estrategia disfruta en general de una amplia legitimidad entre diferentes sectores interesados. </w:t>
      </w:r>
      <w:r w:rsidRPr="00AC1603">
        <w:rPr>
          <w:rFonts w:ascii="Arial" w:eastAsia="Times New Roman" w:hAnsi="Arial" w:cs="Arial"/>
          <w:color w:val="222222"/>
          <w:sz w:val="24"/>
          <w:szCs w:val="24"/>
          <w:lang w:val="en-GB" w:eastAsia="es-ES"/>
        </w:rPr>
        <w:t xml:space="preserve">El portal de la </w:t>
      </w:r>
      <w:proofErr w:type="spellStart"/>
      <w:r w:rsidRPr="00AC1603">
        <w:rPr>
          <w:rFonts w:ascii="Arial" w:eastAsia="Times New Roman" w:hAnsi="Arial" w:cs="Arial"/>
          <w:color w:val="222222"/>
          <w:sz w:val="24"/>
          <w:szCs w:val="24"/>
          <w:lang w:val="en-GB" w:eastAsia="es-ES"/>
        </w:rPr>
        <w:t>Estrategia</w:t>
      </w:r>
      <w:proofErr w:type="spellEnd"/>
      <w:r w:rsidRPr="00AC1603">
        <w:rPr>
          <w:rFonts w:ascii="Arial" w:eastAsia="Times New Roman" w:hAnsi="Arial" w:cs="Arial"/>
          <w:color w:val="222222"/>
          <w:sz w:val="24"/>
          <w:szCs w:val="24"/>
          <w:lang w:val="en-GB" w:eastAsia="es-ES"/>
        </w:rPr>
        <w:t>:</w:t>
      </w:r>
    </w:p>
    <w:p w:rsidR="00720E6F" w:rsidRPr="00AC1603" w:rsidRDefault="00AA24AD" w:rsidP="00720E6F">
      <w:pPr>
        <w:shd w:val="clear" w:color="auto" w:fill="FFFFFF"/>
        <w:spacing w:after="0" w:line="240" w:lineRule="auto"/>
        <w:jc w:val="both"/>
        <w:rPr>
          <w:rFonts w:ascii="Arial" w:eastAsia="Times New Roman" w:hAnsi="Arial" w:cs="Arial"/>
          <w:color w:val="222222"/>
          <w:sz w:val="24"/>
          <w:szCs w:val="24"/>
          <w:lang w:val="en-GB" w:eastAsia="es-ES"/>
        </w:rPr>
      </w:pPr>
      <w:hyperlink r:id="rId4" w:tgtFrame="_blank" w:history="1">
        <w:r w:rsidR="00720E6F" w:rsidRPr="00AC1603">
          <w:rPr>
            <w:rFonts w:ascii="Arial" w:eastAsia="Times New Roman" w:hAnsi="Arial" w:cs="Arial"/>
            <w:color w:val="1155CC"/>
            <w:sz w:val="24"/>
            <w:szCs w:val="24"/>
            <w:u w:val="single"/>
            <w:lang w:val="en-GB" w:eastAsia="es-ES"/>
          </w:rPr>
          <w:t>https://www.nwtwaterstewardship.ca/</w:t>
        </w:r>
      </w:hyperlink>
      <w:r w:rsidR="00720E6F" w:rsidRPr="00AC1603">
        <w:rPr>
          <w:rFonts w:ascii="Arial" w:eastAsia="Times New Roman" w:hAnsi="Arial" w:cs="Arial"/>
          <w:color w:val="222222"/>
          <w:sz w:val="24"/>
          <w:szCs w:val="24"/>
          <w:lang w:val="en-GB" w:eastAsia="es-ES"/>
        </w:rPr>
        <w:t> </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r w:rsidRPr="00AC1603">
        <w:rPr>
          <w:rFonts w:ascii="Arial" w:eastAsia="Times New Roman" w:hAnsi="Arial" w:cs="Arial"/>
          <w:color w:val="222222"/>
          <w:sz w:val="24"/>
          <w:szCs w:val="24"/>
          <w:lang w:val="en-GB" w:eastAsia="es-ES"/>
        </w:rPr>
        <w:t>----</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r w:rsidRPr="00AC1603">
        <w:rPr>
          <w:rFonts w:ascii="Arial" w:eastAsia="Times New Roman" w:hAnsi="Arial" w:cs="Arial"/>
          <w:color w:val="222222"/>
          <w:sz w:val="24"/>
          <w:szCs w:val="24"/>
          <w:lang w:val="en-GB" w:eastAsia="es-ES"/>
        </w:rPr>
        <w:t>Strategic planning at the regional or watershed level is extremely important to establish a vision, goals and participatory processes to guide public policy in relation to water. The Water Stewardship Strategy of the Northwest Territories (NWT), Canada, is an example of best practice in this field. The Strategy, launched in 2010, represents an advance in terms of Indigenous participation and ecosystem-based vision in water resource management. For example, an Aboriginal Steering Committee, comprised of representatives of the Indigenous governments of the NWT, is consulted 3-4 times per year to guide the formation of public policy. There are challenges to maintain the level of participation across the long distances between communities and considering the lack of resources and capacity at the local level. Nevertheless, the Strategy generally enjoys wide legitimacy among different stakeholders.  The web site of the Strategy: </w:t>
      </w:r>
      <w:hyperlink r:id="rId5" w:tgtFrame="_blank" w:history="1">
        <w:r w:rsidRPr="00AC1603">
          <w:rPr>
            <w:rFonts w:ascii="Arial" w:eastAsia="Times New Roman" w:hAnsi="Arial" w:cs="Arial"/>
            <w:color w:val="1155CC"/>
            <w:sz w:val="24"/>
            <w:szCs w:val="24"/>
            <w:u w:val="single"/>
            <w:lang w:val="en-GB" w:eastAsia="es-ES"/>
          </w:rPr>
          <w:t>https://www.nwtwaterstewardship.ca/</w:t>
        </w:r>
      </w:hyperlink>
      <w:r w:rsidRPr="00AC1603">
        <w:rPr>
          <w:rFonts w:ascii="Arial" w:eastAsia="Times New Roman" w:hAnsi="Arial" w:cs="Arial"/>
          <w:color w:val="222222"/>
          <w:sz w:val="24"/>
          <w:szCs w:val="24"/>
          <w:lang w:val="en-GB" w:eastAsia="es-ES"/>
        </w:rPr>
        <w:t> </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r w:rsidRPr="00AC1603">
        <w:rPr>
          <w:rFonts w:ascii="Arial" w:eastAsia="Times New Roman" w:hAnsi="Arial" w:cs="Arial"/>
          <w:color w:val="222222"/>
          <w:sz w:val="24"/>
          <w:szCs w:val="24"/>
          <w:lang w:eastAsia="es-ES"/>
        </w:rPr>
        <w:t>REGULACIÓN DE CIERRE DE MINAS/</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r w:rsidRPr="00AC1603">
        <w:rPr>
          <w:rFonts w:ascii="Arial" w:eastAsia="Times New Roman" w:hAnsi="Arial" w:cs="Arial"/>
          <w:color w:val="222222"/>
          <w:sz w:val="24"/>
          <w:szCs w:val="24"/>
          <w:lang w:eastAsia="es-ES"/>
        </w:rPr>
        <w:t>REGULATION OF MINE CLOSURE</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r w:rsidRPr="00AC1603">
        <w:rPr>
          <w:rFonts w:ascii="Arial" w:eastAsia="Times New Roman" w:hAnsi="Arial" w:cs="Arial"/>
          <w:color w:val="222222"/>
          <w:sz w:val="24"/>
          <w:szCs w:val="24"/>
          <w:lang w:eastAsia="es-ES"/>
        </w:rPr>
        <w:t xml:space="preserve">La legislación para asegurar un manejo cuidadoso del proceso minero desde su inicio hasta el cierre de faenas es imprescindible para proteger los recursos hídricos donde esta actividad se realiza. Con la salvedad de que ningún proceso de extracción mineral a gran escala puede realizarse sin impacto a la calidad y </w:t>
      </w:r>
      <w:r w:rsidRPr="00AC1603">
        <w:rPr>
          <w:rFonts w:ascii="Arial" w:eastAsia="Times New Roman" w:hAnsi="Arial" w:cs="Arial"/>
          <w:color w:val="222222"/>
          <w:sz w:val="24"/>
          <w:szCs w:val="24"/>
          <w:lang w:eastAsia="es-ES"/>
        </w:rPr>
        <w:lastRenderedPageBreak/>
        <w:t>disponibilidad del agua, en casos de abandono de minas los daños ambientales pueden multiplicarse a través del tiempo. Las mejores prácticas para combatir este problema incluyen el requerimiento, a la hora de aprobar los proyectos mineros, de un plan de cierre de faenas e instalaciones mineras. Además, para asegurar que las empresas tengan los recursos para realizar el trabajo de cierre, es necesario establecer garantías financieras. En Latinoamérica </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eastAsia="es-ES"/>
        </w:rPr>
      </w:pPr>
      <w:r w:rsidRPr="00AC1603">
        <w:rPr>
          <w:rFonts w:ascii="Arial" w:eastAsia="Times New Roman" w:hAnsi="Arial" w:cs="Arial"/>
          <w:color w:val="222222"/>
          <w:sz w:val="24"/>
          <w:szCs w:val="24"/>
          <w:lang w:eastAsia="es-ES"/>
        </w:rPr>
        <w:t xml:space="preserve">Chile es uno de los países que lidera en el tema. Ley 20.551 fue aprobada en 2011 y tomó efecto en 2012, y actualmente está en una </w:t>
      </w:r>
      <w:proofErr w:type="spellStart"/>
      <w:r w:rsidRPr="00AC1603">
        <w:rPr>
          <w:rFonts w:ascii="Arial" w:eastAsia="Times New Roman" w:hAnsi="Arial" w:cs="Arial"/>
          <w:color w:val="222222"/>
          <w:sz w:val="24"/>
          <w:szCs w:val="24"/>
          <w:lang w:eastAsia="es-ES"/>
        </w:rPr>
        <w:t>faze</w:t>
      </w:r>
      <w:proofErr w:type="spellEnd"/>
      <w:r w:rsidRPr="00AC1603">
        <w:rPr>
          <w:rFonts w:ascii="Arial" w:eastAsia="Times New Roman" w:hAnsi="Arial" w:cs="Arial"/>
          <w:color w:val="222222"/>
          <w:sz w:val="24"/>
          <w:szCs w:val="24"/>
          <w:lang w:eastAsia="es-ES"/>
        </w:rPr>
        <w:t xml:space="preserve"> de modificación. Dado el tiempo normalmente transcurrido entre la aprobación y cierre de una mina, se requiere décadas para evaluar la eficacia de la ley, pero en el corto plazo se ha destacado varios desafíos y debates: para las empresas medianas, presentar una garantía financiera puede ser una barrera difícil de superar, y por ende han presionado el gobierno para más flexibilidad en este mecanismo; la implementación efectiva y transparente de los planes de cierre requiere un compromiso significativo del estado para fiscalizar el cumplimiento; y finalmente, la ley no es retroactiva, y por ende no presenta una solución para los más de 500 minas actualmente abandonadas en el país.</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r w:rsidRPr="00AC1603">
        <w:rPr>
          <w:rFonts w:ascii="Arial" w:eastAsia="Times New Roman" w:hAnsi="Arial" w:cs="Arial"/>
          <w:color w:val="222222"/>
          <w:sz w:val="24"/>
          <w:szCs w:val="24"/>
          <w:lang w:val="en-GB" w:eastAsia="es-ES"/>
        </w:rPr>
        <w:t>----</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r w:rsidRPr="00AC1603">
        <w:rPr>
          <w:rFonts w:ascii="Arial" w:eastAsia="Times New Roman" w:hAnsi="Arial" w:cs="Arial"/>
          <w:color w:val="222222"/>
          <w:sz w:val="24"/>
          <w:szCs w:val="24"/>
          <w:lang w:val="en-GB" w:eastAsia="es-ES"/>
        </w:rPr>
        <w:t xml:space="preserve">Legislation to insure careful management of the mining process from its start through to closure of operations is indispensable for protecting water resources where this activity takes place. With the caveat that no process of mineral extraction on a large scale can take place without impacts on the quality and availability of water, in cases of abandoned mines the environmental impacts can multiply over time. Best practices to combat this problem include the requirement, at the time of project approval, of a plan for closure of operations and mining installations. Furthermore, </w:t>
      </w:r>
      <w:proofErr w:type="gramStart"/>
      <w:r w:rsidRPr="00AC1603">
        <w:rPr>
          <w:rFonts w:ascii="Arial" w:eastAsia="Times New Roman" w:hAnsi="Arial" w:cs="Arial"/>
          <w:color w:val="222222"/>
          <w:sz w:val="24"/>
          <w:szCs w:val="24"/>
          <w:lang w:val="en-GB" w:eastAsia="es-ES"/>
        </w:rPr>
        <w:t>to insure that</w:t>
      </w:r>
      <w:proofErr w:type="gramEnd"/>
      <w:r w:rsidRPr="00AC1603">
        <w:rPr>
          <w:rFonts w:ascii="Arial" w:eastAsia="Times New Roman" w:hAnsi="Arial" w:cs="Arial"/>
          <w:color w:val="222222"/>
          <w:sz w:val="24"/>
          <w:szCs w:val="24"/>
          <w:lang w:val="en-GB" w:eastAsia="es-ES"/>
        </w:rPr>
        <w:t xml:space="preserve"> companies have the necessary resources to realize the closure work, it is necessary to establish financial guarantees.</w:t>
      </w:r>
    </w:p>
    <w:p w:rsidR="00720E6F" w:rsidRPr="00AC1603" w:rsidRDefault="00720E6F" w:rsidP="00720E6F">
      <w:pPr>
        <w:shd w:val="clear" w:color="auto" w:fill="FFFFFF"/>
        <w:spacing w:after="0" w:line="240" w:lineRule="auto"/>
        <w:jc w:val="both"/>
        <w:rPr>
          <w:rFonts w:ascii="Arial" w:eastAsia="Times New Roman" w:hAnsi="Arial" w:cs="Arial"/>
          <w:color w:val="222222"/>
          <w:sz w:val="24"/>
          <w:szCs w:val="24"/>
          <w:lang w:val="en-GB" w:eastAsia="es-ES"/>
        </w:rPr>
      </w:pPr>
    </w:p>
    <w:p w:rsidR="00096500" w:rsidRPr="00720E6F" w:rsidRDefault="00720E6F" w:rsidP="00720E6F">
      <w:pPr>
        <w:jc w:val="both"/>
        <w:rPr>
          <w:lang w:val="en-GB"/>
        </w:rPr>
      </w:pPr>
      <w:r w:rsidRPr="00AC1603">
        <w:rPr>
          <w:rFonts w:ascii="Arial" w:eastAsia="Times New Roman" w:hAnsi="Arial" w:cs="Arial"/>
          <w:color w:val="222222"/>
          <w:sz w:val="24"/>
          <w:szCs w:val="24"/>
          <w:shd w:val="clear" w:color="auto" w:fill="FFFFFF"/>
          <w:lang w:val="en-GB" w:eastAsia="es-ES"/>
        </w:rPr>
        <w:t xml:space="preserve">In Latin America, Chile is one of the countries that leads in this area. Law 20.551 was passed in 2011 and took effect in </w:t>
      </w:r>
      <w:proofErr w:type="gramStart"/>
      <w:r w:rsidRPr="00AC1603">
        <w:rPr>
          <w:rFonts w:ascii="Arial" w:eastAsia="Times New Roman" w:hAnsi="Arial" w:cs="Arial"/>
          <w:color w:val="222222"/>
          <w:sz w:val="24"/>
          <w:szCs w:val="24"/>
          <w:shd w:val="clear" w:color="auto" w:fill="FFFFFF"/>
          <w:lang w:val="en-GB" w:eastAsia="es-ES"/>
        </w:rPr>
        <w:t>2012, and</w:t>
      </w:r>
      <w:proofErr w:type="gramEnd"/>
      <w:r w:rsidRPr="00AC1603">
        <w:rPr>
          <w:rFonts w:ascii="Arial" w:eastAsia="Times New Roman" w:hAnsi="Arial" w:cs="Arial"/>
          <w:color w:val="222222"/>
          <w:sz w:val="24"/>
          <w:szCs w:val="24"/>
          <w:shd w:val="clear" w:color="auto" w:fill="FFFFFF"/>
          <w:lang w:val="en-GB" w:eastAsia="es-ES"/>
        </w:rPr>
        <w:t xml:space="preserve"> is currently in a phase of modification. Due to the time that normally passes between the approval and closure of a mine, decades are required to evaluate the effectiveness of the law, but in the short term a few challenges and debates have stood out: for medium-sized firms, presenting a financial guarantee can be a difficult barrier to overcome, so they have pressured the government for more flexibility in this mechanism; the effective implementation of closure plans requires a significant commitment from the state to monitor compliance; and finally, the law is not retroactive, and as such does not present a solution for the more than 500 mines currently abandoned in the country.</w:t>
      </w:r>
    </w:p>
    <w:sectPr w:rsidR="00096500" w:rsidRPr="00720E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6F"/>
    <w:rsid w:val="00096500"/>
    <w:rsid w:val="00720E6F"/>
    <w:rsid w:val="00AA24AD"/>
    <w:rsid w:val="00AC16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D9BB6-E0CD-44C9-848C-A63BE16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2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9187">
      <w:bodyDiv w:val="1"/>
      <w:marLeft w:val="0"/>
      <w:marRight w:val="0"/>
      <w:marTop w:val="0"/>
      <w:marBottom w:val="0"/>
      <w:divBdr>
        <w:top w:val="none" w:sz="0" w:space="0" w:color="auto"/>
        <w:left w:val="none" w:sz="0" w:space="0" w:color="auto"/>
        <w:bottom w:val="none" w:sz="0" w:space="0" w:color="auto"/>
        <w:right w:val="none" w:sz="0" w:space="0" w:color="auto"/>
      </w:divBdr>
    </w:div>
    <w:div w:id="1128937851">
      <w:bodyDiv w:val="1"/>
      <w:marLeft w:val="0"/>
      <w:marRight w:val="0"/>
      <w:marTop w:val="0"/>
      <w:marBottom w:val="0"/>
      <w:divBdr>
        <w:top w:val="none" w:sz="0" w:space="0" w:color="auto"/>
        <w:left w:val="none" w:sz="0" w:space="0" w:color="auto"/>
        <w:bottom w:val="none" w:sz="0" w:space="0" w:color="auto"/>
        <w:right w:val="none" w:sz="0" w:space="0" w:color="auto"/>
      </w:divBdr>
      <w:divsChild>
        <w:div w:id="473524014">
          <w:marLeft w:val="0"/>
          <w:marRight w:val="0"/>
          <w:marTop w:val="0"/>
          <w:marBottom w:val="0"/>
          <w:divBdr>
            <w:top w:val="none" w:sz="0" w:space="0" w:color="auto"/>
            <w:left w:val="none" w:sz="0" w:space="0" w:color="auto"/>
            <w:bottom w:val="none" w:sz="0" w:space="0" w:color="auto"/>
            <w:right w:val="none" w:sz="0" w:space="0" w:color="auto"/>
          </w:divBdr>
        </w:div>
        <w:div w:id="1803034561">
          <w:marLeft w:val="0"/>
          <w:marRight w:val="0"/>
          <w:marTop w:val="0"/>
          <w:marBottom w:val="0"/>
          <w:divBdr>
            <w:top w:val="none" w:sz="0" w:space="0" w:color="auto"/>
            <w:left w:val="none" w:sz="0" w:space="0" w:color="auto"/>
            <w:bottom w:val="none" w:sz="0" w:space="0" w:color="auto"/>
            <w:right w:val="none" w:sz="0" w:space="0" w:color="auto"/>
          </w:divBdr>
        </w:div>
        <w:div w:id="802237898">
          <w:marLeft w:val="0"/>
          <w:marRight w:val="0"/>
          <w:marTop w:val="0"/>
          <w:marBottom w:val="0"/>
          <w:divBdr>
            <w:top w:val="none" w:sz="0" w:space="0" w:color="auto"/>
            <w:left w:val="none" w:sz="0" w:space="0" w:color="auto"/>
            <w:bottom w:val="none" w:sz="0" w:space="0" w:color="auto"/>
            <w:right w:val="none" w:sz="0" w:space="0" w:color="auto"/>
          </w:divBdr>
        </w:div>
        <w:div w:id="892883411">
          <w:marLeft w:val="0"/>
          <w:marRight w:val="0"/>
          <w:marTop w:val="0"/>
          <w:marBottom w:val="0"/>
          <w:divBdr>
            <w:top w:val="none" w:sz="0" w:space="0" w:color="auto"/>
            <w:left w:val="none" w:sz="0" w:space="0" w:color="auto"/>
            <w:bottom w:val="none" w:sz="0" w:space="0" w:color="auto"/>
            <w:right w:val="none" w:sz="0" w:space="0" w:color="auto"/>
          </w:divBdr>
        </w:div>
        <w:div w:id="924463008">
          <w:marLeft w:val="0"/>
          <w:marRight w:val="0"/>
          <w:marTop w:val="0"/>
          <w:marBottom w:val="0"/>
          <w:divBdr>
            <w:top w:val="none" w:sz="0" w:space="0" w:color="auto"/>
            <w:left w:val="none" w:sz="0" w:space="0" w:color="auto"/>
            <w:bottom w:val="none" w:sz="0" w:space="0" w:color="auto"/>
            <w:right w:val="none" w:sz="0" w:space="0" w:color="auto"/>
          </w:divBdr>
        </w:div>
        <w:div w:id="377511820">
          <w:marLeft w:val="0"/>
          <w:marRight w:val="0"/>
          <w:marTop w:val="0"/>
          <w:marBottom w:val="0"/>
          <w:divBdr>
            <w:top w:val="none" w:sz="0" w:space="0" w:color="auto"/>
            <w:left w:val="none" w:sz="0" w:space="0" w:color="auto"/>
            <w:bottom w:val="none" w:sz="0" w:space="0" w:color="auto"/>
            <w:right w:val="none" w:sz="0" w:space="0" w:color="auto"/>
          </w:divBdr>
        </w:div>
        <w:div w:id="683090492">
          <w:marLeft w:val="0"/>
          <w:marRight w:val="0"/>
          <w:marTop w:val="0"/>
          <w:marBottom w:val="0"/>
          <w:divBdr>
            <w:top w:val="none" w:sz="0" w:space="0" w:color="auto"/>
            <w:left w:val="none" w:sz="0" w:space="0" w:color="auto"/>
            <w:bottom w:val="none" w:sz="0" w:space="0" w:color="auto"/>
            <w:right w:val="none" w:sz="0" w:space="0" w:color="auto"/>
          </w:divBdr>
        </w:div>
        <w:div w:id="1858739605">
          <w:marLeft w:val="0"/>
          <w:marRight w:val="0"/>
          <w:marTop w:val="0"/>
          <w:marBottom w:val="0"/>
          <w:divBdr>
            <w:top w:val="none" w:sz="0" w:space="0" w:color="auto"/>
            <w:left w:val="none" w:sz="0" w:space="0" w:color="auto"/>
            <w:bottom w:val="none" w:sz="0" w:space="0" w:color="auto"/>
            <w:right w:val="none" w:sz="0" w:space="0" w:color="auto"/>
          </w:divBdr>
        </w:div>
        <w:div w:id="1997564972">
          <w:marLeft w:val="0"/>
          <w:marRight w:val="0"/>
          <w:marTop w:val="0"/>
          <w:marBottom w:val="0"/>
          <w:divBdr>
            <w:top w:val="none" w:sz="0" w:space="0" w:color="auto"/>
            <w:left w:val="none" w:sz="0" w:space="0" w:color="auto"/>
            <w:bottom w:val="none" w:sz="0" w:space="0" w:color="auto"/>
            <w:right w:val="none" w:sz="0" w:space="0" w:color="auto"/>
          </w:divBdr>
        </w:div>
        <w:div w:id="1910461772">
          <w:marLeft w:val="0"/>
          <w:marRight w:val="0"/>
          <w:marTop w:val="0"/>
          <w:marBottom w:val="0"/>
          <w:divBdr>
            <w:top w:val="none" w:sz="0" w:space="0" w:color="auto"/>
            <w:left w:val="none" w:sz="0" w:space="0" w:color="auto"/>
            <w:bottom w:val="none" w:sz="0" w:space="0" w:color="auto"/>
            <w:right w:val="none" w:sz="0" w:space="0" w:color="auto"/>
          </w:divBdr>
        </w:div>
        <w:div w:id="1643851777">
          <w:marLeft w:val="0"/>
          <w:marRight w:val="0"/>
          <w:marTop w:val="0"/>
          <w:marBottom w:val="0"/>
          <w:divBdr>
            <w:top w:val="none" w:sz="0" w:space="0" w:color="auto"/>
            <w:left w:val="none" w:sz="0" w:space="0" w:color="auto"/>
            <w:bottom w:val="none" w:sz="0" w:space="0" w:color="auto"/>
            <w:right w:val="none" w:sz="0" w:space="0" w:color="auto"/>
          </w:divBdr>
        </w:div>
        <w:div w:id="975449788">
          <w:marLeft w:val="0"/>
          <w:marRight w:val="0"/>
          <w:marTop w:val="0"/>
          <w:marBottom w:val="0"/>
          <w:divBdr>
            <w:top w:val="none" w:sz="0" w:space="0" w:color="auto"/>
            <w:left w:val="none" w:sz="0" w:space="0" w:color="auto"/>
            <w:bottom w:val="none" w:sz="0" w:space="0" w:color="auto"/>
            <w:right w:val="none" w:sz="0" w:space="0" w:color="auto"/>
          </w:divBdr>
        </w:div>
        <w:div w:id="1911383844">
          <w:marLeft w:val="0"/>
          <w:marRight w:val="0"/>
          <w:marTop w:val="0"/>
          <w:marBottom w:val="0"/>
          <w:divBdr>
            <w:top w:val="none" w:sz="0" w:space="0" w:color="auto"/>
            <w:left w:val="none" w:sz="0" w:space="0" w:color="auto"/>
            <w:bottom w:val="none" w:sz="0" w:space="0" w:color="auto"/>
            <w:right w:val="none" w:sz="0" w:space="0" w:color="auto"/>
          </w:divBdr>
        </w:div>
        <w:div w:id="144711899">
          <w:marLeft w:val="0"/>
          <w:marRight w:val="0"/>
          <w:marTop w:val="0"/>
          <w:marBottom w:val="0"/>
          <w:divBdr>
            <w:top w:val="none" w:sz="0" w:space="0" w:color="auto"/>
            <w:left w:val="none" w:sz="0" w:space="0" w:color="auto"/>
            <w:bottom w:val="none" w:sz="0" w:space="0" w:color="auto"/>
            <w:right w:val="none" w:sz="0" w:space="0" w:color="auto"/>
          </w:divBdr>
        </w:div>
        <w:div w:id="2048139097">
          <w:marLeft w:val="0"/>
          <w:marRight w:val="0"/>
          <w:marTop w:val="0"/>
          <w:marBottom w:val="0"/>
          <w:divBdr>
            <w:top w:val="none" w:sz="0" w:space="0" w:color="auto"/>
            <w:left w:val="none" w:sz="0" w:space="0" w:color="auto"/>
            <w:bottom w:val="none" w:sz="0" w:space="0" w:color="auto"/>
            <w:right w:val="none" w:sz="0" w:space="0" w:color="auto"/>
          </w:divBdr>
        </w:div>
        <w:div w:id="678504953">
          <w:marLeft w:val="0"/>
          <w:marRight w:val="0"/>
          <w:marTop w:val="0"/>
          <w:marBottom w:val="0"/>
          <w:divBdr>
            <w:top w:val="none" w:sz="0" w:space="0" w:color="auto"/>
            <w:left w:val="none" w:sz="0" w:space="0" w:color="auto"/>
            <w:bottom w:val="none" w:sz="0" w:space="0" w:color="auto"/>
            <w:right w:val="none" w:sz="0" w:space="0" w:color="auto"/>
          </w:divBdr>
        </w:div>
        <w:div w:id="1290548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wtwaterstewardship.ca/" TargetMode="External"/><Relationship Id="rId10" Type="http://schemas.openxmlformats.org/officeDocument/2006/relationships/customXml" Target="../customXml/item3.xml"/><Relationship Id="rId4" Type="http://schemas.openxmlformats.org/officeDocument/2006/relationships/hyperlink" Target="https://www.nwtwaterstewardship.ca/" TargetMode="Externa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352FED-DA4C-4085-B68E-477FBEDB0890}"/>
</file>

<file path=customXml/itemProps2.xml><?xml version="1.0" encoding="utf-8"?>
<ds:datastoreItem xmlns:ds="http://schemas.openxmlformats.org/officeDocument/2006/customXml" ds:itemID="{E0660249-6880-4AB5-8FD2-0D43920A9D94}"/>
</file>

<file path=customXml/itemProps3.xml><?xml version="1.0" encoding="utf-8"?>
<ds:datastoreItem xmlns:ds="http://schemas.openxmlformats.org/officeDocument/2006/customXml" ds:itemID="{BBB1EA30-2069-446B-AAFC-FED83C3DDF09}"/>
</file>

<file path=docProps/app.xml><?xml version="1.0" encoding="utf-8"?>
<Properties xmlns="http://schemas.openxmlformats.org/officeDocument/2006/extended-properties" xmlns:vt="http://schemas.openxmlformats.org/officeDocument/2006/docPropsVTypes">
  <Template>Normal.dotm</Template>
  <TotalTime>7</TotalTime>
  <Pages>2</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AlexLatta</dc:title>
  <dc:subject/>
  <dc:creator>Rafael Alamar</dc:creator>
  <cp:keywords/>
  <dc:description/>
  <cp:lastModifiedBy>Rafael Alamar</cp:lastModifiedBy>
  <cp:revision>3</cp:revision>
  <dcterms:created xsi:type="dcterms:W3CDTF">2019-03-25T14:57:00Z</dcterms:created>
  <dcterms:modified xsi:type="dcterms:W3CDTF">2019-05-09T14:34:00Z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