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8EF30" w14:textId="4B7A45BA" w:rsidR="00A0293C" w:rsidRPr="00F56F55" w:rsidRDefault="00A0293C" w:rsidP="00D0025F">
      <w:pPr>
        <w:jc w:val="both"/>
        <w:rPr>
          <w:b/>
          <w:sz w:val="22"/>
          <w:szCs w:val="22"/>
          <w:u w:val="single"/>
          <w:lang w:val="en-US"/>
        </w:rPr>
      </w:pPr>
      <w:r w:rsidRPr="00F56F55">
        <w:rPr>
          <w:b/>
          <w:sz w:val="22"/>
          <w:szCs w:val="22"/>
          <w:u w:val="single"/>
          <w:lang w:val="en-US"/>
        </w:rPr>
        <w:t>Questionnaire to non-</w:t>
      </w:r>
      <w:r w:rsidR="00080556" w:rsidRPr="00F56F55">
        <w:rPr>
          <w:b/>
          <w:sz w:val="22"/>
          <w:szCs w:val="22"/>
          <w:u w:val="single"/>
          <w:lang w:val="en-US"/>
        </w:rPr>
        <w:t>s</w:t>
      </w:r>
      <w:r w:rsidRPr="00F56F55">
        <w:rPr>
          <w:b/>
          <w:sz w:val="22"/>
          <w:szCs w:val="22"/>
          <w:u w:val="single"/>
          <w:lang w:val="en-US"/>
        </w:rPr>
        <w:t>tates</w:t>
      </w:r>
      <w:r w:rsidR="00080556" w:rsidRPr="00F56F55">
        <w:rPr>
          <w:b/>
          <w:sz w:val="22"/>
          <w:szCs w:val="22"/>
          <w:u w:val="single"/>
          <w:lang w:val="en-US"/>
        </w:rPr>
        <w:t xml:space="preserve"> actors</w:t>
      </w:r>
    </w:p>
    <w:p w14:paraId="762BAB5E" w14:textId="77777777" w:rsidR="00525741" w:rsidRPr="00F56F55" w:rsidRDefault="00525741" w:rsidP="00D0025F">
      <w:pPr>
        <w:jc w:val="both"/>
        <w:rPr>
          <w:b/>
          <w:sz w:val="22"/>
          <w:szCs w:val="22"/>
          <w:lang w:val="en-US"/>
        </w:rPr>
      </w:pPr>
    </w:p>
    <w:p w14:paraId="46FACB93" w14:textId="73FAC385" w:rsidR="00A0293C" w:rsidRPr="00525741" w:rsidRDefault="00A0293C" w:rsidP="00D0025F">
      <w:pPr>
        <w:jc w:val="both"/>
        <w:rPr>
          <w:b/>
          <w:sz w:val="22"/>
          <w:szCs w:val="22"/>
        </w:rPr>
      </w:pPr>
      <w:r w:rsidRPr="00525741">
        <w:rPr>
          <w:b/>
          <w:sz w:val="22"/>
          <w:szCs w:val="22"/>
        </w:rPr>
        <w:t>Report to the 76th session of the UN General Assembly (2021) on water commodification</w:t>
      </w:r>
    </w:p>
    <w:p w14:paraId="02F47A85" w14:textId="60DEC6D9" w:rsidR="00DB4AEC" w:rsidRPr="00525741" w:rsidRDefault="00DB4AEC" w:rsidP="00D0025F">
      <w:pPr>
        <w:jc w:val="both"/>
        <w:rPr>
          <w:b/>
          <w:sz w:val="22"/>
          <w:szCs w:val="22"/>
        </w:rPr>
      </w:pPr>
      <w:r w:rsidRPr="00525741">
        <w:rPr>
          <w:b/>
          <w:sz w:val="22"/>
          <w:szCs w:val="22"/>
        </w:rPr>
        <w:t xml:space="preserve">This report will focus in the issue of water commodification </w:t>
      </w:r>
    </w:p>
    <w:p w14:paraId="1DFEF8F1" w14:textId="77777777" w:rsidR="0020031B" w:rsidRPr="00525741" w:rsidRDefault="0020031B" w:rsidP="00D0025F">
      <w:pPr>
        <w:pStyle w:val="Heading2"/>
        <w:ind w:left="0"/>
        <w:jc w:val="both"/>
        <w:rPr>
          <w:b w:val="0"/>
          <w:bCs/>
          <w:color w:val="C00000"/>
          <w:sz w:val="22"/>
          <w:szCs w:val="22"/>
        </w:rPr>
      </w:pPr>
    </w:p>
    <w:p w14:paraId="0D5AA03E" w14:textId="58DD2ECA" w:rsidR="0020031B" w:rsidRDefault="0052044F" w:rsidP="00D0025F">
      <w:pPr>
        <w:pStyle w:val="Heading2"/>
        <w:ind w:left="0"/>
        <w:jc w:val="both"/>
        <w:rPr>
          <w:b w:val="0"/>
          <w:bCs/>
          <w:color w:val="C00000"/>
          <w:sz w:val="22"/>
          <w:szCs w:val="22"/>
        </w:rPr>
      </w:pPr>
      <w:r w:rsidRPr="00525741">
        <w:rPr>
          <w:b w:val="0"/>
          <w:bCs/>
          <w:color w:val="C00000"/>
          <w:sz w:val="22"/>
          <w:szCs w:val="22"/>
        </w:rPr>
        <w:t xml:space="preserve">This response focuses </w:t>
      </w:r>
      <w:r w:rsidR="00D508BA" w:rsidRPr="00525741">
        <w:rPr>
          <w:b w:val="0"/>
          <w:bCs/>
          <w:color w:val="C00000"/>
          <w:sz w:val="22"/>
          <w:szCs w:val="22"/>
        </w:rPr>
        <w:t xml:space="preserve">only </w:t>
      </w:r>
      <w:r w:rsidRPr="00525741">
        <w:rPr>
          <w:b w:val="0"/>
          <w:bCs/>
          <w:color w:val="C00000"/>
          <w:sz w:val="22"/>
          <w:szCs w:val="22"/>
        </w:rPr>
        <w:t xml:space="preserve">on the role that </w:t>
      </w:r>
      <w:r w:rsidR="00447B14">
        <w:rPr>
          <w:b w:val="0"/>
          <w:bCs/>
          <w:color w:val="C00000"/>
          <w:sz w:val="22"/>
          <w:szCs w:val="22"/>
        </w:rPr>
        <w:t>g</w:t>
      </w:r>
      <w:r w:rsidRPr="00525741">
        <w:rPr>
          <w:b w:val="0"/>
          <w:bCs/>
          <w:color w:val="C00000"/>
          <w:sz w:val="22"/>
          <w:szCs w:val="22"/>
        </w:rPr>
        <w:t xml:space="preserve">reen </w:t>
      </w:r>
      <w:r w:rsidR="00447B14">
        <w:rPr>
          <w:b w:val="0"/>
          <w:bCs/>
          <w:color w:val="C00000"/>
          <w:sz w:val="22"/>
          <w:szCs w:val="22"/>
        </w:rPr>
        <w:t>c</w:t>
      </w:r>
      <w:r w:rsidRPr="00525741">
        <w:rPr>
          <w:b w:val="0"/>
          <w:bCs/>
          <w:color w:val="C00000"/>
          <w:sz w:val="22"/>
          <w:szCs w:val="22"/>
        </w:rPr>
        <w:t xml:space="preserve">ity </w:t>
      </w:r>
      <w:r w:rsidR="00447B14">
        <w:rPr>
          <w:b w:val="0"/>
          <w:bCs/>
          <w:color w:val="C00000"/>
          <w:sz w:val="22"/>
          <w:szCs w:val="22"/>
        </w:rPr>
        <w:t>b</w:t>
      </w:r>
      <w:r w:rsidRPr="00525741">
        <w:rPr>
          <w:b w:val="0"/>
          <w:bCs/>
          <w:color w:val="C00000"/>
          <w:sz w:val="22"/>
          <w:szCs w:val="22"/>
        </w:rPr>
        <w:t xml:space="preserve">onds </w:t>
      </w:r>
      <w:r w:rsidR="00DB6416">
        <w:rPr>
          <w:b w:val="0"/>
          <w:bCs/>
          <w:color w:val="C00000"/>
          <w:sz w:val="22"/>
          <w:szCs w:val="22"/>
        </w:rPr>
        <w:t>for</w:t>
      </w:r>
      <w:r w:rsidRPr="00525741">
        <w:rPr>
          <w:b w:val="0"/>
          <w:bCs/>
          <w:color w:val="C00000"/>
          <w:sz w:val="22"/>
          <w:szCs w:val="22"/>
        </w:rPr>
        <w:t xml:space="preserve"> </w:t>
      </w:r>
      <w:r w:rsidR="00447B14">
        <w:rPr>
          <w:b w:val="0"/>
          <w:bCs/>
          <w:color w:val="C00000"/>
          <w:sz w:val="22"/>
          <w:szCs w:val="22"/>
        </w:rPr>
        <w:t>w</w:t>
      </w:r>
      <w:r w:rsidRPr="00525741">
        <w:rPr>
          <w:b w:val="0"/>
          <w:bCs/>
          <w:color w:val="C00000"/>
          <w:sz w:val="22"/>
          <w:szCs w:val="22"/>
        </w:rPr>
        <w:t xml:space="preserve">ater </w:t>
      </w:r>
      <w:r w:rsidR="00447B14">
        <w:rPr>
          <w:b w:val="0"/>
          <w:bCs/>
          <w:color w:val="C00000"/>
          <w:sz w:val="22"/>
          <w:szCs w:val="22"/>
        </w:rPr>
        <w:t>i</w:t>
      </w:r>
      <w:r w:rsidRPr="00525741">
        <w:rPr>
          <w:b w:val="0"/>
          <w:bCs/>
          <w:color w:val="C00000"/>
          <w:sz w:val="22"/>
          <w:szCs w:val="22"/>
        </w:rPr>
        <w:t xml:space="preserve">nfrastructure </w:t>
      </w:r>
      <w:r w:rsidR="00DB6416">
        <w:rPr>
          <w:b w:val="0"/>
          <w:bCs/>
          <w:color w:val="C00000"/>
          <w:sz w:val="22"/>
          <w:szCs w:val="22"/>
        </w:rPr>
        <w:t xml:space="preserve">may </w:t>
      </w:r>
      <w:r w:rsidRPr="00525741">
        <w:rPr>
          <w:b w:val="0"/>
          <w:bCs/>
          <w:color w:val="C00000"/>
          <w:sz w:val="22"/>
          <w:szCs w:val="22"/>
        </w:rPr>
        <w:t xml:space="preserve">have in </w:t>
      </w:r>
      <w:r w:rsidR="00DB6416">
        <w:rPr>
          <w:b w:val="0"/>
          <w:bCs/>
          <w:color w:val="C00000"/>
          <w:sz w:val="22"/>
          <w:szCs w:val="22"/>
        </w:rPr>
        <w:t xml:space="preserve">intensifying the process of </w:t>
      </w:r>
      <w:r w:rsidRPr="00525741">
        <w:rPr>
          <w:b w:val="0"/>
          <w:bCs/>
          <w:color w:val="C00000"/>
          <w:sz w:val="22"/>
          <w:szCs w:val="22"/>
        </w:rPr>
        <w:t>financialization and commodification of water (</w:t>
      </w:r>
      <w:r w:rsidR="00DB6416">
        <w:rPr>
          <w:b w:val="0"/>
          <w:bCs/>
          <w:color w:val="C00000"/>
          <w:sz w:val="22"/>
          <w:szCs w:val="22"/>
        </w:rPr>
        <w:t xml:space="preserve">both </w:t>
      </w:r>
      <w:r w:rsidRPr="00525741">
        <w:rPr>
          <w:b w:val="0"/>
          <w:bCs/>
          <w:color w:val="C00000"/>
          <w:sz w:val="22"/>
          <w:szCs w:val="22"/>
        </w:rPr>
        <w:t xml:space="preserve">the infrastructure and the good). </w:t>
      </w:r>
      <w:r w:rsidR="00366C3C" w:rsidRPr="00525741">
        <w:rPr>
          <w:b w:val="0"/>
          <w:bCs/>
          <w:color w:val="C00000"/>
          <w:sz w:val="22"/>
          <w:szCs w:val="22"/>
        </w:rPr>
        <w:t xml:space="preserve">Therefore, this response only answers the related question in the section </w:t>
      </w:r>
      <w:r w:rsidR="00C37A2D">
        <w:rPr>
          <w:b w:val="0"/>
          <w:bCs/>
          <w:color w:val="C00000"/>
          <w:sz w:val="22"/>
          <w:szCs w:val="22"/>
        </w:rPr>
        <w:t>‘</w:t>
      </w:r>
      <w:r w:rsidR="00366C3C" w:rsidRPr="00525741">
        <w:rPr>
          <w:b w:val="0"/>
          <w:bCs/>
          <w:color w:val="C00000"/>
          <w:sz w:val="22"/>
          <w:szCs w:val="22"/>
        </w:rPr>
        <w:t>Financialisation</w:t>
      </w:r>
      <w:r w:rsidR="00F63D40" w:rsidRPr="00525741">
        <w:rPr>
          <w:b w:val="0"/>
          <w:bCs/>
          <w:color w:val="C00000"/>
          <w:sz w:val="22"/>
          <w:szCs w:val="22"/>
        </w:rPr>
        <w:t xml:space="preserve"> </w:t>
      </w:r>
      <w:r w:rsidR="00366C3C" w:rsidRPr="00525741">
        <w:rPr>
          <w:b w:val="0"/>
          <w:bCs/>
          <w:color w:val="C00000"/>
          <w:sz w:val="22"/>
          <w:szCs w:val="22"/>
        </w:rPr>
        <w:t>/</w:t>
      </w:r>
      <w:r w:rsidR="00F63D40" w:rsidRPr="00525741">
        <w:rPr>
          <w:b w:val="0"/>
          <w:bCs/>
          <w:color w:val="C00000"/>
          <w:sz w:val="22"/>
          <w:szCs w:val="22"/>
        </w:rPr>
        <w:t xml:space="preserve"> </w:t>
      </w:r>
      <w:r w:rsidR="00366C3C" w:rsidRPr="00525741">
        <w:rPr>
          <w:b w:val="0"/>
          <w:bCs/>
          <w:color w:val="C00000"/>
          <w:sz w:val="22"/>
          <w:szCs w:val="22"/>
        </w:rPr>
        <w:t>commodification</w:t>
      </w:r>
      <w:r w:rsidR="00C37A2D">
        <w:rPr>
          <w:b w:val="0"/>
          <w:bCs/>
          <w:color w:val="C00000"/>
          <w:sz w:val="22"/>
          <w:szCs w:val="22"/>
        </w:rPr>
        <w:t>’</w:t>
      </w:r>
      <w:r w:rsidR="00366C3C" w:rsidRPr="00525741">
        <w:rPr>
          <w:b w:val="0"/>
          <w:bCs/>
          <w:color w:val="C00000"/>
          <w:sz w:val="22"/>
          <w:szCs w:val="22"/>
        </w:rPr>
        <w:t xml:space="preserve"> </w:t>
      </w:r>
      <w:r w:rsidR="00DB6416">
        <w:rPr>
          <w:b w:val="0"/>
          <w:bCs/>
          <w:color w:val="C00000"/>
          <w:sz w:val="22"/>
          <w:szCs w:val="22"/>
        </w:rPr>
        <w:t xml:space="preserve">of the </w:t>
      </w:r>
      <w:r w:rsidR="00366C3C" w:rsidRPr="00525741">
        <w:rPr>
          <w:b w:val="0"/>
          <w:bCs/>
          <w:color w:val="C00000"/>
          <w:sz w:val="22"/>
          <w:szCs w:val="22"/>
        </w:rPr>
        <w:t>questionnaire</w:t>
      </w:r>
      <w:r w:rsidR="00F63D40" w:rsidRPr="00525741">
        <w:rPr>
          <w:b w:val="0"/>
          <w:bCs/>
          <w:color w:val="C00000"/>
          <w:sz w:val="22"/>
          <w:szCs w:val="22"/>
        </w:rPr>
        <w:t>.</w:t>
      </w:r>
    </w:p>
    <w:p w14:paraId="10483747" w14:textId="77777777" w:rsidR="00525741" w:rsidRPr="00525741" w:rsidRDefault="00525741" w:rsidP="00D0025F">
      <w:pPr>
        <w:jc w:val="both"/>
      </w:pPr>
    </w:p>
    <w:p w14:paraId="4901CD08" w14:textId="77777777" w:rsidR="0052044F" w:rsidRPr="00525741" w:rsidRDefault="0052044F" w:rsidP="00D0025F">
      <w:pPr>
        <w:pStyle w:val="Heading2"/>
        <w:ind w:left="0"/>
        <w:jc w:val="both"/>
        <w:rPr>
          <w:sz w:val="22"/>
          <w:szCs w:val="22"/>
          <w:lang w:val="en-US"/>
        </w:rPr>
      </w:pPr>
    </w:p>
    <w:p w14:paraId="4E88E70E" w14:textId="3D7D5C16" w:rsidR="006A7D2A" w:rsidRDefault="006A7D2A" w:rsidP="00D0025F">
      <w:pPr>
        <w:pStyle w:val="Heading2"/>
        <w:ind w:left="0"/>
        <w:jc w:val="both"/>
        <w:rPr>
          <w:sz w:val="22"/>
          <w:szCs w:val="22"/>
          <w:lang w:val="en-US"/>
        </w:rPr>
      </w:pPr>
      <w:r w:rsidRPr="00525741">
        <w:rPr>
          <w:sz w:val="22"/>
          <w:szCs w:val="22"/>
          <w:lang w:val="en-US"/>
        </w:rPr>
        <w:t>III.</w:t>
      </w:r>
      <w:r w:rsidRPr="00525741">
        <w:rPr>
          <w:sz w:val="22"/>
          <w:szCs w:val="22"/>
          <w:lang w:val="en-US"/>
        </w:rPr>
        <w:tab/>
      </w:r>
      <w:r w:rsidR="00A0293C" w:rsidRPr="00525741">
        <w:rPr>
          <w:sz w:val="22"/>
          <w:szCs w:val="22"/>
          <w:lang w:val="en-US"/>
        </w:rPr>
        <w:t>Financialisation/commodification questionnaire</w:t>
      </w:r>
    </w:p>
    <w:p w14:paraId="0D4281CD" w14:textId="77777777" w:rsidR="00525741" w:rsidRPr="00525741" w:rsidRDefault="00525741" w:rsidP="00D0025F">
      <w:pPr>
        <w:jc w:val="both"/>
        <w:rPr>
          <w:lang w:val="en-US"/>
        </w:rPr>
      </w:pPr>
    </w:p>
    <w:p w14:paraId="3C1FA3F1" w14:textId="77777777" w:rsidR="006A7D2A" w:rsidRPr="00525741" w:rsidRDefault="006A7D2A" w:rsidP="00D0025F">
      <w:pPr>
        <w:pStyle w:val="Heading2"/>
        <w:ind w:left="0"/>
        <w:jc w:val="both"/>
        <w:rPr>
          <w:sz w:val="22"/>
          <w:szCs w:val="22"/>
          <w:lang w:val="en-US"/>
        </w:rPr>
      </w:pPr>
    </w:p>
    <w:p w14:paraId="39F33EDD" w14:textId="7514DAED" w:rsidR="00A0293C" w:rsidRPr="00525741" w:rsidRDefault="00A0293C" w:rsidP="00D0025F">
      <w:pPr>
        <w:pStyle w:val="Heading2"/>
        <w:ind w:left="0"/>
        <w:jc w:val="both"/>
        <w:rPr>
          <w:b w:val="0"/>
          <w:bCs/>
          <w:sz w:val="22"/>
          <w:szCs w:val="22"/>
          <w:lang w:eastAsia="en-GB"/>
        </w:rPr>
      </w:pPr>
      <w:r w:rsidRPr="00525741">
        <w:rPr>
          <w:bCs/>
          <w:sz w:val="22"/>
          <w:szCs w:val="22"/>
          <w:lang w:eastAsia="en-GB"/>
        </w:rPr>
        <w:t>Specifics of the WASH sector and financialisation:</w:t>
      </w:r>
    </w:p>
    <w:p w14:paraId="6F5B1EF0" w14:textId="77777777" w:rsidR="006A7D2A" w:rsidRPr="00525741" w:rsidRDefault="006A7D2A" w:rsidP="00D0025F">
      <w:pPr>
        <w:jc w:val="both"/>
        <w:rPr>
          <w:sz w:val="22"/>
          <w:szCs w:val="22"/>
          <w:lang w:eastAsia="en-GB"/>
        </w:rPr>
      </w:pPr>
    </w:p>
    <w:p w14:paraId="43BF7B5A" w14:textId="1C59B769" w:rsidR="00A0293C" w:rsidRPr="00525741" w:rsidRDefault="006A7D2A" w:rsidP="00D0025F">
      <w:pPr>
        <w:jc w:val="both"/>
        <w:rPr>
          <w:sz w:val="22"/>
          <w:szCs w:val="22"/>
          <w:lang w:eastAsia="en-GB"/>
        </w:rPr>
      </w:pPr>
      <w:r w:rsidRPr="00525741">
        <w:rPr>
          <w:sz w:val="22"/>
          <w:szCs w:val="22"/>
          <w:lang w:eastAsia="en-GB"/>
        </w:rPr>
        <w:t>1.</w:t>
      </w:r>
      <w:r w:rsidRPr="00525741">
        <w:rPr>
          <w:sz w:val="22"/>
          <w:szCs w:val="22"/>
          <w:lang w:eastAsia="en-GB"/>
        </w:rPr>
        <w:tab/>
      </w:r>
      <w:r w:rsidR="00A0293C" w:rsidRPr="00525741">
        <w:rPr>
          <w:sz w:val="22"/>
          <w:szCs w:val="22"/>
          <w:lang w:eastAsia="en-GB"/>
        </w:rPr>
        <w:t xml:space="preserve">Water and sanitation services are a </w:t>
      </w:r>
      <w:r w:rsidR="00E418A8" w:rsidRPr="00525741">
        <w:rPr>
          <w:sz w:val="22"/>
          <w:szCs w:val="22"/>
          <w:lang w:eastAsia="en-GB"/>
        </w:rPr>
        <w:t>“</w:t>
      </w:r>
      <w:r w:rsidR="00A0293C" w:rsidRPr="00525741">
        <w:rPr>
          <w:sz w:val="22"/>
          <w:szCs w:val="22"/>
          <w:lang w:eastAsia="en-GB"/>
        </w:rPr>
        <w:t>natural monopoly</w:t>
      </w:r>
      <w:r w:rsidR="00E418A8" w:rsidRPr="00525741">
        <w:rPr>
          <w:sz w:val="22"/>
          <w:szCs w:val="22"/>
          <w:lang w:eastAsia="en-GB"/>
        </w:rPr>
        <w:t>”</w:t>
      </w:r>
      <w:r w:rsidR="00BB4A33" w:rsidRPr="00525741">
        <w:rPr>
          <w:sz w:val="22"/>
          <w:szCs w:val="22"/>
          <w:lang w:eastAsia="en-GB"/>
        </w:rPr>
        <w:t xml:space="preserve"> and</w:t>
      </w:r>
      <w:r w:rsidR="00A0293C" w:rsidRPr="00525741">
        <w:rPr>
          <w:sz w:val="22"/>
          <w:szCs w:val="22"/>
          <w:lang w:eastAsia="en-GB"/>
        </w:rPr>
        <w:t xml:space="preserve"> require large and long-term investments. This is in contrast to key characteristics of financial markets – competition and short-term management. This makes the WASH sector</w:t>
      </w:r>
      <w:r w:rsidR="00BB4A33" w:rsidRPr="00525741">
        <w:rPr>
          <w:sz w:val="22"/>
          <w:szCs w:val="22"/>
          <w:lang w:eastAsia="en-GB"/>
        </w:rPr>
        <w:t>, in principle,</w:t>
      </w:r>
      <w:r w:rsidR="00A0293C" w:rsidRPr="00525741">
        <w:rPr>
          <w:sz w:val="22"/>
          <w:szCs w:val="22"/>
          <w:lang w:eastAsia="en-GB"/>
        </w:rPr>
        <w:t xml:space="preserve"> slightly different to other basic services.</w:t>
      </w:r>
    </w:p>
    <w:p w14:paraId="5DE206CE" w14:textId="77777777" w:rsidR="006A7D2A" w:rsidRPr="00525741" w:rsidRDefault="006A7D2A" w:rsidP="00D0025F">
      <w:pPr>
        <w:jc w:val="both"/>
        <w:rPr>
          <w:sz w:val="22"/>
          <w:szCs w:val="22"/>
          <w:lang w:eastAsia="en-GB"/>
        </w:rPr>
      </w:pPr>
    </w:p>
    <w:p w14:paraId="23EC0815" w14:textId="2F06B14F" w:rsidR="00A0293C" w:rsidRPr="00525741" w:rsidRDefault="00A0293C" w:rsidP="00D0025F">
      <w:pPr>
        <w:pStyle w:val="ListParagraph"/>
        <w:spacing w:line="259" w:lineRule="auto"/>
        <w:ind w:left="0" w:firstLine="567"/>
        <w:jc w:val="both"/>
        <w:rPr>
          <w:sz w:val="22"/>
          <w:szCs w:val="22"/>
          <w:lang w:eastAsia="en-GB"/>
        </w:rPr>
      </w:pPr>
      <w:r w:rsidRPr="00525741">
        <w:rPr>
          <w:sz w:val="22"/>
          <w:szCs w:val="22"/>
          <w:lang w:eastAsia="en-GB"/>
        </w:rPr>
        <w:t>1.1</w:t>
      </w:r>
      <w:r w:rsidR="006A7D2A" w:rsidRPr="00525741">
        <w:rPr>
          <w:sz w:val="22"/>
          <w:szCs w:val="22"/>
          <w:lang w:eastAsia="en-GB"/>
        </w:rPr>
        <w:t>.</w:t>
      </w:r>
      <w:r w:rsidR="006A7D2A" w:rsidRPr="00525741">
        <w:rPr>
          <w:sz w:val="22"/>
          <w:szCs w:val="22"/>
          <w:lang w:eastAsia="en-GB"/>
        </w:rPr>
        <w:tab/>
      </w:r>
      <w:r w:rsidRPr="00525741">
        <w:rPr>
          <w:sz w:val="22"/>
          <w:szCs w:val="22"/>
          <w:lang w:eastAsia="en-GB"/>
        </w:rPr>
        <w:t>Drawing from your experience</w:t>
      </w:r>
      <w:r w:rsidR="00CB643B" w:rsidRPr="00525741">
        <w:rPr>
          <w:sz w:val="22"/>
          <w:szCs w:val="22"/>
          <w:lang w:eastAsia="en-GB"/>
        </w:rPr>
        <w:t xml:space="preserve">, how do large private operators deal with long-term investment needs in the water, sanitation and hygiene (WASH) sector? Do you know of significant short-term financial operations in the WASH sector to date? Do you think that short-term speculative operations can be combined with long-term strategies in the WASH sector? </w:t>
      </w:r>
      <w:r w:rsidRPr="00525741">
        <w:rPr>
          <w:sz w:val="22"/>
          <w:szCs w:val="22"/>
          <w:lang w:eastAsia="en-GB"/>
        </w:rPr>
        <w:t>Please share any research, testimonies or experiences of this.</w:t>
      </w:r>
    </w:p>
    <w:p w14:paraId="4A39119D" w14:textId="760A4D01" w:rsidR="00322900" w:rsidRPr="00525741" w:rsidRDefault="00322900" w:rsidP="00D0025F">
      <w:pPr>
        <w:spacing w:line="259" w:lineRule="auto"/>
        <w:jc w:val="both"/>
        <w:rPr>
          <w:sz w:val="22"/>
          <w:szCs w:val="22"/>
          <w:lang w:eastAsia="en-GB"/>
        </w:rPr>
      </w:pPr>
    </w:p>
    <w:p w14:paraId="78380030" w14:textId="46B8D22F" w:rsidR="00C37A2D" w:rsidRDefault="001A53CF" w:rsidP="00D0025F">
      <w:pPr>
        <w:spacing w:line="259" w:lineRule="auto"/>
        <w:jc w:val="both"/>
        <w:rPr>
          <w:color w:val="C00000"/>
          <w:sz w:val="22"/>
          <w:szCs w:val="22"/>
          <w:lang w:eastAsia="en-GB"/>
        </w:rPr>
      </w:pPr>
      <w:r w:rsidRPr="00525741">
        <w:rPr>
          <w:color w:val="C00000"/>
          <w:sz w:val="22"/>
          <w:szCs w:val="22"/>
          <w:lang w:eastAsia="en-GB"/>
        </w:rPr>
        <w:t xml:space="preserve">Green </w:t>
      </w:r>
      <w:r w:rsidR="006631B8">
        <w:rPr>
          <w:color w:val="C00000"/>
          <w:sz w:val="22"/>
          <w:szCs w:val="22"/>
          <w:lang w:eastAsia="en-GB"/>
        </w:rPr>
        <w:t>b</w:t>
      </w:r>
      <w:r w:rsidRPr="00525741">
        <w:rPr>
          <w:color w:val="C00000"/>
          <w:sz w:val="22"/>
          <w:szCs w:val="22"/>
          <w:lang w:eastAsia="en-GB"/>
        </w:rPr>
        <w:t xml:space="preserve">onds </w:t>
      </w:r>
      <w:r w:rsidR="00DB6416">
        <w:rPr>
          <w:color w:val="C00000"/>
          <w:sz w:val="22"/>
          <w:szCs w:val="22"/>
          <w:lang w:eastAsia="en-GB"/>
        </w:rPr>
        <w:t xml:space="preserve">for </w:t>
      </w:r>
      <w:r w:rsidR="006631B8">
        <w:rPr>
          <w:color w:val="C00000"/>
          <w:sz w:val="22"/>
          <w:szCs w:val="22"/>
          <w:lang w:eastAsia="en-GB"/>
        </w:rPr>
        <w:t>w</w:t>
      </w:r>
      <w:r w:rsidRPr="00525741">
        <w:rPr>
          <w:color w:val="C00000"/>
          <w:sz w:val="22"/>
          <w:szCs w:val="22"/>
          <w:lang w:eastAsia="en-GB"/>
        </w:rPr>
        <w:t xml:space="preserve">ater </w:t>
      </w:r>
      <w:r w:rsidR="006631B8">
        <w:rPr>
          <w:color w:val="C00000"/>
          <w:sz w:val="22"/>
          <w:szCs w:val="22"/>
          <w:lang w:eastAsia="en-GB"/>
        </w:rPr>
        <w:t>i</w:t>
      </w:r>
      <w:r w:rsidRPr="00525741">
        <w:rPr>
          <w:color w:val="C00000"/>
          <w:sz w:val="22"/>
          <w:szCs w:val="22"/>
          <w:lang w:eastAsia="en-GB"/>
        </w:rPr>
        <w:t>nfrastructure</w:t>
      </w:r>
      <w:r w:rsidR="00661631" w:rsidRPr="00525741">
        <w:rPr>
          <w:color w:val="C00000"/>
          <w:sz w:val="22"/>
          <w:szCs w:val="22"/>
          <w:lang w:eastAsia="en-GB"/>
        </w:rPr>
        <w:t xml:space="preserve"> </w:t>
      </w:r>
      <w:r w:rsidR="00DB6416">
        <w:rPr>
          <w:color w:val="C00000"/>
          <w:sz w:val="22"/>
          <w:szCs w:val="22"/>
          <w:lang w:eastAsia="en-GB"/>
        </w:rPr>
        <w:t xml:space="preserve">play an increasing role in financing </w:t>
      </w:r>
      <w:r w:rsidR="00C37A2D">
        <w:rPr>
          <w:color w:val="C00000"/>
          <w:sz w:val="22"/>
          <w:szCs w:val="22"/>
          <w:lang w:eastAsia="en-GB"/>
        </w:rPr>
        <w:t xml:space="preserve">projects and infrastructures in </w:t>
      </w:r>
      <w:r w:rsidR="00DB6416">
        <w:rPr>
          <w:color w:val="C00000"/>
          <w:sz w:val="22"/>
          <w:szCs w:val="22"/>
          <w:lang w:eastAsia="en-GB"/>
        </w:rPr>
        <w:t xml:space="preserve">the WASH </w:t>
      </w:r>
      <w:r w:rsidR="00447B14">
        <w:rPr>
          <w:color w:val="C00000"/>
          <w:sz w:val="22"/>
          <w:szCs w:val="22"/>
          <w:lang w:eastAsia="en-GB"/>
        </w:rPr>
        <w:t>s</w:t>
      </w:r>
      <w:r w:rsidR="00DB6416">
        <w:rPr>
          <w:color w:val="C00000"/>
          <w:sz w:val="22"/>
          <w:szCs w:val="22"/>
          <w:lang w:eastAsia="en-GB"/>
        </w:rPr>
        <w:t xml:space="preserve">ector. </w:t>
      </w:r>
      <w:r w:rsidR="00C34749">
        <w:rPr>
          <w:color w:val="C00000"/>
          <w:sz w:val="22"/>
          <w:szCs w:val="22"/>
          <w:lang w:eastAsia="en-GB"/>
        </w:rPr>
        <w:t xml:space="preserve">In a wider sense, </w:t>
      </w:r>
      <w:r w:rsidR="00D30408">
        <w:rPr>
          <w:color w:val="C00000"/>
          <w:sz w:val="22"/>
          <w:szCs w:val="22"/>
          <w:lang w:eastAsia="en-GB"/>
        </w:rPr>
        <w:t>“</w:t>
      </w:r>
      <w:r w:rsidR="00D30408" w:rsidRPr="00D30408">
        <w:rPr>
          <w:i/>
          <w:iCs/>
          <w:color w:val="C00000"/>
          <w:sz w:val="22"/>
          <w:szCs w:val="22"/>
          <w:lang w:eastAsia="en-GB"/>
        </w:rPr>
        <w:t>green  bonds  are  debt  instruments  whose  proceeds  are  earmarked  to  fund  projects  with  supposedly  environmental benefits. After some years in the background, they now occupy a central position in the green recovery narrative and political framework all over the world.</w:t>
      </w:r>
      <w:r w:rsidR="00D30408">
        <w:rPr>
          <w:color w:val="C00000"/>
          <w:sz w:val="22"/>
          <w:szCs w:val="22"/>
          <w:lang w:eastAsia="en-GB"/>
        </w:rPr>
        <w:t>”</w:t>
      </w:r>
      <w:r w:rsidR="00D30408">
        <w:rPr>
          <w:rStyle w:val="FootnoteReference"/>
          <w:color w:val="C00000"/>
          <w:sz w:val="22"/>
          <w:szCs w:val="22"/>
          <w:lang w:eastAsia="en-GB"/>
        </w:rPr>
        <w:footnoteReference w:id="1"/>
      </w:r>
      <w:r w:rsidR="00D30408">
        <w:rPr>
          <w:color w:val="C00000"/>
          <w:sz w:val="22"/>
          <w:szCs w:val="22"/>
          <w:lang w:eastAsia="en-GB"/>
        </w:rPr>
        <w:t xml:space="preserve"> </w:t>
      </w:r>
    </w:p>
    <w:p w14:paraId="2E2E5F55" w14:textId="77777777" w:rsidR="006631B8" w:rsidRDefault="006631B8" w:rsidP="00D0025F">
      <w:pPr>
        <w:spacing w:line="259" w:lineRule="auto"/>
        <w:jc w:val="both"/>
        <w:rPr>
          <w:color w:val="C00000"/>
          <w:sz w:val="22"/>
          <w:szCs w:val="22"/>
          <w:lang w:eastAsia="en-GB"/>
        </w:rPr>
      </w:pPr>
    </w:p>
    <w:p w14:paraId="21A734C0" w14:textId="75122011" w:rsidR="00B57CC1" w:rsidRPr="00525741" w:rsidRDefault="00C37A2D" w:rsidP="00D0025F">
      <w:pPr>
        <w:spacing w:line="259" w:lineRule="auto"/>
        <w:jc w:val="both"/>
        <w:rPr>
          <w:color w:val="C00000"/>
          <w:sz w:val="22"/>
          <w:szCs w:val="22"/>
          <w:lang w:eastAsia="en-GB"/>
        </w:rPr>
      </w:pPr>
      <w:r>
        <w:rPr>
          <w:color w:val="C00000"/>
          <w:sz w:val="22"/>
          <w:szCs w:val="22"/>
          <w:lang w:eastAsia="en-GB"/>
        </w:rPr>
        <w:t>Increasingly, cities are issuing green debt to pay for their WASH project</w:t>
      </w:r>
      <w:r w:rsidR="006631B8">
        <w:rPr>
          <w:color w:val="C00000"/>
          <w:sz w:val="22"/>
          <w:szCs w:val="22"/>
          <w:lang w:eastAsia="en-GB"/>
        </w:rPr>
        <w:t>s</w:t>
      </w:r>
      <w:r>
        <w:rPr>
          <w:color w:val="C00000"/>
          <w:sz w:val="22"/>
          <w:szCs w:val="22"/>
          <w:lang w:eastAsia="en-GB"/>
        </w:rPr>
        <w:t>. For example, g</w:t>
      </w:r>
      <w:r w:rsidR="00D30408">
        <w:rPr>
          <w:color w:val="C00000"/>
          <w:sz w:val="22"/>
          <w:szCs w:val="22"/>
          <w:lang w:eastAsia="en-GB"/>
        </w:rPr>
        <w:t>reen bonds</w:t>
      </w:r>
      <w:r w:rsidR="00B57CC1">
        <w:rPr>
          <w:color w:val="C00000"/>
          <w:sz w:val="22"/>
          <w:szCs w:val="22"/>
          <w:lang w:eastAsia="en-GB"/>
        </w:rPr>
        <w:t xml:space="preserve"> have be</w:t>
      </w:r>
      <w:r w:rsidR="006305BD">
        <w:rPr>
          <w:color w:val="C00000"/>
          <w:sz w:val="22"/>
          <w:szCs w:val="22"/>
          <w:lang w:eastAsia="en-GB"/>
        </w:rPr>
        <w:t>en</w:t>
      </w:r>
      <w:r w:rsidR="00B57CC1">
        <w:rPr>
          <w:color w:val="C00000"/>
          <w:sz w:val="22"/>
          <w:szCs w:val="22"/>
          <w:lang w:eastAsia="en-GB"/>
        </w:rPr>
        <w:t xml:space="preserve"> used to fund </w:t>
      </w:r>
      <w:r w:rsidR="00447B14">
        <w:rPr>
          <w:color w:val="C00000"/>
          <w:sz w:val="22"/>
          <w:szCs w:val="22"/>
          <w:lang w:eastAsia="en-GB"/>
        </w:rPr>
        <w:t>w</w:t>
      </w:r>
      <w:r w:rsidR="00B57CC1">
        <w:rPr>
          <w:color w:val="C00000"/>
          <w:sz w:val="22"/>
          <w:szCs w:val="22"/>
          <w:lang w:eastAsia="en-GB"/>
        </w:rPr>
        <w:t xml:space="preserve">ater </w:t>
      </w:r>
      <w:r w:rsidR="00447B14">
        <w:rPr>
          <w:color w:val="C00000"/>
          <w:sz w:val="22"/>
          <w:szCs w:val="22"/>
          <w:lang w:eastAsia="en-GB"/>
        </w:rPr>
        <w:t>i</w:t>
      </w:r>
      <w:r w:rsidR="00B57CC1">
        <w:rPr>
          <w:color w:val="C00000"/>
          <w:sz w:val="22"/>
          <w:szCs w:val="22"/>
          <w:lang w:eastAsia="en-GB"/>
        </w:rPr>
        <w:t xml:space="preserve">nfrastructure projects ranging from the massive replacement of water meters in households in Cape Town to </w:t>
      </w:r>
      <w:r w:rsidR="006631B8">
        <w:rPr>
          <w:color w:val="C00000"/>
          <w:sz w:val="22"/>
          <w:szCs w:val="22"/>
          <w:lang w:eastAsia="en-GB"/>
        </w:rPr>
        <w:t>increase</w:t>
      </w:r>
      <w:r w:rsidR="00B57CC1">
        <w:rPr>
          <w:color w:val="C00000"/>
          <w:sz w:val="22"/>
          <w:szCs w:val="22"/>
          <w:lang w:eastAsia="en-GB"/>
        </w:rPr>
        <w:t xml:space="preserve"> control </w:t>
      </w:r>
      <w:r w:rsidR="006631B8">
        <w:rPr>
          <w:color w:val="C00000"/>
          <w:sz w:val="22"/>
          <w:szCs w:val="22"/>
          <w:lang w:eastAsia="en-GB"/>
        </w:rPr>
        <w:t xml:space="preserve">over </w:t>
      </w:r>
      <w:r w:rsidR="00B57CC1">
        <w:rPr>
          <w:color w:val="C00000"/>
          <w:sz w:val="22"/>
          <w:szCs w:val="22"/>
          <w:lang w:eastAsia="en-GB"/>
        </w:rPr>
        <w:t>the access to water</w:t>
      </w:r>
      <w:r w:rsidR="002D5683">
        <w:rPr>
          <w:rStyle w:val="FootnoteReference"/>
          <w:color w:val="C00000"/>
          <w:sz w:val="22"/>
          <w:szCs w:val="22"/>
          <w:lang w:eastAsia="en-GB"/>
        </w:rPr>
        <w:footnoteReference w:id="2"/>
      </w:r>
      <w:r w:rsidR="00B57CC1">
        <w:rPr>
          <w:color w:val="C00000"/>
          <w:sz w:val="22"/>
          <w:szCs w:val="22"/>
          <w:lang w:eastAsia="en-GB"/>
        </w:rPr>
        <w:t xml:space="preserve">, to the </w:t>
      </w:r>
      <w:r w:rsidR="006631B8">
        <w:rPr>
          <w:color w:val="C00000"/>
          <w:sz w:val="22"/>
          <w:szCs w:val="22"/>
          <w:lang w:eastAsia="en-GB"/>
        </w:rPr>
        <w:t>construction</w:t>
      </w:r>
      <w:r w:rsidR="00B57CC1">
        <w:rPr>
          <w:color w:val="C00000"/>
          <w:sz w:val="22"/>
          <w:szCs w:val="22"/>
          <w:lang w:eastAsia="en-GB"/>
        </w:rPr>
        <w:t xml:space="preserve"> of </w:t>
      </w:r>
      <w:r w:rsidR="00B57CC1" w:rsidRPr="00840B61">
        <w:rPr>
          <w:color w:val="C00000"/>
          <w:sz w:val="22"/>
          <w:szCs w:val="22"/>
          <w:lang w:eastAsia="en-GB"/>
        </w:rPr>
        <w:lastRenderedPageBreak/>
        <w:t>the pumping and regulation water Park Santa Cruz Meyehualco</w:t>
      </w:r>
      <w:r w:rsidR="00B57CC1">
        <w:rPr>
          <w:color w:val="C00000"/>
          <w:sz w:val="22"/>
          <w:szCs w:val="22"/>
          <w:lang w:eastAsia="en-GB"/>
        </w:rPr>
        <w:t xml:space="preserve"> </w:t>
      </w:r>
      <w:r w:rsidR="00B57CC1" w:rsidRPr="00840B61">
        <w:rPr>
          <w:color w:val="C00000"/>
          <w:sz w:val="22"/>
          <w:szCs w:val="22"/>
          <w:lang w:eastAsia="en-GB"/>
        </w:rPr>
        <w:t>in the Iztapalapa region</w:t>
      </w:r>
      <w:r w:rsidR="00B57CC1">
        <w:rPr>
          <w:color w:val="C00000"/>
          <w:sz w:val="22"/>
          <w:szCs w:val="22"/>
          <w:lang w:eastAsia="en-GB"/>
        </w:rPr>
        <w:t xml:space="preserve"> in Mexico City in order to increase the availability of water</w:t>
      </w:r>
      <w:r w:rsidR="00592764">
        <w:rPr>
          <w:rStyle w:val="FootnoteReference"/>
          <w:color w:val="C00000"/>
          <w:sz w:val="22"/>
          <w:szCs w:val="22"/>
          <w:lang w:eastAsia="en-GB"/>
        </w:rPr>
        <w:footnoteReference w:id="3"/>
      </w:r>
      <w:r w:rsidR="00B57CC1">
        <w:rPr>
          <w:color w:val="C00000"/>
          <w:sz w:val="22"/>
          <w:szCs w:val="22"/>
          <w:lang w:eastAsia="en-GB"/>
        </w:rPr>
        <w:t xml:space="preserve">. </w:t>
      </w:r>
    </w:p>
    <w:p w14:paraId="7B66C57F" w14:textId="77777777" w:rsidR="00B57CC1" w:rsidRDefault="00B57CC1" w:rsidP="00D0025F">
      <w:pPr>
        <w:spacing w:line="259" w:lineRule="auto"/>
        <w:jc w:val="both"/>
        <w:rPr>
          <w:color w:val="C00000"/>
          <w:sz w:val="22"/>
          <w:szCs w:val="22"/>
          <w:lang w:eastAsia="en-GB"/>
        </w:rPr>
      </w:pPr>
    </w:p>
    <w:p w14:paraId="12D3B2F8" w14:textId="7B4AA923" w:rsidR="00C37A2D" w:rsidRDefault="00C37A2D" w:rsidP="00D0025F">
      <w:pPr>
        <w:spacing w:line="259" w:lineRule="auto"/>
        <w:jc w:val="both"/>
        <w:rPr>
          <w:color w:val="C00000"/>
          <w:sz w:val="22"/>
          <w:szCs w:val="22"/>
          <w:lang w:eastAsia="en-GB"/>
        </w:rPr>
      </w:pPr>
      <w:r>
        <w:rPr>
          <w:color w:val="C00000"/>
          <w:sz w:val="22"/>
          <w:szCs w:val="22"/>
          <w:lang w:eastAsia="en-GB"/>
        </w:rPr>
        <w:t xml:space="preserve">Similarly, </w:t>
      </w:r>
      <w:r w:rsidR="008C74B0" w:rsidRPr="00525741">
        <w:rPr>
          <w:color w:val="C00000"/>
          <w:sz w:val="22"/>
          <w:szCs w:val="22"/>
          <w:lang w:eastAsia="en-GB"/>
        </w:rPr>
        <w:t>Mexico City (Mexico, 2016), Cape Town (South Africa</w:t>
      </w:r>
      <w:r w:rsidR="003247F6" w:rsidRPr="00525741">
        <w:rPr>
          <w:color w:val="C00000"/>
          <w:sz w:val="22"/>
          <w:szCs w:val="22"/>
          <w:lang w:eastAsia="en-GB"/>
        </w:rPr>
        <w:t>, 2017</w:t>
      </w:r>
      <w:r w:rsidR="008C74B0" w:rsidRPr="00525741">
        <w:rPr>
          <w:color w:val="C00000"/>
          <w:sz w:val="22"/>
          <w:szCs w:val="22"/>
          <w:lang w:eastAsia="en-GB"/>
        </w:rPr>
        <w:t>), San Francisco (</w:t>
      </w:r>
      <w:r w:rsidR="006305BD">
        <w:rPr>
          <w:color w:val="C00000"/>
          <w:sz w:val="22"/>
          <w:szCs w:val="22"/>
          <w:lang w:eastAsia="en-GB"/>
        </w:rPr>
        <w:t xml:space="preserve">The </w:t>
      </w:r>
      <w:r w:rsidR="008C74B0" w:rsidRPr="00525741">
        <w:rPr>
          <w:color w:val="C00000"/>
          <w:sz w:val="22"/>
          <w:szCs w:val="22"/>
          <w:lang w:eastAsia="en-GB"/>
        </w:rPr>
        <w:t>United States of America</w:t>
      </w:r>
      <w:r w:rsidR="003247F6" w:rsidRPr="00525741">
        <w:rPr>
          <w:color w:val="C00000"/>
          <w:sz w:val="22"/>
          <w:szCs w:val="22"/>
          <w:lang w:eastAsia="en-GB"/>
        </w:rPr>
        <w:t>, 2016</w:t>
      </w:r>
      <w:r w:rsidR="008C74B0" w:rsidRPr="00525741">
        <w:rPr>
          <w:color w:val="C00000"/>
          <w:sz w:val="22"/>
          <w:szCs w:val="22"/>
          <w:lang w:eastAsia="en-GB"/>
        </w:rPr>
        <w:t>), and Ghaziabad (India</w:t>
      </w:r>
      <w:r w:rsidR="003247F6" w:rsidRPr="00525741">
        <w:rPr>
          <w:color w:val="C00000"/>
          <w:sz w:val="22"/>
          <w:szCs w:val="22"/>
          <w:lang w:eastAsia="en-GB"/>
        </w:rPr>
        <w:t>, 2021</w:t>
      </w:r>
      <w:r w:rsidR="008C74B0" w:rsidRPr="00525741">
        <w:rPr>
          <w:color w:val="C00000"/>
          <w:sz w:val="22"/>
          <w:szCs w:val="22"/>
          <w:lang w:eastAsia="en-GB"/>
        </w:rPr>
        <w:t>)</w:t>
      </w:r>
      <w:r w:rsidR="00DB6416">
        <w:rPr>
          <w:color w:val="C00000"/>
          <w:sz w:val="22"/>
          <w:szCs w:val="22"/>
          <w:lang w:eastAsia="en-GB"/>
        </w:rPr>
        <w:t xml:space="preserve"> recently </w:t>
      </w:r>
      <w:r>
        <w:rPr>
          <w:color w:val="C00000"/>
          <w:sz w:val="22"/>
          <w:szCs w:val="22"/>
          <w:lang w:eastAsia="en-GB"/>
        </w:rPr>
        <w:t xml:space="preserve">used this new financial instrument </w:t>
      </w:r>
      <w:r w:rsidR="00DB6416">
        <w:rPr>
          <w:color w:val="C00000"/>
          <w:sz w:val="22"/>
          <w:szCs w:val="22"/>
          <w:lang w:eastAsia="en-GB"/>
        </w:rPr>
        <w:t>to raise capital and finance WASH infrastructures</w:t>
      </w:r>
      <w:r w:rsidR="008C74B0" w:rsidRPr="00525741">
        <w:rPr>
          <w:color w:val="C00000"/>
          <w:sz w:val="22"/>
          <w:szCs w:val="22"/>
          <w:lang w:eastAsia="en-GB"/>
        </w:rPr>
        <w:t xml:space="preserve">. </w:t>
      </w:r>
    </w:p>
    <w:p w14:paraId="43D13C29" w14:textId="77777777" w:rsidR="00C37A2D" w:rsidRDefault="00C37A2D" w:rsidP="00D0025F">
      <w:pPr>
        <w:spacing w:line="259" w:lineRule="auto"/>
        <w:jc w:val="both"/>
        <w:rPr>
          <w:color w:val="C00000"/>
          <w:sz w:val="22"/>
          <w:szCs w:val="22"/>
          <w:lang w:eastAsia="en-GB"/>
        </w:rPr>
      </w:pPr>
    </w:p>
    <w:p w14:paraId="6DD0EEB1" w14:textId="252A44BF" w:rsidR="00DB6416" w:rsidRDefault="00C37A2D" w:rsidP="00C37A2D">
      <w:pPr>
        <w:spacing w:line="259" w:lineRule="auto"/>
        <w:jc w:val="both"/>
        <w:rPr>
          <w:color w:val="C00000"/>
          <w:sz w:val="22"/>
          <w:szCs w:val="22"/>
          <w:lang w:eastAsia="en-GB"/>
        </w:rPr>
      </w:pPr>
      <w:r>
        <w:rPr>
          <w:color w:val="C00000"/>
          <w:sz w:val="22"/>
          <w:szCs w:val="22"/>
          <w:lang w:eastAsia="en-GB"/>
        </w:rPr>
        <w:t>My research and the research conducted by the ‘Green Bonds from the South’ research collective</w:t>
      </w:r>
      <w:r w:rsidR="006631B8">
        <w:rPr>
          <w:rStyle w:val="FootnoteReference"/>
          <w:color w:val="C00000"/>
          <w:sz w:val="22"/>
          <w:szCs w:val="22"/>
          <w:lang w:eastAsia="en-GB"/>
        </w:rPr>
        <w:footnoteReference w:id="4"/>
      </w:r>
      <w:r>
        <w:rPr>
          <w:color w:val="C00000"/>
          <w:sz w:val="22"/>
          <w:szCs w:val="22"/>
          <w:lang w:eastAsia="en-GB"/>
        </w:rPr>
        <w:t xml:space="preserve"> shows that there are several HR-related </w:t>
      </w:r>
      <w:r w:rsidR="00DB6416">
        <w:rPr>
          <w:color w:val="C00000"/>
          <w:sz w:val="22"/>
          <w:szCs w:val="22"/>
          <w:lang w:eastAsia="en-GB"/>
        </w:rPr>
        <w:t xml:space="preserve">problems </w:t>
      </w:r>
      <w:r>
        <w:rPr>
          <w:color w:val="C00000"/>
          <w:sz w:val="22"/>
          <w:szCs w:val="22"/>
          <w:lang w:eastAsia="en-GB"/>
        </w:rPr>
        <w:t xml:space="preserve">that </w:t>
      </w:r>
      <w:r w:rsidR="00F56F55">
        <w:rPr>
          <w:color w:val="C00000"/>
          <w:sz w:val="22"/>
          <w:szCs w:val="22"/>
          <w:lang w:eastAsia="en-GB"/>
        </w:rPr>
        <w:t>arise</w:t>
      </w:r>
      <w:r w:rsidR="00DB6416">
        <w:rPr>
          <w:color w:val="C00000"/>
          <w:sz w:val="22"/>
          <w:szCs w:val="22"/>
          <w:lang w:eastAsia="en-GB"/>
        </w:rPr>
        <w:t xml:space="preserve"> with </w:t>
      </w:r>
      <w:r>
        <w:rPr>
          <w:color w:val="C00000"/>
          <w:sz w:val="22"/>
          <w:szCs w:val="22"/>
          <w:lang w:eastAsia="en-GB"/>
        </w:rPr>
        <w:t>the use of green city bonds</w:t>
      </w:r>
      <w:r w:rsidR="00DB6416">
        <w:rPr>
          <w:color w:val="C00000"/>
          <w:sz w:val="22"/>
          <w:szCs w:val="22"/>
          <w:lang w:eastAsia="en-GB"/>
        </w:rPr>
        <w:t xml:space="preserve">: </w:t>
      </w:r>
    </w:p>
    <w:p w14:paraId="24D91953" w14:textId="275757EA" w:rsidR="00DB6416" w:rsidRDefault="00DB6416" w:rsidP="00D0025F">
      <w:pPr>
        <w:pStyle w:val="ListParagraph"/>
        <w:numPr>
          <w:ilvl w:val="0"/>
          <w:numId w:val="2"/>
        </w:numPr>
        <w:spacing w:line="259" w:lineRule="auto"/>
        <w:jc w:val="both"/>
        <w:rPr>
          <w:color w:val="C00000"/>
          <w:sz w:val="22"/>
          <w:szCs w:val="22"/>
          <w:lang w:eastAsia="en-GB"/>
        </w:rPr>
      </w:pPr>
      <w:r>
        <w:rPr>
          <w:color w:val="C00000"/>
          <w:sz w:val="22"/>
          <w:szCs w:val="22"/>
          <w:lang w:eastAsia="en-GB"/>
        </w:rPr>
        <w:t>The increase in public external debt (Euro or dollar</w:t>
      </w:r>
      <w:r w:rsidR="006305BD">
        <w:rPr>
          <w:color w:val="C00000"/>
          <w:sz w:val="22"/>
          <w:szCs w:val="22"/>
          <w:lang w:eastAsia="en-GB"/>
        </w:rPr>
        <w:t>-</w:t>
      </w:r>
      <w:r>
        <w:rPr>
          <w:color w:val="C00000"/>
          <w:sz w:val="22"/>
          <w:szCs w:val="22"/>
          <w:lang w:eastAsia="en-GB"/>
        </w:rPr>
        <w:t>denominated) to finance essential infrastructures</w:t>
      </w:r>
      <w:r w:rsidR="00A41FAE">
        <w:rPr>
          <w:rStyle w:val="FootnoteReference"/>
          <w:color w:val="C00000"/>
          <w:sz w:val="22"/>
          <w:szCs w:val="22"/>
          <w:lang w:eastAsia="en-GB"/>
        </w:rPr>
        <w:footnoteReference w:id="5"/>
      </w:r>
    </w:p>
    <w:p w14:paraId="0EBAE3A0" w14:textId="58C267EC" w:rsidR="00DB6416" w:rsidRDefault="00DB6416" w:rsidP="00D0025F">
      <w:pPr>
        <w:pStyle w:val="ListParagraph"/>
        <w:numPr>
          <w:ilvl w:val="0"/>
          <w:numId w:val="2"/>
        </w:numPr>
        <w:spacing w:line="259" w:lineRule="auto"/>
        <w:jc w:val="both"/>
        <w:rPr>
          <w:color w:val="C00000"/>
          <w:sz w:val="22"/>
          <w:szCs w:val="22"/>
          <w:lang w:eastAsia="en-GB"/>
        </w:rPr>
      </w:pPr>
      <w:r>
        <w:rPr>
          <w:color w:val="C00000"/>
          <w:sz w:val="22"/>
          <w:szCs w:val="22"/>
          <w:lang w:eastAsia="en-GB"/>
        </w:rPr>
        <w:t>The interference of international capital in the definition of WASH policies by cities</w:t>
      </w:r>
      <w:r w:rsidR="003B79D0">
        <w:rPr>
          <w:rStyle w:val="FootnoteReference"/>
          <w:color w:val="C00000"/>
          <w:sz w:val="22"/>
          <w:szCs w:val="22"/>
          <w:lang w:eastAsia="en-GB"/>
        </w:rPr>
        <w:footnoteReference w:id="6"/>
      </w:r>
    </w:p>
    <w:p w14:paraId="2AC4388F" w14:textId="57D6421B" w:rsidR="00DB6416" w:rsidRDefault="00DB6416" w:rsidP="00D0025F">
      <w:pPr>
        <w:pStyle w:val="ListParagraph"/>
        <w:numPr>
          <w:ilvl w:val="0"/>
          <w:numId w:val="2"/>
        </w:numPr>
        <w:spacing w:line="259" w:lineRule="auto"/>
        <w:jc w:val="both"/>
        <w:rPr>
          <w:color w:val="C00000"/>
          <w:sz w:val="22"/>
          <w:szCs w:val="22"/>
          <w:lang w:eastAsia="en-GB"/>
        </w:rPr>
      </w:pPr>
      <w:r>
        <w:rPr>
          <w:color w:val="C00000"/>
          <w:sz w:val="22"/>
          <w:szCs w:val="22"/>
          <w:lang w:eastAsia="en-GB"/>
        </w:rPr>
        <w:t xml:space="preserve">The </w:t>
      </w:r>
      <w:r w:rsidR="00447B14">
        <w:rPr>
          <w:color w:val="C00000"/>
          <w:sz w:val="22"/>
          <w:szCs w:val="22"/>
          <w:lang w:eastAsia="en-GB"/>
        </w:rPr>
        <w:t xml:space="preserve">possibility of </w:t>
      </w:r>
      <w:r>
        <w:rPr>
          <w:color w:val="C00000"/>
          <w:sz w:val="22"/>
          <w:szCs w:val="22"/>
          <w:lang w:eastAsia="en-GB"/>
        </w:rPr>
        <w:t>tiding the service provision to the repayment of the loan</w:t>
      </w:r>
    </w:p>
    <w:p w14:paraId="5443F387" w14:textId="36843AAD" w:rsidR="00DB6416" w:rsidRDefault="00DB6416" w:rsidP="00D0025F">
      <w:pPr>
        <w:pStyle w:val="ListParagraph"/>
        <w:numPr>
          <w:ilvl w:val="0"/>
          <w:numId w:val="2"/>
        </w:numPr>
        <w:spacing w:line="259" w:lineRule="auto"/>
        <w:jc w:val="both"/>
        <w:rPr>
          <w:color w:val="C00000"/>
          <w:sz w:val="22"/>
          <w:szCs w:val="22"/>
          <w:lang w:eastAsia="en-GB"/>
        </w:rPr>
      </w:pPr>
      <w:r>
        <w:rPr>
          <w:color w:val="C00000"/>
          <w:sz w:val="22"/>
          <w:szCs w:val="22"/>
          <w:lang w:eastAsia="en-GB"/>
        </w:rPr>
        <w:t>The intensification of power imbalance between public and private actors involved in the</w:t>
      </w:r>
      <w:r w:rsidR="00447B14">
        <w:rPr>
          <w:color w:val="C00000"/>
          <w:sz w:val="22"/>
          <w:szCs w:val="22"/>
          <w:lang w:eastAsia="en-GB"/>
        </w:rPr>
        <w:t xml:space="preserve"> green</w:t>
      </w:r>
      <w:r>
        <w:rPr>
          <w:color w:val="C00000"/>
          <w:sz w:val="22"/>
          <w:szCs w:val="22"/>
          <w:lang w:eastAsia="en-GB"/>
        </w:rPr>
        <w:t xml:space="preserve"> bond</w:t>
      </w:r>
    </w:p>
    <w:p w14:paraId="3B567B5F" w14:textId="6FE2BA26" w:rsidR="00DB6416" w:rsidRDefault="00DB6416" w:rsidP="00D0025F">
      <w:pPr>
        <w:pStyle w:val="ListParagraph"/>
        <w:numPr>
          <w:ilvl w:val="0"/>
          <w:numId w:val="2"/>
        </w:numPr>
        <w:spacing w:line="259" w:lineRule="auto"/>
        <w:jc w:val="both"/>
        <w:rPr>
          <w:color w:val="C00000"/>
          <w:sz w:val="22"/>
          <w:szCs w:val="22"/>
          <w:lang w:eastAsia="en-GB"/>
        </w:rPr>
      </w:pPr>
      <w:r>
        <w:rPr>
          <w:color w:val="C00000"/>
          <w:sz w:val="22"/>
          <w:szCs w:val="22"/>
          <w:lang w:eastAsia="en-GB"/>
        </w:rPr>
        <w:t>Greenwashing given the private nature of the system of governance and control</w:t>
      </w:r>
      <w:r w:rsidR="003B79D0">
        <w:rPr>
          <w:rStyle w:val="FootnoteReference"/>
          <w:color w:val="C00000"/>
          <w:sz w:val="22"/>
          <w:szCs w:val="22"/>
          <w:lang w:eastAsia="en-GB"/>
        </w:rPr>
        <w:footnoteReference w:id="7"/>
      </w:r>
    </w:p>
    <w:p w14:paraId="523CADC4" w14:textId="6BD8BD65" w:rsidR="00DB6416" w:rsidRDefault="00DB6416" w:rsidP="00D0025F">
      <w:pPr>
        <w:pStyle w:val="ListParagraph"/>
        <w:numPr>
          <w:ilvl w:val="0"/>
          <w:numId w:val="2"/>
        </w:numPr>
        <w:spacing w:line="259" w:lineRule="auto"/>
        <w:jc w:val="both"/>
        <w:rPr>
          <w:color w:val="C00000"/>
          <w:sz w:val="22"/>
          <w:szCs w:val="22"/>
          <w:lang w:eastAsia="en-GB"/>
        </w:rPr>
      </w:pPr>
      <w:r>
        <w:rPr>
          <w:color w:val="C00000"/>
          <w:sz w:val="22"/>
          <w:szCs w:val="22"/>
          <w:lang w:eastAsia="en-GB"/>
        </w:rPr>
        <w:t>The possibility of green default</w:t>
      </w:r>
    </w:p>
    <w:p w14:paraId="0230D6DD" w14:textId="77777777" w:rsidR="00DB6416" w:rsidRDefault="00DB6416" w:rsidP="00D0025F">
      <w:pPr>
        <w:spacing w:line="259" w:lineRule="auto"/>
        <w:jc w:val="both"/>
        <w:rPr>
          <w:color w:val="C00000"/>
          <w:sz w:val="22"/>
          <w:szCs w:val="22"/>
          <w:lang w:eastAsia="en-GB"/>
        </w:rPr>
      </w:pPr>
    </w:p>
    <w:p w14:paraId="043926FD" w14:textId="17359BBA" w:rsidR="001A53CF" w:rsidRPr="00F56F55" w:rsidRDefault="00DB6416" w:rsidP="00D0025F">
      <w:pPr>
        <w:spacing w:line="259" w:lineRule="auto"/>
        <w:jc w:val="both"/>
        <w:rPr>
          <w:color w:val="C00000"/>
          <w:sz w:val="22"/>
          <w:szCs w:val="22"/>
          <w:lang w:eastAsia="en-GB"/>
        </w:rPr>
      </w:pPr>
      <w:r>
        <w:rPr>
          <w:color w:val="C00000"/>
          <w:sz w:val="22"/>
          <w:szCs w:val="22"/>
          <w:lang w:eastAsia="en-GB"/>
        </w:rPr>
        <w:t xml:space="preserve">For more information, here below </w:t>
      </w:r>
      <w:r w:rsidR="003247F6" w:rsidRPr="00F56F55">
        <w:rPr>
          <w:color w:val="C00000"/>
          <w:sz w:val="22"/>
          <w:szCs w:val="22"/>
          <w:lang w:eastAsia="en-GB"/>
        </w:rPr>
        <w:t xml:space="preserve">you </w:t>
      </w:r>
      <w:r>
        <w:rPr>
          <w:color w:val="C00000"/>
          <w:sz w:val="22"/>
          <w:szCs w:val="22"/>
          <w:lang w:eastAsia="en-GB"/>
        </w:rPr>
        <w:t xml:space="preserve">can </w:t>
      </w:r>
      <w:r w:rsidR="003247F6" w:rsidRPr="00F56F55">
        <w:rPr>
          <w:color w:val="C00000"/>
          <w:sz w:val="22"/>
          <w:szCs w:val="22"/>
          <w:lang w:eastAsia="en-GB"/>
        </w:rPr>
        <w:t>find</w:t>
      </w:r>
      <w:r w:rsidR="008C74B0" w:rsidRPr="00F56F55">
        <w:rPr>
          <w:color w:val="C00000"/>
          <w:sz w:val="22"/>
          <w:szCs w:val="22"/>
          <w:lang w:eastAsia="en-GB"/>
        </w:rPr>
        <w:t xml:space="preserve"> the definition of </w:t>
      </w:r>
      <w:r w:rsidR="00447B14">
        <w:rPr>
          <w:color w:val="C00000"/>
          <w:sz w:val="22"/>
          <w:szCs w:val="22"/>
          <w:lang w:eastAsia="en-GB"/>
        </w:rPr>
        <w:t>g</w:t>
      </w:r>
      <w:r w:rsidR="008C74B0" w:rsidRPr="00F56F55">
        <w:rPr>
          <w:color w:val="C00000"/>
          <w:sz w:val="22"/>
          <w:szCs w:val="22"/>
          <w:lang w:eastAsia="en-GB"/>
        </w:rPr>
        <w:t xml:space="preserve">reen </w:t>
      </w:r>
      <w:r w:rsidR="00447B14">
        <w:rPr>
          <w:color w:val="C00000"/>
          <w:sz w:val="22"/>
          <w:szCs w:val="22"/>
          <w:lang w:eastAsia="en-GB"/>
        </w:rPr>
        <w:t>c</w:t>
      </w:r>
      <w:r w:rsidR="008C74B0" w:rsidRPr="00F56F55">
        <w:rPr>
          <w:color w:val="C00000"/>
          <w:sz w:val="22"/>
          <w:szCs w:val="22"/>
          <w:lang w:eastAsia="en-GB"/>
        </w:rPr>
        <w:t xml:space="preserve">ity </w:t>
      </w:r>
      <w:r w:rsidR="00447B14">
        <w:rPr>
          <w:color w:val="C00000"/>
          <w:sz w:val="22"/>
          <w:szCs w:val="22"/>
          <w:lang w:eastAsia="en-GB"/>
        </w:rPr>
        <w:t>b</w:t>
      </w:r>
      <w:r w:rsidR="008C74B0" w:rsidRPr="00F56F55">
        <w:rPr>
          <w:color w:val="C00000"/>
          <w:sz w:val="22"/>
          <w:szCs w:val="22"/>
          <w:lang w:eastAsia="en-GB"/>
        </w:rPr>
        <w:t>onds and following</w:t>
      </w:r>
      <w:r w:rsidR="003247F6" w:rsidRPr="00F56F55">
        <w:rPr>
          <w:color w:val="C00000"/>
          <w:sz w:val="22"/>
          <w:szCs w:val="22"/>
          <w:lang w:eastAsia="en-GB"/>
        </w:rPr>
        <w:t xml:space="preserve">, </w:t>
      </w:r>
      <w:r w:rsidR="00661631" w:rsidRPr="00F56F55">
        <w:rPr>
          <w:color w:val="C00000"/>
          <w:sz w:val="22"/>
          <w:szCs w:val="22"/>
          <w:lang w:eastAsia="en-GB"/>
        </w:rPr>
        <w:t>the</w:t>
      </w:r>
      <w:r w:rsidR="008C74B0" w:rsidRPr="00F56F55">
        <w:rPr>
          <w:color w:val="C00000"/>
          <w:sz w:val="22"/>
          <w:szCs w:val="22"/>
          <w:lang w:eastAsia="en-GB"/>
        </w:rPr>
        <w:t xml:space="preserve"> list of </w:t>
      </w:r>
      <w:r w:rsidR="00447B14">
        <w:rPr>
          <w:color w:val="C00000"/>
          <w:sz w:val="22"/>
          <w:szCs w:val="22"/>
          <w:lang w:eastAsia="en-GB"/>
        </w:rPr>
        <w:t>g</w:t>
      </w:r>
      <w:r w:rsidR="008C74B0" w:rsidRPr="00F56F55">
        <w:rPr>
          <w:color w:val="C00000"/>
          <w:sz w:val="22"/>
          <w:szCs w:val="22"/>
          <w:lang w:eastAsia="en-GB"/>
        </w:rPr>
        <w:t xml:space="preserve">reen </w:t>
      </w:r>
      <w:r w:rsidR="00447B14">
        <w:rPr>
          <w:color w:val="C00000"/>
          <w:sz w:val="22"/>
          <w:szCs w:val="22"/>
          <w:lang w:eastAsia="en-GB"/>
        </w:rPr>
        <w:t>c</w:t>
      </w:r>
      <w:r w:rsidR="008C74B0" w:rsidRPr="00F56F55">
        <w:rPr>
          <w:color w:val="C00000"/>
          <w:sz w:val="22"/>
          <w:szCs w:val="22"/>
          <w:lang w:eastAsia="en-GB"/>
        </w:rPr>
        <w:t xml:space="preserve">ity </w:t>
      </w:r>
      <w:r w:rsidR="00447B14">
        <w:rPr>
          <w:color w:val="C00000"/>
          <w:sz w:val="22"/>
          <w:szCs w:val="22"/>
          <w:lang w:eastAsia="en-GB"/>
        </w:rPr>
        <w:t>b</w:t>
      </w:r>
      <w:r w:rsidR="008C74B0" w:rsidRPr="00F56F55">
        <w:rPr>
          <w:color w:val="C00000"/>
          <w:sz w:val="22"/>
          <w:szCs w:val="22"/>
          <w:lang w:eastAsia="en-GB"/>
        </w:rPr>
        <w:t xml:space="preserve">onds of </w:t>
      </w:r>
      <w:r w:rsidR="00447B14">
        <w:rPr>
          <w:color w:val="C00000"/>
          <w:sz w:val="22"/>
          <w:szCs w:val="22"/>
          <w:lang w:eastAsia="en-GB"/>
        </w:rPr>
        <w:t>w</w:t>
      </w:r>
      <w:r w:rsidR="008C74B0" w:rsidRPr="00F56F55">
        <w:rPr>
          <w:color w:val="C00000"/>
          <w:sz w:val="22"/>
          <w:szCs w:val="22"/>
          <w:lang w:eastAsia="en-GB"/>
        </w:rPr>
        <w:t xml:space="preserve">ater </w:t>
      </w:r>
      <w:r w:rsidR="00447B14">
        <w:rPr>
          <w:color w:val="C00000"/>
          <w:sz w:val="22"/>
          <w:szCs w:val="22"/>
          <w:lang w:eastAsia="en-GB"/>
        </w:rPr>
        <w:t>i</w:t>
      </w:r>
      <w:r w:rsidR="008C74B0" w:rsidRPr="00F56F55">
        <w:rPr>
          <w:color w:val="C00000"/>
          <w:sz w:val="22"/>
          <w:szCs w:val="22"/>
          <w:lang w:eastAsia="en-GB"/>
        </w:rPr>
        <w:t xml:space="preserve">nfrastructure. </w:t>
      </w:r>
    </w:p>
    <w:p w14:paraId="4DDB9C4D" w14:textId="77777777" w:rsidR="008C74B0" w:rsidRPr="00525741" w:rsidRDefault="008C74B0" w:rsidP="00D0025F">
      <w:pPr>
        <w:spacing w:line="259" w:lineRule="auto"/>
        <w:jc w:val="both"/>
        <w:rPr>
          <w:color w:val="C00000"/>
          <w:sz w:val="22"/>
          <w:szCs w:val="22"/>
          <w:lang w:eastAsia="en-GB"/>
        </w:rPr>
      </w:pPr>
    </w:p>
    <w:p w14:paraId="605572E7" w14:textId="6DC2B8F0" w:rsidR="001A53CF" w:rsidRPr="00525741" w:rsidRDefault="001A53CF" w:rsidP="00D0025F">
      <w:pPr>
        <w:pStyle w:val="Heading2"/>
        <w:ind w:left="0"/>
        <w:jc w:val="both"/>
        <w:rPr>
          <w:b w:val="0"/>
          <w:bCs/>
          <w:color w:val="C00000"/>
          <w:sz w:val="22"/>
          <w:szCs w:val="22"/>
          <w:lang w:val="en-US"/>
        </w:rPr>
      </w:pPr>
      <w:r w:rsidRPr="00525741">
        <w:rPr>
          <w:b w:val="0"/>
          <w:bCs/>
          <w:color w:val="C00000"/>
          <w:sz w:val="22"/>
          <w:szCs w:val="22"/>
        </w:rPr>
        <w:t xml:space="preserve">Green </w:t>
      </w:r>
      <w:r w:rsidR="00447B14">
        <w:rPr>
          <w:b w:val="0"/>
          <w:bCs/>
          <w:color w:val="C00000"/>
          <w:sz w:val="22"/>
          <w:szCs w:val="22"/>
        </w:rPr>
        <w:t>b</w:t>
      </w:r>
      <w:r w:rsidRPr="00525741">
        <w:rPr>
          <w:b w:val="0"/>
          <w:bCs/>
          <w:color w:val="C00000"/>
          <w:sz w:val="22"/>
          <w:szCs w:val="22"/>
        </w:rPr>
        <w:t>onds are “</w:t>
      </w:r>
      <w:r w:rsidRPr="00525741">
        <w:rPr>
          <w:b w:val="0"/>
          <w:bCs/>
          <w:i/>
          <w:iCs/>
          <w:color w:val="C00000"/>
          <w:sz w:val="22"/>
          <w:szCs w:val="22"/>
        </w:rPr>
        <w:t>fixed-income securities, both taxable and tax-exempt, that raise capital for use in projects or activities with specific climate or environmental sustainability purposes</w:t>
      </w:r>
      <w:r w:rsidRPr="00525741">
        <w:rPr>
          <w:b w:val="0"/>
          <w:bCs/>
          <w:color w:val="C00000"/>
          <w:sz w:val="22"/>
          <w:szCs w:val="22"/>
        </w:rPr>
        <w:t>”</w:t>
      </w:r>
      <w:r w:rsidRPr="00525741">
        <w:rPr>
          <w:rStyle w:val="FootnoteReference"/>
          <w:b w:val="0"/>
          <w:bCs/>
          <w:color w:val="C00000"/>
          <w:sz w:val="22"/>
          <w:szCs w:val="22"/>
        </w:rPr>
        <w:footnoteReference w:id="8"/>
      </w:r>
      <w:r w:rsidRPr="00525741">
        <w:rPr>
          <w:b w:val="0"/>
          <w:bCs/>
          <w:color w:val="C00000"/>
          <w:sz w:val="22"/>
          <w:szCs w:val="22"/>
        </w:rPr>
        <w:t xml:space="preserve">.  </w:t>
      </w:r>
      <w:r w:rsidRPr="00525741">
        <w:rPr>
          <w:b w:val="0"/>
          <w:bCs/>
          <w:color w:val="C00000"/>
          <w:sz w:val="22"/>
          <w:szCs w:val="22"/>
          <w:lang w:val="en-US"/>
        </w:rPr>
        <w:t xml:space="preserve">Green </w:t>
      </w:r>
      <w:r w:rsidR="00447B14">
        <w:rPr>
          <w:b w:val="0"/>
          <w:bCs/>
          <w:color w:val="C00000"/>
          <w:sz w:val="22"/>
          <w:szCs w:val="22"/>
          <w:lang w:val="en-US"/>
        </w:rPr>
        <w:t>c</w:t>
      </w:r>
      <w:r w:rsidRPr="00525741">
        <w:rPr>
          <w:b w:val="0"/>
          <w:bCs/>
          <w:color w:val="C00000"/>
          <w:sz w:val="22"/>
          <w:szCs w:val="22"/>
          <w:lang w:val="en-US"/>
        </w:rPr>
        <w:t xml:space="preserve">ity </w:t>
      </w:r>
      <w:r w:rsidR="00447B14">
        <w:rPr>
          <w:b w:val="0"/>
          <w:bCs/>
          <w:color w:val="C00000"/>
          <w:sz w:val="22"/>
          <w:szCs w:val="22"/>
          <w:lang w:val="en-US"/>
        </w:rPr>
        <w:t>b</w:t>
      </w:r>
      <w:r w:rsidRPr="00525741">
        <w:rPr>
          <w:b w:val="0"/>
          <w:bCs/>
          <w:color w:val="C00000"/>
          <w:sz w:val="22"/>
          <w:szCs w:val="22"/>
          <w:lang w:val="en-US"/>
        </w:rPr>
        <w:t xml:space="preserve">onds are </w:t>
      </w:r>
      <w:r w:rsidR="00447B14">
        <w:rPr>
          <w:b w:val="0"/>
          <w:bCs/>
          <w:color w:val="C00000"/>
          <w:sz w:val="22"/>
          <w:szCs w:val="22"/>
          <w:lang w:val="en-US"/>
        </w:rPr>
        <w:t>g</w:t>
      </w:r>
      <w:r w:rsidRPr="00525741">
        <w:rPr>
          <w:b w:val="0"/>
          <w:bCs/>
          <w:color w:val="C00000"/>
          <w:sz w:val="22"/>
          <w:szCs w:val="22"/>
          <w:lang w:val="en-US"/>
        </w:rPr>
        <w:t xml:space="preserve">reen </w:t>
      </w:r>
      <w:r w:rsidR="00447B14">
        <w:rPr>
          <w:b w:val="0"/>
          <w:bCs/>
          <w:color w:val="C00000"/>
          <w:sz w:val="22"/>
          <w:szCs w:val="22"/>
          <w:lang w:val="en-US"/>
        </w:rPr>
        <w:t>b</w:t>
      </w:r>
      <w:r w:rsidRPr="00525741">
        <w:rPr>
          <w:b w:val="0"/>
          <w:bCs/>
          <w:color w:val="C00000"/>
          <w:sz w:val="22"/>
          <w:szCs w:val="22"/>
          <w:lang w:val="en-US"/>
        </w:rPr>
        <w:t xml:space="preserve">onds issued by municipal governments or companies owned totally or partially by municipal governments. </w:t>
      </w:r>
    </w:p>
    <w:p w14:paraId="4925F04B" w14:textId="77777777" w:rsidR="001A53CF" w:rsidRPr="00525741" w:rsidRDefault="001A53CF" w:rsidP="00D0025F">
      <w:pPr>
        <w:jc w:val="both"/>
        <w:rPr>
          <w:sz w:val="22"/>
          <w:szCs w:val="22"/>
          <w:lang w:val="en-US"/>
        </w:rPr>
      </w:pPr>
    </w:p>
    <w:p w14:paraId="4F80480F" w14:textId="623DAEA5" w:rsidR="001A53CF" w:rsidRPr="00525741" w:rsidRDefault="001A53CF" w:rsidP="00D0025F">
      <w:pPr>
        <w:pStyle w:val="Heading2"/>
        <w:ind w:left="720"/>
        <w:jc w:val="both"/>
        <w:rPr>
          <w:b w:val="0"/>
          <w:bCs/>
          <w:color w:val="C00000"/>
          <w:sz w:val="22"/>
          <w:szCs w:val="22"/>
          <w:lang w:val="en-US"/>
        </w:rPr>
      </w:pPr>
      <w:r w:rsidRPr="00525741">
        <w:rPr>
          <w:b w:val="0"/>
          <w:bCs/>
          <w:color w:val="C00000"/>
          <w:sz w:val="22"/>
          <w:szCs w:val="22"/>
        </w:rPr>
        <w:t>Eligible Green Projects may consist of “</w:t>
      </w:r>
      <w:r w:rsidRPr="00525741">
        <w:rPr>
          <w:b w:val="0"/>
          <w:bCs/>
          <w:i/>
          <w:iCs/>
          <w:color w:val="C00000"/>
          <w:sz w:val="22"/>
          <w:szCs w:val="22"/>
        </w:rPr>
        <w:t>pollution prevention and control (including waste water treatment (…))</w:t>
      </w:r>
      <w:r w:rsidRPr="00525741">
        <w:rPr>
          <w:b w:val="0"/>
          <w:bCs/>
          <w:i/>
          <w:iCs/>
          <w:color w:val="C00000"/>
          <w:sz w:val="22"/>
          <w:szCs w:val="22"/>
          <w:lang w:val="en-US"/>
        </w:rPr>
        <w:t>; sustainable management of living natural resources (including sustainable agriculture, fishery, aquaculture, forestry and climate smart farm inputs such as biological crop protection or drip-irrigation); terrestrial and aquatic biodiversity conservation, (including the protection of coastal, marine and watershed environments); (…) sustainable water management (including sustainable infrastructure for clean and/or drinking water, sustainable urban drainage systems and river training and other forms of flooding mitigation)</w:t>
      </w:r>
      <w:r w:rsidRPr="00525741">
        <w:rPr>
          <w:b w:val="0"/>
          <w:bCs/>
          <w:color w:val="C00000"/>
          <w:sz w:val="22"/>
          <w:szCs w:val="22"/>
          <w:lang w:val="en-US"/>
        </w:rPr>
        <w:t>”</w:t>
      </w:r>
      <w:r w:rsidRPr="00525741">
        <w:rPr>
          <w:rStyle w:val="FootnoteReference"/>
          <w:b w:val="0"/>
          <w:bCs/>
          <w:color w:val="C00000"/>
          <w:sz w:val="22"/>
          <w:szCs w:val="22"/>
          <w:lang w:val="en-US"/>
        </w:rPr>
        <w:footnoteReference w:id="9"/>
      </w:r>
      <w:r w:rsidR="00447B14">
        <w:rPr>
          <w:b w:val="0"/>
          <w:bCs/>
          <w:color w:val="C00000"/>
          <w:sz w:val="22"/>
          <w:szCs w:val="22"/>
          <w:lang w:val="en-US"/>
        </w:rPr>
        <w:t>.</w:t>
      </w:r>
    </w:p>
    <w:p w14:paraId="075946FD" w14:textId="77777777" w:rsidR="001A53CF" w:rsidRPr="00525741" w:rsidRDefault="001A53CF" w:rsidP="00D0025F">
      <w:pPr>
        <w:jc w:val="both"/>
        <w:rPr>
          <w:color w:val="C00000"/>
          <w:sz w:val="22"/>
          <w:szCs w:val="22"/>
          <w:lang w:val="en-US"/>
        </w:rPr>
      </w:pPr>
    </w:p>
    <w:p w14:paraId="28FDD0D6" w14:textId="14B9096B" w:rsidR="00D30408" w:rsidRDefault="00D30408" w:rsidP="00D0025F">
      <w:pPr>
        <w:jc w:val="both"/>
        <w:rPr>
          <w:color w:val="C00000"/>
          <w:sz w:val="22"/>
          <w:szCs w:val="22"/>
          <w:lang w:val="en-US"/>
        </w:rPr>
      </w:pPr>
      <w:r w:rsidRPr="00525741">
        <w:rPr>
          <w:color w:val="C00000"/>
          <w:sz w:val="22"/>
          <w:szCs w:val="22"/>
          <w:lang w:val="en-US"/>
        </w:rPr>
        <w:lastRenderedPageBreak/>
        <w:t xml:space="preserve">In 2013, in the United States of America, the first </w:t>
      </w:r>
      <w:r w:rsidR="00447B14">
        <w:rPr>
          <w:color w:val="C00000"/>
          <w:sz w:val="22"/>
          <w:szCs w:val="22"/>
          <w:lang w:val="en-US"/>
        </w:rPr>
        <w:t>g</w:t>
      </w:r>
      <w:r w:rsidRPr="00525741">
        <w:rPr>
          <w:color w:val="C00000"/>
          <w:sz w:val="22"/>
          <w:szCs w:val="22"/>
          <w:lang w:val="en-US"/>
        </w:rPr>
        <w:t xml:space="preserve">reen </w:t>
      </w:r>
      <w:r w:rsidR="00447B14">
        <w:rPr>
          <w:color w:val="C00000"/>
          <w:sz w:val="22"/>
          <w:szCs w:val="22"/>
          <w:lang w:val="en-US"/>
        </w:rPr>
        <w:t>c</w:t>
      </w:r>
      <w:r w:rsidRPr="00525741">
        <w:rPr>
          <w:color w:val="C00000"/>
          <w:sz w:val="22"/>
          <w:szCs w:val="22"/>
          <w:lang w:val="en-US"/>
        </w:rPr>
        <w:t xml:space="preserve">ity </w:t>
      </w:r>
      <w:r w:rsidR="00447B14">
        <w:rPr>
          <w:color w:val="C00000"/>
          <w:sz w:val="22"/>
          <w:szCs w:val="22"/>
          <w:lang w:val="en-US"/>
        </w:rPr>
        <w:t>b</w:t>
      </w:r>
      <w:r w:rsidRPr="00525741">
        <w:rPr>
          <w:color w:val="C00000"/>
          <w:sz w:val="22"/>
          <w:szCs w:val="22"/>
          <w:lang w:val="en-US"/>
        </w:rPr>
        <w:t xml:space="preserve">ond was issued by the Commonwealth of Massachusetts to fund projects including clean and drinking water infrastructure and river revitalization. In 2014, in the capital city of the United States, the District of Columbia Water and Sewer Authority -DC Water- issued a </w:t>
      </w:r>
      <w:r w:rsidR="00447B14">
        <w:rPr>
          <w:color w:val="C00000"/>
          <w:sz w:val="22"/>
          <w:szCs w:val="22"/>
          <w:lang w:val="en-US"/>
        </w:rPr>
        <w:t>g</w:t>
      </w:r>
      <w:r w:rsidRPr="00525741">
        <w:rPr>
          <w:color w:val="C00000"/>
          <w:sz w:val="22"/>
          <w:szCs w:val="22"/>
          <w:lang w:val="en-US"/>
        </w:rPr>
        <w:t xml:space="preserve">reen </w:t>
      </w:r>
      <w:r w:rsidR="00447B14">
        <w:rPr>
          <w:color w:val="C00000"/>
          <w:sz w:val="22"/>
          <w:szCs w:val="22"/>
          <w:lang w:val="en-US"/>
        </w:rPr>
        <w:t>c</w:t>
      </w:r>
      <w:r w:rsidRPr="00525741">
        <w:rPr>
          <w:color w:val="C00000"/>
          <w:sz w:val="22"/>
          <w:szCs w:val="22"/>
          <w:lang w:val="en-US"/>
        </w:rPr>
        <w:t xml:space="preserve">ity </w:t>
      </w:r>
      <w:r w:rsidR="00447B14">
        <w:rPr>
          <w:color w:val="C00000"/>
          <w:sz w:val="22"/>
          <w:szCs w:val="22"/>
          <w:lang w:val="en-US"/>
        </w:rPr>
        <w:t>b</w:t>
      </w:r>
      <w:r w:rsidRPr="00525741">
        <w:rPr>
          <w:color w:val="C00000"/>
          <w:sz w:val="22"/>
          <w:szCs w:val="22"/>
          <w:lang w:val="en-US"/>
        </w:rPr>
        <w:t>ond to fund the Clean Rivers project</w:t>
      </w:r>
      <w:r w:rsidRPr="00525741">
        <w:rPr>
          <w:rStyle w:val="FootnoteReference"/>
          <w:color w:val="C00000"/>
          <w:sz w:val="22"/>
          <w:szCs w:val="22"/>
          <w:lang w:val="en-US"/>
        </w:rPr>
        <w:footnoteReference w:id="10"/>
      </w:r>
      <w:r w:rsidRPr="00525741">
        <w:rPr>
          <w:color w:val="C00000"/>
          <w:sz w:val="22"/>
          <w:szCs w:val="22"/>
          <w:lang w:val="en-US"/>
        </w:rPr>
        <w:t xml:space="preserve">. In 2016, the Mexico City Government issued the first </w:t>
      </w:r>
      <w:r w:rsidR="00447B14">
        <w:rPr>
          <w:color w:val="C00000"/>
          <w:sz w:val="22"/>
          <w:szCs w:val="22"/>
          <w:lang w:val="en-US"/>
        </w:rPr>
        <w:t>g</w:t>
      </w:r>
      <w:r w:rsidRPr="00525741">
        <w:rPr>
          <w:color w:val="C00000"/>
          <w:sz w:val="22"/>
          <w:szCs w:val="22"/>
          <w:lang w:val="en-US"/>
        </w:rPr>
        <w:t xml:space="preserve">reen </w:t>
      </w:r>
      <w:r w:rsidR="00447B14">
        <w:rPr>
          <w:color w:val="C00000"/>
          <w:sz w:val="22"/>
          <w:szCs w:val="22"/>
          <w:lang w:val="en-US"/>
        </w:rPr>
        <w:t>c</w:t>
      </w:r>
      <w:r w:rsidRPr="00525741">
        <w:rPr>
          <w:color w:val="C00000"/>
          <w:sz w:val="22"/>
          <w:szCs w:val="22"/>
          <w:lang w:val="en-US"/>
        </w:rPr>
        <w:t xml:space="preserve">ity </w:t>
      </w:r>
      <w:r w:rsidR="00447B14">
        <w:rPr>
          <w:color w:val="C00000"/>
          <w:sz w:val="22"/>
          <w:szCs w:val="22"/>
          <w:lang w:val="en-US"/>
        </w:rPr>
        <w:t>b</w:t>
      </w:r>
      <w:r w:rsidRPr="00525741">
        <w:rPr>
          <w:color w:val="C00000"/>
          <w:sz w:val="22"/>
          <w:szCs w:val="22"/>
          <w:lang w:val="en-US"/>
        </w:rPr>
        <w:t>ond in Latin America to fund projects including water infrastructure</w:t>
      </w:r>
      <w:r w:rsidRPr="00525741">
        <w:rPr>
          <w:rStyle w:val="FootnoteReference"/>
          <w:color w:val="C00000"/>
          <w:sz w:val="22"/>
          <w:szCs w:val="22"/>
          <w:lang w:val="en-US"/>
        </w:rPr>
        <w:footnoteReference w:id="11"/>
      </w:r>
      <w:r w:rsidRPr="00525741">
        <w:rPr>
          <w:color w:val="C00000"/>
          <w:sz w:val="22"/>
          <w:szCs w:val="22"/>
          <w:lang w:val="en-US"/>
        </w:rPr>
        <w:t xml:space="preserve">. In 2016, the San Francisco Public Utilities Commission issued a </w:t>
      </w:r>
      <w:r w:rsidR="00347E86">
        <w:rPr>
          <w:color w:val="C00000"/>
          <w:sz w:val="22"/>
          <w:szCs w:val="22"/>
          <w:lang w:val="en-US"/>
        </w:rPr>
        <w:t>g</w:t>
      </w:r>
      <w:r w:rsidRPr="00525741">
        <w:rPr>
          <w:color w:val="C00000"/>
          <w:sz w:val="22"/>
          <w:szCs w:val="22"/>
          <w:lang w:val="en-US"/>
        </w:rPr>
        <w:t xml:space="preserve">reen </w:t>
      </w:r>
      <w:r w:rsidR="00347E86">
        <w:rPr>
          <w:color w:val="C00000"/>
          <w:sz w:val="22"/>
          <w:szCs w:val="22"/>
          <w:lang w:val="en-US"/>
        </w:rPr>
        <w:t>c</w:t>
      </w:r>
      <w:r w:rsidRPr="00525741">
        <w:rPr>
          <w:color w:val="C00000"/>
          <w:sz w:val="22"/>
          <w:szCs w:val="22"/>
          <w:lang w:val="en-US"/>
        </w:rPr>
        <w:t xml:space="preserve">ity </w:t>
      </w:r>
      <w:r w:rsidR="00347E86">
        <w:rPr>
          <w:color w:val="C00000"/>
          <w:sz w:val="22"/>
          <w:szCs w:val="22"/>
          <w:lang w:val="en-US"/>
        </w:rPr>
        <w:t>b</w:t>
      </w:r>
      <w:r w:rsidRPr="00525741">
        <w:rPr>
          <w:color w:val="C00000"/>
          <w:sz w:val="22"/>
          <w:szCs w:val="22"/>
          <w:lang w:val="en-US"/>
        </w:rPr>
        <w:t xml:space="preserve">ond for </w:t>
      </w:r>
      <w:r w:rsidR="00347E86">
        <w:rPr>
          <w:color w:val="C00000"/>
          <w:sz w:val="22"/>
          <w:szCs w:val="22"/>
          <w:lang w:val="en-US"/>
        </w:rPr>
        <w:t>w</w:t>
      </w:r>
      <w:r w:rsidRPr="00525741">
        <w:rPr>
          <w:color w:val="C00000"/>
          <w:sz w:val="22"/>
          <w:szCs w:val="22"/>
          <w:lang w:val="en-US"/>
        </w:rPr>
        <w:t xml:space="preserve">ater </w:t>
      </w:r>
      <w:r w:rsidR="00347E86">
        <w:rPr>
          <w:color w:val="C00000"/>
          <w:sz w:val="22"/>
          <w:szCs w:val="22"/>
          <w:lang w:val="en-US"/>
        </w:rPr>
        <w:t>i</w:t>
      </w:r>
      <w:r w:rsidRPr="00525741">
        <w:rPr>
          <w:color w:val="C00000"/>
          <w:sz w:val="22"/>
          <w:szCs w:val="22"/>
          <w:lang w:val="en-US"/>
        </w:rPr>
        <w:t>nfrastructure</w:t>
      </w:r>
      <w:r w:rsidRPr="00525741">
        <w:rPr>
          <w:rStyle w:val="FootnoteReference"/>
          <w:color w:val="C00000"/>
          <w:sz w:val="22"/>
          <w:szCs w:val="22"/>
          <w:lang w:val="en-US"/>
        </w:rPr>
        <w:footnoteReference w:id="12"/>
      </w:r>
      <w:r w:rsidRPr="00525741">
        <w:rPr>
          <w:color w:val="C00000"/>
          <w:sz w:val="22"/>
          <w:szCs w:val="22"/>
          <w:lang w:val="en-US"/>
        </w:rPr>
        <w:t xml:space="preserve">. In 2017, Cape Town issued a </w:t>
      </w:r>
      <w:r w:rsidR="00347E86">
        <w:rPr>
          <w:color w:val="C00000"/>
          <w:sz w:val="22"/>
          <w:szCs w:val="22"/>
          <w:lang w:val="en-US"/>
        </w:rPr>
        <w:t>g</w:t>
      </w:r>
      <w:r w:rsidRPr="00525741">
        <w:rPr>
          <w:color w:val="C00000"/>
          <w:sz w:val="22"/>
          <w:szCs w:val="22"/>
          <w:lang w:val="en-US"/>
        </w:rPr>
        <w:t xml:space="preserve">reen </w:t>
      </w:r>
      <w:r w:rsidR="00347E86">
        <w:rPr>
          <w:color w:val="C00000"/>
          <w:sz w:val="22"/>
          <w:szCs w:val="22"/>
          <w:lang w:val="en-US"/>
        </w:rPr>
        <w:t>c</w:t>
      </w:r>
      <w:r w:rsidRPr="00525741">
        <w:rPr>
          <w:color w:val="C00000"/>
          <w:sz w:val="22"/>
          <w:szCs w:val="22"/>
          <w:lang w:val="en-US"/>
        </w:rPr>
        <w:t xml:space="preserve">ity </w:t>
      </w:r>
      <w:r w:rsidR="00347E86">
        <w:rPr>
          <w:color w:val="C00000"/>
          <w:sz w:val="22"/>
          <w:szCs w:val="22"/>
          <w:lang w:val="en-US"/>
        </w:rPr>
        <w:t>b</w:t>
      </w:r>
      <w:r w:rsidRPr="00525741">
        <w:rPr>
          <w:color w:val="C00000"/>
          <w:sz w:val="22"/>
          <w:szCs w:val="22"/>
          <w:lang w:val="en-US"/>
        </w:rPr>
        <w:t xml:space="preserve">ond to fund projects including </w:t>
      </w:r>
      <w:r w:rsidRPr="00525741">
        <w:rPr>
          <w:i/>
          <w:iCs/>
          <w:color w:val="C00000"/>
          <w:sz w:val="22"/>
          <w:szCs w:val="22"/>
          <w:lang w:val="en-US"/>
        </w:rPr>
        <w:t>“(…) water management initiatives (which includes water meter installations and replacements, water pressure management, and upgrade of reservoirs), sewerage effluent treatment, rehabilitation and protection of coastal structures</w:t>
      </w:r>
      <w:r w:rsidRPr="00525741">
        <w:rPr>
          <w:color w:val="C00000"/>
          <w:sz w:val="22"/>
          <w:szCs w:val="22"/>
          <w:lang w:val="en-US"/>
        </w:rPr>
        <w:t>”</w:t>
      </w:r>
      <w:r w:rsidRPr="00525741">
        <w:rPr>
          <w:rStyle w:val="FootnoteReference"/>
          <w:color w:val="C00000"/>
          <w:sz w:val="22"/>
          <w:szCs w:val="22"/>
          <w:lang w:val="en-US"/>
        </w:rPr>
        <w:footnoteReference w:id="13"/>
      </w:r>
      <w:r w:rsidRPr="00525741">
        <w:rPr>
          <w:color w:val="C00000"/>
          <w:sz w:val="22"/>
          <w:szCs w:val="22"/>
          <w:lang w:val="en-US"/>
        </w:rPr>
        <w:t xml:space="preserve">. In 2021, in India, Ghaziabad issued a </w:t>
      </w:r>
      <w:r w:rsidR="00347E86">
        <w:rPr>
          <w:color w:val="C00000"/>
          <w:sz w:val="22"/>
          <w:szCs w:val="22"/>
          <w:lang w:val="en-US"/>
        </w:rPr>
        <w:t>g</w:t>
      </w:r>
      <w:r w:rsidRPr="00525741">
        <w:rPr>
          <w:color w:val="C00000"/>
          <w:sz w:val="22"/>
          <w:szCs w:val="22"/>
          <w:lang w:val="en-US"/>
        </w:rPr>
        <w:t xml:space="preserve">reen </w:t>
      </w:r>
      <w:r w:rsidR="00347E86">
        <w:rPr>
          <w:color w:val="C00000"/>
          <w:sz w:val="22"/>
          <w:szCs w:val="22"/>
          <w:lang w:val="en-US"/>
        </w:rPr>
        <w:t>c</w:t>
      </w:r>
      <w:r w:rsidRPr="00525741">
        <w:rPr>
          <w:color w:val="C00000"/>
          <w:sz w:val="22"/>
          <w:szCs w:val="22"/>
          <w:lang w:val="en-US"/>
        </w:rPr>
        <w:t xml:space="preserve">ity </w:t>
      </w:r>
      <w:r w:rsidR="00347E86">
        <w:rPr>
          <w:color w:val="C00000"/>
          <w:sz w:val="22"/>
          <w:szCs w:val="22"/>
          <w:lang w:val="en-US"/>
        </w:rPr>
        <w:t>b</w:t>
      </w:r>
      <w:r w:rsidRPr="00525741">
        <w:rPr>
          <w:color w:val="C00000"/>
          <w:sz w:val="22"/>
          <w:szCs w:val="22"/>
          <w:lang w:val="en-US"/>
        </w:rPr>
        <w:t>ond to fund “</w:t>
      </w:r>
      <w:r w:rsidRPr="00525741">
        <w:rPr>
          <w:i/>
          <w:iCs/>
          <w:color w:val="C00000"/>
          <w:sz w:val="22"/>
          <w:szCs w:val="22"/>
          <w:shd w:val="clear" w:color="auto" w:fill="FFFFFF"/>
        </w:rPr>
        <w:t>tertiary water treatment plant to benefit industries</w:t>
      </w:r>
      <w:r w:rsidRPr="00525741">
        <w:rPr>
          <w:color w:val="C00000"/>
          <w:sz w:val="22"/>
          <w:szCs w:val="22"/>
          <w:lang w:val="en-US"/>
        </w:rPr>
        <w:t>”</w:t>
      </w:r>
      <w:r w:rsidRPr="00525741">
        <w:rPr>
          <w:rStyle w:val="FootnoteReference"/>
          <w:color w:val="C00000"/>
          <w:sz w:val="22"/>
          <w:szCs w:val="22"/>
          <w:lang w:val="en-US"/>
        </w:rPr>
        <w:footnoteReference w:id="14"/>
      </w:r>
      <w:r w:rsidR="00347E86">
        <w:rPr>
          <w:color w:val="C00000"/>
          <w:sz w:val="22"/>
          <w:szCs w:val="22"/>
          <w:lang w:val="en-US"/>
        </w:rPr>
        <w:t>.</w:t>
      </w:r>
    </w:p>
    <w:p w14:paraId="49357C63" w14:textId="77777777" w:rsidR="00D30408" w:rsidRPr="00525741" w:rsidRDefault="00D30408" w:rsidP="00D0025F">
      <w:pPr>
        <w:jc w:val="both"/>
        <w:rPr>
          <w:color w:val="C00000"/>
          <w:sz w:val="22"/>
          <w:szCs w:val="22"/>
          <w:lang w:val="en-US"/>
        </w:rPr>
      </w:pPr>
    </w:p>
    <w:p w14:paraId="30FEE60C" w14:textId="6476505D" w:rsidR="00A0293C" w:rsidRDefault="00AD2946" w:rsidP="00D0025F">
      <w:pPr>
        <w:jc w:val="both"/>
        <w:rPr>
          <w:color w:val="C00000"/>
          <w:sz w:val="22"/>
          <w:szCs w:val="22"/>
          <w:lang w:eastAsia="en-GB"/>
        </w:rPr>
      </w:pPr>
      <w:r w:rsidRPr="00525741">
        <w:rPr>
          <w:color w:val="C00000"/>
          <w:sz w:val="22"/>
          <w:szCs w:val="22"/>
          <w:lang w:eastAsia="en-GB"/>
        </w:rPr>
        <w:t>The issuance of</w:t>
      </w:r>
      <w:r w:rsidR="00883903" w:rsidRPr="00525741">
        <w:rPr>
          <w:color w:val="C00000"/>
          <w:sz w:val="22"/>
          <w:szCs w:val="22"/>
          <w:lang w:eastAsia="en-GB"/>
        </w:rPr>
        <w:t xml:space="preserve"> </w:t>
      </w:r>
      <w:r w:rsidR="00347E86">
        <w:rPr>
          <w:color w:val="C00000"/>
          <w:sz w:val="22"/>
          <w:szCs w:val="22"/>
          <w:lang w:eastAsia="en-GB"/>
        </w:rPr>
        <w:t>g</w:t>
      </w:r>
      <w:r w:rsidR="00883903" w:rsidRPr="00525741">
        <w:rPr>
          <w:color w:val="C00000"/>
          <w:sz w:val="22"/>
          <w:szCs w:val="22"/>
          <w:lang w:eastAsia="en-GB"/>
        </w:rPr>
        <w:t xml:space="preserve">reen </w:t>
      </w:r>
      <w:r w:rsidR="00347E86">
        <w:rPr>
          <w:color w:val="C00000"/>
          <w:sz w:val="22"/>
          <w:szCs w:val="22"/>
          <w:lang w:eastAsia="en-GB"/>
        </w:rPr>
        <w:t>c</w:t>
      </w:r>
      <w:r w:rsidR="00883903" w:rsidRPr="00525741">
        <w:rPr>
          <w:color w:val="C00000"/>
          <w:sz w:val="22"/>
          <w:szCs w:val="22"/>
          <w:lang w:eastAsia="en-GB"/>
        </w:rPr>
        <w:t xml:space="preserve">ity </w:t>
      </w:r>
      <w:r w:rsidR="00347E86">
        <w:rPr>
          <w:color w:val="C00000"/>
          <w:sz w:val="22"/>
          <w:szCs w:val="22"/>
          <w:lang w:eastAsia="en-GB"/>
        </w:rPr>
        <w:t>b</w:t>
      </w:r>
      <w:r w:rsidR="00883903" w:rsidRPr="00525741">
        <w:rPr>
          <w:color w:val="C00000"/>
          <w:sz w:val="22"/>
          <w:szCs w:val="22"/>
          <w:lang w:eastAsia="en-GB"/>
        </w:rPr>
        <w:t xml:space="preserve">onds </w:t>
      </w:r>
      <w:r w:rsidRPr="00525741">
        <w:rPr>
          <w:color w:val="C00000"/>
          <w:sz w:val="22"/>
          <w:szCs w:val="22"/>
          <w:lang w:eastAsia="en-GB"/>
        </w:rPr>
        <w:t xml:space="preserve">to fund </w:t>
      </w:r>
      <w:r w:rsidR="00347E86">
        <w:rPr>
          <w:color w:val="C00000"/>
          <w:sz w:val="22"/>
          <w:szCs w:val="22"/>
          <w:lang w:eastAsia="en-GB"/>
        </w:rPr>
        <w:t>w</w:t>
      </w:r>
      <w:r w:rsidR="00883903" w:rsidRPr="00525741">
        <w:rPr>
          <w:color w:val="C00000"/>
          <w:sz w:val="22"/>
          <w:szCs w:val="22"/>
          <w:lang w:eastAsia="en-GB"/>
        </w:rPr>
        <w:t xml:space="preserve">ater </w:t>
      </w:r>
      <w:r w:rsidR="00347E86">
        <w:rPr>
          <w:color w:val="C00000"/>
          <w:sz w:val="22"/>
          <w:szCs w:val="22"/>
          <w:lang w:eastAsia="en-GB"/>
        </w:rPr>
        <w:t>i</w:t>
      </w:r>
      <w:r w:rsidR="00883903" w:rsidRPr="00525741">
        <w:rPr>
          <w:color w:val="C00000"/>
          <w:sz w:val="22"/>
          <w:szCs w:val="22"/>
          <w:lang w:eastAsia="en-GB"/>
        </w:rPr>
        <w:t xml:space="preserve">nfrastructure </w:t>
      </w:r>
      <w:r w:rsidRPr="00525741">
        <w:rPr>
          <w:color w:val="C00000"/>
          <w:sz w:val="22"/>
          <w:szCs w:val="22"/>
          <w:lang w:eastAsia="en-GB"/>
        </w:rPr>
        <w:t xml:space="preserve">is increasing. Therefore, </w:t>
      </w:r>
      <w:r w:rsidR="009C3069">
        <w:rPr>
          <w:color w:val="C00000"/>
          <w:sz w:val="22"/>
          <w:szCs w:val="22"/>
          <w:lang w:eastAsia="en-GB"/>
        </w:rPr>
        <w:t>and following the Human Rights Council Resolution regarding human rights access to safe drinking water and sanitation (</w:t>
      </w:r>
      <w:r w:rsidR="009C3069" w:rsidRPr="009C3069">
        <w:rPr>
          <w:color w:val="C00000"/>
          <w:sz w:val="22"/>
          <w:szCs w:val="22"/>
          <w:lang w:eastAsia="en-GB"/>
        </w:rPr>
        <w:t>HRC res 15/9</w:t>
      </w:r>
      <w:r w:rsidR="009C3069">
        <w:rPr>
          <w:color w:val="C00000"/>
          <w:sz w:val="22"/>
          <w:szCs w:val="22"/>
          <w:lang w:eastAsia="en-GB"/>
        </w:rPr>
        <w:t>)</w:t>
      </w:r>
      <w:r w:rsidR="009C3069">
        <w:rPr>
          <w:rStyle w:val="FootnoteReference"/>
          <w:color w:val="C00000"/>
          <w:sz w:val="22"/>
          <w:szCs w:val="22"/>
          <w:lang w:eastAsia="en-GB"/>
        </w:rPr>
        <w:footnoteReference w:id="15"/>
      </w:r>
      <w:r w:rsidR="00347E86">
        <w:rPr>
          <w:color w:val="C00000"/>
          <w:sz w:val="22"/>
          <w:szCs w:val="22"/>
          <w:lang w:eastAsia="en-GB"/>
        </w:rPr>
        <w:t>,</w:t>
      </w:r>
      <w:r w:rsidR="009C3069">
        <w:rPr>
          <w:color w:val="C00000"/>
          <w:sz w:val="22"/>
          <w:szCs w:val="22"/>
          <w:lang w:eastAsia="en-GB"/>
        </w:rPr>
        <w:t xml:space="preserve"> the following matters </w:t>
      </w:r>
      <w:r w:rsidR="00652DF9">
        <w:rPr>
          <w:color w:val="C00000"/>
          <w:sz w:val="22"/>
          <w:szCs w:val="22"/>
          <w:lang w:eastAsia="en-GB"/>
        </w:rPr>
        <w:t>should</w:t>
      </w:r>
      <w:r w:rsidR="009C3069">
        <w:rPr>
          <w:color w:val="C00000"/>
          <w:sz w:val="22"/>
          <w:szCs w:val="22"/>
          <w:lang w:eastAsia="en-GB"/>
        </w:rPr>
        <w:t xml:space="preserve"> be monitored in relation </w:t>
      </w:r>
      <w:r w:rsidR="006305BD">
        <w:rPr>
          <w:color w:val="C00000"/>
          <w:sz w:val="22"/>
          <w:szCs w:val="22"/>
          <w:lang w:eastAsia="en-GB"/>
        </w:rPr>
        <w:t>to</w:t>
      </w:r>
      <w:r w:rsidR="009C3069">
        <w:rPr>
          <w:color w:val="C00000"/>
          <w:sz w:val="22"/>
          <w:szCs w:val="22"/>
          <w:lang w:eastAsia="en-GB"/>
        </w:rPr>
        <w:t xml:space="preserve"> </w:t>
      </w:r>
      <w:r w:rsidR="00347E86">
        <w:rPr>
          <w:color w:val="C00000"/>
          <w:sz w:val="22"/>
          <w:szCs w:val="22"/>
          <w:lang w:eastAsia="en-GB"/>
        </w:rPr>
        <w:t>g</w:t>
      </w:r>
      <w:r w:rsidR="009C3069">
        <w:rPr>
          <w:color w:val="C00000"/>
          <w:sz w:val="22"/>
          <w:szCs w:val="22"/>
          <w:lang w:eastAsia="en-GB"/>
        </w:rPr>
        <w:t xml:space="preserve">reen </w:t>
      </w:r>
      <w:r w:rsidR="00347E86">
        <w:rPr>
          <w:color w:val="C00000"/>
          <w:sz w:val="22"/>
          <w:szCs w:val="22"/>
          <w:lang w:eastAsia="en-GB"/>
        </w:rPr>
        <w:t>c</w:t>
      </w:r>
      <w:r w:rsidR="009C3069">
        <w:rPr>
          <w:color w:val="C00000"/>
          <w:sz w:val="22"/>
          <w:szCs w:val="22"/>
          <w:lang w:eastAsia="en-GB"/>
        </w:rPr>
        <w:t xml:space="preserve">ity </w:t>
      </w:r>
      <w:r w:rsidR="00347E86">
        <w:rPr>
          <w:color w:val="C00000"/>
          <w:sz w:val="22"/>
          <w:szCs w:val="22"/>
          <w:lang w:eastAsia="en-GB"/>
        </w:rPr>
        <w:t>b</w:t>
      </w:r>
      <w:r w:rsidR="009C3069">
        <w:rPr>
          <w:color w:val="C00000"/>
          <w:sz w:val="22"/>
          <w:szCs w:val="22"/>
          <w:lang w:eastAsia="en-GB"/>
        </w:rPr>
        <w:t xml:space="preserve">onds of </w:t>
      </w:r>
      <w:r w:rsidR="00347E86">
        <w:rPr>
          <w:color w:val="C00000"/>
          <w:sz w:val="22"/>
          <w:szCs w:val="22"/>
          <w:lang w:eastAsia="en-GB"/>
        </w:rPr>
        <w:t>w</w:t>
      </w:r>
      <w:r w:rsidR="009C3069">
        <w:rPr>
          <w:color w:val="C00000"/>
          <w:sz w:val="22"/>
          <w:szCs w:val="22"/>
          <w:lang w:eastAsia="en-GB"/>
        </w:rPr>
        <w:t xml:space="preserve">ater </w:t>
      </w:r>
      <w:r w:rsidR="00347E86">
        <w:rPr>
          <w:color w:val="C00000"/>
          <w:sz w:val="22"/>
          <w:szCs w:val="22"/>
          <w:lang w:eastAsia="en-GB"/>
        </w:rPr>
        <w:t>i</w:t>
      </w:r>
      <w:r w:rsidR="009C3069">
        <w:rPr>
          <w:color w:val="C00000"/>
          <w:sz w:val="22"/>
          <w:szCs w:val="22"/>
          <w:lang w:eastAsia="en-GB"/>
        </w:rPr>
        <w:t xml:space="preserve">nfrastructure: </w:t>
      </w:r>
      <w:r w:rsidR="009C3069" w:rsidRPr="00525741">
        <w:rPr>
          <w:color w:val="C00000"/>
          <w:sz w:val="22"/>
          <w:szCs w:val="22"/>
          <w:lang w:eastAsia="en-GB"/>
        </w:rPr>
        <w:t>How the environmental and financial burdens are distributed</w:t>
      </w:r>
      <w:r w:rsidR="009C3069">
        <w:rPr>
          <w:color w:val="C00000"/>
          <w:sz w:val="22"/>
          <w:szCs w:val="22"/>
          <w:lang w:eastAsia="en-GB"/>
        </w:rPr>
        <w:t xml:space="preserve">, </w:t>
      </w:r>
      <w:r w:rsidR="00347E86">
        <w:rPr>
          <w:color w:val="C00000"/>
          <w:sz w:val="22"/>
          <w:szCs w:val="22"/>
          <w:lang w:eastAsia="en-GB"/>
        </w:rPr>
        <w:t>especially</w:t>
      </w:r>
      <w:r w:rsidR="009C3069">
        <w:rPr>
          <w:color w:val="C00000"/>
          <w:sz w:val="22"/>
          <w:szCs w:val="22"/>
          <w:lang w:eastAsia="en-GB"/>
        </w:rPr>
        <w:t xml:space="preserve"> amongst the </w:t>
      </w:r>
      <w:r w:rsidR="009C3069" w:rsidRPr="009C3069">
        <w:rPr>
          <w:color w:val="C00000"/>
          <w:sz w:val="22"/>
          <w:szCs w:val="22"/>
          <w:lang w:eastAsia="en-GB"/>
        </w:rPr>
        <w:t>persons belonging to vulnerable and</w:t>
      </w:r>
      <w:r w:rsidR="009C3069">
        <w:rPr>
          <w:color w:val="C00000"/>
          <w:sz w:val="22"/>
          <w:szCs w:val="22"/>
          <w:lang w:eastAsia="en-GB"/>
        </w:rPr>
        <w:t xml:space="preserve"> </w:t>
      </w:r>
      <w:r w:rsidR="009C3069" w:rsidRPr="009C3069">
        <w:rPr>
          <w:color w:val="C00000"/>
          <w:sz w:val="22"/>
          <w:szCs w:val="22"/>
          <w:lang w:eastAsia="en-GB"/>
        </w:rPr>
        <w:t xml:space="preserve">marginalized groups, </w:t>
      </w:r>
      <w:r w:rsidR="009C3069">
        <w:rPr>
          <w:color w:val="C00000"/>
          <w:sz w:val="22"/>
          <w:szCs w:val="22"/>
          <w:lang w:eastAsia="en-GB"/>
        </w:rPr>
        <w:t>this</w:t>
      </w:r>
      <w:r w:rsidR="009C3069" w:rsidRPr="009C3069">
        <w:rPr>
          <w:color w:val="C00000"/>
          <w:sz w:val="22"/>
          <w:szCs w:val="22"/>
          <w:lang w:eastAsia="en-GB"/>
        </w:rPr>
        <w:t xml:space="preserve"> </w:t>
      </w:r>
      <w:r w:rsidR="009C3069">
        <w:rPr>
          <w:color w:val="C00000"/>
          <w:sz w:val="22"/>
          <w:szCs w:val="22"/>
          <w:lang w:eastAsia="en-GB"/>
        </w:rPr>
        <w:t>with</w:t>
      </w:r>
      <w:r w:rsidR="009C3069" w:rsidRPr="009C3069">
        <w:rPr>
          <w:color w:val="C00000"/>
          <w:sz w:val="22"/>
          <w:szCs w:val="22"/>
          <w:lang w:eastAsia="en-GB"/>
        </w:rPr>
        <w:t xml:space="preserve"> </w:t>
      </w:r>
      <w:r w:rsidR="009C3069">
        <w:rPr>
          <w:color w:val="C00000"/>
          <w:sz w:val="22"/>
          <w:szCs w:val="22"/>
          <w:lang w:eastAsia="en-GB"/>
        </w:rPr>
        <w:t>a</w:t>
      </w:r>
      <w:r w:rsidR="009C3069" w:rsidRPr="009C3069">
        <w:rPr>
          <w:color w:val="C00000"/>
          <w:sz w:val="22"/>
          <w:szCs w:val="22"/>
          <w:lang w:eastAsia="en-GB"/>
        </w:rPr>
        <w:t xml:space="preserve"> non-discrimination and</w:t>
      </w:r>
      <w:r w:rsidR="009C3069">
        <w:rPr>
          <w:color w:val="C00000"/>
          <w:sz w:val="22"/>
          <w:szCs w:val="22"/>
          <w:lang w:eastAsia="en-GB"/>
        </w:rPr>
        <w:t xml:space="preserve"> </w:t>
      </w:r>
      <w:r w:rsidR="009C3069" w:rsidRPr="009C3069">
        <w:rPr>
          <w:color w:val="C00000"/>
          <w:sz w:val="22"/>
          <w:szCs w:val="22"/>
          <w:lang w:eastAsia="en-GB"/>
        </w:rPr>
        <w:t>gender equality</w:t>
      </w:r>
      <w:r w:rsidR="009C3069">
        <w:rPr>
          <w:color w:val="C00000"/>
          <w:sz w:val="22"/>
          <w:szCs w:val="22"/>
          <w:lang w:eastAsia="en-GB"/>
        </w:rPr>
        <w:t xml:space="preserve"> perspectives</w:t>
      </w:r>
      <w:r w:rsidR="009C3069" w:rsidRPr="00525741">
        <w:rPr>
          <w:color w:val="C00000"/>
          <w:sz w:val="22"/>
          <w:szCs w:val="22"/>
          <w:lang w:eastAsia="en-GB"/>
        </w:rPr>
        <w:t>?</w:t>
      </w:r>
      <w:r w:rsidR="009C3069">
        <w:rPr>
          <w:color w:val="C00000"/>
          <w:sz w:val="22"/>
          <w:szCs w:val="22"/>
          <w:lang w:eastAsia="en-GB"/>
        </w:rPr>
        <w:t xml:space="preserve"> How are included </w:t>
      </w:r>
      <w:r w:rsidR="009C3069" w:rsidRPr="009C3069">
        <w:rPr>
          <w:color w:val="C00000"/>
          <w:sz w:val="22"/>
          <w:szCs w:val="22"/>
          <w:lang w:eastAsia="en-GB"/>
        </w:rPr>
        <w:t>human rights impact</w:t>
      </w:r>
      <w:r w:rsidR="009C3069">
        <w:rPr>
          <w:color w:val="C00000"/>
          <w:sz w:val="22"/>
          <w:szCs w:val="22"/>
          <w:lang w:eastAsia="en-GB"/>
        </w:rPr>
        <w:t>s</w:t>
      </w:r>
      <w:r w:rsidR="009C3069" w:rsidRPr="009C3069">
        <w:rPr>
          <w:color w:val="C00000"/>
          <w:sz w:val="22"/>
          <w:szCs w:val="22"/>
          <w:lang w:eastAsia="en-GB"/>
        </w:rPr>
        <w:t xml:space="preserve"> assessments throughout the process of</w:t>
      </w:r>
      <w:r w:rsidR="00C34749">
        <w:rPr>
          <w:color w:val="C00000"/>
          <w:sz w:val="22"/>
          <w:szCs w:val="22"/>
          <w:lang w:eastAsia="en-GB"/>
        </w:rPr>
        <w:t xml:space="preserve"> issuance and implementation of the </w:t>
      </w:r>
      <w:r w:rsidR="00347E86">
        <w:rPr>
          <w:color w:val="C00000"/>
          <w:sz w:val="22"/>
          <w:szCs w:val="22"/>
          <w:lang w:eastAsia="en-GB"/>
        </w:rPr>
        <w:t>g</w:t>
      </w:r>
      <w:r w:rsidR="00C34749">
        <w:rPr>
          <w:color w:val="C00000"/>
          <w:sz w:val="22"/>
          <w:szCs w:val="22"/>
          <w:lang w:eastAsia="en-GB"/>
        </w:rPr>
        <w:t xml:space="preserve">reen </w:t>
      </w:r>
      <w:r w:rsidR="00347E86">
        <w:rPr>
          <w:color w:val="C00000"/>
          <w:sz w:val="22"/>
          <w:szCs w:val="22"/>
          <w:lang w:eastAsia="en-GB"/>
        </w:rPr>
        <w:t>c</w:t>
      </w:r>
      <w:r w:rsidR="00C34749">
        <w:rPr>
          <w:color w:val="C00000"/>
          <w:sz w:val="22"/>
          <w:szCs w:val="22"/>
          <w:lang w:eastAsia="en-GB"/>
        </w:rPr>
        <w:t xml:space="preserve">ity </w:t>
      </w:r>
      <w:r w:rsidR="00347E86">
        <w:rPr>
          <w:color w:val="C00000"/>
          <w:sz w:val="22"/>
          <w:szCs w:val="22"/>
          <w:lang w:eastAsia="en-GB"/>
        </w:rPr>
        <w:t>b</w:t>
      </w:r>
      <w:r w:rsidR="00C34749">
        <w:rPr>
          <w:color w:val="C00000"/>
          <w:sz w:val="22"/>
          <w:szCs w:val="22"/>
          <w:lang w:eastAsia="en-GB"/>
        </w:rPr>
        <w:t xml:space="preserve">onds of </w:t>
      </w:r>
      <w:r w:rsidR="00347E86">
        <w:rPr>
          <w:color w:val="C00000"/>
          <w:sz w:val="22"/>
          <w:szCs w:val="22"/>
          <w:lang w:eastAsia="en-GB"/>
        </w:rPr>
        <w:t>w</w:t>
      </w:r>
      <w:r w:rsidR="00C34749">
        <w:rPr>
          <w:color w:val="C00000"/>
          <w:sz w:val="22"/>
          <w:szCs w:val="22"/>
          <w:lang w:eastAsia="en-GB"/>
        </w:rPr>
        <w:t xml:space="preserve">ater </w:t>
      </w:r>
      <w:r w:rsidR="00347E86">
        <w:rPr>
          <w:color w:val="C00000"/>
          <w:sz w:val="22"/>
          <w:szCs w:val="22"/>
          <w:lang w:eastAsia="en-GB"/>
        </w:rPr>
        <w:t>i</w:t>
      </w:r>
      <w:r w:rsidR="00C34749">
        <w:rPr>
          <w:color w:val="C00000"/>
          <w:sz w:val="22"/>
          <w:szCs w:val="22"/>
          <w:lang w:eastAsia="en-GB"/>
        </w:rPr>
        <w:t xml:space="preserve">nfrastructure? How is ensure </w:t>
      </w:r>
      <w:r w:rsidR="00C34749" w:rsidRPr="00C34749">
        <w:rPr>
          <w:color w:val="C00000"/>
          <w:sz w:val="22"/>
          <w:szCs w:val="22"/>
          <w:lang w:eastAsia="en-GB"/>
        </w:rPr>
        <w:t>full transparency of the planning and implementation process</w:t>
      </w:r>
      <w:r w:rsidR="00C34749">
        <w:rPr>
          <w:color w:val="C00000"/>
          <w:sz w:val="22"/>
          <w:szCs w:val="22"/>
          <w:lang w:eastAsia="en-GB"/>
        </w:rPr>
        <w:t xml:space="preserve"> of the </w:t>
      </w:r>
      <w:r w:rsidR="00347E86">
        <w:rPr>
          <w:color w:val="C00000"/>
          <w:sz w:val="22"/>
          <w:szCs w:val="22"/>
          <w:lang w:eastAsia="en-GB"/>
        </w:rPr>
        <w:t>g</w:t>
      </w:r>
      <w:r w:rsidR="00C34749">
        <w:rPr>
          <w:color w:val="C00000"/>
          <w:sz w:val="22"/>
          <w:szCs w:val="22"/>
          <w:lang w:eastAsia="en-GB"/>
        </w:rPr>
        <w:t xml:space="preserve">reen </w:t>
      </w:r>
      <w:r w:rsidR="00347E86">
        <w:rPr>
          <w:color w:val="C00000"/>
          <w:sz w:val="22"/>
          <w:szCs w:val="22"/>
          <w:lang w:eastAsia="en-GB"/>
        </w:rPr>
        <w:t>c</w:t>
      </w:r>
      <w:r w:rsidR="00C34749">
        <w:rPr>
          <w:color w:val="C00000"/>
          <w:sz w:val="22"/>
          <w:szCs w:val="22"/>
          <w:lang w:eastAsia="en-GB"/>
        </w:rPr>
        <w:t xml:space="preserve">ity </w:t>
      </w:r>
      <w:r w:rsidR="00347E86">
        <w:rPr>
          <w:color w:val="C00000"/>
          <w:sz w:val="22"/>
          <w:szCs w:val="22"/>
          <w:lang w:eastAsia="en-GB"/>
        </w:rPr>
        <w:t>b</w:t>
      </w:r>
      <w:r w:rsidR="00C34749">
        <w:rPr>
          <w:color w:val="C00000"/>
          <w:sz w:val="22"/>
          <w:szCs w:val="22"/>
          <w:lang w:eastAsia="en-GB"/>
        </w:rPr>
        <w:t xml:space="preserve">onds of </w:t>
      </w:r>
      <w:r w:rsidR="00347E86">
        <w:rPr>
          <w:color w:val="C00000"/>
          <w:sz w:val="22"/>
          <w:szCs w:val="22"/>
          <w:lang w:eastAsia="en-GB"/>
        </w:rPr>
        <w:t>w</w:t>
      </w:r>
      <w:r w:rsidR="00C34749">
        <w:rPr>
          <w:color w:val="C00000"/>
          <w:sz w:val="22"/>
          <w:szCs w:val="22"/>
          <w:lang w:eastAsia="en-GB"/>
        </w:rPr>
        <w:t xml:space="preserve">ater </w:t>
      </w:r>
      <w:r w:rsidR="00347E86">
        <w:rPr>
          <w:color w:val="C00000"/>
          <w:sz w:val="22"/>
          <w:szCs w:val="22"/>
          <w:lang w:eastAsia="en-GB"/>
        </w:rPr>
        <w:t>i</w:t>
      </w:r>
      <w:r w:rsidR="00C34749">
        <w:rPr>
          <w:color w:val="C00000"/>
          <w:sz w:val="22"/>
          <w:szCs w:val="22"/>
          <w:lang w:eastAsia="en-GB"/>
        </w:rPr>
        <w:t xml:space="preserve">nfrastructure? How is ensure </w:t>
      </w:r>
      <w:r w:rsidR="006305BD">
        <w:rPr>
          <w:color w:val="C00000"/>
          <w:sz w:val="22"/>
          <w:szCs w:val="22"/>
          <w:lang w:eastAsia="en-GB"/>
        </w:rPr>
        <w:t xml:space="preserve">the </w:t>
      </w:r>
      <w:r w:rsidR="00C34749" w:rsidRPr="00C34749">
        <w:rPr>
          <w:color w:val="C00000"/>
          <w:sz w:val="22"/>
          <w:szCs w:val="22"/>
          <w:lang w:eastAsia="en-GB"/>
        </w:rPr>
        <w:t>free and meaningful</w:t>
      </w:r>
      <w:r w:rsidR="00C34749">
        <w:rPr>
          <w:color w:val="C00000"/>
          <w:sz w:val="22"/>
          <w:szCs w:val="22"/>
          <w:lang w:eastAsia="en-GB"/>
        </w:rPr>
        <w:t xml:space="preserve"> </w:t>
      </w:r>
      <w:r w:rsidR="00C34749" w:rsidRPr="00C34749">
        <w:rPr>
          <w:color w:val="C00000"/>
          <w:sz w:val="22"/>
          <w:szCs w:val="22"/>
          <w:lang w:eastAsia="en-GB"/>
        </w:rPr>
        <w:t>participation of the concerned local communities and relevant stakeholders</w:t>
      </w:r>
      <w:r w:rsidR="00C34749">
        <w:rPr>
          <w:color w:val="C00000"/>
          <w:sz w:val="22"/>
          <w:szCs w:val="22"/>
          <w:lang w:eastAsia="en-GB"/>
        </w:rPr>
        <w:t xml:space="preserve"> in the issuance and implementation of </w:t>
      </w:r>
      <w:r w:rsidR="00347E86">
        <w:rPr>
          <w:color w:val="C00000"/>
          <w:sz w:val="22"/>
          <w:szCs w:val="22"/>
          <w:lang w:eastAsia="en-GB"/>
        </w:rPr>
        <w:t>g</w:t>
      </w:r>
      <w:r w:rsidR="00C34749">
        <w:rPr>
          <w:color w:val="C00000"/>
          <w:sz w:val="22"/>
          <w:szCs w:val="22"/>
          <w:lang w:eastAsia="en-GB"/>
        </w:rPr>
        <w:t xml:space="preserve">reen </w:t>
      </w:r>
      <w:r w:rsidR="00347E86">
        <w:rPr>
          <w:color w:val="C00000"/>
          <w:sz w:val="22"/>
          <w:szCs w:val="22"/>
          <w:lang w:eastAsia="en-GB"/>
        </w:rPr>
        <w:t>c</w:t>
      </w:r>
      <w:r w:rsidR="00C34749">
        <w:rPr>
          <w:color w:val="C00000"/>
          <w:sz w:val="22"/>
          <w:szCs w:val="22"/>
          <w:lang w:eastAsia="en-GB"/>
        </w:rPr>
        <w:t xml:space="preserve">ity </w:t>
      </w:r>
      <w:r w:rsidR="00347E86">
        <w:rPr>
          <w:color w:val="C00000"/>
          <w:sz w:val="22"/>
          <w:szCs w:val="22"/>
          <w:lang w:eastAsia="en-GB"/>
        </w:rPr>
        <w:t>b</w:t>
      </w:r>
      <w:r w:rsidR="00C34749">
        <w:rPr>
          <w:color w:val="C00000"/>
          <w:sz w:val="22"/>
          <w:szCs w:val="22"/>
          <w:lang w:eastAsia="en-GB"/>
        </w:rPr>
        <w:t xml:space="preserve">onds of </w:t>
      </w:r>
      <w:r w:rsidR="00347E86">
        <w:rPr>
          <w:color w:val="C00000"/>
          <w:sz w:val="22"/>
          <w:szCs w:val="22"/>
          <w:lang w:eastAsia="en-GB"/>
        </w:rPr>
        <w:t>w</w:t>
      </w:r>
      <w:r w:rsidR="00C34749">
        <w:rPr>
          <w:color w:val="C00000"/>
          <w:sz w:val="22"/>
          <w:szCs w:val="22"/>
          <w:lang w:eastAsia="en-GB"/>
        </w:rPr>
        <w:t xml:space="preserve">ater </w:t>
      </w:r>
      <w:r w:rsidR="00347E86">
        <w:rPr>
          <w:color w:val="C00000"/>
          <w:sz w:val="22"/>
          <w:szCs w:val="22"/>
          <w:lang w:eastAsia="en-GB"/>
        </w:rPr>
        <w:t>i</w:t>
      </w:r>
      <w:r w:rsidR="00C34749">
        <w:rPr>
          <w:color w:val="C00000"/>
          <w:sz w:val="22"/>
          <w:szCs w:val="22"/>
          <w:lang w:eastAsia="en-GB"/>
        </w:rPr>
        <w:t xml:space="preserve">nfrastructure? Additional relevant questions are: </w:t>
      </w:r>
      <w:r w:rsidR="00020906" w:rsidRPr="00525741">
        <w:rPr>
          <w:color w:val="C00000"/>
          <w:sz w:val="22"/>
          <w:szCs w:val="22"/>
          <w:lang w:eastAsia="en-GB"/>
        </w:rPr>
        <w:t xml:space="preserve">What is the role of individual and financial investors? What is the impact </w:t>
      </w:r>
      <w:r w:rsidR="006305BD">
        <w:rPr>
          <w:color w:val="C00000"/>
          <w:sz w:val="22"/>
          <w:szCs w:val="22"/>
          <w:lang w:eastAsia="en-GB"/>
        </w:rPr>
        <w:t>o</w:t>
      </w:r>
      <w:r w:rsidR="00020906" w:rsidRPr="00525741">
        <w:rPr>
          <w:color w:val="C00000"/>
          <w:sz w:val="22"/>
          <w:szCs w:val="22"/>
          <w:lang w:eastAsia="en-GB"/>
        </w:rPr>
        <w:t>n the level of debt of the municipal entities?</w:t>
      </w:r>
      <w:r w:rsidR="00C34749">
        <w:rPr>
          <w:color w:val="C00000"/>
          <w:sz w:val="22"/>
          <w:szCs w:val="22"/>
          <w:lang w:eastAsia="en-GB"/>
        </w:rPr>
        <w:t xml:space="preserve"> What is</w:t>
      </w:r>
      <w:r w:rsidR="00C34749" w:rsidRPr="00C34749">
        <w:rPr>
          <w:color w:val="C00000"/>
          <w:sz w:val="22"/>
          <w:szCs w:val="22"/>
          <w:lang w:eastAsia="en-GB"/>
        </w:rPr>
        <w:t xml:space="preserve"> the role that citizen participation and control have and should have in the issuance and implementation of </w:t>
      </w:r>
      <w:r w:rsidR="00347E86">
        <w:rPr>
          <w:color w:val="C00000"/>
          <w:sz w:val="22"/>
          <w:szCs w:val="22"/>
          <w:lang w:eastAsia="en-GB"/>
        </w:rPr>
        <w:t>g</w:t>
      </w:r>
      <w:r w:rsidR="00C34749" w:rsidRPr="00C34749">
        <w:rPr>
          <w:color w:val="C00000"/>
          <w:sz w:val="22"/>
          <w:szCs w:val="22"/>
          <w:lang w:eastAsia="en-GB"/>
        </w:rPr>
        <w:t xml:space="preserve">reen </w:t>
      </w:r>
      <w:r w:rsidR="00347E86">
        <w:rPr>
          <w:color w:val="C00000"/>
          <w:sz w:val="22"/>
          <w:szCs w:val="22"/>
          <w:lang w:eastAsia="en-GB"/>
        </w:rPr>
        <w:t>c</w:t>
      </w:r>
      <w:r w:rsidR="00C34749" w:rsidRPr="00C34749">
        <w:rPr>
          <w:color w:val="C00000"/>
          <w:sz w:val="22"/>
          <w:szCs w:val="22"/>
          <w:lang w:eastAsia="en-GB"/>
        </w:rPr>
        <w:t xml:space="preserve">ity </w:t>
      </w:r>
      <w:r w:rsidR="00347E86">
        <w:rPr>
          <w:color w:val="C00000"/>
          <w:sz w:val="22"/>
          <w:szCs w:val="22"/>
          <w:lang w:eastAsia="en-GB"/>
        </w:rPr>
        <w:t>b</w:t>
      </w:r>
      <w:r w:rsidR="00C34749" w:rsidRPr="00C34749">
        <w:rPr>
          <w:color w:val="C00000"/>
          <w:sz w:val="22"/>
          <w:szCs w:val="22"/>
          <w:lang w:eastAsia="en-GB"/>
        </w:rPr>
        <w:t xml:space="preserve">onds of </w:t>
      </w:r>
      <w:r w:rsidR="00347E86">
        <w:rPr>
          <w:color w:val="C00000"/>
          <w:sz w:val="22"/>
          <w:szCs w:val="22"/>
          <w:lang w:eastAsia="en-GB"/>
        </w:rPr>
        <w:t>w</w:t>
      </w:r>
      <w:r w:rsidR="00C34749" w:rsidRPr="00C34749">
        <w:rPr>
          <w:color w:val="C00000"/>
          <w:sz w:val="22"/>
          <w:szCs w:val="22"/>
          <w:lang w:eastAsia="en-GB"/>
        </w:rPr>
        <w:t xml:space="preserve">ater </w:t>
      </w:r>
      <w:r w:rsidR="00347E86">
        <w:rPr>
          <w:color w:val="C00000"/>
          <w:sz w:val="22"/>
          <w:szCs w:val="22"/>
          <w:lang w:eastAsia="en-GB"/>
        </w:rPr>
        <w:t>i</w:t>
      </w:r>
      <w:r w:rsidR="00C34749" w:rsidRPr="00C34749">
        <w:rPr>
          <w:color w:val="C00000"/>
          <w:sz w:val="22"/>
          <w:szCs w:val="22"/>
          <w:lang w:eastAsia="en-GB"/>
        </w:rPr>
        <w:t>nfrastructure</w:t>
      </w:r>
      <w:r w:rsidR="00C34749">
        <w:rPr>
          <w:color w:val="C00000"/>
          <w:sz w:val="22"/>
          <w:szCs w:val="22"/>
          <w:lang w:eastAsia="en-GB"/>
        </w:rPr>
        <w:t xml:space="preserve">? </w:t>
      </w:r>
    </w:p>
    <w:p w14:paraId="56FD9A0A" w14:textId="5A0B62C6" w:rsidR="00D30408" w:rsidRDefault="00D30408" w:rsidP="00D0025F">
      <w:pPr>
        <w:jc w:val="both"/>
        <w:rPr>
          <w:color w:val="C00000"/>
          <w:sz w:val="22"/>
          <w:szCs w:val="22"/>
          <w:lang w:eastAsia="en-GB"/>
        </w:rPr>
      </w:pPr>
    </w:p>
    <w:p w14:paraId="59DB9C96" w14:textId="60D60066" w:rsidR="00B12AE7" w:rsidRPr="00525741" w:rsidRDefault="00D30408" w:rsidP="00347E86">
      <w:pPr>
        <w:jc w:val="both"/>
        <w:rPr>
          <w:color w:val="C00000"/>
          <w:sz w:val="22"/>
          <w:szCs w:val="22"/>
          <w:lang w:eastAsia="en-GB"/>
        </w:rPr>
      </w:pPr>
      <w:r>
        <w:rPr>
          <w:color w:val="C00000"/>
          <w:sz w:val="22"/>
          <w:szCs w:val="22"/>
          <w:lang w:eastAsia="en-GB"/>
        </w:rPr>
        <w:t xml:space="preserve">Finally, and acknowledging that water is a “natural monopoly”, it is pertinent to have </w:t>
      </w:r>
      <w:r w:rsidR="00652DF9">
        <w:rPr>
          <w:color w:val="C00000"/>
          <w:sz w:val="22"/>
          <w:szCs w:val="22"/>
          <w:lang w:eastAsia="en-GB"/>
        </w:rPr>
        <w:t xml:space="preserve">as context </w:t>
      </w:r>
      <w:r>
        <w:rPr>
          <w:color w:val="C00000"/>
          <w:sz w:val="22"/>
          <w:szCs w:val="22"/>
          <w:lang w:eastAsia="en-GB"/>
        </w:rPr>
        <w:t xml:space="preserve">the impacts </w:t>
      </w:r>
      <w:r w:rsidR="00D0025F">
        <w:rPr>
          <w:color w:val="C00000"/>
          <w:sz w:val="22"/>
          <w:szCs w:val="22"/>
          <w:lang w:eastAsia="en-GB"/>
        </w:rPr>
        <w:t xml:space="preserve">of </w:t>
      </w:r>
      <w:r w:rsidR="00347E86">
        <w:rPr>
          <w:color w:val="C00000"/>
          <w:sz w:val="22"/>
          <w:szCs w:val="22"/>
          <w:lang w:eastAsia="en-GB"/>
        </w:rPr>
        <w:t>g</w:t>
      </w:r>
      <w:r>
        <w:rPr>
          <w:color w:val="C00000"/>
          <w:sz w:val="22"/>
          <w:szCs w:val="22"/>
          <w:lang w:eastAsia="en-GB"/>
        </w:rPr>
        <w:t xml:space="preserve">reen </w:t>
      </w:r>
      <w:r w:rsidR="00347E86">
        <w:rPr>
          <w:color w:val="C00000"/>
          <w:sz w:val="22"/>
          <w:szCs w:val="22"/>
          <w:lang w:eastAsia="en-GB"/>
        </w:rPr>
        <w:t>b</w:t>
      </w:r>
      <w:r>
        <w:rPr>
          <w:color w:val="C00000"/>
          <w:sz w:val="22"/>
          <w:szCs w:val="22"/>
          <w:lang w:eastAsia="en-GB"/>
        </w:rPr>
        <w:t xml:space="preserve">onds already </w:t>
      </w:r>
      <w:r w:rsidR="00D0025F">
        <w:rPr>
          <w:color w:val="C00000"/>
          <w:sz w:val="22"/>
          <w:szCs w:val="22"/>
          <w:lang w:eastAsia="en-GB"/>
        </w:rPr>
        <w:t xml:space="preserve">documented for </w:t>
      </w:r>
      <w:r w:rsidR="00652DF9">
        <w:rPr>
          <w:color w:val="C00000"/>
          <w:sz w:val="22"/>
          <w:szCs w:val="22"/>
          <w:lang w:eastAsia="en-GB"/>
        </w:rPr>
        <w:t>other sectors, like the</w:t>
      </w:r>
      <w:r>
        <w:rPr>
          <w:color w:val="C00000"/>
          <w:sz w:val="22"/>
          <w:szCs w:val="22"/>
          <w:lang w:eastAsia="en-GB"/>
        </w:rPr>
        <w:t xml:space="preserve"> forestry industry in Brazil, which sheds light in questions and possible impacts </w:t>
      </w:r>
      <w:r w:rsidR="00D0025F">
        <w:rPr>
          <w:color w:val="C00000"/>
          <w:sz w:val="22"/>
          <w:szCs w:val="22"/>
          <w:lang w:eastAsia="en-GB"/>
        </w:rPr>
        <w:t>for</w:t>
      </w:r>
      <w:r>
        <w:rPr>
          <w:color w:val="C00000"/>
          <w:sz w:val="22"/>
          <w:szCs w:val="22"/>
          <w:lang w:eastAsia="en-GB"/>
        </w:rPr>
        <w:t xml:space="preserve"> the case of </w:t>
      </w:r>
      <w:r w:rsidR="00347E86">
        <w:rPr>
          <w:color w:val="C00000"/>
          <w:sz w:val="22"/>
          <w:szCs w:val="22"/>
          <w:lang w:eastAsia="en-GB"/>
        </w:rPr>
        <w:t>g</w:t>
      </w:r>
      <w:r w:rsidR="00D0025F">
        <w:rPr>
          <w:color w:val="C00000"/>
          <w:sz w:val="22"/>
          <w:szCs w:val="22"/>
          <w:lang w:eastAsia="en-GB"/>
        </w:rPr>
        <w:t xml:space="preserve">reen </w:t>
      </w:r>
      <w:r w:rsidR="00347E86">
        <w:rPr>
          <w:color w:val="C00000"/>
          <w:sz w:val="22"/>
          <w:szCs w:val="22"/>
          <w:lang w:eastAsia="en-GB"/>
        </w:rPr>
        <w:t>c</w:t>
      </w:r>
      <w:r w:rsidR="00D0025F">
        <w:rPr>
          <w:color w:val="C00000"/>
          <w:sz w:val="22"/>
          <w:szCs w:val="22"/>
          <w:lang w:eastAsia="en-GB"/>
        </w:rPr>
        <w:t xml:space="preserve">ity </w:t>
      </w:r>
      <w:r w:rsidR="00347E86">
        <w:rPr>
          <w:color w:val="C00000"/>
          <w:sz w:val="22"/>
          <w:szCs w:val="22"/>
          <w:lang w:eastAsia="en-GB"/>
        </w:rPr>
        <w:t>b</w:t>
      </w:r>
      <w:r w:rsidR="00D0025F">
        <w:rPr>
          <w:color w:val="C00000"/>
          <w:sz w:val="22"/>
          <w:szCs w:val="22"/>
          <w:lang w:eastAsia="en-GB"/>
        </w:rPr>
        <w:t xml:space="preserve">onds of </w:t>
      </w:r>
      <w:r w:rsidR="00347E86">
        <w:rPr>
          <w:color w:val="C00000"/>
          <w:sz w:val="22"/>
          <w:szCs w:val="22"/>
          <w:lang w:eastAsia="en-GB"/>
        </w:rPr>
        <w:t>w</w:t>
      </w:r>
      <w:r>
        <w:rPr>
          <w:color w:val="C00000"/>
          <w:sz w:val="22"/>
          <w:szCs w:val="22"/>
          <w:lang w:eastAsia="en-GB"/>
        </w:rPr>
        <w:t xml:space="preserve">ater </w:t>
      </w:r>
      <w:r w:rsidR="00347E86">
        <w:rPr>
          <w:color w:val="C00000"/>
          <w:sz w:val="22"/>
          <w:szCs w:val="22"/>
          <w:lang w:eastAsia="en-GB"/>
        </w:rPr>
        <w:t>i</w:t>
      </w:r>
      <w:r>
        <w:rPr>
          <w:color w:val="C00000"/>
          <w:sz w:val="22"/>
          <w:szCs w:val="22"/>
          <w:lang w:eastAsia="en-GB"/>
        </w:rPr>
        <w:t>nfrastructure: “</w:t>
      </w:r>
      <w:r w:rsidRPr="00D30408">
        <w:rPr>
          <w:i/>
          <w:iCs/>
          <w:color w:val="C00000"/>
          <w:sz w:val="22"/>
          <w:szCs w:val="22"/>
          <w:lang w:eastAsia="en-GB"/>
        </w:rPr>
        <w:t>Green bonds inevitably co-produce nature and social relations, but in a very unequal way that emphasizes capital accumulation and that does not necessarily protect the environment (even when standards are introduced). Much to the contrary, green bonds may come into being at the expense of other ways of living ecologically, and by restoring injustices of the past and creating a regenerative future - in other words, by creating debt</w:t>
      </w:r>
      <w:r>
        <w:rPr>
          <w:color w:val="C00000"/>
          <w:sz w:val="22"/>
          <w:szCs w:val="22"/>
          <w:lang w:eastAsia="en-GB"/>
        </w:rPr>
        <w:t>”</w:t>
      </w:r>
      <w:r w:rsidR="00D0025F">
        <w:rPr>
          <w:rStyle w:val="FootnoteReference"/>
          <w:color w:val="C00000"/>
          <w:sz w:val="22"/>
          <w:szCs w:val="22"/>
          <w:lang w:eastAsia="en-GB"/>
        </w:rPr>
        <w:footnoteReference w:id="16"/>
      </w:r>
      <w:r w:rsidRPr="00D30408">
        <w:rPr>
          <w:color w:val="C00000"/>
          <w:sz w:val="22"/>
          <w:szCs w:val="22"/>
          <w:lang w:eastAsia="en-GB"/>
        </w:rPr>
        <w:t>.</w:t>
      </w:r>
    </w:p>
    <w:p w14:paraId="748AA8AF" w14:textId="43CC5156" w:rsidR="00C35537" w:rsidRDefault="00C35537" w:rsidP="00D0025F">
      <w:pPr>
        <w:pStyle w:val="ListParagraph"/>
        <w:spacing w:line="259" w:lineRule="auto"/>
        <w:ind w:left="0" w:firstLine="567"/>
        <w:jc w:val="both"/>
        <w:rPr>
          <w:color w:val="C00000"/>
          <w:sz w:val="22"/>
          <w:szCs w:val="22"/>
          <w:lang w:eastAsia="en-GB"/>
        </w:rPr>
      </w:pPr>
    </w:p>
    <w:p w14:paraId="10591AA6" w14:textId="77777777" w:rsidR="00525741" w:rsidRPr="00525741" w:rsidRDefault="00525741" w:rsidP="00D0025F">
      <w:pPr>
        <w:pStyle w:val="ListParagraph"/>
        <w:spacing w:line="259" w:lineRule="auto"/>
        <w:ind w:left="0" w:firstLine="567"/>
        <w:jc w:val="both"/>
        <w:rPr>
          <w:color w:val="C00000"/>
          <w:sz w:val="22"/>
          <w:szCs w:val="22"/>
          <w:lang w:eastAsia="en-GB"/>
        </w:rPr>
      </w:pPr>
    </w:p>
    <w:p w14:paraId="49D49EC6" w14:textId="3F9018BE" w:rsidR="007813E0" w:rsidRPr="00F56F55" w:rsidRDefault="007813E0" w:rsidP="00D0025F">
      <w:pPr>
        <w:pStyle w:val="ListParagraph"/>
        <w:spacing w:line="259" w:lineRule="auto"/>
        <w:ind w:left="0" w:firstLine="567"/>
        <w:jc w:val="both"/>
        <w:rPr>
          <w:color w:val="C00000"/>
          <w:sz w:val="22"/>
          <w:szCs w:val="22"/>
          <w:lang w:val="en-US" w:eastAsia="en-GB"/>
        </w:rPr>
      </w:pPr>
      <w:r w:rsidRPr="00F56F55">
        <w:rPr>
          <w:color w:val="C00000"/>
          <w:sz w:val="22"/>
          <w:szCs w:val="22"/>
          <w:lang w:val="en-US" w:eastAsia="en-GB"/>
        </w:rPr>
        <w:t>Héctor Herrera</w:t>
      </w:r>
    </w:p>
    <w:p w14:paraId="11E9E2E3" w14:textId="57AFF6CA" w:rsidR="00525741" w:rsidRPr="00F56F55" w:rsidRDefault="00F56F55" w:rsidP="00D0025F">
      <w:pPr>
        <w:pStyle w:val="ListParagraph"/>
        <w:spacing w:line="259" w:lineRule="auto"/>
        <w:ind w:left="567"/>
        <w:jc w:val="both"/>
        <w:rPr>
          <w:color w:val="C00000"/>
          <w:sz w:val="22"/>
          <w:szCs w:val="22"/>
          <w:lang w:val="en-US" w:eastAsia="en-GB"/>
        </w:rPr>
      </w:pPr>
      <w:r w:rsidRPr="00F56F55">
        <w:rPr>
          <w:color w:val="C00000"/>
          <w:sz w:val="22"/>
          <w:szCs w:val="22"/>
          <w:lang w:val="en-US" w:eastAsia="en-GB"/>
        </w:rPr>
        <w:t>Doctoral fell</w:t>
      </w:r>
      <w:r>
        <w:rPr>
          <w:color w:val="C00000"/>
          <w:sz w:val="22"/>
          <w:szCs w:val="22"/>
          <w:lang w:val="en-US" w:eastAsia="en-GB"/>
        </w:rPr>
        <w:t>ow</w:t>
      </w:r>
      <w:r w:rsidR="00865AC3">
        <w:rPr>
          <w:color w:val="C00000"/>
          <w:sz w:val="22"/>
          <w:szCs w:val="22"/>
          <w:lang w:val="en-US" w:eastAsia="en-GB"/>
        </w:rPr>
        <w:t xml:space="preserve"> at the </w:t>
      </w:r>
      <w:r>
        <w:rPr>
          <w:color w:val="C00000"/>
          <w:sz w:val="22"/>
          <w:szCs w:val="22"/>
          <w:lang w:val="en-US" w:eastAsia="en-GB"/>
        </w:rPr>
        <w:t xml:space="preserve">Institute of Development Policy (IOB) </w:t>
      </w:r>
      <w:r w:rsidR="00865AC3">
        <w:rPr>
          <w:color w:val="C00000"/>
          <w:sz w:val="22"/>
          <w:szCs w:val="22"/>
          <w:lang w:val="en-US" w:eastAsia="en-GB"/>
        </w:rPr>
        <w:t>at</w:t>
      </w:r>
      <w:r>
        <w:rPr>
          <w:color w:val="C00000"/>
          <w:sz w:val="22"/>
          <w:szCs w:val="22"/>
          <w:lang w:val="en-US" w:eastAsia="en-GB"/>
        </w:rPr>
        <w:t xml:space="preserve"> the University of Antwerp</w:t>
      </w:r>
      <w:r w:rsidR="00C34749">
        <w:rPr>
          <w:color w:val="C00000"/>
          <w:sz w:val="22"/>
          <w:szCs w:val="22"/>
          <w:lang w:val="en-US" w:eastAsia="en-GB"/>
        </w:rPr>
        <w:t>, Belgium</w:t>
      </w:r>
    </w:p>
    <w:p w14:paraId="0BAFC924" w14:textId="456013F1" w:rsidR="00036BA1" w:rsidRPr="00F56F55" w:rsidRDefault="00CF785A" w:rsidP="00D0025F">
      <w:pPr>
        <w:pStyle w:val="ListParagraph"/>
        <w:spacing w:line="259" w:lineRule="auto"/>
        <w:ind w:left="0" w:firstLine="567"/>
        <w:jc w:val="both"/>
        <w:rPr>
          <w:sz w:val="22"/>
          <w:szCs w:val="22"/>
          <w:u w:val="single"/>
          <w:lang w:val="en-US"/>
        </w:rPr>
      </w:pPr>
      <w:r w:rsidRPr="00F56F55">
        <w:rPr>
          <w:color w:val="C00000"/>
          <w:sz w:val="22"/>
          <w:szCs w:val="22"/>
          <w:lang w:val="en-US" w:eastAsia="en-GB"/>
        </w:rPr>
        <w:t xml:space="preserve">E-mail: </w:t>
      </w:r>
      <w:r w:rsidR="007813E0" w:rsidRPr="00F56F55">
        <w:rPr>
          <w:color w:val="C00000"/>
          <w:sz w:val="22"/>
          <w:szCs w:val="22"/>
          <w:lang w:val="en-US"/>
        </w:rPr>
        <w:t>hector.herrera@uantwerpen.be</w:t>
      </w:r>
    </w:p>
    <w:sectPr w:rsidR="00036BA1" w:rsidRPr="00F56F55" w:rsidSect="00347E86">
      <w:headerReference w:type="first" r:id="rId11"/>
      <w:footnotePr>
        <w:numRestart w:val="eachPage"/>
      </w:footnotePr>
      <w:pgSz w:w="11906" w:h="16838"/>
      <w:pgMar w:top="1138"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9EDFC" w14:textId="77777777" w:rsidR="006D7D1C" w:rsidRDefault="006D7D1C">
      <w:r>
        <w:separator/>
      </w:r>
    </w:p>
  </w:endnote>
  <w:endnote w:type="continuationSeparator" w:id="0">
    <w:p w14:paraId="5C844118" w14:textId="77777777" w:rsidR="006D7D1C" w:rsidRDefault="006D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EB7DA" w14:textId="77777777" w:rsidR="006D7D1C" w:rsidRDefault="006D7D1C">
      <w:r>
        <w:separator/>
      </w:r>
    </w:p>
  </w:footnote>
  <w:footnote w:type="continuationSeparator" w:id="0">
    <w:p w14:paraId="33FA3B9C" w14:textId="77777777" w:rsidR="006D7D1C" w:rsidRDefault="006D7D1C">
      <w:r>
        <w:continuationSeparator/>
      </w:r>
    </w:p>
  </w:footnote>
  <w:footnote w:id="1">
    <w:p w14:paraId="36A11FDB" w14:textId="6F27EE99" w:rsidR="00D30408" w:rsidRPr="0019294F" w:rsidRDefault="00D30408" w:rsidP="0019294F">
      <w:pPr>
        <w:pStyle w:val="FootnoteText"/>
        <w:jc w:val="both"/>
        <w:rPr>
          <w:color w:val="C00000"/>
          <w:lang w:val="en-US"/>
        </w:rPr>
      </w:pPr>
      <w:r w:rsidRPr="0019294F">
        <w:rPr>
          <w:rStyle w:val="FootnoteReference"/>
          <w:color w:val="C00000"/>
        </w:rPr>
        <w:footnoteRef/>
      </w:r>
      <w:r w:rsidRPr="0019294F">
        <w:rPr>
          <w:color w:val="C00000"/>
          <w:lang w:val="es-CO"/>
        </w:rPr>
        <w:t xml:space="preserve"> M</w:t>
      </w:r>
      <w:r w:rsidR="00447B14" w:rsidRPr="0019294F">
        <w:rPr>
          <w:color w:val="C00000"/>
          <w:lang w:val="es-CO"/>
        </w:rPr>
        <w:t>iola</w:t>
      </w:r>
      <w:r w:rsidRPr="0019294F">
        <w:rPr>
          <w:color w:val="C00000"/>
          <w:lang w:val="es-CO"/>
        </w:rPr>
        <w:t>, Iagê, J</w:t>
      </w:r>
      <w:r w:rsidR="00447B14" w:rsidRPr="0019294F">
        <w:rPr>
          <w:color w:val="C00000"/>
          <w:lang w:val="es-CO"/>
        </w:rPr>
        <w:t>unqueira</w:t>
      </w:r>
      <w:r w:rsidRPr="0019294F">
        <w:rPr>
          <w:color w:val="C00000"/>
          <w:lang w:val="es-CO"/>
        </w:rPr>
        <w:t>, Gabriela de Oliveira, P</w:t>
      </w:r>
      <w:r w:rsidR="00447B14" w:rsidRPr="0019294F">
        <w:rPr>
          <w:color w:val="C00000"/>
          <w:lang w:val="es-CO"/>
        </w:rPr>
        <w:t>rol</w:t>
      </w:r>
      <w:r w:rsidRPr="0019294F">
        <w:rPr>
          <w:color w:val="C00000"/>
          <w:lang w:val="es-CO"/>
        </w:rPr>
        <w:t>, Flávio, F</w:t>
      </w:r>
      <w:r w:rsidR="00447B14" w:rsidRPr="0019294F">
        <w:rPr>
          <w:color w:val="C00000"/>
          <w:lang w:val="es-CO"/>
        </w:rPr>
        <w:t>errando</w:t>
      </w:r>
      <w:r w:rsidRPr="0019294F">
        <w:rPr>
          <w:color w:val="C00000"/>
          <w:lang w:val="es-CO"/>
        </w:rPr>
        <w:t>, Tomaso, V</w:t>
      </w:r>
      <w:r w:rsidR="00447B14" w:rsidRPr="0019294F">
        <w:rPr>
          <w:color w:val="C00000"/>
          <w:lang w:val="es-CO"/>
        </w:rPr>
        <w:t>ecchione</w:t>
      </w:r>
      <w:r w:rsidRPr="0019294F">
        <w:rPr>
          <w:color w:val="C00000"/>
          <w:lang w:val="es-CO"/>
        </w:rPr>
        <w:t>-G</w:t>
      </w:r>
      <w:r w:rsidR="00447B14" w:rsidRPr="0019294F">
        <w:rPr>
          <w:color w:val="C00000"/>
          <w:lang w:val="es-CO"/>
        </w:rPr>
        <w:t>onçalves</w:t>
      </w:r>
      <w:r w:rsidRPr="0019294F">
        <w:rPr>
          <w:color w:val="C00000"/>
          <w:lang w:val="es-CO"/>
        </w:rPr>
        <w:t>, Marcela y H</w:t>
      </w:r>
      <w:r w:rsidR="00447B14" w:rsidRPr="0019294F">
        <w:rPr>
          <w:color w:val="C00000"/>
          <w:lang w:val="es-CO"/>
        </w:rPr>
        <w:t>errera</w:t>
      </w:r>
      <w:r w:rsidRPr="0019294F">
        <w:rPr>
          <w:color w:val="C00000"/>
          <w:lang w:val="es-CO"/>
        </w:rPr>
        <w:t xml:space="preserve">, Héctor (2021). “Bonos verdes en la ecología-mundo: capital, naturaleza y poder en la expansión financiarizada de la industria forestal en Brasil”, Relaciones Internacionales, nº 46, pp. 161-180. </w:t>
      </w:r>
      <w:r w:rsidRPr="0019294F">
        <w:rPr>
          <w:color w:val="C00000"/>
          <w:lang w:val="en-US"/>
        </w:rPr>
        <w:t xml:space="preserve">Available at </w:t>
      </w:r>
      <w:hyperlink r:id="rId1" w:history="1">
        <w:r w:rsidRPr="0019294F">
          <w:rPr>
            <w:rStyle w:val="Hyperlink"/>
            <w:color w:val="C00000"/>
            <w:lang w:val="en-US"/>
          </w:rPr>
          <w:t>https://revistas.uam.es/relacionesinternacionales/article/view/12866/13372</w:t>
        </w:r>
      </w:hyperlink>
      <w:r w:rsidRPr="0019294F">
        <w:rPr>
          <w:color w:val="C00000"/>
          <w:lang w:val="en-US"/>
        </w:rPr>
        <w:t xml:space="preserve"> </w:t>
      </w:r>
    </w:p>
  </w:footnote>
  <w:footnote w:id="2">
    <w:p w14:paraId="36F3B45A" w14:textId="684D5D58" w:rsidR="002D5683" w:rsidRPr="0019294F" w:rsidRDefault="002D5683" w:rsidP="0019294F">
      <w:pPr>
        <w:pStyle w:val="FootnoteText"/>
        <w:jc w:val="both"/>
        <w:rPr>
          <w:color w:val="C00000"/>
          <w:lang w:val="en-US"/>
        </w:rPr>
      </w:pPr>
      <w:r w:rsidRPr="0019294F">
        <w:rPr>
          <w:rStyle w:val="FootnoteReference"/>
          <w:color w:val="C00000"/>
        </w:rPr>
        <w:footnoteRef/>
      </w:r>
      <w:r w:rsidRPr="0019294F">
        <w:rPr>
          <w:color w:val="C00000"/>
          <w:lang w:val="en-US"/>
        </w:rPr>
        <w:t xml:space="preserve"> City of Cape Town, 2017. </w:t>
      </w:r>
      <w:r w:rsidRPr="0019294F">
        <w:rPr>
          <w:color w:val="C00000"/>
        </w:rPr>
        <w:t xml:space="preserve">Green pays: City’s R1 billion bond a resounding success in the market. Available at: </w:t>
      </w:r>
      <w:hyperlink r:id="rId2" w:history="1">
        <w:r w:rsidRPr="0019294F">
          <w:rPr>
            <w:rStyle w:val="Hyperlink"/>
            <w:color w:val="C00000"/>
          </w:rPr>
          <w:t>https://www.capetown.gov.za/media-and-news/Green%20pays%20City</w:t>
        </w:r>
      </w:hyperlink>
      <w:r w:rsidRPr="0019294F">
        <w:rPr>
          <w:color w:val="C00000"/>
        </w:rPr>
        <w:t xml:space="preserve">  </w:t>
      </w:r>
    </w:p>
  </w:footnote>
  <w:footnote w:id="3">
    <w:p w14:paraId="5D4DD7D2" w14:textId="7BD36D94" w:rsidR="00592764" w:rsidRPr="0019294F" w:rsidRDefault="00592764" w:rsidP="0019294F">
      <w:pPr>
        <w:pStyle w:val="FootnoteText"/>
        <w:jc w:val="both"/>
        <w:rPr>
          <w:color w:val="C00000"/>
          <w:lang w:val="en-US"/>
        </w:rPr>
      </w:pPr>
      <w:r w:rsidRPr="0019294F">
        <w:rPr>
          <w:rStyle w:val="FootnoteReference"/>
          <w:color w:val="C00000"/>
        </w:rPr>
        <w:footnoteRef/>
      </w:r>
      <w:r w:rsidRPr="0019294F">
        <w:rPr>
          <w:color w:val="C00000"/>
          <w:lang w:val="es-CO"/>
        </w:rPr>
        <w:t xml:space="preserve"> Carbon Trust, 2016. Seguimiento y evaluación de la emisión del bono verde 2016 de la CDMX. </w:t>
      </w:r>
      <w:r w:rsidRPr="0019294F">
        <w:rPr>
          <w:color w:val="C00000"/>
          <w:lang w:val="en-US"/>
        </w:rPr>
        <w:t>Available at: http://www.data.sedema.cdmx.gob.mx/cambioclimaticocdmx/images/biblioteca_cc/Primer-reporte-Seguimiento-Bono-Verde-2016.pdf</w:t>
      </w:r>
    </w:p>
  </w:footnote>
  <w:footnote w:id="4">
    <w:p w14:paraId="619C2BA7" w14:textId="21B939E1" w:rsidR="006631B8" w:rsidRPr="0019294F" w:rsidRDefault="006631B8" w:rsidP="0019294F">
      <w:pPr>
        <w:pStyle w:val="FootnoteText"/>
        <w:jc w:val="both"/>
        <w:rPr>
          <w:color w:val="C00000"/>
        </w:rPr>
      </w:pPr>
      <w:r w:rsidRPr="0019294F">
        <w:rPr>
          <w:rStyle w:val="FootnoteReference"/>
          <w:color w:val="C00000"/>
        </w:rPr>
        <w:footnoteRef/>
      </w:r>
      <w:r w:rsidRPr="0019294F">
        <w:rPr>
          <w:color w:val="C00000"/>
        </w:rPr>
        <w:t xml:space="preserve"> Research collective: Properties in Transformation/Green Bonds. Available at: </w:t>
      </w:r>
      <w:r w:rsidRPr="0019294F">
        <w:rPr>
          <w:color w:val="C00000"/>
        </w:rPr>
        <w:t>http://propertiesintransformation.org/about-the-project/</w:t>
      </w:r>
    </w:p>
  </w:footnote>
  <w:footnote w:id="5">
    <w:p w14:paraId="22F58346" w14:textId="57C9189F" w:rsidR="00A41FAE" w:rsidRPr="0019294F" w:rsidRDefault="00A41FAE" w:rsidP="0019294F">
      <w:pPr>
        <w:pStyle w:val="FootnoteText"/>
        <w:jc w:val="both"/>
        <w:rPr>
          <w:color w:val="C00000"/>
        </w:rPr>
      </w:pPr>
      <w:r w:rsidRPr="0019294F">
        <w:rPr>
          <w:rStyle w:val="FootnoteReference"/>
          <w:color w:val="C00000"/>
        </w:rPr>
        <w:footnoteRef/>
      </w:r>
      <w:r w:rsidRPr="0019294F">
        <w:rPr>
          <w:color w:val="C00000"/>
        </w:rPr>
        <w:t xml:space="preserve"> For </w:t>
      </w:r>
      <w:r w:rsidR="0019294F" w:rsidRPr="0019294F">
        <w:rPr>
          <w:color w:val="C00000"/>
        </w:rPr>
        <w:t xml:space="preserve">instance, the Mexican Government issued more than </w:t>
      </w:r>
      <w:r w:rsidR="0019294F">
        <w:rPr>
          <w:color w:val="C00000"/>
        </w:rPr>
        <w:t xml:space="preserve">four </w:t>
      </w:r>
      <w:r w:rsidR="0019294F" w:rsidRPr="0019294F">
        <w:rPr>
          <w:color w:val="C00000"/>
        </w:rPr>
        <w:t xml:space="preserve">billion dollars in green bonds for the construction of the Texcoco airport, finally cancelled. Fariza, Ignacio; 2019. El País. </w:t>
      </w:r>
      <w:r w:rsidR="0019294F" w:rsidRPr="0019294F">
        <w:rPr>
          <w:color w:val="C00000"/>
          <w:lang w:val="en-US"/>
        </w:rPr>
        <w:t>“</w:t>
      </w:r>
      <w:r w:rsidR="0019294F" w:rsidRPr="0019294F">
        <w:rPr>
          <w:color w:val="C00000"/>
          <w:lang w:val="en-US"/>
        </w:rPr>
        <w:t xml:space="preserve">More than </w:t>
      </w:r>
      <w:r w:rsidR="0019294F">
        <w:rPr>
          <w:color w:val="C00000"/>
          <w:lang w:val="en-US"/>
        </w:rPr>
        <w:t>four</w:t>
      </w:r>
      <w:r w:rsidR="0019294F" w:rsidRPr="0019294F">
        <w:rPr>
          <w:color w:val="C00000"/>
          <w:lang w:val="en-US"/>
        </w:rPr>
        <w:t xml:space="preserve"> </w:t>
      </w:r>
      <w:r w:rsidR="003B79D0">
        <w:rPr>
          <w:color w:val="C00000"/>
          <w:lang w:val="en-US"/>
        </w:rPr>
        <w:t>b</w:t>
      </w:r>
      <w:r w:rsidR="0019294F" w:rsidRPr="0019294F">
        <w:rPr>
          <w:color w:val="C00000"/>
          <w:lang w:val="en-US"/>
        </w:rPr>
        <w:t>illion in debt for an airport that will not be built</w:t>
      </w:r>
      <w:r w:rsidR="0019294F" w:rsidRPr="0019294F">
        <w:rPr>
          <w:color w:val="C00000"/>
          <w:lang w:val="en-US"/>
        </w:rPr>
        <w:t>” (Original in Spanish: “</w:t>
      </w:r>
      <w:r w:rsidR="0019294F" w:rsidRPr="0019294F">
        <w:rPr>
          <w:color w:val="C00000"/>
          <w:lang w:val="en-US"/>
        </w:rPr>
        <w:t>Más de 4.000 millones en deuda para un aeropuerto que no se construirá</w:t>
      </w:r>
      <w:r w:rsidR="0019294F" w:rsidRPr="0019294F">
        <w:rPr>
          <w:color w:val="C00000"/>
          <w:lang w:val="en-US"/>
        </w:rPr>
        <w:t>”)</w:t>
      </w:r>
      <w:r w:rsidR="0019294F" w:rsidRPr="0019294F">
        <w:rPr>
          <w:color w:val="C00000"/>
        </w:rPr>
        <w:t xml:space="preserve">. Available at: </w:t>
      </w:r>
      <w:r w:rsidR="0019294F" w:rsidRPr="0019294F">
        <w:rPr>
          <w:color w:val="C00000"/>
        </w:rPr>
        <w:t>https://elpais.com/internacional/2019/04/29/mexico/1556556161_804392.html</w:t>
      </w:r>
    </w:p>
  </w:footnote>
  <w:footnote w:id="6">
    <w:p w14:paraId="3519B29C" w14:textId="12C63D7A" w:rsidR="003B79D0" w:rsidRPr="003B79D0" w:rsidRDefault="003B79D0">
      <w:pPr>
        <w:pStyle w:val="FootnoteText"/>
      </w:pPr>
      <w:r w:rsidRPr="003B79D0">
        <w:rPr>
          <w:rStyle w:val="FootnoteReference"/>
          <w:color w:val="C00000"/>
        </w:rPr>
        <w:footnoteRef/>
      </w:r>
      <w:r w:rsidRPr="003B79D0">
        <w:rPr>
          <w:color w:val="C00000"/>
        </w:rPr>
        <w:t xml:space="preserve"> The standards applied for the certification of </w:t>
      </w:r>
      <w:r>
        <w:rPr>
          <w:color w:val="C00000"/>
        </w:rPr>
        <w:t xml:space="preserve">the </w:t>
      </w:r>
      <w:r w:rsidR="00447B14">
        <w:rPr>
          <w:color w:val="C00000"/>
        </w:rPr>
        <w:t>g</w:t>
      </w:r>
      <w:r w:rsidRPr="003B79D0">
        <w:rPr>
          <w:color w:val="C00000"/>
        </w:rPr>
        <w:t xml:space="preserve">reen </w:t>
      </w:r>
      <w:r w:rsidR="00447B14">
        <w:rPr>
          <w:color w:val="C00000"/>
        </w:rPr>
        <w:t>c</w:t>
      </w:r>
      <w:r w:rsidRPr="003B79D0">
        <w:rPr>
          <w:color w:val="C00000"/>
        </w:rPr>
        <w:t xml:space="preserve">ity </w:t>
      </w:r>
      <w:r w:rsidR="00447B14">
        <w:rPr>
          <w:color w:val="C00000"/>
        </w:rPr>
        <w:t>b</w:t>
      </w:r>
      <w:r w:rsidRPr="003B79D0">
        <w:rPr>
          <w:color w:val="C00000"/>
        </w:rPr>
        <w:t xml:space="preserve">onds were designed by foreign and private initiatives. </w:t>
      </w:r>
    </w:p>
  </w:footnote>
  <w:footnote w:id="7">
    <w:p w14:paraId="680C37F1" w14:textId="3568D798" w:rsidR="003B79D0" w:rsidRPr="003B79D0" w:rsidRDefault="003B79D0">
      <w:pPr>
        <w:pStyle w:val="FootnoteText"/>
        <w:rPr>
          <w:color w:val="C00000"/>
        </w:rPr>
      </w:pPr>
      <w:r w:rsidRPr="003B79D0">
        <w:rPr>
          <w:rStyle w:val="FootnoteReference"/>
          <w:color w:val="C00000"/>
        </w:rPr>
        <w:footnoteRef/>
      </w:r>
      <w:r w:rsidRPr="003B79D0">
        <w:rPr>
          <w:color w:val="C00000"/>
        </w:rPr>
        <w:t xml:space="preserve"> For context: Pronina, Lyubov and Freke, Torm. 2019. Bloomberg. </w:t>
      </w:r>
      <w:r w:rsidRPr="003B79D0">
        <w:rPr>
          <w:color w:val="C00000"/>
        </w:rPr>
        <w:t>As Green Bonds Boom, So Do ‘Greenwashing’ Worries</w:t>
      </w:r>
      <w:r w:rsidRPr="003B79D0">
        <w:rPr>
          <w:color w:val="C00000"/>
        </w:rPr>
        <w:t xml:space="preserve">. Availablet at: </w:t>
      </w:r>
      <w:r w:rsidRPr="003B79D0">
        <w:rPr>
          <w:color w:val="C00000"/>
        </w:rPr>
        <w:t>https://www.bloomberg.com/news/articles/2019-10-14/as-green-bonds-boom-so-do-greenwashing-worries-quicktake</w:t>
      </w:r>
    </w:p>
  </w:footnote>
  <w:footnote w:id="8">
    <w:p w14:paraId="6539E1AA" w14:textId="77777777" w:rsidR="001A53CF" w:rsidRPr="0019294F" w:rsidRDefault="001A53CF" w:rsidP="0019294F">
      <w:pPr>
        <w:pStyle w:val="FootnoteText"/>
        <w:jc w:val="both"/>
        <w:rPr>
          <w:color w:val="C00000"/>
        </w:rPr>
      </w:pPr>
      <w:r w:rsidRPr="0019294F">
        <w:rPr>
          <w:rStyle w:val="FootnoteReference"/>
          <w:color w:val="C00000"/>
        </w:rPr>
        <w:footnoteRef/>
      </w:r>
      <w:r w:rsidRPr="0019294F">
        <w:rPr>
          <w:color w:val="C00000"/>
        </w:rPr>
        <w:t xml:space="preserve"> IFC, part of the World Bank Group; 2016. MOBILIZING PRIVATE CLIMATE FINANCE—GREEN</w:t>
      </w:r>
    </w:p>
    <w:p w14:paraId="78932174" w14:textId="77777777" w:rsidR="001A53CF" w:rsidRPr="0019294F" w:rsidRDefault="001A53CF" w:rsidP="0019294F">
      <w:pPr>
        <w:pStyle w:val="FootnoteText"/>
        <w:jc w:val="both"/>
        <w:rPr>
          <w:color w:val="C00000"/>
          <w:lang w:val="en-US"/>
        </w:rPr>
      </w:pPr>
      <w:r w:rsidRPr="0019294F">
        <w:rPr>
          <w:color w:val="C00000"/>
        </w:rPr>
        <w:t xml:space="preserve">BONDS AND BEYOND. </w:t>
      </w:r>
      <w:r w:rsidRPr="0019294F">
        <w:rPr>
          <w:color w:val="C00000"/>
          <w:lang w:val="en-US"/>
        </w:rPr>
        <w:t xml:space="preserve">Available at </w:t>
      </w:r>
      <w:hyperlink r:id="rId3" w:anchor=":~:text=The%20first%20green%20bond%20was,energy%20and%20energy%20efficiency%20projects" w:history="1">
        <w:r w:rsidRPr="0019294F">
          <w:rPr>
            <w:rStyle w:val="Hyperlink"/>
            <w:color w:val="C00000"/>
            <w:lang w:val="en-US"/>
          </w:rPr>
          <w:t>https://www.ifc.org/wps/wcm/connect/2996f197-a75b-422a-9e2f-cdc022d8ea96/EMCompass+Note+25+Green+Bonds+FINAL+12-5.pdf?MOD=AJPERES&amp;CVID=lzgXSmr#:~:text=The%20first%20green%20bond%20was,energy%20and%20energy%20efficiency%20projects</w:t>
        </w:r>
      </w:hyperlink>
      <w:r w:rsidRPr="0019294F">
        <w:rPr>
          <w:color w:val="C00000"/>
          <w:lang w:val="en-US"/>
        </w:rPr>
        <w:t xml:space="preserve">. </w:t>
      </w:r>
    </w:p>
  </w:footnote>
  <w:footnote w:id="9">
    <w:p w14:paraId="3F775228" w14:textId="77777777" w:rsidR="001A53CF" w:rsidRPr="0019294F" w:rsidRDefault="001A53CF" w:rsidP="0019294F">
      <w:pPr>
        <w:pStyle w:val="FootnoteText"/>
        <w:jc w:val="both"/>
        <w:rPr>
          <w:color w:val="C00000"/>
          <w:lang w:val="en-US"/>
        </w:rPr>
      </w:pPr>
      <w:r w:rsidRPr="0019294F">
        <w:rPr>
          <w:rStyle w:val="FootnoteReference"/>
          <w:color w:val="C00000"/>
        </w:rPr>
        <w:footnoteRef/>
      </w:r>
      <w:r w:rsidRPr="0019294F">
        <w:rPr>
          <w:color w:val="C00000"/>
          <w:lang w:val="en-US"/>
        </w:rPr>
        <w:t xml:space="preserve"> International Capital Market Association (ICMA), 2016. The Green Bond Principles. Available at </w:t>
      </w:r>
      <w:hyperlink r:id="rId4" w:history="1">
        <w:r w:rsidRPr="0019294F">
          <w:rPr>
            <w:rStyle w:val="Hyperlink"/>
            <w:color w:val="C00000"/>
            <w:lang w:val="en-US"/>
          </w:rPr>
          <w:t>https://www.icmagroup.org/assets/documents/Regulatory/Green-Bonds/Green-Bonds-brochure-150616.pdf</w:t>
        </w:r>
      </w:hyperlink>
      <w:r w:rsidRPr="0019294F">
        <w:rPr>
          <w:color w:val="C00000"/>
          <w:lang w:val="en-US"/>
        </w:rPr>
        <w:t xml:space="preserve"> </w:t>
      </w:r>
    </w:p>
  </w:footnote>
  <w:footnote w:id="10">
    <w:p w14:paraId="2C41658E" w14:textId="77777777" w:rsidR="00D30408" w:rsidRPr="0019294F" w:rsidRDefault="00D30408" w:rsidP="0019294F">
      <w:pPr>
        <w:pStyle w:val="FootnoteText"/>
        <w:jc w:val="both"/>
        <w:rPr>
          <w:color w:val="C00000"/>
          <w:lang w:val="en-US"/>
        </w:rPr>
      </w:pPr>
      <w:r w:rsidRPr="0019294F">
        <w:rPr>
          <w:rStyle w:val="FootnoteReference"/>
          <w:color w:val="C00000"/>
        </w:rPr>
        <w:footnoteRef/>
      </w:r>
      <w:r w:rsidRPr="0019294F">
        <w:rPr>
          <w:color w:val="C00000"/>
        </w:rPr>
        <w:t xml:space="preserve"> </w:t>
      </w:r>
      <w:r w:rsidRPr="0019294F">
        <w:rPr>
          <w:color w:val="C00000"/>
          <w:lang w:val="en-US"/>
        </w:rPr>
        <w:t xml:space="preserve">Green City Bonds Coalition, 2015. HOW TO ISSUE A GREEN MUNI BOND. Available at </w:t>
      </w:r>
      <w:hyperlink r:id="rId5" w:history="1">
        <w:r w:rsidRPr="0019294F">
          <w:rPr>
            <w:rStyle w:val="Hyperlink"/>
            <w:color w:val="C00000"/>
            <w:lang w:val="en-US"/>
          </w:rPr>
          <w:t>https://www.climatebonds.net/files/files/Green%20City%20Playbook.pdf</w:t>
        </w:r>
      </w:hyperlink>
      <w:r w:rsidRPr="0019294F">
        <w:rPr>
          <w:color w:val="C00000"/>
          <w:lang w:val="en-US"/>
        </w:rPr>
        <w:t xml:space="preserve">  </w:t>
      </w:r>
    </w:p>
  </w:footnote>
  <w:footnote w:id="11">
    <w:p w14:paraId="63E1BAD2" w14:textId="77777777" w:rsidR="00D30408" w:rsidRPr="0019294F" w:rsidRDefault="00D30408" w:rsidP="0019294F">
      <w:pPr>
        <w:pStyle w:val="FootnoteText"/>
        <w:jc w:val="both"/>
        <w:rPr>
          <w:color w:val="C00000"/>
          <w:lang w:val="es-CO"/>
        </w:rPr>
      </w:pPr>
      <w:r w:rsidRPr="0019294F">
        <w:rPr>
          <w:rStyle w:val="FootnoteReference"/>
          <w:color w:val="C00000"/>
        </w:rPr>
        <w:footnoteRef/>
      </w:r>
      <w:r w:rsidRPr="0019294F">
        <w:rPr>
          <w:color w:val="C00000"/>
          <w:lang w:val="es-CO"/>
        </w:rPr>
        <w:t xml:space="preserve"> Carbon Trust, 2016. Seguimiento y evaluación de la emisión del bono verde 2016 de la CDMX. http://www.data.sedema.cdmx.gob.mx/cambioclimaticocdmx/images/biblioteca_cc/Primer-reporte-Seguimiento-Bono-Verde-2016.pdf</w:t>
      </w:r>
    </w:p>
  </w:footnote>
  <w:footnote w:id="12">
    <w:p w14:paraId="65C8FA01" w14:textId="77777777" w:rsidR="00D30408" w:rsidRPr="0019294F" w:rsidRDefault="00D30408" w:rsidP="0019294F">
      <w:pPr>
        <w:pStyle w:val="FootnoteText"/>
        <w:jc w:val="both"/>
        <w:rPr>
          <w:color w:val="C00000"/>
          <w:lang w:val="en-US"/>
        </w:rPr>
      </w:pPr>
      <w:r w:rsidRPr="0019294F">
        <w:rPr>
          <w:rStyle w:val="FootnoteReference"/>
          <w:color w:val="C00000"/>
        </w:rPr>
        <w:footnoteRef/>
      </w:r>
      <w:r w:rsidRPr="0019294F">
        <w:rPr>
          <w:color w:val="C00000"/>
        </w:rPr>
        <w:t xml:space="preserve"> San Francisco Public Utilities Commission. (2016). Public Statement Wastewater Revenue Bonds.</w:t>
      </w:r>
    </w:p>
  </w:footnote>
  <w:footnote w:id="13">
    <w:p w14:paraId="6A2BF1E5" w14:textId="77777777" w:rsidR="00D30408" w:rsidRPr="0019294F" w:rsidRDefault="00D30408" w:rsidP="0019294F">
      <w:pPr>
        <w:pStyle w:val="FootnoteText"/>
        <w:jc w:val="both"/>
        <w:rPr>
          <w:color w:val="C00000"/>
          <w:lang w:val="en-US"/>
        </w:rPr>
      </w:pPr>
      <w:r w:rsidRPr="0019294F">
        <w:rPr>
          <w:rStyle w:val="FootnoteReference"/>
          <w:color w:val="C00000"/>
        </w:rPr>
        <w:footnoteRef/>
      </w:r>
      <w:r w:rsidRPr="0019294F">
        <w:rPr>
          <w:color w:val="C00000"/>
        </w:rPr>
        <w:t xml:space="preserve"> </w:t>
      </w:r>
      <w:r w:rsidRPr="0019294F">
        <w:rPr>
          <w:color w:val="C00000"/>
          <w:lang w:val="en-US"/>
        </w:rPr>
        <w:t xml:space="preserve">City of Cape Town, 2017. </w:t>
      </w:r>
      <w:r w:rsidRPr="0019294F">
        <w:rPr>
          <w:i/>
          <w:iCs/>
          <w:color w:val="C00000"/>
          <w:lang w:val="en-US"/>
        </w:rPr>
        <w:t>Green pays: City’s R1 billion bond a resounding success in the market</w:t>
      </w:r>
      <w:r w:rsidRPr="0019294F">
        <w:rPr>
          <w:color w:val="C00000"/>
          <w:lang w:val="en-US"/>
        </w:rPr>
        <w:t>.</w:t>
      </w:r>
    </w:p>
  </w:footnote>
  <w:footnote w:id="14">
    <w:p w14:paraId="32EBCFDC" w14:textId="77777777" w:rsidR="00D30408" w:rsidRPr="0019294F" w:rsidRDefault="00D30408" w:rsidP="0019294F">
      <w:pPr>
        <w:pStyle w:val="FootnoteText"/>
        <w:jc w:val="both"/>
        <w:rPr>
          <w:color w:val="C00000"/>
        </w:rPr>
      </w:pPr>
      <w:r w:rsidRPr="0019294F">
        <w:rPr>
          <w:rStyle w:val="FootnoteReference"/>
          <w:color w:val="C00000"/>
        </w:rPr>
        <w:footnoteRef/>
      </w:r>
      <w:r w:rsidRPr="0019294F">
        <w:rPr>
          <w:color w:val="C00000"/>
        </w:rPr>
        <w:t xml:space="preserve"> The Economic Times, 2021. Ghaziabad Municipal Corp lists first green bonds. Available at https://economictimes.indiatimes.com/markets/stocks/news/ghaziabad-municipal-corp-lists-first-green-bonds/articleshow/81974055.cms?utm_source=contentofinterest&amp;utm_medium=text&amp;utm_campaign=cppst</w:t>
      </w:r>
    </w:p>
  </w:footnote>
  <w:footnote w:id="15">
    <w:p w14:paraId="0DB1EE5C" w14:textId="126B24F3" w:rsidR="009C3069" w:rsidRPr="0019294F" w:rsidRDefault="009C3069" w:rsidP="0019294F">
      <w:pPr>
        <w:pStyle w:val="FootnoteText"/>
        <w:jc w:val="both"/>
        <w:rPr>
          <w:color w:val="C00000"/>
          <w:lang w:val="es-CO"/>
        </w:rPr>
      </w:pPr>
      <w:r w:rsidRPr="0019294F">
        <w:rPr>
          <w:rStyle w:val="FootnoteReference"/>
          <w:color w:val="C00000"/>
        </w:rPr>
        <w:footnoteRef/>
      </w:r>
      <w:r w:rsidRPr="0019294F">
        <w:rPr>
          <w:color w:val="C00000"/>
        </w:rPr>
        <w:t xml:space="preserve"> Human Rights Council</w:t>
      </w:r>
      <w:r w:rsidR="00347E86">
        <w:rPr>
          <w:color w:val="C00000"/>
        </w:rPr>
        <w:t xml:space="preserve"> </w:t>
      </w:r>
      <w:r w:rsidR="00347E86" w:rsidRPr="00347E86">
        <w:rPr>
          <w:color w:val="C00000"/>
        </w:rPr>
        <w:t>Resolution</w:t>
      </w:r>
      <w:r w:rsidR="00347E86">
        <w:rPr>
          <w:color w:val="C00000"/>
        </w:rPr>
        <w:t xml:space="preserve"> 15/9</w:t>
      </w:r>
      <w:r w:rsidRPr="0019294F">
        <w:rPr>
          <w:color w:val="C00000"/>
        </w:rPr>
        <w:t xml:space="preserve">, 2010. Human rights and access to safe drinking water and sanitation. </w:t>
      </w:r>
      <w:r w:rsidRPr="0019294F">
        <w:rPr>
          <w:color w:val="C00000"/>
          <w:lang w:val="es-CO"/>
        </w:rPr>
        <w:t>Available at: https://undocs.org/A/HRC/RES/15/9</w:t>
      </w:r>
    </w:p>
  </w:footnote>
  <w:footnote w:id="16">
    <w:p w14:paraId="35263AAC" w14:textId="09A46174" w:rsidR="00D0025F" w:rsidRPr="0019294F" w:rsidRDefault="00D0025F" w:rsidP="0019294F">
      <w:pPr>
        <w:pStyle w:val="FootnoteText"/>
        <w:jc w:val="both"/>
        <w:rPr>
          <w:color w:val="C00000"/>
          <w:lang w:val="en-US"/>
        </w:rPr>
      </w:pPr>
      <w:r w:rsidRPr="0019294F">
        <w:rPr>
          <w:rStyle w:val="FootnoteReference"/>
          <w:color w:val="C00000"/>
        </w:rPr>
        <w:footnoteRef/>
      </w:r>
      <w:r w:rsidRPr="0019294F">
        <w:rPr>
          <w:color w:val="C00000"/>
          <w:lang w:val="es-CO"/>
        </w:rPr>
        <w:t xml:space="preserve"> M</w:t>
      </w:r>
      <w:r w:rsidR="003B79D0" w:rsidRPr="0019294F">
        <w:rPr>
          <w:color w:val="C00000"/>
          <w:lang w:val="es-CO"/>
        </w:rPr>
        <w:t>iola</w:t>
      </w:r>
      <w:r w:rsidRPr="0019294F">
        <w:rPr>
          <w:color w:val="C00000"/>
          <w:lang w:val="es-CO"/>
        </w:rPr>
        <w:t>, Iagê, J</w:t>
      </w:r>
      <w:r w:rsidR="003B79D0" w:rsidRPr="0019294F">
        <w:rPr>
          <w:color w:val="C00000"/>
          <w:lang w:val="es-CO"/>
        </w:rPr>
        <w:t>unqueira</w:t>
      </w:r>
      <w:r w:rsidRPr="0019294F">
        <w:rPr>
          <w:color w:val="C00000"/>
          <w:lang w:val="es-CO"/>
        </w:rPr>
        <w:t>, Gabriela de Oliveira, P</w:t>
      </w:r>
      <w:r w:rsidR="003B79D0" w:rsidRPr="0019294F">
        <w:rPr>
          <w:color w:val="C00000"/>
          <w:lang w:val="es-CO"/>
        </w:rPr>
        <w:t>rol</w:t>
      </w:r>
      <w:r w:rsidRPr="0019294F">
        <w:rPr>
          <w:color w:val="C00000"/>
          <w:lang w:val="es-CO"/>
        </w:rPr>
        <w:t>, Flávio, F</w:t>
      </w:r>
      <w:r w:rsidR="003B79D0" w:rsidRPr="0019294F">
        <w:rPr>
          <w:color w:val="C00000"/>
          <w:lang w:val="es-CO"/>
        </w:rPr>
        <w:t>errando</w:t>
      </w:r>
      <w:r w:rsidRPr="0019294F">
        <w:rPr>
          <w:color w:val="C00000"/>
          <w:lang w:val="es-CO"/>
        </w:rPr>
        <w:t>, Tomaso, V</w:t>
      </w:r>
      <w:r w:rsidR="003B79D0" w:rsidRPr="0019294F">
        <w:rPr>
          <w:color w:val="C00000"/>
          <w:lang w:val="es-CO"/>
        </w:rPr>
        <w:t>ecchione</w:t>
      </w:r>
      <w:r w:rsidRPr="0019294F">
        <w:rPr>
          <w:color w:val="C00000"/>
          <w:lang w:val="es-CO"/>
        </w:rPr>
        <w:t>-G</w:t>
      </w:r>
      <w:r w:rsidR="003B79D0" w:rsidRPr="0019294F">
        <w:rPr>
          <w:color w:val="C00000"/>
          <w:lang w:val="es-CO"/>
        </w:rPr>
        <w:t>onçalves</w:t>
      </w:r>
      <w:r w:rsidRPr="0019294F">
        <w:rPr>
          <w:color w:val="C00000"/>
          <w:lang w:val="es-CO"/>
        </w:rPr>
        <w:t>, Marcela y H</w:t>
      </w:r>
      <w:r w:rsidR="003B79D0" w:rsidRPr="003B79D0">
        <w:rPr>
          <w:color w:val="C00000"/>
          <w:lang w:val="es-CO"/>
        </w:rPr>
        <w:t>errera</w:t>
      </w:r>
      <w:r w:rsidRPr="0019294F">
        <w:rPr>
          <w:color w:val="C00000"/>
          <w:lang w:val="es-CO"/>
        </w:rPr>
        <w:t xml:space="preserve">, Héctor (2021). “Bonos verdes en la ecología-mundo: capital, naturaleza y poder en la expansión financiarizada de la industria forestal en Brasil”, Relaciones Internacionales, nº 46, pp. 161-180. Available at </w:t>
      </w:r>
      <w:hyperlink r:id="rId6" w:history="1">
        <w:r w:rsidRPr="0019294F">
          <w:rPr>
            <w:rStyle w:val="Hyperlink"/>
            <w:color w:val="C00000"/>
            <w:lang w:val="es-CO"/>
          </w:rPr>
          <w:t>https://revistas.uam.es/relacionesinternacionales/article/view/12866/13372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0AA7" w14:textId="77777777" w:rsidR="00C82C71" w:rsidRDefault="00C82C71" w:rsidP="00C82C71">
    <w:pPr>
      <w:pStyle w:val="Header"/>
      <w:tabs>
        <w:tab w:val="clear" w:pos="4153"/>
        <w:tab w:val="clear" w:pos="8306"/>
      </w:tabs>
      <w:jc w:val="center"/>
      <w:rPr>
        <w:sz w:val="14"/>
        <w:szCs w:val="14"/>
        <w:lang w:val="en-GB"/>
      </w:rPr>
    </w:pPr>
    <w:r w:rsidRPr="00C82C71">
      <w:rPr>
        <w:noProof/>
        <w:sz w:val="14"/>
        <w:szCs w:val="14"/>
        <w:lang w:val="en-GB" w:eastAsia="en-GB"/>
      </w:rPr>
      <w:drawing>
        <wp:inline distT="0" distB="0" distL="0" distR="0" wp14:anchorId="37A0C6DE" wp14:editId="2DFA164E">
          <wp:extent cx="2910539" cy="1263174"/>
          <wp:effectExtent l="0" t="0" r="0" b="0"/>
          <wp:docPr id="7" name="Picture 7" descr="\\fshq.ad.ohchr.org\redirected$\pascal.garde\Desktop\CHULETAS\SP logos\Blue\English\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English\SP Logo blue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5807" cy="1274140"/>
                  </a:xfrm>
                  <a:prstGeom prst="rect">
                    <a:avLst/>
                  </a:prstGeom>
                  <a:noFill/>
                  <a:ln>
                    <a:noFill/>
                  </a:ln>
                </pic:spPr>
              </pic:pic>
            </a:graphicData>
          </a:graphic>
        </wp:inline>
      </w:drawing>
    </w:r>
  </w:p>
  <w:p w14:paraId="582C6B21" w14:textId="77777777" w:rsidR="00B63932" w:rsidRPr="00080556"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080556">
      <w:rPr>
        <w:sz w:val="14"/>
        <w:szCs w:val="14"/>
        <w:lang w:val="fr-FR"/>
      </w:rPr>
      <w:t>PALAIS DES NATIONS • 1211 GENEVA 10, SWITZERLAND</w:t>
    </w:r>
  </w:p>
  <w:p w14:paraId="3B16AF40" w14:textId="09C2CCC6" w:rsidR="00B63932" w:rsidRPr="00080556"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080556">
      <w:rPr>
        <w:sz w:val="14"/>
        <w:szCs w:val="14"/>
        <w:lang w:val="fr-FR"/>
      </w:rPr>
      <w:t>www.ohchr.org • TEL: +41 22 917 9000 • FAX: +41 22 917 9008 • E-MAIL:</w:t>
    </w:r>
    <w:r w:rsidR="00447B14">
      <w:rPr>
        <w:sz w:val="14"/>
        <w:szCs w:val="14"/>
        <w:lang w:val="fr-FR"/>
      </w:rPr>
      <w:t xml:space="preserve"> </w:t>
    </w:r>
    <w:r w:rsidR="00447B14" w:rsidRPr="00447B14">
      <w:rPr>
        <w:sz w:val="14"/>
        <w:szCs w:val="14"/>
        <w:lang w:val="fr-FR"/>
      </w:rPr>
      <w:t>registry@ohchr.org</w:t>
    </w:r>
  </w:p>
  <w:p w14:paraId="2281DE37" w14:textId="77777777" w:rsidR="00D07E85" w:rsidRPr="00080556" w:rsidRDefault="00D07E85" w:rsidP="00B63932">
    <w:pPr>
      <w:jc w:val="center"/>
      <w:rPr>
        <w:b/>
        <w:bCs/>
        <w:lang w:val="fr-FR"/>
      </w:rPr>
    </w:pPr>
  </w:p>
  <w:p w14:paraId="704E080F" w14:textId="427F2381" w:rsidR="00B63932" w:rsidRPr="00854B2F" w:rsidRDefault="00B63932" w:rsidP="00B63932">
    <w:pPr>
      <w:jc w:val="center"/>
    </w:pPr>
    <w:r>
      <w:rPr>
        <w:b/>
        <w:bCs/>
      </w:rPr>
      <w:t xml:space="preserve">Mandate of </w:t>
    </w:r>
    <w:r>
      <w:rPr>
        <w:b/>
        <w:bCs/>
        <w:noProof/>
      </w:rPr>
      <w:t xml:space="preserve">the </w:t>
    </w:r>
    <w:r w:rsidRPr="005F51F0">
      <w:rPr>
        <w:b/>
        <w:bCs/>
        <w:noProof/>
      </w:rPr>
      <w:t>Special Rapporteur on the human rights to safe drinking water and sanitation</w:t>
    </w:r>
  </w:p>
  <w:p w14:paraId="7C98112B" w14:textId="77777777" w:rsidR="00854B2F" w:rsidRPr="00925A9D" w:rsidRDefault="00854B2F" w:rsidP="00854B2F">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6CF6"/>
    <w:multiLevelType w:val="multilevel"/>
    <w:tmpl w:val="DC765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5BB09F9"/>
    <w:multiLevelType w:val="hybridMultilevel"/>
    <w:tmpl w:val="7F764678"/>
    <w:lvl w:ilvl="0" w:tplc="964A1D4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1."/>
        <w:lvlJc w:val="left"/>
      </w:lvl>
    </w:lvlOverride>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0906"/>
    <w:rsid w:val="000225FC"/>
    <w:rsid w:val="00026D1F"/>
    <w:rsid w:val="000331C0"/>
    <w:rsid w:val="0003674D"/>
    <w:rsid w:val="00036BA1"/>
    <w:rsid w:val="0004435F"/>
    <w:rsid w:val="0005390B"/>
    <w:rsid w:val="00063BFD"/>
    <w:rsid w:val="00077294"/>
    <w:rsid w:val="00080556"/>
    <w:rsid w:val="000875C6"/>
    <w:rsid w:val="00091BF0"/>
    <w:rsid w:val="000A2B89"/>
    <w:rsid w:val="000A6F03"/>
    <w:rsid w:val="000B3EE4"/>
    <w:rsid w:val="000C7660"/>
    <w:rsid w:val="000D210E"/>
    <w:rsid w:val="000D34F2"/>
    <w:rsid w:val="000D5600"/>
    <w:rsid w:val="000E0F8F"/>
    <w:rsid w:val="000E2860"/>
    <w:rsid w:val="000E42EE"/>
    <w:rsid w:val="000F183C"/>
    <w:rsid w:val="00103AE3"/>
    <w:rsid w:val="00106F64"/>
    <w:rsid w:val="00115798"/>
    <w:rsid w:val="00117F5F"/>
    <w:rsid w:val="001205D6"/>
    <w:rsid w:val="0013487C"/>
    <w:rsid w:val="001456CB"/>
    <w:rsid w:val="001537CC"/>
    <w:rsid w:val="00153DB2"/>
    <w:rsid w:val="0015615C"/>
    <w:rsid w:val="001661FB"/>
    <w:rsid w:val="001676BA"/>
    <w:rsid w:val="00183B60"/>
    <w:rsid w:val="00191497"/>
    <w:rsid w:val="0019294F"/>
    <w:rsid w:val="00194332"/>
    <w:rsid w:val="00196A2E"/>
    <w:rsid w:val="001A07F8"/>
    <w:rsid w:val="001A4835"/>
    <w:rsid w:val="001A53CF"/>
    <w:rsid w:val="001A74E1"/>
    <w:rsid w:val="001B3B8A"/>
    <w:rsid w:val="001B7B09"/>
    <w:rsid w:val="001C4360"/>
    <w:rsid w:val="001D3313"/>
    <w:rsid w:val="001E3384"/>
    <w:rsid w:val="0020031B"/>
    <w:rsid w:val="0020162B"/>
    <w:rsid w:val="002028A9"/>
    <w:rsid w:val="00203326"/>
    <w:rsid w:val="0021296A"/>
    <w:rsid w:val="002129D5"/>
    <w:rsid w:val="00221893"/>
    <w:rsid w:val="00224386"/>
    <w:rsid w:val="00227E2F"/>
    <w:rsid w:val="00230775"/>
    <w:rsid w:val="00235A1A"/>
    <w:rsid w:val="002431DB"/>
    <w:rsid w:val="00244860"/>
    <w:rsid w:val="0024583B"/>
    <w:rsid w:val="0025174E"/>
    <w:rsid w:val="00257195"/>
    <w:rsid w:val="002649BC"/>
    <w:rsid w:val="00266D70"/>
    <w:rsid w:val="0027439F"/>
    <w:rsid w:val="00282E14"/>
    <w:rsid w:val="0028624E"/>
    <w:rsid w:val="002863A2"/>
    <w:rsid w:val="002873B2"/>
    <w:rsid w:val="00293243"/>
    <w:rsid w:val="002969BF"/>
    <w:rsid w:val="002A2F06"/>
    <w:rsid w:val="002A3A91"/>
    <w:rsid w:val="002D5683"/>
    <w:rsid w:val="002E65F4"/>
    <w:rsid w:val="00305B08"/>
    <w:rsid w:val="00322900"/>
    <w:rsid w:val="003247F6"/>
    <w:rsid w:val="00335015"/>
    <w:rsid w:val="00335FB9"/>
    <w:rsid w:val="00341BCA"/>
    <w:rsid w:val="00344DCD"/>
    <w:rsid w:val="00347E86"/>
    <w:rsid w:val="00356299"/>
    <w:rsid w:val="003577DB"/>
    <w:rsid w:val="00366C3C"/>
    <w:rsid w:val="00375D3B"/>
    <w:rsid w:val="00380489"/>
    <w:rsid w:val="003826C9"/>
    <w:rsid w:val="00387EBA"/>
    <w:rsid w:val="003956EF"/>
    <w:rsid w:val="00396E4C"/>
    <w:rsid w:val="003A1493"/>
    <w:rsid w:val="003A3957"/>
    <w:rsid w:val="003A5621"/>
    <w:rsid w:val="003B79D0"/>
    <w:rsid w:val="003C0E4B"/>
    <w:rsid w:val="003C37C3"/>
    <w:rsid w:val="003C4BB9"/>
    <w:rsid w:val="003D0C10"/>
    <w:rsid w:val="003D3D66"/>
    <w:rsid w:val="003E552B"/>
    <w:rsid w:val="00401FD2"/>
    <w:rsid w:val="00410560"/>
    <w:rsid w:val="004112B9"/>
    <w:rsid w:val="00411C0A"/>
    <w:rsid w:val="004153DE"/>
    <w:rsid w:val="00415EFC"/>
    <w:rsid w:val="0043060F"/>
    <w:rsid w:val="00433302"/>
    <w:rsid w:val="00437C30"/>
    <w:rsid w:val="00440385"/>
    <w:rsid w:val="00440873"/>
    <w:rsid w:val="00440E30"/>
    <w:rsid w:val="00440ED0"/>
    <w:rsid w:val="00443DF5"/>
    <w:rsid w:val="00445F51"/>
    <w:rsid w:val="00447412"/>
    <w:rsid w:val="00447B14"/>
    <w:rsid w:val="00455C6D"/>
    <w:rsid w:val="00456419"/>
    <w:rsid w:val="00460258"/>
    <w:rsid w:val="00476A72"/>
    <w:rsid w:val="00483FC0"/>
    <w:rsid w:val="004A2BE7"/>
    <w:rsid w:val="004A5D9B"/>
    <w:rsid w:val="004B4CAC"/>
    <w:rsid w:val="004B709A"/>
    <w:rsid w:val="004C044F"/>
    <w:rsid w:val="004D21C9"/>
    <w:rsid w:val="004D2BFB"/>
    <w:rsid w:val="004D3D30"/>
    <w:rsid w:val="004D5717"/>
    <w:rsid w:val="004D5D19"/>
    <w:rsid w:val="004E0AB6"/>
    <w:rsid w:val="004E49EC"/>
    <w:rsid w:val="004E4D86"/>
    <w:rsid w:val="004E68BD"/>
    <w:rsid w:val="004F4DB0"/>
    <w:rsid w:val="00513949"/>
    <w:rsid w:val="005167F0"/>
    <w:rsid w:val="0052044F"/>
    <w:rsid w:val="00520DCB"/>
    <w:rsid w:val="00525741"/>
    <w:rsid w:val="00530EF5"/>
    <w:rsid w:val="00535992"/>
    <w:rsid w:val="005417E4"/>
    <w:rsid w:val="005455F8"/>
    <w:rsid w:val="0055573E"/>
    <w:rsid w:val="00562D63"/>
    <w:rsid w:val="00570A1B"/>
    <w:rsid w:val="00570E41"/>
    <w:rsid w:val="00571912"/>
    <w:rsid w:val="00576638"/>
    <w:rsid w:val="005849E6"/>
    <w:rsid w:val="00585F8E"/>
    <w:rsid w:val="005871D9"/>
    <w:rsid w:val="00590218"/>
    <w:rsid w:val="00590C86"/>
    <w:rsid w:val="00592764"/>
    <w:rsid w:val="005957ED"/>
    <w:rsid w:val="005A5397"/>
    <w:rsid w:val="005B284C"/>
    <w:rsid w:val="005C677D"/>
    <w:rsid w:val="005D622D"/>
    <w:rsid w:val="005D78C8"/>
    <w:rsid w:val="005E21D7"/>
    <w:rsid w:val="005E7C37"/>
    <w:rsid w:val="005F283E"/>
    <w:rsid w:val="005F51F0"/>
    <w:rsid w:val="0060068B"/>
    <w:rsid w:val="0060785C"/>
    <w:rsid w:val="00610025"/>
    <w:rsid w:val="006121FC"/>
    <w:rsid w:val="00627A52"/>
    <w:rsid w:val="006305BD"/>
    <w:rsid w:val="0063213D"/>
    <w:rsid w:val="0063240F"/>
    <w:rsid w:val="00635102"/>
    <w:rsid w:val="00636BD7"/>
    <w:rsid w:val="006375A5"/>
    <w:rsid w:val="006412EA"/>
    <w:rsid w:val="00641846"/>
    <w:rsid w:val="00645695"/>
    <w:rsid w:val="00650CD4"/>
    <w:rsid w:val="00652DF9"/>
    <w:rsid w:val="00655B52"/>
    <w:rsid w:val="00655F57"/>
    <w:rsid w:val="006605E5"/>
    <w:rsid w:val="00660EDA"/>
    <w:rsid w:val="00661631"/>
    <w:rsid w:val="006617A4"/>
    <w:rsid w:val="006631B8"/>
    <w:rsid w:val="00667227"/>
    <w:rsid w:val="006749F6"/>
    <w:rsid w:val="00682D26"/>
    <w:rsid w:val="00682DDB"/>
    <w:rsid w:val="006834E4"/>
    <w:rsid w:val="0068618C"/>
    <w:rsid w:val="00687E4F"/>
    <w:rsid w:val="00692FAE"/>
    <w:rsid w:val="00695D3E"/>
    <w:rsid w:val="006A5B56"/>
    <w:rsid w:val="006A6BB2"/>
    <w:rsid w:val="006A6EFD"/>
    <w:rsid w:val="006A7352"/>
    <w:rsid w:val="006A7D2A"/>
    <w:rsid w:val="006B5A71"/>
    <w:rsid w:val="006D5B97"/>
    <w:rsid w:val="006D7D1C"/>
    <w:rsid w:val="006E6CC3"/>
    <w:rsid w:val="006F277F"/>
    <w:rsid w:val="006F790C"/>
    <w:rsid w:val="007114F8"/>
    <w:rsid w:val="00712363"/>
    <w:rsid w:val="00712EFD"/>
    <w:rsid w:val="00716D30"/>
    <w:rsid w:val="007210F6"/>
    <w:rsid w:val="00723438"/>
    <w:rsid w:val="00733660"/>
    <w:rsid w:val="00741EBC"/>
    <w:rsid w:val="007432E5"/>
    <w:rsid w:val="007450E8"/>
    <w:rsid w:val="007625BA"/>
    <w:rsid w:val="00776BDB"/>
    <w:rsid w:val="007813E0"/>
    <w:rsid w:val="00787D9D"/>
    <w:rsid w:val="00790C76"/>
    <w:rsid w:val="00790CBE"/>
    <w:rsid w:val="0079503A"/>
    <w:rsid w:val="00795469"/>
    <w:rsid w:val="00796654"/>
    <w:rsid w:val="00796729"/>
    <w:rsid w:val="00797214"/>
    <w:rsid w:val="007A4975"/>
    <w:rsid w:val="007B01A6"/>
    <w:rsid w:val="007B5929"/>
    <w:rsid w:val="007C3258"/>
    <w:rsid w:val="007C4483"/>
    <w:rsid w:val="007C4A8E"/>
    <w:rsid w:val="007C5369"/>
    <w:rsid w:val="007D1657"/>
    <w:rsid w:val="007D47FE"/>
    <w:rsid w:val="007E39E1"/>
    <w:rsid w:val="007F3068"/>
    <w:rsid w:val="007F7DA3"/>
    <w:rsid w:val="0081375D"/>
    <w:rsid w:val="0081788D"/>
    <w:rsid w:val="008179DA"/>
    <w:rsid w:val="008239B4"/>
    <w:rsid w:val="00842120"/>
    <w:rsid w:val="00842220"/>
    <w:rsid w:val="008427AA"/>
    <w:rsid w:val="00846503"/>
    <w:rsid w:val="00846B4A"/>
    <w:rsid w:val="00854B2F"/>
    <w:rsid w:val="008553DE"/>
    <w:rsid w:val="008568EA"/>
    <w:rsid w:val="00863357"/>
    <w:rsid w:val="00864E04"/>
    <w:rsid w:val="008656FA"/>
    <w:rsid w:val="00865AC3"/>
    <w:rsid w:val="00874280"/>
    <w:rsid w:val="008774E3"/>
    <w:rsid w:val="00883903"/>
    <w:rsid w:val="0089373E"/>
    <w:rsid w:val="00897F64"/>
    <w:rsid w:val="008A2623"/>
    <w:rsid w:val="008A2957"/>
    <w:rsid w:val="008B33E8"/>
    <w:rsid w:val="008B4DD7"/>
    <w:rsid w:val="008B4E97"/>
    <w:rsid w:val="008B4F3E"/>
    <w:rsid w:val="008B6B53"/>
    <w:rsid w:val="008C2924"/>
    <w:rsid w:val="008C60C0"/>
    <w:rsid w:val="008C74B0"/>
    <w:rsid w:val="008D1A3C"/>
    <w:rsid w:val="008D3B8A"/>
    <w:rsid w:val="008E0B63"/>
    <w:rsid w:val="008E46C1"/>
    <w:rsid w:val="008E65F1"/>
    <w:rsid w:val="008F3473"/>
    <w:rsid w:val="008F5EB5"/>
    <w:rsid w:val="009066BC"/>
    <w:rsid w:val="009240B2"/>
    <w:rsid w:val="00924F5B"/>
    <w:rsid w:val="00925A9D"/>
    <w:rsid w:val="009337F5"/>
    <w:rsid w:val="009358CD"/>
    <w:rsid w:val="00944040"/>
    <w:rsid w:val="00944E25"/>
    <w:rsid w:val="00945265"/>
    <w:rsid w:val="009469B5"/>
    <w:rsid w:val="00946B6F"/>
    <w:rsid w:val="00951601"/>
    <w:rsid w:val="009522FE"/>
    <w:rsid w:val="0095483A"/>
    <w:rsid w:val="00977C96"/>
    <w:rsid w:val="00982FCF"/>
    <w:rsid w:val="00983FB8"/>
    <w:rsid w:val="0098565E"/>
    <w:rsid w:val="00986237"/>
    <w:rsid w:val="00997618"/>
    <w:rsid w:val="009A2849"/>
    <w:rsid w:val="009B0864"/>
    <w:rsid w:val="009B2E48"/>
    <w:rsid w:val="009B2F61"/>
    <w:rsid w:val="009B459A"/>
    <w:rsid w:val="009C3069"/>
    <w:rsid w:val="009D76A9"/>
    <w:rsid w:val="009E00AF"/>
    <w:rsid w:val="009F18EC"/>
    <w:rsid w:val="009F2043"/>
    <w:rsid w:val="00A013EF"/>
    <w:rsid w:val="00A01741"/>
    <w:rsid w:val="00A0293C"/>
    <w:rsid w:val="00A07534"/>
    <w:rsid w:val="00A12C76"/>
    <w:rsid w:val="00A153DB"/>
    <w:rsid w:val="00A21EF1"/>
    <w:rsid w:val="00A34DA7"/>
    <w:rsid w:val="00A34F7E"/>
    <w:rsid w:val="00A364CF"/>
    <w:rsid w:val="00A3761B"/>
    <w:rsid w:val="00A40490"/>
    <w:rsid w:val="00A40E37"/>
    <w:rsid w:val="00A41FAE"/>
    <w:rsid w:val="00A439B9"/>
    <w:rsid w:val="00A54482"/>
    <w:rsid w:val="00A54FB5"/>
    <w:rsid w:val="00A561D0"/>
    <w:rsid w:val="00A564C7"/>
    <w:rsid w:val="00A60295"/>
    <w:rsid w:val="00A616BA"/>
    <w:rsid w:val="00A617E6"/>
    <w:rsid w:val="00A61D49"/>
    <w:rsid w:val="00A61E26"/>
    <w:rsid w:val="00A63977"/>
    <w:rsid w:val="00A86B19"/>
    <w:rsid w:val="00A86E08"/>
    <w:rsid w:val="00A9048E"/>
    <w:rsid w:val="00A92159"/>
    <w:rsid w:val="00A92515"/>
    <w:rsid w:val="00A95386"/>
    <w:rsid w:val="00AA2691"/>
    <w:rsid w:val="00AA3895"/>
    <w:rsid w:val="00AA7C90"/>
    <w:rsid w:val="00AC50E4"/>
    <w:rsid w:val="00AC5AE9"/>
    <w:rsid w:val="00AD1796"/>
    <w:rsid w:val="00AD2946"/>
    <w:rsid w:val="00AD4CA9"/>
    <w:rsid w:val="00AD75DC"/>
    <w:rsid w:val="00AE2231"/>
    <w:rsid w:val="00AE3819"/>
    <w:rsid w:val="00AE49DB"/>
    <w:rsid w:val="00AE69A2"/>
    <w:rsid w:val="00AE796C"/>
    <w:rsid w:val="00AF164A"/>
    <w:rsid w:val="00AF291B"/>
    <w:rsid w:val="00AF2AF4"/>
    <w:rsid w:val="00AF3626"/>
    <w:rsid w:val="00AF73D0"/>
    <w:rsid w:val="00B04529"/>
    <w:rsid w:val="00B12AE7"/>
    <w:rsid w:val="00B13589"/>
    <w:rsid w:val="00B14752"/>
    <w:rsid w:val="00B234F6"/>
    <w:rsid w:val="00B246B4"/>
    <w:rsid w:val="00B2618C"/>
    <w:rsid w:val="00B30EA6"/>
    <w:rsid w:val="00B31236"/>
    <w:rsid w:val="00B42B30"/>
    <w:rsid w:val="00B43D96"/>
    <w:rsid w:val="00B458F6"/>
    <w:rsid w:val="00B54DD5"/>
    <w:rsid w:val="00B57CC1"/>
    <w:rsid w:val="00B61545"/>
    <w:rsid w:val="00B63932"/>
    <w:rsid w:val="00B73FA8"/>
    <w:rsid w:val="00B73FD1"/>
    <w:rsid w:val="00B7425B"/>
    <w:rsid w:val="00B8448E"/>
    <w:rsid w:val="00B84F46"/>
    <w:rsid w:val="00BB4A33"/>
    <w:rsid w:val="00BD2C78"/>
    <w:rsid w:val="00BD6119"/>
    <w:rsid w:val="00BE4AC0"/>
    <w:rsid w:val="00BF539E"/>
    <w:rsid w:val="00BF69D2"/>
    <w:rsid w:val="00C00DBD"/>
    <w:rsid w:val="00C07B5F"/>
    <w:rsid w:val="00C12BED"/>
    <w:rsid w:val="00C162CD"/>
    <w:rsid w:val="00C17B65"/>
    <w:rsid w:val="00C234D8"/>
    <w:rsid w:val="00C23DDD"/>
    <w:rsid w:val="00C32C7E"/>
    <w:rsid w:val="00C34749"/>
    <w:rsid w:val="00C35537"/>
    <w:rsid w:val="00C35851"/>
    <w:rsid w:val="00C37A2D"/>
    <w:rsid w:val="00C43DF8"/>
    <w:rsid w:val="00C50365"/>
    <w:rsid w:val="00C52776"/>
    <w:rsid w:val="00C6141D"/>
    <w:rsid w:val="00C636CB"/>
    <w:rsid w:val="00C64254"/>
    <w:rsid w:val="00C707EA"/>
    <w:rsid w:val="00C73CD7"/>
    <w:rsid w:val="00C74811"/>
    <w:rsid w:val="00C772EF"/>
    <w:rsid w:val="00C82C71"/>
    <w:rsid w:val="00C82CCE"/>
    <w:rsid w:val="00C87601"/>
    <w:rsid w:val="00CA65D2"/>
    <w:rsid w:val="00CA6CB7"/>
    <w:rsid w:val="00CB1BF6"/>
    <w:rsid w:val="00CB1C6E"/>
    <w:rsid w:val="00CB643B"/>
    <w:rsid w:val="00CB66B1"/>
    <w:rsid w:val="00CB7462"/>
    <w:rsid w:val="00CC5BEF"/>
    <w:rsid w:val="00CE6A0E"/>
    <w:rsid w:val="00CF2C0A"/>
    <w:rsid w:val="00CF785A"/>
    <w:rsid w:val="00D0025F"/>
    <w:rsid w:val="00D00DDC"/>
    <w:rsid w:val="00D02F61"/>
    <w:rsid w:val="00D075E5"/>
    <w:rsid w:val="00D07E85"/>
    <w:rsid w:val="00D1125E"/>
    <w:rsid w:val="00D115F7"/>
    <w:rsid w:val="00D129FA"/>
    <w:rsid w:val="00D230B7"/>
    <w:rsid w:val="00D30408"/>
    <w:rsid w:val="00D32E5B"/>
    <w:rsid w:val="00D337A9"/>
    <w:rsid w:val="00D3608E"/>
    <w:rsid w:val="00D36635"/>
    <w:rsid w:val="00D4007B"/>
    <w:rsid w:val="00D4635B"/>
    <w:rsid w:val="00D5082F"/>
    <w:rsid w:val="00D508BA"/>
    <w:rsid w:val="00D67524"/>
    <w:rsid w:val="00D70178"/>
    <w:rsid w:val="00D74F03"/>
    <w:rsid w:val="00D82BE4"/>
    <w:rsid w:val="00D84C7E"/>
    <w:rsid w:val="00D963DD"/>
    <w:rsid w:val="00D968C8"/>
    <w:rsid w:val="00DA2078"/>
    <w:rsid w:val="00DA5FC2"/>
    <w:rsid w:val="00DB415F"/>
    <w:rsid w:val="00DB4AEC"/>
    <w:rsid w:val="00DB5055"/>
    <w:rsid w:val="00DB5616"/>
    <w:rsid w:val="00DB6416"/>
    <w:rsid w:val="00DC0CA6"/>
    <w:rsid w:val="00DD4909"/>
    <w:rsid w:val="00DD6787"/>
    <w:rsid w:val="00DE5C84"/>
    <w:rsid w:val="00E033B5"/>
    <w:rsid w:val="00E0394F"/>
    <w:rsid w:val="00E11515"/>
    <w:rsid w:val="00E15347"/>
    <w:rsid w:val="00E167DE"/>
    <w:rsid w:val="00E22392"/>
    <w:rsid w:val="00E2381F"/>
    <w:rsid w:val="00E23F69"/>
    <w:rsid w:val="00E25B74"/>
    <w:rsid w:val="00E30296"/>
    <w:rsid w:val="00E418A8"/>
    <w:rsid w:val="00E4367D"/>
    <w:rsid w:val="00E56372"/>
    <w:rsid w:val="00E60057"/>
    <w:rsid w:val="00E60EAB"/>
    <w:rsid w:val="00E679E8"/>
    <w:rsid w:val="00E73F13"/>
    <w:rsid w:val="00E84288"/>
    <w:rsid w:val="00E9446F"/>
    <w:rsid w:val="00E97A8F"/>
    <w:rsid w:val="00EA6B3E"/>
    <w:rsid w:val="00EB2578"/>
    <w:rsid w:val="00EB4CDE"/>
    <w:rsid w:val="00EC123F"/>
    <w:rsid w:val="00EC3E83"/>
    <w:rsid w:val="00EE0A7C"/>
    <w:rsid w:val="00EE5BA8"/>
    <w:rsid w:val="00EE6765"/>
    <w:rsid w:val="00EF0B0D"/>
    <w:rsid w:val="00F006B5"/>
    <w:rsid w:val="00F03741"/>
    <w:rsid w:val="00F0710E"/>
    <w:rsid w:val="00F07C8F"/>
    <w:rsid w:val="00F12ECB"/>
    <w:rsid w:val="00F130B3"/>
    <w:rsid w:val="00F14740"/>
    <w:rsid w:val="00F161EC"/>
    <w:rsid w:val="00F44EA7"/>
    <w:rsid w:val="00F47B64"/>
    <w:rsid w:val="00F56F55"/>
    <w:rsid w:val="00F611C6"/>
    <w:rsid w:val="00F62027"/>
    <w:rsid w:val="00F63D40"/>
    <w:rsid w:val="00F7631C"/>
    <w:rsid w:val="00F80A14"/>
    <w:rsid w:val="00F80D28"/>
    <w:rsid w:val="00F927D4"/>
    <w:rsid w:val="00F94AD7"/>
    <w:rsid w:val="00FA61F7"/>
    <w:rsid w:val="00FB1650"/>
    <w:rsid w:val="00FB32FB"/>
    <w:rsid w:val="00FB365F"/>
    <w:rsid w:val="00FB41B6"/>
    <w:rsid w:val="00FB777B"/>
    <w:rsid w:val="00FC0B84"/>
    <w:rsid w:val="00FC1DDB"/>
    <w:rsid w:val="00FD41D3"/>
    <w:rsid w:val="00FD659F"/>
    <w:rsid w:val="00FE18A9"/>
    <w:rsid w:val="00FE4A26"/>
    <w:rsid w:val="00FE4A88"/>
    <w:rsid w:val="00FE6E4C"/>
    <w:rsid w:val="00FF101A"/>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link w:val="Heading2Char"/>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 w:type="character" w:customStyle="1" w:styleId="Heading2Char">
    <w:name w:val="Heading 2 Char"/>
    <w:basedOn w:val="DefaultParagraphFont"/>
    <w:link w:val="Heading2"/>
    <w:rsid w:val="00D74F03"/>
    <w:rPr>
      <w:b/>
      <w:sz w:val="24"/>
      <w:lang w:eastAsia="en-US"/>
    </w:rPr>
  </w:style>
  <w:style w:type="character" w:customStyle="1" w:styleId="apple-tab-span">
    <w:name w:val="apple-tab-span"/>
    <w:basedOn w:val="DefaultParagraphFont"/>
    <w:rsid w:val="00A0293C"/>
  </w:style>
  <w:style w:type="character" w:styleId="UnresolvedMention">
    <w:name w:val="Unresolved Mention"/>
    <w:basedOn w:val="DefaultParagraphFont"/>
    <w:uiPriority w:val="99"/>
    <w:semiHidden/>
    <w:unhideWhenUsed/>
    <w:rsid w:val="004112B9"/>
    <w:rPr>
      <w:color w:val="605E5C"/>
      <w:shd w:val="clear" w:color="auto" w:fill="E1DFDD"/>
    </w:rPr>
  </w:style>
  <w:style w:type="character" w:styleId="FollowedHyperlink">
    <w:name w:val="FollowedHyperlink"/>
    <w:basedOn w:val="DefaultParagraphFont"/>
    <w:semiHidden/>
    <w:unhideWhenUsed/>
    <w:rsid w:val="00893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0705">
      <w:bodyDiv w:val="1"/>
      <w:marLeft w:val="0"/>
      <w:marRight w:val="0"/>
      <w:marTop w:val="0"/>
      <w:marBottom w:val="0"/>
      <w:divBdr>
        <w:top w:val="none" w:sz="0" w:space="0" w:color="auto"/>
        <w:left w:val="none" w:sz="0" w:space="0" w:color="auto"/>
        <w:bottom w:val="none" w:sz="0" w:space="0" w:color="auto"/>
        <w:right w:val="none" w:sz="0" w:space="0" w:color="auto"/>
      </w:divBdr>
      <w:divsChild>
        <w:div w:id="1979528070">
          <w:marLeft w:val="0"/>
          <w:marRight w:val="0"/>
          <w:marTop w:val="0"/>
          <w:marBottom w:val="0"/>
          <w:divBdr>
            <w:top w:val="none" w:sz="0" w:space="0" w:color="auto"/>
            <w:left w:val="none" w:sz="0" w:space="0" w:color="auto"/>
            <w:bottom w:val="none" w:sz="0" w:space="0" w:color="auto"/>
            <w:right w:val="none" w:sz="0" w:space="0" w:color="auto"/>
          </w:divBdr>
        </w:div>
        <w:div w:id="715159971">
          <w:marLeft w:val="0"/>
          <w:marRight w:val="0"/>
          <w:marTop w:val="0"/>
          <w:marBottom w:val="0"/>
          <w:divBdr>
            <w:top w:val="none" w:sz="0" w:space="0" w:color="auto"/>
            <w:left w:val="none" w:sz="0" w:space="0" w:color="auto"/>
            <w:bottom w:val="none" w:sz="0" w:space="0" w:color="auto"/>
            <w:right w:val="none" w:sz="0" w:space="0" w:color="auto"/>
          </w:divBdr>
        </w:div>
        <w:div w:id="64764835">
          <w:marLeft w:val="0"/>
          <w:marRight w:val="0"/>
          <w:marTop w:val="0"/>
          <w:marBottom w:val="0"/>
          <w:divBdr>
            <w:top w:val="none" w:sz="0" w:space="0" w:color="auto"/>
            <w:left w:val="none" w:sz="0" w:space="0" w:color="auto"/>
            <w:bottom w:val="none" w:sz="0" w:space="0" w:color="auto"/>
            <w:right w:val="none" w:sz="0" w:space="0" w:color="auto"/>
          </w:divBdr>
        </w:div>
      </w:divsChild>
    </w:div>
    <w:div w:id="154616456">
      <w:bodyDiv w:val="1"/>
      <w:marLeft w:val="0"/>
      <w:marRight w:val="0"/>
      <w:marTop w:val="0"/>
      <w:marBottom w:val="0"/>
      <w:divBdr>
        <w:top w:val="none" w:sz="0" w:space="0" w:color="auto"/>
        <w:left w:val="none" w:sz="0" w:space="0" w:color="auto"/>
        <w:bottom w:val="none" w:sz="0" w:space="0" w:color="auto"/>
        <w:right w:val="none" w:sz="0" w:space="0" w:color="auto"/>
      </w:divBdr>
    </w:div>
    <w:div w:id="210966782">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86979849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424421">
      <w:bodyDiv w:val="1"/>
      <w:marLeft w:val="0"/>
      <w:marRight w:val="0"/>
      <w:marTop w:val="0"/>
      <w:marBottom w:val="0"/>
      <w:divBdr>
        <w:top w:val="none" w:sz="0" w:space="0" w:color="auto"/>
        <w:left w:val="none" w:sz="0" w:space="0" w:color="auto"/>
        <w:bottom w:val="none" w:sz="0" w:space="0" w:color="auto"/>
        <w:right w:val="none" w:sz="0" w:space="0" w:color="auto"/>
      </w:divBdr>
      <w:divsChild>
        <w:div w:id="254946145">
          <w:marLeft w:val="0"/>
          <w:marRight w:val="0"/>
          <w:marTop w:val="0"/>
          <w:marBottom w:val="0"/>
          <w:divBdr>
            <w:top w:val="none" w:sz="0" w:space="0" w:color="auto"/>
            <w:left w:val="none" w:sz="0" w:space="0" w:color="auto"/>
            <w:bottom w:val="none" w:sz="0" w:space="0" w:color="auto"/>
            <w:right w:val="none" w:sz="0" w:space="0" w:color="auto"/>
          </w:divBdr>
        </w:div>
      </w:divsChild>
    </w:div>
    <w:div w:id="1473207570">
      <w:bodyDiv w:val="1"/>
      <w:marLeft w:val="0"/>
      <w:marRight w:val="0"/>
      <w:marTop w:val="0"/>
      <w:marBottom w:val="0"/>
      <w:divBdr>
        <w:top w:val="none" w:sz="0" w:space="0" w:color="auto"/>
        <w:left w:val="none" w:sz="0" w:space="0" w:color="auto"/>
        <w:bottom w:val="none" w:sz="0" w:space="0" w:color="auto"/>
        <w:right w:val="none" w:sz="0" w:space="0" w:color="auto"/>
      </w:divBdr>
      <w:divsChild>
        <w:div w:id="126359781">
          <w:marLeft w:val="0"/>
          <w:marRight w:val="0"/>
          <w:marTop w:val="0"/>
          <w:marBottom w:val="0"/>
          <w:divBdr>
            <w:top w:val="none" w:sz="0" w:space="0" w:color="auto"/>
            <w:left w:val="none" w:sz="0" w:space="0" w:color="auto"/>
            <w:bottom w:val="none" w:sz="0" w:space="0" w:color="auto"/>
            <w:right w:val="none" w:sz="0" w:space="0" w:color="auto"/>
          </w:divBdr>
        </w:div>
        <w:div w:id="424687397">
          <w:marLeft w:val="0"/>
          <w:marRight w:val="0"/>
          <w:marTop w:val="0"/>
          <w:marBottom w:val="0"/>
          <w:divBdr>
            <w:top w:val="none" w:sz="0" w:space="0" w:color="auto"/>
            <w:left w:val="none" w:sz="0" w:space="0" w:color="auto"/>
            <w:bottom w:val="none" w:sz="0" w:space="0" w:color="auto"/>
            <w:right w:val="none" w:sz="0" w:space="0" w:color="auto"/>
          </w:divBdr>
        </w:div>
        <w:div w:id="640039281">
          <w:marLeft w:val="0"/>
          <w:marRight w:val="0"/>
          <w:marTop w:val="0"/>
          <w:marBottom w:val="0"/>
          <w:divBdr>
            <w:top w:val="none" w:sz="0" w:space="0" w:color="auto"/>
            <w:left w:val="none" w:sz="0" w:space="0" w:color="auto"/>
            <w:bottom w:val="none" w:sz="0" w:space="0" w:color="auto"/>
            <w:right w:val="none" w:sz="0" w:space="0" w:color="auto"/>
          </w:divBdr>
        </w:div>
        <w:div w:id="1203637342">
          <w:marLeft w:val="0"/>
          <w:marRight w:val="0"/>
          <w:marTop w:val="0"/>
          <w:marBottom w:val="0"/>
          <w:divBdr>
            <w:top w:val="none" w:sz="0" w:space="0" w:color="auto"/>
            <w:left w:val="none" w:sz="0" w:space="0" w:color="auto"/>
            <w:bottom w:val="none" w:sz="0" w:space="0" w:color="auto"/>
            <w:right w:val="none" w:sz="0" w:space="0" w:color="auto"/>
          </w:divBdr>
        </w:div>
        <w:div w:id="91779829">
          <w:marLeft w:val="0"/>
          <w:marRight w:val="0"/>
          <w:marTop w:val="0"/>
          <w:marBottom w:val="0"/>
          <w:divBdr>
            <w:top w:val="none" w:sz="0" w:space="0" w:color="auto"/>
            <w:left w:val="none" w:sz="0" w:space="0" w:color="auto"/>
            <w:bottom w:val="none" w:sz="0" w:space="0" w:color="auto"/>
            <w:right w:val="none" w:sz="0" w:space="0" w:color="auto"/>
          </w:divBdr>
        </w:div>
      </w:divsChild>
    </w:div>
    <w:div w:id="1547834084">
      <w:bodyDiv w:val="1"/>
      <w:marLeft w:val="0"/>
      <w:marRight w:val="0"/>
      <w:marTop w:val="0"/>
      <w:marBottom w:val="0"/>
      <w:divBdr>
        <w:top w:val="none" w:sz="0" w:space="0" w:color="auto"/>
        <w:left w:val="none" w:sz="0" w:space="0" w:color="auto"/>
        <w:bottom w:val="none" w:sz="0" w:space="0" w:color="auto"/>
        <w:right w:val="none" w:sz="0" w:space="0" w:color="auto"/>
      </w:divBdr>
    </w:div>
    <w:div w:id="1825537529">
      <w:bodyDiv w:val="1"/>
      <w:marLeft w:val="0"/>
      <w:marRight w:val="0"/>
      <w:marTop w:val="0"/>
      <w:marBottom w:val="0"/>
      <w:divBdr>
        <w:top w:val="none" w:sz="0" w:space="0" w:color="auto"/>
        <w:left w:val="none" w:sz="0" w:space="0" w:color="auto"/>
        <w:bottom w:val="none" w:sz="0" w:space="0" w:color="auto"/>
        <w:right w:val="none" w:sz="0" w:space="0" w:color="auto"/>
      </w:divBdr>
      <w:divsChild>
        <w:div w:id="547110909">
          <w:marLeft w:val="0"/>
          <w:marRight w:val="0"/>
          <w:marTop w:val="0"/>
          <w:marBottom w:val="0"/>
          <w:divBdr>
            <w:top w:val="none" w:sz="0" w:space="0" w:color="auto"/>
            <w:left w:val="none" w:sz="0" w:space="0" w:color="auto"/>
            <w:bottom w:val="none" w:sz="0" w:space="0" w:color="auto"/>
            <w:right w:val="none" w:sz="0" w:space="0" w:color="auto"/>
          </w:divBdr>
        </w:div>
      </w:divsChild>
    </w:div>
    <w:div w:id="2002537704">
      <w:bodyDiv w:val="1"/>
      <w:marLeft w:val="0"/>
      <w:marRight w:val="0"/>
      <w:marTop w:val="0"/>
      <w:marBottom w:val="0"/>
      <w:divBdr>
        <w:top w:val="none" w:sz="0" w:space="0" w:color="auto"/>
        <w:left w:val="none" w:sz="0" w:space="0" w:color="auto"/>
        <w:bottom w:val="none" w:sz="0" w:space="0" w:color="auto"/>
        <w:right w:val="none" w:sz="0" w:space="0" w:color="auto"/>
      </w:divBdr>
      <w:divsChild>
        <w:div w:id="743600713">
          <w:marLeft w:val="0"/>
          <w:marRight w:val="0"/>
          <w:marTop w:val="0"/>
          <w:marBottom w:val="0"/>
          <w:divBdr>
            <w:top w:val="none" w:sz="0" w:space="0" w:color="auto"/>
            <w:left w:val="none" w:sz="0" w:space="0" w:color="auto"/>
            <w:bottom w:val="none" w:sz="0" w:space="0" w:color="auto"/>
            <w:right w:val="none" w:sz="0" w:space="0" w:color="auto"/>
          </w:divBdr>
        </w:div>
        <w:div w:id="38167940">
          <w:marLeft w:val="0"/>
          <w:marRight w:val="0"/>
          <w:marTop w:val="0"/>
          <w:marBottom w:val="0"/>
          <w:divBdr>
            <w:top w:val="none" w:sz="0" w:space="0" w:color="auto"/>
            <w:left w:val="none" w:sz="0" w:space="0" w:color="auto"/>
            <w:bottom w:val="none" w:sz="0" w:space="0" w:color="auto"/>
            <w:right w:val="none" w:sz="0" w:space="0" w:color="auto"/>
          </w:divBdr>
        </w:div>
        <w:div w:id="460852243">
          <w:marLeft w:val="0"/>
          <w:marRight w:val="0"/>
          <w:marTop w:val="0"/>
          <w:marBottom w:val="0"/>
          <w:divBdr>
            <w:top w:val="none" w:sz="0" w:space="0" w:color="auto"/>
            <w:left w:val="none" w:sz="0" w:space="0" w:color="auto"/>
            <w:bottom w:val="none" w:sz="0" w:space="0" w:color="auto"/>
            <w:right w:val="none" w:sz="0" w:space="0" w:color="auto"/>
          </w:divBdr>
        </w:div>
        <w:div w:id="1162307549">
          <w:marLeft w:val="0"/>
          <w:marRight w:val="0"/>
          <w:marTop w:val="0"/>
          <w:marBottom w:val="0"/>
          <w:divBdr>
            <w:top w:val="none" w:sz="0" w:space="0" w:color="auto"/>
            <w:left w:val="none" w:sz="0" w:space="0" w:color="auto"/>
            <w:bottom w:val="none" w:sz="0" w:space="0" w:color="auto"/>
            <w:right w:val="none" w:sz="0" w:space="0" w:color="auto"/>
          </w:divBdr>
        </w:div>
        <w:div w:id="104552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fc.org/wps/wcm/connect/2996f197-a75b-422a-9e2f-cdc022d8ea96/EMCompass+Note+25+Green+Bonds+FINAL+12-5.pdf?MOD=AJPERES&amp;CVID=lzgXSmr" TargetMode="External"/><Relationship Id="rId2" Type="http://schemas.openxmlformats.org/officeDocument/2006/relationships/hyperlink" Target="https://www.capetown.gov.za/media-and-news/Green%20pays%20City" TargetMode="External"/><Relationship Id="rId1" Type="http://schemas.openxmlformats.org/officeDocument/2006/relationships/hyperlink" Target="https://revistas.uam.es/relacionesinternacionales/article/view/12866/13372" TargetMode="External"/><Relationship Id="rId6" Type="http://schemas.openxmlformats.org/officeDocument/2006/relationships/hyperlink" Target="https://revistas.uam.es/relacionesinternacionales/article/view/12866/13372" TargetMode="External"/><Relationship Id="rId5" Type="http://schemas.openxmlformats.org/officeDocument/2006/relationships/hyperlink" Target="https://www.climatebonds.net/files/files/Green%20City%20Playbook.pdf" TargetMode="External"/><Relationship Id="rId4" Type="http://schemas.openxmlformats.org/officeDocument/2006/relationships/hyperlink" Target="https://www.icmagroup.org/assets/documents/Regulatory/Green-Bonds/Green-Bonds-brochure-1506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BB59-FC38-4A88-9CA6-9182B90FA0D2}"/>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7AF270-B9E7-42A9-84EA-9A70DCF1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6381</Characters>
  <Application>Microsoft Office Word</Application>
  <DocSecurity>0</DocSecurity>
  <Lines>53</Lines>
  <Paragraphs>15</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2021-04-13T09:49:00Z</dcterms:created>
  <dcterms:modified xsi:type="dcterms:W3CDTF">2021-04-13T09:58:00Z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