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811973" w14:textId="77777777" w:rsidR="00AA3C50" w:rsidRPr="006237B7" w:rsidRDefault="00EE5AE4" w:rsidP="00DE1276">
      <w:pPr>
        <w:pStyle w:val="Body"/>
        <w:spacing w:line="240" w:lineRule="auto"/>
        <w:rPr>
          <w:rFonts w:ascii="Arial" w:hAnsi="Arial" w:cs="Arial"/>
          <w:b/>
          <w:bCs/>
          <w:lang w:val="en-GB"/>
        </w:rPr>
      </w:pPr>
      <w:r w:rsidRPr="006237B7">
        <w:rPr>
          <w:rFonts w:ascii="Arial" w:hAnsi="Arial" w:cs="Arial"/>
          <w:b/>
          <w:bCs/>
          <w:lang w:val="en-GB"/>
        </w:rPr>
        <w:t>Zayneb alShalalfeh</w:t>
      </w:r>
      <w:r w:rsidR="00AA3C50" w:rsidRPr="006237B7">
        <w:rPr>
          <w:rFonts w:ascii="Arial" w:hAnsi="Arial" w:cs="Arial"/>
          <w:b/>
          <w:bCs/>
          <w:lang w:val="en-GB"/>
        </w:rPr>
        <w:t xml:space="preserve">, </w:t>
      </w:r>
      <w:r w:rsidR="00DF1FB5" w:rsidRPr="006237B7">
        <w:rPr>
          <w:rFonts w:ascii="Arial" w:hAnsi="Arial" w:cs="Arial"/>
          <w:b/>
          <w:bCs/>
          <w:lang w:val="en-GB"/>
        </w:rPr>
        <w:t>Water practitioner</w:t>
      </w:r>
    </w:p>
    <w:p w14:paraId="1DE3546D" w14:textId="11BDDAED" w:rsidR="00EE5AE4" w:rsidRPr="006237B7" w:rsidRDefault="00EE5AE4" w:rsidP="00DE1276">
      <w:pPr>
        <w:pStyle w:val="Body"/>
        <w:spacing w:line="240" w:lineRule="auto"/>
        <w:rPr>
          <w:rFonts w:ascii="Arial" w:hAnsi="Arial" w:cs="Arial"/>
          <w:b/>
          <w:bCs/>
          <w:lang w:val="en-GB"/>
        </w:rPr>
      </w:pPr>
      <w:r w:rsidRPr="006237B7">
        <w:rPr>
          <w:rFonts w:ascii="Arial" w:hAnsi="Arial" w:cs="Arial"/>
          <w:b/>
          <w:bCs/>
          <w:lang w:val="en-GB"/>
        </w:rPr>
        <w:t xml:space="preserve">State of Palestine </w:t>
      </w:r>
      <w:r w:rsidR="00DB654C" w:rsidRPr="006237B7">
        <w:rPr>
          <w:rFonts w:ascii="Arial" w:hAnsi="Arial" w:cs="Arial"/>
          <w:b/>
          <w:bCs/>
          <w:lang w:val="en-GB"/>
        </w:rPr>
        <w:t xml:space="preserve">(occupied Palestinian territory) </w:t>
      </w:r>
    </w:p>
    <w:p w14:paraId="45E5A05F" w14:textId="77777777" w:rsidR="00DF1FB5" w:rsidRPr="006237B7" w:rsidRDefault="00DF1FB5" w:rsidP="00DE1276">
      <w:pPr>
        <w:pStyle w:val="Body"/>
        <w:spacing w:line="240" w:lineRule="auto"/>
        <w:rPr>
          <w:rFonts w:ascii="Arial" w:hAnsi="Arial" w:cs="Arial"/>
          <w:lang w:val="en-GB"/>
        </w:rPr>
      </w:pPr>
    </w:p>
    <w:p w14:paraId="53BEAB7C" w14:textId="472086F1" w:rsidR="00EE5AE4" w:rsidRPr="006237B7" w:rsidRDefault="00DF1FB5" w:rsidP="00DE1276">
      <w:pPr>
        <w:pStyle w:val="Body"/>
        <w:spacing w:line="240" w:lineRule="auto"/>
        <w:rPr>
          <w:rFonts w:ascii="Arial" w:hAnsi="Arial" w:cs="Arial"/>
          <w:lang w:val="en-GB"/>
        </w:rPr>
      </w:pPr>
      <w:r w:rsidRPr="006237B7">
        <w:rPr>
          <w:rFonts w:ascii="Arial" w:hAnsi="Arial" w:cs="Arial"/>
          <w:lang w:val="en-GB"/>
        </w:rPr>
        <w:t xml:space="preserve">15 April, 2021 </w:t>
      </w:r>
    </w:p>
    <w:p w14:paraId="5CBE5A49" w14:textId="6253F4DF" w:rsidR="00EE5AE4" w:rsidRPr="006237B7" w:rsidRDefault="00EE5AE4" w:rsidP="00DE1276">
      <w:pPr>
        <w:pStyle w:val="Body"/>
        <w:spacing w:line="240" w:lineRule="auto"/>
        <w:rPr>
          <w:rFonts w:ascii="Arial" w:hAnsi="Arial" w:cs="Arial"/>
          <w:shd w:val="clear" w:color="auto" w:fill="FFFFFF"/>
          <w:lang w:val="en-GB"/>
        </w:rPr>
      </w:pPr>
      <w:r w:rsidRPr="006237B7">
        <w:rPr>
          <w:rFonts w:ascii="Arial" w:hAnsi="Arial" w:cs="Arial"/>
          <w:shd w:val="clear" w:color="auto" w:fill="FFFFFF"/>
          <w:lang w:val="en-GB"/>
        </w:rPr>
        <w:t>A s</w:t>
      </w:r>
      <w:r w:rsidR="00254873" w:rsidRPr="006237B7">
        <w:rPr>
          <w:rFonts w:ascii="Arial" w:hAnsi="Arial" w:cs="Arial"/>
          <w:shd w:val="clear" w:color="auto" w:fill="FFFFFF"/>
          <w:lang w:val="en-GB"/>
        </w:rPr>
        <w:t xml:space="preserve">ubmission to </w:t>
      </w:r>
      <w:r w:rsidR="00DF1FB5" w:rsidRPr="006237B7">
        <w:rPr>
          <w:rFonts w:ascii="Arial" w:hAnsi="Arial" w:cs="Arial"/>
          <w:shd w:val="clear" w:color="auto" w:fill="FFFFFF"/>
          <w:lang w:val="en-GB"/>
        </w:rPr>
        <w:t xml:space="preserve">Mr. Pedro Arrojo-Agudo, </w:t>
      </w:r>
      <w:r w:rsidR="00254873" w:rsidRPr="006237B7">
        <w:rPr>
          <w:rFonts w:ascii="Arial" w:hAnsi="Arial" w:cs="Arial"/>
          <w:shd w:val="clear" w:color="auto" w:fill="FFFFFF"/>
          <w:lang w:val="en-GB"/>
        </w:rPr>
        <w:t xml:space="preserve">the </w:t>
      </w:r>
      <w:r w:rsidRPr="006237B7">
        <w:rPr>
          <w:rFonts w:ascii="Arial" w:hAnsi="Arial" w:cs="Arial"/>
          <w:shd w:val="clear" w:color="auto" w:fill="FFFFFF"/>
          <w:lang w:val="en-GB"/>
        </w:rPr>
        <w:t xml:space="preserve">Special Rapporteur on the human rights to safe drinking water and sanitation for his first thematic report </w:t>
      </w:r>
      <w:r w:rsidR="00116AC2" w:rsidRPr="006237B7">
        <w:rPr>
          <w:rFonts w:ascii="Arial" w:hAnsi="Arial" w:cs="Arial"/>
          <w:shd w:val="clear" w:color="auto" w:fill="FFFFFF"/>
          <w:lang w:val="en-GB"/>
        </w:rPr>
        <w:t xml:space="preserve">on water commodification, dedicated </w:t>
      </w:r>
      <w:r w:rsidRPr="006237B7">
        <w:rPr>
          <w:rFonts w:ascii="Arial" w:hAnsi="Arial" w:cs="Arial"/>
          <w:shd w:val="clear" w:color="auto" w:fill="FFFFFF"/>
          <w:lang w:val="en-GB"/>
        </w:rPr>
        <w:t>to the 48</w:t>
      </w:r>
      <w:r w:rsidRPr="006237B7">
        <w:rPr>
          <w:rFonts w:ascii="Arial" w:hAnsi="Arial" w:cs="Arial"/>
          <w:shd w:val="clear" w:color="auto" w:fill="FFFFFF"/>
          <w:vertAlign w:val="superscript"/>
          <w:lang w:val="en-GB"/>
        </w:rPr>
        <w:t>th</w:t>
      </w:r>
      <w:r w:rsidRPr="006237B7">
        <w:rPr>
          <w:rFonts w:ascii="Arial" w:hAnsi="Arial" w:cs="Arial"/>
          <w:shd w:val="clear" w:color="auto" w:fill="FFFFFF"/>
          <w:lang w:val="en-GB"/>
        </w:rPr>
        <w:t xml:space="preserve"> session of the Human Rights Council and the 76</w:t>
      </w:r>
      <w:r w:rsidRPr="006237B7">
        <w:rPr>
          <w:rFonts w:ascii="Arial" w:hAnsi="Arial" w:cs="Arial"/>
          <w:shd w:val="clear" w:color="auto" w:fill="FFFFFF"/>
          <w:vertAlign w:val="superscript"/>
          <w:lang w:val="en-GB"/>
        </w:rPr>
        <w:t>th</w:t>
      </w:r>
      <w:r w:rsidRPr="006237B7">
        <w:rPr>
          <w:rFonts w:ascii="Arial" w:hAnsi="Arial" w:cs="Arial"/>
          <w:shd w:val="clear" w:color="auto" w:fill="FFFFFF"/>
          <w:lang w:val="en-GB"/>
        </w:rPr>
        <w:t> session of the UN General Assembly</w:t>
      </w:r>
      <w:r w:rsidR="00116AC2" w:rsidRPr="006237B7">
        <w:rPr>
          <w:rFonts w:ascii="Arial" w:hAnsi="Arial" w:cs="Arial"/>
          <w:shd w:val="clear" w:color="auto" w:fill="FFFFFF"/>
          <w:lang w:val="en-GB"/>
        </w:rPr>
        <w:t>.</w:t>
      </w:r>
    </w:p>
    <w:p w14:paraId="19A847BD" w14:textId="77777777" w:rsidR="00DF1FB5" w:rsidRPr="006237B7" w:rsidRDefault="00DF1FB5" w:rsidP="00DE1276">
      <w:pPr>
        <w:pStyle w:val="Body"/>
        <w:spacing w:line="240" w:lineRule="auto"/>
        <w:rPr>
          <w:rFonts w:ascii="Arial" w:hAnsi="Arial" w:cs="Arial"/>
          <w:shd w:val="clear" w:color="auto" w:fill="FFFFFF"/>
          <w:lang w:val="en-GB"/>
        </w:rPr>
      </w:pPr>
    </w:p>
    <w:p w14:paraId="75779CE5" w14:textId="115EAE9C" w:rsidR="00350EBB" w:rsidRPr="006237B7" w:rsidRDefault="00254873" w:rsidP="00DE1276">
      <w:pPr>
        <w:pStyle w:val="Body"/>
        <w:spacing w:line="240" w:lineRule="auto"/>
        <w:rPr>
          <w:rFonts w:ascii="Arial" w:hAnsi="Arial" w:cs="Arial"/>
          <w:b/>
          <w:bCs/>
          <w:lang w:val="en-GB"/>
        </w:rPr>
      </w:pPr>
      <w:r w:rsidRPr="006237B7">
        <w:rPr>
          <w:rFonts w:ascii="Arial" w:hAnsi="Arial" w:cs="Arial"/>
          <w:b/>
          <w:bCs/>
          <w:lang w:val="en-GB"/>
        </w:rPr>
        <w:t xml:space="preserve">Introduction </w:t>
      </w:r>
    </w:p>
    <w:p w14:paraId="24693452" w14:textId="33818DCD" w:rsidR="0065622D" w:rsidRPr="006237B7" w:rsidRDefault="00254873" w:rsidP="00DE1276">
      <w:pPr>
        <w:pStyle w:val="Body"/>
        <w:numPr>
          <w:ilvl w:val="0"/>
          <w:numId w:val="2"/>
        </w:numPr>
        <w:shd w:val="clear" w:color="auto" w:fill="FFFFFF"/>
        <w:spacing w:before="100" w:after="100" w:line="240" w:lineRule="auto"/>
        <w:rPr>
          <w:rFonts w:ascii="Arial" w:hAnsi="Arial" w:cs="Arial"/>
          <w:lang w:val="en-GB"/>
        </w:rPr>
      </w:pPr>
      <w:r w:rsidRPr="006237B7">
        <w:rPr>
          <w:rFonts w:ascii="Arial" w:hAnsi="Arial" w:cs="Arial"/>
          <w:lang w:val="en-GB"/>
        </w:rPr>
        <w:t xml:space="preserve">This submission to </w:t>
      </w:r>
      <w:r w:rsidR="00DF1FB5" w:rsidRPr="006237B7">
        <w:rPr>
          <w:rFonts w:ascii="Arial" w:hAnsi="Arial" w:cs="Arial"/>
          <w:shd w:val="clear" w:color="auto" w:fill="FFFFFF"/>
          <w:lang w:val="en-GB"/>
        </w:rPr>
        <w:t>the Special Rapporteur on the human rights to safe drinking water and sanitation</w:t>
      </w:r>
      <w:r w:rsidR="00100146" w:rsidRPr="006237B7">
        <w:rPr>
          <w:rFonts w:ascii="Arial" w:hAnsi="Arial" w:cs="Arial"/>
          <w:shd w:val="clear" w:color="auto" w:fill="FFFFFF"/>
          <w:lang w:val="en-GB"/>
        </w:rPr>
        <w:t xml:space="preserve"> </w:t>
      </w:r>
      <w:r w:rsidR="0065622D" w:rsidRPr="006237B7">
        <w:rPr>
          <w:rFonts w:ascii="Arial" w:hAnsi="Arial" w:cs="Arial"/>
          <w:shd w:val="clear" w:color="auto" w:fill="FFFFFF"/>
          <w:lang w:val="en-GB"/>
        </w:rPr>
        <w:t>informs</w:t>
      </w:r>
      <w:r w:rsidR="00DF1FB5" w:rsidRPr="006237B7">
        <w:rPr>
          <w:rFonts w:ascii="Arial" w:hAnsi="Arial" w:cs="Arial"/>
          <w:shd w:val="clear" w:color="auto" w:fill="FFFFFF"/>
          <w:lang w:val="en-GB"/>
        </w:rPr>
        <w:t xml:space="preserve"> his first thematic report on water commodification</w:t>
      </w:r>
      <w:r w:rsidR="0065622D" w:rsidRPr="006237B7">
        <w:rPr>
          <w:rFonts w:ascii="Arial" w:hAnsi="Arial" w:cs="Arial"/>
          <w:shd w:val="clear" w:color="auto" w:fill="FFFFFF"/>
          <w:lang w:val="en-GB"/>
        </w:rPr>
        <w:t xml:space="preserve">. It </w:t>
      </w:r>
      <w:r w:rsidR="0065622D" w:rsidRPr="006237B7">
        <w:rPr>
          <w:rFonts w:ascii="Arial" w:hAnsi="Arial" w:cs="Arial"/>
          <w:lang w:val="en-GB"/>
        </w:rPr>
        <w:t>reviews</w:t>
      </w:r>
      <w:r w:rsidRPr="006237B7">
        <w:rPr>
          <w:rFonts w:ascii="Arial" w:hAnsi="Arial" w:cs="Arial"/>
          <w:lang w:val="en-GB"/>
        </w:rPr>
        <w:t xml:space="preserve"> the </w:t>
      </w:r>
      <w:r w:rsidR="007B5BE2" w:rsidRPr="006237B7">
        <w:rPr>
          <w:rFonts w:ascii="Arial" w:hAnsi="Arial" w:cs="Arial"/>
          <w:lang w:val="en-GB"/>
        </w:rPr>
        <w:t>legislations</w:t>
      </w:r>
      <w:r w:rsidR="00DF1FB5" w:rsidRPr="006237B7">
        <w:rPr>
          <w:rFonts w:ascii="Arial" w:hAnsi="Arial" w:cs="Arial"/>
          <w:lang w:val="en-GB"/>
        </w:rPr>
        <w:t xml:space="preserve"> and </w:t>
      </w:r>
      <w:r w:rsidR="007B5BE2" w:rsidRPr="006237B7">
        <w:rPr>
          <w:rFonts w:ascii="Arial" w:hAnsi="Arial" w:cs="Arial"/>
          <w:lang w:val="en-GB"/>
        </w:rPr>
        <w:t>policies</w:t>
      </w:r>
      <w:r w:rsidR="00DF1FB5" w:rsidRPr="006237B7">
        <w:rPr>
          <w:rFonts w:ascii="Arial" w:hAnsi="Arial" w:cs="Arial"/>
          <w:lang w:val="en-GB"/>
        </w:rPr>
        <w:t xml:space="preserve"> of the Israeli occupation and the Palestinian Authority related to water commodification and their impact on the human rights to water in the occupied Palestinian territory</w:t>
      </w:r>
      <w:r w:rsidR="00E93AF9" w:rsidRPr="006237B7">
        <w:rPr>
          <w:rFonts w:ascii="Arial" w:hAnsi="Arial" w:cs="Arial"/>
          <w:lang w:val="en-GB"/>
        </w:rPr>
        <w:t xml:space="preserve"> consisting of the West Bank including East Jerusalem and the Gaza Strip. </w:t>
      </w:r>
    </w:p>
    <w:p w14:paraId="165AC5E2" w14:textId="3B9D85EE" w:rsidR="00770607" w:rsidRPr="006237B7" w:rsidRDefault="002E331C" w:rsidP="00770607">
      <w:pPr>
        <w:pStyle w:val="NormalWeb"/>
        <w:numPr>
          <w:ilvl w:val="0"/>
          <w:numId w:val="2"/>
        </w:numPr>
        <w:shd w:val="clear" w:color="auto" w:fill="FFFFFF"/>
        <w:spacing w:beforeAutospacing="0" w:afterAutospacing="0"/>
        <w:rPr>
          <w:rFonts w:ascii="Arial" w:hAnsi="Arial" w:cs="Arial"/>
          <w:color w:val="202122"/>
          <w:sz w:val="22"/>
          <w:szCs w:val="22"/>
        </w:rPr>
      </w:pPr>
      <w:r w:rsidRPr="006237B7">
        <w:rPr>
          <w:rFonts w:ascii="Arial" w:hAnsi="Arial" w:cs="Arial"/>
          <w:sz w:val="22"/>
          <w:szCs w:val="22"/>
        </w:rPr>
        <w:t>Israel</w:t>
      </w:r>
      <w:r w:rsidR="007B5BE2" w:rsidRPr="006237B7">
        <w:rPr>
          <w:rFonts w:ascii="Arial" w:hAnsi="Arial" w:cs="Arial"/>
          <w:sz w:val="22"/>
          <w:szCs w:val="22"/>
        </w:rPr>
        <w:t xml:space="preserve"> </w:t>
      </w:r>
      <w:r w:rsidR="00770607" w:rsidRPr="006237B7">
        <w:rPr>
          <w:rFonts w:ascii="Arial" w:hAnsi="Arial" w:cs="Arial"/>
          <w:sz w:val="22"/>
          <w:szCs w:val="22"/>
        </w:rPr>
        <w:t xml:space="preserve">acceded to the International Covenant on Economic, Social and Cultural Rights in 1966. Legislations and practices of the Israeli occupation related to water, especially commodification violate the Palestinians human rights to water and sanitation. They also weaken their resilience and capacity for coping with crisis including Covid-19. </w:t>
      </w:r>
    </w:p>
    <w:p w14:paraId="201400A1" w14:textId="04DA9888" w:rsidR="00770607" w:rsidRPr="006237B7" w:rsidRDefault="00C56642" w:rsidP="00770607">
      <w:pPr>
        <w:pStyle w:val="Body"/>
        <w:numPr>
          <w:ilvl w:val="0"/>
          <w:numId w:val="2"/>
        </w:numPr>
        <w:shd w:val="clear" w:color="auto" w:fill="FFFFFF"/>
        <w:spacing w:before="100" w:after="100" w:line="240" w:lineRule="auto"/>
        <w:rPr>
          <w:rFonts w:ascii="Arial" w:hAnsi="Arial" w:cs="Arial"/>
          <w:color w:val="202122"/>
          <w:lang w:val="en-GB"/>
        </w:rPr>
      </w:pPr>
      <w:r w:rsidRPr="006237B7">
        <w:rPr>
          <w:rStyle w:val="None"/>
          <w:rFonts w:ascii="Arial" w:hAnsi="Arial" w:cs="Arial"/>
          <w:lang w:val="en-GB"/>
        </w:rPr>
        <w:t xml:space="preserve">While Israel plans to formally annex parts of the West Bank are on temporary hold, demolition of private property -including WASH structures- of Palestinians in </w:t>
      </w:r>
      <w:r w:rsidR="0046426A" w:rsidRPr="006237B7">
        <w:rPr>
          <w:rStyle w:val="None"/>
          <w:rFonts w:ascii="Arial" w:hAnsi="Arial" w:cs="Arial"/>
          <w:lang w:val="en-GB"/>
        </w:rPr>
        <w:t>A</w:t>
      </w:r>
      <w:r w:rsidRPr="006237B7">
        <w:rPr>
          <w:rStyle w:val="None"/>
          <w:rFonts w:ascii="Arial" w:hAnsi="Arial" w:cs="Arial"/>
          <w:lang w:val="en-GB"/>
        </w:rPr>
        <w:t>rea C to advance forcible transfer has increased significantly</w:t>
      </w:r>
      <w:r w:rsidR="0070584A" w:rsidRPr="006237B7">
        <w:rPr>
          <w:rStyle w:val="None"/>
          <w:rFonts w:ascii="Arial" w:hAnsi="Arial" w:cs="Arial"/>
          <w:lang w:val="en-GB"/>
        </w:rPr>
        <w:t xml:space="preserve">. </w:t>
      </w:r>
      <w:r w:rsidRPr="006237B7">
        <w:rPr>
          <w:rFonts w:ascii="Arial" w:hAnsi="Arial" w:cs="Arial"/>
          <w:lang w:val="en-GB"/>
        </w:rPr>
        <w:t>Covid-19 has been an opportunity for the Israeli occupation to increase their violations of the Palestinian water rights.</w:t>
      </w:r>
      <w:r w:rsidR="00AA3C50" w:rsidRPr="006237B7">
        <w:rPr>
          <w:rFonts w:ascii="Arial" w:hAnsi="Arial" w:cs="Arial"/>
          <w:lang w:val="en-GB"/>
        </w:rPr>
        <w:t xml:space="preserve"> </w:t>
      </w:r>
    </w:p>
    <w:p w14:paraId="2E316194" w14:textId="2EC5AFAA" w:rsidR="00770607" w:rsidRPr="006237B7" w:rsidRDefault="00770607" w:rsidP="00770607">
      <w:pPr>
        <w:pStyle w:val="NormalWeb"/>
        <w:numPr>
          <w:ilvl w:val="0"/>
          <w:numId w:val="2"/>
        </w:numPr>
        <w:shd w:val="clear" w:color="auto" w:fill="FFFFFF"/>
        <w:spacing w:beforeAutospacing="0" w:afterAutospacing="0"/>
        <w:rPr>
          <w:rFonts w:ascii="Arial" w:hAnsi="Arial" w:cs="Arial"/>
          <w:color w:val="202122"/>
          <w:sz w:val="22"/>
          <w:szCs w:val="22"/>
        </w:rPr>
      </w:pPr>
      <w:r w:rsidRPr="006237B7">
        <w:rPr>
          <w:rFonts w:ascii="Arial" w:hAnsi="Arial" w:cs="Arial"/>
          <w:sz w:val="22"/>
          <w:szCs w:val="22"/>
        </w:rPr>
        <w:t xml:space="preserve">The State of Palestine acceded to the International Covenant on Economic, Social and Cultural Rights in 2014. Legislations and practices of the Israeli occupation related to water, especially commodification violate the Palestinians human rights to water and sanitation. They also weaken their resilience and capacity for coping with crisis including Covid-19. Moreover, they further increase inequality in the Palestinian society including between men and women. </w:t>
      </w:r>
    </w:p>
    <w:p w14:paraId="753FED67" w14:textId="1F9563BF" w:rsidR="00DE1276" w:rsidRPr="006237B7" w:rsidRDefault="0070584A" w:rsidP="00AD1397">
      <w:pPr>
        <w:pStyle w:val="Body"/>
        <w:numPr>
          <w:ilvl w:val="0"/>
          <w:numId w:val="2"/>
        </w:numPr>
        <w:shd w:val="clear" w:color="auto" w:fill="FFFFFF"/>
        <w:spacing w:before="100" w:after="100" w:line="240" w:lineRule="auto"/>
        <w:rPr>
          <w:rFonts w:ascii="Arial" w:hAnsi="Arial" w:cs="Arial"/>
          <w:lang w:val="en-GB"/>
        </w:rPr>
      </w:pPr>
      <w:r w:rsidRPr="006237B7">
        <w:rPr>
          <w:rFonts w:ascii="Arial" w:hAnsi="Arial" w:cs="Arial"/>
          <w:lang w:val="en-GB"/>
        </w:rPr>
        <w:t>With Covid-19, t</w:t>
      </w:r>
      <w:r w:rsidR="00E32ECD" w:rsidRPr="006237B7">
        <w:rPr>
          <w:rFonts w:ascii="Arial" w:hAnsi="Arial" w:cs="Arial"/>
          <w:lang w:val="en-GB"/>
        </w:rPr>
        <w:t xml:space="preserve">he Palestinian Authority’s </w:t>
      </w:r>
      <w:r w:rsidR="00C56642" w:rsidRPr="006237B7">
        <w:rPr>
          <w:rFonts w:ascii="Arial" w:hAnsi="Arial" w:cs="Arial"/>
          <w:lang w:val="en-GB"/>
        </w:rPr>
        <w:t>violation</w:t>
      </w:r>
      <w:r w:rsidR="00E32ECD" w:rsidRPr="006237B7">
        <w:rPr>
          <w:rFonts w:ascii="Arial" w:hAnsi="Arial" w:cs="Arial"/>
          <w:lang w:val="en-GB"/>
        </w:rPr>
        <w:t>s</w:t>
      </w:r>
      <w:r w:rsidR="00C56642" w:rsidRPr="006237B7">
        <w:rPr>
          <w:rFonts w:ascii="Arial" w:hAnsi="Arial" w:cs="Arial"/>
          <w:lang w:val="en-GB"/>
        </w:rPr>
        <w:t xml:space="preserve"> of freedom of expression </w:t>
      </w:r>
      <w:r w:rsidR="008E19D4" w:rsidRPr="006237B7">
        <w:rPr>
          <w:rFonts w:ascii="Arial" w:hAnsi="Arial" w:cs="Arial"/>
          <w:lang w:val="en-GB"/>
        </w:rPr>
        <w:t>increased</w:t>
      </w:r>
      <w:r w:rsidR="00C56642" w:rsidRPr="006237B7">
        <w:rPr>
          <w:rFonts w:ascii="Arial" w:hAnsi="Arial" w:cs="Arial"/>
          <w:lang w:val="en-GB"/>
        </w:rPr>
        <w:t xml:space="preserve">. In addition, the weak to absent engagement of the civil society in </w:t>
      </w:r>
      <w:r w:rsidR="008E19D4" w:rsidRPr="006237B7">
        <w:rPr>
          <w:rFonts w:ascii="Arial" w:hAnsi="Arial" w:cs="Arial"/>
          <w:lang w:val="en-GB"/>
        </w:rPr>
        <w:t xml:space="preserve">the </w:t>
      </w:r>
      <w:r w:rsidR="00C56642" w:rsidRPr="006237B7">
        <w:rPr>
          <w:rFonts w:ascii="Arial" w:hAnsi="Arial" w:cs="Arial"/>
          <w:lang w:val="en-GB"/>
        </w:rPr>
        <w:t xml:space="preserve">development and monitoring of their </w:t>
      </w:r>
      <w:r w:rsidR="007F309A" w:rsidRPr="006237B7">
        <w:rPr>
          <w:rFonts w:ascii="Arial" w:hAnsi="Arial" w:cs="Arial"/>
          <w:lang w:val="en-GB"/>
        </w:rPr>
        <w:t xml:space="preserve">water related </w:t>
      </w:r>
      <w:r w:rsidR="00C56642" w:rsidRPr="006237B7">
        <w:rPr>
          <w:rFonts w:ascii="Arial" w:hAnsi="Arial" w:cs="Arial"/>
          <w:lang w:val="en-GB"/>
        </w:rPr>
        <w:t xml:space="preserve">policies </w:t>
      </w:r>
      <w:r w:rsidR="00AA3C50" w:rsidRPr="006237B7">
        <w:rPr>
          <w:rFonts w:ascii="Arial" w:hAnsi="Arial" w:cs="Arial"/>
          <w:lang w:val="en-GB"/>
        </w:rPr>
        <w:t xml:space="preserve">and projects </w:t>
      </w:r>
      <w:r w:rsidR="00C56642" w:rsidRPr="006237B7">
        <w:rPr>
          <w:rFonts w:ascii="Arial" w:hAnsi="Arial" w:cs="Arial"/>
          <w:lang w:val="en-GB"/>
        </w:rPr>
        <w:t xml:space="preserve">has </w:t>
      </w:r>
      <w:r w:rsidR="008E19D4" w:rsidRPr="006237B7">
        <w:rPr>
          <w:rFonts w:ascii="Arial" w:hAnsi="Arial" w:cs="Arial"/>
          <w:lang w:val="en-GB"/>
        </w:rPr>
        <w:t>worsened</w:t>
      </w:r>
      <w:r w:rsidR="00C56642" w:rsidRPr="006237B7">
        <w:rPr>
          <w:rFonts w:ascii="Arial" w:hAnsi="Arial" w:cs="Arial"/>
          <w:lang w:val="en-GB"/>
        </w:rPr>
        <w:t xml:space="preserve"> despite the</w:t>
      </w:r>
      <w:r w:rsidR="006237B7" w:rsidRPr="006237B7">
        <w:rPr>
          <w:rFonts w:ascii="Arial" w:hAnsi="Arial" w:cs="Arial"/>
          <w:lang w:val="en-GB"/>
        </w:rPr>
        <w:t xml:space="preserve"> potential for</w:t>
      </w:r>
      <w:r w:rsidR="00C56642" w:rsidRPr="006237B7">
        <w:rPr>
          <w:rFonts w:ascii="Arial" w:hAnsi="Arial" w:cs="Arial"/>
          <w:lang w:val="en-GB"/>
        </w:rPr>
        <w:t xml:space="preserve"> </w:t>
      </w:r>
      <w:r w:rsidR="006237B7" w:rsidRPr="006237B7">
        <w:rPr>
          <w:rFonts w:ascii="Arial" w:hAnsi="Arial" w:cs="Arial"/>
          <w:lang w:val="en-GB"/>
        </w:rPr>
        <w:t>remote participation which the technology provides</w:t>
      </w:r>
    </w:p>
    <w:p w14:paraId="4095F383" w14:textId="77777777" w:rsidR="00DE1276" w:rsidRPr="006237B7" w:rsidRDefault="00DE1276" w:rsidP="00DE1276">
      <w:pPr>
        <w:pStyle w:val="NormalWeb"/>
        <w:shd w:val="clear" w:color="auto" w:fill="FFFFFF"/>
        <w:spacing w:beforeAutospacing="0" w:afterAutospacing="0"/>
        <w:ind w:left="360"/>
        <w:rPr>
          <w:rFonts w:ascii="Arial" w:hAnsi="Arial" w:cs="Arial"/>
          <w:color w:val="202122"/>
          <w:sz w:val="22"/>
          <w:szCs w:val="22"/>
        </w:rPr>
      </w:pPr>
    </w:p>
    <w:p w14:paraId="0D6F5847" w14:textId="37E4FCB8" w:rsidR="00AA3C50" w:rsidRPr="006237B7" w:rsidRDefault="00AA3C50" w:rsidP="00DE1276">
      <w:pPr>
        <w:pStyle w:val="Body"/>
        <w:shd w:val="clear" w:color="auto" w:fill="FFFFFF"/>
        <w:spacing w:before="100" w:after="100" w:line="240" w:lineRule="auto"/>
        <w:ind w:left="360"/>
        <w:rPr>
          <w:rFonts w:ascii="Arial" w:hAnsi="Arial" w:cs="Arial"/>
          <w:b/>
          <w:bCs/>
          <w:lang w:val="en-GB"/>
        </w:rPr>
      </w:pPr>
      <w:r w:rsidRPr="006237B7">
        <w:rPr>
          <w:rFonts w:ascii="Arial" w:hAnsi="Arial" w:cs="Arial"/>
          <w:b/>
          <w:bCs/>
          <w:lang w:val="en-GB"/>
        </w:rPr>
        <w:t xml:space="preserve">The Israeli occupation violations of the Palestinians human rights to water and sanitation – turning Palestinians into customers for the occupation. </w:t>
      </w:r>
    </w:p>
    <w:p w14:paraId="7E038E89" w14:textId="0DF8F375" w:rsidR="00855B68" w:rsidRPr="006237B7" w:rsidRDefault="007B5BE2" w:rsidP="00DE1276">
      <w:pPr>
        <w:pStyle w:val="Body"/>
        <w:numPr>
          <w:ilvl w:val="0"/>
          <w:numId w:val="2"/>
        </w:numPr>
        <w:shd w:val="clear" w:color="auto" w:fill="FFFFFF"/>
        <w:spacing w:before="100" w:after="100" w:line="240" w:lineRule="auto"/>
        <w:rPr>
          <w:rStyle w:val="None"/>
          <w:rFonts w:ascii="Arial" w:hAnsi="Arial" w:cs="Arial"/>
          <w:lang w:val="en-GB"/>
        </w:rPr>
      </w:pPr>
      <w:r w:rsidRPr="006237B7">
        <w:rPr>
          <w:rFonts w:ascii="Arial" w:hAnsi="Arial" w:cs="Arial"/>
          <w:lang w:val="en-GB"/>
        </w:rPr>
        <w:t xml:space="preserve">Israel </w:t>
      </w:r>
      <w:r w:rsidR="00A3259F" w:rsidRPr="006237B7">
        <w:rPr>
          <w:rFonts w:ascii="Arial" w:hAnsi="Arial" w:cs="Arial"/>
          <w:lang w:val="en-GB"/>
        </w:rPr>
        <w:t xml:space="preserve">as the occupying power is obligated by the </w:t>
      </w:r>
      <w:r w:rsidR="008E19D4" w:rsidRPr="006237B7">
        <w:rPr>
          <w:rFonts w:ascii="Arial" w:hAnsi="Arial" w:cs="Arial"/>
          <w:lang w:val="en-GB"/>
        </w:rPr>
        <w:t xml:space="preserve">International </w:t>
      </w:r>
      <w:r w:rsidR="00A3259F" w:rsidRPr="006237B7">
        <w:rPr>
          <w:rFonts w:ascii="Arial" w:hAnsi="Arial" w:cs="Arial"/>
          <w:lang w:val="en-GB"/>
        </w:rPr>
        <w:t xml:space="preserve">Covenant </w:t>
      </w:r>
      <w:r w:rsidR="008E19D4" w:rsidRPr="006237B7">
        <w:rPr>
          <w:rFonts w:ascii="Arial" w:hAnsi="Arial" w:cs="Arial"/>
          <w:lang w:val="en-GB"/>
        </w:rPr>
        <w:t xml:space="preserve">on Economic, Social and Cultural Rights to provide </w:t>
      </w:r>
      <w:r w:rsidR="00B75344" w:rsidRPr="006237B7">
        <w:rPr>
          <w:rStyle w:val="None"/>
          <w:rFonts w:ascii="Arial" w:hAnsi="Arial" w:cs="Arial"/>
          <w:lang w:val="en-GB"/>
        </w:rPr>
        <w:t xml:space="preserve">for the Palestinian human rights to safe drinking water and sanitation including water services </w:t>
      </w:r>
      <w:r w:rsidR="00B75344" w:rsidRPr="006237B7">
        <w:rPr>
          <w:rFonts w:ascii="Arial" w:hAnsi="Arial" w:cs="Arial"/>
          <w:lang w:val="en-GB"/>
        </w:rPr>
        <w:t xml:space="preserve">as indicated in the general comment No.15 (2002). </w:t>
      </w:r>
      <w:r w:rsidR="00070372" w:rsidRPr="006237B7">
        <w:rPr>
          <w:rFonts w:ascii="Arial" w:hAnsi="Arial" w:cs="Arial"/>
          <w:lang w:val="en-GB"/>
        </w:rPr>
        <w:t>This obligation has been repeatedly emphasized by the UN including after</w:t>
      </w:r>
      <w:r w:rsidR="00592B05" w:rsidRPr="006237B7">
        <w:rPr>
          <w:rFonts w:ascii="Arial" w:hAnsi="Arial" w:cs="Arial"/>
          <w:lang w:val="en-GB"/>
        </w:rPr>
        <w:t xml:space="preserve"> signing interim peace agreement in 1993 - 1995 and after</w:t>
      </w:r>
      <w:r w:rsidR="00070372" w:rsidRPr="006237B7">
        <w:rPr>
          <w:rFonts w:ascii="Arial" w:hAnsi="Arial" w:cs="Arial"/>
          <w:lang w:val="en-GB"/>
        </w:rPr>
        <w:t xml:space="preserve"> Israel's disengagement plan in </w:t>
      </w:r>
      <w:r w:rsidR="00070372" w:rsidRPr="006237B7">
        <w:rPr>
          <w:rFonts w:ascii="Arial" w:hAnsi="Arial" w:cs="Arial"/>
          <w:lang w:val="en-GB"/>
        </w:rPr>
        <w:lastRenderedPageBreak/>
        <w:t>2005</w:t>
      </w:r>
      <w:r w:rsidR="00F858C4" w:rsidRPr="006237B7">
        <w:rPr>
          <w:rStyle w:val="FootnoteReference"/>
          <w:rFonts w:ascii="Arial" w:hAnsi="Arial" w:cs="Arial"/>
          <w:lang w:val="en-GB"/>
        </w:rPr>
        <w:footnoteReference w:id="1"/>
      </w:r>
      <w:r w:rsidR="00070372" w:rsidRPr="006237B7">
        <w:rPr>
          <w:rFonts w:ascii="Arial" w:hAnsi="Arial" w:cs="Arial"/>
          <w:lang w:val="en-GB"/>
        </w:rPr>
        <w:t>, and Israel</w:t>
      </w:r>
      <w:r w:rsidR="00716707" w:rsidRPr="006237B7">
        <w:rPr>
          <w:rFonts w:ascii="Arial" w:hAnsi="Arial" w:cs="Arial"/>
          <w:lang w:val="en-GB"/>
        </w:rPr>
        <w:t xml:space="preserve"> </w:t>
      </w:r>
      <w:r w:rsidR="008E19D4" w:rsidRPr="006237B7">
        <w:rPr>
          <w:rFonts w:ascii="Arial" w:hAnsi="Arial" w:cs="Arial"/>
          <w:lang w:val="en-GB"/>
        </w:rPr>
        <w:t>constantly denied it has this obligation</w:t>
      </w:r>
      <w:r w:rsidR="00F858C4" w:rsidRPr="006237B7">
        <w:rPr>
          <w:rStyle w:val="FootnoteReference"/>
          <w:rFonts w:ascii="Arial" w:hAnsi="Arial" w:cs="Arial"/>
          <w:lang w:val="en-GB"/>
        </w:rPr>
        <w:footnoteReference w:id="2"/>
      </w:r>
      <w:r w:rsidR="00070372" w:rsidRPr="006237B7">
        <w:rPr>
          <w:rFonts w:ascii="Arial" w:hAnsi="Arial" w:cs="Arial"/>
          <w:lang w:val="en-GB"/>
        </w:rPr>
        <w:t>.</w:t>
      </w:r>
      <w:r w:rsidR="00D20FF1" w:rsidRPr="006237B7">
        <w:rPr>
          <w:rFonts w:ascii="Arial" w:hAnsi="Arial" w:cs="Arial"/>
          <w:lang w:val="en-GB"/>
        </w:rPr>
        <w:t xml:space="preserve"> </w:t>
      </w:r>
      <w:r w:rsidR="00F858C4" w:rsidRPr="006237B7">
        <w:rPr>
          <w:rFonts w:ascii="Arial" w:hAnsi="Arial" w:cs="Arial"/>
          <w:lang w:val="en-GB"/>
        </w:rPr>
        <w:t xml:space="preserve">Israel </w:t>
      </w:r>
      <w:r w:rsidR="008E19D4" w:rsidRPr="006237B7">
        <w:rPr>
          <w:rFonts w:ascii="Arial" w:hAnsi="Arial" w:cs="Arial"/>
          <w:lang w:val="en-GB"/>
        </w:rPr>
        <w:t>continues to</w:t>
      </w:r>
      <w:r w:rsidR="00F858C4" w:rsidRPr="006237B7">
        <w:rPr>
          <w:rFonts w:ascii="Arial" w:hAnsi="Arial" w:cs="Arial"/>
          <w:lang w:val="en-GB"/>
        </w:rPr>
        <w:t xml:space="preserve"> </w:t>
      </w:r>
      <w:r w:rsidR="00D20FF1" w:rsidRPr="006237B7">
        <w:rPr>
          <w:rFonts w:ascii="Arial" w:hAnsi="Arial" w:cs="Arial"/>
          <w:lang w:val="en-GB"/>
        </w:rPr>
        <w:t>violat</w:t>
      </w:r>
      <w:r w:rsidR="008E19D4" w:rsidRPr="006237B7">
        <w:rPr>
          <w:rFonts w:ascii="Arial" w:hAnsi="Arial" w:cs="Arial"/>
          <w:lang w:val="en-GB"/>
        </w:rPr>
        <w:t>e</w:t>
      </w:r>
      <w:r w:rsidR="00D20FF1" w:rsidRPr="006237B7">
        <w:rPr>
          <w:rFonts w:ascii="Arial" w:hAnsi="Arial" w:cs="Arial"/>
          <w:lang w:val="en-GB"/>
        </w:rPr>
        <w:t xml:space="preserve"> the Palestinians</w:t>
      </w:r>
      <w:r w:rsidR="00F858C4" w:rsidRPr="006237B7">
        <w:rPr>
          <w:rFonts w:ascii="Arial" w:hAnsi="Arial" w:cs="Arial"/>
          <w:lang w:val="en-GB"/>
        </w:rPr>
        <w:t xml:space="preserve"> human rights to water and sanitation on daily bases. </w:t>
      </w:r>
      <w:r w:rsidR="00716707" w:rsidRPr="006237B7">
        <w:rPr>
          <w:rFonts w:ascii="Arial" w:hAnsi="Arial" w:cs="Arial"/>
          <w:lang w:val="en-GB"/>
        </w:rPr>
        <w:t xml:space="preserve">Through military orders, it has been the sole controller of all aspects related to water management </w:t>
      </w:r>
      <w:r w:rsidR="006150DA" w:rsidRPr="006237B7">
        <w:rPr>
          <w:rFonts w:ascii="Arial" w:hAnsi="Arial" w:cs="Arial"/>
          <w:lang w:val="en-GB"/>
        </w:rPr>
        <w:t xml:space="preserve">in the occupied Palestinian territory </w:t>
      </w:r>
      <w:r w:rsidR="00716707" w:rsidRPr="006237B7">
        <w:rPr>
          <w:rFonts w:ascii="Arial" w:hAnsi="Arial" w:cs="Arial"/>
          <w:lang w:val="en-GB"/>
        </w:rPr>
        <w:t xml:space="preserve">since the 1967 occupation. </w:t>
      </w:r>
      <w:r w:rsidR="005F0EF7" w:rsidRPr="006237B7">
        <w:rPr>
          <w:rFonts w:ascii="Arial" w:hAnsi="Arial" w:cs="Arial"/>
          <w:lang w:val="en-GB"/>
        </w:rPr>
        <w:t>Consequently, i</w:t>
      </w:r>
      <w:r w:rsidR="006150DA" w:rsidRPr="006237B7">
        <w:rPr>
          <w:rFonts w:ascii="Arial" w:hAnsi="Arial" w:cs="Arial"/>
          <w:lang w:val="en-GB"/>
        </w:rPr>
        <w:t xml:space="preserve">t </w:t>
      </w:r>
      <w:r w:rsidR="002F0B95" w:rsidRPr="006237B7">
        <w:rPr>
          <w:rFonts w:ascii="Arial" w:hAnsi="Arial" w:cs="Arial"/>
          <w:lang w:val="en-GB"/>
        </w:rPr>
        <w:t xml:space="preserve">deprives the Palestinians from a huge economic potential and </w:t>
      </w:r>
      <w:r w:rsidR="006150DA" w:rsidRPr="006237B7">
        <w:rPr>
          <w:rFonts w:ascii="Arial" w:hAnsi="Arial" w:cs="Arial"/>
          <w:lang w:val="en-GB"/>
        </w:rPr>
        <w:t xml:space="preserve">severely restricts </w:t>
      </w:r>
      <w:r w:rsidR="002F0B95" w:rsidRPr="006237B7">
        <w:rPr>
          <w:rFonts w:ascii="Arial" w:hAnsi="Arial" w:cs="Arial"/>
          <w:lang w:val="en-GB"/>
        </w:rPr>
        <w:t xml:space="preserve">their </w:t>
      </w:r>
      <w:r w:rsidR="006150DA" w:rsidRPr="006237B7">
        <w:rPr>
          <w:rFonts w:ascii="Arial" w:hAnsi="Arial" w:cs="Arial"/>
          <w:lang w:val="en-GB"/>
        </w:rPr>
        <w:t>water development</w:t>
      </w:r>
      <w:r w:rsidR="002F0B95" w:rsidRPr="006237B7">
        <w:rPr>
          <w:rFonts w:ascii="Arial" w:hAnsi="Arial" w:cs="Arial"/>
          <w:lang w:val="en-GB"/>
        </w:rPr>
        <w:t>. I</w:t>
      </w:r>
      <w:r w:rsidR="006150DA" w:rsidRPr="006237B7">
        <w:rPr>
          <w:rStyle w:val="None"/>
          <w:rFonts w:ascii="Arial" w:hAnsi="Arial" w:cs="Arial"/>
          <w:lang w:val="en-GB"/>
        </w:rPr>
        <w:t>t t</w:t>
      </w:r>
      <w:r w:rsidR="00D20FF1" w:rsidRPr="006237B7">
        <w:rPr>
          <w:rStyle w:val="None"/>
          <w:rFonts w:ascii="Arial" w:hAnsi="Arial" w:cs="Arial"/>
          <w:lang w:val="en-GB"/>
        </w:rPr>
        <w:t xml:space="preserve">urned </w:t>
      </w:r>
      <w:r w:rsidR="002F0B95" w:rsidRPr="006237B7">
        <w:rPr>
          <w:rStyle w:val="None"/>
          <w:rFonts w:ascii="Arial" w:hAnsi="Arial" w:cs="Arial"/>
          <w:lang w:val="en-GB"/>
        </w:rPr>
        <w:t>them</w:t>
      </w:r>
      <w:r w:rsidR="00D20FF1" w:rsidRPr="006237B7">
        <w:rPr>
          <w:rStyle w:val="None"/>
          <w:rFonts w:ascii="Arial" w:hAnsi="Arial" w:cs="Arial"/>
          <w:lang w:val="en-GB"/>
        </w:rPr>
        <w:t xml:space="preserve"> into customers for the occupation. Apparently, the only segment growing is purchases from the Israeli National Water Company, Mekorot</w:t>
      </w:r>
      <w:r w:rsidR="00855B68" w:rsidRPr="006237B7">
        <w:rPr>
          <w:rStyle w:val="None"/>
          <w:rFonts w:ascii="Arial" w:hAnsi="Arial" w:cs="Arial"/>
          <w:lang w:val="en-GB"/>
        </w:rPr>
        <w:t xml:space="preserve">. </w:t>
      </w:r>
    </w:p>
    <w:p w14:paraId="4707560F" w14:textId="5E2E9EAB" w:rsidR="00E93AF9" w:rsidRPr="006237B7" w:rsidRDefault="00855B68" w:rsidP="00DE1276">
      <w:pPr>
        <w:pStyle w:val="Body"/>
        <w:numPr>
          <w:ilvl w:val="0"/>
          <w:numId w:val="2"/>
        </w:numPr>
        <w:shd w:val="clear" w:color="auto" w:fill="FFFFFF"/>
        <w:spacing w:before="100" w:after="100" w:line="240" w:lineRule="auto"/>
        <w:rPr>
          <w:rFonts w:ascii="Arial" w:hAnsi="Arial" w:cs="Arial"/>
          <w:lang w:val="en-GB"/>
        </w:rPr>
      </w:pPr>
      <w:r w:rsidRPr="006237B7">
        <w:rPr>
          <w:rStyle w:val="None"/>
          <w:rFonts w:ascii="Arial" w:hAnsi="Arial" w:cs="Arial"/>
          <w:lang w:val="en-GB"/>
        </w:rPr>
        <w:t>T</w:t>
      </w:r>
      <w:r w:rsidR="00E93AF9" w:rsidRPr="006237B7">
        <w:rPr>
          <w:rFonts w:ascii="Arial" w:hAnsi="Arial" w:cs="Arial"/>
          <w:lang w:val="en-GB"/>
        </w:rPr>
        <w:t>he occupied Palestinian territory</w:t>
      </w:r>
      <w:r w:rsidR="00F60822" w:rsidRPr="006237B7">
        <w:rPr>
          <w:rFonts w:ascii="Arial" w:hAnsi="Arial" w:cs="Arial"/>
          <w:lang w:val="en-GB"/>
        </w:rPr>
        <w:t>’s</w:t>
      </w:r>
      <w:r w:rsidR="00E93AF9" w:rsidRPr="006237B7">
        <w:rPr>
          <w:rFonts w:ascii="Arial" w:hAnsi="Arial" w:cs="Arial"/>
          <w:lang w:val="en-GB"/>
        </w:rPr>
        <w:t xml:space="preserve"> total production of fresh water in 2020 was </w:t>
      </w:r>
      <w:r w:rsidR="00BA396E" w:rsidRPr="006237B7">
        <w:rPr>
          <w:rFonts w:ascii="Arial" w:hAnsi="Arial" w:cs="Arial"/>
          <w:iCs/>
          <w:color w:val="auto"/>
          <w:lang w:val="en-GB"/>
        </w:rPr>
        <w:t>142</w:t>
      </w:r>
      <w:r w:rsidR="00E93AF9" w:rsidRPr="006237B7">
        <w:rPr>
          <w:rFonts w:ascii="Arial" w:hAnsi="Arial" w:cs="Arial"/>
          <w:color w:val="auto"/>
          <w:lang w:val="en-GB"/>
        </w:rPr>
        <w:t xml:space="preserve"> </w:t>
      </w:r>
      <w:r w:rsidR="00E93AF9" w:rsidRPr="006237B7">
        <w:rPr>
          <w:rFonts w:ascii="Arial" w:hAnsi="Arial" w:cs="Arial"/>
          <w:lang w:val="en-GB"/>
        </w:rPr>
        <w:t>mcm</w:t>
      </w:r>
      <w:r w:rsidR="00EB62C0" w:rsidRPr="006237B7">
        <w:rPr>
          <w:rFonts w:ascii="Arial" w:hAnsi="Arial" w:cs="Arial"/>
          <w:lang w:val="en-GB"/>
        </w:rPr>
        <w:t>/y</w:t>
      </w:r>
      <w:r w:rsidR="00EB62C0" w:rsidRPr="006237B7">
        <w:rPr>
          <w:rFonts w:ascii="Arial" w:hAnsi="Arial" w:cs="Arial"/>
          <w:color w:val="auto"/>
          <w:lang w:val="en-GB"/>
        </w:rPr>
        <w:t>r</w:t>
      </w:r>
      <w:r w:rsidR="00BA396E" w:rsidRPr="006237B7">
        <w:rPr>
          <w:rStyle w:val="FootnoteReference"/>
          <w:rFonts w:ascii="Arial" w:hAnsi="Arial" w:cs="Arial"/>
          <w:color w:val="auto"/>
          <w:lang w:val="en-GB"/>
        </w:rPr>
        <w:footnoteReference w:id="3"/>
      </w:r>
      <w:r w:rsidR="00E93AF9" w:rsidRPr="006237B7">
        <w:rPr>
          <w:rFonts w:ascii="Arial" w:hAnsi="Arial" w:cs="Arial"/>
          <w:color w:val="auto"/>
          <w:lang w:val="en-GB"/>
        </w:rPr>
        <w:t xml:space="preserve">, </w:t>
      </w:r>
      <w:r w:rsidR="00E93AF9" w:rsidRPr="006237B7">
        <w:rPr>
          <w:rFonts w:ascii="Arial" w:hAnsi="Arial" w:cs="Arial"/>
          <w:lang w:val="en-GB"/>
        </w:rPr>
        <w:t xml:space="preserve">while </w:t>
      </w:r>
      <w:r w:rsidR="00BE6F05" w:rsidRPr="006237B7">
        <w:rPr>
          <w:rFonts w:ascii="Arial" w:hAnsi="Arial" w:cs="Arial"/>
          <w:lang w:val="en-GB"/>
        </w:rPr>
        <w:t xml:space="preserve">as a </w:t>
      </w:r>
      <w:r w:rsidR="00BA396E" w:rsidRPr="006237B7">
        <w:rPr>
          <w:rFonts w:ascii="Arial" w:hAnsi="Arial" w:cs="Arial"/>
          <w:lang w:val="en-GB"/>
        </w:rPr>
        <w:t>rough estimate the</w:t>
      </w:r>
      <w:r w:rsidR="00BE6F05" w:rsidRPr="006237B7">
        <w:rPr>
          <w:rFonts w:ascii="Arial" w:hAnsi="Arial" w:cs="Arial"/>
          <w:lang w:val="en-GB"/>
        </w:rPr>
        <w:t xml:space="preserve"> regional resources alone</w:t>
      </w:r>
      <w:r w:rsidR="00BE6F05" w:rsidRPr="006237B7">
        <w:rPr>
          <w:rStyle w:val="FootnoteReference"/>
          <w:rFonts w:ascii="Arial" w:hAnsi="Arial" w:cs="Arial"/>
          <w:lang w:val="en-GB"/>
        </w:rPr>
        <w:footnoteReference w:id="4"/>
      </w:r>
      <w:r w:rsidR="00BE6F05" w:rsidRPr="006237B7">
        <w:rPr>
          <w:rFonts w:ascii="Arial" w:hAnsi="Arial" w:cs="Arial"/>
          <w:lang w:val="en-GB"/>
        </w:rPr>
        <w:t xml:space="preserve"> </w:t>
      </w:r>
      <w:r w:rsidR="00BA396E" w:rsidRPr="006237B7">
        <w:rPr>
          <w:rFonts w:ascii="Arial" w:hAnsi="Arial" w:cs="Arial"/>
          <w:lang w:val="en-GB"/>
        </w:rPr>
        <w:t>could produce 668 mcm</w:t>
      </w:r>
      <w:r w:rsidR="00F60822" w:rsidRPr="006237B7">
        <w:rPr>
          <w:rFonts w:ascii="Arial" w:hAnsi="Arial" w:cs="Arial"/>
          <w:lang w:val="en-GB"/>
        </w:rPr>
        <w:t>/yr</w:t>
      </w:r>
      <w:r w:rsidR="00BA396E" w:rsidRPr="006237B7">
        <w:rPr>
          <w:rStyle w:val="FootnoteReference"/>
          <w:rFonts w:ascii="Arial" w:hAnsi="Arial" w:cs="Arial"/>
          <w:lang w:val="en-GB"/>
        </w:rPr>
        <w:footnoteReference w:id="5"/>
      </w:r>
      <w:r w:rsidR="00BA396E" w:rsidRPr="006237B7">
        <w:rPr>
          <w:rFonts w:ascii="Arial" w:hAnsi="Arial" w:cs="Arial"/>
          <w:lang w:val="en-GB"/>
        </w:rPr>
        <w:t xml:space="preserve"> should </w:t>
      </w:r>
      <w:r w:rsidR="00EB62C0" w:rsidRPr="006237B7">
        <w:rPr>
          <w:rFonts w:ascii="Arial" w:hAnsi="Arial" w:cs="Arial"/>
          <w:lang w:val="en-GB"/>
        </w:rPr>
        <w:t>it</w:t>
      </w:r>
      <w:r w:rsidR="00BA396E" w:rsidRPr="006237B7">
        <w:rPr>
          <w:rFonts w:ascii="Arial" w:hAnsi="Arial" w:cs="Arial"/>
          <w:lang w:val="en-GB"/>
        </w:rPr>
        <w:t xml:space="preserve"> </w:t>
      </w:r>
      <w:r w:rsidR="00EB62C0" w:rsidRPr="006237B7">
        <w:rPr>
          <w:rFonts w:ascii="Arial" w:hAnsi="Arial" w:cs="Arial"/>
          <w:lang w:val="en-GB"/>
        </w:rPr>
        <w:t>ha</w:t>
      </w:r>
      <w:r w:rsidR="00BE6F05" w:rsidRPr="006237B7">
        <w:rPr>
          <w:rFonts w:ascii="Arial" w:hAnsi="Arial" w:cs="Arial"/>
          <w:lang w:val="en-GB"/>
        </w:rPr>
        <w:t>ve</w:t>
      </w:r>
      <w:r w:rsidR="00BA396E" w:rsidRPr="006237B7">
        <w:rPr>
          <w:rFonts w:ascii="Arial" w:hAnsi="Arial" w:cs="Arial"/>
          <w:lang w:val="en-GB"/>
        </w:rPr>
        <w:t xml:space="preserve"> access to </w:t>
      </w:r>
      <w:r w:rsidR="00EB62C0" w:rsidRPr="006237B7">
        <w:rPr>
          <w:rFonts w:ascii="Arial" w:hAnsi="Arial" w:cs="Arial"/>
          <w:lang w:val="en-GB"/>
        </w:rPr>
        <w:t>its</w:t>
      </w:r>
      <w:r w:rsidR="00BA396E" w:rsidRPr="006237B7">
        <w:rPr>
          <w:rFonts w:ascii="Arial" w:hAnsi="Arial" w:cs="Arial"/>
          <w:lang w:val="en-GB"/>
        </w:rPr>
        <w:t xml:space="preserve"> equitable water share</w:t>
      </w:r>
      <w:r w:rsidR="00F60822" w:rsidRPr="006237B7">
        <w:rPr>
          <w:rStyle w:val="FootnoteReference"/>
          <w:rFonts w:ascii="Arial" w:hAnsi="Arial" w:cs="Arial"/>
          <w:lang w:val="en-GB"/>
        </w:rPr>
        <w:footnoteReference w:id="6"/>
      </w:r>
      <w:r w:rsidR="00BA396E" w:rsidRPr="006237B7">
        <w:rPr>
          <w:rFonts w:ascii="Arial" w:hAnsi="Arial" w:cs="Arial"/>
          <w:lang w:val="en-GB"/>
        </w:rPr>
        <w:t xml:space="preserve">. </w:t>
      </w:r>
    </w:p>
    <w:p w14:paraId="537B5D2E" w14:textId="3F33C363" w:rsidR="00EF146A" w:rsidRPr="006237B7" w:rsidRDefault="00EF146A" w:rsidP="00DE1276">
      <w:pPr>
        <w:pStyle w:val="Body"/>
        <w:numPr>
          <w:ilvl w:val="0"/>
          <w:numId w:val="2"/>
        </w:numPr>
        <w:shd w:val="clear" w:color="auto" w:fill="FFFFFF"/>
        <w:spacing w:before="100" w:after="100" w:line="240" w:lineRule="auto"/>
        <w:rPr>
          <w:rFonts w:ascii="Arial" w:hAnsi="Arial" w:cs="Arial"/>
          <w:lang w:val="en-GB"/>
        </w:rPr>
      </w:pPr>
      <w:r w:rsidRPr="006237B7">
        <w:rPr>
          <w:rFonts w:ascii="Arial" w:hAnsi="Arial" w:cs="Arial"/>
          <w:lang w:val="en-GB"/>
        </w:rPr>
        <w:t>Immediately after the 1967 occupation</w:t>
      </w:r>
      <w:r w:rsidR="00040B08" w:rsidRPr="006237B7">
        <w:rPr>
          <w:rFonts w:ascii="Arial" w:hAnsi="Arial" w:cs="Arial"/>
          <w:lang w:val="en-GB"/>
        </w:rPr>
        <w:t>, Israel has de-facto annexed all water.</w:t>
      </w:r>
      <w:r w:rsidRPr="006237B7">
        <w:rPr>
          <w:rFonts w:ascii="Arial" w:hAnsi="Arial" w:cs="Arial"/>
          <w:lang w:val="en-GB"/>
        </w:rPr>
        <w:t xml:space="preserve"> </w:t>
      </w:r>
      <w:r w:rsidR="00040B08" w:rsidRPr="006237B7">
        <w:rPr>
          <w:rFonts w:ascii="Arial" w:hAnsi="Arial" w:cs="Arial"/>
          <w:lang w:val="en-GB"/>
        </w:rPr>
        <w:t>It</w:t>
      </w:r>
      <w:r w:rsidRPr="006237B7">
        <w:rPr>
          <w:rFonts w:ascii="Arial" w:hAnsi="Arial" w:cs="Arial"/>
          <w:lang w:val="en-GB"/>
        </w:rPr>
        <w:t xml:space="preserve"> issued </w:t>
      </w:r>
      <w:r w:rsidR="00EB62C0" w:rsidRPr="006237B7">
        <w:rPr>
          <w:rFonts w:ascii="Arial" w:hAnsi="Arial" w:cs="Arial"/>
          <w:lang w:val="en-GB"/>
        </w:rPr>
        <w:t>a series</w:t>
      </w:r>
      <w:r w:rsidRPr="006237B7">
        <w:rPr>
          <w:rFonts w:ascii="Arial" w:hAnsi="Arial" w:cs="Arial"/>
          <w:lang w:val="en-GB"/>
        </w:rPr>
        <w:t xml:space="preserve"> </w:t>
      </w:r>
      <w:r w:rsidR="00040B08" w:rsidRPr="006237B7">
        <w:rPr>
          <w:rFonts w:ascii="Arial" w:hAnsi="Arial" w:cs="Arial"/>
          <w:lang w:val="en-GB"/>
        </w:rPr>
        <w:t xml:space="preserve">of </w:t>
      </w:r>
      <w:r w:rsidRPr="006237B7">
        <w:rPr>
          <w:rFonts w:ascii="Arial" w:hAnsi="Arial" w:cs="Arial"/>
          <w:lang w:val="en-GB"/>
        </w:rPr>
        <w:t>military order</w:t>
      </w:r>
      <w:r w:rsidR="00EB62C0" w:rsidRPr="006237B7">
        <w:rPr>
          <w:rFonts w:ascii="Arial" w:hAnsi="Arial" w:cs="Arial"/>
          <w:lang w:val="en-GB"/>
        </w:rPr>
        <w:t>s</w:t>
      </w:r>
      <w:r w:rsidRPr="006237B7">
        <w:rPr>
          <w:rFonts w:ascii="Arial" w:hAnsi="Arial" w:cs="Arial"/>
          <w:lang w:val="en-GB"/>
        </w:rPr>
        <w:t xml:space="preserve"> stating that all the water resources that have been occupied are the property of the state of Israel</w:t>
      </w:r>
      <w:r w:rsidR="00EB62C0" w:rsidRPr="006237B7">
        <w:rPr>
          <w:rStyle w:val="FootnoteReference"/>
          <w:rFonts w:ascii="Arial" w:hAnsi="Arial" w:cs="Arial"/>
          <w:lang w:val="en-GB"/>
        </w:rPr>
        <w:footnoteReference w:id="7"/>
      </w:r>
      <w:r w:rsidR="00EB62C0" w:rsidRPr="006237B7">
        <w:rPr>
          <w:rFonts w:ascii="Arial" w:hAnsi="Arial" w:cs="Arial"/>
          <w:lang w:val="en-GB"/>
        </w:rPr>
        <w:t xml:space="preserve">, forbidding any </w:t>
      </w:r>
      <w:r w:rsidR="00040B08" w:rsidRPr="006237B7">
        <w:rPr>
          <w:rFonts w:ascii="Arial" w:hAnsi="Arial" w:cs="Arial"/>
          <w:lang w:val="en-GB"/>
        </w:rPr>
        <w:t xml:space="preserve">act of </w:t>
      </w:r>
      <w:r w:rsidR="00EB62C0" w:rsidRPr="006237B7">
        <w:rPr>
          <w:rFonts w:ascii="Arial" w:hAnsi="Arial" w:cs="Arial"/>
          <w:lang w:val="en-GB"/>
        </w:rPr>
        <w:t xml:space="preserve">water development without </w:t>
      </w:r>
      <w:r w:rsidR="00040B08" w:rsidRPr="006237B7">
        <w:rPr>
          <w:rFonts w:ascii="Arial" w:hAnsi="Arial" w:cs="Arial"/>
          <w:lang w:val="en-GB"/>
        </w:rPr>
        <w:t>official</w:t>
      </w:r>
      <w:r w:rsidR="00EB62C0" w:rsidRPr="006237B7">
        <w:rPr>
          <w:rFonts w:ascii="Arial" w:hAnsi="Arial" w:cs="Arial"/>
          <w:lang w:val="en-GB"/>
        </w:rPr>
        <w:t xml:space="preserve"> permit</w:t>
      </w:r>
      <w:r w:rsidR="00EB62C0" w:rsidRPr="006237B7">
        <w:rPr>
          <w:rStyle w:val="FootnoteReference"/>
          <w:rFonts w:ascii="Arial" w:hAnsi="Arial" w:cs="Arial"/>
          <w:lang w:val="en-GB"/>
        </w:rPr>
        <w:footnoteReference w:id="8"/>
      </w:r>
      <w:r w:rsidR="00EB62C0" w:rsidRPr="006237B7">
        <w:rPr>
          <w:rFonts w:ascii="Arial" w:hAnsi="Arial" w:cs="Arial"/>
          <w:lang w:val="en-GB"/>
        </w:rPr>
        <w:t xml:space="preserve"> and cancelling all existing regulations</w:t>
      </w:r>
      <w:r w:rsidR="00EB62C0" w:rsidRPr="006237B7">
        <w:rPr>
          <w:rStyle w:val="FootnoteReference"/>
          <w:rFonts w:ascii="Arial" w:hAnsi="Arial" w:cs="Arial"/>
          <w:lang w:val="en-GB"/>
        </w:rPr>
        <w:footnoteReference w:id="9"/>
      </w:r>
      <w:r w:rsidR="00EB62C0" w:rsidRPr="006237B7">
        <w:rPr>
          <w:rFonts w:ascii="Arial" w:hAnsi="Arial" w:cs="Arial"/>
          <w:lang w:val="en-GB"/>
        </w:rPr>
        <w:t>.</w:t>
      </w:r>
      <w:r w:rsidR="00040B08" w:rsidRPr="006237B7">
        <w:rPr>
          <w:rFonts w:ascii="Arial" w:hAnsi="Arial" w:cs="Arial"/>
          <w:lang w:val="en-GB"/>
        </w:rPr>
        <w:t xml:space="preserve"> </w:t>
      </w:r>
      <w:r w:rsidRPr="006237B7">
        <w:rPr>
          <w:rFonts w:ascii="Arial" w:hAnsi="Arial" w:cs="Arial"/>
          <w:lang w:val="en-GB"/>
        </w:rPr>
        <w:t>Consequently, Israel became the sole controller of all aspects related to water management including: extraction, storage, transportation, use, treatment and inspection. It established a permit regime, which requires the Palestinians to seek the permission of the Israeli Military Commander for any act of water development</w:t>
      </w:r>
      <w:r w:rsidR="00DE1276" w:rsidRPr="006237B7">
        <w:rPr>
          <w:rStyle w:val="FootnoteReference"/>
          <w:rFonts w:ascii="Arial" w:hAnsi="Arial" w:cs="Arial"/>
          <w:lang w:val="en-GB"/>
        </w:rPr>
        <w:footnoteReference w:id="10"/>
      </w:r>
      <w:r w:rsidRPr="006237B7">
        <w:rPr>
          <w:rFonts w:ascii="Arial" w:hAnsi="Arial" w:cs="Arial"/>
          <w:lang w:val="en-GB"/>
        </w:rPr>
        <w:t>.</w:t>
      </w:r>
      <w:r w:rsidR="00040B08" w:rsidRPr="006237B7">
        <w:rPr>
          <w:rFonts w:ascii="Arial" w:hAnsi="Arial" w:cs="Arial"/>
          <w:lang w:val="en-GB"/>
        </w:rPr>
        <w:t xml:space="preserve"> </w:t>
      </w:r>
      <w:r w:rsidRPr="006237B7">
        <w:rPr>
          <w:rFonts w:ascii="Arial" w:hAnsi="Arial" w:cs="Arial"/>
          <w:lang w:val="en-GB"/>
        </w:rPr>
        <w:t xml:space="preserve"> </w:t>
      </w:r>
    </w:p>
    <w:p w14:paraId="62CD606F" w14:textId="2E8CD78F" w:rsidR="00EF146A" w:rsidRPr="006237B7" w:rsidRDefault="00EF146A" w:rsidP="00A56ED0">
      <w:pPr>
        <w:pStyle w:val="Body"/>
        <w:numPr>
          <w:ilvl w:val="0"/>
          <w:numId w:val="2"/>
        </w:numPr>
        <w:spacing w:line="240" w:lineRule="auto"/>
        <w:rPr>
          <w:rFonts w:ascii="Arial" w:hAnsi="Arial" w:cs="Arial"/>
          <w:lang w:val="en-GB"/>
        </w:rPr>
      </w:pPr>
      <w:r w:rsidRPr="006237B7">
        <w:rPr>
          <w:rFonts w:ascii="Arial" w:hAnsi="Arial" w:cs="Arial"/>
          <w:lang w:val="en-GB"/>
        </w:rPr>
        <w:t xml:space="preserve">The Israeli-Palestinian Interim Peace Agreement: Oslo II 1995 transferred all responsibilities for supplying and providing the occupied Palestinian </w:t>
      </w:r>
      <w:r w:rsidR="00BE6F05" w:rsidRPr="006237B7">
        <w:rPr>
          <w:rFonts w:ascii="Arial" w:hAnsi="Arial" w:cs="Arial"/>
          <w:lang w:val="en-GB"/>
        </w:rPr>
        <w:t xml:space="preserve">population </w:t>
      </w:r>
      <w:r w:rsidRPr="006237B7">
        <w:rPr>
          <w:rFonts w:ascii="Arial" w:hAnsi="Arial" w:cs="Arial"/>
          <w:lang w:val="en-GB"/>
        </w:rPr>
        <w:t>with water and sewage to the Palestinian Authority, which was established by the Oslo agreements in 199</w:t>
      </w:r>
      <w:r w:rsidRPr="006237B7">
        <w:rPr>
          <w:rFonts w:ascii="Arial" w:hAnsi="Arial" w:cs="Arial"/>
          <w:rtl/>
          <w:lang w:val="en-GB"/>
        </w:rPr>
        <w:t>3</w:t>
      </w:r>
      <w:r w:rsidRPr="006237B7">
        <w:rPr>
          <w:rFonts w:ascii="Arial" w:hAnsi="Arial" w:cs="Arial"/>
          <w:lang w:val="en-GB"/>
        </w:rPr>
        <w:t xml:space="preserve">. However, </w:t>
      </w:r>
      <w:r w:rsidR="008E19D4" w:rsidRPr="006237B7">
        <w:rPr>
          <w:rFonts w:ascii="Arial" w:hAnsi="Arial" w:cs="Arial"/>
          <w:lang w:val="en-GB"/>
        </w:rPr>
        <w:t>Israel</w:t>
      </w:r>
      <w:r w:rsidRPr="006237B7">
        <w:rPr>
          <w:rFonts w:ascii="Arial" w:hAnsi="Arial" w:cs="Arial"/>
          <w:lang w:val="en-GB"/>
        </w:rPr>
        <w:t xml:space="preserve"> maintained full control over </w:t>
      </w:r>
      <w:r w:rsidR="00BD4235" w:rsidRPr="006237B7">
        <w:rPr>
          <w:rFonts w:ascii="Arial" w:hAnsi="Arial" w:cs="Arial"/>
          <w:lang w:val="en-GB"/>
        </w:rPr>
        <w:t xml:space="preserve">the physical </w:t>
      </w:r>
      <w:r w:rsidRPr="006237B7">
        <w:rPr>
          <w:rFonts w:ascii="Arial" w:hAnsi="Arial" w:cs="Arial"/>
          <w:lang w:val="en-GB"/>
        </w:rPr>
        <w:t xml:space="preserve">water </w:t>
      </w:r>
      <w:r w:rsidR="00BD4235" w:rsidRPr="006237B7">
        <w:rPr>
          <w:rFonts w:ascii="Arial" w:hAnsi="Arial" w:cs="Arial"/>
          <w:lang w:val="en-GB"/>
        </w:rPr>
        <w:t xml:space="preserve">resources by long-standing illegal routines, </w:t>
      </w:r>
      <w:r w:rsidRPr="006237B7">
        <w:rPr>
          <w:rFonts w:ascii="Arial" w:hAnsi="Arial" w:cs="Arial"/>
          <w:lang w:val="en-GB"/>
        </w:rPr>
        <w:t>including the permit regime</w:t>
      </w:r>
      <w:r w:rsidR="00FE4EC9" w:rsidRPr="006237B7">
        <w:rPr>
          <w:rFonts w:ascii="Arial" w:hAnsi="Arial" w:cs="Arial"/>
          <w:lang w:val="en-GB"/>
        </w:rPr>
        <w:t xml:space="preserve"> </w:t>
      </w:r>
      <w:r w:rsidR="00BD4235" w:rsidRPr="006237B7">
        <w:rPr>
          <w:rFonts w:ascii="Arial" w:hAnsi="Arial" w:cs="Arial"/>
          <w:lang w:val="en-GB"/>
        </w:rPr>
        <w:t xml:space="preserve">and </w:t>
      </w:r>
      <w:r w:rsidR="00FE4EC9" w:rsidRPr="006237B7">
        <w:rPr>
          <w:rFonts w:ascii="Arial" w:hAnsi="Arial" w:cs="Arial"/>
          <w:lang w:val="en-GB"/>
        </w:rPr>
        <w:t xml:space="preserve">through the establishment of a </w:t>
      </w:r>
      <w:r w:rsidR="00BD4235" w:rsidRPr="006237B7">
        <w:rPr>
          <w:rFonts w:ascii="Arial" w:hAnsi="Arial" w:cs="Arial"/>
          <w:lang w:val="en-GB"/>
        </w:rPr>
        <w:t xml:space="preserve">new, so-called </w:t>
      </w:r>
      <w:r w:rsidR="00FE4EC9" w:rsidRPr="006237B7">
        <w:rPr>
          <w:rFonts w:ascii="Arial" w:hAnsi="Arial" w:cs="Arial"/>
          <w:lang w:val="en-GB"/>
        </w:rPr>
        <w:t>Joint Israeli-Palestinian Water Committee</w:t>
      </w:r>
      <w:r w:rsidR="00BD4235" w:rsidRPr="006237B7">
        <w:rPr>
          <w:rFonts w:ascii="Arial" w:hAnsi="Arial" w:cs="Arial"/>
          <w:lang w:val="en-GB"/>
        </w:rPr>
        <w:t xml:space="preserve"> (JWC)</w:t>
      </w:r>
      <w:r w:rsidR="00B55598" w:rsidRPr="006237B7">
        <w:rPr>
          <w:rStyle w:val="FootnoteReference"/>
          <w:rFonts w:ascii="Arial" w:hAnsi="Arial" w:cs="Arial"/>
          <w:lang w:val="en-GB"/>
        </w:rPr>
        <w:footnoteReference w:id="11"/>
      </w:r>
      <w:r w:rsidRPr="006237B7">
        <w:rPr>
          <w:rFonts w:ascii="Arial" w:hAnsi="Arial" w:cs="Arial"/>
          <w:lang w:val="en-GB"/>
        </w:rPr>
        <w:t xml:space="preserve">. </w:t>
      </w:r>
      <w:r w:rsidR="00BD4235" w:rsidRPr="006237B7">
        <w:rPr>
          <w:rFonts w:ascii="Arial" w:hAnsi="Arial" w:cs="Arial"/>
          <w:lang w:val="en-GB"/>
        </w:rPr>
        <w:t xml:space="preserve">In other words: “responsibility” but without control nor sovereignty. </w:t>
      </w:r>
      <w:r w:rsidRPr="006237B7">
        <w:rPr>
          <w:rFonts w:ascii="Arial" w:hAnsi="Arial" w:cs="Arial"/>
          <w:lang w:val="en-GB"/>
        </w:rPr>
        <w:t>In 2017, a new Israeli-Palestinian agreement</w:t>
      </w:r>
      <w:r w:rsidR="00B53755" w:rsidRPr="006237B7">
        <w:rPr>
          <w:rFonts w:ascii="Arial" w:hAnsi="Arial" w:cs="Arial"/>
          <w:lang w:val="en-GB"/>
        </w:rPr>
        <w:t xml:space="preserve"> was signed concerning the Joint Water Committee</w:t>
      </w:r>
      <w:r w:rsidRPr="006237B7">
        <w:rPr>
          <w:rFonts w:ascii="Arial" w:hAnsi="Arial" w:cs="Arial"/>
          <w:lang w:val="en-GB"/>
        </w:rPr>
        <w:t>. Th</w:t>
      </w:r>
      <w:r w:rsidR="00BD4235" w:rsidRPr="006237B7">
        <w:rPr>
          <w:rFonts w:ascii="Arial" w:hAnsi="Arial" w:cs="Arial"/>
          <w:lang w:val="en-GB"/>
        </w:rPr>
        <w:t>is</w:t>
      </w:r>
      <w:r w:rsidRPr="006237B7">
        <w:rPr>
          <w:rFonts w:ascii="Arial" w:hAnsi="Arial" w:cs="Arial"/>
          <w:lang w:val="en-GB"/>
        </w:rPr>
        <w:t xml:space="preserve"> agreement allowed Palestinians to implement water projects without the permission of </w:t>
      </w:r>
      <w:r w:rsidRPr="006237B7">
        <w:rPr>
          <w:rFonts w:ascii="Arial" w:hAnsi="Arial" w:cs="Arial"/>
          <w:lang w:val="en-GB"/>
        </w:rPr>
        <w:lastRenderedPageBreak/>
        <w:t>the joint committee</w:t>
      </w:r>
      <w:r w:rsidR="008E19D4" w:rsidRPr="006237B7">
        <w:rPr>
          <w:rFonts w:ascii="Arial" w:hAnsi="Arial" w:cs="Arial"/>
          <w:lang w:val="en-GB"/>
        </w:rPr>
        <w:t xml:space="preserve"> in </w:t>
      </w:r>
      <w:r w:rsidR="00DC71AB" w:rsidRPr="006237B7">
        <w:rPr>
          <w:rFonts w:ascii="Arial" w:hAnsi="Arial" w:cs="Arial"/>
          <w:lang w:val="en-GB"/>
        </w:rPr>
        <w:t>A</w:t>
      </w:r>
      <w:r w:rsidR="008E19D4" w:rsidRPr="006237B7">
        <w:rPr>
          <w:rFonts w:ascii="Arial" w:hAnsi="Arial" w:cs="Arial"/>
          <w:lang w:val="en-GB"/>
        </w:rPr>
        <w:t>reas A and B</w:t>
      </w:r>
      <w:r w:rsidR="00DC71AB" w:rsidRPr="006237B7">
        <w:rPr>
          <w:rStyle w:val="FootnoteReference"/>
          <w:rFonts w:ascii="Arial" w:hAnsi="Arial" w:cs="Arial"/>
          <w:lang w:val="en-GB"/>
        </w:rPr>
        <w:footnoteReference w:id="12"/>
      </w:r>
      <w:r w:rsidRPr="006237B7">
        <w:rPr>
          <w:rFonts w:ascii="Arial" w:hAnsi="Arial" w:cs="Arial"/>
          <w:lang w:val="en-GB"/>
        </w:rPr>
        <w:t xml:space="preserve">, as long as they do not involve access to any additional </w:t>
      </w:r>
      <w:r w:rsidR="008E19D4" w:rsidRPr="006237B7">
        <w:rPr>
          <w:rFonts w:ascii="Arial" w:hAnsi="Arial" w:cs="Arial"/>
          <w:lang w:val="en-GB"/>
        </w:rPr>
        <w:t xml:space="preserve">quantities of </w:t>
      </w:r>
      <w:r w:rsidRPr="006237B7">
        <w:rPr>
          <w:rFonts w:ascii="Arial" w:hAnsi="Arial" w:cs="Arial"/>
          <w:lang w:val="en-GB"/>
        </w:rPr>
        <w:t xml:space="preserve">water. </w:t>
      </w:r>
      <w:r w:rsidR="00BD4235" w:rsidRPr="006237B7">
        <w:rPr>
          <w:rFonts w:ascii="Arial" w:hAnsi="Arial" w:cs="Arial"/>
          <w:lang w:val="en-GB"/>
        </w:rPr>
        <w:t>However, i</w:t>
      </w:r>
      <w:r w:rsidRPr="006237B7">
        <w:rPr>
          <w:rFonts w:ascii="Arial" w:hAnsi="Arial" w:cs="Arial"/>
          <w:lang w:val="en-GB"/>
        </w:rPr>
        <w:t>n 61% of the West Bank</w:t>
      </w:r>
      <w:r w:rsidR="00B53755" w:rsidRPr="006237B7">
        <w:rPr>
          <w:rFonts w:ascii="Arial" w:hAnsi="Arial" w:cs="Arial"/>
          <w:lang w:val="en-GB"/>
        </w:rPr>
        <w:t xml:space="preserve"> (</w:t>
      </w:r>
      <w:r w:rsidR="008E19D4" w:rsidRPr="006237B7">
        <w:rPr>
          <w:rFonts w:ascii="Arial" w:hAnsi="Arial" w:cs="Arial"/>
          <w:lang w:val="en-GB"/>
        </w:rPr>
        <w:t>Area</w:t>
      </w:r>
      <w:r w:rsidR="00B53755" w:rsidRPr="006237B7">
        <w:rPr>
          <w:rFonts w:ascii="Arial" w:hAnsi="Arial" w:cs="Arial"/>
          <w:lang w:val="en-GB"/>
        </w:rPr>
        <w:t xml:space="preserve"> C)</w:t>
      </w:r>
      <w:r w:rsidRPr="006237B7">
        <w:rPr>
          <w:rFonts w:ascii="Arial" w:hAnsi="Arial" w:cs="Arial"/>
          <w:lang w:val="en-GB"/>
        </w:rPr>
        <w:t xml:space="preserve">, these projects still require approval of the Israeli Civil Administration. </w:t>
      </w:r>
      <w:r w:rsidR="00B53755" w:rsidRPr="006237B7">
        <w:rPr>
          <w:rFonts w:ascii="Arial" w:hAnsi="Arial" w:cs="Arial"/>
          <w:lang w:val="en-GB"/>
        </w:rPr>
        <w:t>Thus, this agreement did not reduce the intention</w:t>
      </w:r>
      <w:r w:rsidR="00EA13C0" w:rsidRPr="006237B7">
        <w:rPr>
          <w:rFonts w:ascii="Arial" w:hAnsi="Arial" w:cs="Arial"/>
          <w:lang w:val="en-GB"/>
        </w:rPr>
        <w:t>al</w:t>
      </w:r>
      <w:r w:rsidR="00BD4235" w:rsidRPr="006237B7">
        <w:rPr>
          <w:rFonts w:ascii="Arial" w:hAnsi="Arial" w:cs="Arial"/>
          <w:lang w:val="en-GB"/>
        </w:rPr>
        <w:t xml:space="preserve"> </w:t>
      </w:r>
      <w:r w:rsidR="00B53755" w:rsidRPr="006237B7">
        <w:rPr>
          <w:rFonts w:ascii="Arial" w:hAnsi="Arial" w:cs="Arial"/>
          <w:lang w:val="en-GB"/>
        </w:rPr>
        <w:t>sever</w:t>
      </w:r>
      <w:r w:rsidR="008E19D4" w:rsidRPr="006237B7">
        <w:rPr>
          <w:rFonts w:ascii="Arial" w:hAnsi="Arial" w:cs="Arial"/>
          <w:lang w:val="en-GB"/>
        </w:rPr>
        <w:t>e</w:t>
      </w:r>
      <w:r w:rsidR="00B53755" w:rsidRPr="006237B7">
        <w:rPr>
          <w:rFonts w:ascii="Arial" w:hAnsi="Arial" w:cs="Arial"/>
          <w:lang w:val="en-GB"/>
        </w:rPr>
        <w:t xml:space="preserve"> constraints</w:t>
      </w:r>
      <w:r w:rsidR="00B55598" w:rsidRPr="006237B7">
        <w:rPr>
          <w:rStyle w:val="FootnoteReference"/>
          <w:rFonts w:ascii="Arial" w:hAnsi="Arial" w:cs="Arial"/>
          <w:lang w:val="en-GB"/>
        </w:rPr>
        <w:footnoteReference w:id="13"/>
      </w:r>
      <w:r w:rsidR="00B53755" w:rsidRPr="006237B7">
        <w:rPr>
          <w:rFonts w:ascii="Arial" w:hAnsi="Arial" w:cs="Arial"/>
          <w:lang w:val="en-GB"/>
        </w:rPr>
        <w:t xml:space="preserve"> on water development. </w:t>
      </w:r>
      <w:r w:rsidRPr="006237B7">
        <w:rPr>
          <w:rFonts w:ascii="Arial" w:hAnsi="Arial" w:cs="Arial"/>
          <w:lang w:val="en-GB"/>
        </w:rPr>
        <w:t xml:space="preserve">The new agreement also permitted Israel to expand water provision for settlements without </w:t>
      </w:r>
      <w:r w:rsidR="008E19D4" w:rsidRPr="006237B7">
        <w:rPr>
          <w:rFonts w:ascii="Arial" w:hAnsi="Arial" w:cs="Arial"/>
          <w:lang w:val="en-GB"/>
        </w:rPr>
        <w:t>requiring</w:t>
      </w:r>
      <w:r w:rsidRPr="006237B7">
        <w:rPr>
          <w:rFonts w:ascii="Arial" w:hAnsi="Arial" w:cs="Arial"/>
          <w:lang w:val="en-GB"/>
        </w:rPr>
        <w:t xml:space="preserve"> the joint committee’s approval</w:t>
      </w:r>
      <w:r w:rsidR="00B53755" w:rsidRPr="006237B7">
        <w:rPr>
          <w:rFonts w:ascii="Arial" w:hAnsi="Arial" w:cs="Arial"/>
          <w:lang w:val="en-GB"/>
        </w:rPr>
        <w:t>, withdrawing</w:t>
      </w:r>
      <w:r w:rsidRPr="006237B7">
        <w:rPr>
          <w:rFonts w:ascii="Arial" w:hAnsi="Arial" w:cs="Arial"/>
          <w:lang w:val="en-GB"/>
        </w:rPr>
        <w:t xml:space="preserve"> from the Palestinian Authority the single veto card which </w:t>
      </w:r>
      <w:r w:rsidR="00CE508F" w:rsidRPr="006237B7">
        <w:rPr>
          <w:rFonts w:ascii="Arial" w:hAnsi="Arial" w:cs="Arial"/>
          <w:lang w:val="en-GB"/>
        </w:rPr>
        <w:t xml:space="preserve">before, </w:t>
      </w:r>
      <w:r w:rsidRPr="006237B7">
        <w:rPr>
          <w:rFonts w:ascii="Arial" w:hAnsi="Arial" w:cs="Arial"/>
          <w:lang w:val="en-GB"/>
        </w:rPr>
        <w:t xml:space="preserve">it </w:t>
      </w:r>
      <w:r w:rsidR="00CE508F" w:rsidRPr="006237B7">
        <w:rPr>
          <w:rFonts w:ascii="Arial" w:hAnsi="Arial" w:cs="Arial"/>
          <w:lang w:val="en-GB"/>
        </w:rPr>
        <w:t>held in its hands (but never</w:t>
      </w:r>
      <w:r w:rsidRPr="006237B7">
        <w:rPr>
          <w:rFonts w:ascii="Arial" w:hAnsi="Arial" w:cs="Arial"/>
          <w:lang w:val="en-GB"/>
        </w:rPr>
        <w:t xml:space="preserve"> use</w:t>
      </w:r>
      <w:r w:rsidR="00CE508F" w:rsidRPr="006237B7">
        <w:rPr>
          <w:rFonts w:ascii="Arial" w:hAnsi="Arial" w:cs="Arial"/>
          <w:lang w:val="en-GB"/>
        </w:rPr>
        <w:t>d)</w:t>
      </w:r>
      <w:r w:rsidRPr="006237B7">
        <w:rPr>
          <w:rFonts w:ascii="Arial" w:hAnsi="Arial" w:cs="Arial"/>
          <w:lang w:val="en-GB"/>
        </w:rPr>
        <w:t xml:space="preserve"> –</w:t>
      </w:r>
      <w:r w:rsidR="00CE508F" w:rsidRPr="006237B7">
        <w:rPr>
          <w:rFonts w:ascii="Arial" w:hAnsi="Arial" w:cs="Arial"/>
          <w:lang w:val="en-GB"/>
        </w:rPr>
        <w:t xml:space="preserve"> </w:t>
      </w:r>
      <w:r w:rsidRPr="006237B7">
        <w:rPr>
          <w:rFonts w:ascii="Arial" w:hAnsi="Arial" w:cs="Arial"/>
          <w:lang w:val="en-GB"/>
        </w:rPr>
        <w:t>although only on paper</w:t>
      </w:r>
      <w:r w:rsidR="00CE508F" w:rsidRPr="006237B7">
        <w:rPr>
          <w:rFonts w:ascii="Arial" w:hAnsi="Arial" w:cs="Arial"/>
          <w:lang w:val="en-GB"/>
        </w:rPr>
        <w:t xml:space="preserve"> </w:t>
      </w:r>
      <w:r w:rsidRPr="006237B7">
        <w:rPr>
          <w:rFonts w:ascii="Arial" w:hAnsi="Arial" w:cs="Arial"/>
          <w:lang w:val="en-GB"/>
        </w:rPr>
        <w:t>- to oppose water projects in the illegal Israeli settlements</w:t>
      </w:r>
      <w:r w:rsidR="00B55598" w:rsidRPr="006237B7">
        <w:rPr>
          <w:rStyle w:val="FootnoteReference"/>
          <w:rFonts w:ascii="Arial" w:hAnsi="Arial" w:cs="Arial"/>
          <w:lang w:val="en-GB"/>
        </w:rPr>
        <w:footnoteReference w:id="14"/>
      </w:r>
      <w:r w:rsidRPr="006237B7">
        <w:rPr>
          <w:rFonts w:ascii="Arial" w:hAnsi="Arial" w:cs="Arial"/>
          <w:lang w:val="en-GB"/>
        </w:rPr>
        <w:t xml:space="preserve">. </w:t>
      </w:r>
      <w:r w:rsidR="00A56ED0" w:rsidRPr="006237B7">
        <w:rPr>
          <w:rFonts w:ascii="Arial" w:hAnsi="Arial" w:cs="Arial"/>
          <w:lang w:val="en-GB"/>
        </w:rPr>
        <w:t>It should be noted that Israel consistently implemented projects in the West Bank without submitting projects for approval to the Joint Water Committee.</w:t>
      </w:r>
    </w:p>
    <w:p w14:paraId="47FE4975" w14:textId="24CCB500" w:rsidR="00864045" w:rsidRPr="006237B7" w:rsidRDefault="00864045" w:rsidP="00DE1276">
      <w:pPr>
        <w:pStyle w:val="Body"/>
        <w:numPr>
          <w:ilvl w:val="0"/>
          <w:numId w:val="2"/>
        </w:numPr>
        <w:spacing w:line="240" w:lineRule="auto"/>
        <w:rPr>
          <w:rFonts w:ascii="Arial" w:hAnsi="Arial" w:cs="Arial"/>
          <w:lang w:val="en-GB"/>
        </w:rPr>
      </w:pPr>
      <w:r w:rsidRPr="006237B7">
        <w:rPr>
          <w:rFonts w:ascii="Arial" w:hAnsi="Arial" w:cs="Arial"/>
          <w:lang w:val="en-GB"/>
        </w:rPr>
        <w:t>In April 2020, new military orders and policies ha</w:t>
      </w:r>
      <w:r w:rsidR="00CE508F" w:rsidRPr="006237B7">
        <w:rPr>
          <w:rFonts w:ascii="Arial" w:hAnsi="Arial" w:cs="Arial"/>
          <w:lang w:val="en-GB"/>
        </w:rPr>
        <w:t>ve</w:t>
      </w:r>
      <w:r w:rsidRPr="006237B7">
        <w:rPr>
          <w:rFonts w:ascii="Arial" w:hAnsi="Arial" w:cs="Arial"/>
          <w:lang w:val="en-GB"/>
        </w:rPr>
        <w:t xml:space="preserve"> been issued concerning the permit regime.  They enable the Israeli authorities to circumvent procedures enshrined in planning legislation and execute demolitions / seizures without, or with very short, prior notice in </w:t>
      </w:r>
      <w:r w:rsidR="00A56ED0" w:rsidRPr="006237B7">
        <w:rPr>
          <w:rFonts w:ascii="Arial" w:hAnsi="Arial" w:cs="Arial"/>
          <w:lang w:val="en-GB"/>
        </w:rPr>
        <w:t>A</w:t>
      </w:r>
      <w:r w:rsidRPr="006237B7">
        <w:rPr>
          <w:rFonts w:ascii="Arial" w:hAnsi="Arial" w:cs="Arial"/>
          <w:lang w:val="en-GB"/>
        </w:rPr>
        <w:t xml:space="preserve">rea C. While in East Jerusalem, </w:t>
      </w:r>
      <w:r w:rsidR="00A56ED0" w:rsidRPr="006237B7">
        <w:rPr>
          <w:rFonts w:ascii="Arial" w:hAnsi="Arial" w:cs="Arial"/>
          <w:lang w:val="en-GB"/>
        </w:rPr>
        <w:t>the Israeli government has</w:t>
      </w:r>
      <w:r w:rsidRPr="006237B7">
        <w:rPr>
          <w:rFonts w:ascii="Arial" w:hAnsi="Arial" w:cs="Arial"/>
          <w:lang w:val="en-GB"/>
        </w:rPr>
        <w:t xml:space="preserve"> narrow</w:t>
      </w:r>
      <w:r w:rsidR="00A56ED0" w:rsidRPr="006237B7">
        <w:rPr>
          <w:rFonts w:ascii="Arial" w:hAnsi="Arial" w:cs="Arial"/>
          <w:lang w:val="en-GB"/>
        </w:rPr>
        <w:t>ed</w:t>
      </w:r>
      <w:r w:rsidRPr="006237B7">
        <w:rPr>
          <w:rFonts w:ascii="Arial" w:hAnsi="Arial" w:cs="Arial"/>
          <w:lang w:val="en-GB"/>
        </w:rPr>
        <w:t xml:space="preserve"> the </w:t>
      </w:r>
      <w:r w:rsidR="00A56ED0" w:rsidRPr="006237B7">
        <w:rPr>
          <w:rFonts w:ascii="Arial" w:hAnsi="Arial" w:cs="Arial"/>
          <w:lang w:val="en-GB"/>
        </w:rPr>
        <w:t xml:space="preserve">judicial </w:t>
      </w:r>
      <w:r w:rsidRPr="006237B7">
        <w:rPr>
          <w:rFonts w:ascii="Arial" w:hAnsi="Arial" w:cs="Arial"/>
          <w:lang w:val="en-GB"/>
        </w:rPr>
        <w:t xml:space="preserve">courts’ discretion to postpone demolitions and </w:t>
      </w:r>
      <w:r w:rsidR="00A56ED0" w:rsidRPr="006237B7">
        <w:rPr>
          <w:rFonts w:ascii="Arial" w:hAnsi="Arial" w:cs="Arial"/>
          <w:lang w:val="en-GB"/>
        </w:rPr>
        <w:t xml:space="preserve">instead have </w:t>
      </w:r>
      <w:r w:rsidRPr="006237B7">
        <w:rPr>
          <w:rFonts w:ascii="Arial" w:hAnsi="Arial" w:cs="Arial"/>
          <w:lang w:val="en-GB"/>
        </w:rPr>
        <w:t>enabled the municipality to impose more pressure on Palestinians to self-demolish their property</w:t>
      </w:r>
      <w:r w:rsidRPr="006237B7">
        <w:rPr>
          <w:rStyle w:val="FootnoteReference"/>
          <w:rFonts w:ascii="Arial" w:hAnsi="Arial" w:cs="Arial"/>
          <w:lang w:val="en-GB"/>
        </w:rPr>
        <w:footnoteReference w:id="15"/>
      </w:r>
      <w:r w:rsidRPr="006237B7">
        <w:rPr>
          <w:rFonts w:ascii="Arial" w:hAnsi="Arial" w:cs="Arial"/>
          <w:lang w:val="en-GB"/>
        </w:rPr>
        <w:t>.</w:t>
      </w:r>
    </w:p>
    <w:p w14:paraId="032808BB" w14:textId="4D863B4B" w:rsidR="00E93AF9" w:rsidRPr="006237B7" w:rsidRDefault="00EF146A" w:rsidP="00DE1276">
      <w:pPr>
        <w:pStyle w:val="CommentText"/>
        <w:numPr>
          <w:ilvl w:val="0"/>
          <w:numId w:val="2"/>
        </w:numPr>
        <w:rPr>
          <w:rStyle w:val="None"/>
          <w:rFonts w:ascii="Arial" w:eastAsia="Times New Roman" w:hAnsi="Arial" w:cs="Arial"/>
          <w:color w:val="000000"/>
          <w:sz w:val="22"/>
          <w:szCs w:val="22"/>
          <w:lang w:val="en-GB" w:eastAsia="en-GB"/>
        </w:rPr>
      </w:pPr>
      <w:r w:rsidRPr="006237B7">
        <w:rPr>
          <w:rFonts w:ascii="Arial" w:hAnsi="Arial" w:cs="Arial"/>
          <w:sz w:val="22"/>
          <w:szCs w:val="22"/>
          <w:lang w:val="en-GB"/>
        </w:rPr>
        <w:t>The Oslo Accords is an interim agreement which left division of the joint Palestinian-Israeli water resources to the permanent status negotiations</w:t>
      </w:r>
      <w:r w:rsidR="00855B68" w:rsidRPr="006237B7">
        <w:rPr>
          <w:rStyle w:val="FootnoteReference"/>
          <w:rFonts w:ascii="Arial" w:hAnsi="Arial" w:cs="Arial"/>
          <w:sz w:val="22"/>
          <w:szCs w:val="22"/>
          <w:lang w:val="en-GB"/>
        </w:rPr>
        <w:footnoteReference w:id="16"/>
      </w:r>
      <w:r w:rsidRPr="006237B7">
        <w:rPr>
          <w:rFonts w:ascii="Arial" w:hAnsi="Arial" w:cs="Arial"/>
          <w:sz w:val="22"/>
          <w:szCs w:val="22"/>
          <w:lang w:val="en-GB"/>
        </w:rPr>
        <w:t xml:space="preserve"> which was supposed to be reached by </w:t>
      </w:r>
      <w:r w:rsidR="00770607" w:rsidRPr="006237B7">
        <w:rPr>
          <w:rFonts w:ascii="Arial" w:hAnsi="Arial" w:cs="Arial"/>
          <w:sz w:val="22"/>
          <w:szCs w:val="22"/>
          <w:lang w:val="en-GB"/>
        </w:rPr>
        <w:t>1999</w:t>
      </w:r>
      <w:r w:rsidRPr="006237B7">
        <w:rPr>
          <w:rFonts w:ascii="Arial" w:hAnsi="Arial" w:cs="Arial"/>
          <w:sz w:val="22"/>
          <w:szCs w:val="22"/>
          <w:lang w:val="en-GB"/>
        </w:rPr>
        <w:t xml:space="preserve"> at the latest, but there is still not any </w:t>
      </w:r>
      <w:r w:rsidR="00A56ED0" w:rsidRPr="006237B7">
        <w:rPr>
          <w:rFonts w:ascii="Arial" w:hAnsi="Arial" w:cs="Arial"/>
          <w:sz w:val="22"/>
          <w:szCs w:val="22"/>
          <w:lang w:val="en-GB"/>
        </w:rPr>
        <w:t xml:space="preserve">final </w:t>
      </w:r>
      <w:r w:rsidRPr="006237B7">
        <w:rPr>
          <w:rFonts w:ascii="Arial" w:hAnsi="Arial" w:cs="Arial"/>
          <w:sz w:val="22"/>
          <w:szCs w:val="22"/>
          <w:lang w:val="en-GB"/>
        </w:rPr>
        <w:t xml:space="preserve">agreement. Given </w:t>
      </w:r>
      <w:r w:rsidR="00C72582" w:rsidRPr="006237B7">
        <w:rPr>
          <w:rFonts w:ascii="Arial" w:hAnsi="Arial" w:cs="Arial"/>
          <w:sz w:val="22"/>
          <w:szCs w:val="22"/>
          <w:lang w:val="en-GB"/>
        </w:rPr>
        <w:t xml:space="preserve">this fact and </w:t>
      </w:r>
      <w:r w:rsidRPr="006237B7">
        <w:rPr>
          <w:rFonts w:ascii="Arial" w:hAnsi="Arial" w:cs="Arial"/>
          <w:sz w:val="22"/>
          <w:szCs w:val="22"/>
          <w:lang w:val="en-GB"/>
        </w:rPr>
        <w:t xml:space="preserve">the population growth, </w:t>
      </w:r>
      <w:r w:rsidR="00C72582" w:rsidRPr="006237B7">
        <w:rPr>
          <w:rFonts w:ascii="Arial" w:hAnsi="Arial" w:cs="Arial"/>
          <w:sz w:val="22"/>
          <w:szCs w:val="22"/>
          <w:lang w:val="en-GB"/>
        </w:rPr>
        <w:t xml:space="preserve">both </w:t>
      </w:r>
      <w:r w:rsidR="00855B68" w:rsidRPr="006237B7">
        <w:rPr>
          <w:rFonts w:ascii="Arial" w:hAnsi="Arial" w:cs="Arial"/>
          <w:sz w:val="22"/>
          <w:szCs w:val="22"/>
          <w:lang w:val="en-GB"/>
        </w:rPr>
        <w:t xml:space="preserve">the total well and spring production and </w:t>
      </w:r>
      <w:r w:rsidR="00C72582" w:rsidRPr="006237B7">
        <w:rPr>
          <w:rFonts w:ascii="Arial" w:hAnsi="Arial" w:cs="Arial"/>
          <w:sz w:val="22"/>
          <w:szCs w:val="22"/>
          <w:lang w:val="en-GB"/>
        </w:rPr>
        <w:t>the</w:t>
      </w:r>
      <w:r w:rsidRPr="006237B7">
        <w:rPr>
          <w:rFonts w:ascii="Arial" w:hAnsi="Arial" w:cs="Arial"/>
          <w:sz w:val="22"/>
          <w:szCs w:val="22"/>
          <w:lang w:val="en-GB"/>
        </w:rPr>
        <w:t xml:space="preserve"> individual Palestinian share of water today </w:t>
      </w:r>
      <w:r w:rsidR="00C72582" w:rsidRPr="006237B7">
        <w:rPr>
          <w:rFonts w:ascii="Arial" w:hAnsi="Arial" w:cs="Arial"/>
          <w:sz w:val="22"/>
          <w:szCs w:val="22"/>
          <w:lang w:val="en-GB"/>
        </w:rPr>
        <w:t>are</w:t>
      </w:r>
      <w:r w:rsidRPr="006237B7">
        <w:rPr>
          <w:rFonts w:ascii="Arial" w:hAnsi="Arial" w:cs="Arial"/>
          <w:sz w:val="22"/>
          <w:szCs w:val="22"/>
          <w:lang w:val="en-GB"/>
        </w:rPr>
        <w:t xml:space="preserve"> considerably less than before Oslo</w:t>
      </w:r>
      <w:r w:rsidR="00855B68" w:rsidRPr="006237B7">
        <w:rPr>
          <w:rStyle w:val="FootnoteReference"/>
          <w:rFonts w:ascii="Arial" w:hAnsi="Arial" w:cs="Arial"/>
          <w:sz w:val="22"/>
          <w:szCs w:val="22"/>
          <w:lang w:val="en-GB"/>
        </w:rPr>
        <w:footnoteReference w:id="17"/>
      </w:r>
      <w:r w:rsidRPr="006237B7">
        <w:rPr>
          <w:rFonts w:ascii="Arial" w:hAnsi="Arial" w:cs="Arial"/>
          <w:sz w:val="22"/>
          <w:szCs w:val="22"/>
          <w:lang w:val="en-GB"/>
        </w:rPr>
        <w:t xml:space="preserve">. </w:t>
      </w:r>
    </w:p>
    <w:p w14:paraId="37C9883B" w14:textId="013C820B" w:rsidR="00A1769B" w:rsidRPr="006237B7" w:rsidRDefault="003608D5" w:rsidP="00DB1593">
      <w:pPr>
        <w:pStyle w:val="Body"/>
        <w:numPr>
          <w:ilvl w:val="0"/>
          <w:numId w:val="2"/>
        </w:numPr>
        <w:shd w:val="clear" w:color="auto" w:fill="FFFFFF"/>
        <w:spacing w:before="100" w:after="100" w:line="240" w:lineRule="auto"/>
        <w:rPr>
          <w:rFonts w:ascii="Arial" w:hAnsi="Arial" w:cs="Arial"/>
          <w:color w:val="151515"/>
          <w:lang w:val="en-GB"/>
        </w:rPr>
      </w:pPr>
      <w:r w:rsidRPr="006237B7">
        <w:rPr>
          <w:rStyle w:val="None"/>
          <w:rFonts w:ascii="Arial" w:hAnsi="Arial" w:cs="Arial"/>
          <w:lang w:val="en-GB"/>
        </w:rPr>
        <w:t xml:space="preserve">The lost economic potential due to </w:t>
      </w:r>
      <w:r w:rsidR="00974E1C" w:rsidRPr="006237B7">
        <w:rPr>
          <w:rStyle w:val="None"/>
          <w:rFonts w:ascii="Arial" w:hAnsi="Arial" w:cs="Arial"/>
          <w:lang w:val="en-GB"/>
        </w:rPr>
        <w:t xml:space="preserve">the </w:t>
      </w:r>
      <w:r w:rsidRPr="006237B7">
        <w:rPr>
          <w:rStyle w:val="None"/>
          <w:rFonts w:ascii="Arial" w:hAnsi="Arial" w:cs="Arial"/>
          <w:lang w:val="en-GB"/>
        </w:rPr>
        <w:t>occupation</w:t>
      </w:r>
      <w:r w:rsidR="00974E1C" w:rsidRPr="006237B7">
        <w:rPr>
          <w:rStyle w:val="None"/>
          <w:rFonts w:ascii="Arial" w:hAnsi="Arial" w:cs="Arial"/>
          <w:lang w:val="en-GB"/>
        </w:rPr>
        <w:t>’s control of the Palestinian land and resources including water</w:t>
      </w:r>
      <w:r w:rsidRPr="006237B7">
        <w:rPr>
          <w:rStyle w:val="None"/>
          <w:rFonts w:ascii="Arial" w:hAnsi="Arial" w:cs="Arial"/>
          <w:lang w:val="en-GB"/>
        </w:rPr>
        <w:t xml:space="preserve"> is massive. For instance, </w:t>
      </w:r>
      <w:r w:rsidR="00974E1C" w:rsidRPr="006237B7">
        <w:rPr>
          <w:rStyle w:val="None"/>
          <w:rFonts w:ascii="Arial" w:hAnsi="Arial" w:cs="Arial"/>
          <w:lang w:val="en-GB"/>
        </w:rPr>
        <w:t xml:space="preserve">the </w:t>
      </w:r>
      <w:r w:rsidRPr="006237B7">
        <w:rPr>
          <w:rStyle w:val="None"/>
          <w:rFonts w:ascii="Arial" w:hAnsi="Arial" w:cs="Arial"/>
          <w:lang w:val="en-GB"/>
        </w:rPr>
        <w:t xml:space="preserve">revenue of the industries which are based on the </w:t>
      </w:r>
      <w:r w:rsidR="00CE508F" w:rsidRPr="006237B7">
        <w:rPr>
          <w:rStyle w:val="None"/>
          <w:rFonts w:ascii="Arial" w:hAnsi="Arial" w:cs="Arial"/>
          <w:lang w:val="en-GB"/>
        </w:rPr>
        <w:t>D</w:t>
      </w:r>
      <w:r w:rsidRPr="006237B7">
        <w:rPr>
          <w:rStyle w:val="None"/>
          <w:rFonts w:ascii="Arial" w:hAnsi="Arial" w:cs="Arial"/>
          <w:lang w:val="en-GB"/>
        </w:rPr>
        <w:t xml:space="preserve">ead </w:t>
      </w:r>
      <w:r w:rsidR="00CE508F" w:rsidRPr="006237B7">
        <w:rPr>
          <w:rStyle w:val="None"/>
          <w:rFonts w:ascii="Arial" w:hAnsi="Arial" w:cs="Arial"/>
          <w:lang w:val="en-GB"/>
        </w:rPr>
        <w:t>S</w:t>
      </w:r>
      <w:r w:rsidRPr="006237B7">
        <w:rPr>
          <w:rStyle w:val="None"/>
          <w:rFonts w:ascii="Arial" w:hAnsi="Arial" w:cs="Arial"/>
          <w:lang w:val="en-GB"/>
        </w:rPr>
        <w:t xml:space="preserve">ea is 4.2 </w:t>
      </w:r>
      <w:r w:rsidR="00974E1C" w:rsidRPr="006237B7">
        <w:rPr>
          <w:rStyle w:val="None"/>
          <w:rFonts w:ascii="Arial" w:hAnsi="Arial" w:cs="Arial"/>
          <w:lang w:val="en-GB"/>
        </w:rPr>
        <w:t xml:space="preserve">billion </w:t>
      </w:r>
      <w:r w:rsidRPr="006237B7">
        <w:rPr>
          <w:rStyle w:val="None"/>
          <w:rFonts w:ascii="Arial" w:hAnsi="Arial" w:cs="Arial"/>
          <w:lang w:val="en-GB"/>
        </w:rPr>
        <w:t>US$/yr, from which Palestine’s share is zero</w:t>
      </w:r>
      <w:r w:rsidRPr="006237B7">
        <w:rPr>
          <w:rStyle w:val="FootnoteReference"/>
          <w:rFonts w:ascii="Arial" w:hAnsi="Arial" w:cs="Arial"/>
          <w:lang w:val="en-GB"/>
        </w:rPr>
        <w:footnoteReference w:id="18"/>
      </w:r>
      <w:r w:rsidRPr="006237B7">
        <w:rPr>
          <w:rStyle w:val="None"/>
          <w:rFonts w:ascii="Arial" w:hAnsi="Arial" w:cs="Arial"/>
          <w:lang w:val="en-GB"/>
        </w:rPr>
        <w:t xml:space="preserve">. </w:t>
      </w:r>
      <w:r w:rsidR="00974E1C" w:rsidRPr="006237B7">
        <w:rPr>
          <w:rFonts w:ascii="Arial" w:hAnsi="Arial" w:cs="Arial"/>
          <w:lang w:val="en-GB"/>
        </w:rPr>
        <w:t xml:space="preserve">The lost potential of the Agricultural sector </w:t>
      </w:r>
      <w:r w:rsidR="00CE508F" w:rsidRPr="006237B7">
        <w:rPr>
          <w:rFonts w:ascii="Arial" w:hAnsi="Arial" w:cs="Arial"/>
          <w:lang w:val="en-GB"/>
        </w:rPr>
        <w:t>ha</w:t>
      </w:r>
      <w:r w:rsidR="00974E1C" w:rsidRPr="006237B7">
        <w:rPr>
          <w:rFonts w:ascii="Arial" w:hAnsi="Arial" w:cs="Arial"/>
          <w:lang w:val="en-GB"/>
        </w:rPr>
        <w:t>s</w:t>
      </w:r>
      <w:r w:rsidR="00CE508F" w:rsidRPr="006237B7">
        <w:rPr>
          <w:rFonts w:ascii="Arial" w:hAnsi="Arial" w:cs="Arial"/>
          <w:lang w:val="en-GB"/>
        </w:rPr>
        <w:t xml:space="preserve"> been estimated at</w:t>
      </w:r>
      <w:r w:rsidR="00974E1C" w:rsidRPr="006237B7">
        <w:rPr>
          <w:rFonts w:ascii="Arial" w:hAnsi="Arial" w:cs="Arial"/>
          <w:lang w:val="en-GB"/>
        </w:rPr>
        <w:t xml:space="preserve"> 2 billion US$/yr</w:t>
      </w:r>
      <w:r w:rsidR="00974E1C" w:rsidRPr="006237B7">
        <w:rPr>
          <w:rStyle w:val="FootnoteReference"/>
          <w:rFonts w:ascii="Arial" w:hAnsi="Arial" w:cs="Arial"/>
          <w:lang w:val="en-GB"/>
        </w:rPr>
        <w:footnoteReference w:id="19"/>
      </w:r>
      <w:r w:rsidR="00974E1C" w:rsidRPr="006237B7">
        <w:rPr>
          <w:rFonts w:ascii="Arial" w:hAnsi="Arial" w:cs="Arial"/>
          <w:lang w:val="en-GB"/>
        </w:rPr>
        <w:t xml:space="preserve"> and </w:t>
      </w:r>
      <w:r w:rsidR="00974E1C" w:rsidRPr="006237B7">
        <w:rPr>
          <w:rFonts w:ascii="Arial" w:hAnsi="Arial" w:cs="Arial"/>
          <w:lang w:val="en-GB"/>
        </w:rPr>
        <w:lastRenderedPageBreak/>
        <w:t xml:space="preserve">the lost potential of </w:t>
      </w:r>
      <w:r w:rsidR="00A56ED0" w:rsidRPr="006237B7">
        <w:rPr>
          <w:rFonts w:ascii="Arial" w:hAnsi="Arial" w:cs="Arial"/>
          <w:lang w:val="en-GB"/>
        </w:rPr>
        <w:t>A</w:t>
      </w:r>
      <w:r w:rsidR="00974E1C" w:rsidRPr="006237B7">
        <w:rPr>
          <w:rFonts w:ascii="Arial" w:hAnsi="Arial" w:cs="Arial"/>
          <w:lang w:val="en-GB"/>
        </w:rPr>
        <w:t xml:space="preserve">rea C </w:t>
      </w:r>
      <w:r w:rsidR="00CE508F" w:rsidRPr="006237B7">
        <w:rPr>
          <w:rFonts w:ascii="Arial" w:hAnsi="Arial" w:cs="Arial"/>
          <w:lang w:val="en-GB"/>
        </w:rPr>
        <w:t>a</w:t>
      </w:r>
      <w:r w:rsidR="00974E1C" w:rsidRPr="006237B7">
        <w:rPr>
          <w:rFonts w:ascii="Arial" w:hAnsi="Arial" w:cs="Arial"/>
          <w:lang w:val="en-GB"/>
        </w:rPr>
        <w:t>s 3.4 billion US$/yr</w:t>
      </w:r>
      <w:r w:rsidR="00974E1C" w:rsidRPr="006237B7">
        <w:rPr>
          <w:rStyle w:val="FootnoteReference"/>
          <w:rFonts w:ascii="Arial" w:hAnsi="Arial" w:cs="Arial"/>
          <w:lang w:val="en-GB"/>
        </w:rPr>
        <w:footnoteReference w:id="20"/>
      </w:r>
      <w:r w:rsidR="00974E1C" w:rsidRPr="006237B7">
        <w:rPr>
          <w:rFonts w:ascii="Arial" w:hAnsi="Arial" w:cs="Arial"/>
          <w:lang w:val="en-GB"/>
        </w:rPr>
        <w:t>.</w:t>
      </w:r>
      <w:r w:rsidR="00974E1C" w:rsidRPr="006237B7">
        <w:rPr>
          <w:rStyle w:val="FootnoteReference"/>
          <w:rFonts w:ascii="Arial" w:hAnsi="Arial" w:cs="Arial"/>
          <w:lang w:val="en-GB"/>
        </w:rPr>
        <w:footnoteReference w:id="21"/>
      </w:r>
      <w:r w:rsidR="00A1769B" w:rsidRPr="006237B7">
        <w:rPr>
          <w:rFonts w:ascii="Arial" w:hAnsi="Arial" w:cs="Arial"/>
          <w:lang w:val="en-GB"/>
        </w:rPr>
        <w:t xml:space="preserve"> The occupation’s control o</w:t>
      </w:r>
      <w:r w:rsidR="00CE508F" w:rsidRPr="006237B7">
        <w:rPr>
          <w:rFonts w:ascii="Arial" w:hAnsi="Arial" w:cs="Arial"/>
          <w:lang w:val="en-GB"/>
        </w:rPr>
        <w:t>ver (joint but not</w:t>
      </w:r>
      <w:r w:rsidR="00A1769B" w:rsidRPr="006237B7">
        <w:rPr>
          <w:rFonts w:ascii="Arial" w:hAnsi="Arial" w:cs="Arial"/>
          <w:lang w:val="en-GB"/>
        </w:rPr>
        <w:t xml:space="preserve"> shared</w:t>
      </w:r>
      <w:r w:rsidR="00CE508F" w:rsidRPr="006237B7">
        <w:rPr>
          <w:rFonts w:ascii="Arial" w:hAnsi="Arial" w:cs="Arial"/>
          <w:lang w:val="en-GB"/>
        </w:rPr>
        <w:t>)</w:t>
      </w:r>
      <w:r w:rsidR="00A1769B" w:rsidRPr="006237B7">
        <w:rPr>
          <w:rFonts w:ascii="Arial" w:hAnsi="Arial" w:cs="Arial"/>
          <w:lang w:val="en-GB"/>
        </w:rPr>
        <w:t xml:space="preserve"> water resources has not only deprived the Palestinians of their water rights since 1967, but further impacted their future rights. For instance, Israel has diverted the route of the lower Jordan river</w:t>
      </w:r>
      <w:r w:rsidR="004B0CD8" w:rsidRPr="006237B7">
        <w:rPr>
          <w:rStyle w:val="FootnoteReference"/>
          <w:rFonts w:ascii="Arial" w:hAnsi="Arial" w:cs="Arial"/>
          <w:lang w:val="en-GB"/>
        </w:rPr>
        <w:footnoteReference w:id="22"/>
      </w:r>
      <w:r w:rsidR="00A1769B" w:rsidRPr="006237B7">
        <w:rPr>
          <w:rFonts w:ascii="Arial" w:hAnsi="Arial" w:cs="Arial"/>
          <w:lang w:val="en-GB"/>
        </w:rPr>
        <w:t>. This</w:t>
      </w:r>
      <w:r w:rsidR="00DB1593" w:rsidRPr="006237B7">
        <w:rPr>
          <w:rFonts w:ascii="Arial" w:hAnsi="Arial" w:cs="Arial"/>
          <w:lang w:val="en-GB"/>
        </w:rPr>
        <w:t xml:space="preserve"> illegal unilateral out-of-basin transfer of the international Jordan River</w:t>
      </w:r>
      <w:r w:rsidR="00CE508F" w:rsidRPr="006237B7">
        <w:rPr>
          <w:rFonts w:ascii="Arial" w:hAnsi="Arial" w:cs="Arial"/>
          <w:lang w:val="en-GB"/>
        </w:rPr>
        <w:t xml:space="preserve"> led to the rapid shrinkage and drastic drops in water levels of the Dead Sea (by over 1.5m per year!),</w:t>
      </w:r>
      <w:r w:rsidR="00A1769B" w:rsidRPr="006237B7">
        <w:rPr>
          <w:rFonts w:ascii="Arial" w:hAnsi="Arial" w:cs="Arial"/>
          <w:lang w:val="en-GB"/>
        </w:rPr>
        <w:t xml:space="preserve"> besides the </w:t>
      </w:r>
      <w:r w:rsidR="00DB1593" w:rsidRPr="006237B7">
        <w:rPr>
          <w:rFonts w:ascii="Arial" w:hAnsi="Arial" w:cs="Arial"/>
          <w:lang w:val="en-GB"/>
        </w:rPr>
        <w:t xml:space="preserve">additional losses by enhanced evaporation for the </w:t>
      </w:r>
      <w:r w:rsidR="00A1769B" w:rsidRPr="006237B7">
        <w:rPr>
          <w:rFonts w:ascii="Arial" w:hAnsi="Arial" w:cs="Arial"/>
          <w:lang w:val="en-GB"/>
        </w:rPr>
        <w:t xml:space="preserve">mineral </w:t>
      </w:r>
      <w:r w:rsidR="00391F39" w:rsidRPr="006237B7">
        <w:rPr>
          <w:rFonts w:ascii="Arial" w:hAnsi="Arial" w:cs="Arial"/>
          <w:lang w:val="en-GB"/>
        </w:rPr>
        <w:t xml:space="preserve">industry </w:t>
      </w:r>
      <w:r w:rsidR="00DB1593" w:rsidRPr="006237B7">
        <w:rPr>
          <w:rFonts w:ascii="Arial" w:hAnsi="Arial" w:cs="Arial"/>
          <w:lang w:val="en-GB"/>
        </w:rPr>
        <w:t xml:space="preserve">(which alone accounts for </w:t>
      </w:r>
      <w:r w:rsidR="00A1769B" w:rsidRPr="006237B7">
        <w:rPr>
          <w:rFonts w:ascii="Arial" w:hAnsi="Arial" w:cs="Arial"/>
          <w:color w:val="151515"/>
          <w:lang w:val="en-GB"/>
        </w:rPr>
        <w:t xml:space="preserve">30-40% of the </w:t>
      </w:r>
      <w:r w:rsidR="00DB1593" w:rsidRPr="006237B7">
        <w:rPr>
          <w:rFonts w:ascii="Arial" w:hAnsi="Arial" w:cs="Arial"/>
          <w:color w:val="151515"/>
          <w:lang w:val="en-GB"/>
        </w:rPr>
        <w:t xml:space="preserve">total depletion </w:t>
      </w:r>
      <w:r w:rsidR="00A1769B" w:rsidRPr="006237B7">
        <w:rPr>
          <w:rFonts w:ascii="Arial" w:hAnsi="Arial" w:cs="Arial"/>
          <w:color w:val="151515"/>
          <w:lang w:val="en-GB"/>
        </w:rPr>
        <w:t>of the Dead Sea</w:t>
      </w:r>
      <w:r w:rsidR="00DB1593" w:rsidRPr="006237B7">
        <w:rPr>
          <w:rFonts w:ascii="Arial" w:hAnsi="Arial" w:cs="Arial"/>
          <w:color w:val="151515"/>
          <w:lang w:val="en-GB"/>
        </w:rPr>
        <w:t xml:space="preserve"> by some accounts</w:t>
      </w:r>
      <w:r w:rsidR="00391F39" w:rsidRPr="006237B7">
        <w:rPr>
          <w:rStyle w:val="FootnoteReference"/>
          <w:rFonts w:ascii="Arial" w:hAnsi="Arial" w:cs="Arial"/>
          <w:color w:val="151515"/>
          <w:lang w:val="en-GB"/>
        </w:rPr>
        <w:footnoteReference w:id="23"/>
      </w:r>
      <w:r w:rsidR="00DB1593" w:rsidRPr="006237B7">
        <w:rPr>
          <w:rFonts w:ascii="Arial" w:hAnsi="Arial" w:cs="Arial"/>
          <w:color w:val="151515"/>
          <w:lang w:val="en-GB"/>
        </w:rPr>
        <w:t>)</w:t>
      </w:r>
      <w:r w:rsidR="00A1769B" w:rsidRPr="006237B7">
        <w:rPr>
          <w:rFonts w:ascii="Arial" w:hAnsi="Arial" w:cs="Arial"/>
          <w:color w:val="151515"/>
          <w:lang w:val="en-GB"/>
        </w:rPr>
        <w:t>.</w:t>
      </w:r>
    </w:p>
    <w:p w14:paraId="1EE99D0D" w14:textId="1FECE39A" w:rsidR="00DA6F1A" w:rsidRPr="006237B7" w:rsidRDefault="00DA6F1A" w:rsidP="00DB1593">
      <w:pPr>
        <w:pStyle w:val="Body"/>
        <w:numPr>
          <w:ilvl w:val="0"/>
          <w:numId w:val="2"/>
        </w:numPr>
        <w:shd w:val="clear" w:color="auto" w:fill="FFFFFF"/>
        <w:spacing w:before="100" w:after="100" w:line="240" w:lineRule="auto"/>
        <w:rPr>
          <w:rFonts w:ascii="Arial" w:hAnsi="Arial" w:cs="Arial"/>
          <w:color w:val="151515"/>
          <w:lang w:val="en-GB"/>
        </w:rPr>
      </w:pPr>
      <w:r w:rsidRPr="006237B7">
        <w:rPr>
          <w:rFonts w:ascii="Arial" w:hAnsi="Arial" w:cs="Arial"/>
          <w:color w:val="151515"/>
          <w:lang w:val="en-GB"/>
        </w:rPr>
        <w:t>The drop of water levels in the Dead Sea also leads to an rapid and sever depletion (de-watering) of the Eastern Aquifers groundwater storage (according to the Israeli Tahal reports for the RSDS-Canal Feasibility studies)</w:t>
      </w:r>
      <w:r w:rsidR="00BC5C27" w:rsidRPr="006237B7">
        <w:rPr>
          <w:rStyle w:val="FootnoteReference"/>
          <w:rFonts w:ascii="Arial" w:hAnsi="Arial" w:cs="Arial"/>
          <w:color w:val="151515"/>
          <w:lang w:val="en-GB"/>
        </w:rPr>
        <w:footnoteReference w:id="24"/>
      </w:r>
      <w:r w:rsidRPr="006237B7">
        <w:rPr>
          <w:rFonts w:ascii="Arial" w:hAnsi="Arial" w:cs="Arial"/>
          <w:color w:val="151515"/>
          <w:lang w:val="en-GB"/>
        </w:rPr>
        <w:t>, thus directly impacting this only available groundwater resource in the entire Southern West Bank (Bethlehem and He</w:t>
      </w:r>
      <w:r w:rsidR="00C53452" w:rsidRPr="006237B7">
        <w:rPr>
          <w:rFonts w:ascii="Arial" w:hAnsi="Arial" w:cs="Arial"/>
          <w:color w:val="151515"/>
          <w:lang w:val="en-GB"/>
        </w:rPr>
        <w:t>b</w:t>
      </w:r>
      <w:r w:rsidRPr="006237B7">
        <w:rPr>
          <w:rFonts w:ascii="Arial" w:hAnsi="Arial" w:cs="Arial"/>
          <w:color w:val="151515"/>
          <w:lang w:val="en-GB"/>
        </w:rPr>
        <w:t>ron governorates).</w:t>
      </w:r>
    </w:p>
    <w:p w14:paraId="2E8C6FF1" w14:textId="77E2BCF9" w:rsidR="00A56ED0" w:rsidRPr="006237B7" w:rsidRDefault="00A53A2B" w:rsidP="00A56ED0">
      <w:pPr>
        <w:pStyle w:val="Body"/>
        <w:numPr>
          <w:ilvl w:val="0"/>
          <w:numId w:val="2"/>
        </w:numPr>
        <w:shd w:val="clear" w:color="auto" w:fill="FFFFFF"/>
        <w:spacing w:before="100" w:after="100" w:line="240" w:lineRule="auto"/>
        <w:rPr>
          <w:rFonts w:ascii="Arial" w:hAnsi="Arial" w:cs="Arial"/>
          <w:color w:val="151515"/>
          <w:lang w:val="en-GB"/>
        </w:rPr>
      </w:pPr>
      <w:r w:rsidRPr="006237B7">
        <w:rPr>
          <w:rFonts w:ascii="Arial" w:hAnsi="Arial" w:cs="Arial"/>
          <w:color w:val="151515"/>
          <w:lang w:val="en-GB"/>
        </w:rPr>
        <w:t xml:space="preserve">In 2017, an Israeli-Palestinian agreement was signed for the Palestinian Authority to purchase additional </w:t>
      </w:r>
      <w:r w:rsidR="007E57A9" w:rsidRPr="006237B7">
        <w:rPr>
          <w:rFonts w:ascii="Arial" w:hAnsi="Arial" w:cs="Arial"/>
          <w:color w:val="151515"/>
          <w:lang w:val="en-GB"/>
        </w:rPr>
        <w:t>22</w:t>
      </w:r>
      <w:r w:rsidRPr="006237B7">
        <w:rPr>
          <w:rFonts w:ascii="Arial" w:hAnsi="Arial" w:cs="Arial"/>
          <w:color w:val="151515"/>
          <w:lang w:val="en-GB"/>
        </w:rPr>
        <w:t xml:space="preserve"> mcm/yr for the West </w:t>
      </w:r>
      <w:r w:rsidR="007E57A9" w:rsidRPr="006237B7">
        <w:rPr>
          <w:rFonts w:ascii="Arial" w:hAnsi="Arial" w:cs="Arial"/>
          <w:color w:val="151515"/>
          <w:lang w:val="en-GB"/>
        </w:rPr>
        <w:t>Bank</w:t>
      </w:r>
      <w:r w:rsidRPr="006237B7">
        <w:rPr>
          <w:rFonts w:ascii="Arial" w:hAnsi="Arial" w:cs="Arial"/>
          <w:color w:val="151515"/>
          <w:lang w:val="en-GB"/>
        </w:rPr>
        <w:t xml:space="preserve"> and 10 mcm/yr for the Gaza Strip</w:t>
      </w:r>
      <w:r w:rsidRPr="006237B7">
        <w:rPr>
          <w:rStyle w:val="FootnoteReference"/>
          <w:rFonts w:ascii="Arial" w:hAnsi="Arial" w:cs="Arial"/>
          <w:color w:val="151515"/>
          <w:lang w:val="en-GB"/>
        </w:rPr>
        <w:footnoteReference w:id="25"/>
      </w:r>
      <w:r w:rsidRPr="006237B7">
        <w:rPr>
          <w:rFonts w:ascii="Arial" w:hAnsi="Arial" w:cs="Arial"/>
          <w:color w:val="151515"/>
          <w:lang w:val="en-GB"/>
        </w:rPr>
        <w:t xml:space="preserve">. This </w:t>
      </w:r>
      <w:r w:rsidR="007E57A9" w:rsidRPr="006237B7">
        <w:rPr>
          <w:rFonts w:ascii="Arial" w:hAnsi="Arial" w:cs="Arial"/>
          <w:color w:val="151515"/>
          <w:lang w:val="en-GB"/>
        </w:rPr>
        <w:t>made</w:t>
      </w:r>
      <w:r w:rsidRPr="006237B7">
        <w:rPr>
          <w:rFonts w:ascii="Arial" w:hAnsi="Arial" w:cs="Arial"/>
          <w:color w:val="151515"/>
          <w:lang w:val="en-GB"/>
        </w:rPr>
        <w:t xml:space="preserve"> the total amount that Palestinians buy from Israel 90 mcm/yr. </w:t>
      </w:r>
      <w:r w:rsidR="007E57A9" w:rsidRPr="006237B7">
        <w:rPr>
          <w:rFonts w:ascii="Arial" w:hAnsi="Arial" w:cs="Arial"/>
          <w:color w:val="151515"/>
          <w:lang w:val="en-GB"/>
        </w:rPr>
        <w:t xml:space="preserve">The new agreement increases the price for water purchased for the West Bank from 2.8 </w:t>
      </w:r>
      <w:r w:rsidR="00A56ED0" w:rsidRPr="006237B7">
        <w:rPr>
          <w:rFonts w:ascii="Arial" w:hAnsi="Arial" w:cs="Arial"/>
          <w:color w:val="151515"/>
          <w:lang w:val="en-GB"/>
        </w:rPr>
        <w:t xml:space="preserve">Israeli Shekel </w:t>
      </w:r>
      <w:r w:rsidR="00A56ED0" w:rsidRPr="006237B7">
        <w:rPr>
          <w:rFonts w:ascii="Arial" w:hAnsi="Arial" w:cs="Arial"/>
          <w:color w:val="151515"/>
          <w:lang w:val="en-GB"/>
        </w:rPr>
        <w:t>(ILS)</w:t>
      </w:r>
      <w:r w:rsidR="007E57A9" w:rsidRPr="006237B7">
        <w:rPr>
          <w:rFonts w:ascii="Arial" w:hAnsi="Arial" w:cs="Arial"/>
          <w:color w:val="151515"/>
          <w:lang w:val="en-GB"/>
        </w:rPr>
        <w:t xml:space="preserve"> in the previous agreements to 3.3 </w:t>
      </w:r>
      <w:r w:rsidR="00A56ED0" w:rsidRPr="006237B7">
        <w:rPr>
          <w:rFonts w:ascii="Arial" w:hAnsi="Arial" w:cs="Arial"/>
          <w:color w:val="151515"/>
          <w:lang w:val="en-GB"/>
        </w:rPr>
        <w:t>ILS</w:t>
      </w:r>
      <w:r w:rsidR="007E57A9" w:rsidRPr="006237B7">
        <w:rPr>
          <w:rFonts w:ascii="Arial" w:hAnsi="Arial" w:cs="Arial"/>
          <w:color w:val="151515"/>
          <w:lang w:val="en-GB"/>
        </w:rPr>
        <w:t xml:space="preserve"> and the price of the water purchased for the Gaza Strip </w:t>
      </w:r>
      <w:r w:rsidR="00096D58" w:rsidRPr="006237B7">
        <w:rPr>
          <w:rFonts w:ascii="Arial" w:hAnsi="Arial" w:cs="Arial"/>
          <w:color w:val="151515"/>
          <w:lang w:val="en-GB"/>
        </w:rPr>
        <w:t>from</w:t>
      </w:r>
      <w:r w:rsidR="007E57A9" w:rsidRPr="006237B7">
        <w:rPr>
          <w:rFonts w:ascii="Arial" w:hAnsi="Arial" w:cs="Arial"/>
          <w:color w:val="151515"/>
          <w:lang w:val="en-GB"/>
        </w:rPr>
        <w:t xml:space="preserve"> 2.5 </w:t>
      </w:r>
      <w:r w:rsidR="00A56ED0" w:rsidRPr="006237B7">
        <w:rPr>
          <w:rFonts w:ascii="Arial" w:hAnsi="Arial" w:cs="Arial"/>
          <w:color w:val="151515"/>
          <w:lang w:val="en-GB"/>
        </w:rPr>
        <w:t>ILS</w:t>
      </w:r>
      <w:r w:rsidR="007E57A9" w:rsidRPr="006237B7">
        <w:rPr>
          <w:rFonts w:ascii="Arial" w:hAnsi="Arial" w:cs="Arial"/>
          <w:color w:val="151515"/>
          <w:lang w:val="en-GB"/>
        </w:rPr>
        <w:t xml:space="preserve"> to 3.2 </w:t>
      </w:r>
      <w:r w:rsidR="00A56ED0" w:rsidRPr="006237B7">
        <w:rPr>
          <w:rFonts w:ascii="Arial" w:hAnsi="Arial" w:cs="Arial"/>
          <w:color w:val="151515"/>
          <w:lang w:val="en-GB"/>
        </w:rPr>
        <w:t>ILS</w:t>
      </w:r>
      <w:r w:rsidR="007E57A9" w:rsidRPr="006237B7">
        <w:rPr>
          <w:rStyle w:val="FootnoteReference"/>
          <w:rFonts w:ascii="Arial" w:hAnsi="Arial" w:cs="Arial"/>
          <w:color w:val="151515"/>
          <w:lang w:val="en-GB"/>
        </w:rPr>
        <w:footnoteReference w:id="26"/>
      </w:r>
      <w:r w:rsidR="007E57A9" w:rsidRPr="006237B7">
        <w:rPr>
          <w:rFonts w:ascii="Arial" w:hAnsi="Arial" w:cs="Arial"/>
          <w:color w:val="151515"/>
          <w:lang w:val="en-GB"/>
        </w:rPr>
        <w:t>. The agreement paves the ro</w:t>
      </w:r>
      <w:r w:rsidR="00C53452" w:rsidRPr="006237B7">
        <w:rPr>
          <w:rFonts w:ascii="Arial" w:hAnsi="Arial" w:cs="Arial"/>
          <w:color w:val="151515"/>
          <w:lang w:val="en-GB"/>
        </w:rPr>
        <w:t>a</w:t>
      </w:r>
      <w:r w:rsidR="007E57A9" w:rsidRPr="006237B7">
        <w:rPr>
          <w:rFonts w:ascii="Arial" w:hAnsi="Arial" w:cs="Arial"/>
          <w:color w:val="151515"/>
          <w:lang w:val="en-GB"/>
        </w:rPr>
        <w:t xml:space="preserve">d for additional potential increases in the price of the water that Palestinians buy from Israel. </w:t>
      </w:r>
      <w:r w:rsidR="00096D58" w:rsidRPr="006237B7">
        <w:rPr>
          <w:rFonts w:ascii="Arial" w:hAnsi="Arial" w:cs="Arial"/>
          <w:color w:val="151515"/>
          <w:lang w:val="en-GB"/>
        </w:rPr>
        <w:t>Ironically, Palestinians</w:t>
      </w:r>
      <w:r w:rsidR="007E57A9" w:rsidRPr="006237B7">
        <w:rPr>
          <w:rFonts w:ascii="Arial" w:hAnsi="Arial" w:cs="Arial"/>
          <w:color w:val="151515"/>
          <w:lang w:val="en-GB"/>
        </w:rPr>
        <w:t xml:space="preserve"> </w:t>
      </w:r>
      <w:r w:rsidR="00C53452" w:rsidRPr="006237B7">
        <w:rPr>
          <w:rFonts w:ascii="Arial" w:hAnsi="Arial" w:cs="Arial"/>
          <w:color w:val="151515"/>
          <w:lang w:val="en-GB"/>
        </w:rPr>
        <w:t xml:space="preserve">are forced to </w:t>
      </w:r>
      <w:r w:rsidR="007E57A9" w:rsidRPr="006237B7">
        <w:rPr>
          <w:rFonts w:ascii="Arial" w:hAnsi="Arial" w:cs="Arial"/>
          <w:color w:val="151515"/>
          <w:lang w:val="en-GB"/>
        </w:rPr>
        <w:t xml:space="preserve">purchase water from Israel </w:t>
      </w:r>
      <w:r w:rsidR="00C53452" w:rsidRPr="006237B7">
        <w:rPr>
          <w:rFonts w:ascii="Arial" w:hAnsi="Arial" w:cs="Arial"/>
          <w:color w:val="151515"/>
          <w:lang w:val="en-GB"/>
        </w:rPr>
        <w:t xml:space="preserve">only, </w:t>
      </w:r>
      <w:r w:rsidR="007E57A9" w:rsidRPr="006237B7">
        <w:rPr>
          <w:rFonts w:ascii="Arial" w:hAnsi="Arial" w:cs="Arial"/>
          <w:color w:val="151515"/>
          <w:lang w:val="en-GB"/>
        </w:rPr>
        <w:t>because it controls</w:t>
      </w:r>
      <w:r w:rsidR="00A56ED0" w:rsidRPr="006237B7">
        <w:rPr>
          <w:rFonts w:ascii="Arial" w:hAnsi="Arial" w:cs="Arial"/>
          <w:color w:val="151515"/>
          <w:lang w:val="en-GB"/>
        </w:rPr>
        <w:t xml:space="preserve"> the </w:t>
      </w:r>
      <w:r w:rsidR="00A56ED0" w:rsidRPr="006237B7">
        <w:rPr>
          <w:rFonts w:ascii="Arial" w:hAnsi="Arial" w:cs="Arial"/>
          <w:color w:val="151515"/>
          <w:lang w:val="en-GB"/>
        </w:rPr>
        <w:t>Palestinians´ equitable and reasonable share of water resources in contravention of international water law.</w:t>
      </w:r>
    </w:p>
    <w:p w14:paraId="1CE3BB68" w14:textId="2F4A707B" w:rsidR="00675323" w:rsidRPr="006237B7" w:rsidRDefault="009D2A91" w:rsidP="00182CF4">
      <w:pPr>
        <w:pStyle w:val="Body"/>
        <w:numPr>
          <w:ilvl w:val="0"/>
          <w:numId w:val="2"/>
        </w:numPr>
        <w:shd w:val="clear" w:color="auto" w:fill="FFFFFF"/>
        <w:spacing w:before="100" w:after="100" w:line="240" w:lineRule="auto"/>
        <w:rPr>
          <w:rFonts w:ascii="Arial" w:hAnsi="Arial" w:cs="Arial"/>
          <w:color w:val="151515"/>
          <w:lang w:val="en-GB"/>
        </w:rPr>
      </w:pPr>
      <w:r w:rsidRPr="006237B7">
        <w:rPr>
          <w:rFonts w:ascii="Arial" w:hAnsi="Arial" w:cs="Arial"/>
          <w:color w:val="151515"/>
          <w:lang w:val="en-GB"/>
        </w:rPr>
        <w:t xml:space="preserve">In April 2020, </w:t>
      </w:r>
      <w:r w:rsidR="00741256" w:rsidRPr="006237B7">
        <w:rPr>
          <w:rFonts w:ascii="Arial" w:hAnsi="Arial" w:cs="Arial"/>
          <w:color w:val="151515"/>
          <w:lang w:val="en-GB"/>
        </w:rPr>
        <w:t xml:space="preserve">an agreement </w:t>
      </w:r>
      <w:r w:rsidR="001F50F3" w:rsidRPr="006237B7">
        <w:rPr>
          <w:rFonts w:ascii="Arial" w:hAnsi="Arial" w:cs="Arial"/>
          <w:color w:val="151515"/>
          <w:lang w:val="en-GB"/>
        </w:rPr>
        <w:t>of</w:t>
      </w:r>
      <w:r w:rsidR="00741256" w:rsidRPr="006237B7">
        <w:rPr>
          <w:rFonts w:ascii="Arial" w:hAnsi="Arial" w:cs="Arial"/>
          <w:color w:val="151515"/>
          <w:lang w:val="en-GB"/>
        </w:rPr>
        <w:t xml:space="preserve"> the Israeli government stipulated that a draft bill for annexing parts of the West Bank </w:t>
      </w:r>
      <w:r w:rsidR="001F50F3" w:rsidRPr="006237B7">
        <w:rPr>
          <w:rFonts w:ascii="Arial" w:hAnsi="Arial" w:cs="Arial"/>
          <w:color w:val="151515"/>
          <w:lang w:val="en-GB"/>
        </w:rPr>
        <w:t xml:space="preserve">will be presented to the Israeli Parliament “Knesset” </w:t>
      </w:r>
      <w:r w:rsidR="00741256" w:rsidRPr="006237B7">
        <w:rPr>
          <w:rFonts w:ascii="Arial" w:hAnsi="Arial" w:cs="Arial"/>
          <w:color w:val="151515"/>
          <w:lang w:val="en-GB"/>
        </w:rPr>
        <w:t xml:space="preserve">as of 1 July 2020. In and by itself the agreement forms a major shift in the Israeli position as it has been </w:t>
      </w:r>
      <w:r w:rsidR="00A82763" w:rsidRPr="006237B7">
        <w:rPr>
          <w:rFonts w:ascii="Arial" w:hAnsi="Arial" w:cs="Arial"/>
          <w:color w:val="151515"/>
          <w:lang w:val="en-GB"/>
        </w:rPr>
        <w:t>approved</w:t>
      </w:r>
      <w:r w:rsidR="00741256" w:rsidRPr="006237B7">
        <w:rPr>
          <w:rFonts w:ascii="Arial" w:hAnsi="Arial" w:cs="Arial"/>
          <w:color w:val="151515"/>
          <w:lang w:val="en-GB"/>
        </w:rPr>
        <w:t xml:space="preserve"> by the majority of the government members</w:t>
      </w:r>
      <w:r w:rsidR="00741256" w:rsidRPr="006237B7">
        <w:rPr>
          <w:rStyle w:val="FootnoteReference"/>
          <w:rFonts w:ascii="Arial" w:hAnsi="Arial" w:cs="Arial"/>
          <w:color w:val="151515"/>
          <w:lang w:val="en-GB"/>
        </w:rPr>
        <w:footnoteReference w:id="27"/>
      </w:r>
      <w:r w:rsidR="00741256" w:rsidRPr="006237B7">
        <w:rPr>
          <w:rFonts w:ascii="Arial" w:hAnsi="Arial" w:cs="Arial"/>
          <w:color w:val="151515"/>
          <w:lang w:val="en-GB"/>
        </w:rPr>
        <w:t xml:space="preserve">. </w:t>
      </w:r>
      <w:r w:rsidR="00A82763" w:rsidRPr="006237B7">
        <w:rPr>
          <w:rFonts w:ascii="Arial" w:hAnsi="Arial" w:cs="Arial"/>
          <w:color w:val="151515"/>
          <w:lang w:val="en-GB"/>
        </w:rPr>
        <w:t>“T</w:t>
      </w:r>
      <w:r w:rsidR="00741256" w:rsidRPr="006237B7">
        <w:rPr>
          <w:rFonts w:ascii="Arial" w:hAnsi="Arial" w:cs="Arial"/>
          <w:color w:val="151515"/>
          <w:lang w:val="en-GB"/>
        </w:rPr>
        <w:t>o give effect to formal annexation, would require repealing the Oslo Accords</w:t>
      </w:r>
      <w:r w:rsidR="00A82763" w:rsidRPr="006237B7">
        <w:rPr>
          <w:rFonts w:ascii="Arial" w:hAnsi="Arial" w:cs="Arial"/>
          <w:color w:val="151515"/>
          <w:lang w:val="en-GB"/>
        </w:rPr>
        <w:t>”</w:t>
      </w:r>
      <w:r w:rsidR="00A82763" w:rsidRPr="006237B7">
        <w:rPr>
          <w:rStyle w:val="FootnoteReference"/>
          <w:rFonts w:ascii="Arial" w:hAnsi="Arial" w:cs="Arial"/>
          <w:color w:val="151515"/>
          <w:lang w:val="en-GB"/>
        </w:rPr>
        <w:footnoteReference w:id="28"/>
      </w:r>
      <w:r w:rsidR="001F50F3" w:rsidRPr="006237B7">
        <w:rPr>
          <w:rFonts w:ascii="Arial" w:hAnsi="Arial" w:cs="Arial"/>
          <w:color w:val="151515"/>
          <w:lang w:val="en-GB"/>
        </w:rPr>
        <w:t xml:space="preserve">, which will </w:t>
      </w:r>
      <w:r w:rsidR="00C53452" w:rsidRPr="006237B7">
        <w:rPr>
          <w:rFonts w:ascii="Arial" w:hAnsi="Arial" w:cs="Arial"/>
          <w:color w:val="151515"/>
          <w:lang w:val="en-GB"/>
        </w:rPr>
        <w:t xml:space="preserve">in all likelihood would </w:t>
      </w:r>
      <w:r w:rsidR="001F50F3" w:rsidRPr="006237B7">
        <w:rPr>
          <w:rFonts w:ascii="Arial" w:hAnsi="Arial" w:cs="Arial"/>
          <w:color w:val="151515"/>
          <w:lang w:val="en-GB"/>
        </w:rPr>
        <w:t>dismantle the</w:t>
      </w:r>
      <w:r w:rsidR="002C6B95" w:rsidRPr="006237B7">
        <w:rPr>
          <w:rFonts w:ascii="Arial" w:hAnsi="Arial" w:cs="Arial"/>
          <w:color w:val="151515"/>
          <w:lang w:val="en-GB"/>
        </w:rPr>
        <w:t xml:space="preserve"> </w:t>
      </w:r>
      <w:r w:rsidR="001F50F3" w:rsidRPr="006237B7">
        <w:rPr>
          <w:rFonts w:ascii="Arial" w:hAnsi="Arial" w:cs="Arial"/>
          <w:color w:val="151515"/>
          <w:lang w:val="en-GB"/>
        </w:rPr>
        <w:t>Israeli-Palestinian peace process</w:t>
      </w:r>
      <w:r w:rsidR="00A82763" w:rsidRPr="006237B7">
        <w:rPr>
          <w:rFonts w:ascii="Arial" w:hAnsi="Arial" w:cs="Arial"/>
          <w:color w:val="151515"/>
          <w:lang w:val="en-GB"/>
        </w:rPr>
        <w:t xml:space="preserve">. Although, </w:t>
      </w:r>
      <w:r w:rsidR="002C6B95" w:rsidRPr="006237B7">
        <w:rPr>
          <w:rFonts w:ascii="Arial" w:hAnsi="Arial" w:cs="Arial"/>
          <w:color w:val="151515"/>
          <w:lang w:val="en-GB"/>
        </w:rPr>
        <w:t>the formal</w:t>
      </w:r>
      <w:r w:rsidR="00A82763" w:rsidRPr="006237B7">
        <w:rPr>
          <w:rFonts w:ascii="Arial" w:hAnsi="Arial" w:cs="Arial"/>
          <w:color w:val="151515"/>
          <w:lang w:val="en-GB"/>
        </w:rPr>
        <w:t xml:space="preserve"> annexation </w:t>
      </w:r>
      <w:r w:rsidR="00675323" w:rsidRPr="006237B7">
        <w:rPr>
          <w:rFonts w:ascii="Arial" w:hAnsi="Arial" w:cs="Arial"/>
          <w:color w:val="151515"/>
          <w:lang w:val="en-GB"/>
        </w:rPr>
        <w:t>is on temporary hold</w:t>
      </w:r>
      <w:r w:rsidR="002C6B95" w:rsidRPr="006237B7">
        <w:rPr>
          <w:rStyle w:val="FootnoteReference"/>
          <w:rFonts w:ascii="Arial" w:hAnsi="Arial" w:cs="Arial"/>
          <w:color w:val="151515"/>
          <w:lang w:val="en-GB"/>
        </w:rPr>
        <w:footnoteReference w:id="29"/>
      </w:r>
      <w:r w:rsidR="002C6B95" w:rsidRPr="006237B7">
        <w:rPr>
          <w:rFonts w:ascii="Arial" w:hAnsi="Arial" w:cs="Arial"/>
          <w:color w:val="151515"/>
          <w:lang w:val="en-GB"/>
        </w:rPr>
        <w:t xml:space="preserve">, </w:t>
      </w:r>
      <w:r w:rsidR="00675323" w:rsidRPr="006237B7">
        <w:rPr>
          <w:rFonts w:ascii="Arial" w:hAnsi="Arial" w:cs="Arial"/>
          <w:lang w:val="en-GB"/>
        </w:rPr>
        <w:t xml:space="preserve">destruction of property </w:t>
      </w:r>
      <w:r w:rsidR="00513139" w:rsidRPr="006237B7">
        <w:rPr>
          <w:rFonts w:ascii="Arial" w:hAnsi="Arial" w:cs="Arial"/>
          <w:lang w:val="en-GB"/>
        </w:rPr>
        <w:t>-</w:t>
      </w:r>
      <w:r w:rsidR="00C53452" w:rsidRPr="006237B7">
        <w:rPr>
          <w:rFonts w:ascii="Arial" w:hAnsi="Arial" w:cs="Arial"/>
          <w:lang w:val="en-GB"/>
        </w:rPr>
        <w:t xml:space="preserve"> </w:t>
      </w:r>
      <w:r w:rsidR="00513139" w:rsidRPr="006237B7">
        <w:rPr>
          <w:rFonts w:ascii="Arial" w:hAnsi="Arial" w:cs="Arial"/>
          <w:lang w:val="en-GB"/>
        </w:rPr>
        <w:t>including WASH structures</w:t>
      </w:r>
      <w:r w:rsidR="00C53452" w:rsidRPr="006237B7">
        <w:rPr>
          <w:rFonts w:ascii="Arial" w:hAnsi="Arial" w:cs="Arial"/>
          <w:lang w:val="en-GB"/>
        </w:rPr>
        <w:t xml:space="preserve"> </w:t>
      </w:r>
      <w:r w:rsidR="00513139" w:rsidRPr="006237B7">
        <w:rPr>
          <w:rFonts w:ascii="Arial" w:hAnsi="Arial" w:cs="Arial"/>
          <w:lang w:val="en-GB"/>
        </w:rPr>
        <w:t xml:space="preserve">- </w:t>
      </w:r>
      <w:r w:rsidR="00675323" w:rsidRPr="006237B7">
        <w:rPr>
          <w:rFonts w:ascii="Arial" w:hAnsi="Arial" w:cs="Arial"/>
          <w:lang w:val="en-GB"/>
        </w:rPr>
        <w:t xml:space="preserve">which has been employed as an effective coercive tactic to advance the forcible transfer </w:t>
      </w:r>
      <w:r w:rsidR="00675323" w:rsidRPr="006237B7">
        <w:rPr>
          <w:rFonts w:ascii="Arial" w:hAnsi="Arial" w:cs="Arial"/>
          <w:lang w:val="en-GB"/>
        </w:rPr>
        <w:lastRenderedPageBreak/>
        <w:t xml:space="preserve">of Palestinians has increased </w:t>
      </w:r>
      <w:r w:rsidR="00864045" w:rsidRPr="006237B7">
        <w:rPr>
          <w:rFonts w:ascii="Arial" w:hAnsi="Arial" w:cs="Arial"/>
          <w:lang w:val="en-GB"/>
        </w:rPr>
        <w:t>in</w:t>
      </w:r>
      <w:r w:rsidR="00F87990" w:rsidRPr="006237B7">
        <w:rPr>
          <w:rFonts w:ascii="Arial" w:hAnsi="Arial" w:cs="Arial"/>
          <w:lang w:val="en-GB"/>
        </w:rPr>
        <w:t xml:space="preserve"> 2020</w:t>
      </w:r>
      <w:r w:rsidR="00864045" w:rsidRPr="006237B7">
        <w:rPr>
          <w:rFonts w:ascii="Arial" w:hAnsi="Arial" w:cs="Arial"/>
          <w:lang w:val="en-GB"/>
        </w:rPr>
        <w:t xml:space="preserve"> </w:t>
      </w:r>
      <w:r w:rsidR="00F87990" w:rsidRPr="006237B7">
        <w:rPr>
          <w:rFonts w:ascii="Arial" w:hAnsi="Arial" w:cs="Arial"/>
          <w:lang w:val="en-GB"/>
        </w:rPr>
        <w:t>and</w:t>
      </w:r>
      <w:r w:rsidR="00864045" w:rsidRPr="006237B7">
        <w:rPr>
          <w:rFonts w:ascii="Arial" w:hAnsi="Arial" w:cs="Arial"/>
          <w:lang w:val="en-GB"/>
        </w:rPr>
        <w:t xml:space="preserve"> </w:t>
      </w:r>
      <w:r w:rsidR="00F87990" w:rsidRPr="006237B7">
        <w:rPr>
          <w:rFonts w:ascii="Arial" w:hAnsi="Arial" w:cs="Arial"/>
          <w:lang w:val="en-GB"/>
        </w:rPr>
        <w:t>the first quarter of 2021</w:t>
      </w:r>
      <w:r w:rsidR="00864045" w:rsidRPr="006237B7">
        <w:rPr>
          <w:rFonts w:ascii="Arial" w:hAnsi="Arial" w:cs="Arial"/>
          <w:lang w:val="en-GB"/>
        </w:rPr>
        <w:t xml:space="preserve"> </w:t>
      </w:r>
      <w:r w:rsidR="00A56ED0" w:rsidRPr="006237B7">
        <w:rPr>
          <w:rFonts w:ascii="Arial" w:hAnsi="Arial" w:cs="Arial"/>
          <w:lang w:val="en-GB"/>
        </w:rPr>
        <w:t>at an</w:t>
      </w:r>
      <w:r w:rsidR="00864045" w:rsidRPr="006237B7">
        <w:rPr>
          <w:rFonts w:ascii="Arial" w:hAnsi="Arial" w:cs="Arial"/>
          <w:lang w:val="en-GB"/>
        </w:rPr>
        <w:t xml:space="preserve"> unprecedented rate</w:t>
      </w:r>
      <w:r w:rsidR="00F87990" w:rsidRPr="006237B7">
        <w:rPr>
          <w:rStyle w:val="FootnoteReference"/>
          <w:rFonts w:ascii="Arial" w:hAnsi="Arial" w:cs="Arial"/>
          <w:lang w:val="en-GB"/>
        </w:rPr>
        <w:footnoteReference w:id="30"/>
      </w:r>
      <w:r w:rsidR="00F87990" w:rsidRPr="006237B7">
        <w:rPr>
          <w:rFonts w:ascii="Arial" w:hAnsi="Arial" w:cs="Arial"/>
          <w:lang w:val="en-GB"/>
        </w:rPr>
        <w:t>. Since the beginning of 2009, the UN has registered demolition</w:t>
      </w:r>
      <w:r w:rsidR="00864045" w:rsidRPr="006237B7">
        <w:rPr>
          <w:rFonts w:ascii="Arial" w:hAnsi="Arial" w:cs="Arial"/>
          <w:lang w:val="en-GB"/>
        </w:rPr>
        <w:t>s</w:t>
      </w:r>
      <w:r w:rsidR="00F87990" w:rsidRPr="006237B7">
        <w:rPr>
          <w:rFonts w:ascii="Arial" w:hAnsi="Arial" w:cs="Arial"/>
          <w:lang w:val="en-GB"/>
        </w:rPr>
        <w:t xml:space="preserve"> of 7,563 structures including 684 WASH structures, </w:t>
      </w:r>
      <w:r w:rsidR="00513139" w:rsidRPr="006237B7">
        <w:rPr>
          <w:rFonts w:ascii="Arial" w:hAnsi="Arial" w:cs="Arial"/>
          <w:lang w:val="en-GB"/>
        </w:rPr>
        <w:t xml:space="preserve">resulting in forcible </w:t>
      </w:r>
      <w:r w:rsidR="00F87990" w:rsidRPr="006237B7">
        <w:rPr>
          <w:rFonts w:ascii="Arial" w:hAnsi="Arial" w:cs="Arial"/>
          <w:lang w:val="en-GB"/>
        </w:rPr>
        <w:t>transfer of over 11,000 Palestinians</w:t>
      </w:r>
      <w:r w:rsidR="00F87990" w:rsidRPr="006237B7">
        <w:rPr>
          <w:rStyle w:val="FootnoteReference"/>
          <w:rFonts w:ascii="Arial" w:hAnsi="Arial" w:cs="Arial"/>
          <w:lang w:val="en-GB"/>
        </w:rPr>
        <w:footnoteReference w:id="31"/>
      </w:r>
      <w:r w:rsidR="00513139" w:rsidRPr="006237B7">
        <w:rPr>
          <w:rFonts w:ascii="Arial" w:hAnsi="Arial" w:cs="Arial"/>
          <w:lang w:val="en-GB"/>
        </w:rPr>
        <w:t xml:space="preserve">. </w:t>
      </w:r>
    </w:p>
    <w:p w14:paraId="2B6CA5DF" w14:textId="4FBB471A" w:rsidR="00DB654C" w:rsidRPr="006237B7" w:rsidRDefault="00FE7153" w:rsidP="00DE1276">
      <w:pPr>
        <w:pStyle w:val="Body"/>
        <w:numPr>
          <w:ilvl w:val="0"/>
          <w:numId w:val="2"/>
        </w:numPr>
        <w:shd w:val="clear" w:color="auto" w:fill="FFFFFF"/>
        <w:spacing w:before="100" w:after="100" w:line="240" w:lineRule="auto"/>
        <w:rPr>
          <w:rFonts w:ascii="Arial" w:hAnsi="Arial" w:cs="Arial"/>
          <w:color w:val="151515"/>
          <w:lang w:val="en-GB"/>
        </w:rPr>
      </w:pPr>
      <w:r w:rsidRPr="006237B7">
        <w:rPr>
          <w:rFonts w:ascii="Arial" w:hAnsi="Arial" w:cs="Arial"/>
          <w:color w:val="151515"/>
          <w:lang w:val="en-GB"/>
        </w:rPr>
        <w:t>The Israeli legislations and policies deprive all the Palestinians</w:t>
      </w:r>
      <w:r w:rsidR="00A56ED0" w:rsidRPr="006237B7">
        <w:rPr>
          <w:rFonts w:ascii="Arial" w:hAnsi="Arial" w:cs="Arial"/>
          <w:color w:val="151515"/>
          <w:lang w:val="en-GB"/>
        </w:rPr>
        <w:t xml:space="preserve"> </w:t>
      </w:r>
      <w:r w:rsidRPr="006237B7">
        <w:rPr>
          <w:rFonts w:ascii="Arial" w:hAnsi="Arial" w:cs="Arial"/>
          <w:color w:val="151515"/>
          <w:lang w:val="en-GB"/>
        </w:rPr>
        <w:t>their right to their equitable</w:t>
      </w:r>
      <w:r w:rsidR="00A56ED0" w:rsidRPr="006237B7">
        <w:rPr>
          <w:rFonts w:ascii="Arial" w:hAnsi="Arial" w:cs="Arial"/>
          <w:color w:val="151515"/>
          <w:lang w:val="en-GB"/>
        </w:rPr>
        <w:t xml:space="preserve"> </w:t>
      </w:r>
      <w:r w:rsidR="00A56ED0" w:rsidRPr="006237B7">
        <w:rPr>
          <w:rFonts w:ascii="Arial" w:hAnsi="Arial" w:cs="Arial"/>
          <w:color w:val="151515"/>
          <w:lang w:val="en-GB"/>
        </w:rPr>
        <w:t>and reasonable share of available water resources</w:t>
      </w:r>
      <w:r w:rsidR="00A56ED0" w:rsidRPr="006237B7">
        <w:rPr>
          <w:rFonts w:ascii="Arial" w:hAnsi="Arial" w:cs="Arial"/>
          <w:color w:val="151515"/>
          <w:lang w:val="en-GB"/>
        </w:rPr>
        <w:t xml:space="preserve">, </w:t>
      </w:r>
      <w:r w:rsidR="00A56ED0" w:rsidRPr="006237B7">
        <w:rPr>
          <w:rFonts w:ascii="Arial" w:hAnsi="Arial" w:cs="Arial"/>
          <w:lang w:val="en-GB"/>
        </w:rPr>
        <w:t>albeit to differing degrees</w:t>
      </w:r>
      <w:r w:rsidRPr="006237B7">
        <w:rPr>
          <w:rFonts w:ascii="Arial" w:hAnsi="Arial" w:cs="Arial"/>
          <w:color w:val="151515"/>
          <w:lang w:val="en-GB"/>
        </w:rPr>
        <w:t>. Moreover</w:t>
      </w:r>
      <w:r w:rsidR="00BC0003" w:rsidRPr="006237B7">
        <w:rPr>
          <w:rFonts w:ascii="Arial" w:hAnsi="Arial" w:cs="Arial"/>
          <w:color w:val="151515"/>
          <w:lang w:val="en-GB"/>
        </w:rPr>
        <w:t>,</w:t>
      </w:r>
      <w:r w:rsidRPr="006237B7">
        <w:rPr>
          <w:rFonts w:ascii="Arial" w:hAnsi="Arial" w:cs="Arial"/>
          <w:color w:val="151515"/>
          <w:lang w:val="en-GB"/>
        </w:rPr>
        <w:t xml:space="preserve"> they are </w:t>
      </w:r>
      <w:r w:rsidR="00BC0003" w:rsidRPr="006237B7">
        <w:rPr>
          <w:rFonts w:ascii="Arial" w:hAnsi="Arial" w:cs="Arial"/>
          <w:color w:val="151515"/>
          <w:lang w:val="en-GB"/>
        </w:rPr>
        <w:t>a</w:t>
      </w:r>
      <w:r w:rsidRPr="006237B7">
        <w:rPr>
          <w:rFonts w:ascii="Arial" w:hAnsi="Arial" w:cs="Arial"/>
          <w:color w:val="151515"/>
          <w:lang w:val="en-GB"/>
        </w:rPr>
        <w:t xml:space="preserve"> primary reason </w:t>
      </w:r>
      <w:r w:rsidR="00A56ED0" w:rsidRPr="006237B7">
        <w:rPr>
          <w:rFonts w:ascii="Arial" w:hAnsi="Arial" w:cs="Arial"/>
          <w:color w:val="151515"/>
          <w:lang w:val="en-GB"/>
        </w:rPr>
        <w:t xml:space="preserve">for </w:t>
      </w:r>
      <w:r w:rsidRPr="006237B7">
        <w:rPr>
          <w:rFonts w:ascii="Arial" w:hAnsi="Arial" w:cs="Arial"/>
          <w:color w:val="151515"/>
          <w:lang w:val="en-GB"/>
        </w:rPr>
        <w:t xml:space="preserve">prohibiting 60.5% of the Palestinians their right to </w:t>
      </w:r>
      <w:r w:rsidR="00BC0003" w:rsidRPr="006237B7">
        <w:rPr>
          <w:rFonts w:ascii="Arial" w:hAnsi="Arial" w:cs="Arial"/>
          <w:color w:val="151515"/>
          <w:lang w:val="en-GB"/>
        </w:rPr>
        <w:t>access</w:t>
      </w:r>
      <w:r w:rsidRPr="006237B7">
        <w:rPr>
          <w:rFonts w:ascii="Arial" w:hAnsi="Arial" w:cs="Arial"/>
          <w:color w:val="151515"/>
          <w:lang w:val="en-GB"/>
        </w:rPr>
        <w:t xml:space="preserve"> safe drinking water and </w:t>
      </w:r>
      <w:r w:rsidR="00BC0003" w:rsidRPr="006237B7">
        <w:rPr>
          <w:rFonts w:ascii="Arial" w:hAnsi="Arial" w:cs="Arial"/>
          <w:color w:val="151515"/>
          <w:lang w:val="en-GB"/>
        </w:rPr>
        <w:t xml:space="preserve">an even higher percentage of their right to </w:t>
      </w:r>
      <w:r w:rsidRPr="006237B7">
        <w:rPr>
          <w:rFonts w:ascii="Arial" w:hAnsi="Arial" w:cs="Arial"/>
          <w:color w:val="151515"/>
          <w:lang w:val="en-GB"/>
        </w:rPr>
        <w:t>adequate sanitation and/or disconnecting them from these services</w:t>
      </w:r>
      <w:r w:rsidRPr="006237B7">
        <w:rPr>
          <w:rStyle w:val="FootnoteReference"/>
          <w:rFonts w:ascii="Arial" w:hAnsi="Arial" w:cs="Arial"/>
          <w:color w:val="151515"/>
          <w:lang w:val="en-GB"/>
        </w:rPr>
        <w:footnoteReference w:id="32"/>
      </w:r>
      <w:r w:rsidRPr="006237B7">
        <w:rPr>
          <w:rFonts w:ascii="Arial" w:hAnsi="Arial" w:cs="Arial"/>
          <w:color w:val="151515"/>
          <w:lang w:val="en-GB"/>
        </w:rPr>
        <w:t xml:space="preserve">.  </w:t>
      </w:r>
    </w:p>
    <w:p w14:paraId="7F85652C" w14:textId="7A6B377D" w:rsidR="00DE1276" w:rsidRPr="006237B7" w:rsidRDefault="00DE1276" w:rsidP="00DC71AB">
      <w:pPr>
        <w:pStyle w:val="Body"/>
        <w:shd w:val="clear" w:color="auto" w:fill="FFFFFF"/>
        <w:spacing w:before="100" w:after="100" w:line="240" w:lineRule="auto"/>
        <w:rPr>
          <w:rStyle w:val="None"/>
          <w:rFonts w:ascii="Arial" w:hAnsi="Arial" w:cs="Arial"/>
          <w:lang w:val="en-GB"/>
        </w:rPr>
      </w:pPr>
    </w:p>
    <w:p w14:paraId="7E3CB82F" w14:textId="77777777" w:rsidR="00BC5C27" w:rsidRPr="006237B7" w:rsidRDefault="00BC5C27" w:rsidP="00DE1276">
      <w:pPr>
        <w:pStyle w:val="Body"/>
        <w:shd w:val="clear" w:color="auto" w:fill="FFFFFF"/>
        <w:spacing w:before="100" w:after="100" w:line="240" w:lineRule="auto"/>
        <w:ind w:left="360"/>
        <w:rPr>
          <w:rStyle w:val="None"/>
          <w:rFonts w:ascii="Arial" w:hAnsi="Arial" w:cs="Arial"/>
          <w:lang w:val="en-GB"/>
        </w:rPr>
      </w:pPr>
    </w:p>
    <w:p w14:paraId="2AAEB603" w14:textId="052E5EF5" w:rsidR="007F309A" w:rsidRPr="006237B7" w:rsidRDefault="007F309A" w:rsidP="00DE1276">
      <w:pPr>
        <w:pStyle w:val="Body"/>
        <w:shd w:val="clear" w:color="auto" w:fill="FFFFFF"/>
        <w:spacing w:before="100" w:after="100" w:line="240" w:lineRule="auto"/>
        <w:rPr>
          <w:rStyle w:val="None"/>
          <w:rFonts w:ascii="Arial" w:hAnsi="Arial" w:cs="Arial"/>
          <w:b/>
          <w:bCs/>
          <w:lang w:val="en-GB"/>
        </w:rPr>
      </w:pPr>
      <w:r w:rsidRPr="006237B7">
        <w:rPr>
          <w:rFonts w:ascii="Arial" w:hAnsi="Arial" w:cs="Arial"/>
          <w:b/>
          <w:bCs/>
          <w:lang w:val="en-GB"/>
        </w:rPr>
        <w:t xml:space="preserve">The Palestinian Authority violations of the human rights to water and sanitation – </w:t>
      </w:r>
      <w:r w:rsidR="00BC0003" w:rsidRPr="006237B7">
        <w:rPr>
          <w:rFonts w:ascii="Arial" w:hAnsi="Arial" w:cs="Arial"/>
          <w:b/>
          <w:bCs/>
          <w:lang w:val="en-GB"/>
        </w:rPr>
        <w:t xml:space="preserve">full cost recovery and </w:t>
      </w:r>
      <w:r w:rsidR="007B2C76" w:rsidRPr="006237B7">
        <w:rPr>
          <w:rFonts w:ascii="Arial" w:hAnsi="Arial" w:cs="Arial"/>
          <w:b/>
          <w:bCs/>
          <w:lang w:val="en-GB"/>
        </w:rPr>
        <w:t xml:space="preserve">further </w:t>
      </w:r>
      <w:r w:rsidR="00BC0003" w:rsidRPr="006237B7">
        <w:rPr>
          <w:rFonts w:ascii="Arial" w:hAnsi="Arial" w:cs="Arial"/>
          <w:b/>
          <w:bCs/>
          <w:lang w:val="en-GB"/>
        </w:rPr>
        <w:t>marginalizing</w:t>
      </w:r>
      <w:r w:rsidRPr="006237B7">
        <w:rPr>
          <w:rFonts w:ascii="Arial" w:hAnsi="Arial" w:cs="Arial"/>
          <w:b/>
          <w:bCs/>
          <w:lang w:val="en-GB"/>
        </w:rPr>
        <w:t xml:space="preserve"> </w:t>
      </w:r>
      <w:r w:rsidR="007B2C76" w:rsidRPr="006237B7">
        <w:rPr>
          <w:rFonts w:ascii="Arial" w:hAnsi="Arial" w:cs="Arial"/>
          <w:b/>
          <w:bCs/>
          <w:lang w:val="en-GB"/>
        </w:rPr>
        <w:t xml:space="preserve">the poor </w:t>
      </w:r>
      <w:r w:rsidRPr="006237B7">
        <w:rPr>
          <w:rFonts w:ascii="Arial" w:hAnsi="Arial" w:cs="Arial"/>
          <w:b/>
          <w:bCs/>
          <w:lang w:val="en-GB"/>
        </w:rPr>
        <w:t xml:space="preserve">under occupation as a </w:t>
      </w:r>
      <w:r w:rsidR="007B2C76" w:rsidRPr="006237B7">
        <w:rPr>
          <w:rFonts w:ascii="Arial" w:hAnsi="Arial" w:cs="Arial"/>
          <w:b/>
          <w:bCs/>
          <w:lang w:val="en-GB"/>
        </w:rPr>
        <w:t>long-term</w:t>
      </w:r>
      <w:r w:rsidRPr="006237B7">
        <w:rPr>
          <w:rFonts w:ascii="Arial" w:hAnsi="Arial" w:cs="Arial"/>
          <w:b/>
          <w:bCs/>
          <w:lang w:val="en-GB"/>
        </w:rPr>
        <w:t xml:space="preserve"> strategy. </w:t>
      </w:r>
    </w:p>
    <w:p w14:paraId="0B7E7D4F" w14:textId="0B9ADB4D" w:rsidR="00740DFF" w:rsidRPr="006237B7" w:rsidRDefault="00040DF4" w:rsidP="00740DFF">
      <w:pPr>
        <w:pStyle w:val="NormalWeb"/>
        <w:numPr>
          <w:ilvl w:val="0"/>
          <w:numId w:val="2"/>
        </w:numPr>
        <w:shd w:val="clear" w:color="auto" w:fill="FFFFFF"/>
        <w:spacing w:beforeAutospacing="0" w:afterAutospacing="0"/>
        <w:rPr>
          <w:rStyle w:val="None"/>
          <w:rFonts w:ascii="Arial" w:hAnsi="Arial" w:cs="Arial"/>
          <w:sz w:val="22"/>
          <w:szCs w:val="22"/>
        </w:rPr>
      </w:pPr>
      <w:r w:rsidRPr="006237B7">
        <w:rPr>
          <w:rFonts w:ascii="Arial" w:hAnsi="Arial" w:cs="Arial"/>
          <w:sz w:val="22"/>
          <w:szCs w:val="22"/>
        </w:rPr>
        <w:t>In 2008, t</w:t>
      </w:r>
      <w:r w:rsidR="00B472F5" w:rsidRPr="006237B7">
        <w:rPr>
          <w:rFonts w:ascii="Arial" w:hAnsi="Arial" w:cs="Arial"/>
          <w:sz w:val="22"/>
          <w:szCs w:val="22"/>
        </w:rPr>
        <w:t xml:space="preserve">he Palestinian Authority </w:t>
      </w:r>
      <w:r w:rsidR="00B472F5" w:rsidRPr="006237B7">
        <w:rPr>
          <w:rStyle w:val="None"/>
          <w:rFonts w:ascii="Arial" w:hAnsi="Arial" w:cs="Arial"/>
          <w:sz w:val="22"/>
          <w:szCs w:val="22"/>
        </w:rPr>
        <w:t xml:space="preserve">set their long-term goal as ensuring that “public infrastructure and utilities are managed on a commercially-oriented and financially viable basis and, </w:t>
      </w:r>
      <w:r w:rsidR="00E43151" w:rsidRPr="006237B7">
        <w:rPr>
          <w:rStyle w:val="None"/>
          <w:rFonts w:ascii="Arial" w:hAnsi="Arial" w:cs="Arial"/>
          <w:sz w:val="22"/>
          <w:szCs w:val="22"/>
        </w:rPr>
        <w:t xml:space="preserve">with </w:t>
      </w:r>
      <w:r w:rsidR="00B472F5" w:rsidRPr="006237B7">
        <w:rPr>
          <w:rStyle w:val="None"/>
          <w:rFonts w:ascii="Arial" w:hAnsi="Arial" w:cs="Arial"/>
          <w:sz w:val="22"/>
          <w:szCs w:val="22"/>
        </w:rPr>
        <w:t>increas</w:t>
      </w:r>
      <w:r w:rsidR="00E43151" w:rsidRPr="006237B7">
        <w:rPr>
          <w:rStyle w:val="None"/>
          <w:rFonts w:ascii="Arial" w:hAnsi="Arial" w:cs="Arial"/>
          <w:sz w:val="22"/>
          <w:szCs w:val="22"/>
        </w:rPr>
        <w:t>ing</w:t>
      </w:r>
      <w:r w:rsidR="00B472F5" w:rsidRPr="006237B7">
        <w:rPr>
          <w:rStyle w:val="None"/>
          <w:rFonts w:ascii="Arial" w:hAnsi="Arial" w:cs="Arial"/>
          <w:sz w:val="22"/>
          <w:szCs w:val="22"/>
        </w:rPr>
        <w:t xml:space="preserve"> level of private sector investment and participation”</w:t>
      </w:r>
      <w:r w:rsidR="00B472F5" w:rsidRPr="006237B7">
        <w:rPr>
          <w:rStyle w:val="FootnoteReference"/>
          <w:rFonts w:ascii="Arial" w:hAnsi="Arial" w:cs="Arial"/>
          <w:sz w:val="22"/>
          <w:szCs w:val="22"/>
        </w:rPr>
        <w:footnoteReference w:id="33"/>
      </w:r>
      <w:r w:rsidR="00B472F5" w:rsidRPr="006237B7">
        <w:rPr>
          <w:rStyle w:val="None"/>
          <w:rFonts w:ascii="Arial" w:hAnsi="Arial" w:cs="Arial"/>
          <w:sz w:val="22"/>
          <w:szCs w:val="22"/>
        </w:rPr>
        <w:t xml:space="preserve">. </w:t>
      </w:r>
      <w:r w:rsidR="00E43151" w:rsidRPr="006237B7">
        <w:rPr>
          <w:rStyle w:val="None"/>
          <w:rFonts w:ascii="Arial" w:hAnsi="Arial" w:cs="Arial"/>
          <w:sz w:val="22"/>
          <w:szCs w:val="22"/>
        </w:rPr>
        <w:t>This was envisioned in a sovereign state</w:t>
      </w:r>
      <w:r w:rsidR="00177E61" w:rsidRPr="006237B7">
        <w:rPr>
          <w:rStyle w:val="FootnoteReference"/>
          <w:rFonts w:ascii="Arial" w:hAnsi="Arial" w:cs="Arial"/>
          <w:sz w:val="22"/>
          <w:szCs w:val="22"/>
        </w:rPr>
        <w:footnoteReference w:id="34"/>
      </w:r>
      <w:r w:rsidR="00E43151" w:rsidRPr="006237B7">
        <w:rPr>
          <w:rStyle w:val="None"/>
          <w:rFonts w:ascii="Arial" w:hAnsi="Arial" w:cs="Arial"/>
          <w:sz w:val="22"/>
          <w:szCs w:val="22"/>
        </w:rPr>
        <w:t xml:space="preserve">. </w:t>
      </w:r>
      <w:r w:rsidR="00B472F5" w:rsidRPr="006237B7">
        <w:rPr>
          <w:rFonts w:ascii="Arial" w:hAnsi="Arial" w:cs="Arial"/>
          <w:sz w:val="22"/>
          <w:szCs w:val="22"/>
        </w:rPr>
        <w:t xml:space="preserve">The UN General Assembly resolution 67/19 of (2014) upgrading Palestine to "non-member observer state" changed nothing in the Palestinians’ reality. Nevertheless, </w:t>
      </w:r>
      <w:r w:rsidR="00EE5F44" w:rsidRPr="006237B7">
        <w:rPr>
          <w:rFonts w:ascii="Arial" w:hAnsi="Arial" w:cs="Arial"/>
          <w:sz w:val="22"/>
          <w:szCs w:val="22"/>
        </w:rPr>
        <w:t xml:space="preserve">the Palestinian Authority remain committed to their goal. Today, </w:t>
      </w:r>
      <w:r w:rsidR="00815FFA" w:rsidRPr="006237B7">
        <w:rPr>
          <w:rFonts w:ascii="Arial" w:hAnsi="Arial" w:cs="Arial"/>
          <w:sz w:val="22"/>
          <w:szCs w:val="22"/>
        </w:rPr>
        <w:t>11</w:t>
      </w:r>
      <w:r w:rsidR="00EE5F44" w:rsidRPr="006237B7">
        <w:rPr>
          <w:rFonts w:ascii="Arial" w:hAnsi="Arial" w:cs="Arial"/>
          <w:sz w:val="22"/>
          <w:szCs w:val="22"/>
        </w:rPr>
        <w:t xml:space="preserve">% of the Palestinians </w:t>
      </w:r>
      <w:r w:rsidR="00EE5F44" w:rsidRPr="006237B7">
        <w:rPr>
          <w:rStyle w:val="None"/>
          <w:rFonts w:ascii="Arial" w:hAnsi="Arial" w:cs="Arial"/>
          <w:sz w:val="22"/>
          <w:szCs w:val="22"/>
        </w:rPr>
        <w:t>are connected to prepaid water meters</w:t>
      </w:r>
      <w:r w:rsidR="00177E61" w:rsidRPr="006237B7">
        <w:rPr>
          <w:rStyle w:val="FootnoteReference"/>
          <w:rFonts w:ascii="Arial" w:hAnsi="Arial" w:cs="Arial"/>
          <w:sz w:val="22"/>
          <w:szCs w:val="22"/>
        </w:rPr>
        <w:footnoteReference w:id="35"/>
      </w:r>
      <w:r w:rsidR="00414486">
        <w:rPr>
          <w:rStyle w:val="None"/>
          <w:rFonts w:ascii="Arial" w:hAnsi="Arial" w:cs="Arial"/>
          <w:sz w:val="22"/>
          <w:szCs w:val="22"/>
        </w:rPr>
        <w:t>,</w:t>
      </w:r>
      <w:r w:rsidR="00414486">
        <w:rPr>
          <w:rStyle w:val="FootnoteReference"/>
          <w:rFonts w:ascii="Arial" w:hAnsi="Arial" w:cs="Arial"/>
          <w:sz w:val="22"/>
          <w:szCs w:val="22"/>
        </w:rPr>
        <w:footnoteReference w:id="36"/>
      </w:r>
      <w:r w:rsidR="00EE5F44" w:rsidRPr="006237B7">
        <w:rPr>
          <w:rStyle w:val="None"/>
          <w:rFonts w:ascii="Arial" w:hAnsi="Arial" w:cs="Arial"/>
          <w:sz w:val="22"/>
          <w:szCs w:val="22"/>
        </w:rPr>
        <w:t xml:space="preserve">. Moreover, </w:t>
      </w:r>
      <w:r w:rsidR="006706DD" w:rsidRPr="006237B7">
        <w:rPr>
          <w:rStyle w:val="None"/>
          <w:rFonts w:ascii="Arial" w:hAnsi="Arial" w:cs="Arial"/>
          <w:sz w:val="22"/>
          <w:szCs w:val="22"/>
        </w:rPr>
        <w:t xml:space="preserve">the Cabinet </w:t>
      </w:r>
      <w:r w:rsidR="00815FFA" w:rsidRPr="006237B7">
        <w:rPr>
          <w:rStyle w:val="None"/>
          <w:rFonts w:ascii="Arial" w:hAnsi="Arial" w:cs="Arial"/>
          <w:sz w:val="22"/>
          <w:szCs w:val="22"/>
        </w:rPr>
        <w:t>passed</w:t>
      </w:r>
      <w:r w:rsidR="006706DD" w:rsidRPr="006237B7">
        <w:rPr>
          <w:rStyle w:val="None"/>
          <w:rFonts w:ascii="Arial" w:hAnsi="Arial" w:cs="Arial"/>
          <w:sz w:val="22"/>
          <w:szCs w:val="22"/>
        </w:rPr>
        <w:t xml:space="preserve"> a tariff system for achieving full cost recovery</w:t>
      </w:r>
      <w:r w:rsidR="00EE5F44" w:rsidRPr="006237B7">
        <w:rPr>
          <w:rStyle w:val="None"/>
          <w:rFonts w:ascii="Arial" w:hAnsi="Arial" w:cs="Arial"/>
          <w:sz w:val="22"/>
          <w:szCs w:val="22"/>
        </w:rPr>
        <w:t xml:space="preserve">. </w:t>
      </w:r>
      <w:r w:rsidR="00815FFA" w:rsidRPr="006237B7">
        <w:rPr>
          <w:rStyle w:val="None"/>
          <w:rFonts w:ascii="Arial" w:hAnsi="Arial" w:cs="Arial"/>
          <w:sz w:val="22"/>
          <w:szCs w:val="22"/>
        </w:rPr>
        <w:t xml:space="preserve">Yet, no measures have been taken to prohibit water disconnections not even during crisis including Covid-19. Moreover, </w:t>
      </w:r>
      <w:r w:rsidR="008B335D" w:rsidRPr="006237B7">
        <w:rPr>
          <w:rStyle w:val="None"/>
          <w:rFonts w:ascii="Arial" w:hAnsi="Arial" w:cs="Arial"/>
          <w:sz w:val="22"/>
          <w:szCs w:val="22"/>
        </w:rPr>
        <w:t xml:space="preserve">service providers lack standards for accountability when </w:t>
      </w:r>
      <w:r w:rsidR="005F0EF7" w:rsidRPr="006237B7">
        <w:rPr>
          <w:rStyle w:val="None"/>
          <w:rFonts w:ascii="Arial" w:hAnsi="Arial" w:cs="Arial"/>
          <w:sz w:val="22"/>
          <w:szCs w:val="22"/>
        </w:rPr>
        <w:t xml:space="preserve">their performance </w:t>
      </w:r>
      <w:r w:rsidR="008B335D" w:rsidRPr="006237B7">
        <w:rPr>
          <w:rStyle w:val="None"/>
          <w:rFonts w:ascii="Arial" w:hAnsi="Arial" w:cs="Arial"/>
          <w:sz w:val="22"/>
          <w:szCs w:val="22"/>
        </w:rPr>
        <w:t xml:space="preserve">reports show mismanagement. </w:t>
      </w:r>
      <w:r w:rsidR="006B6D76" w:rsidRPr="006237B7">
        <w:rPr>
          <w:rStyle w:val="None"/>
          <w:rFonts w:ascii="Arial" w:hAnsi="Arial" w:cs="Arial"/>
          <w:sz w:val="22"/>
          <w:szCs w:val="22"/>
        </w:rPr>
        <w:t>Thus</w:t>
      </w:r>
      <w:r w:rsidR="008B335D" w:rsidRPr="006237B7">
        <w:rPr>
          <w:rStyle w:val="None"/>
          <w:rFonts w:ascii="Arial" w:hAnsi="Arial" w:cs="Arial"/>
          <w:sz w:val="22"/>
          <w:szCs w:val="22"/>
        </w:rPr>
        <w:t xml:space="preserve">, </w:t>
      </w:r>
      <w:r w:rsidRPr="006237B7">
        <w:rPr>
          <w:rStyle w:val="None"/>
          <w:rFonts w:ascii="Arial" w:hAnsi="Arial" w:cs="Arial"/>
          <w:sz w:val="22"/>
          <w:szCs w:val="22"/>
        </w:rPr>
        <w:t xml:space="preserve">the full cost </w:t>
      </w:r>
      <w:r w:rsidR="006B6D76" w:rsidRPr="006237B7">
        <w:rPr>
          <w:rStyle w:val="None"/>
          <w:rFonts w:ascii="Arial" w:hAnsi="Arial" w:cs="Arial"/>
          <w:sz w:val="22"/>
          <w:szCs w:val="22"/>
        </w:rPr>
        <w:t>recovery includes cost of</w:t>
      </w:r>
      <w:r w:rsidRPr="006237B7">
        <w:rPr>
          <w:rStyle w:val="None"/>
          <w:rFonts w:ascii="Arial" w:hAnsi="Arial" w:cs="Arial"/>
          <w:sz w:val="22"/>
          <w:szCs w:val="22"/>
        </w:rPr>
        <w:t xml:space="preserve"> mismanagement. </w:t>
      </w:r>
    </w:p>
    <w:p w14:paraId="7BD63367" w14:textId="79ADE424" w:rsidR="005E062D" w:rsidRPr="006237B7" w:rsidRDefault="0053589A" w:rsidP="007E057B">
      <w:pPr>
        <w:pStyle w:val="NormalWeb"/>
        <w:numPr>
          <w:ilvl w:val="0"/>
          <w:numId w:val="2"/>
        </w:numPr>
        <w:shd w:val="clear" w:color="auto" w:fill="FFFFFF"/>
        <w:spacing w:beforeAutospacing="0" w:afterAutospacing="0"/>
        <w:rPr>
          <w:rFonts w:ascii="Arial" w:hAnsi="Arial" w:cs="Arial"/>
          <w:sz w:val="22"/>
          <w:szCs w:val="22"/>
        </w:rPr>
      </w:pPr>
      <w:r w:rsidRPr="006237B7">
        <w:rPr>
          <w:rStyle w:val="None"/>
          <w:rFonts w:ascii="Arial" w:hAnsi="Arial" w:cs="Arial"/>
          <w:sz w:val="22"/>
          <w:szCs w:val="22"/>
        </w:rPr>
        <w:t xml:space="preserve">The </w:t>
      </w:r>
      <w:r w:rsidR="001522D3" w:rsidRPr="006237B7">
        <w:rPr>
          <w:rStyle w:val="None"/>
          <w:rFonts w:ascii="Arial" w:hAnsi="Arial" w:cs="Arial"/>
          <w:sz w:val="22"/>
          <w:szCs w:val="22"/>
        </w:rPr>
        <w:t>common core document</w:t>
      </w:r>
      <w:r w:rsidRPr="006237B7">
        <w:rPr>
          <w:rStyle w:val="None"/>
          <w:rFonts w:ascii="Arial" w:hAnsi="Arial" w:cs="Arial"/>
          <w:sz w:val="22"/>
          <w:szCs w:val="22"/>
        </w:rPr>
        <w:t xml:space="preserve"> which the State of Palestine submitted to the </w:t>
      </w:r>
      <w:r w:rsidRPr="006237B7">
        <w:rPr>
          <w:rFonts w:ascii="Arial" w:hAnsi="Arial" w:cs="Arial"/>
          <w:sz w:val="22"/>
          <w:szCs w:val="22"/>
        </w:rPr>
        <w:t>Committee on Economic, Social and Cultural Right</w:t>
      </w:r>
      <w:r w:rsidR="00740DFF" w:rsidRPr="006237B7">
        <w:rPr>
          <w:rFonts w:ascii="Arial" w:hAnsi="Arial" w:cs="Arial"/>
          <w:sz w:val="22"/>
          <w:szCs w:val="22"/>
        </w:rPr>
        <w:t xml:space="preserve">s </w:t>
      </w:r>
      <w:r w:rsidR="00567A7A" w:rsidRPr="006237B7">
        <w:rPr>
          <w:rFonts w:ascii="Arial" w:hAnsi="Arial" w:cs="Arial"/>
          <w:sz w:val="22"/>
          <w:szCs w:val="22"/>
        </w:rPr>
        <w:t>emphasized on the separation between water rights and land rights in the Palestinian law as a measure to ensure the right to water</w:t>
      </w:r>
      <w:r w:rsidR="009875E4" w:rsidRPr="006237B7">
        <w:rPr>
          <w:rStyle w:val="FootnoteReference"/>
          <w:rFonts w:ascii="Arial" w:hAnsi="Arial" w:cs="Arial"/>
          <w:sz w:val="22"/>
          <w:szCs w:val="22"/>
        </w:rPr>
        <w:footnoteReference w:id="37"/>
      </w:r>
      <w:r w:rsidR="00567A7A" w:rsidRPr="006237B7">
        <w:rPr>
          <w:rFonts w:ascii="Arial" w:hAnsi="Arial" w:cs="Arial"/>
          <w:sz w:val="22"/>
          <w:szCs w:val="22"/>
        </w:rPr>
        <w:t xml:space="preserve">. The water law No 4 (2014) considered all water resources a public property, which the </w:t>
      </w:r>
      <w:r w:rsidR="00567A7A" w:rsidRPr="006237B7">
        <w:rPr>
          <w:rFonts w:ascii="Arial" w:hAnsi="Arial" w:cs="Arial"/>
          <w:sz w:val="22"/>
          <w:szCs w:val="22"/>
        </w:rPr>
        <w:lastRenderedPageBreak/>
        <w:t xml:space="preserve">Palestinian Authority has the power to </w:t>
      </w:r>
      <w:r w:rsidR="009875E4" w:rsidRPr="006237B7">
        <w:rPr>
          <w:rFonts w:ascii="Arial" w:hAnsi="Arial" w:cs="Arial"/>
          <w:sz w:val="22"/>
          <w:szCs w:val="22"/>
        </w:rPr>
        <w:t>manage</w:t>
      </w:r>
      <w:r w:rsidR="00567A7A" w:rsidRPr="006237B7">
        <w:rPr>
          <w:rFonts w:ascii="Arial" w:hAnsi="Arial" w:cs="Arial"/>
          <w:sz w:val="22"/>
          <w:szCs w:val="22"/>
        </w:rPr>
        <w:t xml:space="preserve"> in a manner that ensures justice</w:t>
      </w:r>
      <w:r w:rsidR="009875E4" w:rsidRPr="006237B7">
        <w:rPr>
          <w:rFonts w:ascii="Arial" w:hAnsi="Arial" w:cs="Arial"/>
          <w:sz w:val="22"/>
          <w:szCs w:val="22"/>
        </w:rPr>
        <w:t xml:space="preserve"> and efficient distribution</w:t>
      </w:r>
      <w:r w:rsidR="004761CB" w:rsidRPr="006237B7">
        <w:rPr>
          <w:rFonts w:ascii="Arial" w:hAnsi="Arial" w:cs="Arial"/>
          <w:sz w:val="22"/>
          <w:szCs w:val="22"/>
        </w:rPr>
        <w:t xml:space="preserve">. This however remains an ink on paper given the fact that Israel has de facto annexed all Palestinian water in 1967, and given the restrictions that the occupation imposes on water development in the occupied Palestinian territory. </w:t>
      </w:r>
      <w:r w:rsidR="005E062D" w:rsidRPr="006237B7">
        <w:rPr>
          <w:rFonts w:ascii="Arial" w:hAnsi="Arial" w:cs="Arial"/>
          <w:sz w:val="22"/>
          <w:szCs w:val="22"/>
        </w:rPr>
        <w:t xml:space="preserve">For instance, </w:t>
      </w:r>
      <w:r w:rsidR="0046426A" w:rsidRPr="006237B7">
        <w:rPr>
          <w:rFonts w:ascii="Arial" w:hAnsi="Arial" w:cs="Arial"/>
          <w:sz w:val="22"/>
          <w:szCs w:val="22"/>
        </w:rPr>
        <w:t>“</w:t>
      </w:r>
      <w:r w:rsidR="005E062D" w:rsidRPr="006237B7">
        <w:rPr>
          <w:rFonts w:ascii="Arial" w:hAnsi="Arial" w:cs="Arial"/>
          <w:sz w:val="22"/>
          <w:szCs w:val="22"/>
        </w:rPr>
        <w:t>it is hard to regulate spring</w:t>
      </w:r>
      <w:r w:rsidR="00A94EB4" w:rsidRPr="006237B7">
        <w:rPr>
          <w:rFonts w:ascii="Arial" w:hAnsi="Arial" w:cs="Arial"/>
          <w:sz w:val="22"/>
          <w:szCs w:val="22"/>
        </w:rPr>
        <w:t>s</w:t>
      </w:r>
      <w:r w:rsidR="005E062D" w:rsidRPr="006237B7">
        <w:rPr>
          <w:rFonts w:ascii="Arial" w:hAnsi="Arial" w:cs="Arial"/>
          <w:sz w:val="22"/>
          <w:szCs w:val="22"/>
        </w:rPr>
        <w:t xml:space="preserve"> and wells in private </w:t>
      </w:r>
      <w:r w:rsidR="00A94EB4" w:rsidRPr="006237B7">
        <w:rPr>
          <w:rFonts w:ascii="Arial" w:hAnsi="Arial" w:cs="Arial"/>
          <w:sz w:val="22"/>
          <w:szCs w:val="22"/>
        </w:rPr>
        <w:t>land</w:t>
      </w:r>
      <w:r w:rsidR="005E062D" w:rsidRPr="006237B7">
        <w:rPr>
          <w:rFonts w:ascii="Arial" w:hAnsi="Arial" w:cs="Arial"/>
          <w:sz w:val="22"/>
          <w:szCs w:val="22"/>
        </w:rPr>
        <w:t xml:space="preserve"> in </w:t>
      </w:r>
      <w:r w:rsidR="0046426A" w:rsidRPr="006237B7">
        <w:rPr>
          <w:rFonts w:ascii="Arial" w:hAnsi="Arial" w:cs="Arial"/>
          <w:sz w:val="22"/>
          <w:szCs w:val="22"/>
        </w:rPr>
        <w:t>A</w:t>
      </w:r>
      <w:r w:rsidR="005E062D" w:rsidRPr="006237B7">
        <w:rPr>
          <w:rFonts w:ascii="Arial" w:hAnsi="Arial" w:cs="Arial"/>
          <w:sz w:val="22"/>
          <w:szCs w:val="22"/>
        </w:rPr>
        <w:t>rea C</w:t>
      </w:r>
      <w:r w:rsidR="00A36561" w:rsidRPr="006237B7">
        <w:rPr>
          <w:rFonts w:ascii="Arial" w:hAnsi="Arial" w:cs="Arial"/>
          <w:sz w:val="22"/>
          <w:szCs w:val="22"/>
        </w:rPr>
        <w:t>. M</w:t>
      </w:r>
      <w:r w:rsidR="00A36561" w:rsidRPr="006237B7">
        <w:rPr>
          <w:rFonts w:ascii="Arial" w:hAnsi="Arial" w:cs="Arial"/>
          <w:sz w:val="22"/>
          <w:szCs w:val="22"/>
        </w:rPr>
        <w:t xml:space="preserve">oreover, springs in </w:t>
      </w:r>
      <w:r w:rsidR="0046426A" w:rsidRPr="006237B7">
        <w:rPr>
          <w:rFonts w:ascii="Arial" w:hAnsi="Arial" w:cs="Arial"/>
          <w:sz w:val="22"/>
          <w:szCs w:val="22"/>
        </w:rPr>
        <w:t>A</w:t>
      </w:r>
      <w:r w:rsidR="00A36561" w:rsidRPr="006237B7">
        <w:rPr>
          <w:rFonts w:ascii="Arial" w:hAnsi="Arial" w:cs="Arial"/>
          <w:sz w:val="22"/>
          <w:szCs w:val="22"/>
        </w:rPr>
        <w:t>rea</w:t>
      </w:r>
      <w:r w:rsidR="00A36561" w:rsidRPr="006237B7">
        <w:rPr>
          <w:rFonts w:ascii="Arial" w:hAnsi="Arial" w:cs="Arial"/>
          <w:sz w:val="22"/>
          <w:szCs w:val="22"/>
        </w:rPr>
        <w:t xml:space="preserve"> A </w:t>
      </w:r>
      <w:r w:rsidR="00A36561" w:rsidRPr="006237B7">
        <w:rPr>
          <w:rFonts w:ascii="Arial" w:hAnsi="Arial" w:cs="Arial"/>
          <w:sz w:val="22"/>
          <w:szCs w:val="22"/>
        </w:rPr>
        <w:t xml:space="preserve">are </w:t>
      </w:r>
      <w:r w:rsidR="00A36561" w:rsidRPr="006237B7">
        <w:rPr>
          <w:rFonts w:ascii="Arial" w:hAnsi="Arial" w:cs="Arial"/>
          <w:sz w:val="22"/>
          <w:szCs w:val="22"/>
        </w:rPr>
        <w:t>subject to historical right and share</w:t>
      </w:r>
      <w:r w:rsidR="0046426A" w:rsidRPr="006237B7">
        <w:rPr>
          <w:rFonts w:ascii="Arial" w:hAnsi="Arial" w:cs="Arial"/>
          <w:sz w:val="22"/>
          <w:szCs w:val="22"/>
        </w:rPr>
        <w:t>s</w:t>
      </w:r>
      <w:r w:rsidR="00A36561" w:rsidRPr="006237B7">
        <w:rPr>
          <w:rFonts w:ascii="Arial" w:hAnsi="Arial" w:cs="Arial"/>
          <w:sz w:val="22"/>
          <w:szCs w:val="22"/>
        </w:rPr>
        <w:t xml:space="preserve"> of owners</w:t>
      </w:r>
      <w:r w:rsidR="0046426A" w:rsidRPr="006237B7">
        <w:rPr>
          <w:rFonts w:ascii="Arial" w:hAnsi="Arial" w:cs="Arial"/>
          <w:sz w:val="22"/>
          <w:szCs w:val="22"/>
        </w:rPr>
        <w:t>”</w:t>
      </w:r>
      <w:r w:rsidR="00A36561" w:rsidRPr="006237B7">
        <w:rPr>
          <w:rFonts w:ascii="Arial" w:hAnsi="Arial" w:cs="Arial"/>
          <w:sz w:val="22"/>
          <w:szCs w:val="22"/>
        </w:rPr>
        <w:t xml:space="preserve">, </w:t>
      </w:r>
      <w:r w:rsidR="005E062D" w:rsidRPr="006237B7">
        <w:rPr>
          <w:rFonts w:ascii="Arial" w:hAnsi="Arial" w:cs="Arial"/>
          <w:sz w:val="22"/>
          <w:szCs w:val="22"/>
        </w:rPr>
        <w:t xml:space="preserve">said </w:t>
      </w:r>
      <w:r w:rsidR="004761CB" w:rsidRPr="006237B7">
        <w:rPr>
          <w:rFonts w:ascii="Arial" w:hAnsi="Arial" w:cs="Arial"/>
          <w:sz w:val="22"/>
          <w:szCs w:val="22"/>
        </w:rPr>
        <w:t>Shaddad Attili, the Head of the Palestinian Water Authority</w:t>
      </w:r>
      <w:r w:rsidR="004761CB" w:rsidRPr="006237B7">
        <w:rPr>
          <w:rFonts w:ascii="Arial" w:hAnsi="Arial" w:cs="Arial"/>
          <w:sz w:val="22"/>
          <w:szCs w:val="22"/>
          <w:rtl/>
        </w:rPr>
        <w:t xml:space="preserve"> </w:t>
      </w:r>
      <w:r w:rsidR="004761CB" w:rsidRPr="006237B7">
        <w:rPr>
          <w:rFonts w:ascii="Arial" w:hAnsi="Arial" w:cs="Arial"/>
          <w:sz w:val="22"/>
          <w:szCs w:val="22"/>
        </w:rPr>
        <w:t>(2008 - 2014)</w:t>
      </w:r>
      <w:r w:rsidR="00C82A61" w:rsidRPr="006237B7">
        <w:rPr>
          <w:rStyle w:val="FootnoteReference"/>
          <w:rFonts w:ascii="Arial" w:hAnsi="Arial" w:cs="Arial"/>
          <w:sz w:val="22"/>
          <w:szCs w:val="22"/>
        </w:rPr>
        <w:footnoteReference w:id="38"/>
      </w:r>
      <w:r w:rsidR="005E062D" w:rsidRPr="006237B7">
        <w:rPr>
          <w:rFonts w:ascii="Arial" w:hAnsi="Arial" w:cs="Arial"/>
          <w:sz w:val="22"/>
          <w:szCs w:val="22"/>
        </w:rPr>
        <w:t xml:space="preserve">. </w:t>
      </w:r>
      <w:r w:rsidR="005228AD" w:rsidRPr="006237B7">
        <w:rPr>
          <w:rFonts w:ascii="Arial" w:hAnsi="Arial" w:cs="Arial"/>
          <w:sz w:val="22"/>
          <w:szCs w:val="22"/>
        </w:rPr>
        <w:t xml:space="preserve">Mohammad al-Hmaidi, CEO of the Water Sector Regulatory Council said that </w:t>
      </w:r>
      <w:r w:rsidR="0046426A" w:rsidRPr="006237B7">
        <w:rPr>
          <w:rFonts w:ascii="Arial" w:hAnsi="Arial" w:cs="Arial"/>
          <w:sz w:val="22"/>
          <w:szCs w:val="22"/>
        </w:rPr>
        <w:t>“</w:t>
      </w:r>
      <w:r w:rsidR="005228AD" w:rsidRPr="006237B7">
        <w:rPr>
          <w:rFonts w:ascii="Arial" w:hAnsi="Arial" w:cs="Arial"/>
          <w:sz w:val="22"/>
          <w:szCs w:val="22"/>
        </w:rPr>
        <w:t>the Palestinian Authority have to deal with the fact that p</w:t>
      </w:r>
      <w:r w:rsidR="005E062D" w:rsidRPr="006237B7">
        <w:rPr>
          <w:rFonts w:ascii="Arial" w:hAnsi="Arial" w:cs="Arial"/>
          <w:sz w:val="22"/>
          <w:szCs w:val="22"/>
        </w:rPr>
        <w:t xml:space="preserve">rivate owners </w:t>
      </w:r>
      <w:r w:rsidR="005228AD" w:rsidRPr="006237B7">
        <w:rPr>
          <w:rFonts w:ascii="Arial" w:hAnsi="Arial" w:cs="Arial"/>
          <w:sz w:val="22"/>
          <w:szCs w:val="22"/>
        </w:rPr>
        <w:t xml:space="preserve">would not </w:t>
      </w:r>
      <w:r w:rsidR="00AF5D49" w:rsidRPr="006237B7">
        <w:rPr>
          <w:rFonts w:ascii="Arial" w:hAnsi="Arial" w:cs="Arial"/>
          <w:sz w:val="22"/>
          <w:szCs w:val="22"/>
        </w:rPr>
        <w:t xml:space="preserve">easily </w:t>
      </w:r>
      <w:r w:rsidR="005228AD" w:rsidRPr="006237B7">
        <w:rPr>
          <w:rFonts w:ascii="Arial" w:hAnsi="Arial" w:cs="Arial"/>
          <w:sz w:val="22"/>
          <w:szCs w:val="22"/>
        </w:rPr>
        <w:t>give up their</w:t>
      </w:r>
      <w:r w:rsidR="005E062D" w:rsidRPr="006237B7">
        <w:rPr>
          <w:rFonts w:ascii="Arial" w:hAnsi="Arial" w:cs="Arial"/>
          <w:sz w:val="22"/>
          <w:szCs w:val="22"/>
        </w:rPr>
        <w:t xml:space="preserve"> historical water rights</w:t>
      </w:r>
      <w:r w:rsidR="0046426A" w:rsidRPr="006237B7">
        <w:rPr>
          <w:rFonts w:ascii="Arial" w:hAnsi="Arial" w:cs="Arial"/>
          <w:sz w:val="22"/>
          <w:szCs w:val="22"/>
        </w:rPr>
        <w:t>”</w:t>
      </w:r>
      <w:r w:rsidR="00C82A61" w:rsidRPr="006237B7">
        <w:rPr>
          <w:rStyle w:val="FootnoteReference"/>
          <w:rFonts w:ascii="Arial" w:hAnsi="Arial" w:cs="Arial"/>
          <w:sz w:val="22"/>
          <w:szCs w:val="22"/>
        </w:rPr>
        <w:footnoteReference w:id="39"/>
      </w:r>
      <w:r w:rsidR="005228AD" w:rsidRPr="006237B7">
        <w:rPr>
          <w:rFonts w:ascii="Arial" w:hAnsi="Arial" w:cs="Arial"/>
          <w:sz w:val="22"/>
          <w:szCs w:val="22"/>
        </w:rPr>
        <w:t xml:space="preserve">. The Gaza Strip’s regional water utility noticed that regulation of </w:t>
      </w:r>
      <w:r w:rsidR="0070584A" w:rsidRPr="006237B7">
        <w:rPr>
          <w:rFonts w:ascii="Arial" w:hAnsi="Arial" w:cs="Arial"/>
          <w:sz w:val="22"/>
          <w:szCs w:val="22"/>
        </w:rPr>
        <w:t xml:space="preserve">illegal </w:t>
      </w:r>
      <w:r w:rsidR="005228AD" w:rsidRPr="006237B7">
        <w:rPr>
          <w:rFonts w:ascii="Arial" w:hAnsi="Arial" w:cs="Arial"/>
          <w:sz w:val="22"/>
          <w:szCs w:val="22"/>
        </w:rPr>
        <w:t xml:space="preserve">wells in private property becomes </w:t>
      </w:r>
      <w:r w:rsidR="00A94EB4" w:rsidRPr="006237B7">
        <w:rPr>
          <w:rFonts w:ascii="Arial" w:hAnsi="Arial" w:cs="Arial"/>
          <w:sz w:val="22"/>
          <w:szCs w:val="22"/>
        </w:rPr>
        <w:t>easier</w:t>
      </w:r>
      <w:r w:rsidR="005228AD" w:rsidRPr="006237B7">
        <w:rPr>
          <w:rFonts w:ascii="Arial" w:hAnsi="Arial" w:cs="Arial"/>
          <w:sz w:val="22"/>
          <w:szCs w:val="22"/>
        </w:rPr>
        <w:t xml:space="preserve"> when </w:t>
      </w:r>
      <w:r w:rsidR="005A1AF9" w:rsidRPr="006237B7">
        <w:rPr>
          <w:rFonts w:ascii="Arial" w:hAnsi="Arial" w:cs="Arial"/>
          <w:sz w:val="22"/>
          <w:szCs w:val="22"/>
        </w:rPr>
        <w:t xml:space="preserve">the service provider is </w:t>
      </w:r>
      <w:r w:rsidR="005228AD" w:rsidRPr="006237B7">
        <w:rPr>
          <w:rFonts w:ascii="Arial" w:hAnsi="Arial" w:cs="Arial"/>
          <w:sz w:val="22"/>
          <w:szCs w:val="22"/>
        </w:rPr>
        <w:t>able to provide sufficient</w:t>
      </w:r>
      <w:r w:rsidR="00A94EB4" w:rsidRPr="006237B7">
        <w:rPr>
          <w:rFonts w:ascii="Arial" w:hAnsi="Arial" w:cs="Arial"/>
          <w:sz w:val="22"/>
          <w:szCs w:val="22"/>
        </w:rPr>
        <w:t xml:space="preserve">, safe and </w:t>
      </w:r>
      <w:r w:rsidR="005228AD" w:rsidRPr="006237B7">
        <w:rPr>
          <w:rFonts w:ascii="Arial" w:hAnsi="Arial" w:cs="Arial"/>
          <w:sz w:val="22"/>
          <w:szCs w:val="22"/>
        </w:rPr>
        <w:t xml:space="preserve">reliable </w:t>
      </w:r>
      <w:r w:rsidR="00A94EB4" w:rsidRPr="006237B7">
        <w:rPr>
          <w:rFonts w:ascii="Arial" w:hAnsi="Arial" w:cs="Arial"/>
          <w:sz w:val="22"/>
          <w:szCs w:val="22"/>
        </w:rPr>
        <w:t xml:space="preserve">supply service. </w:t>
      </w:r>
      <w:r w:rsidR="005A1AF9" w:rsidRPr="006237B7">
        <w:rPr>
          <w:rFonts w:ascii="Arial" w:hAnsi="Arial" w:cs="Arial"/>
          <w:sz w:val="22"/>
          <w:szCs w:val="22"/>
        </w:rPr>
        <w:t xml:space="preserve">According to Monther Shoblaq, the Director of the utility, </w:t>
      </w:r>
      <w:r w:rsidR="0046426A" w:rsidRPr="006237B7">
        <w:rPr>
          <w:rFonts w:ascii="Arial" w:hAnsi="Arial" w:cs="Arial"/>
          <w:sz w:val="22"/>
          <w:szCs w:val="22"/>
        </w:rPr>
        <w:t>“</w:t>
      </w:r>
      <w:r w:rsidR="005A1AF9" w:rsidRPr="006237B7">
        <w:rPr>
          <w:rFonts w:ascii="Arial" w:hAnsi="Arial" w:cs="Arial"/>
          <w:sz w:val="22"/>
          <w:szCs w:val="22"/>
        </w:rPr>
        <w:t xml:space="preserve">citizens use their private wells or drill new ones </w:t>
      </w:r>
      <w:r w:rsidR="0070584A" w:rsidRPr="006237B7">
        <w:rPr>
          <w:rFonts w:ascii="Arial" w:hAnsi="Arial" w:cs="Arial"/>
          <w:sz w:val="22"/>
          <w:szCs w:val="22"/>
        </w:rPr>
        <w:t xml:space="preserve">-without following the Palestinian Authority’s regulations- </w:t>
      </w:r>
      <w:r w:rsidR="005A1AF9" w:rsidRPr="006237B7">
        <w:rPr>
          <w:rFonts w:ascii="Arial" w:hAnsi="Arial" w:cs="Arial"/>
          <w:sz w:val="22"/>
          <w:szCs w:val="22"/>
        </w:rPr>
        <w:t xml:space="preserve">when the service is interrupted. However, when the service </w:t>
      </w:r>
      <w:r w:rsidR="007E057B" w:rsidRPr="006237B7">
        <w:rPr>
          <w:rFonts w:ascii="Arial" w:hAnsi="Arial" w:cs="Arial"/>
          <w:sz w:val="22"/>
          <w:szCs w:val="22"/>
        </w:rPr>
        <w:t>improves,</w:t>
      </w:r>
      <w:r w:rsidR="005A1AF9" w:rsidRPr="006237B7">
        <w:rPr>
          <w:rFonts w:ascii="Arial" w:hAnsi="Arial" w:cs="Arial"/>
          <w:sz w:val="22"/>
          <w:szCs w:val="22"/>
        </w:rPr>
        <w:t xml:space="preserve"> they tend to self-regulate as they abandon their private wells and the rate of drilling of new wells declines significantly</w:t>
      </w:r>
      <w:r w:rsidR="0046426A" w:rsidRPr="006237B7">
        <w:rPr>
          <w:rFonts w:ascii="Arial" w:hAnsi="Arial" w:cs="Arial"/>
          <w:sz w:val="22"/>
          <w:szCs w:val="22"/>
        </w:rPr>
        <w:t>”</w:t>
      </w:r>
      <w:r w:rsidR="00C82A61" w:rsidRPr="006237B7">
        <w:rPr>
          <w:rStyle w:val="FootnoteReference"/>
          <w:rFonts w:ascii="Arial" w:hAnsi="Arial" w:cs="Arial"/>
          <w:sz w:val="22"/>
          <w:szCs w:val="22"/>
        </w:rPr>
        <w:footnoteReference w:id="40"/>
      </w:r>
      <w:r w:rsidR="005A1AF9" w:rsidRPr="006237B7">
        <w:rPr>
          <w:rFonts w:ascii="Arial" w:hAnsi="Arial" w:cs="Arial"/>
          <w:sz w:val="22"/>
          <w:szCs w:val="22"/>
        </w:rPr>
        <w:t xml:space="preserve">. </w:t>
      </w:r>
    </w:p>
    <w:p w14:paraId="5FD7F995" w14:textId="686B933F" w:rsidR="0053589A" w:rsidRPr="006237B7" w:rsidRDefault="007E057B" w:rsidP="00DE1276">
      <w:pPr>
        <w:pStyle w:val="NormalWeb"/>
        <w:numPr>
          <w:ilvl w:val="0"/>
          <w:numId w:val="2"/>
        </w:numPr>
        <w:shd w:val="clear" w:color="auto" w:fill="FFFFFF"/>
        <w:spacing w:beforeAutospacing="0" w:afterAutospacing="0"/>
        <w:rPr>
          <w:rStyle w:val="None"/>
          <w:rFonts w:ascii="Arial" w:hAnsi="Arial" w:cs="Arial"/>
          <w:sz w:val="22"/>
          <w:szCs w:val="22"/>
        </w:rPr>
      </w:pPr>
      <w:r w:rsidRPr="006237B7">
        <w:rPr>
          <w:rFonts w:ascii="Arial" w:hAnsi="Arial" w:cs="Arial"/>
          <w:sz w:val="22"/>
          <w:szCs w:val="22"/>
        </w:rPr>
        <w:t xml:space="preserve">The core document </w:t>
      </w:r>
      <w:r w:rsidR="0046426A" w:rsidRPr="006237B7">
        <w:rPr>
          <w:rStyle w:val="None"/>
          <w:rFonts w:ascii="Arial" w:hAnsi="Arial" w:cs="Arial"/>
          <w:sz w:val="22"/>
          <w:szCs w:val="22"/>
        </w:rPr>
        <w:t xml:space="preserve">submitted to the </w:t>
      </w:r>
      <w:r w:rsidR="0046426A" w:rsidRPr="006237B7">
        <w:rPr>
          <w:rFonts w:ascii="Arial" w:hAnsi="Arial" w:cs="Arial"/>
          <w:sz w:val="22"/>
          <w:szCs w:val="22"/>
        </w:rPr>
        <w:t>Committee on Economic, Social and Cultural Rights</w:t>
      </w:r>
      <w:r w:rsidR="0046426A" w:rsidRPr="006237B7">
        <w:rPr>
          <w:rFonts w:ascii="Arial" w:hAnsi="Arial" w:cs="Arial"/>
          <w:sz w:val="22"/>
          <w:szCs w:val="22"/>
        </w:rPr>
        <w:t xml:space="preserve"> </w:t>
      </w:r>
      <w:r w:rsidR="0053589A" w:rsidRPr="006237B7">
        <w:rPr>
          <w:rFonts w:ascii="Arial" w:hAnsi="Arial" w:cs="Arial"/>
          <w:sz w:val="22"/>
          <w:szCs w:val="22"/>
        </w:rPr>
        <w:t xml:space="preserve">refers to article 5 of </w:t>
      </w:r>
      <w:r w:rsidR="001522D3" w:rsidRPr="006237B7">
        <w:rPr>
          <w:rFonts w:ascii="Arial" w:hAnsi="Arial" w:cs="Arial"/>
          <w:sz w:val="22"/>
          <w:szCs w:val="22"/>
        </w:rPr>
        <w:t xml:space="preserve">the water law No 4 (2014) as a measure for ensuring the right of access to sufficient water. </w:t>
      </w:r>
      <w:r w:rsidR="007E45DD" w:rsidRPr="006237B7">
        <w:rPr>
          <w:rFonts w:ascii="Arial" w:hAnsi="Arial" w:cs="Arial"/>
          <w:sz w:val="22"/>
          <w:szCs w:val="22"/>
        </w:rPr>
        <w:t>This exact same article is problematic</w:t>
      </w:r>
      <w:r w:rsidR="00FE39F8" w:rsidRPr="006237B7">
        <w:rPr>
          <w:rFonts w:ascii="Arial" w:hAnsi="Arial" w:cs="Arial"/>
          <w:sz w:val="22"/>
          <w:szCs w:val="22"/>
        </w:rPr>
        <w:t>; it</w:t>
      </w:r>
      <w:r w:rsidR="007E45DD" w:rsidRPr="006237B7">
        <w:rPr>
          <w:rFonts w:ascii="Arial" w:hAnsi="Arial" w:cs="Arial"/>
          <w:sz w:val="22"/>
          <w:szCs w:val="22"/>
        </w:rPr>
        <w:t xml:space="preserve"> </w:t>
      </w:r>
      <w:r w:rsidR="00FE39F8" w:rsidRPr="006237B7">
        <w:rPr>
          <w:rFonts w:ascii="Arial" w:hAnsi="Arial" w:cs="Arial"/>
          <w:sz w:val="22"/>
          <w:szCs w:val="22"/>
        </w:rPr>
        <w:t>states that “every person has the right to obtain his needs of suitable quality drinking water for utilization at specific prices set in accordance with the Tariff Regulation”. By connecting water access to payment, it made a shift from the</w:t>
      </w:r>
      <w:r w:rsidR="00FE39F8" w:rsidRPr="006237B7">
        <w:rPr>
          <w:rStyle w:val="None"/>
          <w:rFonts w:ascii="Arial" w:hAnsi="Arial" w:cs="Arial"/>
          <w:sz w:val="22"/>
          <w:szCs w:val="22"/>
        </w:rPr>
        <w:t xml:space="preserve"> </w:t>
      </w:r>
      <w:r w:rsidR="00740DFF" w:rsidRPr="006237B7">
        <w:rPr>
          <w:rStyle w:val="None"/>
          <w:rFonts w:ascii="Arial" w:hAnsi="Arial" w:cs="Arial"/>
          <w:sz w:val="22"/>
          <w:szCs w:val="22"/>
        </w:rPr>
        <w:t>water law No 3 (2002) and the water law No 2 (1996)</w:t>
      </w:r>
      <w:r w:rsidR="00FE39F8" w:rsidRPr="006237B7">
        <w:rPr>
          <w:rStyle w:val="None"/>
          <w:rFonts w:ascii="Arial" w:hAnsi="Arial" w:cs="Arial"/>
          <w:sz w:val="22"/>
          <w:szCs w:val="22"/>
        </w:rPr>
        <w:t xml:space="preserve"> which did not make this link. </w:t>
      </w:r>
      <w:r w:rsidR="0046426A" w:rsidRPr="006237B7">
        <w:rPr>
          <w:rStyle w:val="None"/>
          <w:rFonts w:ascii="Arial" w:hAnsi="Arial" w:cs="Arial"/>
          <w:sz w:val="22"/>
          <w:szCs w:val="22"/>
        </w:rPr>
        <w:t>“</w:t>
      </w:r>
      <w:r w:rsidR="00740DFF" w:rsidRPr="006237B7">
        <w:rPr>
          <w:rStyle w:val="None"/>
          <w:rFonts w:ascii="Arial" w:hAnsi="Arial" w:cs="Arial"/>
          <w:sz w:val="22"/>
          <w:szCs w:val="22"/>
        </w:rPr>
        <w:t>The Palestinian Authority should separate the human right to water from the collection of water utility fees. Every person has the right to water regardless of their ability or even their willingness to pay</w:t>
      </w:r>
      <w:r w:rsidR="0046426A" w:rsidRPr="006237B7">
        <w:rPr>
          <w:rStyle w:val="None"/>
          <w:rFonts w:ascii="Arial" w:hAnsi="Arial" w:cs="Arial"/>
          <w:sz w:val="22"/>
          <w:szCs w:val="22"/>
        </w:rPr>
        <w:t>”</w:t>
      </w:r>
      <w:r w:rsidR="00740DFF" w:rsidRPr="006237B7">
        <w:rPr>
          <w:rStyle w:val="None"/>
          <w:rFonts w:ascii="Arial" w:hAnsi="Arial" w:cs="Arial"/>
          <w:sz w:val="22"/>
          <w:szCs w:val="22"/>
        </w:rPr>
        <w:t xml:space="preserve">, said Abdelrahman Tamimi, the Director of the Palestinian Hydrology Group. </w:t>
      </w:r>
    </w:p>
    <w:p w14:paraId="5AA36A36" w14:textId="07475643" w:rsidR="00C82A61" w:rsidRPr="006237B7" w:rsidRDefault="00C82A61" w:rsidP="00DE1276">
      <w:pPr>
        <w:pStyle w:val="NormalWeb"/>
        <w:numPr>
          <w:ilvl w:val="0"/>
          <w:numId w:val="2"/>
        </w:numPr>
        <w:shd w:val="clear" w:color="auto" w:fill="FFFFFF"/>
        <w:spacing w:beforeAutospacing="0" w:afterAutospacing="0"/>
        <w:rPr>
          <w:rFonts w:ascii="Arial" w:hAnsi="Arial" w:cs="Arial"/>
          <w:sz w:val="22"/>
          <w:szCs w:val="22"/>
        </w:rPr>
      </w:pPr>
      <w:r w:rsidRPr="006237B7">
        <w:rPr>
          <w:rStyle w:val="None"/>
          <w:rFonts w:ascii="Arial" w:hAnsi="Arial" w:cs="Arial"/>
          <w:sz w:val="22"/>
          <w:szCs w:val="22"/>
        </w:rPr>
        <w:t xml:space="preserve">The </w:t>
      </w:r>
      <w:r w:rsidRPr="006237B7">
        <w:rPr>
          <w:rFonts w:ascii="Arial" w:hAnsi="Arial" w:cs="Arial"/>
          <w:sz w:val="22"/>
          <w:szCs w:val="22"/>
        </w:rPr>
        <w:t xml:space="preserve">Tariff Regulation issued by the Cabinet </w:t>
      </w:r>
      <w:r w:rsidRPr="006237B7">
        <w:rPr>
          <w:rFonts w:ascii="Arial" w:hAnsi="Arial" w:cs="Arial"/>
          <w:sz w:val="22"/>
          <w:szCs w:val="22"/>
        </w:rPr>
        <w:t>in February 2021 aims to achieve a full cost recovery</w:t>
      </w:r>
      <w:r w:rsidR="00CC6F40" w:rsidRPr="006237B7">
        <w:rPr>
          <w:rFonts w:ascii="Arial" w:hAnsi="Arial" w:cs="Arial"/>
          <w:sz w:val="22"/>
          <w:szCs w:val="22"/>
        </w:rPr>
        <w:t>, except for infrastructure or aspects of the service funded by foreign aid</w:t>
      </w:r>
      <w:r w:rsidR="00A36561" w:rsidRPr="006237B7">
        <w:rPr>
          <w:rStyle w:val="FootnoteReference"/>
          <w:rFonts w:ascii="Arial" w:hAnsi="Arial" w:cs="Arial"/>
          <w:sz w:val="22"/>
          <w:szCs w:val="22"/>
        </w:rPr>
        <w:footnoteReference w:id="41"/>
      </w:r>
      <w:r w:rsidR="00CC6F40" w:rsidRPr="006237B7">
        <w:rPr>
          <w:rFonts w:ascii="Arial" w:hAnsi="Arial" w:cs="Arial"/>
          <w:sz w:val="22"/>
          <w:szCs w:val="22"/>
        </w:rPr>
        <w:t>.</w:t>
      </w:r>
      <w:r w:rsidR="00AF5D49" w:rsidRPr="006237B7">
        <w:rPr>
          <w:rFonts w:ascii="Arial" w:hAnsi="Arial" w:cs="Arial"/>
          <w:sz w:val="22"/>
          <w:szCs w:val="22"/>
        </w:rPr>
        <w:t xml:space="preserve"> Apparently, the full cost recovery will oblige the citizens to pay for cost incurred as a result of mismanagement. The Water Sector Regulatory Council issues regular reports on the performance of the water and sanitation service providers</w:t>
      </w:r>
      <w:r w:rsidR="00B736D0" w:rsidRPr="006237B7">
        <w:rPr>
          <w:rStyle w:val="FootnoteReference"/>
          <w:rFonts w:ascii="Arial" w:hAnsi="Arial" w:cs="Arial"/>
          <w:sz w:val="22"/>
          <w:szCs w:val="22"/>
        </w:rPr>
        <w:footnoteReference w:id="42"/>
      </w:r>
      <w:r w:rsidR="00AF5D49" w:rsidRPr="006237B7">
        <w:rPr>
          <w:rFonts w:ascii="Arial" w:hAnsi="Arial" w:cs="Arial"/>
          <w:sz w:val="22"/>
          <w:szCs w:val="22"/>
        </w:rPr>
        <w:t xml:space="preserve">. While it is possible </w:t>
      </w:r>
      <w:r w:rsidR="00A36561" w:rsidRPr="006237B7">
        <w:rPr>
          <w:rFonts w:ascii="Arial" w:hAnsi="Arial" w:cs="Arial"/>
          <w:sz w:val="22"/>
          <w:szCs w:val="22"/>
        </w:rPr>
        <w:t xml:space="preserve">to identify </w:t>
      </w:r>
      <w:r w:rsidR="00AF5D49" w:rsidRPr="006237B7">
        <w:rPr>
          <w:rFonts w:ascii="Arial" w:hAnsi="Arial" w:cs="Arial"/>
          <w:sz w:val="22"/>
          <w:szCs w:val="22"/>
        </w:rPr>
        <w:t xml:space="preserve">by common sense </w:t>
      </w:r>
      <w:r w:rsidR="00A36561" w:rsidRPr="006237B7">
        <w:rPr>
          <w:rFonts w:ascii="Arial" w:hAnsi="Arial" w:cs="Arial"/>
          <w:sz w:val="22"/>
          <w:szCs w:val="22"/>
        </w:rPr>
        <w:t>service providers which the</w:t>
      </w:r>
      <w:r w:rsidR="00AF5D49" w:rsidRPr="006237B7">
        <w:rPr>
          <w:rFonts w:ascii="Arial" w:hAnsi="Arial" w:cs="Arial"/>
          <w:sz w:val="22"/>
          <w:szCs w:val="22"/>
        </w:rPr>
        <w:t xml:space="preserve"> results of </w:t>
      </w:r>
      <w:r w:rsidR="00A36561" w:rsidRPr="006237B7">
        <w:rPr>
          <w:rFonts w:ascii="Arial" w:hAnsi="Arial" w:cs="Arial"/>
          <w:sz w:val="22"/>
          <w:szCs w:val="22"/>
        </w:rPr>
        <w:t>their</w:t>
      </w:r>
      <w:r w:rsidR="00AF5D49" w:rsidRPr="006237B7">
        <w:rPr>
          <w:rFonts w:ascii="Arial" w:hAnsi="Arial" w:cs="Arial"/>
          <w:sz w:val="22"/>
          <w:szCs w:val="22"/>
        </w:rPr>
        <w:t xml:space="preserve"> indicators suggest mismanagement, it is not possible to </w:t>
      </w:r>
      <w:r w:rsidR="00A36561" w:rsidRPr="006237B7">
        <w:rPr>
          <w:rFonts w:ascii="Arial" w:hAnsi="Arial" w:cs="Arial"/>
          <w:sz w:val="22"/>
          <w:szCs w:val="22"/>
        </w:rPr>
        <w:t>proof</w:t>
      </w:r>
      <w:r w:rsidR="00AF5D49" w:rsidRPr="006237B7">
        <w:rPr>
          <w:rFonts w:ascii="Arial" w:hAnsi="Arial" w:cs="Arial"/>
          <w:sz w:val="22"/>
          <w:szCs w:val="22"/>
        </w:rPr>
        <w:t xml:space="preserve"> mismanagement with absence of </w:t>
      </w:r>
      <w:r w:rsidR="00A36561" w:rsidRPr="006237B7">
        <w:rPr>
          <w:rFonts w:ascii="Arial" w:hAnsi="Arial" w:cs="Arial"/>
          <w:sz w:val="22"/>
          <w:szCs w:val="22"/>
        </w:rPr>
        <w:t>a standard</w:t>
      </w:r>
      <w:r w:rsidR="00AF5D49" w:rsidRPr="006237B7">
        <w:rPr>
          <w:rFonts w:ascii="Arial" w:hAnsi="Arial" w:cs="Arial"/>
          <w:sz w:val="22"/>
          <w:szCs w:val="22"/>
        </w:rPr>
        <w:t xml:space="preserve">. </w:t>
      </w:r>
    </w:p>
    <w:p w14:paraId="3EB96EAC" w14:textId="77777777" w:rsidR="00685A2D" w:rsidRPr="006237B7" w:rsidRDefault="004E280F" w:rsidP="00685A2D">
      <w:pPr>
        <w:pStyle w:val="NormalWeb"/>
        <w:numPr>
          <w:ilvl w:val="0"/>
          <w:numId w:val="2"/>
        </w:numPr>
        <w:shd w:val="clear" w:color="auto" w:fill="FFFFFF"/>
        <w:spacing w:beforeAutospacing="0" w:afterAutospacing="0"/>
        <w:rPr>
          <w:rStyle w:val="None"/>
          <w:rFonts w:ascii="Arial" w:hAnsi="Arial" w:cs="Arial"/>
          <w:sz w:val="22"/>
          <w:szCs w:val="22"/>
        </w:rPr>
      </w:pPr>
      <w:r w:rsidRPr="006237B7">
        <w:rPr>
          <w:rFonts w:ascii="Arial" w:hAnsi="Arial" w:cs="Arial"/>
          <w:sz w:val="22"/>
          <w:szCs w:val="22"/>
        </w:rPr>
        <w:t>Besides passing a tariff system for achieving full cost recovery, the Palestinian Authority have been promoting “enforcement measures” for collection of water and other utilities services’ fee. These</w:t>
      </w:r>
      <w:r w:rsidRPr="006237B7">
        <w:rPr>
          <w:rStyle w:val="None"/>
          <w:rFonts w:ascii="Arial" w:eastAsia="Calibri" w:hAnsi="Arial" w:cs="Arial"/>
          <w:color w:val="000000"/>
          <w:sz w:val="22"/>
          <w:szCs w:val="22"/>
          <w:u w:color="000000"/>
          <w:bdr w:val="nil"/>
        </w:rPr>
        <w:t xml:space="preserve"> measures include</w:t>
      </w:r>
      <w:r w:rsidRPr="006237B7">
        <w:rPr>
          <w:rStyle w:val="None"/>
          <w:rFonts w:ascii="Arial" w:hAnsi="Arial" w:cs="Arial"/>
          <w:sz w:val="22"/>
          <w:szCs w:val="22"/>
        </w:rPr>
        <w:t xml:space="preserve"> requiring citizens to present a “certificate of payment” of utility bills in order to receive public services such as water, electricity and permits for construction. </w:t>
      </w:r>
      <w:r w:rsidR="00C43769" w:rsidRPr="006237B7">
        <w:rPr>
          <w:rStyle w:val="None"/>
          <w:rFonts w:ascii="Arial" w:hAnsi="Arial" w:cs="Arial"/>
          <w:sz w:val="22"/>
          <w:szCs w:val="22"/>
        </w:rPr>
        <w:t>They also included installation of prepaid water meters. Today nearly 19%</w:t>
      </w:r>
      <w:r w:rsidR="00C43769" w:rsidRPr="006237B7">
        <w:rPr>
          <w:rStyle w:val="FootnoteReference"/>
          <w:rFonts w:ascii="Arial" w:hAnsi="Arial" w:cs="Arial"/>
          <w:sz w:val="22"/>
          <w:szCs w:val="22"/>
        </w:rPr>
        <w:footnoteReference w:id="43"/>
      </w:r>
      <w:r w:rsidR="00C43769" w:rsidRPr="006237B7">
        <w:rPr>
          <w:rStyle w:val="None"/>
          <w:rFonts w:ascii="Arial" w:hAnsi="Arial" w:cs="Arial"/>
          <w:sz w:val="22"/>
          <w:szCs w:val="22"/>
        </w:rPr>
        <w:t xml:space="preserve"> of the households in the West Bank have prepaid water meters, and the number is still increasing. Moreover, some of the service providers who provide both water and electricity services and have not installed prepaid meters</w:t>
      </w:r>
      <w:r w:rsidR="001B58E5" w:rsidRPr="006237B7">
        <w:rPr>
          <w:rStyle w:val="None"/>
          <w:rFonts w:ascii="Arial" w:hAnsi="Arial" w:cs="Arial"/>
          <w:sz w:val="22"/>
          <w:szCs w:val="22"/>
        </w:rPr>
        <w:t>, deduct the water service fee from the prepaid electricity bill.</w:t>
      </w:r>
    </w:p>
    <w:p w14:paraId="7554F12A" w14:textId="08ADA4F6" w:rsidR="008B5B30" w:rsidRPr="006237B7" w:rsidRDefault="00685A2D" w:rsidP="008B5B30">
      <w:pPr>
        <w:pStyle w:val="NormalWeb"/>
        <w:numPr>
          <w:ilvl w:val="0"/>
          <w:numId w:val="2"/>
        </w:numPr>
        <w:shd w:val="clear" w:color="auto" w:fill="FFFFFF"/>
        <w:spacing w:beforeAutospacing="0" w:afterAutospacing="0"/>
        <w:rPr>
          <w:rFonts w:ascii="Arial" w:hAnsi="Arial" w:cs="Arial"/>
          <w:sz w:val="22"/>
          <w:szCs w:val="22"/>
        </w:rPr>
      </w:pPr>
      <w:r w:rsidRPr="006237B7">
        <w:rPr>
          <w:rFonts w:ascii="Arial" w:hAnsi="Arial" w:cs="Arial"/>
          <w:sz w:val="22"/>
          <w:szCs w:val="22"/>
        </w:rPr>
        <w:lastRenderedPageBreak/>
        <w:t>The Palestinian Authority have taken no measures to prohibit water disconnection</w:t>
      </w:r>
      <w:r w:rsidR="00DC71AB" w:rsidRPr="006237B7">
        <w:rPr>
          <w:rFonts w:ascii="Arial" w:hAnsi="Arial" w:cs="Arial"/>
          <w:sz w:val="22"/>
          <w:szCs w:val="22"/>
        </w:rPr>
        <w:t>s</w:t>
      </w:r>
      <w:r w:rsidRPr="006237B7">
        <w:rPr>
          <w:rFonts w:ascii="Arial" w:hAnsi="Arial" w:cs="Arial"/>
          <w:sz w:val="22"/>
          <w:szCs w:val="22"/>
        </w:rPr>
        <w:t>, not even during crisis including Covid-19</w:t>
      </w:r>
      <w:r w:rsidR="00060770" w:rsidRPr="006237B7">
        <w:rPr>
          <w:rStyle w:val="FootnoteReference"/>
          <w:rFonts w:ascii="Arial" w:hAnsi="Arial" w:cs="Arial"/>
          <w:sz w:val="22"/>
          <w:szCs w:val="22"/>
        </w:rPr>
        <w:footnoteReference w:id="44"/>
      </w:r>
      <w:r w:rsidRPr="006237B7">
        <w:rPr>
          <w:rFonts w:ascii="Arial" w:hAnsi="Arial" w:cs="Arial"/>
          <w:sz w:val="22"/>
          <w:szCs w:val="22"/>
        </w:rPr>
        <w:t xml:space="preserve">. Moreover, they have abandoned their commitment to </w:t>
      </w:r>
      <w:r w:rsidR="00B735CE" w:rsidRPr="006237B7">
        <w:rPr>
          <w:rFonts w:ascii="Arial" w:hAnsi="Arial" w:cs="Arial"/>
          <w:sz w:val="22"/>
          <w:szCs w:val="22"/>
        </w:rPr>
        <w:t>ensure</w:t>
      </w:r>
      <w:r w:rsidRPr="006237B7">
        <w:rPr>
          <w:rFonts w:ascii="Arial" w:hAnsi="Arial" w:cs="Arial"/>
          <w:sz w:val="22"/>
          <w:szCs w:val="22"/>
        </w:rPr>
        <w:t xml:space="preserve"> the poor</w:t>
      </w:r>
      <w:r w:rsidR="00B735CE" w:rsidRPr="006237B7">
        <w:rPr>
          <w:rFonts w:ascii="Arial" w:hAnsi="Arial" w:cs="Arial"/>
          <w:sz w:val="22"/>
          <w:szCs w:val="22"/>
        </w:rPr>
        <w:t xml:space="preserve"> access to water</w:t>
      </w:r>
      <w:r w:rsidRPr="006237B7">
        <w:rPr>
          <w:rFonts w:ascii="Arial" w:hAnsi="Arial" w:cs="Arial"/>
          <w:sz w:val="22"/>
          <w:szCs w:val="22"/>
        </w:rPr>
        <w:t xml:space="preserve">. </w:t>
      </w:r>
      <w:r w:rsidRPr="006237B7">
        <w:rPr>
          <w:rFonts w:ascii="Arial" w:hAnsi="Arial" w:cs="Arial"/>
          <w:sz w:val="22"/>
          <w:szCs w:val="22"/>
        </w:rPr>
        <w:t>In 2010, the Cabinet issued Resolution No.13/51/03 encouraging all water service providers to install pre-paid meters.</w:t>
      </w:r>
      <w:r w:rsidRPr="006237B7">
        <w:rPr>
          <w:rStyle w:val="None"/>
          <w:rFonts w:ascii="Arial" w:hAnsi="Arial" w:cs="Arial"/>
          <w:sz w:val="22"/>
          <w:szCs w:val="22"/>
          <w:rtl/>
        </w:rPr>
        <w:t xml:space="preserve"> </w:t>
      </w:r>
      <w:r w:rsidRPr="006237B7">
        <w:rPr>
          <w:rFonts w:ascii="Arial" w:hAnsi="Arial" w:cs="Arial"/>
          <w:sz w:val="22"/>
          <w:szCs w:val="22"/>
        </w:rPr>
        <w:t xml:space="preserve">It committed to support the </w:t>
      </w:r>
      <w:r w:rsidRPr="006237B7">
        <w:rPr>
          <w:rFonts w:ascii="Arial" w:hAnsi="Arial" w:cs="Arial"/>
          <w:sz w:val="22"/>
          <w:szCs w:val="22"/>
        </w:rPr>
        <w:t>poor</w:t>
      </w:r>
      <w:r w:rsidRPr="006237B7">
        <w:rPr>
          <w:rFonts w:ascii="Arial" w:hAnsi="Arial" w:cs="Arial"/>
          <w:sz w:val="22"/>
          <w:szCs w:val="22"/>
        </w:rPr>
        <w:t xml:space="preserve"> through the "cash transfer strategy" of the Ministry of Social Development. </w:t>
      </w:r>
      <w:r w:rsidRPr="006237B7">
        <w:rPr>
          <w:rFonts w:ascii="Arial" w:hAnsi="Arial" w:cs="Arial"/>
          <w:sz w:val="22"/>
          <w:szCs w:val="22"/>
        </w:rPr>
        <w:t>The</w:t>
      </w:r>
      <w:r w:rsidRPr="006237B7">
        <w:rPr>
          <w:rFonts w:ascii="Arial" w:hAnsi="Arial" w:cs="Arial"/>
          <w:sz w:val="22"/>
          <w:szCs w:val="22"/>
        </w:rPr>
        <w:t xml:space="preserve"> </w:t>
      </w:r>
      <w:r w:rsidRPr="006237B7">
        <w:rPr>
          <w:rFonts w:ascii="Arial" w:hAnsi="Arial" w:cs="Arial"/>
          <w:sz w:val="22"/>
          <w:szCs w:val="22"/>
        </w:rPr>
        <w:t>strategy which was issued in 2010</w:t>
      </w:r>
      <w:r w:rsidRPr="006237B7">
        <w:rPr>
          <w:rFonts w:ascii="Arial" w:hAnsi="Arial" w:cs="Arial"/>
          <w:sz w:val="22"/>
          <w:szCs w:val="22"/>
        </w:rPr>
        <w:t xml:space="preserve"> did not mention the pre-paid water meters</w:t>
      </w:r>
      <w:r w:rsidR="008B5B30" w:rsidRPr="006237B7">
        <w:rPr>
          <w:rStyle w:val="FootnoteReference"/>
          <w:rFonts w:ascii="Arial" w:hAnsi="Arial" w:cs="Arial"/>
          <w:sz w:val="22"/>
          <w:szCs w:val="22"/>
        </w:rPr>
        <w:footnoteReference w:id="45"/>
      </w:r>
      <w:r w:rsidRPr="006237B7">
        <w:rPr>
          <w:rFonts w:ascii="Arial" w:hAnsi="Arial" w:cs="Arial"/>
          <w:sz w:val="22"/>
          <w:szCs w:val="22"/>
        </w:rPr>
        <w:t>, thus there is, in fact, no social protection mechanism in place. The National Water and Wastewater Strategy for Palestine for 2013 – 2032, transferred the responsibility for supporting poor access to water from the Palestinian Authority to the citizens.</w:t>
      </w:r>
      <w:r w:rsidR="00060770" w:rsidRPr="006237B7">
        <w:rPr>
          <w:rFonts w:ascii="Arial" w:hAnsi="Arial" w:cs="Arial"/>
          <w:sz w:val="22"/>
          <w:szCs w:val="22"/>
        </w:rPr>
        <w:t xml:space="preserve"> </w:t>
      </w:r>
      <w:r w:rsidR="00060770" w:rsidRPr="006237B7">
        <w:rPr>
          <w:rFonts w:ascii="Arial" w:hAnsi="Arial" w:cs="Arial"/>
          <w:sz w:val="22"/>
          <w:szCs w:val="22"/>
        </w:rPr>
        <w:t xml:space="preserve">The strategy </w:t>
      </w:r>
      <w:r w:rsidR="00060770" w:rsidRPr="006237B7">
        <w:rPr>
          <w:rFonts w:ascii="Arial" w:hAnsi="Arial" w:cs="Arial"/>
          <w:sz w:val="22"/>
          <w:szCs w:val="22"/>
        </w:rPr>
        <w:t xml:space="preserve">suggested a </w:t>
      </w:r>
      <w:r w:rsidRPr="006237B7">
        <w:rPr>
          <w:rFonts w:ascii="Arial" w:hAnsi="Arial" w:cs="Arial"/>
          <w:sz w:val="22"/>
          <w:szCs w:val="22"/>
        </w:rPr>
        <w:t xml:space="preserve">‘’pro-poor water tariffs”. </w:t>
      </w:r>
      <w:r w:rsidR="00060770" w:rsidRPr="006237B7">
        <w:rPr>
          <w:rFonts w:ascii="Arial" w:hAnsi="Arial" w:cs="Arial"/>
          <w:sz w:val="22"/>
          <w:szCs w:val="22"/>
        </w:rPr>
        <w:t xml:space="preserve">The tariff system introduced in February 2021 aims to achieve full cost recovery. It charges an increasing fee as consumption increases. However, it does not ensure connectivity of </w:t>
      </w:r>
      <w:r w:rsidR="00B735CE" w:rsidRPr="006237B7">
        <w:rPr>
          <w:rFonts w:ascii="Arial" w:hAnsi="Arial" w:cs="Arial"/>
          <w:sz w:val="22"/>
          <w:szCs w:val="22"/>
        </w:rPr>
        <w:t xml:space="preserve">the </w:t>
      </w:r>
      <w:r w:rsidR="00060770" w:rsidRPr="006237B7">
        <w:rPr>
          <w:rFonts w:ascii="Arial" w:hAnsi="Arial" w:cs="Arial"/>
          <w:sz w:val="22"/>
          <w:szCs w:val="22"/>
        </w:rPr>
        <w:t xml:space="preserve">citizen </w:t>
      </w:r>
      <w:r w:rsidR="0046426A" w:rsidRPr="006237B7">
        <w:rPr>
          <w:rFonts w:ascii="Arial" w:hAnsi="Arial" w:cs="Arial"/>
          <w:sz w:val="22"/>
          <w:szCs w:val="22"/>
        </w:rPr>
        <w:t xml:space="preserve">if they </w:t>
      </w:r>
      <w:r w:rsidR="00060770" w:rsidRPr="006237B7">
        <w:rPr>
          <w:rFonts w:ascii="Arial" w:hAnsi="Arial" w:cs="Arial"/>
          <w:sz w:val="22"/>
          <w:szCs w:val="22"/>
        </w:rPr>
        <w:t>do not pay their water bill</w:t>
      </w:r>
      <w:r w:rsidR="008B5B30" w:rsidRPr="006237B7">
        <w:rPr>
          <w:rFonts w:ascii="Arial" w:hAnsi="Arial" w:cs="Arial"/>
          <w:sz w:val="22"/>
          <w:szCs w:val="22"/>
        </w:rPr>
        <w:t xml:space="preserve"> -in advance if they have a prepaid meter-</w:t>
      </w:r>
      <w:r w:rsidR="00060770" w:rsidRPr="006237B7">
        <w:rPr>
          <w:rFonts w:ascii="Arial" w:hAnsi="Arial" w:cs="Arial"/>
          <w:sz w:val="22"/>
          <w:szCs w:val="22"/>
        </w:rPr>
        <w:t xml:space="preserve">. </w:t>
      </w:r>
    </w:p>
    <w:p w14:paraId="1116907E" w14:textId="056169AE" w:rsidR="009C22C2" w:rsidRPr="006237B7" w:rsidRDefault="00196651" w:rsidP="009C22C2">
      <w:pPr>
        <w:pStyle w:val="NormalWeb"/>
        <w:numPr>
          <w:ilvl w:val="0"/>
          <w:numId w:val="2"/>
        </w:numPr>
        <w:shd w:val="clear" w:color="auto" w:fill="FFFFFF"/>
        <w:spacing w:beforeAutospacing="0" w:afterAutospacing="0"/>
        <w:rPr>
          <w:rStyle w:val="None"/>
          <w:rFonts w:ascii="Arial" w:hAnsi="Arial" w:cs="Arial"/>
          <w:sz w:val="22"/>
          <w:szCs w:val="22"/>
        </w:rPr>
      </w:pPr>
      <w:r w:rsidRPr="006237B7">
        <w:rPr>
          <w:rStyle w:val="None"/>
          <w:rFonts w:ascii="Arial" w:hAnsi="Arial" w:cs="Arial"/>
          <w:sz w:val="22"/>
          <w:szCs w:val="22"/>
        </w:rPr>
        <w:t>A</w:t>
      </w:r>
      <w:r w:rsidRPr="006237B7">
        <w:rPr>
          <w:rStyle w:val="None"/>
          <w:rFonts w:ascii="Arial" w:hAnsi="Arial" w:cs="Arial"/>
          <w:sz w:val="22"/>
          <w:szCs w:val="22"/>
        </w:rPr>
        <w:t xml:space="preserve"> full cost recovery, prepaid meters and other “enforcement measures” for collecting water utility fees might increase water unaffordability</w:t>
      </w:r>
      <w:r w:rsidRPr="006237B7">
        <w:rPr>
          <w:rStyle w:val="None"/>
          <w:rFonts w:ascii="Arial" w:hAnsi="Arial" w:cs="Arial"/>
          <w:sz w:val="22"/>
          <w:szCs w:val="22"/>
        </w:rPr>
        <w:t>, especially w</w:t>
      </w:r>
      <w:r w:rsidR="008B5B30" w:rsidRPr="006237B7">
        <w:rPr>
          <w:rFonts w:ascii="Arial" w:hAnsi="Arial" w:cs="Arial"/>
          <w:sz w:val="22"/>
          <w:szCs w:val="22"/>
        </w:rPr>
        <w:t xml:space="preserve">here </w:t>
      </w:r>
      <w:r w:rsidR="00D32284" w:rsidRPr="006237B7">
        <w:rPr>
          <w:rFonts w:ascii="Arial" w:hAnsi="Arial" w:cs="Arial"/>
          <w:sz w:val="22"/>
          <w:szCs w:val="22"/>
        </w:rPr>
        <w:t>the unemployment rate is 30.8%</w:t>
      </w:r>
      <w:r w:rsidR="00D32284" w:rsidRPr="006237B7">
        <w:rPr>
          <w:rStyle w:val="FootnoteReference"/>
          <w:rFonts w:ascii="Arial" w:hAnsi="Arial" w:cs="Arial"/>
          <w:sz w:val="22"/>
          <w:szCs w:val="22"/>
        </w:rPr>
        <w:footnoteReference w:id="46"/>
      </w:r>
      <w:r w:rsidRPr="006237B7">
        <w:rPr>
          <w:rFonts w:ascii="Arial" w:hAnsi="Arial" w:cs="Arial"/>
          <w:sz w:val="22"/>
          <w:szCs w:val="22"/>
        </w:rPr>
        <w:t xml:space="preserve">. Moreover, </w:t>
      </w:r>
      <w:r w:rsidR="008B5B30" w:rsidRPr="006237B7">
        <w:rPr>
          <w:rFonts w:ascii="Arial" w:hAnsi="Arial" w:cs="Arial"/>
          <w:sz w:val="22"/>
          <w:szCs w:val="22"/>
        </w:rPr>
        <w:t xml:space="preserve">the </w:t>
      </w:r>
      <w:r w:rsidR="008B5B30" w:rsidRPr="006237B7">
        <w:rPr>
          <w:rStyle w:val="None"/>
          <w:rFonts w:ascii="Arial" w:hAnsi="Arial" w:cs="Arial"/>
          <w:sz w:val="22"/>
          <w:szCs w:val="22"/>
        </w:rPr>
        <w:t>monthly income of 41.1</w:t>
      </w:r>
      <w:r w:rsidR="00D32284" w:rsidRPr="006237B7">
        <w:rPr>
          <w:rStyle w:val="None"/>
          <w:rFonts w:ascii="Arial" w:hAnsi="Arial" w:cs="Arial"/>
          <w:sz w:val="22"/>
          <w:szCs w:val="22"/>
        </w:rPr>
        <w:t xml:space="preserve">% </w:t>
      </w:r>
      <w:r w:rsidR="008B5B30" w:rsidRPr="006237B7">
        <w:rPr>
          <w:rStyle w:val="None"/>
          <w:rFonts w:ascii="Arial" w:hAnsi="Arial" w:cs="Arial"/>
          <w:sz w:val="22"/>
          <w:szCs w:val="22"/>
        </w:rPr>
        <w:t>of the population is below the national poverty line</w:t>
      </w:r>
      <w:r w:rsidR="009C22C2" w:rsidRPr="006237B7">
        <w:rPr>
          <w:rStyle w:val="FootnoteReference"/>
          <w:rFonts w:ascii="Arial" w:hAnsi="Arial" w:cs="Arial"/>
          <w:sz w:val="22"/>
          <w:szCs w:val="22"/>
        </w:rPr>
        <w:footnoteReference w:id="47"/>
      </w:r>
      <w:r w:rsidR="009C22C2" w:rsidRPr="006237B7">
        <w:rPr>
          <w:rStyle w:val="None"/>
          <w:rFonts w:ascii="Arial" w:hAnsi="Arial" w:cs="Arial"/>
          <w:sz w:val="22"/>
          <w:szCs w:val="22"/>
        </w:rPr>
        <w:t>, and the minimum wage define</w:t>
      </w:r>
      <w:r w:rsidR="0064087C" w:rsidRPr="006237B7">
        <w:rPr>
          <w:rStyle w:val="None"/>
          <w:rFonts w:ascii="Arial" w:hAnsi="Arial" w:cs="Arial"/>
          <w:sz w:val="22"/>
          <w:szCs w:val="22"/>
        </w:rPr>
        <w:t>d</w:t>
      </w:r>
      <w:r w:rsidR="009C22C2" w:rsidRPr="006237B7">
        <w:rPr>
          <w:rStyle w:val="None"/>
          <w:rFonts w:ascii="Arial" w:hAnsi="Arial" w:cs="Arial"/>
          <w:sz w:val="22"/>
          <w:szCs w:val="22"/>
        </w:rPr>
        <w:t xml:space="preserve"> by law is </w:t>
      </w:r>
      <w:r w:rsidR="0064087C" w:rsidRPr="006237B7">
        <w:rPr>
          <w:rStyle w:val="None"/>
          <w:rFonts w:ascii="Arial" w:hAnsi="Arial" w:cs="Arial"/>
          <w:sz w:val="22"/>
          <w:szCs w:val="22"/>
        </w:rPr>
        <w:t>59</w:t>
      </w:r>
      <w:r w:rsidR="009C22C2" w:rsidRPr="006237B7">
        <w:rPr>
          <w:rStyle w:val="None"/>
          <w:rFonts w:ascii="Arial" w:hAnsi="Arial" w:cs="Arial"/>
          <w:sz w:val="22"/>
          <w:szCs w:val="22"/>
        </w:rPr>
        <w:t>% of the national poverty line</w:t>
      </w:r>
      <w:r w:rsidR="0064087C" w:rsidRPr="006237B7">
        <w:rPr>
          <w:rStyle w:val="FootnoteReference"/>
          <w:rFonts w:ascii="Arial" w:hAnsi="Arial" w:cs="Arial"/>
          <w:sz w:val="22"/>
          <w:szCs w:val="22"/>
        </w:rPr>
        <w:footnoteReference w:id="48"/>
      </w:r>
      <w:r w:rsidRPr="006237B7">
        <w:rPr>
          <w:rStyle w:val="None"/>
          <w:rFonts w:ascii="Arial" w:hAnsi="Arial" w:cs="Arial"/>
          <w:sz w:val="22"/>
          <w:szCs w:val="22"/>
        </w:rPr>
        <w:t xml:space="preserve">. </w:t>
      </w:r>
      <w:r w:rsidR="00C4248E" w:rsidRPr="006237B7">
        <w:rPr>
          <w:rStyle w:val="None"/>
          <w:rFonts w:ascii="Arial" w:hAnsi="Arial" w:cs="Arial"/>
          <w:sz w:val="22"/>
          <w:szCs w:val="22"/>
        </w:rPr>
        <w:t xml:space="preserve">Furthermore, </w:t>
      </w:r>
      <w:r w:rsidR="00C4248E" w:rsidRPr="006237B7">
        <w:rPr>
          <w:rStyle w:val="None"/>
          <w:rFonts w:ascii="Arial" w:eastAsia="Calibri" w:hAnsi="Arial" w:cs="Arial"/>
          <w:color w:val="000000"/>
          <w:sz w:val="22"/>
          <w:szCs w:val="22"/>
          <w:u w:color="000000"/>
        </w:rPr>
        <w:t xml:space="preserve">The Ministry of Social Development provides assistance to only 35% of citizens under the national poverty line. The assistance is 83 – 200 </w:t>
      </w:r>
      <w:r w:rsidR="00A56ED0" w:rsidRPr="006237B7">
        <w:rPr>
          <w:rStyle w:val="None"/>
          <w:rFonts w:ascii="Arial" w:eastAsia="Calibri" w:hAnsi="Arial" w:cs="Arial"/>
          <w:color w:val="000000"/>
          <w:sz w:val="22"/>
          <w:szCs w:val="22"/>
          <w:u w:color="000000"/>
        </w:rPr>
        <w:t>ILS</w:t>
      </w:r>
      <w:r w:rsidR="00C4248E" w:rsidRPr="006237B7">
        <w:rPr>
          <w:rStyle w:val="None"/>
          <w:rFonts w:ascii="Arial" w:eastAsia="Calibri" w:hAnsi="Arial" w:cs="Arial"/>
          <w:color w:val="000000"/>
          <w:sz w:val="22"/>
          <w:szCs w:val="22"/>
          <w:u w:color="000000"/>
        </w:rPr>
        <w:t>/</w:t>
      </w:r>
      <w:r w:rsidR="00C4248E" w:rsidRPr="006237B7">
        <w:rPr>
          <w:rStyle w:val="None"/>
          <w:rFonts w:ascii="Arial" w:eastAsia="Calibri" w:hAnsi="Arial" w:cs="Arial"/>
          <w:color w:val="000000"/>
          <w:sz w:val="22"/>
          <w:szCs w:val="22"/>
          <w:u w:color="000000"/>
        </w:rPr>
        <w:t>household</w:t>
      </w:r>
      <w:r w:rsidR="00C4248E" w:rsidRPr="006237B7">
        <w:rPr>
          <w:rStyle w:val="None"/>
          <w:rFonts w:ascii="Arial" w:eastAsia="Calibri" w:hAnsi="Arial" w:cs="Arial"/>
          <w:color w:val="000000"/>
          <w:sz w:val="22"/>
          <w:szCs w:val="22"/>
          <w:u w:color="000000"/>
        </w:rPr>
        <w:t>/</w:t>
      </w:r>
      <w:r w:rsidR="00C4248E" w:rsidRPr="006237B7">
        <w:rPr>
          <w:rStyle w:val="None"/>
          <w:rFonts w:ascii="Arial" w:eastAsia="Calibri" w:hAnsi="Arial" w:cs="Arial"/>
          <w:color w:val="000000"/>
          <w:sz w:val="22"/>
          <w:szCs w:val="22"/>
          <w:u w:color="000000"/>
        </w:rPr>
        <w:t xml:space="preserve">month, when the national poverty line is 2,470 </w:t>
      </w:r>
      <w:r w:rsidR="00A56ED0" w:rsidRPr="006237B7">
        <w:rPr>
          <w:rStyle w:val="None"/>
          <w:rFonts w:ascii="Arial" w:eastAsia="Calibri" w:hAnsi="Arial" w:cs="Arial"/>
          <w:color w:val="000000"/>
          <w:sz w:val="22"/>
          <w:szCs w:val="22"/>
          <w:u w:color="000000"/>
        </w:rPr>
        <w:t>ILS</w:t>
      </w:r>
      <w:r w:rsidR="00C4248E" w:rsidRPr="006237B7">
        <w:rPr>
          <w:rStyle w:val="None"/>
          <w:rFonts w:ascii="Arial" w:eastAsia="Calibri" w:hAnsi="Arial" w:cs="Arial"/>
          <w:color w:val="000000"/>
          <w:sz w:val="22"/>
          <w:szCs w:val="22"/>
          <w:u w:color="000000"/>
        </w:rPr>
        <w:t>/</w:t>
      </w:r>
      <w:r w:rsidR="00C4248E" w:rsidRPr="006237B7">
        <w:rPr>
          <w:rStyle w:val="None"/>
          <w:rFonts w:ascii="Arial" w:eastAsia="Calibri" w:hAnsi="Arial" w:cs="Arial"/>
          <w:color w:val="000000"/>
          <w:sz w:val="22"/>
          <w:szCs w:val="22"/>
          <w:u w:color="000000"/>
        </w:rPr>
        <w:t>month</w:t>
      </w:r>
      <w:r w:rsidR="00C4248E" w:rsidRPr="006237B7">
        <w:rPr>
          <w:rStyle w:val="FootnoteReference"/>
          <w:rFonts w:ascii="Arial" w:eastAsia="Calibri" w:hAnsi="Arial" w:cs="Arial"/>
          <w:color w:val="000000"/>
          <w:sz w:val="22"/>
          <w:szCs w:val="22"/>
          <w:u w:color="000000"/>
        </w:rPr>
        <w:footnoteReference w:id="49"/>
      </w:r>
      <w:r w:rsidR="00C4248E" w:rsidRPr="006237B7">
        <w:rPr>
          <w:rStyle w:val="None"/>
          <w:rFonts w:ascii="Arial" w:eastAsia="Calibri" w:hAnsi="Arial" w:cs="Arial"/>
          <w:color w:val="000000"/>
          <w:sz w:val="22"/>
          <w:szCs w:val="22"/>
          <w:u w:color="000000"/>
        </w:rPr>
        <w:t xml:space="preserve">. </w:t>
      </w:r>
      <w:r w:rsidR="0096756C" w:rsidRPr="006237B7">
        <w:rPr>
          <w:rStyle w:val="None"/>
          <w:rFonts w:ascii="Arial" w:eastAsia="Calibri" w:hAnsi="Arial" w:cs="Arial"/>
          <w:color w:val="000000"/>
          <w:sz w:val="22"/>
          <w:szCs w:val="22"/>
          <w:u w:color="000000"/>
        </w:rPr>
        <w:t xml:space="preserve">Thus, with its current capacity, the social protection system is unable to ensure </w:t>
      </w:r>
      <w:r w:rsidRPr="006237B7">
        <w:rPr>
          <w:rStyle w:val="None"/>
          <w:rFonts w:ascii="Arial" w:eastAsia="Calibri" w:hAnsi="Arial" w:cs="Arial"/>
          <w:color w:val="000000"/>
          <w:sz w:val="22"/>
          <w:szCs w:val="22"/>
          <w:u w:color="000000"/>
        </w:rPr>
        <w:t>the fulfilment of the</w:t>
      </w:r>
      <w:r w:rsidR="0096756C" w:rsidRPr="006237B7">
        <w:rPr>
          <w:rStyle w:val="None"/>
          <w:rFonts w:ascii="Arial" w:eastAsia="Calibri" w:hAnsi="Arial" w:cs="Arial"/>
          <w:color w:val="000000"/>
          <w:sz w:val="22"/>
          <w:szCs w:val="22"/>
          <w:u w:color="000000"/>
        </w:rPr>
        <w:t xml:space="preserve"> basic needs including access to water</w:t>
      </w:r>
      <w:r w:rsidRPr="006237B7">
        <w:rPr>
          <w:rStyle w:val="None"/>
          <w:rFonts w:ascii="Arial" w:eastAsia="Calibri" w:hAnsi="Arial" w:cs="Arial"/>
          <w:color w:val="000000"/>
          <w:sz w:val="22"/>
          <w:szCs w:val="22"/>
          <w:u w:color="000000"/>
        </w:rPr>
        <w:t xml:space="preserve"> of the poor, not even the beneficiaries of social assistance</w:t>
      </w:r>
      <w:r w:rsidR="0096756C" w:rsidRPr="006237B7">
        <w:rPr>
          <w:rStyle w:val="None"/>
          <w:rFonts w:ascii="Arial" w:eastAsia="Calibri" w:hAnsi="Arial" w:cs="Arial"/>
          <w:color w:val="000000"/>
          <w:sz w:val="22"/>
          <w:szCs w:val="22"/>
          <w:u w:color="000000"/>
        </w:rPr>
        <w:t>.</w:t>
      </w:r>
      <w:r w:rsidRPr="006237B7">
        <w:rPr>
          <w:rStyle w:val="None"/>
          <w:rFonts w:ascii="Arial" w:eastAsia="Calibri" w:hAnsi="Arial" w:cs="Arial"/>
          <w:color w:val="000000"/>
          <w:sz w:val="22"/>
          <w:szCs w:val="22"/>
          <w:u w:color="000000"/>
        </w:rPr>
        <w:t xml:space="preserve"> </w:t>
      </w:r>
    </w:p>
    <w:p w14:paraId="45BC7907" w14:textId="5CB6479E" w:rsidR="00E80FF2" w:rsidRPr="006237B7" w:rsidRDefault="00414486" w:rsidP="00E80FF2">
      <w:pPr>
        <w:pStyle w:val="NormalWeb"/>
        <w:numPr>
          <w:ilvl w:val="0"/>
          <w:numId w:val="2"/>
        </w:numPr>
        <w:shd w:val="clear" w:color="auto" w:fill="FFFFFF"/>
        <w:spacing w:beforeAutospacing="0" w:afterAutospacing="0"/>
        <w:rPr>
          <w:rStyle w:val="None"/>
          <w:rFonts w:ascii="Arial" w:hAnsi="Arial" w:cs="Arial"/>
          <w:sz w:val="22"/>
          <w:szCs w:val="22"/>
        </w:rPr>
      </w:pPr>
      <w:r>
        <w:rPr>
          <w:rStyle w:val="None"/>
          <w:rFonts w:ascii="Arial" w:hAnsi="Arial" w:cs="Arial"/>
          <w:sz w:val="22"/>
          <w:szCs w:val="22"/>
        </w:rPr>
        <w:t>Studies prove that some citizens have been disconnected from the water service based on their ability to bay</w:t>
      </w:r>
      <w:r>
        <w:rPr>
          <w:rStyle w:val="FootnoteReference"/>
          <w:rFonts w:ascii="Arial" w:hAnsi="Arial" w:cs="Arial"/>
          <w:sz w:val="22"/>
          <w:szCs w:val="22"/>
        </w:rPr>
        <w:footnoteReference w:id="50"/>
      </w:r>
      <w:r>
        <w:rPr>
          <w:rStyle w:val="None"/>
          <w:rFonts w:ascii="Arial" w:hAnsi="Arial" w:cs="Arial"/>
          <w:sz w:val="22"/>
          <w:szCs w:val="22"/>
        </w:rPr>
        <w:t xml:space="preserve">. </w:t>
      </w:r>
      <w:r w:rsidRPr="006237B7">
        <w:rPr>
          <w:rFonts w:ascii="Arial" w:hAnsi="Arial" w:cs="Arial"/>
          <w:sz w:val="22"/>
          <w:szCs w:val="22"/>
        </w:rPr>
        <w:t xml:space="preserve">The support </w:t>
      </w:r>
      <w:r w:rsidRPr="006237B7">
        <w:rPr>
          <w:rStyle w:val="None"/>
          <w:rFonts w:ascii="Arial" w:hAnsi="Arial" w:cs="Arial"/>
          <w:sz w:val="22"/>
          <w:szCs w:val="22"/>
        </w:rPr>
        <w:t>mechanisms that exists are random, inconsistent and not publicly known</w:t>
      </w:r>
      <w:r>
        <w:rPr>
          <w:rStyle w:val="None"/>
          <w:rFonts w:ascii="Arial" w:hAnsi="Arial" w:cs="Arial"/>
          <w:sz w:val="22"/>
          <w:szCs w:val="22"/>
        </w:rPr>
        <w:t xml:space="preserve">. </w:t>
      </w:r>
      <w:r w:rsidR="009C22C2" w:rsidRPr="006237B7">
        <w:rPr>
          <w:rStyle w:val="None"/>
          <w:rFonts w:ascii="Arial" w:hAnsi="Arial" w:cs="Arial"/>
          <w:sz w:val="22"/>
          <w:szCs w:val="22"/>
        </w:rPr>
        <w:t>My primary research found that in the villages served by North-West Jenin Service Council, the service provider staff paid the water bill for a poor woman from their pocket</w:t>
      </w:r>
      <w:r w:rsidR="0064087C" w:rsidRPr="006237B7">
        <w:rPr>
          <w:rStyle w:val="FootnoteReference"/>
          <w:rFonts w:ascii="Arial" w:hAnsi="Arial" w:cs="Arial"/>
          <w:sz w:val="22"/>
          <w:szCs w:val="22"/>
        </w:rPr>
        <w:footnoteReference w:id="51"/>
      </w:r>
      <w:r w:rsidR="009C22C2" w:rsidRPr="006237B7">
        <w:rPr>
          <w:rStyle w:val="None"/>
          <w:rFonts w:ascii="Arial" w:hAnsi="Arial" w:cs="Arial"/>
          <w:sz w:val="22"/>
          <w:szCs w:val="22"/>
        </w:rPr>
        <w:t>. Inadvertently, the very modern pre-paid water meters have in some places contributed to empowering out-dated and pre-democratic dependency structures, in that poor consumers needed a recommendation from a senior head of the extended family to receive aid from the council. In particular, this is the case for those who are not regular beneficiaries of the Ministry of Social Development</w:t>
      </w:r>
      <w:r w:rsidR="00E80FF2" w:rsidRPr="006237B7">
        <w:rPr>
          <w:rStyle w:val="FootnoteReference"/>
          <w:rFonts w:ascii="Arial" w:hAnsi="Arial" w:cs="Arial"/>
          <w:sz w:val="22"/>
          <w:szCs w:val="22"/>
        </w:rPr>
        <w:footnoteReference w:id="52"/>
      </w:r>
      <w:r w:rsidR="009C22C2" w:rsidRPr="006237B7">
        <w:rPr>
          <w:rStyle w:val="None"/>
          <w:rFonts w:ascii="Arial" w:hAnsi="Arial" w:cs="Arial"/>
          <w:sz w:val="22"/>
          <w:szCs w:val="22"/>
        </w:rPr>
        <w:t xml:space="preserve">. Dependence </w:t>
      </w:r>
      <w:r w:rsidR="009C22C2" w:rsidRPr="006237B7">
        <w:rPr>
          <w:rStyle w:val="None"/>
          <w:rFonts w:ascii="Arial" w:hAnsi="Arial" w:cs="Arial"/>
          <w:sz w:val="22"/>
          <w:szCs w:val="22"/>
        </w:rPr>
        <w:lastRenderedPageBreak/>
        <w:t>on family unsurprisingly also showed up in my survey, in that some consumers were forced to borrow from their extended family in order to pay for water. Still other consumers without such the possibility to borrow money from family live without access to water. The prepaid water meters consist a burden systematically laid on the poorest, weakest, already most marginalised and suffering parts of the population, which includes many of the 1</w:t>
      </w:r>
      <w:r w:rsidR="00E80FF2" w:rsidRPr="006237B7">
        <w:rPr>
          <w:rStyle w:val="None"/>
          <w:rFonts w:ascii="Arial" w:hAnsi="Arial" w:cs="Arial"/>
          <w:sz w:val="22"/>
          <w:szCs w:val="22"/>
          <w:rtl/>
        </w:rPr>
        <w:t>1</w:t>
      </w:r>
      <w:r w:rsidR="009C22C2" w:rsidRPr="006237B7">
        <w:rPr>
          <w:rStyle w:val="None"/>
          <w:rFonts w:ascii="Arial" w:hAnsi="Arial" w:cs="Arial"/>
          <w:sz w:val="22"/>
          <w:szCs w:val="22"/>
        </w:rPr>
        <w:t xml:space="preserve">% of the households in Palestine which are headed by women. </w:t>
      </w:r>
    </w:p>
    <w:p w14:paraId="1FA2EFAE" w14:textId="08F24342" w:rsidR="009C22C2" w:rsidRPr="006237B7" w:rsidRDefault="00E80FF2" w:rsidP="00504A75">
      <w:pPr>
        <w:pStyle w:val="NormalWeb"/>
        <w:numPr>
          <w:ilvl w:val="0"/>
          <w:numId w:val="2"/>
        </w:numPr>
        <w:shd w:val="clear" w:color="auto" w:fill="FFFFFF"/>
        <w:spacing w:beforeAutospacing="0" w:afterAutospacing="0"/>
        <w:rPr>
          <w:rStyle w:val="None"/>
          <w:rFonts w:ascii="Arial" w:hAnsi="Arial" w:cs="Arial"/>
          <w:sz w:val="22"/>
          <w:szCs w:val="22"/>
        </w:rPr>
      </w:pPr>
      <w:r w:rsidRPr="006237B7">
        <w:rPr>
          <w:rFonts w:ascii="Arial" w:hAnsi="Arial" w:cs="Arial"/>
          <w:sz w:val="22"/>
          <w:szCs w:val="22"/>
        </w:rPr>
        <w:t xml:space="preserve">The random and inconsistent social support mechanisms violate citizens’ rights and dignity. Furthermore, available data gives reason to assume they further increase inequality between men and women. In </w:t>
      </w:r>
      <w:r w:rsidRPr="006237B7">
        <w:rPr>
          <w:rFonts w:ascii="Arial" w:hAnsi="Arial" w:cs="Arial"/>
          <w:sz w:val="22"/>
          <w:szCs w:val="22"/>
          <w:rtl/>
        </w:rPr>
        <w:t>2020</w:t>
      </w:r>
      <w:r w:rsidRPr="006237B7">
        <w:rPr>
          <w:rFonts w:ascii="Arial" w:hAnsi="Arial" w:cs="Arial"/>
          <w:sz w:val="22"/>
          <w:szCs w:val="22"/>
        </w:rPr>
        <w:t xml:space="preserve">, the rate of women’s participation in the labour market was </w:t>
      </w:r>
      <w:r w:rsidRPr="006237B7">
        <w:rPr>
          <w:rFonts w:ascii="Arial" w:hAnsi="Arial" w:cs="Arial"/>
          <w:sz w:val="22"/>
          <w:szCs w:val="22"/>
          <w:rtl/>
        </w:rPr>
        <w:t>16</w:t>
      </w:r>
      <w:r w:rsidRPr="006237B7">
        <w:rPr>
          <w:rFonts w:ascii="Arial" w:hAnsi="Arial" w:cs="Arial"/>
          <w:sz w:val="22"/>
          <w:szCs w:val="22"/>
        </w:rPr>
        <w:t xml:space="preserve">%, compared to </w:t>
      </w:r>
      <w:r w:rsidRPr="006237B7">
        <w:rPr>
          <w:rFonts w:ascii="Arial" w:hAnsi="Arial" w:cs="Arial"/>
          <w:sz w:val="22"/>
          <w:szCs w:val="22"/>
          <w:rtl/>
        </w:rPr>
        <w:t>65</w:t>
      </w:r>
      <w:r w:rsidRPr="006237B7">
        <w:rPr>
          <w:rFonts w:ascii="Arial" w:hAnsi="Arial" w:cs="Arial"/>
          <w:sz w:val="22"/>
          <w:szCs w:val="22"/>
        </w:rPr>
        <w:t xml:space="preserve">% for men. Moreover, </w:t>
      </w:r>
      <w:r w:rsidRPr="006237B7">
        <w:rPr>
          <w:rFonts w:ascii="Arial" w:hAnsi="Arial" w:cs="Arial"/>
          <w:sz w:val="22"/>
          <w:szCs w:val="22"/>
        </w:rPr>
        <w:t xml:space="preserve">25% of the employed women </w:t>
      </w:r>
      <w:r w:rsidR="006237B7" w:rsidRPr="006237B7">
        <w:rPr>
          <w:rFonts w:ascii="Arial" w:hAnsi="Arial" w:cs="Arial"/>
          <w:sz w:val="22"/>
          <w:szCs w:val="22"/>
        </w:rPr>
        <w:t>were</w:t>
      </w:r>
      <w:r w:rsidRPr="006237B7">
        <w:rPr>
          <w:rFonts w:ascii="Arial" w:hAnsi="Arial" w:cs="Arial"/>
          <w:sz w:val="22"/>
          <w:szCs w:val="22"/>
        </w:rPr>
        <w:t xml:space="preserve"> paid below the minimum wage</w:t>
      </w:r>
      <w:r w:rsidR="00504A75" w:rsidRPr="006237B7">
        <w:rPr>
          <w:rStyle w:val="FootnoteReference"/>
          <w:rFonts w:ascii="Arial" w:hAnsi="Arial" w:cs="Arial"/>
          <w:sz w:val="22"/>
          <w:szCs w:val="22"/>
        </w:rPr>
        <w:footnoteReference w:id="53"/>
      </w:r>
      <w:r w:rsidRPr="006237B7">
        <w:rPr>
          <w:rFonts w:ascii="Arial" w:hAnsi="Arial" w:cs="Arial"/>
          <w:sz w:val="22"/>
          <w:szCs w:val="22"/>
        </w:rPr>
        <w:t xml:space="preserve">. Besides being poorer, women have less access to support from family networks than men, since the available support goes via the patriarchal tribal system and not the state. </w:t>
      </w:r>
    </w:p>
    <w:p w14:paraId="1706F63F" w14:textId="7AEE7CA7" w:rsidR="009C22C2" w:rsidRPr="006237B7" w:rsidRDefault="009C22C2" w:rsidP="009C22C2">
      <w:pPr>
        <w:pStyle w:val="NormalWeb"/>
        <w:numPr>
          <w:ilvl w:val="0"/>
          <w:numId w:val="2"/>
        </w:numPr>
        <w:shd w:val="clear" w:color="auto" w:fill="FFFFFF"/>
        <w:spacing w:beforeAutospacing="0" w:afterAutospacing="0"/>
        <w:rPr>
          <w:rFonts w:ascii="Arial" w:hAnsi="Arial" w:cs="Arial"/>
          <w:sz w:val="22"/>
          <w:szCs w:val="22"/>
        </w:rPr>
      </w:pPr>
      <w:r w:rsidRPr="006237B7">
        <w:rPr>
          <w:rFonts w:ascii="Arial" w:hAnsi="Arial" w:cs="Arial"/>
          <w:sz w:val="22"/>
          <w:szCs w:val="22"/>
        </w:rPr>
        <w:t xml:space="preserve">Human rights activists have been criticising the weak to absent engagement of the civil society by the Palestinian Authority </w:t>
      </w:r>
      <w:r w:rsidR="006237B7" w:rsidRPr="006237B7">
        <w:rPr>
          <w:rFonts w:ascii="Arial" w:hAnsi="Arial" w:cs="Arial"/>
          <w:sz w:val="22"/>
          <w:szCs w:val="22"/>
        </w:rPr>
        <w:t xml:space="preserve">including </w:t>
      </w:r>
      <w:r w:rsidRPr="006237B7">
        <w:rPr>
          <w:rFonts w:ascii="Arial" w:hAnsi="Arial" w:cs="Arial"/>
          <w:sz w:val="22"/>
          <w:szCs w:val="22"/>
        </w:rPr>
        <w:t>in development and monitoring of their policies</w:t>
      </w:r>
      <w:r w:rsidR="006237B7" w:rsidRPr="006237B7">
        <w:rPr>
          <w:rFonts w:ascii="Arial" w:hAnsi="Arial" w:cs="Arial"/>
          <w:sz w:val="22"/>
          <w:szCs w:val="22"/>
        </w:rPr>
        <w:t xml:space="preserve"> related to water</w:t>
      </w:r>
      <w:r w:rsidRPr="006237B7">
        <w:rPr>
          <w:rFonts w:ascii="Arial" w:hAnsi="Arial" w:cs="Arial"/>
          <w:sz w:val="22"/>
          <w:szCs w:val="22"/>
        </w:rPr>
        <w:t xml:space="preserve">. </w:t>
      </w:r>
      <w:r w:rsidR="00504A75" w:rsidRPr="006237B7">
        <w:rPr>
          <w:rFonts w:ascii="Arial" w:hAnsi="Arial" w:cs="Arial"/>
          <w:sz w:val="22"/>
          <w:szCs w:val="22"/>
        </w:rPr>
        <w:t>The civil society are engaged when it is a donor requirement. Furthermore, their input is usually ignored</w:t>
      </w:r>
      <w:r w:rsidR="00504A75" w:rsidRPr="006237B7">
        <w:rPr>
          <w:rStyle w:val="FootnoteReference"/>
          <w:rFonts w:ascii="Arial" w:hAnsi="Arial" w:cs="Arial"/>
          <w:sz w:val="22"/>
          <w:szCs w:val="22"/>
        </w:rPr>
        <w:footnoteReference w:id="54"/>
      </w:r>
      <w:r w:rsidR="00504A75" w:rsidRPr="006237B7">
        <w:rPr>
          <w:rFonts w:ascii="Arial" w:hAnsi="Arial" w:cs="Arial"/>
          <w:sz w:val="22"/>
          <w:szCs w:val="22"/>
        </w:rPr>
        <w:t xml:space="preserve">. </w:t>
      </w:r>
      <w:r w:rsidRPr="006237B7">
        <w:rPr>
          <w:rFonts w:ascii="Arial" w:hAnsi="Arial" w:cs="Arial"/>
          <w:sz w:val="22"/>
          <w:szCs w:val="22"/>
        </w:rPr>
        <w:t xml:space="preserve">This has been </w:t>
      </w:r>
      <w:r w:rsidR="008E19D4" w:rsidRPr="006237B7">
        <w:rPr>
          <w:rFonts w:ascii="Arial" w:hAnsi="Arial" w:cs="Arial"/>
          <w:sz w:val="22"/>
          <w:szCs w:val="22"/>
        </w:rPr>
        <w:t>worsened</w:t>
      </w:r>
      <w:r w:rsidRPr="006237B7">
        <w:rPr>
          <w:rFonts w:ascii="Arial" w:hAnsi="Arial" w:cs="Arial"/>
          <w:sz w:val="22"/>
          <w:szCs w:val="22"/>
        </w:rPr>
        <w:t xml:space="preserve"> by Covid-19 despite the potential </w:t>
      </w:r>
      <w:r w:rsidR="006237B7" w:rsidRPr="006237B7">
        <w:rPr>
          <w:rFonts w:ascii="Arial" w:hAnsi="Arial" w:cs="Arial"/>
          <w:sz w:val="22"/>
          <w:szCs w:val="22"/>
        </w:rPr>
        <w:t>for</w:t>
      </w:r>
      <w:r w:rsidRPr="006237B7">
        <w:rPr>
          <w:rFonts w:ascii="Arial" w:hAnsi="Arial" w:cs="Arial"/>
          <w:sz w:val="22"/>
          <w:szCs w:val="22"/>
        </w:rPr>
        <w:t xml:space="preserve"> </w:t>
      </w:r>
      <w:r w:rsidR="006237B7" w:rsidRPr="006237B7">
        <w:rPr>
          <w:rFonts w:ascii="Arial" w:hAnsi="Arial" w:cs="Arial"/>
          <w:sz w:val="22"/>
          <w:szCs w:val="22"/>
        </w:rPr>
        <w:t>remote participation which the</w:t>
      </w:r>
      <w:r w:rsidR="008E19D4" w:rsidRPr="006237B7">
        <w:rPr>
          <w:rFonts w:ascii="Arial" w:hAnsi="Arial" w:cs="Arial"/>
          <w:sz w:val="22"/>
          <w:szCs w:val="22"/>
        </w:rPr>
        <w:t xml:space="preserve"> technology</w:t>
      </w:r>
      <w:r w:rsidR="006237B7" w:rsidRPr="006237B7">
        <w:rPr>
          <w:rFonts w:ascii="Arial" w:hAnsi="Arial" w:cs="Arial"/>
          <w:sz w:val="22"/>
          <w:szCs w:val="22"/>
        </w:rPr>
        <w:t xml:space="preserve"> provides</w:t>
      </w:r>
      <w:r w:rsidRPr="006237B7">
        <w:rPr>
          <w:rFonts w:ascii="Arial" w:hAnsi="Arial" w:cs="Arial"/>
          <w:sz w:val="22"/>
          <w:szCs w:val="22"/>
        </w:rPr>
        <w:t xml:space="preserve">. </w:t>
      </w:r>
    </w:p>
    <w:p w14:paraId="3BF832DD" w14:textId="11B9421A" w:rsidR="006C353D" w:rsidRPr="006237B7" w:rsidRDefault="00504A75" w:rsidP="009C22C2">
      <w:pPr>
        <w:pStyle w:val="NormalWeb"/>
        <w:numPr>
          <w:ilvl w:val="0"/>
          <w:numId w:val="2"/>
        </w:numPr>
        <w:shd w:val="clear" w:color="auto" w:fill="FFFFFF"/>
        <w:spacing w:beforeAutospacing="0" w:afterAutospacing="0"/>
        <w:rPr>
          <w:rFonts w:ascii="Arial" w:hAnsi="Arial" w:cs="Arial"/>
          <w:sz w:val="22"/>
          <w:szCs w:val="22"/>
        </w:rPr>
      </w:pPr>
      <w:r w:rsidRPr="006237B7">
        <w:rPr>
          <w:rFonts w:ascii="Arial" w:hAnsi="Arial" w:cs="Arial"/>
          <w:sz w:val="22"/>
          <w:szCs w:val="22"/>
        </w:rPr>
        <w:t>Al-Haq,</w:t>
      </w:r>
      <w:r w:rsidR="006C353D" w:rsidRPr="006237B7">
        <w:rPr>
          <w:rFonts w:ascii="Arial" w:hAnsi="Arial" w:cs="Arial"/>
          <w:sz w:val="22"/>
          <w:szCs w:val="22"/>
        </w:rPr>
        <w:t xml:space="preserve"> human rights organization reported that the Palestinian Authority has issued </w:t>
      </w:r>
      <w:r w:rsidRPr="006237B7">
        <w:rPr>
          <w:rFonts w:ascii="Arial" w:hAnsi="Arial" w:cs="Arial"/>
          <w:sz w:val="22"/>
          <w:szCs w:val="22"/>
        </w:rPr>
        <w:t xml:space="preserve">during Covid-19 </w:t>
      </w:r>
      <w:r w:rsidR="006C353D" w:rsidRPr="006237B7">
        <w:rPr>
          <w:rFonts w:ascii="Arial" w:hAnsi="Arial" w:cs="Arial"/>
          <w:sz w:val="22"/>
          <w:szCs w:val="22"/>
        </w:rPr>
        <w:t>legislations that violates both their obligations under the international law as well as the Palestinian basic law</w:t>
      </w:r>
      <w:r w:rsidR="000E63DD" w:rsidRPr="006237B7">
        <w:rPr>
          <w:rFonts w:ascii="Arial" w:hAnsi="Arial" w:cs="Arial"/>
          <w:sz w:val="22"/>
          <w:szCs w:val="22"/>
        </w:rPr>
        <w:t xml:space="preserve">, including the prolonged state of emergency which was declared over Covid-19 </w:t>
      </w:r>
      <w:r w:rsidR="000E63DD" w:rsidRPr="006237B7">
        <w:rPr>
          <w:rFonts w:ascii="Arial" w:hAnsi="Arial" w:cs="Arial"/>
          <w:sz w:val="22"/>
          <w:szCs w:val="22"/>
        </w:rPr>
        <w:t>since the identification of the first case in 5 March 2021</w:t>
      </w:r>
      <w:r w:rsidR="000E63DD" w:rsidRPr="006237B7">
        <w:rPr>
          <w:rFonts w:ascii="Arial" w:hAnsi="Arial" w:cs="Arial"/>
          <w:sz w:val="22"/>
          <w:szCs w:val="22"/>
        </w:rPr>
        <w:t xml:space="preserve"> up to the date </w:t>
      </w:r>
      <w:r w:rsidR="006C353D" w:rsidRPr="006237B7">
        <w:rPr>
          <w:rFonts w:ascii="Arial" w:hAnsi="Arial" w:cs="Arial"/>
          <w:sz w:val="22"/>
          <w:szCs w:val="22"/>
        </w:rPr>
        <w:t xml:space="preserve">. </w:t>
      </w:r>
      <w:r w:rsidR="000E63DD" w:rsidRPr="006237B7">
        <w:rPr>
          <w:rFonts w:ascii="Arial" w:hAnsi="Arial" w:cs="Arial"/>
          <w:sz w:val="22"/>
          <w:szCs w:val="22"/>
        </w:rPr>
        <w:t xml:space="preserve">These acts harmed the health situation as well as the economy. </w:t>
      </w:r>
      <w:r w:rsidR="006C353D" w:rsidRPr="006237B7">
        <w:rPr>
          <w:rFonts w:ascii="Arial" w:hAnsi="Arial" w:cs="Arial"/>
          <w:sz w:val="22"/>
          <w:szCs w:val="22"/>
        </w:rPr>
        <w:t xml:space="preserve">In addition, “violation of freedom of expression continued and </w:t>
      </w:r>
      <w:r w:rsidR="008E19D4" w:rsidRPr="006237B7">
        <w:rPr>
          <w:rFonts w:ascii="Arial" w:hAnsi="Arial" w:cs="Arial"/>
          <w:sz w:val="22"/>
          <w:szCs w:val="22"/>
        </w:rPr>
        <w:t>increased</w:t>
      </w:r>
      <w:r w:rsidR="006C353D" w:rsidRPr="006237B7">
        <w:rPr>
          <w:rFonts w:ascii="Arial" w:hAnsi="Arial" w:cs="Arial"/>
          <w:sz w:val="22"/>
          <w:szCs w:val="22"/>
        </w:rPr>
        <w:t xml:space="preserve"> with increasing variety of methods”</w:t>
      </w:r>
      <w:r w:rsidR="000E63DD" w:rsidRPr="006237B7">
        <w:rPr>
          <w:rStyle w:val="FootnoteReference"/>
          <w:rFonts w:ascii="Arial" w:hAnsi="Arial" w:cs="Arial"/>
          <w:sz w:val="22"/>
          <w:szCs w:val="22"/>
        </w:rPr>
        <w:footnoteReference w:id="55"/>
      </w:r>
      <w:r w:rsidRPr="006237B7">
        <w:rPr>
          <w:rFonts w:ascii="Arial" w:hAnsi="Arial" w:cs="Arial"/>
          <w:sz w:val="22"/>
          <w:szCs w:val="22"/>
        </w:rPr>
        <w:t>.</w:t>
      </w:r>
      <w:r w:rsidR="000E63DD" w:rsidRPr="006237B7">
        <w:rPr>
          <w:rFonts w:ascii="Arial" w:hAnsi="Arial" w:cs="Arial"/>
          <w:sz w:val="22"/>
          <w:szCs w:val="22"/>
        </w:rPr>
        <w:t xml:space="preserve">  </w:t>
      </w:r>
    </w:p>
    <w:p w14:paraId="3BC40C9F" w14:textId="77777777" w:rsidR="006C353D" w:rsidRPr="006237B7" w:rsidRDefault="006C353D" w:rsidP="006C353D">
      <w:pPr>
        <w:pStyle w:val="Body"/>
        <w:shd w:val="clear" w:color="auto" w:fill="FFFFFF"/>
        <w:spacing w:before="100" w:after="100" w:line="360" w:lineRule="auto"/>
        <w:ind w:left="360"/>
        <w:rPr>
          <w:rFonts w:ascii="Arial" w:hAnsi="Arial" w:cs="Arial"/>
          <w:lang w:val="en-GB"/>
        </w:rPr>
      </w:pPr>
    </w:p>
    <w:p w14:paraId="3416F9C6" w14:textId="1CE7DEA3" w:rsidR="00827108" w:rsidRPr="006237B7" w:rsidRDefault="00827108" w:rsidP="00DE1276">
      <w:pPr>
        <w:shd w:val="clear" w:color="auto" w:fill="FFFFFF"/>
        <w:spacing w:before="100" w:beforeAutospacing="1" w:after="100" w:afterAutospacing="1"/>
        <w:rPr>
          <w:rFonts w:ascii="Arial" w:eastAsia="Calibri" w:hAnsi="Arial" w:cs="Arial"/>
          <w:sz w:val="22"/>
          <w:szCs w:val="22"/>
          <w:u w:color="000000"/>
          <w:lang w:val="en-GB"/>
        </w:rPr>
      </w:pPr>
    </w:p>
    <w:sectPr w:rsidR="00827108" w:rsidRPr="006237B7">
      <w:footerReference w:type="default" r:id="rId8"/>
      <w:endnotePr>
        <w:numFmt w:val="decimal"/>
      </w:endnotePr>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23345C" w14:textId="77777777" w:rsidR="005A0E49" w:rsidRDefault="005A0E49">
      <w:r>
        <w:separator/>
      </w:r>
    </w:p>
  </w:endnote>
  <w:endnote w:type="continuationSeparator" w:id="0">
    <w:p w14:paraId="0C2D9452" w14:textId="77777777" w:rsidR="005A0E49" w:rsidRDefault="005A0E49">
      <w:r>
        <w:continuationSeparator/>
      </w:r>
    </w:p>
  </w:endnote>
  <w:endnote w:type="continuationNotice" w:id="1">
    <w:p w14:paraId="4D330371" w14:textId="77777777" w:rsidR="005A0E49" w:rsidRDefault="005A0E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0"/>
        <w:szCs w:val="20"/>
      </w:rPr>
      <w:id w:val="-238180833"/>
      <w:docPartObj>
        <w:docPartGallery w:val="Page Numbers (Bottom of Page)"/>
        <w:docPartUnique/>
      </w:docPartObj>
    </w:sdtPr>
    <w:sdtContent>
      <w:sdt>
        <w:sdtPr>
          <w:rPr>
            <w:rFonts w:ascii="Arial" w:hAnsi="Arial" w:cs="Arial"/>
            <w:sz w:val="20"/>
            <w:szCs w:val="20"/>
          </w:rPr>
          <w:id w:val="-1669238322"/>
          <w:docPartObj>
            <w:docPartGallery w:val="Page Numbers (Top of Page)"/>
            <w:docPartUnique/>
          </w:docPartObj>
        </w:sdtPr>
        <w:sdtContent>
          <w:p w14:paraId="2D06EB24" w14:textId="6E379177" w:rsidR="00770607" w:rsidRPr="00800BCA" w:rsidRDefault="00770607">
            <w:pPr>
              <w:pStyle w:val="Footer"/>
              <w:jc w:val="center"/>
              <w:rPr>
                <w:rFonts w:ascii="Arial" w:hAnsi="Arial" w:cs="Arial"/>
                <w:sz w:val="20"/>
                <w:szCs w:val="20"/>
              </w:rPr>
            </w:pPr>
            <w:r w:rsidRPr="00800BCA">
              <w:rPr>
                <w:rFonts w:ascii="Arial" w:hAnsi="Arial" w:cs="Arial"/>
                <w:sz w:val="20"/>
                <w:szCs w:val="20"/>
              </w:rPr>
              <w:t xml:space="preserve">Page </w:t>
            </w:r>
            <w:r w:rsidRPr="00800BCA">
              <w:rPr>
                <w:rFonts w:ascii="Arial" w:hAnsi="Arial" w:cs="Arial"/>
                <w:sz w:val="20"/>
                <w:szCs w:val="20"/>
              </w:rPr>
              <w:fldChar w:fldCharType="begin"/>
            </w:r>
            <w:r w:rsidRPr="00800BCA">
              <w:rPr>
                <w:rFonts w:ascii="Arial" w:hAnsi="Arial" w:cs="Arial"/>
                <w:sz w:val="20"/>
                <w:szCs w:val="20"/>
              </w:rPr>
              <w:instrText xml:space="preserve"> PAGE </w:instrText>
            </w:r>
            <w:r w:rsidRPr="00800BCA">
              <w:rPr>
                <w:rFonts w:ascii="Arial" w:hAnsi="Arial" w:cs="Arial"/>
                <w:sz w:val="20"/>
                <w:szCs w:val="20"/>
              </w:rPr>
              <w:fldChar w:fldCharType="separate"/>
            </w:r>
            <w:r>
              <w:rPr>
                <w:rFonts w:ascii="Arial" w:hAnsi="Arial" w:cs="Arial"/>
                <w:noProof/>
                <w:sz w:val="20"/>
                <w:szCs w:val="20"/>
              </w:rPr>
              <w:t>1</w:t>
            </w:r>
            <w:r w:rsidRPr="00800BCA">
              <w:rPr>
                <w:rFonts w:ascii="Arial" w:hAnsi="Arial" w:cs="Arial"/>
                <w:sz w:val="20"/>
                <w:szCs w:val="20"/>
              </w:rPr>
              <w:fldChar w:fldCharType="end"/>
            </w:r>
            <w:r w:rsidRPr="00800BCA">
              <w:rPr>
                <w:rFonts w:ascii="Arial" w:hAnsi="Arial" w:cs="Arial"/>
                <w:sz w:val="20"/>
                <w:szCs w:val="20"/>
              </w:rPr>
              <w:t xml:space="preserve"> of </w:t>
            </w:r>
            <w:r w:rsidRPr="00800BCA">
              <w:rPr>
                <w:rFonts w:ascii="Arial" w:hAnsi="Arial" w:cs="Arial"/>
                <w:sz w:val="20"/>
                <w:szCs w:val="20"/>
              </w:rPr>
              <w:fldChar w:fldCharType="begin"/>
            </w:r>
            <w:r w:rsidRPr="00800BCA">
              <w:rPr>
                <w:rFonts w:ascii="Arial" w:hAnsi="Arial" w:cs="Arial"/>
                <w:sz w:val="20"/>
                <w:szCs w:val="20"/>
              </w:rPr>
              <w:instrText xml:space="preserve"> NUMPAGES  </w:instrText>
            </w:r>
            <w:r w:rsidRPr="00800BCA">
              <w:rPr>
                <w:rFonts w:ascii="Arial" w:hAnsi="Arial" w:cs="Arial"/>
                <w:sz w:val="20"/>
                <w:szCs w:val="20"/>
              </w:rPr>
              <w:fldChar w:fldCharType="separate"/>
            </w:r>
            <w:r>
              <w:rPr>
                <w:rFonts w:ascii="Arial" w:hAnsi="Arial" w:cs="Arial"/>
                <w:noProof/>
                <w:sz w:val="20"/>
                <w:szCs w:val="20"/>
              </w:rPr>
              <w:t>24</w:t>
            </w:r>
            <w:r w:rsidRPr="00800BCA">
              <w:rPr>
                <w:rFonts w:ascii="Arial" w:hAnsi="Arial" w:cs="Arial"/>
                <w:sz w:val="20"/>
                <w:szCs w:val="20"/>
              </w:rPr>
              <w:fldChar w:fldCharType="end"/>
            </w:r>
          </w:p>
        </w:sdtContent>
      </w:sdt>
    </w:sdtContent>
  </w:sdt>
  <w:p w14:paraId="129604EB" w14:textId="77777777" w:rsidR="00770607" w:rsidRDefault="00770607">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CC4E35" w14:textId="77777777" w:rsidR="005A0E49" w:rsidRDefault="005A0E49">
      <w:r>
        <w:separator/>
      </w:r>
    </w:p>
  </w:footnote>
  <w:footnote w:type="continuationSeparator" w:id="0">
    <w:p w14:paraId="5D53C7C9" w14:textId="77777777" w:rsidR="005A0E49" w:rsidRDefault="005A0E49">
      <w:r>
        <w:continuationSeparator/>
      </w:r>
    </w:p>
  </w:footnote>
  <w:footnote w:id="1">
    <w:p w14:paraId="03DBD514" w14:textId="79C25312" w:rsidR="00770607" w:rsidRPr="000E63DD" w:rsidRDefault="00770607">
      <w:pPr>
        <w:pStyle w:val="FootnoteText"/>
        <w:rPr>
          <w:rFonts w:ascii="Arial" w:hAnsi="Arial" w:cs="Arial"/>
        </w:rPr>
      </w:pPr>
      <w:r w:rsidRPr="000E63DD">
        <w:rPr>
          <w:rStyle w:val="FootnoteReference"/>
          <w:rFonts w:ascii="Arial" w:hAnsi="Arial" w:cs="Arial"/>
        </w:rPr>
        <w:footnoteRef/>
      </w:r>
      <w:r w:rsidRPr="000E63DD">
        <w:rPr>
          <w:rFonts w:ascii="Arial" w:hAnsi="Arial" w:cs="Arial"/>
        </w:rPr>
        <w:t xml:space="preserve"> The disengagement plan is the unilateral withdrawal of Israeli settlers and ground troops from the Gaza Strip in 2005. See: Al-Haq (2005), One Year after the ‘Disengagement’: Gaza still Occupied and under Attack Definition of disengagement plan </w:t>
      </w:r>
    </w:p>
  </w:footnote>
  <w:footnote w:id="2">
    <w:p w14:paraId="405874F7" w14:textId="16CB5CCB" w:rsidR="00770607" w:rsidRPr="000E63DD" w:rsidRDefault="00770607" w:rsidP="00F858C4">
      <w:pPr>
        <w:pStyle w:val="FootnoteText"/>
        <w:rPr>
          <w:rFonts w:ascii="Arial" w:hAnsi="Arial" w:cs="Arial"/>
        </w:rPr>
      </w:pPr>
      <w:r w:rsidRPr="000E63DD">
        <w:rPr>
          <w:rStyle w:val="FootnoteReference"/>
          <w:rFonts w:ascii="Arial" w:hAnsi="Arial" w:cs="Arial"/>
        </w:rPr>
        <w:footnoteRef/>
      </w:r>
      <w:r w:rsidRPr="000E63DD">
        <w:rPr>
          <w:rFonts w:ascii="Arial" w:hAnsi="Arial" w:cs="Arial"/>
        </w:rPr>
        <w:t xml:space="preserve"> Committee on Economic, Social and Cultural Rights - Concluding observations in 2003 and 2011 </w:t>
      </w:r>
    </w:p>
  </w:footnote>
  <w:footnote w:id="3">
    <w:p w14:paraId="7CF5E063" w14:textId="47B2A24D" w:rsidR="00770607" w:rsidRPr="000E63DD" w:rsidRDefault="00770607">
      <w:pPr>
        <w:pStyle w:val="FootnoteText"/>
        <w:rPr>
          <w:rFonts w:ascii="Arial" w:hAnsi="Arial" w:cs="Arial"/>
        </w:rPr>
      </w:pPr>
      <w:r w:rsidRPr="000E63DD">
        <w:rPr>
          <w:rStyle w:val="FootnoteReference"/>
          <w:rFonts w:ascii="Arial" w:hAnsi="Arial" w:cs="Arial"/>
        </w:rPr>
        <w:footnoteRef/>
      </w:r>
      <w:r w:rsidRPr="000E63DD">
        <w:rPr>
          <w:rFonts w:ascii="Arial" w:hAnsi="Arial" w:cs="Arial"/>
        </w:rPr>
        <w:t xml:space="preserve"> 101.3 mcm from the mountain aquifer and 40.6 from springs. Source: Palestinian Central Bureau of Statistics </w:t>
      </w:r>
      <w:hyperlink r:id="rId1" w:history="1">
        <w:r w:rsidRPr="000E63DD">
          <w:rPr>
            <w:rStyle w:val="Hyperlink"/>
            <w:rFonts w:ascii="Arial" w:hAnsi="Arial" w:cs="Arial"/>
          </w:rPr>
          <w:t>http://www.pcbs.gov.ps/postar.aspx?lang=ar&amp;ItemID=3943</w:t>
        </w:r>
      </w:hyperlink>
    </w:p>
  </w:footnote>
  <w:footnote w:id="4">
    <w:p w14:paraId="63A29659" w14:textId="7DE31A5E" w:rsidR="00770607" w:rsidRPr="000E63DD" w:rsidRDefault="00770607">
      <w:pPr>
        <w:pStyle w:val="FootnoteText"/>
        <w:rPr>
          <w:rFonts w:ascii="Arial" w:hAnsi="Arial" w:cs="Arial"/>
          <w:lang w:val="de-DE"/>
        </w:rPr>
      </w:pPr>
      <w:r w:rsidRPr="000E63DD">
        <w:rPr>
          <w:rStyle w:val="FootnoteReference"/>
          <w:rFonts w:ascii="Arial" w:hAnsi="Arial" w:cs="Arial"/>
        </w:rPr>
        <w:footnoteRef/>
      </w:r>
      <w:r w:rsidRPr="000E63DD">
        <w:rPr>
          <w:rFonts w:ascii="Arial" w:hAnsi="Arial" w:cs="Arial"/>
        </w:rPr>
        <w:t xml:space="preserve"> </w:t>
      </w:r>
      <w:r w:rsidRPr="000E63DD">
        <w:rPr>
          <w:rFonts w:ascii="Arial" w:hAnsi="Arial" w:cs="Arial"/>
          <w:lang w:val="de-DE"/>
        </w:rPr>
        <w:t>Regional resources like the Mountain Aquifer as of Oslo (not including minor local aquifers like the Eocene or the Pleistocene)</w:t>
      </w:r>
    </w:p>
  </w:footnote>
  <w:footnote w:id="5">
    <w:p w14:paraId="43712041" w14:textId="76D4D928" w:rsidR="00770607" w:rsidRPr="000E63DD" w:rsidRDefault="00770607">
      <w:pPr>
        <w:pStyle w:val="FootnoteText"/>
        <w:rPr>
          <w:rFonts w:ascii="Arial" w:hAnsi="Arial" w:cs="Arial"/>
        </w:rPr>
      </w:pPr>
      <w:r w:rsidRPr="000E63DD">
        <w:rPr>
          <w:rStyle w:val="FootnoteReference"/>
          <w:rFonts w:ascii="Arial" w:hAnsi="Arial" w:cs="Arial"/>
        </w:rPr>
        <w:footnoteRef/>
      </w:r>
      <w:r w:rsidRPr="000E63DD">
        <w:rPr>
          <w:rFonts w:ascii="Arial" w:hAnsi="Arial" w:cs="Arial"/>
        </w:rPr>
        <w:t xml:space="preserve"> Rough estimate as detailed below: </w:t>
      </w:r>
    </w:p>
    <w:p w14:paraId="65C52E37" w14:textId="5F95283B" w:rsidR="00770607" w:rsidRPr="000E63DD" w:rsidRDefault="00770607" w:rsidP="00613F71">
      <w:pPr>
        <w:pStyle w:val="FootnoteText"/>
        <w:numPr>
          <w:ilvl w:val="0"/>
          <w:numId w:val="3"/>
        </w:numPr>
        <w:rPr>
          <w:rFonts w:ascii="Arial" w:hAnsi="Arial" w:cs="Arial"/>
        </w:rPr>
      </w:pPr>
      <w:r w:rsidRPr="000E63DD">
        <w:rPr>
          <w:rFonts w:ascii="Arial" w:hAnsi="Arial" w:cs="Arial"/>
        </w:rPr>
        <w:t>Jordan River 254 mcm/yr as per Johnston plan (1953)</w:t>
      </w:r>
    </w:p>
    <w:p w14:paraId="63B2B8AB" w14:textId="6AF1F5DE" w:rsidR="00770607" w:rsidRPr="000E63DD" w:rsidRDefault="00770607" w:rsidP="00613F71">
      <w:pPr>
        <w:pStyle w:val="FootnoteText"/>
        <w:numPr>
          <w:ilvl w:val="0"/>
          <w:numId w:val="3"/>
        </w:numPr>
        <w:rPr>
          <w:rFonts w:ascii="Arial" w:hAnsi="Arial" w:cs="Arial"/>
        </w:rPr>
      </w:pPr>
      <w:r w:rsidRPr="000E63DD">
        <w:rPr>
          <w:rFonts w:ascii="Arial" w:hAnsi="Arial" w:cs="Arial"/>
        </w:rPr>
        <w:t xml:space="preserve">Western Aquifer Basin 192 mcm/yr, half of the safe yield of 384 mcm/yr </w:t>
      </w:r>
    </w:p>
    <w:p w14:paraId="343FC302" w14:textId="7835530B" w:rsidR="00770607" w:rsidRPr="000E63DD" w:rsidRDefault="00770607" w:rsidP="00613F71">
      <w:pPr>
        <w:pStyle w:val="FootnoteText"/>
        <w:numPr>
          <w:ilvl w:val="0"/>
          <w:numId w:val="3"/>
        </w:numPr>
        <w:rPr>
          <w:rFonts w:ascii="Arial" w:hAnsi="Arial" w:cs="Arial"/>
        </w:rPr>
      </w:pPr>
      <w:r w:rsidRPr="000E63DD">
        <w:rPr>
          <w:rFonts w:ascii="Arial" w:hAnsi="Arial" w:cs="Arial"/>
        </w:rPr>
        <w:t xml:space="preserve">North-Eastern Aquifer Basin 72 mcm/yr, half of Oslo Peace Accords’ yield of 145 mcm/yr </w:t>
      </w:r>
    </w:p>
    <w:p w14:paraId="37B8165D" w14:textId="690A7354" w:rsidR="00770607" w:rsidRPr="000E63DD" w:rsidRDefault="00770607" w:rsidP="00613F71">
      <w:pPr>
        <w:pStyle w:val="FootnoteText"/>
        <w:numPr>
          <w:ilvl w:val="0"/>
          <w:numId w:val="3"/>
        </w:numPr>
        <w:rPr>
          <w:rFonts w:ascii="Arial" w:hAnsi="Arial" w:cs="Arial"/>
        </w:rPr>
      </w:pPr>
      <w:r w:rsidRPr="000E63DD">
        <w:rPr>
          <w:rFonts w:ascii="Arial" w:hAnsi="Arial" w:cs="Arial"/>
        </w:rPr>
        <w:t>Eastern Aquifer Basin 150 mcm/yr. According to the Oslo Peace Accords, its yield is roughly 170 mcm/yr (of which 150 for the Palestinians and the surplus for Israel)</w:t>
      </w:r>
    </w:p>
  </w:footnote>
  <w:footnote w:id="6">
    <w:p w14:paraId="269D9C88" w14:textId="57A26C7C" w:rsidR="00770607" w:rsidRPr="000E63DD" w:rsidRDefault="00770607">
      <w:pPr>
        <w:pStyle w:val="FootnoteText"/>
        <w:rPr>
          <w:rFonts w:ascii="Arial" w:hAnsi="Arial" w:cs="Arial"/>
        </w:rPr>
      </w:pPr>
      <w:r w:rsidRPr="000E63DD">
        <w:rPr>
          <w:rStyle w:val="FootnoteReference"/>
          <w:rFonts w:ascii="Arial" w:hAnsi="Arial" w:cs="Arial"/>
        </w:rPr>
        <w:footnoteRef/>
      </w:r>
      <w:r w:rsidRPr="000E63DD">
        <w:rPr>
          <w:rFonts w:ascii="Arial" w:hAnsi="Arial" w:cs="Arial"/>
        </w:rPr>
        <w:t xml:space="preserve"> I did not include quantities abstracted from the Southern end of the Costal Aquifer by the Gaza Strip as most of this water cannot be counted as fresh and therefore is unfit for human consumption. </w:t>
      </w:r>
    </w:p>
  </w:footnote>
  <w:footnote w:id="7">
    <w:p w14:paraId="6FDB7603" w14:textId="6C9B3972" w:rsidR="00770607" w:rsidRPr="000E63DD" w:rsidRDefault="00770607">
      <w:pPr>
        <w:pStyle w:val="FootnoteText"/>
        <w:rPr>
          <w:rFonts w:ascii="Arial" w:hAnsi="Arial" w:cs="Arial"/>
        </w:rPr>
      </w:pPr>
      <w:r w:rsidRPr="000E63DD">
        <w:rPr>
          <w:rStyle w:val="FootnoteReference"/>
          <w:rFonts w:ascii="Arial" w:hAnsi="Arial" w:cs="Arial"/>
        </w:rPr>
        <w:footnoteRef/>
      </w:r>
      <w:r w:rsidRPr="000E63DD">
        <w:rPr>
          <w:rFonts w:ascii="Arial" w:hAnsi="Arial" w:cs="Arial"/>
        </w:rPr>
        <w:t xml:space="preserve"> Military order No 92 (15.08.1967)</w:t>
      </w:r>
    </w:p>
  </w:footnote>
  <w:footnote w:id="8">
    <w:p w14:paraId="60CBB0E2" w14:textId="6C032B51" w:rsidR="00770607" w:rsidRPr="000E63DD" w:rsidRDefault="00770607">
      <w:pPr>
        <w:pStyle w:val="FootnoteText"/>
        <w:rPr>
          <w:rFonts w:ascii="Arial" w:hAnsi="Arial" w:cs="Arial"/>
        </w:rPr>
      </w:pPr>
      <w:r w:rsidRPr="000E63DD">
        <w:rPr>
          <w:rStyle w:val="FootnoteReference"/>
          <w:rFonts w:ascii="Arial" w:hAnsi="Arial" w:cs="Arial"/>
        </w:rPr>
        <w:footnoteRef/>
      </w:r>
      <w:r w:rsidRPr="000E63DD">
        <w:rPr>
          <w:rFonts w:ascii="Arial" w:hAnsi="Arial" w:cs="Arial"/>
        </w:rPr>
        <w:t xml:space="preserve"> Military order No 158 (19.11.1967)</w:t>
      </w:r>
    </w:p>
  </w:footnote>
  <w:footnote w:id="9">
    <w:p w14:paraId="68CB6B33" w14:textId="42DA88E9" w:rsidR="00770607" w:rsidRPr="000E63DD" w:rsidRDefault="00770607">
      <w:pPr>
        <w:pStyle w:val="FootnoteText"/>
        <w:rPr>
          <w:rFonts w:ascii="Arial" w:hAnsi="Arial" w:cs="Arial"/>
        </w:rPr>
      </w:pPr>
      <w:r w:rsidRPr="000E63DD">
        <w:rPr>
          <w:rStyle w:val="FootnoteReference"/>
          <w:rFonts w:ascii="Arial" w:hAnsi="Arial" w:cs="Arial"/>
        </w:rPr>
        <w:footnoteRef/>
      </w:r>
      <w:r w:rsidRPr="000E63DD">
        <w:rPr>
          <w:rFonts w:ascii="Arial" w:hAnsi="Arial" w:cs="Arial"/>
        </w:rPr>
        <w:t xml:space="preserve"> Military order No 291 (19.12.1968)</w:t>
      </w:r>
    </w:p>
  </w:footnote>
  <w:footnote w:id="10">
    <w:p w14:paraId="6EA87777" w14:textId="4ED76B65" w:rsidR="00770607" w:rsidRPr="000E63DD" w:rsidRDefault="00770607">
      <w:pPr>
        <w:pStyle w:val="FootnoteText"/>
        <w:rPr>
          <w:rFonts w:ascii="Arial" w:hAnsi="Arial" w:cs="Arial"/>
        </w:rPr>
      </w:pPr>
      <w:r w:rsidRPr="000E63DD">
        <w:rPr>
          <w:rStyle w:val="FootnoteReference"/>
          <w:rFonts w:ascii="Arial" w:hAnsi="Arial" w:cs="Arial"/>
        </w:rPr>
        <w:footnoteRef/>
      </w:r>
      <w:r w:rsidRPr="000E63DD">
        <w:rPr>
          <w:rFonts w:ascii="Arial" w:hAnsi="Arial" w:cs="Arial"/>
        </w:rPr>
        <w:t xml:space="preserve"> </w:t>
      </w:r>
      <w:r w:rsidRPr="000E63DD">
        <w:rPr>
          <w:rStyle w:val="None"/>
          <w:rFonts w:ascii="Arial" w:hAnsi="Arial" w:cs="Arial"/>
          <w:u w:color="222222"/>
          <w:shd w:val="clear" w:color="auto" w:fill="FFFFFF"/>
        </w:rPr>
        <w:t>Shehadeh, Raja (1985). </w:t>
      </w:r>
      <w:r w:rsidRPr="000E63DD">
        <w:rPr>
          <w:rStyle w:val="None"/>
          <w:rFonts w:ascii="Arial" w:hAnsi="Arial" w:cs="Arial"/>
          <w:i/>
          <w:iCs/>
          <w:u w:color="222222"/>
          <w:shd w:val="clear" w:color="auto" w:fill="FFFFFF"/>
        </w:rPr>
        <w:t>Occupier's Law, Israel and the West Bank</w:t>
      </w:r>
      <w:r w:rsidRPr="000E63DD">
        <w:rPr>
          <w:rStyle w:val="None"/>
          <w:rFonts w:ascii="Arial" w:hAnsi="Arial" w:cs="Arial"/>
          <w:u w:color="222222"/>
          <w:shd w:val="clear" w:color="auto" w:fill="FFFFFF"/>
        </w:rPr>
        <w:t>. Washington DC: Institute for Palestine Studies.</w:t>
      </w:r>
    </w:p>
  </w:footnote>
  <w:footnote w:id="11">
    <w:p w14:paraId="2E7AAC17" w14:textId="1C1D9327" w:rsidR="00770607" w:rsidRPr="00562607" w:rsidRDefault="00770607" w:rsidP="00AE6A84">
      <w:pPr>
        <w:pStyle w:val="FootnoteText"/>
        <w:rPr>
          <w:rFonts w:ascii="Arial" w:hAnsi="Arial" w:cs="Arial"/>
        </w:rPr>
      </w:pPr>
      <w:r w:rsidRPr="000E63DD">
        <w:rPr>
          <w:rStyle w:val="FootnoteReference"/>
          <w:rFonts w:ascii="Arial" w:hAnsi="Arial" w:cs="Arial"/>
        </w:rPr>
        <w:footnoteRef/>
      </w:r>
      <w:r w:rsidRPr="000E63DD">
        <w:rPr>
          <w:rFonts w:ascii="Arial" w:hAnsi="Arial" w:cs="Arial"/>
        </w:rPr>
        <w:t xml:space="preserve"> In the JWC, Israel uses its veto power to deny the vast majority of the project applications submitted the committee. Projects in areas C, which comprise of 61% of the West Bank, require in addition to the approval of the JWC an official military permit by the Israeli Civil Administration. Moreover, in 1997, the committee started making its approval of Palestinian projects conditional of the Palestinians approval of water projects of the illegal Israeli settlements. Thus, Israel has a triple veto power.</w:t>
      </w:r>
      <w:r w:rsidRPr="00562607">
        <w:rPr>
          <w:rFonts w:ascii="Arial" w:hAnsi="Arial" w:cs="Arial"/>
        </w:rPr>
        <w:t xml:space="preserve"> </w:t>
      </w:r>
    </w:p>
  </w:footnote>
  <w:footnote w:id="12">
    <w:p w14:paraId="6C3661BD" w14:textId="309DC7FB" w:rsidR="00DC71AB" w:rsidRDefault="00DC71AB">
      <w:pPr>
        <w:pStyle w:val="FootnoteText"/>
      </w:pPr>
      <w:r>
        <w:rPr>
          <w:rStyle w:val="FootnoteReference"/>
        </w:rPr>
        <w:footnoteRef/>
      </w:r>
      <w:r>
        <w:t xml:space="preserve"> </w:t>
      </w:r>
      <w:r w:rsidRPr="000E63DD">
        <w:rPr>
          <w:rFonts w:ascii="Arial" w:hAnsi="Arial" w:cs="Arial"/>
        </w:rPr>
        <w:t xml:space="preserve">Oslo Peace Accords divided the West Bank into three administrative areas: Area C -which consists 61% of the West Bank- is under full Israeli control, Area B is under Israeli military control but the Palestinian Authority provides the administrative services and </w:t>
      </w:r>
      <w:r w:rsidR="0046426A">
        <w:rPr>
          <w:rFonts w:ascii="Arial" w:hAnsi="Arial" w:cs="Arial"/>
        </w:rPr>
        <w:t>A</w:t>
      </w:r>
      <w:r w:rsidRPr="000E63DD">
        <w:rPr>
          <w:rFonts w:ascii="Arial" w:hAnsi="Arial" w:cs="Arial"/>
        </w:rPr>
        <w:t>rea A is under the control of the Palestinian Authority. This divide was supposed to end as Israel withdraw from the West Bank, which did not happen</w:t>
      </w:r>
    </w:p>
  </w:footnote>
  <w:footnote w:id="13">
    <w:p w14:paraId="33AEC9E0" w14:textId="6A50FF34" w:rsidR="00770607" w:rsidRPr="000E63DD" w:rsidRDefault="00770607" w:rsidP="00CE508F">
      <w:pPr>
        <w:pStyle w:val="FootnoteText"/>
        <w:rPr>
          <w:rFonts w:ascii="Arial" w:hAnsi="Arial" w:cs="Arial"/>
        </w:rPr>
      </w:pPr>
      <w:r w:rsidRPr="000E63DD">
        <w:rPr>
          <w:rStyle w:val="FootnoteReference"/>
          <w:rFonts w:ascii="Arial" w:hAnsi="Arial" w:cs="Arial"/>
        </w:rPr>
        <w:footnoteRef/>
      </w:r>
      <w:r w:rsidRPr="000E63DD">
        <w:rPr>
          <w:rFonts w:ascii="Arial" w:hAnsi="Arial" w:cs="Arial"/>
        </w:rPr>
        <w:t xml:space="preserve"> The term “sever</w:t>
      </w:r>
      <w:r w:rsidR="008E19D4">
        <w:rPr>
          <w:rFonts w:ascii="Arial" w:hAnsi="Arial" w:cs="Arial"/>
        </w:rPr>
        <w:t>e</w:t>
      </w:r>
      <w:r w:rsidRPr="000E63DD">
        <w:rPr>
          <w:rFonts w:ascii="Arial" w:hAnsi="Arial" w:cs="Arial"/>
        </w:rPr>
        <w:t xml:space="preserve"> constrains” was used by UN OCHA, Special Focus: Restricting Space: The Planning Regime Applied by Israel in Area C of the West Bank, December 2009, at P. 16.</w:t>
      </w:r>
    </w:p>
  </w:footnote>
  <w:footnote w:id="14">
    <w:p w14:paraId="0E368FE0" w14:textId="79AE1609" w:rsidR="00770607" w:rsidRPr="000E63DD" w:rsidRDefault="00770607">
      <w:pPr>
        <w:pStyle w:val="FootnoteText"/>
        <w:rPr>
          <w:rFonts w:ascii="Arial" w:hAnsi="Arial" w:cs="Arial"/>
        </w:rPr>
      </w:pPr>
      <w:r w:rsidRPr="000E63DD">
        <w:rPr>
          <w:rStyle w:val="FootnoteReference"/>
          <w:rFonts w:ascii="Arial" w:hAnsi="Arial" w:cs="Arial"/>
        </w:rPr>
        <w:footnoteRef/>
      </w:r>
      <w:r w:rsidRPr="000E63DD">
        <w:rPr>
          <w:rFonts w:ascii="Arial" w:hAnsi="Arial" w:cs="Arial"/>
        </w:rPr>
        <w:t xml:space="preserve"> Jan Selby (26.01.2017), Renewing cooperation on water: what hope for the two-state solution? </w:t>
      </w:r>
      <w:hyperlink r:id="rId2" w:history="1">
        <w:r w:rsidRPr="000E63DD">
          <w:rPr>
            <w:rStyle w:val="Hyperlink"/>
            <w:rFonts w:ascii="Arial" w:hAnsi="Arial" w:cs="Arial"/>
          </w:rPr>
          <w:t>https://www.opendemocracy.net/en/north-africa-west-asia/what-hope-for-two-state-solution/</w:t>
        </w:r>
      </w:hyperlink>
    </w:p>
  </w:footnote>
  <w:footnote w:id="15">
    <w:p w14:paraId="15FAD994" w14:textId="5E7B1906" w:rsidR="00770607" w:rsidRPr="000E63DD" w:rsidRDefault="00770607">
      <w:pPr>
        <w:pStyle w:val="FootnoteText"/>
        <w:rPr>
          <w:rFonts w:ascii="Arial" w:hAnsi="Arial" w:cs="Arial"/>
        </w:rPr>
      </w:pPr>
      <w:r w:rsidRPr="000E63DD">
        <w:rPr>
          <w:rStyle w:val="FootnoteReference"/>
          <w:rFonts w:ascii="Arial" w:hAnsi="Arial" w:cs="Arial"/>
        </w:rPr>
        <w:footnoteRef/>
      </w:r>
      <w:r w:rsidRPr="000E63DD">
        <w:rPr>
          <w:rFonts w:ascii="Arial" w:hAnsi="Arial" w:cs="Arial"/>
        </w:rPr>
        <w:t xml:space="preserve"> Legal Task Force – Protection Cluster in the occupied Palestinian territory, presentation for the Association of International Development Agencies on 16.12.2020</w:t>
      </w:r>
    </w:p>
  </w:footnote>
  <w:footnote w:id="16">
    <w:p w14:paraId="5B2A25CB" w14:textId="6F655A52" w:rsidR="00770607" w:rsidRPr="000E63DD" w:rsidRDefault="00770607">
      <w:pPr>
        <w:pStyle w:val="FootnoteText"/>
        <w:rPr>
          <w:rFonts w:ascii="Arial" w:hAnsi="Arial" w:cs="Arial"/>
        </w:rPr>
      </w:pPr>
      <w:r w:rsidRPr="000E63DD">
        <w:rPr>
          <w:rStyle w:val="FootnoteReference"/>
          <w:rFonts w:ascii="Arial" w:hAnsi="Arial" w:cs="Arial"/>
        </w:rPr>
        <w:footnoteRef/>
      </w:r>
      <w:r w:rsidRPr="000E63DD">
        <w:rPr>
          <w:rFonts w:ascii="Arial" w:hAnsi="Arial" w:cs="Arial"/>
        </w:rPr>
        <w:t xml:space="preserve"> Article 40.2 of Annex II states that both sides of the agreement “recognize the necessity to develop additional water for various uses”. However, the Oslo Accords stipulated a false and highly discriminatory estimation of so-called ‘’future water needs’’ of the Palestinians in the West Bank of 70 – 80 mcm/yr for the 4 years of the interim period, while no such cap was set for Israeli “future water needs’’.</w:t>
      </w:r>
    </w:p>
  </w:footnote>
  <w:footnote w:id="17">
    <w:p w14:paraId="36F5C748" w14:textId="072E96B6" w:rsidR="00770607" w:rsidRPr="000E63DD" w:rsidRDefault="00770607">
      <w:pPr>
        <w:pStyle w:val="FootnoteText"/>
        <w:rPr>
          <w:rFonts w:ascii="Arial" w:hAnsi="Arial" w:cs="Arial"/>
        </w:rPr>
      </w:pPr>
      <w:r w:rsidRPr="000E63DD">
        <w:rPr>
          <w:rStyle w:val="FootnoteReference"/>
          <w:rFonts w:ascii="Arial" w:hAnsi="Arial" w:cs="Arial"/>
        </w:rPr>
        <w:footnoteRef/>
      </w:r>
      <w:r w:rsidRPr="000E63DD">
        <w:rPr>
          <w:rFonts w:ascii="Arial" w:hAnsi="Arial" w:cs="Arial"/>
        </w:rPr>
        <w:t xml:space="preserve"> National Water and Wastewater Strategy for Palestine: Towards Building a Palestinian State from Water Perspective (2013) Palestinian Water Authority</w:t>
      </w:r>
    </w:p>
  </w:footnote>
  <w:footnote w:id="18">
    <w:p w14:paraId="6D585FC2" w14:textId="22508A2B" w:rsidR="00770607" w:rsidRPr="000E63DD" w:rsidRDefault="00770607" w:rsidP="003608D5">
      <w:pPr>
        <w:pStyle w:val="FootnoteText"/>
        <w:rPr>
          <w:rFonts w:ascii="Arial" w:hAnsi="Arial" w:cs="Arial"/>
          <w:lang w:val="en-GB"/>
        </w:rPr>
      </w:pPr>
      <w:r w:rsidRPr="000E63DD">
        <w:rPr>
          <w:rStyle w:val="FootnoteReference"/>
          <w:rFonts w:ascii="Arial" w:hAnsi="Arial" w:cs="Arial"/>
        </w:rPr>
        <w:footnoteRef/>
      </w:r>
      <w:r w:rsidRPr="000E63DD">
        <w:rPr>
          <w:rFonts w:ascii="Arial" w:hAnsi="Arial" w:cs="Arial"/>
        </w:rPr>
        <w:t xml:space="preserve"> </w:t>
      </w:r>
      <w:r w:rsidRPr="000E63DD">
        <w:rPr>
          <w:rFonts w:ascii="Arial" w:hAnsi="Arial" w:cs="Arial"/>
          <w:lang w:val="en-GB"/>
        </w:rPr>
        <w:t>Palestine TV, Interview with Missyef Jamel from MAS and Mahmoud el-Khafeef from UNTCAD on 11 September 2020. Last accessed on 16 September 2020. Available at: (https://www.facebook.com/PalestineTV/videos/376121420056991/UzpfSTEzNjc2MzYxMzA2NzMyMTozMzEyNTcyNDM4ODE5NzQw/)</w:t>
      </w:r>
    </w:p>
  </w:footnote>
  <w:footnote w:id="19">
    <w:p w14:paraId="1876DA30" w14:textId="234F8CF2" w:rsidR="00770607" w:rsidRPr="000E63DD" w:rsidRDefault="00770607" w:rsidP="00974E1C">
      <w:pPr>
        <w:pStyle w:val="FootnoteText"/>
        <w:rPr>
          <w:rFonts w:ascii="Arial" w:hAnsi="Arial" w:cs="Arial"/>
          <w:lang w:val="en-GB"/>
        </w:rPr>
      </w:pPr>
      <w:r w:rsidRPr="000E63DD">
        <w:rPr>
          <w:rStyle w:val="FootnoteReference"/>
          <w:rFonts w:ascii="Arial" w:hAnsi="Arial" w:cs="Arial"/>
        </w:rPr>
        <w:footnoteRef/>
      </w:r>
      <w:r w:rsidRPr="000E63DD">
        <w:rPr>
          <w:rFonts w:ascii="Arial" w:hAnsi="Arial" w:cs="Arial"/>
        </w:rPr>
        <w:t xml:space="preserve"> </w:t>
      </w:r>
      <w:r w:rsidRPr="000E63DD">
        <w:rPr>
          <w:rFonts w:ascii="Arial" w:hAnsi="Arial" w:cs="Arial"/>
          <w:lang w:val="en-GB"/>
        </w:rPr>
        <w:t>The Palestinian Ministry of National Economy and the Applied Research Institute- Jerusalem (ARIJ). (2011)</w:t>
      </w:r>
      <w:r w:rsidRPr="000E63DD">
        <w:rPr>
          <w:rFonts w:ascii="Arial" w:hAnsi="Arial" w:cs="Arial"/>
          <w:i/>
          <w:iCs/>
          <w:lang w:val="en-GB"/>
        </w:rPr>
        <w:t xml:space="preserve"> The economic costs of the Israeli occupation for the occupied Palestinian territory</w:t>
      </w:r>
      <w:r w:rsidRPr="000E63DD">
        <w:rPr>
          <w:rFonts w:ascii="Arial" w:hAnsi="Arial" w:cs="Arial"/>
          <w:lang w:val="en-GB"/>
        </w:rPr>
        <w:t>. Ramallah: The Palestinian Ministry of National Economy and ARIJ</w:t>
      </w:r>
    </w:p>
  </w:footnote>
  <w:footnote w:id="20">
    <w:p w14:paraId="4C392A50" w14:textId="7F7E8C3B" w:rsidR="00770607" w:rsidRPr="000E63DD" w:rsidRDefault="00770607" w:rsidP="00974E1C">
      <w:pPr>
        <w:pStyle w:val="FootnoteText"/>
        <w:rPr>
          <w:rFonts w:ascii="Arial" w:hAnsi="Arial" w:cs="Arial"/>
          <w:lang w:val="en-GB"/>
        </w:rPr>
      </w:pPr>
      <w:r w:rsidRPr="000E63DD">
        <w:rPr>
          <w:rStyle w:val="FootnoteReference"/>
          <w:rFonts w:ascii="Arial" w:hAnsi="Arial" w:cs="Arial"/>
        </w:rPr>
        <w:footnoteRef/>
      </w:r>
      <w:r w:rsidRPr="000E63DD">
        <w:rPr>
          <w:rFonts w:ascii="Arial" w:hAnsi="Arial" w:cs="Arial"/>
        </w:rPr>
        <w:t xml:space="preserve"> </w:t>
      </w:r>
      <w:r w:rsidRPr="000E63DD">
        <w:rPr>
          <w:rFonts w:ascii="Arial" w:hAnsi="Arial" w:cs="Arial"/>
          <w:lang w:val="en-GB"/>
        </w:rPr>
        <w:t>World Bank (2013), Palestinians Access to Area C Key to Economic Recovery and Sustainable Growth</w:t>
      </w:r>
    </w:p>
  </w:footnote>
  <w:footnote w:id="21">
    <w:p w14:paraId="10A3872B" w14:textId="6A0FFE73" w:rsidR="00770607" w:rsidRPr="00562607" w:rsidRDefault="00770607" w:rsidP="00F95D60">
      <w:pPr>
        <w:pStyle w:val="FootnoteText"/>
        <w:rPr>
          <w:rFonts w:ascii="Arial" w:hAnsi="Arial" w:cs="Arial"/>
        </w:rPr>
      </w:pPr>
      <w:r w:rsidRPr="000E63DD">
        <w:rPr>
          <w:rStyle w:val="FootnoteReference"/>
          <w:rFonts w:ascii="Arial" w:hAnsi="Arial" w:cs="Arial"/>
        </w:rPr>
        <w:footnoteRef/>
      </w:r>
      <w:r w:rsidRPr="000E63DD">
        <w:rPr>
          <w:rFonts w:ascii="Arial" w:hAnsi="Arial" w:cs="Arial"/>
        </w:rPr>
        <w:t xml:space="preserve"> The 3 figures here are separate examples. The total cost of occupation is not limited to their sum. In addition, I have not checked if there is overlapping between them or not. </w:t>
      </w:r>
      <w:r w:rsidRPr="000E63DD">
        <w:rPr>
          <w:rStyle w:val="FootnoteReference"/>
          <w:rFonts w:ascii="Arial" w:hAnsi="Arial" w:cs="Arial"/>
        </w:rPr>
        <w:footnoteRef/>
      </w:r>
      <w:r w:rsidRPr="000E63DD">
        <w:rPr>
          <w:rFonts w:ascii="Arial" w:hAnsi="Arial" w:cs="Arial"/>
        </w:rPr>
        <w:t xml:space="preserve"> </w:t>
      </w:r>
      <w:r w:rsidRPr="000E63DD">
        <w:rPr>
          <w:rFonts w:ascii="Arial" w:hAnsi="Arial" w:cs="Arial"/>
          <w:lang w:val="en-GB"/>
        </w:rPr>
        <w:t xml:space="preserve">The Applied Research Institute - Jerusalem found that the </w:t>
      </w:r>
      <w:r w:rsidRPr="000E63DD">
        <w:rPr>
          <w:rFonts w:ascii="Arial" w:hAnsi="Arial" w:cs="Arial"/>
        </w:rPr>
        <w:t xml:space="preserve">economic cost of the Israeli occupation in 2014 which they have been able to measure was 9.46 billion US$, representing almost 74.27% of Palestinian nominal GDP of that year. Source: </w:t>
      </w:r>
      <w:r w:rsidRPr="000E63DD">
        <w:rPr>
          <w:rFonts w:ascii="Arial" w:hAnsi="Arial" w:cs="Arial"/>
          <w:lang w:val="en-GB"/>
        </w:rPr>
        <w:t xml:space="preserve">The Applied Research Institute - Jerusalem (ARIJ). (2015) </w:t>
      </w:r>
      <w:r w:rsidRPr="000E63DD">
        <w:rPr>
          <w:rFonts w:ascii="Arial" w:hAnsi="Arial" w:cs="Arial"/>
          <w:i/>
          <w:iCs/>
          <w:lang w:val="en-GB"/>
        </w:rPr>
        <w:t>The economic costs of the Israeli occupation for the occupied Palestinian territory</w:t>
      </w:r>
      <w:r w:rsidRPr="000E63DD">
        <w:rPr>
          <w:rFonts w:ascii="Arial" w:hAnsi="Arial" w:cs="Arial"/>
          <w:lang w:val="en-GB"/>
        </w:rPr>
        <w:t>. Bethlehem: ARIJ</w:t>
      </w:r>
      <w:r w:rsidRPr="000E63DD">
        <w:rPr>
          <w:rFonts w:ascii="Arial" w:hAnsi="Arial" w:cs="Arial"/>
        </w:rPr>
        <w:t>.</w:t>
      </w:r>
    </w:p>
  </w:footnote>
  <w:footnote w:id="22">
    <w:p w14:paraId="62520CB6" w14:textId="1C70E4AD" w:rsidR="00770607" w:rsidRPr="000E63DD" w:rsidRDefault="00770607" w:rsidP="004B0CD8">
      <w:pPr>
        <w:pStyle w:val="FootnoteText"/>
        <w:rPr>
          <w:rFonts w:ascii="Arial" w:hAnsi="Arial" w:cs="Arial"/>
        </w:rPr>
      </w:pPr>
      <w:r w:rsidRPr="000E63DD">
        <w:rPr>
          <w:rStyle w:val="FootnoteReference"/>
          <w:rFonts w:ascii="Arial" w:hAnsi="Arial" w:cs="Arial"/>
        </w:rPr>
        <w:footnoteRef/>
      </w:r>
      <w:r w:rsidRPr="000E63DD">
        <w:rPr>
          <w:rFonts w:ascii="Arial" w:hAnsi="Arial" w:cs="Arial"/>
        </w:rPr>
        <w:t xml:space="preserve"> The diversion of the route of the lower Jordan river -from Tiberias to the Dead Sea- in 1964 made its annual flow drop to 2% of the historical flow rate -mostly from sewage along the lower Jordan’s route-. Source: Zayneb al-Shalalfeh, Fiona Napier &amp; Eurig Scandrett (2017): Water Nakba in Palestine: Sustainable Development Goal 6 versus Israeli hydro-hegemony, Local Environment, DOI: 10.1080/13549839.2017.1363728</w:t>
      </w:r>
    </w:p>
  </w:footnote>
  <w:footnote w:id="23">
    <w:p w14:paraId="7E815DBF" w14:textId="23550936" w:rsidR="00770607" w:rsidRPr="000E63DD" w:rsidRDefault="00770607" w:rsidP="00DB1593">
      <w:pPr>
        <w:pStyle w:val="FootnoteText"/>
        <w:rPr>
          <w:rFonts w:ascii="Arial" w:hAnsi="Arial" w:cs="Arial"/>
        </w:rPr>
      </w:pPr>
      <w:r w:rsidRPr="000E63DD">
        <w:rPr>
          <w:rStyle w:val="FootnoteReference"/>
          <w:rFonts w:ascii="Arial" w:hAnsi="Arial" w:cs="Arial"/>
        </w:rPr>
        <w:footnoteRef/>
      </w:r>
      <w:r w:rsidRPr="000E63DD">
        <w:rPr>
          <w:rFonts w:ascii="Arial" w:hAnsi="Arial" w:cs="Arial"/>
        </w:rPr>
        <w:t xml:space="preserve"> </w:t>
      </w:r>
      <w:r w:rsidRPr="000E63DD">
        <w:rPr>
          <w:rFonts w:ascii="Arial" w:hAnsi="Arial" w:cs="Arial"/>
          <w:iCs/>
        </w:rPr>
        <w:t xml:space="preserve">EcoPeace: </w:t>
      </w:r>
      <w:hyperlink r:id="rId3" w:history="1">
        <w:r w:rsidRPr="000E63DD">
          <w:rPr>
            <w:rStyle w:val="Hyperlink"/>
            <w:rFonts w:ascii="Arial" w:hAnsi="Arial" w:cs="Arial"/>
          </w:rPr>
          <w:t>https://old.ecopeaceme.org/projects/dead-sea/</w:t>
        </w:r>
      </w:hyperlink>
    </w:p>
  </w:footnote>
  <w:footnote w:id="24">
    <w:p w14:paraId="5DE45127" w14:textId="2ECA1E6A" w:rsidR="00770607" w:rsidRPr="000E63DD" w:rsidRDefault="00770607">
      <w:pPr>
        <w:pStyle w:val="FootnoteText"/>
        <w:rPr>
          <w:rFonts w:ascii="Arial" w:hAnsi="Arial" w:cs="Arial"/>
        </w:rPr>
      </w:pPr>
      <w:r w:rsidRPr="000E63DD">
        <w:rPr>
          <w:rStyle w:val="FootnoteReference"/>
          <w:rFonts w:ascii="Arial" w:hAnsi="Arial" w:cs="Arial"/>
        </w:rPr>
        <w:footnoteRef/>
      </w:r>
      <w:r w:rsidRPr="000E63DD">
        <w:rPr>
          <w:rFonts w:ascii="Arial" w:hAnsi="Arial" w:cs="Arial"/>
        </w:rPr>
        <w:t xml:space="preserve"> Tahal, Geological Survey of Israel, 2011, Final Report Dead Sea Study – Red Sea Dead Sea Water Conveyance Study Program</w:t>
      </w:r>
    </w:p>
  </w:footnote>
  <w:footnote w:id="25">
    <w:p w14:paraId="2B107A47" w14:textId="77777777" w:rsidR="00770607" w:rsidRPr="000E63DD" w:rsidRDefault="00770607" w:rsidP="00A53A2B">
      <w:pPr>
        <w:pStyle w:val="FootnoteText"/>
        <w:rPr>
          <w:rFonts w:ascii="Arial" w:hAnsi="Arial" w:cs="Arial"/>
        </w:rPr>
      </w:pPr>
      <w:r w:rsidRPr="000E63DD">
        <w:rPr>
          <w:rStyle w:val="FootnoteReference"/>
          <w:rFonts w:ascii="Arial" w:hAnsi="Arial" w:cs="Arial"/>
        </w:rPr>
        <w:footnoteRef/>
      </w:r>
      <w:r w:rsidRPr="000E63DD">
        <w:rPr>
          <w:rFonts w:ascii="Arial" w:hAnsi="Arial" w:cs="Arial"/>
        </w:rPr>
        <w:t xml:space="preserve"> </w:t>
      </w:r>
      <w:hyperlink r:id="rId4" w:history="1">
        <w:r w:rsidRPr="000E63DD">
          <w:rPr>
            <w:rStyle w:val="Hyperlink"/>
            <w:rFonts w:ascii="Arial" w:hAnsi="Arial" w:cs="Arial"/>
          </w:rPr>
          <w:t>https://www.aljazeera.com/features/2017/8/1/water-deal-tightens-israels-control-over-palestinians</w:t>
        </w:r>
      </w:hyperlink>
    </w:p>
  </w:footnote>
  <w:footnote w:id="26">
    <w:p w14:paraId="1C5FC8B6" w14:textId="75321713" w:rsidR="00770607" w:rsidRPr="000E63DD" w:rsidRDefault="00770607">
      <w:pPr>
        <w:pStyle w:val="FootnoteText"/>
        <w:rPr>
          <w:rFonts w:ascii="Arial" w:hAnsi="Arial" w:cs="Arial"/>
        </w:rPr>
      </w:pPr>
      <w:r w:rsidRPr="000E63DD">
        <w:rPr>
          <w:rStyle w:val="FootnoteReference"/>
          <w:rFonts w:ascii="Arial" w:hAnsi="Arial" w:cs="Arial"/>
        </w:rPr>
        <w:footnoteRef/>
      </w:r>
      <w:r w:rsidRPr="000E63DD">
        <w:rPr>
          <w:rFonts w:ascii="Arial" w:hAnsi="Arial" w:cs="Arial"/>
        </w:rPr>
        <w:t xml:space="preserve"> Figures provided by Shaddad Attili, Advisor ranking Minister at the Negotiations Affairs Department</w:t>
      </w:r>
    </w:p>
  </w:footnote>
  <w:footnote w:id="27">
    <w:p w14:paraId="42BF1E3E" w14:textId="73369FFD" w:rsidR="00770607" w:rsidRPr="000E63DD" w:rsidRDefault="00770607">
      <w:pPr>
        <w:pStyle w:val="FootnoteText"/>
        <w:rPr>
          <w:rFonts w:ascii="Arial" w:hAnsi="Arial" w:cs="Arial"/>
        </w:rPr>
      </w:pPr>
      <w:r w:rsidRPr="000E63DD">
        <w:rPr>
          <w:rStyle w:val="FootnoteReference"/>
          <w:rFonts w:ascii="Arial" w:hAnsi="Arial" w:cs="Arial"/>
        </w:rPr>
        <w:footnoteRef/>
      </w:r>
      <w:r w:rsidRPr="000E63DD">
        <w:rPr>
          <w:rFonts w:ascii="Arial" w:hAnsi="Arial" w:cs="Arial"/>
        </w:rPr>
        <w:t xml:space="preserve"> The only parties who did not approved the annexation are the Joint Arab List and Meretz</w:t>
      </w:r>
    </w:p>
  </w:footnote>
  <w:footnote w:id="28">
    <w:p w14:paraId="3DDB6F59" w14:textId="4D6E2C87" w:rsidR="00770607" w:rsidRPr="000E63DD" w:rsidRDefault="00770607">
      <w:pPr>
        <w:pStyle w:val="FootnoteText"/>
        <w:rPr>
          <w:rFonts w:ascii="Arial" w:hAnsi="Arial" w:cs="Arial"/>
        </w:rPr>
      </w:pPr>
      <w:r w:rsidRPr="000E63DD">
        <w:rPr>
          <w:rStyle w:val="FootnoteReference"/>
          <w:rFonts w:ascii="Arial" w:hAnsi="Arial" w:cs="Arial"/>
        </w:rPr>
        <w:footnoteRef/>
      </w:r>
      <w:r w:rsidRPr="000E63DD">
        <w:rPr>
          <w:rFonts w:ascii="Arial" w:hAnsi="Arial" w:cs="Arial"/>
        </w:rPr>
        <w:t xml:space="preserve"> Itay Epshtain (20.04.2020) Initial Information on the Coalition Agreement for the Establishment of an Emergency and National Unity Government, Norwegian Refugee Council </w:t>
      </w:r>
    </w:p>
  </w:footnote>
  <w:footnote w:id="29">
    <w:p w14:paraId="590211BB" w14:textId="30AECAA1" w:rsidR="00770607" w:rsidRPr="000E63DD" w:rsidRDefault="00770607">
      <w:pPr>
        <w:pStyle w:val="FootnoteText"/>
        <w:rPr>
          <w:rFonts w:ascii="Arial" w:hAnsi="Arial" w:cs="Arial"/>
        </w:rPr>
      </w:pPr>
      <w:r w:rsidRPr="000E63DD">
        <w:rPr>
          <w:rStyle w:val="FootnoteReference"/>
          <w:rFonts w:ascii="Arial" w:hAnsi="Arial" w:cs="Arial"/>
        </w:rPr>
        <w:footnoteRef/>
      </w:r>
      <w:r w:rsidRPr="000E63DD">
        <w:rPr>
          <w:rFonts w:ascii="Arial" w:hAnsi="Arial" w:cs="Arial"/>
        </w:rPr>
        <w:t xml:space="preserve"> After 1 July 2020, the Knesset Foreign Affairs and Defense Committee held successive meetings dedicated to "Government activities to prevent the Palestinian Authority from taking over Area C"</w:t>
      </w:r>
    </w:p>
  </w:footnote>
  <w:footnote w:id="30">
    <w:p w14:paraId="2A5C92AD" w14:textId="6A25A210" w:rsidR="00770607" w:rsidRPr="000E63DD" w:rsidRDefault="00770607">
      <w:pPr>
        <w:pStyle w:val="FootnoteText"/>
        <w:rPr>
          <w:rFonts w:ascii="Arial" w:hAnsi="Arial" w:cs="Arial"/>
        </w:rPr>
      </w:pPr>
      <w:r w:rsidRPr="000E63DD">
        <w:rPr>
          <w:rStyle w:val="FootnoteReference"/>
          <w:rFonts w:ascii="Arial" w:hAnsi="Arial" w:cs="Arial"/>
        </w:rPr>
        <w:footnoteRef/>
      </w:r>
      <w:r w:rsidRPr="000E63DD">
        <w:rPr>
          <w:rFonts w:ascii="Arial" w:hAnsi="Arial" w:cs="Arial"/>
        </w:rPr>
        <w:t xml:space="preserve"> Rate is unprecedented since OCHA started recording demolitions in 1 January 2009. </w:t>
      </w:r>
    </w:p>
  </w:footnote>
  <w:footnote w:id="31">
    <w:p w14:paraId="21AB3CB3" w14:textId="7F4CF4D2" w:rsidR="00770607" w:rsidRPr="008A5169" w:rsidRDefault="00770607">
      <w:pPr>
        <w:pStyle w:val="FootnoteText"/>
        <w:rPr>
          <w:rFonts w:ascii="Arial" w:hAnsi="Arial" w:cs="Arial"/>
        </w:rPr>
      </w:pPr>
      <w:r w:rsidRPr="000E63DD">
        <w:rPr>
          <w:rStyle w:val="FootnoteReference"/>
          <w:rFonts w:ascii="Arial" w:hAnsi="Arial" w:cs="Arial"/>
        </w:rPr>
        <w:footnoteRef/>
      </w:r>
      <w:r w:rsidRPr="000E63DD">
        <w:rPr>
          <w:rFonts w:ascii="Arial" w:hAnsi="Arial" w:cs="Arial"/>
        </w:rPr>
        <w:t xml:space="preserve"> OCHA demolitions database: </w:t>
      </w:r>
      <w:hyperlink r:id="rId5" w:history="1">
        <w:r w:rsidRPr="000E63DD">
          <w:rPr>
            <w:rStyle w:val="Hyperlink"/>
            <w:rFonts w:ascii="Arial" w:hAnsi="Arial" w:cs="Arial"/>
          </w:rPr>
          <w:t>https://app.powerbi.com/view?r=eyJrIjoiMmJkZGRhYWQtODk0MS00MWJkLWI2NTktMDg1NGJlMGNiY2Y3IiwidCI6IjBmOWUzNWRiLTU0NGYtNGY2MC1iZGNjLTVlYTQxNmU2ZGM3MCIsImMiOjh9</w:t>
        </w:r>
      </w:hyperlink>
    </w:p>
  </w:footnote>
  <w:footnote w:id="32">
    <w:p w14:paraId="642A035A" w14:textId="41F4F711" w:rsidR="00770607" w:rsidRPr="000E63DD" w:rsidRDefault="00770607" w:rsidP="00DE1276">
      <w:pPr>
        <w:pStyle w:val="FootnoteText"/>
        <w:rPr>
          <w:rFonts w:ascii="Arial" w:hAnsi="Arial" w:cs="Arial"/>
        </w:rPr>
      </w:pPr>
      <w:r w:rsidRPr="000E63DD">
        <w:rPr>
          <w:rStyle w:val="FootnoteReference"/>
          <w:rFonts w:ascii="Arial" w:hAnsi="Arial" w:cs="Arial"/>
        </w:rPr>
        <w:footnoteRef/>
      </w:r>
      <w:r w:rsidRPr="000E63DD">
        <w:rPr>
          <w:rFonts w:ascii="Arial" w:hAnsi="Arial" w:cs="Arial"/>
        </w:rPr>
        <w:t xml:space="preserve"> Palestinian Central Bureau of Statistics </w:t>
      </w:r>
      <w:hyperlink r:id="rId6" w:history="1">
        <w:r w:rsidRPr="000E63DD">
          <w:rPr>
            <w:rStyle w:val="Hyperlink"/>
            <w:rFonts w:ascii="Arial" w:hAnsi="Arial" w:cs="Arial"/>
          </w:rPr>
          <w:t>http://www.pcbs.gov.ps/postar.aspx?lang=ar&amp;ItemID=3943</w:t>
        </w:r>
      </w:hyperlink>
    </w:p>
  </w:footnote>
  <w:footnote w:id="33">
    <w:p w14:paraId="1D5DF151" w14:textId="20A14FBF" w:rsidR="00770607" w:rsidRPr="000E63DD" w:rsidRDefault="00770607" w:rsidP="00177E61">
      <w:pPr>
        <w:rPr>
          <w:rFonts w:ascii="Arial" w:hAnsi="Arial" w:cs="Arial"/>
          <w:sz w:val="20"/>
          <w:szCs w:val="20"/>
        </w:rPr>
      </w:pPr>
      <w:r w:rsidRPr="000E63DD">
        <w:rPr>
          <w:rStyle w:val="FootnoteReference"/>
          <w:rFonts w:ascii="Arial" w:hAnsi="Arial" w:cs="Arial"/>
          <w:sz w:val="20"/>
          <w:szCs w:val="20"/>
        </w:rPr>
        <w:footnoteRef/>
      </w:r>
      <w:r w:rsidRPr="000E63DD">
        <w:rPr>
          <w:rFonts w:ascii="Arial" w:hAnsi="Arial" w:cs="Arial"/>
          <w:sz w:val="20"/>
          <w:szCs w:val="20"/>
        </w:rPr>
        <w:t xml:space="preserve"> </w:t>
      </w:r>
      <w:r w:rsidRPr="000E63DD">
        <w:rPr>
          <w:rFonts w:ascii="Arial" w:hAnsi="Arial" w:cs="Arial"/>
          <w:color w:val="000000"/>
          <w:sz w:val="20"/>
          <w:szCs w:val="20"/>
        </w:rPr>
        <w:t>Palestinian National Authority/ PNA. (2007)</w:t>
      </w:r>
      <w:r w:rsidRPr="000E63DD">
        <w:rPr>
          <w:rFonts w:ascii="Arial" w:hAnsi="Arial" w:cs="Arial"/>
          <w:i/>
          <w:iCs/>
          <w:color w:val="000000"/>
          <w:sz w:val="20"/>
          <w:szCs w:val="20"/>
        </w:rPr>
        <w:t>, Palestinian Reform and Development Plan 2008 - 2010</w:t>
      </w:r>
      <w:r w:rsidRPr="000E63DD">
        <w:rPr>
          <w:rFonts w:ascii="Arial" w:hAnsi="Arial" w:cs="Arial"/>
          <w:color w:val="000000"/>
          <w:sz w:val="20"/>
          <w:szCs w:val="20"/>
        </w:rPr>
        <w:t>. Ramallah: PNA</w:t>
      </w:r>
    </w:p>
  </w:footnote>
  <w:footnote w:id="34">
    <w:p w14:paraId="46339478" w14:textId="7DDB84A7" w:rsidR="00770607" w:rsidRPr="000E63DD" w:rsidRDefault="00770607" w:rsidP="00177E61">
      <w:pPr>
        <w:rPr>
          <w:rFonts w:ascii="Arial" w:hAnsi="Arial" w:cs="Arial"/>
          <w:sz w:val="20"/>
          <w:szCs w:val="20"/>
        </w:rPr>
      </w:pPr>
      <w:r w:rsidRPr="000E63DD">
        <w:rPr>
          <w:rStyle w:val="FootnoteReference"/>
          <w:rFonts w:ascii="Arial" w:hAnsi="Arial" w:cs="Arial"/>
          <w:sz w:val="20"/>
          <w:szCs w:val="20"/>
        </w:rPr>
        <w:footnoteRef/>
      </w:r>
      <w:r w:rsidRPr="000E63DD">
        <w:rPr>
          <w:rFonts w:ascii="Arial" w:hAnsi="Arial" w:cs="Arial"/>
          <w:sz w:val="20"/>
          <w:szCs w:val="20"/>
        </w:rPr>
        <w:t xml:space="preserve"> </w:t>
      </w:r>
      <w:r w:rsidRPr="000E63DD">
        <w:rPr>
          <w:rFonts w:ascii="Arial" w:hAnsi="Arial" w:cs="Arial"/>
          <w:color w:val="000000"/>
          <w:sz w:val="20"/>
          <w:szCs w:val="20"/>
        </w:rPr>
        <w:t>Palestinian National Authority/ PNA. (2011)</w:t>
      </w:r>
      <w:r w:rsidRPr="000E63DD">
        <w:rPr>
          <w:rFonts w:ascii="Arial" w:hAnsi="Arial" w:cs="Arial"/>
          <w:i/>
          <w:iCs/>
          <w:color w:val="000000"/>
          <w:sz w:val="20"/>
          <w:szCs w:val="20"/>
        </w:rPr>
        <w:t>, National Development Plan 2011 - 2013</w:t>
      </w:r>
      <w:r w:rsidRPr="000E63DD">
        <w:rPr>
          <w:rFonts w:ascii="Arial" w:hAnsi="Arial" w:cs="Arial"/>
          <w:color w:val="000000"/>
          <w:sz w:val="20"/>
          <w:szCs w:val="20"/>
        </w:rPr>
        <w:t>. Ramallah: PNA</w:t>
      </w:r>
    </w:p>
  </w:footnote>
  <w:footnote w:id="35">
    <w:p w14:paraId="700295B7" w14:textId="3B24417B" w:rsidR="00770607" w:rsidRPr="000E63DD" w:rsidRDefault="00770607">
      <w:pPr>
        <w:pStyle w:val="FootnoteText"/>
        <w:rPr>
          <w:rFonts w:ascii="Arial" w:hAnsi="Arial" w:cs="Arial"/>
        </w:rPr>
      </w:pPr>
      <w:r w:rsidRPr="000E63DD">
        <w:rPr>
          <w:rStyle w:val="FootnoteReference"/>
          <w:rFonts w:ascii="Arial" w:hAnsi="Arial" w:cs="Arial"/>
        </w:rPr>
        <w:footnoteRef/>
      </w:r>
      <w:r w:rsidRPr="000E63DD">
        <w:rPr>
          <w:rFonts w:ascii="Arial" w:hAnsi="Arial" w:cs="Arial"/>
        </w:rPr>
        <w:t xml:space="preserve"> Approximate figure calculated by dividing number of installed prepaid meters on number of households as detailed below:</w:t>
      </w:r>
    </w:p>
    <w:p w14:paraId="5CECDF7A" w14:textId="0646205E" w:rsidR="00770607" w:rsidRPr="000E63DD" w:rsidRDefault="00770607" w:rsidP="00A17170">
      <w:pPr>
        <w:pStyle w:val="FootnoteText"/>
        <w:numPr>
          <w:ilvl w:val="0"/>
          <w:numId w:val="8"/>
        </w:numPr>
        <w:rPr>
          <w:rFonts w:ascii="Arial" w:hAnsi="Arial" w:cs="Arial"/>
        </w:rPr>
      </w:pPr>
      <w:r w:rsidRPr="000E63DD">
        <w:rPr>
          <w:rFonts w:ascii="Arial" w:hAnsi="Arial" w:cs="Arial"/>
        </w:rPr>
        <w:t xml:space="preserve">Number of prepaid water meters installed by December 2020 was nearly 113,000 (Source: prepaid water meters suppliers) </w:t>
      </w:r>
    </w:p>
    <w:p w14:paraId="4B546FD8" w14:textId="1F861875" w:rsidR="00770607" w:rsidRPr="000E63DD" w:rsidRDefault="00770607" w:rsidP="00A17170">
      <w:pPr>
        <w:pStyle w:val="FootnoteText"/>
        <w:numPr>
          <w:ilvl w:val="0"/>
          <w:numId w:val="8"/>
        </w:numPr>
        <w:rPr>
          <w:rFonts w:ascii="Arial" w:hAnsi="Arial" w:cs="Arial"/>
        </w:rPr>
      </w:pPr>
      <w:r w:rsidRPr="000E63DD">
        <w:rPr>
          <w:rFonts w:ascii="Arial" w:hAnsi="Arial" w:cs="Arial"/>
        </w:rPr>
        <w:t xml:space="preserve">Population size in 2020 was </w:t>
      </w:r>
      <w:r w:rsidRPr="000E63DD">
        <w:rPr>
          <w:rFonts w:ascii="Arial" w:hAnsi="Arial" w:cs="Arial"/>
          <w:color w:val="000000"/>
          <w:shd w:val="clear" w:color="auto" w:fill="FFFFFF"/>
        </w:rPr>
        <w:t xml:space="preserve">5,101,152 (Source: Palestinian Central Bureau of Statistics </w:t>
      </w:r>
      <w:hyperlink r:id="rId7" w:history="1">
        <w:r w:rsidRPr="000E63DD">
          <w:rPr>
            <w:rStyle w:val="Hyperlink"/>
            <w:rFonts w:ascii="Arial" w:hAnsi="Arial" w:cs="Arial"/>
          </w:rPr>
          <w:t>http://www.pcbs.gov.ps/Portals/_Rainbow/Documents/%D8%A7%D9%84%D9%85%D8%AD%D8%A7%D9%81%D8%B8%D8%A7%D8%AA%20%D8%A7%D9%86%D8%AC%D9%84%D9%8A%D8%B2%D9%8A%2097-2017.html</w:t>
        </w:r>
      </w:hyperlink>
      <w:r w:rsidRPr="000E63DD">
        <w:rPr>
          <w:rFonts w:ascii="Arial" w:hAnsi="Arial" w:cs="Arial"/>
          <w:color w:val="000000"/>
          <w:shd w:val="clear" w:color="auto" w:fill="FFFFFF"/>
        </w:rPr>
        <w:t xml:space="preserve">) </w:t>
      </w:r>
    </w:p>
    <w:p w14:paraId="77D12FDD" w14:textId="335F0322" w:rsidR="00770607" w:rsidRPr="000E63DD" w:rsidRDefault="00770607" w:rsidP="00A17170">
      <w:pPr>
        <w:pStyle w:val="FootnoteText"/>
        <w:numPr>
          <w:ilvl w:val="0"/>
          <w:numId w:val="8"/>
        </w:numPr>
        <w:rPr>
          <w:rFonts w:ascii="Arial" w:hAnsi="Arial" w:cs="Arial"/>
          <w:rtl/>
        </w:rPr>
      </w:pPr>
      <w:r w:rsidRPr="000E63DD">
        <w:rPr>
          <w:rFonts w:ascii="Arial" w:hAnsi="Arial" w:cs="Arial"/>
        </w:rPr>
        <w:t xml:space="preserve">Average size of household in 2020 was 5.1 (Source: Palestinian Central Bureau of Statistics (2020) Palestinians by the end of 2020. P. 25) </w:t>
      </w:r>
    </w:p>
  </w:footnote>
  <w:footnote w:id="36">
    <w:p w14:paraId="4EDBE211" w14:textId="0AD1E072" w:rsidR="00414486" w:rsidRPr="00414486" w:rsidRDefault="00414486">
      <w:pPr>
        <w:pStyle w:val="FootnoteText"/>
        <w:rPr>
          <w:rFonts w:ascii="Arial" w:hAnsi="Arial" w:cs="Arial"/>
        </w:rPr>
      </w:pPr>
      <w:r w:rsidRPr="00414486">
        <w:rPr>
          <w:rStyle w:val="FootnoteReference"/>
          <w:rFonts w:ascii="Arial" w:hAnsi="Arial" w:cs="Arial"/>
        </w:rPr>
        <w:footnoteRef/>
      </w:r>
      <w:r w:rsidRPr="00414486">
        <w:rPr>
          <w:rFonts w:ascii="Arial" w:hAnsi="Arial" w:cs="Arial"/>
        </w:rPr>
        <w:t xml:space="preserve"> </w:t>
      </w:r>
      <w:r w:rsidRPr="00414486">
        <w:rPr>
          <w:rStyle w:val="None"/>
          <w:rFonts w:ascii="Arial" w:hAnsi="Arial" w:cs="Arial"/>
        </w:rPr>
        <w:t xml:space="preserve">The prepaid </w:t>
      </w:r>
      <w:r>
        <w:rPr>
          <w:rStyle w:val="None"/>
          <w:rFonts w:ascii="Arial" w:hAnsi="Arial" w:cs="Arial"/>
        </w:rPr>
        <w:t>water meter</w:t>
      </w:r>
      <w:r w:rsidRPr="00414486">
        <w:rPr>
          <w:rStyle w:val="None"/>
          <w:rFonts w:ascii="Arial" w:hAnsi="Arial" w:cs="Arial"/>
        </w:rPr>
        <w:t xml:space="preserve"> allows the citizen to charge a limited </w:t>
      </w:r>
      <w:r>
        <w:rPr>
          <w:rStyle w:val="None"/>
          <w:rFonts w:ascii="Arial" w:hAnsi="Arial" w:cs="Arial"/>
        </w:rPr>
        <w:t xml:space="preserve">amount of </w:t>
      </w:r>
      <w:r w:rsidRPr="00414486">
        <w:rPr>
          <w:rStyle w:val="None"/>
          <w:rFonts w:ascii="Arial" w:hAnsi="Arial" w:cs="Arial"/>
        </w:rPr>
        <w:t>cm</w:t>
      </w:r>
      <w:r w:rsidRPr="00414486">
        <w:rPr>
          <w:rStyle w:val="None"/>
          <w:rFonts w:ascii="Arial" w:hAnsi="Arial" w:cs="Arial"/>
          <w:vertAlign w:val="superscript"/>
        </w:rPr>
        <w:t>3</w:t>
      </w:r>
      <w:r w:rsidRPr="00414486">
        <w:rPr>
          <w:rStyle w:val="None"/>
          <w:rFonts w:ascii="Arial" w:hAnsi="Arial" w:cs="Arial"/>
        </w:rPr>
        <w:t xml:space="preserve"> of water in debt for one tim</w:t>
      </w:r>
      <w:r>
        <w:rPr>
          <w:rStyle w:val="None"/>
          <w:rFonts w:ascii="Arial" w:hAnsi="Arial" w:cs="Arial"/>
        </w:rPr>
        <w:t xml:space="preserve">e, after that the citizen </w:t>
      </w:r>
      <w:r w:rsidRPr="00414486">
        <w:rPr>
          <w:rStyle w:val="None"/>
          <w:rFonts w:ascii="Arial" w:hAnsi="Arial" w:cs="Arial"/>
        </w:rPr>
        <w:t xml:space="preserve">get disconnected from water </w:t>
      </w:r>
      <w:r w:rsidR="007C21CF">
        <w:rPr>
          <w:rStyle w:val="None"/>
          <w:rFonts w:ascii="Arial" w:hAnsi="Arial" w:cs="Arial"/>
        </w:rPr>
        <w:t>if</w:t>
      </w:r>
      <w:r w:rsidRPr="00414486">
        <w:rPr>
          <w:rStyle w:val="None"/>
          <w:rFonts w:ascii="Arial" w:hAnsi="Arial" w:cs="Arial"/>
        </w:rPr>
        <w:t xml:space="preserve"> their credit runs out</w:t>
      </w:r>
      <w:r w:rsidR="007C21CF">
        <w:rPr>
          <w:rStyle w:val="None"/>
          <w:rFonts w:ascii="Arial" w:hAnsi="Arial" w:cs="Arial"/>
        </w:rPr>
        <w:t xml:space="preserve">. </w:t>
      </w:r>
    </w:p>
  </w:footnote>
  <w:footnote w:id="37">
    <w:p w14:paraId="117A0CD5" w14:textId="7735AC87" w:rsidR="00770607" w:rsidRPr="000E63DD" w:rsidRDefault="00770607">
      <w:pPr>
        <w:pStyle w:val="FootnoteText"/>
        <w:rPr>
          <w:rFonts w:ascii="Arial" w:hAnsi="Arial" w:cs="Arial"/>
        </w:rPr>
      </w:pPr>
      <w:r w:rsidRPr="000E63DD">
        <w:rPr>
          <w:rStyle w:val="FootnoteReference"/>
          <w:rFonts w:ascii="Arial" w:hAnsi="Arial" w:cs="Arial"/>
        </w:rPr>
        <w:footnoteRef/>
      </w:r>
      <w:r w:rsidRPr="000E63DD">
        <w:rPr>
          <w:rFonts w:ascii="Arial" w:hAnsi="Arial" w:cs="Arial"/>
        </w:rPr>
        <w:t xml:space="preserve"> State of Palestine (2020) Common core document for the Committee on Economic, Social and Cultural Rights, UN Treaty Body database </w:t>
      </w:r>
    </w:p>
  </w:footnote>
  <w:footnote w:id="38">
    <w:p w14:paraId="4EBA5DDC" w14:textId="25B20E93" w:rsidR="00C82A61" w:rsidRPr="00C43769" w:rsidRDefault="00C82A61">
      <w:pPr>
        <w:pStyle w:val="FootnoteText"/>
        <w:rPr>
          <w:rFonts w:ascii="Arial" w:hAnsi="Arial" w:cs="Arial"/>
        </w:rPr>
      </w:pPr>
      <w:r w:rsidRPr="00C43769">
        <w:rPr>
          <w:rStyle w:val="FootnoteReference"/>
          <w:rFonts w:ascii="Arial" w:hAnsi="Arial" w:cs="Arial"/>
        </w:rPr>
        <w:footnoteRef/>
      </w:r>
      <w:r w:rsidRPr="00C43769">
        <w:rPr>
          <w:rFonts w:ascii="Arial" w:hAnsi="Arial" w:cs="Arial"/>
        </w:rPr>
        <w:t xml:space="preserve"> Interview with </w:t>
      </w:r>
      <w:r w:rsidRPr="00C43769">
        <w:rPr>
          <w:rFonts w:ascii="Arial" w:hAnsi="Arial" w:cs="Arial"/>
        </w:rPr>
        <w:t>Shaddad Attili, Advisor ranking Minister at the Negotiations Affairs Department</w:t>
      </w:r>
      <w:r w:rsidRPr="00C43769">
        <w:rPr>
          <w:rFonts w:ascii="Arial" w:hAnsi="Arial" w:cs="Arial"/>
        </w:rPr>
        <w:t xml:space="preserve"> and Head of the Palestinian Water Authority for the period from 2008 to 214 (11.04.2021)</w:t>
      </w:r>
    </w:p>
  </w:footnote>
  <w:footnote w:id="39">
    <w:p w14:paraId="3BE16F84" w14:textId="21C3E390" w:rsidR="00C82A61" w:rsidRPr="00C43769" w:rsidRDefault="00C82A61">
      <w:pPr>
        <w:pStyle w:val="FootnoteText"/>
        <w:rPr>
          <w:rFonts w:ascii="Arial" w:hAnsi="Arial" w:cs="Arial"/>
        </w:rPr>
      </w:pPr>
      <w:r w:rsidRPr="00C43769">
        <w:rPr>
          <w:rStyle w:val="FootnoteReference"/>
          <w:rFonts w:ascii="Arial" w:hAnsi="Arial" w:cs="Arial"/>
        </w:rPr>
        <w:footnoteRef/>
      </w:r>
      <w:r w:rsidRPr="00C43769">
        <w:rPr>
          <w:rFonts w:ascii="Arial" w:hAnsi="Arial" w:cs="Arial"/>
        </w:rPr>
        <w:t xml:space="preserve"> Interview with </w:t>
      </w:r>
      <w:r w:rsidRPr="00C43769">
        <w:rPr>
          <w:rFonts w:ascii="Arial" w:hAnsi="Arial" w:cs="Arial"/>
        </w:rPr>
        <w:t>Mohammad al-Hmaidi, CEO of the Water Sector Regulatory Council</w:t>
      </w:r>
      <w:r w:rsidRPr="00C43769">
        <w:rPr>
          <w:rFonts w:ascii="Arial" w:hAnsi="Arial" w:cs="Arial"/>
        </w:rPr>
        <w:t xml:space="preserve"> (11.04.2021)</w:t>
      </w:r>
    </w:p>
  </w:footnote>
  <w:footnote w:id="40">
    <w:p w14:paraId="2796E68B" w14:textId="45B9D7AA" w:rsidR="00C82A61" w:rsidRPr="00C43769" w:rsidRDefault="00C82A61">
      <w:pPr>
        <w:pStyle w:val="FootnoteText"/>
        <w:rPr>
          <w:rFonts w:ascii="Arial" w:hAnsi="Arial" w:cs="Arial"/>
        </w:rPr>
      </w:pPr>
      <w:r w:rsidRPr="00C43769">
        <w:rPr>
          <w:rStyle w:val="FootnoteReference"/>
          <w:rFonts w:ascii="Arial" w:hAnsi="Arial" w:cs="Arial"/>
        </w:rPr>
        <w:footnoteRef/>
      </w:r>
      <w:r w:rsidRPr="00C43769">
        <w:rPr>
          <w:rFonts w:ascii="Arial" w:hAnsi="Arial" w:cs="Arial"/>
        </w:rPr>
        <w:t xml:space="preserve"> Interview with </w:t>
      </w:r>
      <w:r w:rsidRPr="00C43769">
        <w:rPr>
          <w:rFonts w:ascii="Arial" w:hAnsi="Arial" w:cs="Arial"/>
        </w:rPr>
        <w:t>Monther Shoblaq</w:t>
      </w:r>
      <w:r w:rsidRPr="00C43769">
        <w:rPr>
          <w:rFonts w:ascii="Arial" w:hAnsi="Arial" w:cs="Arial"/>
        </w:rPr>
        <w:t>, Director of the Costal Municipalities Water Utility (12.04.2021)</w:t>
      </w:r>
    </w:p>
  </w:footnote>
  <w:footnote w:id="41">
    <w:p w14:paraId="7AA8FB66" w14:textId="7F2CA5B5" w:rsidR="00A36561" w:rsidRPr="00C43769" w:rsidRDefault="00A36561">
      <w:pPr>
        <w:pStyle w:val="FootnoteText"/>
        <w:rPr>
          <w:rFonts w:ascii="Arial" w:hAnsi="Arial" w:cs="Arial"/>
        </w:rPr>
      </w:pPr>
      <w:r w:rsidRPr="00C43769">
        <w:rPr>
          <w:rStyle w:val="FootnoteReference"/>
          <w:rFonts w:ascii="Arial" w:hAnsi="Arial" w:cs="Arial"/>
        </w:rPr>
        <w:footnoteRef/>
      </w:r>
      <w:r w:rsidRPr="00C43769">
        <w:rPr>
          <w:rFonts w:ascii="Arial" w:hAnsi="Arial" w:cs="Arial"/>
        </w:rPr>
        <w:t xml:space="preserve"> </w:t>
      </w:r>
      <w:r w:rsidR="00B736D0" w:rsidRPr="00C43769">
        <w:rPr>
          <w:rFonts w:ascii="Arial" w:hAnsi="Arial" w:cs="Arial"/>
        </w:rPr>
        <w:t xml:space="preserve">Advisory and Legislation Bureau, Palestinian Official </w:t>
      </w:r>
      <w:r w:rsidR="00B736D0" w:rsidRPr="00C43769">
        <w:rPr>
          <w:rFonts w:ascii="Arial" w:hAnsi="Arial" w:cs="Arial"/>
          <w:shd w:val="clear" w:color="auto" w:fill="FFFFFF"/>
        </w:rPr>
        <w:t>Gazette</w:t>
      </w:r>
      <w:r w:rsidR="00B736D0" w:rsidRPr="00C43769">
        <w:rPr>
          <w:rFonts w:ascii="Arial" w:hAnsi="Arial" w:cs="Arial"/>
          <w:shd w:val="clear" w:color="auto" w:fill="FFFFFF"/>
        </w:rPr>
        <w:t xml:space="preserve">, </w:t>
      </w:r>
      <w:r w:rsidR="00B736D0" w:rsidRPr="00C43769">
        <w:rPr>
          <w:rStyle w:val="Emphasis"/>
          <w:rFonts w:ascii="Arial" w:hAnsi="Arial" w:cs="Arial"/>
          <w:i w:val="0"/>
          <w:iCs w:val="0"/>
          <w:shd w:val="clear" w:color="auto" w:fill="FFFFFF"/>
        </w:rPr>
        <w:t>Al-Waqa</w:t>
      </w:r>
      <w:r w:rsidR="00B736D0" w:rsidRPr="00C43769">
        <w:rPr>
          <w:rFonts w:ascii="Arial" w:hAnsi="Arial" w:cs="Arial"/>
          <w:shd w:val="clear" w:color="auto" w:fill="FFFFFF"/>
        </w:rPr>
        <w:t>'</w:t>
      </w:r>
      <w:r w:rsidR="00B736D0" w:rsidRPr="00C43769">
        <w:rPr>
          <w:rFonts w:ascii="Arial" w:hAnsi="Arial" w:cs="Arial"/>
          <w:shd w:val="clear" w:color="auto" w:fill="FFFFFF"/>
        </w:rPr>
        <w:t>I, Issue No 177 (18.03.2021)</w:t>
      </w:r>
    </w:p>
  </w:footnote>
  <w:footnote w:id="42">
    <w:p w14:paraId="57576318" w14:textId="2EF3E038" w:rsidR="00B736D0" w:rsidRPr="00C43769" w:rsidRDefault="00B736D0">
      <w:pPr>
        <w:pStyle w:val="FootnoteText"/>
        <w:rPr>
          <w:rFonts w:ascii="Arial" w:hAnsi="Arial" w:cs="Arial"/>
        </w:rPr>
      </w:pPr>
      <w:r w:rsidRPr="00C43769">
        <w:rPr>
          <w:rStyle w:val="FootnoteReference"/>
          <w:rFonts w:ascii="Arial" w:hAnsi="Arial" w:cs="Arial"/>
        </w:rPr>
        <w:footnoteRef/>
      </w:r>
      <w:r w:rsidRPr="00C43769">
        <w:rPr>
          <w:rFonts w:ascii="Arial" w:hAnsi="Arial" w:cs="Arial"/>
        </w:rPr>
        <w:t xml:space="preserve"> Water Sector Regulatory Council (2019) The comparative data of water and wastewater service providers in Palestine. </w:t>
      </w:r>
    </w:p>
  </w:footnote>
  <w:footnote w:id="43">
    <w:p w14:paraId="45A71C9C" w14:textId="502C6B21" w:rsidR="00C43769" w:rsidRDefault="00C43769">
      <w:pPr>
        <w:pStyle w:val="FootnoteText"/>
      </w:pPr>
      <w:r w:rsidRPr="00C43769">
        <w:rPr>
          <w:rStyle w:val="FootnoteReference"/>
          <w:rFonts w:ascii="Arial" w:hAnsi="Arial" w:cs="Arial"/>
        </w:rPr>
        <w:footnoteRef/>
      </w:r>
      <w:r w:rsidRPr="00C43769">
        <w:rPr>
          <w:rFonts w:ascii="Arial" w:hAnsi="Arial" w:cs="Arial"/>
        </w:rPr>
        <w:t xml:space="preserve"> Figure calculated as explained in footnote 34 above, however, this figure is for the West Bank alone as the Gaza Strip has zero prepaid meters up to the date.</w:t>
      </w:r>
      <w:r>
        <w:t xml:space="preserve"> </w:t>
      </w:r>
    </w:p>
  </w:footnote>
  <w:footnote w:id="44">
    <w:p w14:paraId="767B3CD2" w14:textId="090A42D6" w:rsidR="00060770" w:rsidRPr="00060770" w:rsidRDefault="00060770">
      <w:pPr>
        <w:pStyle w:val="FootnoteText"/>
        <w:rPr>
          <w:rFonts w:ascii="Arial" w:hAnsi="Arial" w:cs="Arial"/>
        </w:rPr>
      </w:pPr>
      <w:r w:rsidRPr="00060770">
        <w:rPr>
          <w:rStyle w:val="FootnoteReference"/>
          <w:rFonts w:ascii="Arial" w:hAnsi="Arial" w:cs="Arial"/>
        </w:rPr>
        <w:footnoteRef/>
      </w:r>
      <w:r w:rsidRPr="00060770">
        <w:rPr>
          <w:rFonts w:ascii="Arial" w:hAnsi="Arial" w:cs="Arial"/>
        </w:rPr>
        <w:t xml:space="preserve"> WASH Cluster (2020) WASH Covid-19 response guidance </w:t>
      </w:r>
    </w:p>
  </w:footnote>
  <w:footnote w:id="45">
    <w:p w14:paraId="712287DC" w14:textId="3763BB8F" w:rsidR="008B5B30" w:rsidRPr="008B5B30" w:rsidRDefault="008B5B30">
      <w:pPr>
        <w:pStyle w:val="FootnoteText"/>
        <w:rPr>
          <w:rFonts w:ascii="Arial" w:hAnsi="Arial" w:cs="Arial"/>
        </w:rPr>
      </w:pPr>
      <w:r w:rsidRPr="008B5B30">
        <w:rPr>
          <w:rStyle w:val="FootnoteReference"/>
          <w:rFonts w:ascii="Arial" w:hAnsi="Arial" w:cs="Arial"/>
        </w:rPr>
        <w:footnoteRef/>
      </w:r>
      <w:r w:rsidRPr="008B5B30">
        <w:rPr>
          <w:rFonts w:ascii="Arial" w:hAnsi="Arial" w:cs="Arial"/>
        </w:rPr>
        <w:t xml:space="preserve"> Ministry of Social Affairs (2010) Cash transfer strategy </w:t>
      </w:r>
    </w:p>
  </w:footnote>
  <w:footnote w:id="46">
    <w:p w14:paraId="2DE5DBA2" w14:textId="6D526EF4" w:rsidR="00D32284" w:rsidRPr="00D32284" w:rsidRDefault="00D32284">
      <w:pPr>
        <w:pStyle w:val="FootnoteText"/>
        <w:rPr>
          <w:rFonts w:ascii="Arial" w:hAnsi="Arial" w:cs="Arial"/>
        </w:rPr>
      </w:pPr>
      <w:r w:rsidRPr="00D32284">
        <w:rPr>
          <w:rStyle w:val="FootnoteReference"/>
          <w:rFonts w:ascii="Arial" w:hAnsi="Arial" w:cs="Arial"/>
        </w:rPr>
        <w:footnoteRef/>
      </w:r>
      <w:r w:rsidRPr="00D32284">
        <w:rPr>
          <w:rFonts w:ascii="Arial" w:hAnsi="Arial" w:cs="Arial"/>
        </w:rPr>
        <w:t xml:space="preserve"> </w:t>
      </w:r>
      <w:r w:rsidRPr="00D32284">
        <w:rPr>
          <w:rFonts w:ascii="Arial" w:hAnsi="Arial" w:cs="Arial"/>
          <w:lang w:val="en-GB"/>
        </w:rPr>
        <w:t xml:space="preserve">Palestinian Central Bureau of Statistics, 2019, Palestinian Labour Force Survey – Annual Report </w:t>
      </w:r>
      <w:r w:rsidRPr="00D32284">
        <w:rPr>
          <w:rFonts w:ascii="Arial" w:hAnsi="Arial" w:cs="Arial"/>
        </w:rPr>
        <w:t>P</w:t>
      </w:r>
      <w:r>
        <w:rPr>
          <w:rFonts w:ascii="Arial" w:hAnsi="Arial" w:cs="Arial"/>
        </w:rPr>
        <w:t>.</w:t>
      </w:r>
      <w:r w:rsidRPr="00D32284">
        <w:rPr>
          <w:rFonts w:ascii="Arial" w:hAnsi="Arial" w:cs="Arial"/>
        </w:rPr>
        <w:t xml:space="preserve"> 31</w:t>
      </w:r>
    </w:p>
  </w:footnote>
  <w:footnote w:id="47">
    <w:p w14:paraId="23B98352" w14:textId="77777777" w:rsidR="009C22C2" w:rsidRPr="00D32284" w:rsidRDefault="009C22C2" w:rsidP="009C22C2">
      <w:pPr>
        <w:pStyle w:val="EndnoteText"/>
        <w:rPr>
          <w:rFonts w:ascii="Arial" w:hAnsi="Arial" w:cs="Arial"/>
        </w:rPr>
      </w:pPr>
      <w:r w:rsidRPr="00D32284">
        <w:rPr>
          <w:rStyle w:val="FootnoteReference"/>
          <w:rFonts w:ascii="Arial" w:hAnsi="Arial" w:cs="Arial"/>
        </w:rPr>
        <w:footnoteRef/>
      </w:r>
      <w:r w:rsidRPr="00D32284">
        <w:rPr>
          <w:rFonts w:ascii="Arial" w:hAnsi="Arial" w:cs="Arial"/>
        </w:rPr>
        <w:t xml:space="preserve"> </w:t>
      </w:r>
      <w:r w:rsidRPr="00D32284">
        <w:rPr>
          <w:rFonts w:ascii="Arial" w:hAnsi="Arial" w:cs="Arial"/>
          <w:lang w:val="en-GB"/>
        </w:rPr>
        <w:t>Palestinian Central Bureau of Statistics</w:t>
      </w:r>
      <w:r>
        <w:rPr>
          <w:rFonts w:ascii="Arial" w:hAnsi="Arial" w:cs="Arial"/>
          <w:lang w:val="en-GB"/>
        </w:rPr>
        <w:t xml:space="preserve"> (</w:t>
      </w:r>
      <w:r w:rsidRPr="00D32284">
        <w:rPr>
          <w:rFonts w:ascii="Arial" w:hAnsi="Arial" w:cs="Arial"/>
          <w:lang w:val="en-GB"/>
        </w:rPr>
        <w:t>2018</w:t>
      </w:r>
      <w:r>
        <w:rPr>
          <w:rFonts w:ascii="Arial" w:hAnsi="Arial" w:cs="Arial"/>
          <w:lang w:val="en-GB"/>
        </w:rPr>
        <w:t>)</w:t>
      </w:r>
      <w:r w:rsidRPr="00D32284">
        <w:rPr>
          <w:rFonts w:ascii="Arial" w:hAnsi="Arial" w:cs="Arial"/>
          <w:lang w:val="en-GB"/>
        </w:rPr>
        <w:t>, Household Expenditure and Consumption Survey (October 2016 – September 2017)</w:t>
      </w:r>
      <w:r w:rsidRPr="00D32284">
        <w:rPr>
          <w:rFonts w:ascii="Arial" w:hAnsi="Arial" w:cs="Arial"/>
        </w:rPr>
        <w:t xml:space="preserve"> P</w:t>
      </w:r>
      <w:r>
        <w:rPr>
          <w:rFonts w:ascii="Arial" w:hAnsi="Arial" w:cs="Arial"/>
        </w:rPr>
        <w:t>.</w:t>
      </w:r>
      <w:r w:rsidRPr="00D32284">
        <w:rPr>
          <w:rFonts w:ascii="Arial" w:hAnsi="Arial" w:cs="Arial"/>
        </w:rPr>
        <w:t xml:space="preserve"> 26</w:t>
      </w:r>
    </w:p>
  </w:footnote>
  <w:footnote w:id="48">
    <w:p w14:paraId="6E34718D" w14:textId="46715B79" w:rsidR="0064087C" w:rsidRPr="0064087C" w:rsidRDefault="0064087C">
      <w:pPr>
        <w:pStyle w:val="FootnoteText"/>
        <w:rPr>
          <w:rFonts w:ascii="Arial" w:hAnsi="Arial" w:cs="Arial"/>
        </w:rPr>
      </w:pPr>
      <w:r w:rsidRPr="0064087C">
        <w:rPr>
          <w:rStyle w:val="FootnoteReference"/>
          <w:rFonts w:ascii="Arial" w:hAnsi="Arial" w:cs="Arial"/>
        </w:rPr>
        <w:footnoteRef/>
      </w:r>
      <w:r w:rsidRPr="0064087C">
        <w:rPr>
          <w:rFonts w:ascii="Arial" w:hAnsi="Arial" w:cs="Arial"/>
        </w:rPr>
        <w:t xml:space="preserve"> The minimum wage is 1450 </w:t>
      </w:r>
      <w:r w:rsidR="007C21CF">
        <w:rPr>
          <w:rFonts w:ascii="Arial" w:hAnsi="Arial" w:cs="Arial"/>
        </w:rPr>
        <w:t>ILS</w:t>
      </w:r>
      <w:r w:rsidRPr="0064087C">
        <w:rPr>
          <w:rFonts w:ascii="Arial" w:hAnsi="Arial" w:cs="Arial"/>
        </w:rPr>
        <w:t xml:space="preserve"> </w:t>
      </w:r>
      <w:r w:rsidRPr="0064087C">
        <w:rPr>
          <w:rFonts w:ascii="Arial" w:hAnsi="Arial" w:cs="Arial"/>
          <w:lang w:val="en-GB"/>
        </w:rPr>
        <w:t xml:space="preserve">(Cabinet, Resolution No 11 (2012) ) </w:t>
      </w:r>
      <w:r w:rsidRPr="0064087C">
        <w:rPr>
          <w:rFonts w:ascii="Arial" w:hAnsi="Arial" w:cs="Arial"/>
        </w:rPr>
        <w:t xml:space="preserve">whereas the poverty line for a household with 5 members is 2470 </w:t>
      </w:r>
      <w:r w:rsidR="007C21CF">
        <w:rPr>
          <w:rFonts w:ascii="Arial" w:hAnsi="Arial" w:cs="Arial"/>
        </w:rPr>
        <w:t>ILS</w:t>
      </w:r>
      <w:r w:rsidRPr="0064087C">
        <w:rPr>
          <w:rFonts w:ascii="Arial" w:hAnsi="Arial" w:cs="Arial"/>
        </w:rPr>
        <w:t xml:space="preserve"> (</w:t>
      </w:r>
      <w:hyperlink r:id="rId8" w:history="1">
        <w:r w:rsidRPr="0064087C">
          <w:rPr>
            <w:rStyle w:val="Hyperlink"/>
            <w:rFonts w:ascii="Arial" w:hAnsi="Arial" w:cs="Arial"/>
          </w:rPr>
          <w:t>http://www.pcbs.gov.ps/site/617/default.aspx</w:t>
        </w:r>
      </w:hyperlink>
      <w:r w:rsidRPr="0064087C">
        <w:rPr>
          <w:rFonts w:ascii="Arial" w:hAnsi="Arial" w:cs="Arial"/>
        </w:rPr>
        <w:t xml:space="preserve">). Moreover, many labors are paid below the minimum wage with the poor measures for ensuring that employers commit to payment of the minimum wage. </w:t>
      </w:r>
    </w:p>
  </w:footnote>
  <w:footnote w:id="49">
    <w:p w14:paraId="57D1A9C2" w14:textId="0254EA5E" w:rsidR="00C4248E" w:rsidRPr="00C4248E" w:rsidRDefault="00C4248E" w:rsidP="00C4248E">
      <w:pPr>
        <w:pStyle w:val="EndnoteText"/>
        <w:rPr>
          <w:rStyle w:val="Hyperlink0"/>
          <w:rFonts w:ascii="Arial" w:hAnsi="Arial" w:cs="Arial"/>
          <w:color w:val="000000"/>
          <w:u w:val="none" w:color="000000"/>
          <w:lang w:val="en-GB"/>
        </w:rPr>
      </w:pPr>
      <w:r w:rsidRPr="00C4248E">
        <w:rPr>
          <w:rStyle w:val="FootnoteReference"/>
          <w:rFonts w:ascii="Arial" w:hAnsi="Arial" w:cs="Arial"/>
        </w:rPr>
        <w:footnoteRef/>
      </w:r>
      <w:r w:rsidRPr="00C4248E">
        <w:rPr>
          <w:rFonts w:ascii="Arial" w:hAnsi="Arial" w:cs="Arial"/>
        </w:rPr>
        <w:t xml:space="preserve"> </w:t>
      </w:r>
      <w:r w:rsidRPr="00C4248E">
        <w:rPr>
          <w:rStyle w:val="Hyperlink0"/>
          <w:rFonts w:ascii="Arial" w:hAnsi="Arial" w:cs="Arial"/>
          <w:color w:val="000000"/>
          <w:u w:val="none" w:color="000000"/>
          <w:lang w:val="en-GB"/>
        </w:rPr>
        <w:t>Palestinian Ministry of Social Development</w:t>
      </w:r>
      <w:r>
        <w:rPr>
          <w:rStyle w:val="Hyperlink0"/>
          <w:rFonts w:ascii="Arial" w:hAnsi="Arial" w:cs="Arial"/>
          <w:color w:val="000000"/>
          <w:u w:val="none" w:color="000000"/>
          <w:lang w:val="en-GB"/>
        </w:rPr>
        <w:t xml:space="preserve"> (</w:t>
      </w:r>
      <w:r w:rsidRPr="00C4248E">
        <w:rPr>
          <w:rStyle w:val="Hyperlink0"/>
          <w:rFonts w:ascii="Arial" w:hAnsi="Arial" w:cs="Arial"/>
          <w:color w:val="000000"/>
          <w:u w:val="none" w:color="000000"/>
          <w:lang w:val="en-GB"/>
        </w:rPr>
        <w:t>2018</w:t>
      </w:r>
      <w:r>
        <w:rPr>
          <w:rStyle w:val="Hyperlink0"/>
          <w:rFonts w:ascii="Arial" w:hAnsi="Arial" w:cs="Arial"/>
          <w:color w:val="000000"/>
          <w:u w:val="none" w:color="000000"/>
          <w:lang w:val="en-GB"/>
        </w:rPr>
        <w:t>),</w:t>
      </w:r>
      <w:r w:rsidRPr="00C4248E">
        <w:rPr>
          <w:rStyle w:val="Hyperlink0"/>
          <w:rFonts w:ascii="Arial" w:hAnsi="Arial" w:cs="Arial"/>
          <w:color w:val="000000"/>
          <w:u w:val="none" w:color="000000"/>
          <w:lang w:val="en-GB"/>
        </w:rPr>
        <w:t xml:space="preserve"> Annual Statistical Report 2017, P</w:t>
      </w:r>
      <w:r>
        <w:rPr>
          <w:rStyle w:val="Hyperlink0"/>
          <w:rFonts w:ascii="Arial" w:hAnsi="Arial" w:cs="Arial"/>
          <w:color w:val="000000"/>
          <w:u w:val="none" w:color="000000"/>
          <w:lang w:val="en-GB"/>
        </w:rPr>
        <w:t>.</w:t>
      </w:r>
      <w:r w:rsidRPr="00C4248E">
        <w:rPr>
          <w:rStyle w:val="Hyperlink0"/>
          <w:rFonts w:ascii="Arial" w:hAnsi="Arial" w:cs="Arial"/>
          <w:color w:val="000000"/>
          <w:u w:val="none" w:color="000000"/>
          <w:lang w:val="en-GB"/>
        </w:rPr>
        <w:t xml:space="preserve"> 16, P</w:t>
      </w:r>
      <w:r>
        <w:rPr>
          <w:rStyle w:val="Hyperlink0"/>
          <w:rFonts w:ascii="Arial" w:hAnsi="Arial" w:cs="Arial"/>
          <w:color w:val="000000"/>
          <w:u w:val="none" w:color="000000"/>
          <w:lang w:val="en-GB"/>
        </w:rPr>
        <w:t>.</w:t>
      </w:r>
      <w:r w:rsidRPr="00C4248E">
        <w:rPr>
          <w:rStyle w:val="Hyperlink0"/>
          <w:rFonts w:ascii="Arial" w:hAnsi="Arial" w:cs="Arial"/>
          <w:color w:val="000000"/>
          <w:u w:val="none" w:color="000000"/>
          <w:lang w:val="en-GB"/>
        </w:rPr>
        <w:t xml:space="preserve"> 22, P</w:t>
      </w:r>
      <w:r>
        <w:rPr>
          <w:rStyle w:val="Hyperlink0"/>
          <w:rFonts w:ascii="Arial" w:hAnsi="Arial" w:cs="Arial"/>
          <w:color w:val="000000"/>
          <w:u w:val="none" w:color="000000"/>
          <w:lang w:val="en-GB"/>
        </w:rPr>
        <w:t>.</w:t>
      </w:r>
      <w:r w:rsidRPr="00C4248E">
        <w:rPr>
          <w:rStyle w:val="Hyperlink0"/>
          <w:rFonts w:ascii="Arial" w:hAnsi="Arial" w:cs="Arial"/>
          <w:color w:val="000000"/>
          <w:u w:val="none" w:color="000000"/>
          <w:lang w:val="en-GB"/>
        </w:rPr>
        <w:t xml:space="preserve"> 25 </w:t>
      </w:r>
    </w:p>
    <w:p w14:paraId="216A682C" w14:textId="1DCDEF91" w:rsidR="00C4248E" w:rsidRPr="00C4248E" w:rsidRDefault="00C4248E" w:rsidP="00C4248E">
      <w:pPr>
        <w:pStyle w:val="EndnoteText"/>
        <w:rPr>
          <w:rFonts w:ascii="Arial" w:hAnsi="Arial" w:cs="Arial"/>
        </w:rPr>
      </w:pPr>
      <w:r w:rsidRPr="00C4248E">
        <w:rPr>
          <w:rFonts w:ascii="Arial" w:hAnsi="Arial" w:cs="Arial"/>
        </w:rPr>
        <w:t xml:space="preserve">and </w:t>
      </w:r>
      <w:r w:rsidRPr="00C4248E">
        <w:rPr>
          <w:rFonts w:ascii="Arial" w:hAnsi="Arial" w:cs="Arial"/>
          <w:lang w:val="en-GB"/>
        </w:rPr>
        <w:t>Palestinian Central Bureau of Statistics</w:t>
      </w:r>
      <w:r>
        <w:rPr>
          <w:rFonts w:ascii="Arial" w:hAnsi="Arial" w:cs="Arial"/>
          <w:lang w:val="en-GB"/>
        </w:rPr>
        <w:t xml:space="preserve"> (</w:t>
      </w:r>
      <w:r w:rsidRPr="00C4248E">
        <w:rPr>
          <w:rFonts w:ascii="Arial" w:hAnsi="Arial" w:cs="Arial"/>
          <w:lang w:val="en-GB"/>
        </w:rPr>
        <w:t>2018</w:t>
      </w:r>
      <w:r>
        <w:rPr>
          <w:rFonts w:ascii="Arial" w:hAnsi="Arial" w:cs="Arial"/>
          <w:lang w:val="en-GB"/>
        </w:rPr>
        <w:t>)</w:t>
      </w:r>
      <w:r w:rsidRPr="00C4248E">
        <w:rPr>
          <w:rFonts w:ascii="Arial" w:hAnsi="Arial" w:cs="Arial"/>
          <w:lang w:val="en-GB"/>
        </w:rPr>
        <w:t>, Household Expenditure and Consumption Survey (October 2016 – September 2017)</w:t>
      </w:r>
      <w:r w:rsidRPr="00C4248E">
        <w:rPr>
          <w:rFonts w:ascii="Arial" w:hAnsi="Arial" w:cs="Arial"/>
        </w:rPr>
        <w:t xml:space="preserve"> P</w:t>
      </w:r>
      <w:r>
        <w:rPr>
          <w:rFonts w:ascii="Arial" w:hAnsi="Arial" w:cs="Arial"/>
        </w:rPr>
        <w:t>.</w:t>
      </w:r>
      <w:r w:rsidRPr="00C4248E">
        <w:rPr>
          <w:rFonts w:ascii="Arial" w:hAnsi="Arial" w:cs="Arial"/>
        </w:rPr>
        <w:t xml:space="preserve"> 26 </w:t>
      </w:r>
    </w:p>
    <w:p w14:paraId="10C02A08" w14:textId="4C76A807" w:rsidR="00C4248E" w:rsidRPr="00C4248E" w:rsidRDefault="00C4248E" w:rsidP="00C4248E">
      <w:pPr>
        <w:pStyle w:val="EndnoteText"/>
        <w:rPr>
          <w:color w:val="0000FF"/>
          <w:u w:val="single" w:color="0000FF"/>
        </w:rPr>
      </w:pPr>
      <w:r w:rsidRPr="00C4248E">
        <w:rPr>
          <w:rFonts w:ascii="Arial" w:hAnsi="Arial" w:cs="Arial"/>
        </w:rPr>
        <w:t xml:space="preserve"> </w:t>
      </w:r>
      <w:hyperlink r:id="rId9" w:history="1">
        <w:r w:rsidRPr="00C4248E">
          <w:rPr>
            <w:rStyle w:val="Hyperlink0"/>
            <w:rFonts w:ascii="Arial" w:hAnsi="Arial" w:cs="Arial"/>
          </w:rPr>
          <w:t>https://www.pcbs.gov.ps/Downloads/book2368.pdf?date=7_5_2018</w:t>
        </w:r>
      </w:hyperlink>
    </w:p>
  </w:footnote>
  <w:footnote w:id="50">
    <w:p w14:paraId="68589672" w14:textId="77777777" w:rsidR="00414486" w:rsidRPr="00196651" w:rsidRDefault="00414486" w:rsidP="00414486">
      <w:pPr>
        <w:rPr>
          <w:rFonts w:ascii="Arial" w:hAnsi="Arial" w:cs="Arial"/>
          <w:sz w:val="20"/>
          <w:szCs w:val="20"/>
        </w:rPr>
      </w:pPr>
      <w:r>
        <w:rPr>
          <w:rStyle w:val="FootnoteReference"/>
        </w:rPr>
        <w:footnoteRef/>
      </w:r>
      <w:r>
        <w:t xml:space="preserve"> </w:t>
      </w:r>
      <w:r w:rsidRPr="00196651">
        <w:rPr>
          <w:rFonts w:ascii="Arial" w:hAnsi="Arial" w:cs="Arial"/>
          <w:sz w:val="20"/>
          <w:szCs w:val="20"/>
        </w:rPr>
        <w:t xml:space="preserve">See also: </w:t>
      </w:r>
      <w:proofErr w:type="spellStart"/>
      <w:r w:rsidRPr="00196651">
        <w:rPr>
          <w:rFonts w:ascii="Arial" w:hAnsi="Arial" w:cs="Arial"/>
          <w:color w:val="000000"/>
          <w:sz w:val="20"/>
          <w:szCs w:val="20"/>
        </w:rPr>
        <w:t>Riyahi</w:t>
      </w:r>
      <w:proofErr w:type="spellEnd"/>
      <w:r w:rsidRPr="00196651">
        <w:rPr>
          <w:rFonts w:ascii="Arial" w:hAnsi="Arial" w:cs="Arial"/>
          <w:color w:val="000000"/>
          <w:sz w:val="20"/>
          <w:szCs w:val="20"/>
        </w:rPr>
        <w:t xml:space="preserve">, I. (2011) </w:t>
      </w:r>
      <w:r w:rsidRPr="00196651">
        <w:rPr>
          <w:rFonts w:ascii="Arial" w:hAnsi="Arial" w:cs="Arial"/>
          <w:i/>
          <w:iCs/>
          <w:color w:val="000000"/>
          <w:sz w:val="20"/>
          <w:szCs w:val="20"/>
        </w:rPr>
        <w:t>Two Years After Palestinian Reform and Development Plan: The Poor Are Still Paying the Price</w:t>
      </w:r>
      <w:r w:rsidRPr="00196651">
        <w:rPr>
          <w:rFonts w:ascii="Arial" w:hAnsi="Arial" w:cs="Arial"/>
          <w:color w:val="000000"/>
          <w:sz w:val="20"/>
          <w:szCs w:val="20"/>
        </w:rPr>
        <w:t xml:space="preserve">. Ramallah: </w:t>
      </w:r>
      <w:proofErr w:type="spellStart"/>
      <w:r w:rsidRPr="00196651">
        <w:rPr>
          <w:rFonts w:ascii="Arial" w:hAnsi="Arial" w:cs="Arial"/>
          <w:color w:val="000000"/>
          <w:sz w:val="20"/>
          <w:szCs w:val="20"/>
        </w:rPr>
        <w:t>Bisan</w:t>
      </w:r>
      <w:proofErr w:type="spellEnd"/>
      <w:r w:rsidRPr="00196651">
        <w:rPr>
          <w:rFonts w:ascii="Arial" w:hAnsi="Arial" w:cs="Arial"/>
          <w:color w:val="000000"/>
          <w:sz w:val="20"/>
          <w:szCs w:val="20"/>
        </w:rPr>
        <w:t xml:space="preserve"> Center for Research and Development </w:t>
      </w:r>
    </w:p>
    <w:p w14:paraId="6DD8BA5B" w14:textId="7115E6D8" w:rsidR="00414486" w:rsidRDefault="00414486" w:rsidP="00414486">
      <w:r w:rsidRPr="00196651">
        <w:rPr>
          <w:rFonts w:ascii="Arial" w:hAnsi="Arial" w:cs="Arial"/>
          <w:sz w:val="20"/>
          <w:szCs w:val="20"/>
        </w:rPr>
        <w:t xml:space="preserve">And </w:t>
      </w:r>
      <w:r w:rsidRPr="00196651">
        <w:rPr>
          <w:rFonts w:ascii="Arial" w:hAnsi="Arial" w:cs="Arial"/>
          <w:color w:val="000000"/>
          <w:sz w:val="20"/>
          <w:szCs w:val="20"/>
        </w:rPr>
        <w:t xml:space="preserve">Hamdan, A. and Yahya, A. (2012) </w:t>
      </w:r>
      <w:r w:rsidRPr="00196651">
        <w:rPr>
          <w:rFonts w:ascii="Arial" w:hAnsi="Arial" w:cs="Arial"/>
          <w:i/>
          <w:iCs/>
          <w:color w:val="000000"/>
          <w:sz w:val="20"/>
          <w:szCs w:val="20"/>
        </w:rPr>
        <w:t>The Pre-payment System in Water and Electricity Sectors</w:t>
      </w:r>
      <w:r w:rsidRPr="00196651">
        <w:rPr>
          <w:rFonts w:ascii="Arial" w:hAnsi="Arial" w:cs="Arial"/>
          <w:color w:val="000000"/>
          <w:sz w:val="20"/>
          <w:szCs w:val="20"/>
        </w:rPr>
        <w:t xml:space="preserve">. Ramallah: </w:t>
      </w:r>
      <w:proofErr w:type="spellStart"/>
      <w:r w:rsidRPr="00196651">
        <w:rPr>
          <w:rFonts w:ascii="Arial" w:hAnsi="Arial" w:cs="Arial"/>
          <w:color w:val="000000"/>
          <w:sz w:val="20"/>
          <w:szCs w:val="20"/>
        </w:rPr>
        <w:t>Bisan</w:t>
      </w:r>
      <w:proofErr w:type="spellEnd"/>
      <w:r w:rsidRPr="00196651">
        <w:rPr>
          <w:rFonts w:ascii="Arial" w:hAnsi="Arial" w:cs="Arial"/>
          <w:color w:val="000000"/>
          <w:sz w:val="20"/>
          <w:szCs w:val="20"/>
        </w:rPr>
        <w:t xml:space="preserve"> Center for Research and Development</w:t>
      </w:r>
      <w:r>
        <w:rPr>
          <w:color w:val="000000"/>
          <w:sz w:val="22"/>
        </w:rPr>
        <w:t xml:space="preserve"> </w:t>
      </w:r>
    </w:p>
  </w:footnote>
  <w:footnote w:id="51">
    <w:p w14:paraId="1F0CFBAB" w14:textId="5A805A6C" w:rsidR="0064087C" w:rsidRPr="0064087C" w:rsidRDefault="0064087C">
      <w:pPr>
        <w:pStyle w:val="FootnoteText"/>
        <w:rPr>
          <w:rFonts w:ascii="Arial" w:hAnsi="Arial" w:cs="Arial"/>
          <w:lang w:val="en-GB"/>
        </w:rPr>
      </w:pPr>
      <w:r w:rsidRPr="0064087C">
        <w:rPr>
          <w:rStyle w:val="FootnoteReference"/>
          <w:rFonts w:ascii="Arial" w:hAnsi="Arial" w:cs="Arial"/>
        </w:rPr>
        <w:footnoteRef/>
      </w:r>
      <w:r w:rsidRPr="0064087C">
        <w:rPr>
          <w:rFonts w:ascii="Arial" w:hAnsi="Arial" w:cs="Arial"/>
        </w:rPr>
        <w:t xml:space="preserve"> </w:t>
      </w:r>
      <w:proofErr w:type="spellStart"/>
      <w:r w:rsidRPr="0064087C">
        <w:rPr>
          <w:rFonts w:ascii="Arial" w:hAnsi="Arial" w:cs="Arial"/>
        </w:rPr>
        <w:t>Jarradat</w:t>
      </w:r>
      <w:proofErr w:type="spellEnd"/>
      <w:r w:rsidRPr="0064087C">
        <w:rPr>
          <w:rFonts w:ascii="Arial" w:hAnsi="Arial" w:cs="Arial"/>
        </w:rPr>
        <w:t xml:space="preserve">, M. (2017) Interviewed by Zayneb al-Shalalfeh for MSc theses on the prepaid meters and water governance, 1 August.  </w:t>
      </w:r>
    </w:p>
  </w:footnote>
  <w:footnote w:id="52">
    <w:p w14:paraId="2623451D" w14:textId="315F5A54" w:rsidR="00E80FF2" w:rsidRPr="00E80FF2" w:rsidRDefault="00E80FF2">
      <w:pPr>
        <w:pStyle w:val="FootnoteText"/>
        <w:rPr>
          <w:rFonts w:ascii="Arial" w:hAnsi="Arial" w:cs="Arial"/>
          <w:lang w:val="en-GB"/>
        </w:rPr>
      </w:pPr>
      <w:r w:rsidRPr="00E80FF2">
        <w:rPr>
          <w:rStyle w:val="FootnoteReference"/>
          <w:rFonts w:ascii="Arial" w:hAnsi="Arial" w:cs="Arial"/>
        </w:rPr>
        <w:footnoteRef/>
      </w:r>
      <w:r w:rsidRPr="00E80FF2">
        <w:rPr>
          <w:rFonts w:ascii="Arial" w:hAnsi="Arial" w:cs="Arial"/>
        </w:rPr>
        <w:t xml:space="preserve"> </w:t>
      </w:r>
      <w:proofErr w:type="spellStart"/>
      <w:r w:rsidRPr="00E80FF2">
        <w:rPr>
          <w:rFonts w:ascii="Arial" w:hAnsi="Arial" w:cs="Arial"/>
        </w:rPr>
        <w:t>Hawwash</w:t>
      </w:r>
      <w:proofErr w:type="spellEnd"/>
      <w:r w:rsidRPr="00E80FF2">
        <w:rPr>
          <w:rFonts w:ascii="Arial" w:hAnsi="Arial" w:cs="Arial"/>
        </w:rPr>
        <w:t>, S. (2017) Interviewed by Zayneb al-Shalalfeh for </w:t>
      </w:r>
      <w:r w:rsidRPr="00E80FF2">
        <w:rPr>
          <w:rFonts w:ascii="Arial" w:hAnsi="Arial" w:cs="Arial"/>
          <w:i/>
          <w:iCs/>
        </w:rPr>
        <w:t>MSc theses on the prepaid meters and water governance</w:t>
      </w:r>
      <w:r w:rsidRPr="00E80FF2">
        <w:rPr>
          <w:rFonts w:ascii="Arial" w:hAnsi="Arial" w:cs="Arial"/>
        </w:rPr>
        <w:t xml:space="preserve">, 19 July.  </w:t>
      </w:r>
    </w:p>
  </w:footnote>
  <w:footnote w:id="53">
    <w:p w14:paraId="21F6FE6B" w14:textId="34AF790E" w:rsidR="00504A75" w:rsidRPr="00504A75" w:rsidRDefault="00504A75">
      <w:pPr>
        <w:pStyle w:val="FootnoteText"/>
        <w:rPr>
          <w:rFonts w:ascii="Arial" w:hAnsi="Arial" w:cs="Arial"/>
        </w:rPr>
      </w:pPr>
      <w:r w:rsidRPr="00504A75">
        <w:rPr>
          <w:rStyle w:val="FootnoteReference"/>
          <w:rFonts w:ascii="Arial" w:hAnsi="Arial" w:cs="Arial"/>
        </w:rPr>
        <w:footnoteRef/>
      </w:r>
      <w:r w:rsidRPr="00504A75">
        <w:rPr>
          <w:rFonts w:ascii="Arial" w:hAnsi="Arial" w:cs="Arial"/>
        </w:rPr>
        <w:t xml:space="preserve"> </w:t>
      </w:r>
      <w:r w:rsidRPr="00504A75">
        <w:rPr>
          <w:rFonts w:ascii="Arial" w:hAnsi="Arial" w:cs="Arial"/>
        </w:rPr>
        <w:t xml:space="preserve">Palestinian Central Bureau of Statistics (08.03.2021) </w:t>
      </w:r>
      <w:hyperlink r:id="rId10" w:history="1">
        <w:r w:rsidRPr="00504A75">
          <w:rPr>
            <w:rStyle w:val="Hyperlink"/>
            <w:rFonts w:ascii="Arial" w:hAnsi="Arial" w:cs="Arial"/>
          </w:rPr>
          <w:t>http://www.pcbs.gov.ps/postar.aspx?lang=ar&amp;ItemID=3933</w:t>
        </w:r>
      </w:hyperlink>
    </w:p>
  </w:footnote>
  <w:footnote w:id="54">
    <w:p w14:paraId="587FF2CF" w14:textId="451D04F1" w:rsidR="00504A75" w:rsidRPr="00504A75" w:rsidRDefault="00504A75">
      <w:pPr>
        <w:pStyle w:val="FootnoteText"/>
        <w:rPr>
          <w:rFonts w:ascii="Arial" w:hAnsi="Arial" w:cs="Arial"/>
        </w:rPr>
      </w:pPr>
      <w:r w:rsidRPr="00504A75">
        <w:rPr>
          <w:rStyle w:val="FootnoteReference"/>
          <w:rFonts w:ascii="Arial" w:hAnsi="Arial" w:cs="Arial"/>
        </w:rPr>
        <w:footnoteRef/>
      </w:r>
      <w:r w:rsidRPr="00504A75">
        <w:rPr>
          <w:rFonts w:ascii="Arial" w:hAnsi="Arial" w:cs="Arial"/>
        </w:rPr>
        <w:t xml:space="preserve"> Source: interviews with civil society and water rights activists </w:t>
      </w:r>
    </w:p>
  </w:footnote>
  <w:footnote w:id="55">
    <w:p w14:paraId="61E58807" w14:textId="235C84CE" w:rsidR="000E63DD" w:rsidRPr="000E63DD" w:rsidRDefault="000E63DD">
      <w:pPr>
        <w:pStyle w:val="FootnoteText"/>
        <w:rPr>
          <w:rFonts w:ascii="Arial" w:hAnsi="Arial" w:cs="Arial"/>
        </w:rPr>
      </w:pPr>
      <w:r w:rsidRPr="000E63DD">
        <w:rPr>
          <w:rStyle w:val="FootnoteReference"/>
          <w:rFonts w:ascii="Arial" w:hAnsi="Arial" w:cs="Arial"/>
        </w:rPr>
        <w:footnoteRef/>
      </w:r>
      <w:r w:rsidRPr="000E63DD">
        <w:rPr>
          <w:rFonts w:ascii="Arial" w:hAnsi="Arial" w:cs="Arial"/>
        </w:rPr>
        <w:t xml:space="preserve"> Al-Haq </w:t>
      </w:r>
      <w:proofErr w:type="spellStart"/>
      <w:r w:rsidRPr="000E63DD">
        <w:rPr>
          <w:rFonts w:ascii="Arial" w:hAnsi="Arial" w:cs="Arial"/>
        </w:rPr>
        <w:t>Kathren</w:t>
      </w:r>
      <w:proofErr w:type="spellEnd"/>
      <w:r w:rsidRPr="000E63DD">
        <w:rPr>
          <w:rFonts w:ascii="Arial" w:hAnsi="Arial" w:cs="Arial"/>
        </w:rPr>
        <w:t xml:space="preserve"> Abu </w:t>
      </w:r>
      <w:proofErr w:type="spellStart"/>
      <w:r w:rsidRPr="000E63DD">
        <w:rPr>
          <w:rFonts w:ascii="Arial" w:hAnsi="Arial" w:cs="Arial"/>
        </w:rPr>
        <w:t>Amsha</w:t>
      </w:r>
      <w:proofErr w:type="spellEnd"/>
      <w:r w:rsidRPr="000E63DD">
        <w:rPr>
          <w:rFonts w:ascii="Arial" w:hAnsi="Arial" w:cs="Arial"/>
        </w:rPr>
        <w:t xml:space="preserve"> (2020) Freedom of expression between legislation, practice and state of emergency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931F2"/>
    <w:multiLevelType w:val="hybridMultilevel"/>
    <w:tmpl w:val="9FD66088"/>
    <w:lvl w:ilvl="0" w:tplc="D758F364">
      <w:start w:val="1"/>
      <w:numFmt w:val="bullet"/>
      <w:lvlText w:val="-"/>
      <w:lvlJc w:val="left"/>
      <w:pPr>
        <w:tabs>
          <w:tab w:val="num" w:pos="720"/>
        </w:tabs>
        <w:ind w:left="720" w:hanging="360"/>
      </w:pPr>
      <w:rPr>
        <w:rFonts w:ascii="Times New Roman" w:hAnsi="Times New Roman" w:hint="default"/>
      </w:rPr>
    </w:lvl>
    <w:lvl w:ilvl="1" w:tplc="F696994E" w:tentative="1">
      <w:start w:val="1"/>
      <w:numFmt w:val="bullet"/>
      <w:lvlText w:val="-"/>
      <w:lvlJc w:val="left"/>
      <w:pPr>
        <w:tabs>
          <w:tab w:val="num" w:pos="1440"/>
        </w:tabs>
        <w:ind w:left="1440" w:hanging="360"/>
      </w:pPr>
      <w:rPr>
        <w:rFonts w:ascii="Times New Roman" w:hAnsi="Times New Roman" w:hint="default"/>
      </w:rPr>
    </w:lvl>
    <w:lvl w:ilvl="2" w:tplc="CBD0812E" w:tentative="1">
      <w:start w:val="1"/>
      <w:numFmt w:val="bullet"/>
      <w:lvlText w:val="-"/>
      <w:lvlJc w:val="left"/>
      <w:pPr>
        <w:tabs>
          <w:tab w:val="num" w:pos="2160"/>
        </w:tabs>
        <w:ind w:left="2160" w:hanging="360"/>
      </w:pPr>
      <w:rPr>
        <w:rFonts w:ascii="Times New Roman" w:hAnsi="Times New Roman" w:hint="default"/>
      </w:rPr>
    </w:lvl>
    <w:lvl w:ilvl="3" w:tplc="635AECBA" w:tentative="1">
      <w:start w:val="1"/>
      <w:numFmt w:val="bullet"/>
      <w:lvlText w:val="-"/>
      <w:lvlJc w:val="left"/>
      <w:pPr>
        <w:tabs>
          <w:tab w:val="num" w:pos="2880"/>
        </w:tabs>
        <w:ind w:left="2880" w:hanging="360"/>
      </w:pPr>
      <w:rPr>
        <w:rFonts w:ascii="Times New Roman" w:hAnsi="Times New Roman" w:hint="default"/>
      </w:rPr>
    </w:lvl>
    <w:lvl w:ilvl="4" w:tplc="472CD210" w:tentative="1">
      <w:start w:val="1"/>
      <w:numFmt w:val="bullet"/>
      <w:lvlText w:val="-"/>
      <w:lvlJc w:val="left"/>
      <w:pPr>
        <w:tabs>
          <w:tab w:val="num" w:pos="3600"/>
        </w:tabs>
        <w:ind w:left="3600" w:hanging="360"/>
      </w:pPr>
      <w:rPr>
        <w:rFonts w:ascii="Times New Roman" w:hAnsi="Times New Roman" w:hint="default"/>
      </w:rPr>
    </w:lvl>
    <w:lvl w:ilvl="5" w:tplc="280812E4" w:tentative="1">
      <w:start w:val="1"/>
      <w:numFmt w:val="bullet"/>
      <w:lvlText w:val="-"/>
      <w:lvlJc w:val="left"/>
      <w:pPr>
        <w:tabs>
          <w:tab w:val="num" w:pos="4320"/>
        </w:tabs>
        <w:ind w:left="4320" w:hanging="360"/>
      </w:pPr>
      <w:rPr>
        <w:rFonts w:ascii="Times New Roman" w:hAnsi="Times New Roman" w:hint="default"/>
      </w:rPr>
    </w:lvl>
    <w:lvl w:ilvl="6" w:tplc="07E057D8" w:tentative="1">
      <w:start w:val="1"/>
      <w:numFmt w:val="bullet"/>
      <w:lvlText w:val="-"/>
      <w:lvlJc w:val="left"/>
      <w:pPr>
        <w:tabs>
          <w:tab w:val="num" w:pos="5040"/>
        </w:tabs>
        <w:ind w:left="5040" w:hanging="360"/>
      </w:pPr>
      <w:rPr>
        <w:rFonts w:ascii="Times New Roman" w:hAnsi="Times New Roman" w:hint="default"/>
      </w:rPr>
    </w:lvl>
    <w:lvl w:ilvl="7" w:tplc="80768DF6" w:tentative="1">
      <w:start w:val="1"/>
      <w:numFmt w:val="bullet"/>
      <w:lvlText w:val="-"/>
      <w:lvlJc w:val="left"/>
      <w:pPr>
        <w:tabs>
          <w:tab w:val="num" w:pos="5760"/>
        </w:tabs>
        <w:ind w:left="5760" w:hanging="360"/>
      </w:pPr>
      <w:rPr>
        <w:rFonts w:ascii="Times New Roman" w:hAnsi="Times New Roman" w:hint="default"/>
      </w:rPr>
    </w:lvl>
    <w:lvl w:ilvl="8" w:tplc="8E74812C"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0CA4DC1"/>
    <w:multiLevelType w:val="hybridMultilevel"/>
    <w:tmpl w:val="60F652D6"/>
    <w:lvl w:ilvl="0" w:tplc="D758F364">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CF36443"/>
    <w:multiLevelType w:val="hybridMultilevel"/>
    <w:tmpl w:val="4ED4A71E"/>
    <w:lvl w:ilvl="0" w:tplc="D9BA70E4">
      <w:start w:val="15"/>
      <w:numFmt w:val="bullet"/>
      <w:lvlText w:val="-"/>
      <w:lvlJc w:val="left"/>
      <w:pPr>
        <w:ind w:left="360" w:hanging="360"/>
      </w:pPr>
      <w:rPr>
        <w:rFonts w:ascii="Arial" w:eastAsia="Arial Unicode MS"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ED805DD"/>
    <w:multiLevelType w:val="hybridMultilevel"/>
    <w:tmpl w:val="4120C0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06F0486"/>
    <w:multiLevelType w:val="hybridMultilevel"/>
    <w:tmpl w:val="92AEC212"/>
    <w:lvl w:ilvl="0" w:tplc="F8822610">
      <w:start w:val="2"/>
      <w:numFmt w:val="decimal"/>
      <w:lvlText w:val="%1."/>
      <w:lvlJc w:val="left"/>
      <w:pPr>
        <w:tabs>
          <w:tab w:val="num" w:pos="3114"/>
        </w:tabs>
        <w:ind w:left="3114" w:firstLine="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EF701EF"/>
    <w:multiLevelType w:val="hybridMultilevel"/>
    <w:tmpl w:val="A09C2F5C"/>
    <w:lvl w:ilvl="0" w:tplc="33ACBAC2">
      <w:start w:val="1"/>
      <w:numFmt w:val="bullet"/>
      <w:lvlText w:val="-"/>
      <w:lvlJc w:val="left"/>
      <w:pPr>
        <w:tabs>
          <w:tab w:val="num" w:pos="720"/>
        </w:tabs>
        <w:ind w:left="720" w:hanging="360"/>
      </w:pPr>
      <w:rPr>
        <w:rFonts w:ascii="Times New Roman" w:hAnsi="Times New Roman" w:hint="default"/>
      </w:rPr>
    </w:lvl>
    <w:lvl w:ilvl="1" w:tplc="5ECC3D94" w:tentative="1">
      <w:start w:val="1"/>
      <w:numFmt w:val="bullet"/>
      <w:lvlText w:val="-"/>
      <w:lvlJc w:val="left"/>
      <w:pPr>
        <w:tabs>
          <w:tab w:val="num" w:pos="1440"/>
        </w:tabs>
        <w:ind w:left="1440" w:hanging="360"/>
      </w:pPr>
      <w:rPr>
        <w:rFonts w:ascii="Times New Roman" w:hAnsi="Times New Roman" w:hint="default"/>
      </w:rPr>
    </w:lvl>
    <w:lvl w:ilvl="2" w:tplc="B99066AA" w:tentative="1">
      <w:start w:val="1"/>
      <w:numFmt w:val="bullet"/>
      <w:lvlText w:val="-"/>
      <w:lvlJc w:val="left"/>
      <w:pPr>
        <w:tabs>
          <w:tab w:val="num" w:pos="2160"/>
        </w:tabs>
        <w:ind w:left="2160" w:hanging="360"/>
      </w:pPr>
      <w:rPr>
        <w:rFonts w:ascii="Times New Roman" w:hAnsi="Times New Roman" w:hint="default"/>
      </w:rPr>
    </w:lvl>
    <w:lvl w:ilvl="3" w:tplc="13DA059E" w:tentative="1">
      <w:start w:val="1"/>
      <w:numFmt w:val="bullet"/>
      <w:lvlText w:val="-"/>
      <w:lvlJc w:val="left"/>
      <w:pPr>
        <w:tabs>
          <w:tab w:val="num" w:pos="2880"/>
        </w:tabs>
        <w:ind w:left="2880" w:hanging="360"/>
      </w:pPr>
      <w:rPr>
        <w:rFonts w:ascii="Times New Roman" w:hAnsi="Times New Roman" w:hint="default"/>
      </w:rPr>
    </w:lvl>
    <w:lvl w:ilvl="4" w:tplc="C41046DC" w:tentative="1">
      <w:start w:val="1"/>
      <w:numFmt w:val="bullet"/>
      <w:lvlText w:val="-"/>
      <w:lvlJc w:val="left"/>
      <w:pPr>
        <w:tabs>
          <w:tab w:val="num" w:pos="3600"/>
        </w:tabs>
        <w:ind w:left="3600" w:hanging="360"/>
      </w:pPr>
      <w:rPr>
        <w:rFonts w:ascii="Times New Roman" w:hAnsi="Times New Roman" w:hint="default"/>
      </w:rPr>
    </w:lvl>
    <w:lvl w:ilvl="5" w:tplc="C2B88A2C" w:tentative="1">
      <w:start w:val="1"/>
      <w:numFmt w:val="bullet"/>
      <w:lvlText w:val="-"/>
      <w:lvlJc w:val="left"/>
      <w:pPr>
        <w:tabs>
          <w:tab w:val="num" w:pos="4320"/>
        </w:tabs>
        <w:ind w:left="4320" w:hanging="360"/>
      </w:pPr>
      <w:rPr>
        <w:rFonts w:ascii="Times New Roman" w:hAnsi="Times New Roman" w:hint="default"/>
      </w:rPr>
    </w:lvl>
    <w:lvl w:ilvl="6" w:tplc="52561D22" w:tentative="1">
      <w:start w:val="1"/>
      <w:numFmt w:val="bullet"/>
      <w:lvlText w:val="-"/>
      <w:lvlJc w:val="left"/>
      <w:pPr>
        <w:tabs>
          <w:tab w:val="num" w:pos="5040"/>
        </w:tabs>
        <w:ind w:left="5040" w:hanging="360"/>
      </w:pPr>
      <w:rPr>
        <w:rFonts w:ascii="Times New Roman" w:hAnsi="Times New Roman" w:hint="default"/>
      </w:rPr>
    </w:lvl>
    <w:lvl w:ilvl="7" w:tplc="29980EA4" w:tentative="1">
      <w:start w:val="1"/>
      <w:numFmt w:val="bullet"/>
      <w:lvlText w:val="-"/>
      <w:lvlJc w:val="left"/>
      <w:pPr>
        <w:tabs>
          <w:tab w:val="num" w:pos="5760"/>
        </w:tabs>
        <w:ind w:left="5760" w:hanging="360"/>
      </w:pPr>
      <w:rPr>
        <w:rFonts w:ascii="Times New Roman" w:hAnsi="Times New Roman" w:hint="default"/>
      </w:rPr>
    </w:lvl>
    <w:lvl w:ilvl="8" w:tplc="E95883D0"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635B642E"/>
    <w:multiLevelType w:val="hybridMultilevel"/>
    <w:tmpl w:val="FA42396A"/>
    <w:lvl w:ilvl="0" w:tplc="03E61276">
      <w:start w:val="1"/>
      <w:numFmt w:val="bullet"/>
      <w:lvlText w:val="-"/>
      <w:lvlJc w:val="left"/>
      <w:pPr>
        <w:tabs>
          <w:tab w:val="num" w:pos="720"/>
        </w:tabs>
        <w:ind w:left="720" w:hanging="360"/>
      </w:pPr>
      <w:rPr>
        <w:rFonts w:ascii="Times New Roman" w:hAnsi="Times New Roman" w:hint="default"/>
      </w:rPr>
    </w:lvl>
    <w:lvl w:ilvl="1" w:tplc="A274A384" w:tentative="1">
      <w:start w:val="1"/>
      <w:numFmt w:val="bullet"/>
      <w:lvlText w:val="-"/>
      <w:lvlJc w:val="left"/>
      <w:pPr>
        <w:tabs>
          <w:tab w:val="num" w:pos="1440"/>
        </w:tabs>
        <w:ind w:left="1440" w:hanging="360"/>
      </w:pPr>
      <w:rPr>
        <w:rFonts w:ascii="Times New Roman" w:hAnsi="Times New Roman" w:hint="default"/>
      </w:rPr>
    </w:lvl>
    <w:lvl w:ilvl="2" w:tplc="71484A54" w:tentative="1">
      <w:start w:val="1"/>
      <w:numFmt w:val="bullet"/>
      <w:lvlText w:val="-"/>
      <w:lvlJc w:val="left"/>
      <w:pPr>
        <w:tabs>
          <w:tab w:val="num" w:pos="2160"/>
        </w:tabs>
        <w:ind w:left="2160" w:hanging="360"/>
      </w:pPr>
      <w:rPr>
        <w:rFonts w:ascii="Times New Roman" w:hAnsi="Times New Roman" w:hint="default"/>
      </w:rPr>
    </w:lvl>
    <w:lvl w:ilvl="3" w:tplc="CE88F6C8" w:tentative="1">
      <w:start w:val="1"/>
      <w:numFmt w:val="bullet"/>
      <w:lvlText w:val="-"/>
      <w:lvlJc w:val="left"/>
      <w:pPr>
        <w:tabs>
          <w:tab w:val="num" w:pos="2880"/>
        </w:tabs>
        <w:ind w:left="2880" w:hanging="360"/>
      </w:pPr>
      <w:rPr>
        <w:rFonts w:ascii="Times New Roman" w:hAnsi="Times New Roman" w:hint="default"/>
      </w:rPr>
    </w:lvl>
    <w:lvl w:ilvl="4" w:tplc="FCACF290" w:tentative="1">
      <w:start w:val="1"/>
      <w:numFmt w:val="bullet"/>
      <w:lvlText w:val="-"/>
      <w:lvlJc w:val="left"/>
      <w:pPr>
        <w:tabs>
          <w:tab w:val="num" w:pos="3600"/>
        </w:tabs>
        <w:ind w:left="3600" w:hanging="360"/>
      </w:pPr>
      <w:rPr>
        <w:rFonts w:ascii="Times New Roman" w:hAnsi="Times New Roman" w:hint="default"/>
      </w:rPr>
    </w:lvl>
    <w:lvl w:ilvl="5" w:tplc="386E5812" w:tentative="1">
      <w:start w:val="1"/>
      <w:numFmt w:val="bullet"/>
      <w:lvlText w:val="-"/>
      <w:lvlJc w:val="left"/>
      <w:pPr>
        <w:tabs>
          <w:tab w:val="num" w:pos="4320"/>
        </w:tabs>
        <w:ind w:left="4320" w:hanging="360"/>
      </w:pPr>
      <w:rPr>
        <w:rFonts w:ascii="Times New Roman" w:hAnsi="Times New Roman" w:hint="default"/>
      </w:rPr>
    </w:lvl>
    <w:lvl w:ilvl="6" w:tplc="2C8C4734" w:tentative="1">
      <w:start w:val="1"/>
      <w:numFmt w:val="bullet"/>
      <w:lvlText w:val="-"/>
      <w:lvlJc w:val="left"/>
      <w:pPr>
        <w:tabs>
          <w:tab w:val="num" w:pos="5040"/>
        </w:tabs>
        <w:ind w:left="5040" w:hanging="360"/>
      </w:pPr>
      <w:rPr>
        <w:rFonts w:ascii="Times New Roman" w:hAnsi="Times New Roman" w:hint="default"/>
      </w:rPr>
    </w:lvl>
    <w:lvl w:ilvl="7" w:tplc="E8E8BCAC" w:tentative="1">
      <w:start w:val="1"/>
      <w:numFmt w:val="bullet"/>
      <w:lvlText w:val="-"/>
      <w:lvlJc w:val="left"/>
      <w:pPr>
        <w:tabs>
          <w:tab w:val="num" w:pos="5760"/>
        </w:tabs>
        <w:ind w:left="5760" w:hanging="360"/>
      </w:pPr>
      <w:rPr>
        <w:rFonts w:ascii="Times New Roman" w:hAnsi="Times New Roman" w:hint="default"/>
      </w:rPr>
    </w:lvl>
    <w:lvl w:ilvl="8" w:tplc="881E7776"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767C3ABF"/>
    <w:multiLevelType w:val="hybridMultilevel"/>
    <w:tmpl w:val="EFF89530"/>
    <w:lvl w:ilvl="0" w:tplc="E9667C5A">
      <w:start w:val="1"/>
      <w:numFmt w:val="bullet"/>
      <w:lvlText w:val="-"/>
      <w:lvlJc w:val="left"/>
      <w:pPr>
        <w:tabs>
          <w:tab w:val="num" w:pos="720"/>
        </w:tabs>
        <w:ind w:left="720" w:hanging="360"/>
      </w:pPr>
      <w:rPr>
        <w:rFonts w:ascii="Times New Roman" w:hAnsi="Times New Roman" w:hint="default"/>
      </w:rPr>
    </w:lvl>
    <w:lvl w:ilvl="1" w:tplc="F77A95A6" w:tentative="1">
      <w:start w:val="1"/>
      <w:numFmt w:val="bullet"/>
      <w:lvlText w:val="-"/>
      <w:lvlJc w:val="left"/>
      <w:pPr>
        <w:tabs>
          <w:tab w:val="num" w:pos="1440"/>
        </w:tabs>
        <w:ind w:left="1440" w:hanging="360"/>
      </w:pPr>
      <w:rPr>
        <w:rFonts w:ascii="Times New Roman" w:hAnsi="Times New Roman" w:hint="default"/>
      </w:rPr>
    </w:lvl>
    <w:lvl w:ilvl="2" w:tplc="7FAEA4EA" w:tentative="1">
      <w:start w:val="1"/>
      <w:numFmt w:val="bullet"/>
      <w:lvlText w:val="-"/>
      <w:lvlJc w:val="left"/>
      <w:pPr>
        <w:tabs>
          <w:tab w:val="num" w:pos="2160"/>
        </w:tabs>
        <w:ind w:left="2160" w:hanging="360"/>
      </w:pPr>
      <w:rPr>
        <w:rFonts w:ascii="Times New Roman" w:hAnsi="Times New Roman" w:hint="default"/>
      </w:rPr>
    </w:lvl>
    <w:lvl w:ilvl="3" w:tplc="33DCD41C" w:tentative="1">
      <w:start w:val="1"/>
      <w:numFmt w:val="bullet"/>
      <w:lvlText w:val="-"/>
      <w:lvlJc w:val="left"/>
      <w:pPr>
        <w:tabs>
          <w:tab w:val="num" w:pos="2880"/>
        </w:tabs>
        <w:ind w:left="2880" w:hanging="360"/>
      </w:pPr>
      <w:rPr>
        <w:rFonts w:ascii="Times New Roman" w:hAnsi="Times New Roman" w:hint="default"/>
      </w:rPr>
    </w:lvl>
    <w:lvl w:ilvl="4" w:tplc="D45AFCB0" w:tentative="1">
      <w:start w:val="1"/>
      <w:numFmt w:val="bullet"/>
      <w:lvlText w:val="-"/>
      <w:lvlJc w:val="left"/>
      <w:pPr>
        <w:tabs>
          <w:tab w:val="num" w:pos="3600"/>
        </w:tabs>
        <w:ind w:left="3600" w:hanging="360"/>
      </w:pPr>
      <w:rPr>
        <w:rFonts w:ascii="Times New Roman" w:hAnsi="Times New Roman" w:hint="default"/>
      </w:rPr>
    </w:lvl>
    <w:lvl w:ilvl="5" w:tplc="AE80D9CE" w:tentative="1">
      <w:start w:val="1"/>
      <w:numFmt w:val="bullet"/>
      <w:lvlText w:val="-"/>
      <w:lvlJc w:val="left"/>
      <w:pPr>
        <w:tabs>
          <w:tab w:val="num" w:pos="4320"/>
        </w:tabs>
        <w:ind w:left="4320" w:hanging="360"/>
      </w:pPr>
      <w:rPr>
        <w:rFonts w:ascii="Times New Roman" w:hAnsi="Times New Roman" w:hint="default"/>
      </w:rPr>
    </w:lvl>
    <w:lvl w:ilvl="6" w:tplc="71D6A1D4" w:tentative="1">
      <w:start w:val="1"/>
      <w:numFmt w:val="bullet"/>
      <w:lvlText w:val="-"/>
      <w:lvlJc w:val="left"/>
      <w:pPr>
        <w:tabs>
          <w:tab w:val="num" w:pos="5040"/>
        </w:tabs>
        <w:ind w:left="5040" w:hanging="360"/>
      </w:pPr>
      <w:rPr>
        <w:rFonts w:ascii="Times New Roman" w:hAnsi="Times New Roman" w:hint="default"/>
      </w:rPr>
    </w:lvl>
    <w:lvl w:ilvl="7" w:tplc="F05C9EC2" w:tentative="1">
      <w:start w:val="1"/>
      <w:numFmt w:val="bullet"/>
      <w:lvlText w:val="-"/>
      <w:lvlJc w:val="left"/>
      <w:pPr>
        <w:tabs>
          <w:tab w:val="num" w:pos="5760"/>
        </w:tabs>
        <w:ind w:left="5760" w:hanging="360"/>
      </w:pPr>
      <w:rPr>
        <w:rFonts w:ascii="Times New Roman" w:hAnsi="Times New Roman" w:hint="default"/>
      </w:rPr>
    </w:lvl>
    <w:lvl w:ilvl="8" w:tplc="1D2C8940"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3"/>
  </w:num>
  <w:num w:numId="3">
    <w:abstractNumId w:val="2"/>
  </w:num>
  <w:num w:numId="4">
    <w:abstractNumId w:val="5"/>
  </w:num>
  <w:num w:numId="5">
    <w:abstractNumId w:val="6"/>
  </w:num>
  <w:num w:numId="6">
    <w:abstractNumId w:val="7"/>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hyphenationZone w:val="425"/>
  <w:characterSpacingControl w:val="doNotCompres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EBB"/>
    <w:rsid w:val="0001424F"/>
    <w:rsid w:val="000225E2"/>
    <w:rsid w:val="0002703B"/>
    <w:rsid w:val="000304C7"/>
    <w:rsid w:val="00032AC6"/>
    <w:rsid w:val="00032B9B"/>
    <w:rsid w:val="00032D33"/>
    <w:rsid w:val="0003382B"/>
    <w:rsid w:val="00040B08"/>
    <w:rsid w:val="00040DF4"/>
    <w:rsid w:val="00042587"/>
    <w:rsid w:val="00046206"/>
    <w:rsid w:val="00051E5E"/>
    <w:rsid w:val="000520E7"/>
    <w:rsid w:val="00055015"/>
    <w:rsid w:val="00060691"/>
    <w:rsid w:val="00060770"/>
    <w:rsid w:val="00070372"/>
    <w:rsid w:val="0007675A"/>
    <w:rsid w:val="00081726"/>
    <w:rsid w:val="0009043F"/>
    <w:rsid w:val="00090C36"/>
    <w:rsid w:val="00096D58"/>
    <w:rsid w:val="00097A5D"/>
    <w:rsid w:val="000A1834"/>
    <w:rsid w:val="000A52F9"/>
    <w:rsid w:val="000A6777"/>
    <w:rsid w:val="000B0267"/>
    <w:rsid w:val="000B110B"/>
    <w:rsid w:val="000B3715"/>
    <w:rsid w:val="000B52C9"/>
    <w:rsid w:val="000C0114"/>
    <w:rsid w:val="000C058C"/>
    <w:rsid w:val="000C076E"/>
    <w:rsid w:val="000C07A4"/>
    <w:rsid w:val="000C1CA2"/>
    <w:rsid w:val="000D2F1A"/>
    <w:rsid w:val="000D3861"/>
    <w:rsid w:val="000D42DA"/>
    <w:rsid w:val="000D4CDC"/>
    <w:rsid w:val="000D4DB1"/>
    <w:rsid w:val="000E043F"/>
    <w:rsid w:val="000E0DAA"/>
    <w:rsid w:val="000E5940"/>
    <w:rsid w:val="000E63DD"/>
    <w:rsid w:val="000F281C"/>
    <w:rsid w:val="000F43BB"/>
    <w:rsid w:val="000F7E7F"/>
    <w:rsid w:val="00100146"/>
    <w:rsid w:val="00104970"/>
    <w:rsid w:val="00106481"/>
    <w:rsid w:val="00107837"/>
    <w:rsid w:val="0010799B"/>
    <w:rsid w:val="001120EA"/>
    <w:rsid w:val="00116AC2"/>
    <w:rsid w:val="00117B93"/>
    <w:rsid w:val="00122A6F"/>
    <w:rsid w:val="00124D51"/>
    <w:rsid w:val="00124EEC"/>
    <w:rsid w:val="001266C4"/>
    <w:rsid w:val="00136192"/>
    <w:rsid w:val="001372C3"/>
    <w:rsid w:val="00137E3F"/>
    <w:rsid w:val="00140B01"/>
    <w:rsid w:val="00145306"/>
    <w:rsid w:val="001453DB"/>
    <w:rsid w:val="00145D4F"/>
    <w:rsid w:val="00147943"/>
    <w:rsid w:val="001522D3"/>
    <w:rsid w:val="001658C9"/>
    <w:rsid w:val="001679A3"/>
    <w:rsid w:val="001751B1"/>
    <w:rsid w:val="00177E61"/>
    <w:rsid w:val="001820F4"/>
    <w:rsid w:val="001840C2"/>
    <w:rsid w:val="001848BA"/>
    <w:rsid w:val="00190AF5"/>
    <w:rsid w:val="00196651"/>
    <w:rsid w:val="00196751"/>
    <w:rsid w:val="001A3172"/>
    <w:rsid w:val="001A4790"/>
    <w:rsid w:val="001B0CBB"/>
    <w:rsid w:val="001B58E5"/>
    <w:rsid w:val="001B68A1"/>
    <w:rsid w:val="001B70D1"/>
    <w:rsid w:val="001B7771"/>
    <w:rsid w:val="001C1E1B"/>
    <w:rsid w:val="001C20BF"/>
    <w:rsid w:val="001C316E"/>
    <w:rsid w:val="001C5313"/>
    <w:rsid w:val="001D1E5E"/>
    <w:rsid w:val="001F1F4E"/>
    <w:rsid w:val="001F274B"/>
    <w:rsid w:val="001F2CB1"/>
    <w:rsid w:val="001F50F3"/>
    <w:rsid w:val="001F5840"/>
    <w:rsid w:val="002022D2"/>
    <w:rsid w:val="002023FF"/>
    <w:rsid w:val="00204A69"/>
    <w:rsid w:val="00205B72"/>
    <w:rsid w:val="002071D3"/>
    <w:rsid w:val="00207373"/>
    <w:rsid w:val="0021673E"/>
    <w:rsid w:val="00216996"/>
    <w:rsid w:val="00225EC6"/>
    <w:rsid w:val="00227F3D"/>
    <w:rsid w:val="0023414C"/>
    <w:rsid w:val="0023506D"/>
    <w:rsid w:val="002369E6"/>
    <w:rsid w:val="00237FF8"/>
    <w:rsid w:val="00240822"/>
    <w:rsid w:val="002452E7"/>
    <w:rsid w:val="002461C6"/>
    <w:rsid w:val="00254873"/>
    <w:rsid w:val="002603F0"/>
    <w:rsid w:val="00262202"/>
    <w:rsid w:val="00273B8A"/>
    <w:rsid w:val="002813E5"/>
    <w:rsid w:val="00286A30"/>
    <w:rsid w:val="00287F19"/>
    <w:rsid w:val="00290F6B"/>
    <w:rsid w:val="00295373"/>
    <w:rsid w:val="00295DFB"/>
    <w:rsid w:val="0029658F"/>
    <w:rsid w:val="00297A41"/>
    <w:rsid w:val="002A3D4A"/>
    <w:rsid w:val="002A4399"/>
    <w:rsid w:val="002A621C"/>
    <w:rsid w:val="002A7C2E"/>
    <w:rsid w:val="002C21C4"/>
    <w:rsid w:val="002C6B95"/>
    <w:rsid w:val="002D5F52"/>
    <w:rsid w:val="002D7D1B"/>
    <w:rsid w:val="002E331C"/>
    <w:rsid w:val="002E4B3D"/>
    <w:rsid w:val="002F0B95"/>
    <w:rsid w:val="002F58A0"/>
    <w:rsid w:val="002F6542"/>
    <w:rsid w:val="00303B1D"/>
    <w:rsid w:val="003161A8"/>
    <w:rsid w:val="0031682B"/>
    <w:rsid w:val="00320C05"/>
    <w:rsid w:val="003243A0"/>
    <w:rsid w:val="00324E94"/>
    <w:rsid w:val="00325297"/>
    <w:rsid w:val="00327E4C"/>
    <w:rsid w:val="0033306E"/>
    <w:rsid w:val="00336369"/>
    <w:rsid w:val="00336850"/>
    <w:rsid w:val="00336E6F"/>
    <w:rsid w:val="0033739C"/>
    <w:rsid w:val="0033759B"/>
    <w:rsid w:val="00337D12"/>
    <w:rsid w:val="0034204E"/>
    <w:rsid w:val="00342907"/>
    <w:rsid w:val="003448A1"/>
    <w:rsid w:val="00350EBB"/>
    <w:rsid w:val="00354068"/>
    <w:rsid w:val="00354F5D"/>
    <w:rsid w:val="003557D5"/>
    <w:rsid w:val="003608D5"/>
    <w:rsid w:val="003612F0"/>
    <w:rsid w:val="003629DE"/>
    <w:rsid w:val="00362AEF"/>
    <w:rsid w:val="00364DBF"/>
    <w:rsid w:val="00367C83"/>
    <w:rsid w:val="0037432B"/>
    <w:rsid w:val="0037522B"/>
    <w:rsid w:val="0037592B"/>
    <w:rsid w:val="00382265"/>
    <w:rsid w:val="003829E4"/>
    <w:rsid w:val="00383C1F"/>
    <w:rsid w:val="00384973"/>
    <w:rsid w:val="00386392"/>
    <w:rsid w:val="00390E83"/>
    <w:rsid w:val="00391F39"/>
    <w:rsid w:val="00395427"/>
    <w:rsid w:val="00396543"/>
    <w:rsid w:val="00397128"/>
    <w:rsid w:val="003A00A8"/>
    <w:rsid w:val="003A3D8E"/>
    <w:rsid w:val="003A5977"/>
    <w:rsid w:val="003A60CC"/>
    <w:rsid w:val="003A7344"/>
    <w:rsid w:val="003B1BF9"/>
    <w:rsid w:val="003B4B66"/>
    <w:rsid w:val="003B5B98"/>
    <w:rsid w:val="003B7581"/>
    <w:rsid w:val="003C1107"/>
    <w:rsid w:val="003C145C"/>
    <w:rsid w:val="003C2AE5"/>
    <w:rsid w:val="003C2B9A"/>
    <w:rsid w:val="003C54B0"/>
    <w:rsid w:val="003D08D7"/>
    <w:rsid w:val="003D4C83"/>
    <w:rsid w:val="003D5D1B"/>
    <w:rsid w:val="003E2BEC"/>
    <w:rsid w:val="00404045"/>
    <w:rsid w:val="00407342"/>
    <w:rsid w:val="00410FDD"/>
    <w:rsid w:val="00412A0C"/>
    <w:rsid w:val="00412C9D"/>
    <w:rsid w:val="00414486"/>
    <w:rsid w:val="00421BA2"/>
    <w:rsid w:val="004224A6"/>
    <w:rsid w:val="0042359F"/>
    <w:rsid w:val="004257B6"/>
    <w:rsid w:val="004264C0"/>
    <w:rsid w:val="00426B10"/>
    <w:rsid w:val="0043276D"/>
    <w:rsid w:val="00435B11"/>
    <w:rsid w:val="0043673B"/>
    <w:rsid w:val="0044472E"/>
    <w:rsid w:val="00444CFF"/>
    <w:rsid w:val="00445D42"/>
    <w:rsid w:val="00447CFB"/>
    <w:rsid w:val="00450959"/>
    <w:rsid w:val="004608EB"/>
    <w:rsid w:val="00463940"/>
    <w:rsid w:val="0046426A"/>
    <w:rsid w:val="00465864"/>
    <w:rsid w:val="00471069"/>
    <w:rsid w:val="00471852"/>
    <w:rsid w:val="004761CB"/>
    <w:rsid w:val="00477201"/>
    <w:rsid w:val="00477B9C"/>
    <w:rsid w:val="004800AA"/>
    <w:rsid w:val="00480488"/>
    <w:rsid w:val="0048094C"/>
    <w:rsid w:val="00481599"/>
    <w:rsid w:val="004815A2"/>
    <w:rsid w:val="00490E06"/>
    <w:rsid w:val="004944CD"/>
    <w:rsid w:val="004A2A37"/>
    <w:rsid w:val="004A5834"/>
    <w:rsid w:val="004A646A"/>
    <w:rsid w:val="004A6642"/>
    <w:rsid w:val="004A7C3F"/>
    <w:rsid w:val="004B0CD8"/>
    <w:rsid w:val="004B6ABE"/>
    <w:rsid w:val="004C1E0C"/>
    <w:rsid w:val="004C7A25"/>
    <w:rsid w:val="004D1FDF"/>
    <w:rsid w:val="004D6166"/>
    <w:rsid w:val="004E280F"/>
    <w:rsid w:val="004E5846"/>
    <w:rsid w:val="004E611B"/>
    <w:rsid w:val="004E672A"/>
    <w:rsid w:val="004E7688"/>
    <w:rsid w:val="004F3340"/>
    <w:rsid w:val="004F475C"/>
    <w:rsid w:val="004F70DB"/>
    <w:rsid w:val="004F7D11"/>
    <w:rsid w:val="00504A75"/>
    <w:rsid w:val="005066E3"/>
    <w:rsid w:val="005078B5"/>
    <w:rsid w:val="00513139"/>
    <w:rsid w:val="00516191"/>
    <w:rsid w:val="00517D79"/>
    <w:rsid w:val="00520079"/>
    <w:rsid w:val="00520139"/>
    <w:rsid w:val="005228AD"/>
    <w:rsid w:val="00524DB4"/>
    <w:rsid w:val="005258E2"/>
    <w:rsid w:val="00527481"/>
    <w:rsid w:val="00527BEA"/>
    <w:rsid w:val="005327FC"/>
    <w:rsid w:val="0053511A"/>
    <w:rsid w:val="0053589A"/>
    <w:rsid w:val="005438C2"/>
    <w:rsid w:val="00551C7C"/>
    <w:rsid w:val="00552691"/>
    <w:rsid w:val="00557250"/>
    <w:rsid w:val="00562607"/>
    <w:rsid w:val="00567A7A"/>
    <w:rsid w:val="00571871"/>
    <w:rsid w:val="00580D68"/>
    <w:rsid w:val="00582979"/>
    <w:rsid w:val="005835A8"/>
    <w:rsid w:val="00585181"/>
    <w:rsid w:val="00587151"/>
    <w:rsid w:val="00590167"/>
    <w:rsid w:val="00590987"/>
    <w:rsid w:val="00592B05"/>
    <w:rsid w:val="00593955"/>
    <w:rsid w:val="005943FE"/>
    <w:rsid w:val="00594515"/>
    <w:rsid w:val="005A0231"/>
    <w:rsid w:val="005A0E49"/>
    <w:rsid w:val="005A1AF9"/>
    <w:rsid w:val="005A3B91"/>
    <w:rsid w:val="005A4102"/>
    <w:rsid w:val="005A4E65"/>
    <w:rsid w:val="005A7147"/>
    <w:rsid w:val="005B1256"/>
    <w:rsid w:val="005B3BDA"/>
    <w:rsid w:val="005B6521"/>
    <w:rsid w:val="005B66BF"/>
    <w:rsid w:val="005C02F0"/>
    <w:rsid w:val="005C0760"/>
    <w:rsid w:val="005C1FF4"/>
    <w:rsid w:val="005C7444"/>
    <w:rsid w:val="005C774F"/>
    <w:rsid w:val="005D1352"/>
    <w:rsid w:val="005D1C7C"/>
    <w:rsid w:val="005D4729"/>
    <w:rsid w:val="005E041A"/>
    <w:rsid w:val="005E062D"/>
    <w:rsid w:val="005E5039"/>
    <w:rsid w:val="005F06C0"/>
    <w:rsid w:val="005F0982"/>
    <w:rsid w:val="005F0EF7"/>
    <w:rsid w:val="005F43E9"/>
    <w:rsid w:val="00613F71"/>
    <w:rsid w:val="0061480E"/>
    <w:rsid w:val="006150DA"/>
    <w:rsid w:val="00615BDE"/>
    <w:rsid w:val="006166C7"/>
    <w:rsid w:val="00620A8C"/>
    <w:rsid w:val="006237B7"/>
    <w:rsid w:val="0062674F"/>
    <w:rsid w:val="00633A5D"/>
    <w:rsid w:val="0064087C"/>
    <w:rsid w:val="006423FC"/>
    <w:rsid w:val="00643B7B"/>
    <w:rsid w:val="00651332"/>
    <w:rsid w:val="00654ECF"/>
    <w:rsid w:val="0065622D"/>
    <w:rsid w:val="00656550"/>
    <w:rsid w:val="00660603"/>
    <w:rsid w:val="00664AA7"/>
    <w:rsid w:val="006655CD"/>
    <w:rsid w:val="00666B38"/>
    <w:rsid w:val="006706DD"/>
    <w:rsid w:val="00672814"/>
    <w:rsid w:val="00672D9D"/>
    <w:rsid w:val="006740C0"/>
    <w:rsid w:val="0067498E"/>
    <w:rsid w:val="00675323"/>
    <w:rsid w:val="00683704"/>
    <w:rsid w:val="00685A2D"/>
    <w:rsid w:val="006863A5"/>
    <w:rsid w:val="00691FA1"/>
    <w:rsid w:val="006A1DC2"/>
    <w:rsid w:val="006A3242"/>
    <w:rsid w:val="006B53BA"/>
    <w:rsid w:val="006B645E"/>
    <w:rsid w:val="006B6D76"/>
    <w:rsid w:val="006B7031"/>
    <w:rsid w:val="006C0D35"/>
    <w:rsid w:val="006C1311"/>
    <w:rsid w:val="006C257A"/>
    <w:rsid w:val="006C294C"/>
    <w:rsid w:val="006C353D"/>
    <w:rsid w:val="006D3C2F"/>
    <w:rsid w:val="006E01CC"/>
    <w:rsid w:val="006E3778"/>
    <w:rsid w:val="006E4C1C"/>
    <w:rsid w:val="006E6CDF"/>
    <w:rsid w:val="006F2837"/>
    <w:rsid w:val="006F3FC7"/>
    <w:rsid w:val="006F5440"/>
    <w:rsid w:val="006F6284"/>
    <w:rsid w:val="0070464B"/>
    <w:rsid w:val="00704A0B"/>
    <w:rsid w:val="0070584A"/>
    <w:rsid w:val="00706B25"/>
    <w:rsid w:val="00716707"/>
    <w:rsid w:val="0072134B"/>
    <w:rsid w:val="00721573"/>
    <w:rsid w:val="007220AE"/>
    <w:rsid w:val="007339D3"/>
    <w:rsid w:val="00737936"/>
    <w:rsid w:val="00737992"/>
    <w:rsid w:val="00740DFF"/>
    <w:rsid w:val="00741256"/>
    <w:rsid w:val="00741B4C"/>
    <w:rsid w:val="00745E8C"/>
    <w:rsid w:val="00757D05"/>
    <w:rsid w:val="0076473E"/>
    <w:rsid w:val="00765F9A"/>
    <w:rsid w:val="00770607"/>
    <w:rsid w:val="00776730"/>
    <w:rsid w:val="00782B88"/>
    <w:rsid w:val="00783B98"/>
    <w:rsid w:val="0078540A"/>
    <w:rsid w:val="00785BF0"/>
    <w:rsid w:val="007862EE"/>
    <w:rsid w:val="00787D75"/>
    <w:rsid w:val="00791AE8"/>
    <w:rsid w:val="007A5A2D"/>
    <w:rsid w:val="007B2C76"/>
    <w:rsid w:val="007B5BE2"/>
    <w:rsid w:val="007C1AEB"/>
    <w:rsid w:val="007C21CF"/>
    <w:rsid w:val="007C637D"/>
    <w:rsid w:val="007D243E"/>
    <w:rsid w:val="007D43F9"/>
    <w:rsid w:val="007D7573"/>
    <w:rsid w:val="007D7DEF"/>
    <w:rsid w:val="007E057B"/>
    <w:rsid w:val="007E2C07"/>
    <w:rsid w:val="007E45DD"/>
    <w:rsid w:val="007E57A9"/>
    <w:rsid w:val="007F2A9E"/>
    <w:rsid w:val="007F309A"/>
    <w:rsid w:val="007F6A4A"/>
    <w:rsid w:val="007F7566"/>
    <w:rsid w:val="00800638"/>
    <w:rsid w:val="00800BCA"/>
    <w:rsid w:val="00804769"/>
    <w:rsid w:val="00804D0F"/>
    <w:rsid w:val="00810F85"/>
    <w:rsid w:val="00811DD3"/>
    <w:rsid w:val="00813718"/>
    <w:rsid w:val="00815FFA"/>
    <w:rsid w:val="008166A1"/>
    <w:rsid w:val="00820A64"/>
    <w:rsid w:val="008265C2"/>
    <w:rsid w:val="00827108"/>
    <w:rsid w:val="008329A6"/>
    <w:rsid w:val="008351A8"/>
    <w:rsid w:val="00840933"/>
    <w:rsid w:val="008515F5"/>
    <w:rsid w:val="00852D76"/>
    <w:rsid w:val="00853641"/>
    <w:rsid w:val="00855685"/>
    <w:rsid w:val="00855B68"/>
    <w:rsid w:val="00860112"/>
    <w:rsid w:val="00863A32"/>
    <w:rsid w:val="00864045"/>
    <w:rsid w:val="00872196"/>
    <w:rsid w:val="00872760"/>
    <w:rsid w:val="00875994"/>
    <w:rsid w:val="0087609E"/>
    <w:rsid w:val="008907D7"/>
    <w:rsid w:val="008A4D49"/>
    <w:rsid w:val="008A5169"/>
    <w:rsid w:val="008A60F2"/>
    <w:rsid w:val="008B1F51"/>
    <w:rsid w:val="008B335D"/>
    <w:rsid w:val="008B5B30"/>
    <w:rsid w:val="008B79F5"/>
    <w:rsid w:val="008C0845"/>
    <w:rsid w:val="008C5910"/>
    <w:rsid w:val="008C7815"/>
    <w:rsid w:val="008D3BA5"/>
    <w:rsid w:val="008D4BB7"/>
    <w:rsid w:val="008D7B7B"/>
    <w:rsid w:val="008E0697"/>
    <w:rsid w:val="008E0F46"/>
    <w:rsid w:val="008E19D4"/>
    <w:rsid w:val="008E265A"/>
    <w:rsid w:val="008E2D54"/>
    <w:rsid w:val="008E4F65"/>
    <w:rsid w:val="008E7B6E"/>
    <w:rsid w:val="008F0A07"/>
    <w:rsid w:val="008F518A"/>
    <w:rsid w:val="008F70EB"/>
    <w:rsid w:val="0090106B"/>
    <w:rsid w:val="00907B26"/>
    <w:rsid w:val="00913005"/>
    <w:rsid w:val="00913CE4"/>
    <w:rsid w:val="00923B1E"/>
    <w:rsid w:val="00926A21"/>
    <w:rsid w:val="009275F5"/>
    <w:rsid w:val="009320B1"/>
    <w:rsid w:val="009341F2"/>
    <w:rsid w:val="00934218"/>
    <w:rsid w:val="0093551B"/>
    <w:rsid w:val="0094484A"/>
    <w:rsid w:val="00950708"/>
    <w:rsid w:val="00950E52"/>
    <w:rsid w:val="00954E8E"/>
    <w:rsid w:val="00955FB1"/>
    <w:rsid w:val="00961542"/>
    <w:rsid w:val="00966BF3"/>
    <w:rsid w:val="0096756C"/>
    <w:rsid w:val="00967E68"/>
    <w:rsid w:val="009720E2"/>
    <w:rsid w:val="0097322A"/>
    <w:rsid w:val="00974E1C"/>
    <w:rsid w:val="0097702D"/>
    <w:rsid w:val="00977E43"/>
    <w:rsid w:val="00982A86"/>
    <w:rsid w:val="009875E4"/>
    <w:rsid w:val="0099090E"/>
    <w:rsid w:val="0099192E"/>
    <w:rsid w:val="00991F95"/>
    <w:rsid w:val="00993C12"/>
    <w:rsid w:val="0099589E"/>
    <w:rsid w:val="009C1F6D"/>
    <w:rsid w:val="009C22C2"/>
    <w:rsid w:val="009C4241"/>
    <w:rsid w:val="009C456B"/>
    <w:rsid w:val="009C60AC"/>
    <w:rsid w:val="009C6398"/>
    <w:rsid w:val="009C64BB"/>
    <w:rsid w:val="009D1E75"/>
    <w:rsid w:val="009D2A91"/>
    <w:rsid w:val="009D3F25"/>
    <w:rsid w:val="009E3850"/>
    <w:rsid w:val="009E4510"/>
    <w:rsid w:val="009F055C"/>
    <w:rsid w:val="009F1962"/>
    <w:rsid w:val="00A02CD0"/>
    <w:rsid w:val="00A02DD5"/>
    <w:rsid w:val="00A070AD"/>
    <w:rsid w:val="00A11DE2"/>
    <w:rsid w:val="00A15142"/>
    <w:rsid w:val="00A163E7"/>
    <w:rsid w:val="00A17170"/>
    <w:rsid w:val="00A1769B"/>
    <w:rsid w:val="00A17DC1"/>
    <w:rsid w:val="00A22E7A"/>
    <w:rsid w:val="00A26221"/>
    <w:rsid w:val="00A3259F"/>
    <w:rsid w:val="00A36561"/>
    <w:rsid w:val="00A377C8"/>
    <w:rsid w:val="00A37DFF"/>
    <w:rsid w:val="00A37EDF"/>
    <w:rsid w:val="00A409E6"/>
    <w:rsid w:val="00A421A9"/>
    <w:rsid w:val="00A446CF"/>
    <w:rsid w:val="00A47234"/>
    <w:rsid w:val="00A47B0A"/>
    <w:rsid w:val="00A53A2B"/>
    <w:rsid w:val="00A56E41"/>
    <w:rsid w:val="00A56ED0"/>
    <w:rsid w:val="00A64764"/>
    <w:rsid w:val="00A65329"/>
    <w:rsid w:val="00A722C8"/>
    <w:rsid w:val="00A75025"/>
    <w:rsid w:val="00A76B98"/>
    <w:rsid w:val="00A808B7"/>
    <w:rsid w:val="00A821C6"/>
    <w:rsid w:val="00A82763"/>
    <w:rsid w:val="00A833E3"/>
    <w:rsid w:val="00A834D4"/>
    <w:rsid w:val="00A844AA"/>
    <w:rsid w:val="00A90449"/>
    <w:rsid w:val="00A90CCC"/>
    <w:rsid w:val="00A94EB4"/>
    <w:rsid w:val="00A969DD"/>
    <w:rsid w:val="00AA1DF7"/>
    <w:rsid w:val="00AA2EF0"/>
    <w:rsid w:val="00AA3C50"/>
    <w:rsid w:val="00AA59A7"/>
    <w:rsid w:val="00AB412D"/>
    <w:rsid w:val="00AB4B55"/>
    <w:rsid w:val="00AB4BC2"/>
    <w:rsid w:val="00AB4E3B"/>
    <w:rsid w:val="00AB53EF"/>
    <w:rsid w:val="00AB5D08"/>
    <w:rsid w:val="00AB67DE"/>
    <w:rsid w:val="00AC1243"/>
    <w:rsid w:val="00AD2A4A"/>
    <w:rsid w:val="00AD2CA3"/>
    <w:rsid w:val="00AD2ED8"/>
    <w:rsid w:val="00AD353E"/>
    <w:rsid w:val="00AD5074"/>
    <w:rsid w:val="00AD6FDD"/>
    <w:rsid w:val="00AE6A84"/>
    <w:rsid w:val="00AE7DE6"/>
    <w:rsid w:val="00AF2A28"/>
    <w:rsid w:val="00AF2C91"/>
    <w:rsid w:val="00AF544E"/>
    <w:rsid w:val="00AF5C4E"/>
    <w:rsid w:val="00AF5D49"/>
    <w:rsid w:val="00AF7108"/>
    <w:rsid w:val="00B00D6F"/>
    <w:rsid w:val="00B0384E"/>
    <w:rsid w:val="00B0429A"/>
    <w:rsid w:val="00B04708"/>
    <w:rsid w:val="00B054A5"/>
    <w:rsid w:val="00B12D1C"/>
    <w:rsid w:val="00B13223"/>
    <w:rsid w:val="00B15F3B"/>
    <w:rsid w:val="00B265C5"/>
    <w:rsid w:val="00B30748"/>
    <w:rsid w:val="00B32A48"/>
    <w:rsid w:val="00B33379"/>
    <w:rsid w:val="00B3553C"/>
    <w:rsid w:val="00B43959"/>
    <w:rsid w:val="00B44831"/>
    <w:rsid w:val="00B472F5"/>
    <w:rsid w:val="00B47488"/>
    <w:rsid w:val="00B52AF8"/>
    <w:rsid w:val="00B53185"/>
    <w:rsid w:val="00B53755"/>
    <w:rsid w:val="00B5500D"/>
    <w:rsid w:val="00B55598"/>
    <w:rsid w:val="00B56EAA"/>
    <w:rsid w:val="00B61F54"/>
    <w:rsid w:val="00B62CE1"/>
    <w:rsid w:val="00B62EAD"/>
    <w:rsid w:val="00B73530"/>
    <w:rsid w:val="00B735CE"/>
    <w:rsid w:val="00B736D0"/>
    <w:rsid w:val="00B75344"/>
    <w:rsid w:val="00B75863"/>
    <w:rsid w:val="00B77D81"/>
    <w:rsid w:val="00B8040E"/>
    <w:rsid w:val="00B815BB"/>
    <w:rsid w:val="00B8443F"/>
    <w:rsid w:val="00B84A42"/>
    <w:rsid w:val="00B86113"/>
    <w:rsid w:val="00B87067"/>
    <w:rsid w:val="00B917DB"/>
    <w:rsid w:val="00B94962"/>
    <w:rsid w:val="00B971B3"/>
    <w:rsid w:val="00B97298"/>
    <w:rsid w:val="00BA07B5"/>
    <w:rsid w:val="00BA396E"/>
    <w:rsid w:val="00BA4477"/>
    <w:rsid w:val="00BB10FC"/>
    <w:rsid w:val="00BB6022"/>
    <w:rsid w:val="00BB67D5"/>
    <w:rsid w:val="00BC0003"/>
    <w:rsid w:val="00BC069D"/>
    <w:rsid w:val="00BC4119"/>
    <w:rsid w:val="00BC5C27"/>
    <w:rsid w:val="00BD409D"/>
    <w:rsid w:val="00BD4235"/>
    <w:rsid w:val="00BE20E3"/>
    <w:rsid w:val="00BE51BF"/>
    <w:rsid w:val="00BE6F05"/>
    <w:rsid w:val="00BF0794"/>
    <w:rsid w:val="00BF0CFA"/>
    <w:rsid w:val="00BF2A2E"/>
    <w:rsid w:val="00BF2C4F"/>
    <w:rsid w:val="00BF7D90"/>
    <w:rsid w:val="00C03039"/>
    <w:rsid w:val="00C03578"/>
    <w:rsid w:val="00C11963"/>
    <w:rsid w:val="00C1216D"/>
    <w:rsid w:val="00C1579D"/>
    <w:rsid w:val="00C21B17"/>
    <w:rsid w:val="00C2355B"/>
    <w:rsid w:val="00C24C7A"/>
    <w:rsid w:val="00C32FE7"/>
    <w:rsid w:val="00C346AA"/>
    <w:rsid w:val="00C4248E"/>
    <w:rsid w:val="00C42928"/>
    <w:rsid w:val="00C43769"/>
    <w:rsid w:val="00C449AA"/>
    <w:rsid w:val="00C47076"/>
    <w:rsid w:val="00C51CE5"/>
    <w:rsid w:val="00C53452"/>
    <w:rsid w:val="00C55D01"/>
    <w:rsid w:val="00C56642"/>
    <w:rsid w:val="00C63CAD"/>
    <w:rsid w:val="00C6646C"/>
    <w:rsid w:val="00C67732"/>
    <w:rsid w:val="00C7219B"/>
    <w:rsid w:val="00C72582"/>
    <w:rsid w:val="00C746D1"/>
    <w:rsid w:val="00C7522A"/>
    <w:rsid w:val="00C76923"/>
    <w:rsid w:val="00C77CEB"/>
    <w:rsid w:val="00C80278"/>
    <w:rsid w:val="00C82A61"/>
    <w:rsid w:val="00C918B5"/>
    <w:rsid w:val="00C92E4A"/>
    <w:rsid w:val="00CA257B"/>
    <w:rsid w:val="00CA387D"/>
    <w:rsid w:val="00CB46F0"/>
    <w:rsid w:val="00CB6E43"/>
    <w:rsid w:val="00CC0BD0"/>
    <w:rsid w:val="00CC6F40"/>
    <w:rsid w:val="00CC7E1D"/>
    <w:rsid w:val="00CD1682"/>
    <w:rsid w:val="00CD506D"/>
    <w:rsid w:val="00CE0A3D"/>
    <w:rsid w:val="00CE0EB6"/>
    <w:rsid w:val="00CE12EE"/>
    <w:rsid w:val="00CE2166"/>
    <w:rsid w:val="00CE375C"/>
    <w:rsid w:val="00CE508F"/>
    <w:rsid w:val="00CE700B"/>
    <w:rsid w:val="00CF7B2E"/>
    <w:rsid w:val="00D02FF4"/>
    <w:rsid w:val="00D11284"/>
    <w:rsid w:val="00D20FF1"/>
    <w:rsid w:val="00D22E67"/>
    <w:rsid w:val="00D23A3A"/>
    <w:rsid w:val="00D2535C"/>
    <w:rsid w:val="00D25DC2"/>
    <w:rsid w:val="00D25F8A"/>
    <w:rsid w:val="00D27E6D"/>
    <w:rsid w:val="00D32284"/>
    <w:rsid w:val="00D33418"/>
    <w:rsid w:val="00D36287"/>
    <w:rsid w:val="00D4035A"/>
    <w:rsid w:val="00D52A40"/>
    <w:rsid w:val="00D56493"/>
    <w:rsid w:val="00D64399"/>
    <w:rsid w:val="00D7074D"/>
    <w:rsid w:val="00D740B5"/>
    <w:rsid w:val="00D776C0"/>
    <w:rsid w:val="00D80C03"/>
    <w:rsid w:val="00D81837"/>
    <w:rsid w:val="00D846E5"/>
    <w:rsid w:val="00D86B23"/>
    <w:rsid w:val="00D87759"/>
    <w:rsid w:val="00D90267"/>
    <w:rsid w:val="00D93C30"/>
    <w:rsid w:val="00DA496E"/>
    <w:rsid w:val="00DA6F1A"/>
    <w:rsid w:val="00DB0C12"/>
    <w:rsid w:val="00DB1593"/>
    <w:rsid w:val="00DB1723"/>
    <w:rsid w:val="00DB2B3B"/>
    <w:rsid w:val="00DB2C99"/>
    <w:rsid w:val="00DB654C"/>
    <w:rsid w:val="00DB7BC5"/>
    <w:rsid w:val="00DC494E"/>
    <w:rsid w:val="00DC71AB"/>
    <w:rsid w:val="00DD1AFF"/>
    <w:rsid w:val="00DD68A4"/>
    <w:rsid w:val="00DE1276"/>
    <w:rsid w:val="00DE13DC"/>
    <w:rsid w:val="00DE24DC"/>
    <w:rsid w:val="00DF1FB5"/>
    <w:rsid w:val="00DF2031"/>
    <w:rsid w:val="00DF33AA"/>
    <w:rsid w:val="00DF7F93"/>
    <w:rsid w:val="00E014B8"/>
    <w:rsid w:val="00E03338"/>
    <w:rsid w:val="00E05871"/>
    <w:rsid w:val="00E07C3C"/>
    <w:rsid w:val="00E15EF8"/>
    <w:rsid w:val="00E205E0"/>
    <w:rsid w:val="00E256DA"/>
    <w:rsid w:val="00E32ECD"/>
    <w:rsid w:val="00E33D16"/>
    <w:rsid w:val="00E346DF"/>
    <w:rsid w:val="00E350CE"/>
    <w:rsid w:val="00E366A9"/>
    <w:rsid w:val="00E43151"/>
    <w:rsid w:val="00E46D73"/>
    <w:rsid w:val="00E4762A"/>
    <w:rsid w:val="00E51F4F"/>
    <w:rsid w:val="00E607AB"/>
    <w:rsid w:val="00E61E8A"/>
    <w:rsid w:val="00E620A9"/>
    <w:rsid w:val="00E6317E"/>
    <w:rsid w:val="00E63F6D"/>
    <w:rsid w:val="00E65E41"/>
    <w:rsid w:val="00E66414"/>
    <w:rsid w:val="00E727D1"/>
    <w:rsid w:val="00E7517C"/>
    <w:rsid w:val="00E804EA"/>
    <w:rsid w:val="00E80511"/>
    <w:rsid w:val="00E80FF2"/>
    <w:rsid w:val="00E8552B"/>
    <w:rsid w:val="00E85C43"/>
    <w:rsid w:val="00E861E3"/>
    <w:rsid w:val="00E862DA"/>
    <w:rsid w:val="00E93AF9"/>
    <w:rsid w:val="00E93F7C"/>
    <w:rsid w:val="00E9502A"/>
    <w:rsid w:val="00E96796"/>
    <w:rsid w:val="00E971FB"/>
    <w:rsid w:val="00EA13C0"/>
    <w:rsid w:val="00EA49B0"/>
    <w:rsid w:val="00EA5A7D"/>
    <w:rsid w:val="00EB61B5"/>
    <w:rsid w:val="00EB62C0"/>
    <w:rsid w:val="00EB6EE7"/>
    <w:rsid w:val="00EC5F1F"/>
    <w:rsid w:val="00ED7AB5"/>
    <w:rsid w:val="00EE51FB"/>
    <w:rsid w:val="00EE5322"/>
    <w:rsid w:val="00EE5AE4"/>
    <w:rsid w:val="00EE5F44"/>
    <w:rsid w:val="00EF146A"/>
    <w:rsid w:val="00F001EF"/>
    <w:rsid w:val="00F04548"/>
    <w:rsid w:val="00F04894"/>
    <w:rsid w:val="00F0599E"/>
    <w:rsid w:val="00F05B53"/>
    <w:rsid w:val="00F065C4"/>
    <w:rsid w:val="00F074BF"/>
    <w:rsid w:val="00F153DA"/>
    <w:rsid w:val="00F16F24"/>
    <w:rsid w:val="00F222A7"/>
    <w:rsid w:val="00F22C3D"/>
    <w:rsid w:val="00F277AE"/>
    <w:rsid w:val="00F368B7"/>
    <w:rsid w:val="00F45D3E"/>
    <w:rsid w:val="00F5416E"/>
    <w:rsid w:val="00F5552E"/>
    <w:rsid w:val="00F60822"/>
    <w:rsid w:val="00F62CB0"/>
    <w:rsid w:val="00F63B38"/>
    <w:rsid w:val="00F6727D"/>
    <w:rsid w:val="00F672BB"/>
    <w:rsid w:val="00F742F8"/>
    <w:rsid w:val="00F74563"/>
    <w:rsid w:val="00F766C5"/>
    <w:rsid w:val="00F80B36"/>
    <w:rsid w:val="00F858C4"/>
    <w:rsid w:val="00F85AED"/>
    <w:rsid w:val="00F87990"/>
    <w:rsid w:val="00F95D60"/>
    <w:rsid w:val="00F96598"/>
    <w:rsid w:val="00FA2C19"/>
    <w:rsid w:val="00FB0258"/>
    <w:rsid w:val="00FB1E66"/>
    <w:rsid w:val="00FB2AAD"/>
    <w:rsid w:val="00FB3FAE"/>
    <w:rsid w:val="00FB764B"/>
    <w:rsid w:val="00FB7C42"/>
    <w:rsid w:val="00FC3BD6"/>
    <w:rsid w:val="00FC471C"/>
    <w:rsid w:val="00FD0ADB"/>
    <w:rsid w:val="00FD6D9E"/>
    <w:rsid w:val="00FD7F0B"/>
    <w:rsid w:val="00FE1F04"/>
    <w:rsid w:val="00FE2F45"/>
    <w:rsid w:val="00FE39F8"/>
    <w:rsid w:val="00FE3B8A"/>
    <w:rsid w:val="00FE44D6"/>
    <w:rsid w:val="00FE4EC9"/>
    <w:rsid w:val="00FE7153"/>
    <w:rsid w:val="00FE755B"/>
    <w:rsid w:val="00FF10B7"/>
    <w:rsid w:val="00FF217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F77C1"/>
  <w15:docId w15:val="{A8B1E650-272F-41E2-AC6F-EC3FB7C25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4">
    <w:name w:val="heading 4"/>
    <w:basedOn w:val="Normal"/>
    <w:link w:val="Heading4Char"/>
    <w:uiPriority w:val="9"/>
    <w:qFormat/>
    <w:rsid w:val="005E062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3"/>
    </w:pPr>
    <w:rPr>
      <w:rFonts w:eastAsia="Times New Roman"/>
      <w:b/>
      <w:bCs/>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lang w:val="fr-FR"/>
    </w:rPr>
  </w:style>
  <w:style w:type="paragraph" w:customStyle="1" w:styleId="Default">
    <w:name w:val="Default"/>
    <w:rPr>
      <w:rFonts w:ascii="Calibri" w:eastAsia="Calibri" w:hAnsi="Calibri" w:cs="Calibri"/>
      <w:color w:val="000000"/>
      <w:sz w:val="24"/>
      <w:szCs w:val="24"/>
      <w:u w:color="000000"/>
      <w:lang w:val="en-US"/>
    </w:rPr>
  </w:style>
  <w:style w:type="character" w:styleId="EndnoteReference">
    <w:name w:val="endnote reference"/>
    <w:uiPriority w:val="99"/>
    <w:rPr>
      <w:vertAlign w:val="superscript"/>
    </w:rPr>
  </w:style>
  <w:style w:type="character" w:customStyle="1" w:styleId="Hyperlink0">
    <w:name w:val="Hyperlink.0"/>
    <w:basedOn w:val="Hyperlink"/>
    <w:rPr>
      <w:color w:val="0000FF"/>
      <w:u w:val="single" w:color="0000FF"/>
    </w:rPr>
  </w:style>
  <w:style w:type="character" w:customStyle="1" w:styleId="None">
    <w:name w:val="None"/>
  </w:style>
  <w:style w:type="character" w:customStyle="1" w:styleId="Hyperlink1">
    <w:name w:val="Hyperlink.1"/>
    <w:basedOn w:val="None"/>
    <w:rPr>
      <w:color w:val="0000FF"/>
      <w:u w:val="single" w:color="0000FF"/>
    </w:rPr>
  </w:style>
  <w:style w:type="paragraph" w:styleId="EndnoteText">
    <w:name w:val="endnote text"/>
    <w:link w:val="EndnoteTextChar"/>
    <w:uiPriority w:val="99"/>
    <w:rPr>
      <w:rFonts w:ascii="Calibri" w:eastAsia="Calibri" w:hAnsi="Calibri" w:cs="Calibri"/>
      <w:color w:val="000000"/>
      <w:u w:color="000000"/>
      <w:lang w:val="en-US"/>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363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6369"/>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C77CEB"/>
    <w:rPr>
      <w:b/>
      <w:bCs/>
    </w:rPr>
  </w:style>
  <w:style w:type="character" w:customStyle="1" w:styleId="CommentSubjectChar">
    <w:name w:val="Comment Subject Char"/>
    <w:basedOn w:val="CommentTextChar"/>
    <w:link w:val="CommentSubject"/>
    <w:uiPriority w:val="99"/>
    <w:semiHidden/>
    <w:rsid w:val="00C77CEB"/>
    <w:rPr>
      <w:b/>
      <w:bCs/>
      <w:lang w:val="en-US" w:eastAsia="en-US"/>
    </w:rPr>
  </w:style>
  <w:style w:type="paragraph" w:styleId="FootnoteText">
    <w:name w:val="footnote text"/>
    <w:basedOn w:val="Normal"/>
    <w:link w:val="FootnoteTextChar"/>
    <w:unhideWhenUsed/>
    <w:rsid w:val="005D1C7C"/>
    <w:rPr>
      <w:sz w:val="20"/>
      <w:szCs w:val="20"/>
    </w:rPr>
  </w:style>
  <w:style w:type="character" w:customStyle="1" w:styleId="FootnoteTextChar">
    <w:name w:val="Footnote Text Char"/>
    <w:basedOn w:val="DefaultParagraphFont"/>
    <w:link w:val="FootnoteText"/>
    <w:uiPriority w:val="99"/>
    <w:semiHidden/>
    <w:rsid w:val="005D1C7C"/>
    <w:rPr>
      <w:lang w:val="en-US" w:eastAsia="en-US"/>
    </w:rPr>
  </w:style>
  <w:style w:type="character" w:styleId="FootnoteReference">
    <w:name w:val="footnote reference"/>
    <w:basedOn w:val="DefaultParagraphFont"/>
    <w:unhideWhenUsed/>
    <w:rsid w:val="005D1C7C"/>
    <w:rPr>
      <w:vertAlign w:val="superscript"/>
    </w:rPr>
  </w:style>
  <w:style w:type="paragraph" w:styleId="NormalWeb">
    <w:name w:val="Normal (Web)"/>
    <w:basedOn w:val="Normal"/>
    <w:uiPriority w:val="99"/>
    <w:unhideWhenUsed/>
    <w:rsid w:val="0097322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styleId="Revision">
    <w:name w:val="Revision"/>
    <w:hidden/>
    <w:uiPriority w:val="99"/>
    <w:semiHidden/>
    <w:rsid w:val="008351A8"/>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HTMLPreformatted">
    <w:name w:val="HTML Preformatted"/>
    <w:basedOn w:val="Normal"/>
    <w:link w:val="HTMLPreformattedChar"/>
    <w:uiPriority w:val="99"/>
    <w:unhideWhenUsed/>
    <w:rsid w:val="00FB1E66"/>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lang w:val="en-GB" w:eastAsia="en-GB"/>
    </w:rPr>
  </w:style>
  <w:style w:type="character" w:customStyle="1" w:styleId="HTMLPreformattedChar">
    <w:name w:val="HTML Preformatted Char"/>
    <w:basedOn w:val="DefaultParagraphFont"/>
    <w:link w:val="HTMLPreformatted"/>
    <w:uiPriority w:val="99"/>
    <w:rsid w:val="00FB1E66"/>
    <w:rPr>
      <w:rFonts w:ascii="Courier New" w:eastAsia="Times New Roman" w:hAnsi="Courier New" w:cs="Courier New"/>
      <w:bdr w:val="none" w:sz="0" w:space="0" w:color="auto"/>
    </w:rPr>
  </w:style>
  <w:style w:type="paragraph" w:customStyle="1" w:styleId="SingleTxtG">
    <w:name w:val="_ Single Txt_G"/>
    <w:basedOn w:val="Normal"/>
    <w:link w:val="SingleTxtGChar"/>
    <w:rsid w:val="0004258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40" w:lineRule="atLeast"/>
      <w:ind w:left="1134" w:right="1134"/>
      <w:jc w:val="both"/>
    </w:pPr>
    <w:rPr>
      <w:rFonts w:eastAsia="Times New Roman"/>
      <w:sz w:val="20"/>
      <w:szCs w:val="20"/>
      <w:bdr w:val="none" w:sz="0" w:space="0" w:color="auto"/>
      <w:lang w:val="en-GB"/>
    </w:rPr>
  </w:style>
  <w:style w:type="character" w:customStyle="1" w:styleId="SingleTxtGChar">
    <w:name w:val="_ Single Txt_G Char"/>
    <w:link w:val="SingleTxtG"/>
    <w:locked/>
    <w:rsid w:val="00042587"/>
    <w:rPr>
      <w:rFonts w:eastAsia="Times New Roman"/>
      <w:bdr w:val="none" w:sz="0" w:space="0" w:color="auto"/>
      <w:lang w:eastAsia="en-US"/>
    </w:rPr>
  </w:style>
  <w:style w:type="paragraph" w:customStyle="1" w:styleId="t-body-text">
    <w:name w:val="t-body-text"/>
    <w:basedOn w:val="Normal"/>
    <w:rsid w:val="0033759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css-exrw3m">
    <w:name w:val="css-exrw3m"/>
    <w:basedOn w:val="Normal"/>
    <w:rsid w:val="0072134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styleId="ListParagraph">
    <w:name w:val="List Paragraph"/>
    <w:basedOn w:val="Normal"/>
    <w:uiPriority w:val="34"/>
    <w:qFormat/>
    <w:rsid w:val="00C6646C"/>
    <w:pPr>
      <w:ind w:left="720"/>
      <w:contextualSpacing/>
    </w:pPr>
  </w:style>
  <w:style w:type="paragraph" w:styleId="Header">
    <w:name w:val="header"/>
    <w:basedOn w:val="Normal"/>
    <w:link w:val="HeaderChar"/>
    <w:uiPriority w:val="99"/>
    <w:unhideWhenUsed/>
    <w:rsid w:val="00800BCA"/>
    <w:pPr>
      <w:tabs>
        <w:tab w:val="center" w:pos="4513"/>
        <w:tab w:val="right" w:pos="9026"/>
      </w:tabs>
    </w:pPr>
  </w:style>
  <w:style w:type="character" w:customStyle="1" w:styleId="HeaderChar">
    <w:name w:val="Header Char"/>
    <w:basedOn w:val="DefaultParagraphFont"/>
    <w:link w:val="Header"/>
    <w:uiPriority w:val="99"/>
    <w:rsid w:val="00800BCA"/>
    <w:rPr>
      <w:sz w:val="24"/>
      <w:szCs w:val="24"/>
      <w:lang w:val="en-US" w:eastAsia="en-US"/>
    </w:rPr>
  </w:style>
  <w:style w:type="paragraph" w:styleId="Footer">
    <w:name w:val="footer"/>
    <w:basedOn w:val="Normal"/>
    <w:link w:val="FooterChar"/>
    <w:uiPriority w:val="99"/>
    <w:unhideWhenUsed/>
    <w:rsid w:val="00800BCA"/>
    <w:pPr>
      <w:tabs>
        <w:tab w:val="center" w:pos="4513"/>
        <w:tab w:val="right" w:pos="9026"/>
      </w:tabs>
    </w:pPr>
  </w:style>
  <w:style w:type="character" w:customStyle="1" w:styleId="FooterChar">
    <w:name w:val="Footer Char"/>
    <w:basedOn w:val="DefaultParagraphFont"/>
    <w:link w:val="Footer"/>
    <w:uiPriority w:val="99"/>
    <w:rsid w:val="00800BCA"/>
    <w:rPr>
      <w:sz w:val="24"/>
      <w:szCs w:val="24"/>
      <w:lang w:val="en-US" w:eastAsia="en-US"/>
    </w:rPr>
  </w:style>
  <w:style w:type="character" w:customStyle="1" w:styleId="EndnoteTextChar">
    <w:name w:val="Endnote Text Char"/>
    <w:basedOn w:val="DefaultParagraphFont"/>
    <w:link w:val="EndnoteText"/>
    <w:uiPriority w:val="99"/>
    <w:rsid w:val="009D2A91"/>
    <w:rPr>
      <w:rFonts w:ascii="Calibri" w:eastAsia="Calibri" w:hAnsi="Calibri" w:cs="Calibri"/>
      <w:color w:val="000000"/>
      <w:u w:color="000000"/>
      <w:lang w:val="en-US"/>
    </w:rPr>
  </w:style>
  <w:style w:type="character" w:customStyle="1" w:styleId="3l3x">
    <w:name w:val="_3l3x"/>
    <w:basedOn w:val="DefaultParagraphFont"/>
    <w:rsid w:val="00741256"/>
  </w:style>
  <w:style w:type="character" w:styleId="UnresolvedMention">
    <w:name w:val="Unresolved Mention"/>
    <w:basedOn w:val="DefaultParagraphFont"/>
    <w:uiPriority w:val="99"/>
    <w:semiHidden/>
    <w:unhideWhenUsed/>
    <w:rsid w:val="00DB1593"/>
    <w:rPr>
      <w:color w:val="605E5C"/>
      <w:shd w:val="clear" w:color="auto" w:fill="E1DFDD"/>
    </w:rPr>
  </w:style>
  <w:style w:type="character" w:customStyle="1" w:styleId="Heading4Char">
    <w:name w:val="Heading 4 Char"/>
    <w:basedOn w:val="DefaultParagraphFont"/>
    <w:link w:val="Heading4"/>
    <w:uiPriority w:val="9"/>
    <w:rsid w:val="005E062D"/>
    <w:rPr>
      <w:rFonts w:eastAsia="Times New Roman"/>
      <w:b/>
      <w:bCs/>
      <w:sz w:val="24"/>
      <w:szCs w:val="24"/>
      <w:bdr w:val="none" w:sz="0" w:space="0" w:color="auto"/>
      <w:lang w:val="en-US" w:eastAsia="en-US"/>
    </w:rPr>
  </w:style>
  <w:style w:type="character" w:styleId="Emphasis">
    <w:name w:val="Emphasis"/>
    <w:basedOn w:val="DefaultParagraphFont"/>
    <w:uiPriority w:val="20"/>
    <w:qFormat/>
    <w:rsid w:val="00B736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0694">
      <w:bodyDiv w:val="1"/>
      <w:marLeft w:val="0"/>
      <w:marRight w:val="0"/>
      <w:marTop w:val="0"/>
      <w:marBottom w:val="0"/>
      <w:divBdr>
        <w:top w:val="none" w:sz="0" w:space="0" w:color="auto"/>
        <w:left w:val="none" w:sz="0" w:space="0" w:color="auto"/>
        <w:bottom w:val="none" w:sz="0" w:space="0" w:color="auto"/>
        <w:right w:val="none" w:sz="0" w:space="0" w:color="auto"/>
      </w:divBdr>
      <w:divsChild>
        <w:div w:id="1710303860">
          <w:marLeft w:val="403"/>
          <w:marRight w:val="14"/>
          <w:marTop w:val="117"/>
          <w:marBottom w:val="0"/>
          <w:divBdr>
            <w:top w:val="none" w:sz="0" w:space="0" w:color="auto"/>
            <w:left w:val="none" w:sz="0" w:space="0" w:color="auto"/>
            <w:bottom w:val="none" w:sz="0" w:space="0" w:color="auto"/>
            <w:right w:val="none" w:sz="0" w:space="0" w:color="auto"/>
          </w:divBdr>
        </w:div>
        <w:div w:id="775447770">
          <w:marLeft w:val="403"/>
          <w:marRight w:val="1138"/>
          <w:marTop w:val="259"/>
          <w:marBottom w:val="0"/>
          <w:divBdr>
            <w:top w:val="none" w:sz="0" w:space="0" w:color="auto"/>
            <w:left w:val="none" w:sz="0" w:space="0" w:color="auto"/>
            <w:bottom w:val="none" w:sz="0" w:space="0" w:color="auto"/>
            <w:right w:val="none" w:sz="0" w:space="0" w:color="auto"/>
          </w:divBdr>
        </w:div>
        <w:div w:id="328216122">
          <w:marLeft w:val="403"/>
          <w:marRight w:val="173"/>
          <w:marTop w:val="258"/>
          <w:marBottom w:val="0"/>
          <w:divBdr>
            <w:top w:val="none" w:sz="0" w:space="0" w:color="auto"/>
            <w:left w:val="none" w:sz="0" w:space="0" w:color="auto"/>
            <w:bottom w:val="none" w:sz="0" w:space="0" w:color="auto"/>
            <w:right w:val="none" w:sz="0" w:space="0" w:color="auto"/>
          </w:divBdr>
        </w:div>
      </w:divsChild>
    </w:div>
    <w:div w:id="35274434">
      <w:bodyDiv w:val="1"/>
      <w:marLeft w:val="0"/>
      <w:marRight w:val="0"/>
      <w:marTop w:val="0"/>
      <w:marBottom w:val="0"/>
      <w:divBdr>
        <w:top w:val="none" w:sz="0" w:space="0" w:color="auto"/>
        <w:left w:val="none" w:sz="0" w:space="0" w:color="auto"/>
        <w:bottom w:val="none" w:sz="0" w:space="0" w:color="auto"/>
        <w:right w:val="none" w:sz="0" w:space="0" w:color="auto"/>
      </w:divBdr>
    </w:div>
    <w:div w:id="159195499">
      <w:bodyDiv w:val="1"/>
      <w:marLeft w:val="0"/>
      <w:marRight w:val="0"/>
      <w:marTop w:val="0"/>
      <w:marBottom w:val="0"/>
      <w:divBdr>
        <w:top w:val="none" w:sz="0" w:space="0" w:color="auto"/>
        <w:left w:val="none" w:sz="0" w:space="0" w:color="auto"/>
        <w:bottom w:val="none" w:sz="0" w:space="0" w:color="auto"/>
        <w:right w:val="none" w:sz="0" w:space="0" w:color="auto"/>
      </w:divBdr>
    </w:div>
    <w:div w:id="195389908">
      <w:bodyDiv w:val="1"/>
      <w:marLeft w:val="0"/>
      <w:marRight w:val="0"/>
      <w:marTop w:val="0"/>
      <w:marBottom w:val="0"/>
      <w:divBdr>
        <w:top w:val="none" w:sz="0" w:space="0" w:color="auto"/>
        <w:left w:val="none" w:sz="0" w:space="0" w:color="auto"/>
        <w:bottom w:val="none" w:sz="0" w:space="0" w:color="auto"/>
        <w:right w:val="none" w:sz="0" w:space="0" w:color="auto"/>
      </w:divBdr>
    </w:div>
    <w:div w:id="234046227">
      <w:bodyDiv w:val="1"/>
      <w:marLeft w:val="0"/>
      <w:marRight w:val="0"/>
      <w:marTop w:val="0"/>
      <w:marBottom w:val="0"/>
      <w:divBdr>
        <w:top w:val="none" w:sz="0" w:space="0" w:color="auto"/>
        <w:left w:val="none" w:sz="0" w:space="0" w:color="auto"/>
        <w:bottom w:val="none" w:sz="0" w:space="0" w:color="auto"/>
        <w:right w:val="none" w:sz="0" w:space="0" w:color="auto"/>
      </w:divBdr>
      <w:divsChild>
        <w:div w:id="175702280">
          <w:marLeft w:val="0"/>
          <w:marRight w:val="0"/>
          <w:marTop w:val="0"/>
          <w:marBottom w:val="0"/>
          <w:divBdr>
            <w:top w:val="none" w:sz="0" w:space="0" w:color="auto"/>
            <w:left w:val="none" w:sz="0" w:space="0" w:color="auto"/>
            <w:bottom w:val="none" w:sz="0" w:space="0" w:color="auto"/>
            <w:right w:val="none" w:sz="0" w:space="0" w:color="auto"/>
          </w:divBdr>
          <w:divsChild>
            <w:div w:id="1244800426">
              <w:marLeft w:val="0"/>
              <w:marRight w:val="0"/>
              <w:marTop w:val="0"/>
              <w:marBottom w:val="0"/>
              <w:divBdr>
                <w:top w:val="none" w:sz="0" w:space="0" w:color="auto"/>
                <w:left w:val="none" w:sz="0" w:space="0" w:color="auto"/>
                <w:bottom w:val="none" w:sz="0" w:space="0" w:color="auto"/>
                <w:right w:val="none" w:sz="0" w:space="0" w:color="auto"/>
              </w:divBdr>
              <w:divsChild>
                <w:div w:id="598217204">
                  <w:marLeft w:val="0"/>
                  <w:marRight w:val="0"/>
                  <w:marTop w:val="0"/>
                  <w:marBottom w:val="0"/>
                  <w:divBdr>
                    <w:top w:val="none" w:sz="0" w:space="0" w:color="auto"/>
                    <w:left w:val="none" w:sz="0" w:space="0" w:color="auto"/>
                    <w:bottom w:val="none" w:sz="0" w:space="0" w:color="auto"/>
                    <w:right w:val="none" w:sz="0" w:space="0" w:color="auto"/>
                  </w:divBdr>
                  <w:divsChild>
                    <w:div w:id="54140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186736">
      <w:bodyDiv w:val="1"/>
      <w:marLeft w:val="0"/>
      <w:marRight w:val="0"/>
      <w:marTop w:val="0"/>
      <w:marBottom w:val="0"/>
      <w:divBdr>
        <w:top w:val="none" w:sz="0" w:space="0" w:color="auto"/>
        <w:left w:val="none" w:sz="0" w:space="0" w:color="auto"/>
        <w:bottom w:val="none" w:sz="0" w:space="0" w:color="auto"/>
        <w:right w:val="none" w:sz="0" w:space="0" w:color="auto"/>
      </w:divBdr>
      <w:divsChild>
        <w:div w:id="1229802658">
          <w:marLeft w:val="0"/>
          <w:marRight w:val="0"/>
          <w:marTop w:val="0"/>
          <w:marBottom w:val="0"/>
          <w:divBdr>
            <w:top w:val="none" w:sz="0" w:space="0" w:color="auto"/>
            <w:left w:val="none" w:sz="0" w:space="0" w:color="auto"/>
            <w:bottom w:val="none" w:sz="0" w:space="0" w:color="auto"/>
            <w:right w:val="none" w:sz="0" w:space="0" w:color="auto"/>
          </w:divBdr>
        </w:div>
        <w:div w:id="2032610215">
          <w:marLeft w:val="0"/>
          <w:marRight w:val="0"/>
          <w:marTop w:val="0"/>
          <w:marBottom w:val="0"/>
          <w:divBdr>
            <w:top w:val="none" w:sz="0" w:space="0" w:color="auto"/>
            <w:left w:val="none" w:sz="0" w:space="0" w:color="auto"/>
            <w:bottom w:val="none" w:sz="0" w:space="0" w:color="auto"/>
            <w:right w:val="none" w:sz="0" w:space="0" w:color="auto"/>
          </w:divBdr>
        </w:div>
        <w:div w:id="1255823901">
          <w:marLeft w:val="0"/>
          <w:marRight w:val="0"/>
          <w:marTop w:val="0"/>
          <w:marBottom w:val="0"/>
          <w:divBdr>
            <w:top w:val="none" w:sz="0" w:space="0" w:color="auto"/>
            <w:left w:val="none" w:sz="0" w:space="0" w:color="auto"/>
            <w:bottom w:val="none" w:sz="0" w:space="0" w:color="auto"/>
            <w:right w:val="none" w:sz="0" w:space="0" w:color="auto"/>
          </w:divBdr>
        </w:div>
        <w:div w:id="1040781474">
          <w:marLeft w:val="0"/>
          <w:marRight w:val="0"/>
          <w:marTop w:val="0"/>
          <w:marBottom w:val="0"/>
          <w:divBdr>
            <w:top w:val="none" w:sz="0" w:space="0" w:color="auto"/>
            <w:left w:val="none" w:sz="0" w:space="0" w:color="auto"/>
            <w:bottom w:val="none" w:sz="0" w:space="0" w:color="auto"/>
            <w:right w:val="none" w:sz="0" w:space="0" w:color="auto"/>
          </w:divBdr>
        </w:div>
        <w:div w:id="743453920">
          <w:marLeft w:val="0"/>
          <w:marRight w:val="0"/>
          <w:marTop w:val="0"/>
          <w:marBottom w:val="0"/>
          <w:divBdr>
            <w:top w:val="none" w:sz="0" w:space="0" w:color="auto"/>
            <w:left w:val="none" w:sz="0" w:space="0" w:color="auto"/>
            <w:bottom w:val="none" w:sz="0" w:space="0" w:color="auto"/>
            <w:right w:val="none" w:sz="0" w:space="0" w:color="auto"/>
          </w:divBdr>
        </w:div>
      </w:divsChild>
    </w:div>
    <w:div w:id="396705466">
      <w:bodyDiv w:val="1"/>
      <w:marLeft w:val="0"/>
      <w:marRight w:val="0"/>
      <w:marTop w:val="0"/>
      <w:marBottom w:val="0"/>
      <w:divBdr>
        <w:top w:val="none" w:sz="0" w:space="0" w:color="auto"/>
        <w:left w:val="none" w:sz="0" w:space="0" w:color="auto"/>
        <w:bottom w:val="none" w:sz="0" w:space="0" w:color="auto"/>
        <w:right w:val="none" w:sz="0" w:space="0" w:color="auto"/>
      </w:divBdr>
    </w:div>
    <w:div w:id="451477758">
      <w:bodyDiv w:val="1"/>
      <w:marLeft w:val="0"/>
      <w:marRight w:val="0"/>
      <w:marTop w:val="0"/>
      <w:marBottom w:val="0"/>
      <w:divBdr>
        <w:top w:val="none" w:sz="0" w:space="0" w:color="auto"/>
        <w:left w:val="none" w:sz="0" w:space="0" w:color="auto"/>
        <w:bottom w:val="none" w:sz="0" w:space="0" w:color="auto"/>
        <w:right w:val="none" w:sz="0" w:space="0" w:color="auto"/>
      </w:divBdr>
      <w:divsChild>
        <w:div w:id="1523283590">
          <w:marLeft w:val="446"/>
          <w:marRight w:val="0"/>
          <w:marTop w:val="0"/>
          <w:marBottom w:val="0"/>
          <w:divBdr>
            <w:top w:val="none" w:sz="0" w:space="0" w:color="auto"/>
            <w:left w:val="none" w:sz="0" w:space="0" w:color="auto"/>
            <w:bottom w:val="none" w:sz="0" w:space="0" w:color="auto"/>
            <w:right w:val="none" w:sz="0" w:space="0" w:color="auto"/>
          </w:divBdr>
        </w:div>
        <w:div w:id="2135363295">
          <w:marLeft w:val="446"/>
          <w:marRight w:val="0"/>
          <w:marTop w:val="0"/>
          <w:marBottom w:val="0"/>
          <w:divBdr>
            <w:top w:val="none" w:sz="0" w:space="0" w:color="auto"/>
            <w:left w:val="none" w:sz="0" w:space="0" w:color="auto"/>
            <w:bottom w:val="none" w:sz="0" w:space="0" w:color="auto"/>
            <w:right w:val="none" w:sz="0" w:space="0" w:color="auto"/>
          </w:divBdr>
        </w:div>
      </w:divsChild>
    </w:div>
    <w:div w:id="711267759">
      <w:bodyDiv w:val="1"/>
      <w:marLeft w:val="0"/>
      <w:marRight w:val="0"/>
      <w:marTop w:val="0"/>
      <w:marBottom w:val="0"/>
      <w:divBdr>
        <w:top w:val="none" w:sz="0" w:space="0" w:color="auto"/>
        <w:left w:val="none" w:sz="0" w:space="0" w:color="auto"/>
        <w:bottom w:val="none" w:sz="0" w:space="0" w:color="auto"/>
        <w:right w:val="none" w:sz="0" w:space="0" w:color="auto"/>
      </w:divBdr>
    </w:div>
    <w:div w:id="733964452">
      <w:bodyDiv w:val="1"/>
      <w:marLeft w:val="0"/>
      <w:marRight w:val="0"/>
      <w:marTop w:val="0"/>
      <w:marBottom w:val="0"/>
      <w:divBdr>
        <w:top w:val="none" w:sz="0" w:space="0" w:color="auto"/>
        <w:left w:val="none" w:sz="0" w:space="0" w:color="auto"/>
        <w:bottom w:val="none" w:sz="0" w:space="0" w:color="auto"/>
        <w:right w:val="none" w:sz="0" w:space="0" w:color="auto"/>
      </w:divBdr>
    </w:div>
    <w:div w:id="813178074">
      <w:bodyDiv w:val="1"/>
      <w:marLeft w:val="0"/>
      <w:marRight w:val="0"/>
      <w:marTop w:val="0"/>
      <w:marBottom w:val="0"/>
      <w:divBdr>
        <w:top w:val="none" w:sz="0" w:space="0" w:color="auto"/>
        <w:left w:val="none" w:sz="0" w:space="0" w:color="auto"/>
        <w:bottom w:val="none" w:sz="0" w:space="0" w:color="auto"/>
        <w:right w:val="none" w:sz="0" w:space="0" w:color="auto"/>
      </w:divBdr>
    </w:div>
    <w:div w:id="966273257">
      <w:bodyDiv w:val="1"/>
      <w:marLeft w:val="0"/>
      <w:marRight w:val="0"/>
      <w:marTop w:val="0"/>
      <w:marBottom w:val="0"/>
      <w:divBdr>
        <w:top w:val="none" w:sz="0" w:space="0" w:color="auto"/>
        <w:left w:val="none" w:sz="0" w:space="0" w:color="auto"/>
        <w:bottom w:val="none" w:sz="0" w:space="0" w:color="auto"/>
        <w:right w:val="none" w:sz="0" w:space="0" w:color="auto"/>
      </w:divBdr>
    </w:div>
    <w:div w:id="988676274">
      <w:bodyDiv w:val="1"/>
      <w:marLeft w:val="0"/>
      <w:marRight w:val="0"/>
      <w:marTop w:val="0"/>
      <w:marBottom w:val="0"/>
      <w:divBdr>
        <w:top w:val="none" w:sz="0" w:space="0" w:color="auto"/>
        <w:left w:val="none" w:sz="0" w:space="0" w:color="auto"/>
        <w:bottom w:val="none" w:sz="0" w:space="0" w:color="auto"/>
        <w:right w:val="none" w:sz="0" w:space="0" w:color="auto"/>
      </w:divBdr>
      <w:divsChild>
        <w:div w:id="1131094166">
          <w:marLeft w:val="446"/>
          <w:marRight w:val="0"/>
          <w:marTop w:val="0"/>
          <w:marBottom w:val="0"/>
          <w:divBdr>
            <w:top w:val="none" w:sz="0" w:space="0" w:color="auto"/>
            <w:left w:val="none" w:sz="0" w:space="0" w:color="auto"/>
            <w:bottom w:val="none" w:sz="0" w:space="0" w:color="auto"/>
            <w:right w:val="none" w:sz="0" w:space="0" w:color="auto"/>
          </w:divBdr>
        </w:div>
      </w:divsChild>
    </w:div>
    <w:div w:id="1140685845">
      <w:bodyDiv w:val="1"/>
      <w:marLeft w:val="0"/>
      <w:marRight w:val="0"/>
      <w:marTop w:val="0"/>
      <w:marBottom w:val="0"/>
      <w:divBdr>
        <w:top w:val="none" w:sz="0" w:space="0" w:color="auto"/>
        <w:left w:val="none" w:sz="0" w:space="0" w:color="auto"/>
        <w:bottom w:val="none" w:sz="0" w:space="0" w:color="auto"/>
        <w:right w:val="none" w:sz="0" w:space="0" w:color="auto"/>
      </w:divBdr>
    </w:div>
    <w:div w:id="1237789787">
      <w:bodyDiv w:val="1"/>
      <w:marLeft w:val="0"/>
      <w:marRight w:val="0"/>
      <w:marTop w:val="0"/>
      <w:marBottom w:val="0"/>
      <w:divBdr>
        <w:top w:val="none" w:sz="0" w:space="0" w:color="auto"/>
        <w:left w:val="none" w:sz="0" w:space="0" w:color="auto"/>
        <w:bottom w:val="none" w:sz="0" w:space="0" w:color="auto"/>
        <w:right w:val="none" w:sz="0" w:space="0" w:color="auto"/>
      </w:divBdr>
      <w:divsChild>
        <w:div w:id="1191843593">
          <w:marLeft w:val="0"/>
          <w:marRight w:val="0"/>
          <w:marTop w:val="0"/>
          <w:marBottom w:val="0"/>
          <w:divBdr>
            <w:top w:val="none" w:sz="0" w:space="0" w:color="auto"/>
            <w:left w:val="none" w:sz="0" w:space="0" w:color="auto"/>
            <w:bottom w:val="none" w:sz="0" w:space="0" w:color="auto"/>
            <w:right w:val="none" w:sz="0" w:space="0" w:color="auto"/>
          </w:divBdr>
        </w:div>
      </w:divsChild>
    </w:div>
    <w:div w:id="1346907703">
      <w:bodyDiv w:val="1"/>
      <w:marLeft w:val="0"/>
      <w:marRight w:val="0"/>
      <w:marTop w:val="0"/>
      <w:marBottom w:val="0"/>
      <w:divBdr>
        <w:top w:val="none" w:sz="0" w:space="0" w:color="auto"/>
        <w:left w:val="none" w:sz="0" w:space="0" w:color="auto"/>
        <w:bottom w:val="none" w:sz="0" w:space="0" w:color="auto"/>
        <w:right w:val="none" w:sz="0" w:space="0" w:color="auto"/>
      </w:divBdr>
    </w:div>
    <w:div w:id="1419209603">
      <w:bodyDiv w:val="1"/>
      <w:marLeft w:val="0"/>
      <w:marRight w:val="0"/>
      <w:marTop w:val="0"/>
      <w:marBottom w:val="0"/>
      <w:divBdr>
        <w:top w:val="none" w:sz="0" w:space="0" w:color="auto"/>
        <w:left w:val="none" w:sz="0" w:space="0" w:color="auto"/>
        <w:bottom w:val="none" w:sz="0" w:space="0" w:color="auto"/>
        <w:right w:val="none" w:sz="0" w:space="0" w:color="auto"/>
      </w:divBdr>
      <w:divsChild>
        <w:div w:id="1890993379">
          <w:marLeft w:val="446"/>
          <w:marRight w:val="0"/>
          <w:marTop w:val="0"/>
          <w:marBottom w:val="0"/>
          <w:divBdr>
            <w:top w:val="none" w:sz="0" w:space="0" w:color="auto"/>
            <w:left w:val="none" w:sz="0" w:space="0" w:color="auto"/>
            <w:bottom w:val="none" w:sz="0" w:space="0" w:color="auto"/>
            <w:right w:val="none" w:sz="0" w:space="0" w:color="auto"/>
          </w:divBdr>
        </w:div>
      </w:divsChild>
    </w:div>
    <w:div w:id="1460300577">
      <w:bodyDiv w:val="1"/>
      <w:marLeft w:val="0"/>
      <w:marRight w:val="0"/>
      <w:marTop w:val="0"/>
      <w:marBottom w:val="0"/>
      <w:divBdr>
        <w:top w:val="none" w:sz="0" w:space="0" w:color="auto"/>
        <w:left w:val="none" w:sz="0" w:space="0" w:color="auto"/>
        <w:bottom w:val="none" w:sz="0" w:space="0" w:color="auto"/>
        <w:right w:val="none" w:sz="0" w:space="0" w:color="auto"/>
      </w:divBdr>
    </w:div>
    <w:div w:id="1677534183">
      <w:bodyDiv w:val="1"/>
      <w:marLeft w:val="0"/>
      <w:marRight w:val="0"/>
      <w:marTop w:val="0"/>
      <w:marBottom w:val="0"/>
      <w:divBdr>
        <w:top w:val="none" w:sz="0" w:space="0" w:color="auto"/>
        <w:left w:val="none" w:sz="0" w:space="0" w:color="auto"/>
        <w:bottom w:val="none" w:sz="0" w:space="0" w:color="auto"/>
        <w:right w:val="none" w:sz="0" w:space="0" w:color="auto"/>
      </w:divBdr>
    </w:div>
    <w:div w:id="1705709758">
      <w:bodyDiv w:val="1"/>
      <w:marLeft w:val="0"/>
      <w:marRight w:val="0"/>
      <w:marTop w:val="0"/>
      <w:marBottom w:val="0"/>
      <w:divBdr>
        <w:top w:val="none" w:sz="0" w:space="0" w:color="auto"/>
        <w:left w:val="none" w:sz="0" w:space="0" w:color="auto"/>
        <w:bottom w:val="none" w:sz="0" w:space="0" w:color="auto"/>
        <w:right w:val="none" w:sz="0" w:space="0" w:color="auto"/>
      </w:divBdr>
    </w:div>
    <w:div w:id="1737127319">
      <w:bodyDiv w:val="1"/>
      <w:marLeft w:val="0"/>
      <w:marRight w:val="0"/>
      <w:marTop w:val="0"/>
      <w:marBottom w:val="0"/>
      <w:divBdr>
        <w:top w:val="none" w:sz="0" w:space="0" w:color="auto"/>
        <w:left w:val="none" w:sz="0" w:space="0" w:color="auto"/>
        <w:bottom w:val="none" w:sz="0" w:space="0" w:color="auto"/>
        <w:right w:val="none" w:sz="0" w:space="0" w:color="auto"/>
      </w:divBdr>
      <w:divsChild>
        <w:div w:id="1416628564">
          <w:marLeft w:val="0"/>
          <w:marRight w:val="0"/>
          <w:marTop w:val="0"/>
          <w:marBottom w:val="0"/>
          <w:divBdr>
            <w:top w:val="none" w:sz="0" w:space="0" w:color="auto"/>
            <w:left w:val="none" w:sz="0" w:space="0" w:color="auto"/>
            <w:bottom w:val="none" w:sz="0" w:space="0" w:color="auto"/>
            <w:right w:val="none" w:sz="0" w:space="0" w:color="auto"/>
          </w:divBdr>
        </w:div>
      </w:divsChild>
    </w:div>
    <w:div w:id="1836139676">
      <w:bodyDiv w:val="1"/>
      <w:marLeft w:val="0"/>
      <w:marRight w:val="0"/>
      <w:marTop w:val="0"/>
      <w:marBottom w:val="0"/>
      <w:divBdr>
        <w:top w:val="none" w:sz="0" w:space="0" w:color="auto"/>
        <w:left w:val="none" w:sz="0" w:space="0" w:color="auto"/>
        <w:bottom w:val="none" w:sz="0" w:space="0" w:color="auto"/>
        <w:right w:val="none" w:sz="0" w:space="0" w:color="auto"/>
      </w:divBdr>
      <w:divsChild>
        <w:div w:id="1033118465">
          <w:marLeft w:val="0"/>
          <w:marRight w:val="0"/>
          <w:marTop w:val="0"/>
          <w:marBottom w:val="0"/>
          <w:divBdr>
            <w:top w:val="none" w:sz="0" w:space="0" w:color="auto"/>
            <w:left w:val="none" w:sz="0" w:space="0" w:color="auto"/>
            <w:bottom w:val="none" w:sz="0" w:space="0" w:color="auto"/>
            <w:right w:val="none" w:sz="0" w:space="0" w:color="auto"/>
          </w:divBdr>
          <w:divsChild>
            <w:div w:id="141023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612934">
      <w:bodyDiv w:val="1"/>
      <w:marLeft w:val="0"/>
      <w:marRight w:val="0"/>
      <w:marTop w:val="0"/>
      <w:marBottom w:val="0"/>
      <w:divBdr>
        <w:top w:val="none" w:sz="0" w:space="0" w:color="auto"/>
        <w:left w:val="none" w:sz="0" w:space="0" w:color="auto"/>
        <w:bottom w:val="none" w:sz="0" w:space="0" w:color="auto"/>
        <w:right w:val="none" w:sz="0" w:space="0" w:color="auto"/>
      </w:divBdr>
      <w:divsChild>
        <w:div w:id="286937541">
          <w:marLeft w:val="0"/>
          <w:marRight w:val="0"/>
          <w:marTop w:val="0"/>
          <w:marBottom w:val="0"/>
          <w:divBdr>
            <w:top w:val="none" w:sz="0" w:space="0" w:color="auto"/>
            <w:left w:val="none" w:sz="0" w:space="0" w:color="auto"/>
            <w:bottom w:val="none" w:sz="0" w:space="0" w:color="auto"/>
            <w:right w:val="none" w:sz="0" w:space="0" w:color="auto"/>
          </w:divBdr>
          <w:divsChild>
            <w:div w:id="2106071079">
              <w:marLeft w:val="0"/>
              <w:marRight w:val="0"/>
              <w:marTop w:val="0"/>
              <w:marBottom w:val="0"/>
              <w:divBdr>
                <w:top w:val="none" w:sz="0" w:space="0" w:color="auto"/>
                <w:left w:val="none" w:sz="0" w:space="0" w:color="auto"/>
                <w:bottom w:val="none" w:sz="0" w:space="0" w:color="auto"/>
                <w:right w:val="none" w:sz="0" w:space="0" w:color="auto"/>
              </w:divBdr>
              <w:divsChild>
                <w:div w:id="682124161">
                  <w:marLeft w:val="0"/>
                  <w:marRight w:val="0"/>
                  <w:marTop w:val="0"/>
                  <w:marBottom w:val="0"/>
                  <w:divBdr>
                    <w:top w:val="none" w:sz="0" w:space="0" w:color="auto"/>
                    <w:left w:val="none" w:sz="0" w:space="0" w:color="auto"/>
                    <w:bottom w:val="none" w:sz="0" w:space="0" w:color="auto"/>
                    <w:right w:val="none" w:sz="0" w:space="0" w:color="auto"/>
                  </w:divBdr>
                  <w:divsChild>
                    <w:div w:id="1554274171">
                      <w:marLeft w:val="0"/>
                      <w:marRight w:val="0"/>
                      <w:marTop w:val="0"/>
                      <w:marBottom w:val="0"/>
                      <w:divBdr>
                        <w:top w:val="none" w:sz="0" w:space="0" w:color="auto"/>
                        <w:left w:val="none" w:sz="0" w:space="0" w:color="auto"/>
                        <w:bottom w:val="none" w:sz="0" w:space="0" w:color="auto"/>
                        <w:right w:val="none" w:sz="0" w:space="0" w:color="auto"/>
                      </w:divBdr>
                      <w:divsChild>
                        <w:div w:id="414131955">
                          <w:marLeft w:val="0"/>
                          <w:marRight w:val="0"/>
                          <w:marTop w:val="0"/>
                          <w:marBottom w:val="300"/>
                          <w:divBdr>
                            <w:top w:val="single" w:sz="6" w:space="0" w:color="D6F5C4"/>
                            <w:left w:val="single" w:sz="6" w:space="0" w:color="D6F5C4"/>
                            <w:bottom w:val="single" w:sz="6" w:space="0" w:color="D6F5C4"/>
                            <w:right w:val="single" w:sz="6" w:space="0" w:color="D6F5C4"/>
                          </w:divBdr>
                          <w:divsChild>
                            <w:div w:id="1325937218">
                              <w:marLeft w:val="0"/>
                              <w:marRight w:val="0"/>
                              <w:marTop w:val="0"/>
                              <w:marBottom w:val="0"/>
                              <w:divBdr>
                                <w:top w:val="none" w:sz="0" w:space="0" w:color="auto"/>
                                <w:left w:val="none" w:sz="0" w:space="0" w:color="auto"/>
                                <w:bottom w:val="none" w:sz="0" w:space="0" w:color="auto"/>
                                <w:right w:val="none" w:sz="0" w:space="0" w:color="auto"/>
                              </w:divBdr>
                              <w:divsChild>
                                <w:div w:id="1824350887">
                                  <w:marLeft w:val="0"/>
                                  <w:marRight w:val="0"/>
                                  <w:marTop w:val="0"/>
                                  <w:marBottom w:val="0"/>
                                  <w:divBdr>
                                    <w:top w:val="none" w:sz="0" w:space="0" w:color="auto"/>
                                    <w:left w:val="none" w:sz="0" w:space="0" w:color="auto"/>
                                    <w:bottom w:val="none" w:sz="0" w:space="0" w:color="auto"/>
                                    <w:right w:val="none" w:sz="0" w:space="0" w:color="auto"/>
                                  </w:divBdr>
                                  <w:divsChild>
                                    <w:div w:id="38117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pcbs.gov.ps/site/617/default.aspx" TargetMode="External"/><Relationship Id="rId3" Type="http://schemas.openxmlformats.org/officeDocument/2006/relationships/hyperlink" Target="https://old.ecopeaceme.org/projects/dead-sea/" TargetMode="External"/><Relationship Id="rId7" Type="http://schemas.openxmlformats.org/officeDocument/2006/relationships/hyperlink" Target="http://www.pcbs.gov.ps/Portals/_Rainbow/Documents/%D8%A7%D9%84%D9%85%D8%AD%D8%A7%D9%81%D8%B8%D8%A7%D8%AA%20%D8%A7%D9%86%D8%AC%D9%84%D9%8A%D8%B2%D9%8A%2097-2017.html" TargetMode="External"/><Relationship Id="rId2" Type="http://schemas.openxmlformats.org/officeDocument/2006/relationships/hyperlink" Target="https://www.opendemocracy.net/en/north-africa-west-asia/what-hope-for-two-state-solution/" TargetMode="External"/><Relationship Id="rId1" Type="http://schemas.openxmlformats.org/officeDocument/2006/relationships/hyperlink" Target="http://www.pcbs.gov.ps/postar.aspx?lang=ar&amp;ItemID=3943" TargetMode="External"/><Relationship Id="rId6" Type="http://schemas.openxmlformats.org/officeDocument/2006/relationships/hyperlink" Target="http://www.pcbs.gov.ps/postar.aspx?lang=ar&amp;ItemID=3943" TargetMode="External"/><Relationship Id="rId5" Type="http://schemas.openxmlformats.org/officeDocument/2006/relationships/hyperlink" Target="https://app.powerbi.com/view?r=eyJrIjoiMmJkZGRhYWQtODk0MS00MWJkLWI2NTktMDg1NGJlMGNiY2Y3IiwidCI6IjBmOWUzNWRiLTU0NGYtNGY2MC1iZGNjLTVlYTQxNmU2ZGM3MCIsImMiOjh9" TargetMode="External"/><Relationship Id="rId10" Type="http://schemas.openxmlformats.org/officeDocument/2006/relationships/hyperlink" Target="http://www.pcbs.gov.ps/postar.aspx?lang=ar&amp;ItemID=3933" TargetMode="External"/><Relationship Id="rId4" Type="http://schemas.openxmlformats.org/officeDocument/2006/relationships/hyperlink" Target="https://www.aljazeera.com/features/2017/8/1/water-deal-tightens-israels-control-over-palestinians" TargetMode="External"/><Relationship Id="rId9" Type="http://schemas.openxmlformats.org/officeDocument/2006/relationships/hyperlink" Target="https://www.pcbs.gov.ps/Downloads/book2368.pdf?date=7_5_2018"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657D575-3094-4179-8409-93322AAE3E86}">
  <ds:schemaRefs>
    <ds:schemaRef ds:uri="http://schemas.openxmlformats.org/officeDocument/2006/bibliography"/>
  </ds:schemaRefs>
</ds:datastoreItem>
</file>

<file path=customXml/itemProps2.xml><?xml version="1.0" encoding="utf-8"?>
<ds:datastoreItem xmlns:ds="http://schemas.openxmlformats.org/officeDocument/2006/customXml" ds:itemID="{4E4FC2B5-A111-4CC9-98E0-CA09F43E7B9B}"/>
</file>

<file path=customXml/itemProps3.xml><?xml version="1.0" encoding="utf-8"?>
<ds:datastoreItem xmlns:ds="http://schemas.openxmlformats.org/officeDocument/2006/customXml" ds:itemID="{50D38C7A-D3BD-4B09-97AC-D410B2077FD2}"/>
</file>

<file path=customXml/itemProps4.xml><?xml version="1.0" encoding="utf-8"?>
<ds:datastoreItem xmlns:ds="http://schemas.openxmlformats.org/officeDocument/2006/customXml" ds:itemID="{BA88B89D-07B1-4C7B-B515-BDC843FB2FB6}"/>
</file>

<file path=docProps/app.xml><?xml version="1.0" encoding="utf-8"?>
<Properties xmlns="http://schemas.openxmlformats.org/officeDocument/2006/extended-properties" xmlns:vt="http://schemas.openxmlformats.org/officeDocument/2006/docPropsVTypes">
  <Template>Normal</Template>
  <TotalTime>551</TotalTime>
  <Pages>8</Pages>
  <Words>3016</Words>
  <Characters>17193</Characters>
  <Application>Microsoft Office Word</Application>
  <DocSecurity>0</DocSecurity>
  <Lines>143</Lines>
  <Paragraphs>40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20169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Zayneb alShalalfeh</dc:creator>
  <cp:lastModifiedBy>Lenovo</cp:lastModifiedBy>
  <cp:revision>20</cp:revision>
  <dcterms:created xsi:type="dcterms:W3CDTF">2021-04-15T03:00:00Z</dcterms:created>
  <dcterms:modified xsi:type="dcterms:W3CDTF">2021-04-15T12:36:00Z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