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EF8" w:rsidRPr="00523D06" w:rsidRDefault="007A1EF8" w:rsidP="007A1EF8">
      <w:pPr>
        <w:shd w:val="clear" w:color="auto" w:fill="FFFFFF"/>
        <w:jc w:val="center"/>
        <w:outlineLvl w:val="1"/>
        <w:rPr>
          <w:rFonts w:asciiTheme="majorHAnsi" w:hAnsiTheme="majorHAnsi"/>
          <w:b/>
          <w:color w:val="365F91"/>
        </w:rPr>
      </w:pPr>
      <w:r w:rsidRPr="00523D06">
        <w:rPr>
          <w:rFonts w:asciiTheme="majorHAnsi" w:hAnsiTheme="majorHAnsi"/>
          <w:b/>
          <w:color w:val="365F91"/>
        </w:rPr>
        <w:t xml:space="preserve">Expert Consultation on </w:t>
      </w:r>
      <w:r w:rsidR="005B35CA" w:rsidRPr="00523D06">
        <w:rPr>
          <w:rFonts w:asciiTheme="majorHAnsi" w:hAnsiTheme="majorHAnsi"/>
          <w:b/>
          <w:color w:val="365F91"/>
        </w:rPr>
        <w:t xml:space="preserve">the principle of </w:t>
      </w:r>
      <w:r w:rsidRPr="00523D06">
        <w:rPr>
          <w:rFonts w:asciiTheme="majorHAnsi" w:hAnsiTheme="majorHAnsi"/>
          <w:b/>
          <w:color w:val="365F91"/>
        </w:rPr>
        <w:t>accountability</w:t>
      </w:r>
      <w:r w:rsidR="005B35CA" w:rsidRPr="00523D06">
        <w:rPr>
          <w:rFonts w:asciiTheme="majorHAnsi" w:hAnsiTheme="majorHAnsi"/>
          <w:b/>
          <w:color w:val="365F91"/>
        </w:rPr>
        <w:t xml:space="preserve"> in the context of</w:t>
      </w:r>
      <w:r w:rsidRPr="00523D06">
        <w:rPr>
          <w:rFonts w:asciiTheme="majorHAnsi" w:hAnsiTheme="majorHAnsi"/>
          <w:b/>
          <w:color w:val="365F91"/>
        </w:rPr>
        <w:t xml:space="preserve"> the human rights to drinking water and sanitation</w:t>
      </w:r>
    </w:p>
    <w:p w:rsidR="007A1EF8" w:rsidRPr="00523D06" w:rsidRDefault="007A1EF8" w:rsidP="007A1EF8">
      <w:pPr>
        <w:shd w:val="clear" w:color="auto" w:fill="FFFFFF"/>
        <w:jc w:val="center"/>
        <w:outlineLvl w:val="1"/>
        <w:rPr>
          <w:rFonts w:asciiTheme="majorHAnsi" w:hAnsiTheme="majorHAnsi"/>
          <w:b/>
          <w:color w:val="365F91"/>
        </w:rPr>
      </w:pPr>
      <w:r w:rsidRPr="00523D06">
        <w:rPr>
          <w:rFonts w:asciiTheme="majorHAnsi" w:hAnsiTheme="majorHAnsi"/>
          <w:b/>
          <w:color w:val="365F91"/>
        </w:rPr>
        <w:t xml:space="preserve">Organized by the UN Special Rapporteur on the human rights to safe drinking water and sanitation, </w:t>
      </w:r>
      <w:proofErr w:type="spellStart"/>
      <w:r w:rsidRPr="00523D06">
        <w:rPr>
          <w:rFonts w:asciiTheme="majorHAnsi" w:hAnsiTheme="majorHAnsi"/>
          <w:b/>
          <w:color w:val="365F91"/>
        </w:rPr>
        <w:t>Léo</w:t>
      </w:r>
      <w:proofErr w:type="spellEnd"/>
      <w:r w:rsidRPr="00523D06">
        <w:rPr>
          <w:rFonts w:asciiTheme="majorHAnsi" w:hAnsiTheme="majorHAnsi"/>
          <w:b/>
          <w:color w:val="365F91"/>
        </w:rPr>
        <w:t xml:space="preserve"> Heller</w:t>
      </w:r>
    </w:p>
    <w:p w:rsidR="007A1EF8" w:rsidRPr="00523D06" w:rsidRDefault="005B35CA" w:rsidP="007A1EF8">
      <w:pPr>
        <w:jc w:val="center"/>
        <w:rPr>
          <w:rFonts w:asciiTheme="majorHAnsi" w:hAnsiTheme="majorHAnsi"/>
          <w:b/>
          <w:i/>
          <w:color w:val="B8CCE4"/>
        </w:rPr>
      </w:pPr>
      <w:r w:rsidRPr="00523D06">
        <w:rPr>
          <w:rFonts w:asciiTheme="majorHAnsi" w:hAnsiTheme="majorHAnsi"/>
          <w:b/>
          <w:i/>
          <w:color w:val="B8CCE4"/>
        </w:rPr>
        <w:t xml:space="preserve">14-15 </w:t>
      </w:r>
      <w:r w:rsidR="00704455" w:rsidRPr="00523D06">
        <w:rPr>
          <w:rFonts w:asciiTheme="majorHAnsi" w:hAnsiTheme="majorHAnsi"/>
          <w:b/>
          <w:i/>
          <w:color w:val="B8CCE4"/>
        </w:rPr>
        <w:t>May 2018</w:t>
      </w:r>
      <w:r w:rsidR="007A1EF8" w:rsidRPr="00523D06">
        <w:rPr>
          <w:rFonts w:asciiTheme="majorHAnsi" w:hAnsiTheme="majorHAnsi"/>
          <w:b/>
          <w:i/>
          <w:color w:val="B8CCE4"/>
        </w:rPr>
        <w:t>, Geneva</w:t>
      </w:r>
    </w:p>
    <w:p w:rsidR="00965079" w:rsidRPr="00523D06" w:rsidRDefault="00965079" w:rsidP="007A1EF8">
      <w:pPr>
        <w:jc w:val="center"/>
        <w:rPr>
          <w:rFonts w:asciiTheme="majorHAnsi" w:hAnsiTheme="majorHAnsi"/>
          <w:b/>
          <w:i/>
          <w:color w:val="B8CCE4"/>
        </w:rPr>
      </w:pPr>
      <w:r w:rsidRPr="00523D06">
        <w:rPr>
          <w:rFonts w:asciiTheme="majorHAnsi" w:hAnsiTheme="majorHAnsi"/>
          <w:b/>
          <w:i/>
          <w:color w:val="B8CCE4"/>
        </w:rPr>
        <w:t xml:space="preserve">OHCHR </w:t>
      </w:r>
      <w:proofErr w:type="spellStart"/>
      <w:r w:rsidRPr="00523D06">
        <w:rPr>
          <w:rFonts w:asciiTheme="majorHAnsi" w:hAnsiTheme="majorHAnsi"/>
          <w:b/>
          <w:i/>
          <w:color w:val="B8CCE4"/>
        </w:rPr>
        <w:t>Palais</w:t>
      </w:r>
      <w:proofErr w:type="spellEnd"/>
      <w:r w:rsidRPr="00523D06">
        <w:rPr>
          <w:rFonts w:asciiTheme="majorHAnsi" w:hAnsiTheme="majorHAnsi"/>
          <w:b/>
          <w:i/>
          <w:color w:val="B8CCE4"/>
        </w:rPr>
        <w:t xml:space="preserve"> Wilson, Room 1-016</w:t>
      </w:r>
    </w:p>
    <w:p w:rsidR="007A1EF8" w:rsidRPr="00523D06" w:rsidRDefault="007A1EF8" w:rsidP="007A1EF8">
      <w:pPr>
        <w:spacing w:before="300" w:after="200"/>
        <w:rPr>
          <w:rFonts w:asciiTheme="majorHAnsi" w:hAnsiTheme="majorHAnsi"/>
          <w:b/>
          <w:i/>
          <w:color w:val="B8CCE4"/>
        </w:rPr>
      </w:pPr>
      <w:r w:rsidRPr="00523D06">
        <w:rPr>
          <w:rFonts w:asciiTheme="majorHAnsi" w:hAnsiTheme="majorHAnsi"/>
          <w:b/>
          <w:color w:val="365F91"/>
          <w:u w:val="single"/>
        </w:rPr>
        <w:t>BACKGROUND</w:t>
      </w:r>
    </w:p>
    <w:p w:rsidR="00625D86" w:rsidRPr="00523D06" w:rsidRDefault="00625D86" w:rsidP="00625D86">
      <w:pPr>
        <w:shd w:val="clear" w:color="auto" w:fill="FFFFFF"/>
        <w:spacing w:before="160" w:after="125"/>
        <w:jc w:val="both"/>
        <w:rPr>
          <w:rFonts w:asciiTheme="majorHAnsi" w:eastAsia="Times New Roman" w:hAnsiTheme="majorHAnsi"/>
          <w:lang w:eastAsia="en-IE"/>
        </w:rPr>
      </w:pPr>
      <w:r w:rsidRPr="00523D06">
        <w:rPr>
          <w:rFonts w:asciiTheme="majorHAnsi" w:eastAsia="Times New Roman" w:hAnsiTheme="majorHAnsi"/>
          <w:lang w:eastAsia="en-IE"/>
        </w:rPr>
        <w:t>Pursuant to Human Rights Council Resolution</w:t>
      </w:r>
      <w:r w:rsidR="009C5EBF" w:rsidRPr="00523D06">
        <w:rPr>
          <w:rFonts w:asciiTheme="majorHAnsi" w:eastAsia="Times New Roman" w:hAnsiTheme="majorHAnsi"/>
          <w:lang w:eastAsia="en-IE"/>
        </w:rPr>
        <w:t xml:space="preserve"> </w:t>
      </w:r>
      <w:r w:rsidRPr="00523D06">
        <w:rPr>
          <w:rFonts w:asciiTheme="majorHAnsi" w:eastAsia="Times New Roman" w:hAnsiTheme="majorHAnsi"/>
          <w:lang w:eastAsia="en-IE"/>
        </w:rPr>
        <w:t>33/10 of 2016, the Special Rapporteur on the human rights to safe drinking water an</w:t>
      </w:r>
      <w:r w:rsidR="009C5EBF" w:rsidRPr="00523D06">
        <w:rPr>
          <w:rFonts w:asciiTheme="majorHAnsi" w:eastAsia="Times New Roman" w:hAnsiTheme="majorHAnsi"/>
          <w:lang w:eastAsia="en-IE"/>
        </w:rPr>
        <w:t xml:space="preserve">d sanitation, </w:t>
      </w:r>
      <w:proofErr w:type="spellStart"/>
      <w:r w:rsidR="009C5EBF" w:rsidRPr="00523D06">
        <w:rPr>
          <w:rFonts w:asciiTheme="majorHAnsi" w:eastAsia="Times New Roman" w:hAnsiTheme="majorHAnsi"/>
          <w:lang w:eastAsia="en-IE"/>
        </w:rPr>
        <w:t>Mr.</w:t>
      </w:r>
      <w:proofErr w:type="spellEnd"/>
      <w:r w:rsidR="009C5EBF" w:rsidRPr="00523D06">
        <w:rPr>
          <w:rFonts w:asciiTheme="majorHAnsi" w:eastAsia="Times New Roman" w:hAnsiTheme="majorHAnsi"/>
          <w:lang w:eastAsia="en-IE"/>
        </w:rPr>
        <w:t xml:space="preserve"> </w:t>
      </w:r>
      <w:proofErr w:type="spellStart"/>
      <w:r w:rsidR="009C5EBF" w:rsidRPr="00523D06">
        <w:rPr>
          <w:rFonts w:asciiTheme="majorHAnsi" w:eastAsia="Times New Roman" w:hAnsiTheme="majorHAnsi"/>
          <w:lang w:eastAsia="en-IE"/>
        </w:rPr>
        <w:t>Léo</w:t>
      </w:r>
      <w:proofErr w:type="spellEnd"/>
      <w:r w:rsidR="009C5EBF" w:rsidRPr="00523D06">
        <w:rPr>
          <w:rFonts w:asciiTheme="majorHAnsi" w:eastAsia="Times New Roman" w:hAnsiTheme="majorHAnsi"/>
          <w:lang w:eastAsia="en-IE"/>
        </w:rPr>
        <w:t xml:space="preserve"> Heller, i</w:t>
      </w:r>
      <w:r w:rsidRPr="00523D06">
        <w:rPr>
          <w:rFonts w:asciiTheme="majorHAnsi" w:eastAsia="Times New Roman" w:hAnsiTheme="majorHAnsi"/>
          <w:lang w:eastAsia="en-IE"/>
        </w:rPr>
        <w:t>s mandated to work on identifying challenges and obstacles to the full realization of the rights, as well as protection gaps, good practices and enabling factors. The Special Rapporteur is elaborating a report on the principle of accountability in the context of the human rights to safe drinking water and sanitation. The report will be presented to the UN General Assembly at its seventy-third session in 2018.</w:t>
      </w:r>
    </w:p>
    <w:p w:rsidR="00625D86" w:rsidRPr="00523D06" w:rsidRDefault="00625D86" w:rsidP="00625D86">
      <w:pPr>
        <w:shd w:val="clear" w:color="auto" w:fill="FFFFFF"/>
        <w:spacing w:after="125"/>
        <w:jc w:val="both"/>
        <w:rPr>
          <w:rFonts w:asciiTheme="majorHAnsi" w:eastAsia="Times New Roman" w:hAnsiTheme="majorHAnsi"/>
          <w:lang w:eastAsia="ko-KR"/>
        </w:rPr>
      </w:pPr>
      <w:r w:rsidRPr="00523D06">
        <w:rPr>
          <w:rFonts w:asciiTheme="majorHAnsi" w:eastAsia="Times New Roman" w:hAnsiTheme="majorHAnsi"/>
          <w:lang w:eastAsia="en-IE"/>
        </w:rPr>
        <w:t xml:space="preserve">As part of the consultation process, the Special Rapporteur invited States and non-State actors to contribute their views and perspectives in writing through a questionnaire. (States - </w:t>
      </w:r>
      <w:hyperlink r:id="rId9" w:history="1">
        <w:r w:rsidRPr="00523D06">
          <w:rPr>
            <w:rStyle w:val="Hyperlink"/>
            <w:rFonts w:asciiTheme="majorHAnsi" w:hAnsiTheme="majorHAnsi"/>
            <w:color w:val="663399"/>
          </w:rPr>
          <w:t>English</w:t>
        </w:r>
      </w:hyperlink>
      <w:r w:rsidRPr="00523D06">
        <w:rPr>
          <w:rFonts w:asciiTheme="majorHAnsi" w:hAnsiTheme="majorHAnsi"/>
          <w:color w:val="000000"/>
        </w:rPr>
        <w:t> | </w:t>
      </w:r>
      <w:hyperlink r:id="rId10" w:history="1">
        <w:r w:rsidRPr="00523D06">
          <w:rPr>
            <w:rStyle w:val="Hyperlink"/>
            <w:rFonts w:asciiTheme="majorHAnsi" w:hAnsiTheme="majorHAnsi"/>
            <w:color w:val="663399"/>
          </w:rPr>
          <w:t>French</w:t>
        </w:r>
      </w:hyperlink>
      <w:r w:rsidRPr="00523D06">
        <w:rPr>
          <w:rFonts w:asciiTheme="majorHAnsi" w:hAnsiTheme="majorHAnsi"/>
          <w:color w:val="000000"/>
        </w:rPr>
        <w:t> | </w:t>
      </w:r>
      <w:hyperlink r:id="rId11" w:history="1">
        <w:r w:rsidRPr="00523D06">
          <w:rPr>
            <w:rStyle w:val="Hyperlink"/>
            <w:rFonts w:asciiTheme="majorHAnsi" w:hAnsiTheme="majorHAnsi"/>
            <w:color w:val="663399"/>
          </w:rPr>
          <w:t>Spanish</w:t>
        </w:r>
      </w:hyperlink>
      <w:r w:rsidRPr="00523D06">
        <w:rPr>
          <w:rFonts w:asciiTheme="majorHAnsi" w:hAnsiTheme="majorHAnsi"/>
          <w:color w:val="000000"/>
        </w:rPr>
        <w:t xml:space="preserve">; non-States - </w:t>
      </w:r>
      <w:hyperlink r:id="rId12" w:history="1">
        <w:r w:rsidRPr="00523D06">
          <w:rPr>
            <w:rStyle w:val="Hyperlink"/>
            <w:rFonts w:asciiTheme="majorHAnsi" w:hAnsiTheme="majorHAnsi"/>
            <w:color w:val="663399"/>
          </w:rPr>
          <w:t>English</w:t>
        </w:r>
      </w:hyperlink>
      <w:r w:rsidRPr="00523D06">
        <w:rPr>
          <w:rFonts w:asciiTheme="majorHAnsi" w:hAnsiTheme="majorHAnsi"/>
          <w:color w:val="000000"/>
        </w:rPr>
        <w:t> | </w:t>
      </w:r>
      <w:hyperlink r:id="rId13" w:history="1">
        <w:r w:rsidRPr="00523D06">
          <w:rPr>
            <w:rStyle w:val="Hyperlink"/>
            <w:rFonts w:asciiTheme="majorHAnsi" w:hAnsiTheme="majorHAnsi"/>
            <w:color w:val="663399"/>
          </w:rPr>
          <w:t>French</w:t>
        </w:r>
      </w:hyperlink>
      <w:r w:rsidRPr="00523D06">
        <w:rPr>
          <w:rFonts w:asciiTheme="majorHAnsi" w:hAnsiTheme="majorHAnsi"/>
          <w:color w:val="000000"/>
        </w:rPr>
        <w:t> | </w:t>
      </w:r>
      <w:hyperlink r:id="rId14" w:history="1">
        <w:r w:rsidRPr="00523D06">
          <w:rPr>
            <w:rStyle w:val="Hyperlink"/>
            <w:rFonts w:asciiTheme="majorHAnsi" w:hAnsiTheme="majorHAnsi"/>
            <w:color w:val="663399"/>
          </w:rPr>
          <w:t>Spanish</w:t>
        </w:r>
      </w:hyperlink>
      <w:r w:rsidRPr="00523D06">
        <w:rPr>
          <w:rFonts w:asciiTheme="majorHAnsi" w:hAnsiTheme="majorHAnsi"/>
          <w:color w:val="000000"/>
        </w:rPr>
        <w:t>)</w:t>
      </w:r>
      <w:r w:rsidR="009C5EBF" w:rsidRPr="00523D06">
        <w:rPr>
          <w:rFonts w:asciiTheme="majorHAnsi" w:eastAsia="Times New Roman" w:hAnsiTheme="majorHAnsi"/>
          <w:lang w:eastAsia="ko-KR"/>
        </w:rPr>
        <w:t xml:space="preserve"> </w:t>
      </w:r>
      <w:r w:rsidR="009C5EBF" w:rsidRPr="00523D06">
        <w:rPr>
          <w:rFonts w:asciiTheme="majorHAnsi" w:hAnsiTheme="majorHAnsi"/>
          <w:shd w:val="clear" w:color="auto" w:fill="FFFFFF"/>
        </w:rPr>
        <w:t xml:space="preserve">A total of </w:t>
      </w:r>
      <w:hyperlink r:id="rId15" w:history="1">
        <w:r w:rsidRPr="00523D06">
          <w:rPr>
            <w:rStyle w:val="Hyperlink"/>
            <w:rFonts w:asciiTheme="majorHAnsi" w:hAnsiTheme="majorHAnsi"/>
            <w:shd w:val="clear" w:color="auto" w:fill="FFFFFF"/>
          </w:rPr>
          <w:t>28 submissions</w:t>
        </w:r>
      </w:hyperlink>
      <w:r w:rsidRPr="00523D06">
        <w:rPr>
          <w:rFonts w:asciiTheme="majorHAnsi" w:hAnsiTheme="majorHAnsi"/>
          <w:shd w:val="clear" w:color="auto" w:fill="FFFFFF"/>
        </w:rPr>
        <w:t xml:space="preserve"> were received. </w:t>
      </w:r>
    </w:p>
    <w:p w:rsidR="00625D86" w:rsidRPr="00523D06" w:rsidRDefault="00625D86" w:rsidP="00625D86">
      <w:pPr>
        <w:spacing w:before="300" w:after="200"/>
        <w:rPr>
          <w:rFonts w:asciiTheme="majorHAnsi" w:hAnsiTheme="majorHAnsi"/>
          <w:b/>
          <w:i/>
          <w:color w:val="B8CCE4"/>
        </w:rPr>
      </w:pPr>
      <w:r w:rsidRPr="00523D06">
        <w:rPr>
          <w:rFonts w:asciiTheme="majorHAnsi" w:hAnsiTheme="majorHAnsi"/>
          <w:b/>
          <w:color w:val="365F91"/>
          <w:u w:val="single"/>
        </w:rPr>
        <w:t>SCOPE and STRUCTURE OF REPORT</w:t>
      </w:r>
    </w:p>
    <w:p w:rsidR="001C1961" w:rsidRPr="00523D06" w:rsidRDefault="001C1961" w:rsidP="00E40D8B">
      <w:pPr>
        <w:shd w:val="clear" w:color="auto" w:fill="FFFFFF"/>
        <w:spacing w:before="160" w:after="125"/>
        <w:jc w:val="both"/>
        <w:rPr>
          <w:rFonts w:asciiTheme="majorHAnsi" w:hAnsiTheme="majorHAnsi"/>
        </w:rPr>
      </w:pPr>
      <w:r w:rsidRPr="00523D06">
        <w:rPr>
          <w:rFonts w:asciiTheme="majorHAnsi" w:hAnsiTheme="majorHAnsi"/>
        </w:rPr>
        <w:t>The principle of accountability as a core human rights principle does n</w:t>
      </w:r>
      <w:r w:rsidR="00337927" w:rsidRPr="00523D06">
        <w:rPr>
          <w:rFonts w:asciiTheme="majorHAnsi" w:hAnsiTheme="majorHAnsi"/>
        </w:rPr>
        <w:t xml:space="preserve">ot have a </w:t>
      </w:r>
      <w:r w:rsidR="002D3146" w:rsidRPr="00523D06">
        <w:rPr>
          <w:rFonts w:asciiTheme="majorHAnsi" w:hAnsiTheme="majorHAnsi"/>
        </w:rPr>
        <w:t xml:space="preserve">set and agreed definition and depending on the context, several descriptions and definitions exists. </w:t>
      </w:r>
      <w:r w:rsidR="00337927" w:rsidRPr="00523D06">
        <w:rPr>
          <w:rFonts w:asciiTheme="majorHAnsi" w:hAnsiTheme="majorHAnsi"/>
        </w:rPr>
        <w:t xml:space="preserve">(See Annex I for list of different definition of accountability). </w:t>
      </w:r>
      <w:r w:rsidRPr="00523D06">
        <w:rPr>
          <w:rFonts w:asciiTheme="majorHAnsi" w:hAnsiTheme="majorHAnsi"/>
        </w:rPr>
        <w:t xml:space="preserve">The Special Rapporteur departs his initial analysis on the topic from a broad interpretation of the </w:t>
      </w:r>
      <w:r w:rsidRPr="00523D06">
        <w:rPr>
          <w:rFonts w:asciiTheme="majorHAnsi" w:eastAsia="Times New Roman" w:hAnsiTheme="majorHAnsi"/>
          <w:lang w:eastAsia="en-IE"/>
        </w:rPr>
        <w:t>principle</w:t>
      </w:r>
      <w:r w:rsidRPr="00523D06">
        <w:rPr>
          <w:rFonts w:asciiTheme="majorHAnsi" w:hAnsiTheme="majorHAnsi"/>
        </w:rPr>
        <w:t xml:space="preserve"> of accountability and focuses on the roles of actors – both State and non-State actors</w:t>
      </w:r>
      <w:r w:rsidRPr="00523D06">
        <w:rPr>
          <w:rStyle w:val="FootnoteReference"/>
          <w:rFonts w:asciiTheme="majorHAnsi" w:hAnsiTheme="majorHAnsi"/>
        </w:rPr>
        <w:footnoteReference w:id="1"/>
      </w:r>
      <w:r w:rsidRPr="00523D06">
        <w:rPr>
          <w:rFonts w:asciiTheme="majorHAnsi" w:hAnsiTheme="majorHAnsi"/>
        </w:rPr>
        <w:t xml:space="preserve"> - in the realization of the human rights to safe drinking water and sanitation. This includes</w:t>
      </w:r>
      <w:r w:rsidR="009C5EBF" w:rsidRPr="00523D06">
        <w:rPr>
          <w:rFonts w:asciiTheme="majorHAnsi" w:hAnsiTheme="majorHAnsi"/>
        </w:rPr>
        <w:t xml:space="preserve"> not only access to remedy and justice and the institutional mechanisms that are in place for individuals to claim their rights and have the rights enforced. The scope is broader and the report aims to address how to hold accountable the actors that undertake the role to provide</w:t>
      </w:r>
      <w:r w:rsidRPr="00523D06">
        <w:rPr>
          <w:rFonts w:asciiTheme="majorHAnsi" w:hAnsiTheme="majorHAnsi"/>
        </w:rPr>
        <w:t xml:space="preserve"> drinking water and sanitation, regulat</w:t>
      </w:r>
      <w:r w:rsidR="009C5EBF" w:rsidRPr="00523D06">
        <w:rPr>
          <w:rFonts w:asciiTheme="majorHAnsi" w:hAnsiTheme="majorHAnsi"/>
        </w:rPr>
        <w:t xml:space="preserve">e services, among others. </w:t>
      </w:r>
    </w:p>
    <w:p w:rsidR="00280DFE" w:rsidRPr="00523D06" w:rsidRDefault="009C5EBF" w:rsidP="00E40D8B">
      <w:pPr>
        <w:shd w:val="clear" w:color="auto" w:fill="FFFFFF"/>
        <w:spacing w:before="160" w:after="125"/>
        <w:jc w:val="both"/>
        <w:rPr>
          <w:rFonts w:asciiTheme="majorHAnsi" w:hAnsiTheme="majorHAnsi"/>
        </w:rPr>
      </w:pPr>
      <w:r w:rsidRPr="00523D06">
        <w:rPr>
          <w:rFonts w:asciiTheme="majorHAnsi" w:hAnsiTheme="majorHAnsi"/>
        </w:rPr>
        <w:t>The report address</w:t>
      </w:r>
      <w:r w:rsidR="00086EC7" w:rsidRPr="00523D06">
        <w:rPr>
          <w:rFonts w:asciiTheme="majorHAnsi" w:hAnsiTheme="majorHAnsi"/>
        </w:rPr>
        <w:t>es</w:t>
      </w:r>
      <w:r w:rsidRPr="00523D06">
        <w:rPr>
          <w:rFonts w:asciiTheme="majorHAnsi" w:hAnsiTheme="majorHAnsi"/>
        </w:rPr>
        <w:t xml:space="preserve"> the principle of accoun</w:t>
      </w:r>
      <w:r w:rsidR="006450C2" w:rsidRPr="00523D06">
        <w:rPr>
          <w:rFonts w:asciiTheme="majorHAnsi" w:hAnsiTheme="majorHAnsi"/>
        </w:rPr>
        <w:t xml:space="preserve">tability from three dimensions. </w:t>
      </w:r>
      <w:r w:rsidRPr="00523D06">
        <w:rPr>
          <w:rFonts w:asciiTheme="majorHAnsi" w:hAnsiTheme="majorHAnsi"/>
        </w:rPr>
        <w:t xml:space="preserve">Accountability implies that actors involved in provision and regulation of water and sanitation </w:t>
      </w:r>
      <w:r w:rsidRPr="00523D06">
        <w:rPr>
          <w:rFonts w:asciiTheme="majorHAnsi" w:eastAsia="Times New Roman" w:hAnsiTheme="majorHAnsi"/>
          <w:lang w:eastAsia="en-IE"/>
        </w:rPr>
        <w:t>services</w:t>
      </w:r>
      <w:r w:rsidRPr="00523D06">
        <w:rPr>
          <w:rFonts w:asciiTheme="majorHAnsi" w:hAnsiTheme="majorHAnsi"/>
        </w:rPr>
        <w:t xml:space="preserve"> must have clearly defined duties and responsibilities and performance standards (“responsibility”); actors must be answerable to affected people and groups for their actions and decisions, which includes access to information in a transparent manner (“answerability”); and mechanisms should be in place that monitors actors’ compliance with established standards, imposes sanctions and ensures that corrective and remedial action are taken (“enforceability”).</w:t>
      </w:r>
      <w:r w:rsidR="00280DFE" w:rsidRPr="00523D06">
        <w:rPr>
          <w:rStyle w:val="FootnoteReference"/>
          <w:rFonts w:asciiTheme="majorHAnsi" w:hAnsiTheme="majorHAnsi"/>
        </w:rPr>
        <w:footnoteReference w:id="2"/>
      </w:r>
      <w:r w:rsidR="00280DFE" w:rsidRPr="00523D06">
        <w:rPr>
          <w:rFonts w:asciiTheme="majorHAnsi" w:hAnsiTheme="majorHAnsi"/>
        </w:rPr>
        <w:t xml:space="preserve"> </w:t>
      </w:r>
    </w:p>
    <w:p w:rsidR="007A1EF8" w:rsidRPr="00523D06" w:rsidRDefault="00337927" w:rsidP="00C43855">
      <w:pPr>
        <w:spacing w:before="300" w:after="200"/>
        <w:jc w:val="center"/>
        <w:rPr>
          <w:rFonts w:asciiTheme="majorHAnsi" w:hAnsiTheme="majorHAnsi"/>
          <w:b/>
          <w:i/>
          <w:color w:val="B8CCE4"/>
          <w:sz w:val="26"/>
          <w:szCs w:val="26"/>
        </w:rPr>
      </w:pPr>
      <w:r w:rsidRPr="00523D06">
        <w:rPr>
          <w:rFonts w:asciiTheme="majorHAnsi" w:hAnsiTheme="majorHAnsi"/>
          <w:b/>
          <w:color w:val="365F91"/>
          <w:u w:val="single"/>
        </w:rPr>
        <w:br w:type="page"/>
      </w:r>
      <w:r w:rsidR="00C43855" w:rsidRPr="00523D06">
        <w:rPr>
          <w:rFonts w:asciiTheme="majorHAnsi" w:hAnsiTheme="majorHAnsi"/>
          <w:b/>
          <w:color w:val="365F91"/>
          <w:sz w:val="26"/>
          <w:szCs w:val="26"/>
          <w:u w:val="single"/>
        </w:rPr>
        <w:lastRenderedPageBreak/>
        <w:t>DAY 1 PR</w:t>
      </w:r>
      <w:r w:rsidR="007A1EF8" w:rsidRPr="00523D06">
        <w:rPr>
          <w:rFonts w:asciiTheme="majorHAnsi" w:hAnsiTheme="majorHAnsi"/>
          <w:b/>
          <w:color w:val="365F91"/>
          <w:sz w:val="26"/>
          <w:szCs w:val="26"/>
          <w:u w:val="single"/>
        </w:rPr>
        <w:t>OGRAMME: 14 May 2018 (Monday)</w:t>
      </w:r>
    </w:p>
    <w:tbl>
      <w:tblPr>
        <w:tblW w:w="0" w:type="auto"/>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4A0" w:firstRow="1" w:lastRow="0" w:firstColumn="1" w:lastColumn="0" w:noHBand="0" w:noVBand="1"/>
      </w:tblPr>
      <w:tblGrid>
        <w:gridCol w:w="7616"/>
        <w:gridCol w:w="1666"/>
      </w:tblGrid>
      <w:tr w:rsidR="003E7492" w:rsidRPr="00523D06" w:rsidTr="003E7492">
        <w:tc>
          <w:tcPr>
            <w:tcW w:w="7621" w:type="dxa"/>
            <w:shd w:val="clear" w:color="auto" w:fill="DBE5F1"/>
          </w:tcPr>
          <w:p w:rsidR="007A1EF8" w:rsidRPr="00523D06" w:rsidRDefault="007A1EF8" w:rsidP="00625D86">
            <w:pPr>
              <w:spacing w:beforeLines="40" w:before="96" w:afterLines="40" w:after="96"/>
              <w:rPr>
                <w:rFonts w:asciiTheme="majorHAnsi" w:hAnsiTheme="majorHAnsi"/>
                <w:b/>
                <w:color w:val="365F91"/>
              </w:rPr>
            </w:pPr>
            <w:r w:rsidRPr="00523D06">
              <w:rPr>
                <w:rFonts w:asciiTheme="majorHAnsi" w:hAnsiTheme="majorHAnsi"/>
                <w:b/>
                <w:color w:val="365F91"/>
              </w:rPr>
              <w:t>Introduction</w:t>
            </w:r>
            <w:r w:rsidR="00625D86" w:rsidRPr="00523D06">
              <w:rPr>
                <w:rFonts w:asciiTheme="majorHAnsi" w:hAnsiTheme="majorHAnsi"/>
                <w:b/>
                <w:color w:val="365F91"/>
              </w:rPr>
              <w:t xml:space="preserve"> </w:t>
            </w:r>
          </w:p>
        </w:tc>
        <w:tc>
          <w:tcPr>
            <w:tcW w:w="1667" w:type="dxa"/>
            <w:shd w:val="clear" w:color="auto" w:fill="DBE5F1"/>
          </w:tcPr>
          <w:p w:rsidR="007A1EF8" w:rsidRPr="00523D06" w:rsidRDefault="002D3146" w:rsidP="00B64118">
            <w:pPr>
              <w:spacing w:beforeLines="40" w:before="96" w:afterLines="40" w:after="96"/>
              <w:rPr>
                <w:rFonts w:asciiTheme="majorHAnsi" w:hAnsiTheme="majorHAnsi"/>
                <w:b/>
                <w:color w:val="365F91"/>
                <w:u w:val="single"/>
              </w:rPr>
            </w:pPr>
            <w:r w:rsidRPr="00523D06">
              <w:rPr>
                <w:rFonts w:asciiTheme="majorHAnsi" w:hAnsiTheme="majorHAnsi"/>
                <w:b/>
                <w:color w:val="365F91"/>
              </w:rPr>
              <w:t>9:3</w:t>
            </w:r>
            <w:r w:rsidR="005B35CA" w:rsidRPr="00523D06">
              <w:rPr>
                <w:rFonts w:asciiTheme="majorHAnsi" w:hAnsiTheme="majorHAnsi"/>
                <w:b/>
                <w:color w:val="365F91"/>
              </w:rPr>
              <w:t>0</w:t>
            </w:r>
            <w:r w:rsidRPr="00523D06">
              <w:rPr>
                <w:rFonts w:asciiTheme="majorHAnsi" w:hAnsiTheme="majorHAnsi"/>
                <w:b/>
                <w:color w:val="365F91"/>
              </w:rPr>
              <w:t xml:space="preserve"> – 10</w:t>
            </w:r>
            <w:r w:rsidR="00B64118" w:rsidRPr="00523D06">
              <w:rPr>
                <w:rFonts w:asciiTheme="majorHAnsi" w:hAnsiTheme="majorHAnsi"/>
                <w:b/>
                <w:color w:val="365F91"/>
              </w:rPr>
              <w:t>:</w:t>
            </w:r>
            <w:r w:rsidRPr="00523D06">
              <w:rPr>
                <w:rFonts w:asciiTheme="majorHAnsi" w:hAnsiTheme="majorHAnsi"/>
                <w:b/>
                <w:color w:val="365F91"/>
              </w:rPr>
              <w:t>0</w:t>
            </w:r>
            <w:r w:rsidR="005B35CA" w:rsidRPr="00523D06">
              <w:rPr>
                <w:rFonts w:asciiTheme="majorHAnsi" w:hAnsiTheme="majorHAnsi"/>
                <w:b/>
                <w:color w:val="365F91"/>
              </w:rPr>
              <w:t>0</w:t>
            </w:r>
          </w:p>
        </w:tc>
      </w:tr>
    </w:tbl>
    <w:p w:rsidR="007A1EF8" w:rsidRPr="00523D06" w:rsidRDefault="007A1EF8" w:rsidP="007A1EF8">
      <w:pPr>
        <w:spacing w:before="300" w:after="200"/>
        <w:jc w:val="both"/>
        <w:rPr>
          <w:rFonts w:asciiTheme="majorHAnsi" w:hAnsiTheme="majorHAnsi"/>
        </w:rPr>
      </w:pPr>
      <w:r w:rsidRPr="00523D06">
        <w:rPr>
          <w:rFonts w:asciiTheme="majorHAnsi" w:hAnsiTheme="majorHAnsi"/>
          <w:u w:val="single"/>
        </w:rPr>
        <w:t>Speaker</w:t>
      </w:r>
      <w:r w:rsidRPr="00523D06">
        <w:rPr>
          <w:rFonts w:asciiTheme="majorHAnsi" w:hAnsiTheme="majorHAnsi"/>
        </w:rPr>
        <w:t xml:space="preserve">:  Special Rapporteur and </w:t>
      </w:r>
      <w:r w:rsidRPr="00523D06">
        <w:rPr>
          <w:rFonts w:asciiTheme="majorHAnsi" w:hAnsiTheme="majorHAnsi"/>
          <w:color w:val="000000"/>
        </w:rPr>
        <w:t>participants</w:t>
      </w:r>
    </w:p>
    <w:p w:rsidR="007A1EF8" w:rsidRPr="00523D06" w:rsidRDefault="007A1EF8" w:rsidP="007A1EF8">
      <w:pPr>
        <w:pStyle w:val="LightGrid-Accent31"/>
        <w:numPr>
          <w:ilvl w:val="0"/>
          <w:numId w:val="1"/>
        </w:numPr>
        <w:spacing w:beforeLines="40" w:before="96" w:afterLines="40" w:after="96"/>
        <w:rPr>
          <w:rFonts w:asciiTheme="majorHAnsi" w:hAnsiTheme="majorHAnsi"/>
        </w:rPr>
      </w:pPr>
      <w:r w:rsidRPr="00523D06">
        <w:rPr>
          <w:rFonts w:asciiTheme="majorHAnsi" w:hAnsiTheme="majorHAnsi"/>
        </w:rPr>
        <w:t>Purpose and objective of the expert consultation</w:t>
      </w:r>
    </w:p>
    <w:p w:rsidR="007A1EF8" w:rsidRPr="00523D06" w:rsidRDefault="007A1EF8" w:rsidP="007A1EF8">
      <w:pPr>
        <w:pStyle w:val="LightGrid-Accent31"/>
        <w:numPr>
          <w:ilvl w:val="0"/>
          <w:numId w:val="1"/>
        </w:numPr>
        <w:spacing w:beforeLines="40" w:before="96" w:afterLines="40" w:after="96"/>
        <w:rPr>
          <w:rFonts w:asciiTheme="majorHAnsi" w:hAnsiTheme="majorHAnsi"/>
        </w:rPr>
      </w:pPr>
      <w:r w:rsidRPr="00523D06">
        <w:rPr>
          <w:rFonts w:asciiTheme="majorHAnsi" w:hAnsiTheme="majorHAnsi"/>
        </w:rPr>
        <w:t>Tour de table: Introduction of participants</w:t>
      </w:r>
    </w:p>
    <w:p w:rsidR="00E47470" w:rsidRPr="00523D06" w:rsidRDefault="00E47470" w:rsidP="00915639">
      <w:pPr>
        <w:pStyle w:val="LightGrid-Accent31"/>
        <w:spacing w:beforeLines="40" w:before="96" w:afterLines="40" w:after="96"/>
        <w:ind w:left="0"/>
        <w:rPr>
          <w:rFonts w:asciiTheme="majorHAnsi" w:hAnsiTheme="majorHAnsi"/>
        </w:rPr>
      </w:pPr>
    </w:p>
    <w:tbl>
      <w:tblPr>
        <w:tblW w:w="0" w:type="auto"/>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4A0" w:firstRow="1" w:lastRow="0" w:firstColumn="1" w:lastColumn="0" w:noHBand="0" w:noVBand="1"/>
      </w:tblPr>
      <w:tblGrid>
        <w:gridCol w:w="7581"/>
        <w:gridCol w:w="1661"/>
      </w:tblGrid>
      <w:tr w:rsidR="003E7492" w:rsidRPr="00523D06" w:rsidTr="003E7492">
        <w:tc>
          <w:tcPr>
            <w:tcW w:w="7581" w:type="dxa"/>
            <w:shd w:val="clear" w:color="auto" w:fill="DBE5F1"/>
          </w:tcPr>
          <w:p w:rsidR="007A1EF8" w:rsidRPr="00523D06" w:rsidRDefault="002B5562" w:rsidP="005B35CA">
            <w:pPr>
              <w:spacing w:beforeLines="40" w:before="96" w:afterLines="40" w:after="96"/>
              <w:rPr>
                <w:rFonts w:asciiTheme="majorHAnsi" w:hAnsiTheme="majorHAnsi"/>
                <w:b/>
                <w:color w:val="365F91"/>
              </w:rPr>
            </w:pPr>
            <w:r w:rsidRPr="00523D06">
              <w:rPr>
                <w:rFonts w:asciiTheme="majorHAnsi" w:hAnsiTheme="majorHAnsi"/>
                <w:b/>
                <w:color w:val="365F91"/>
              </w:rPr>
              <w:t xml:space="preserve">SESSION </w:t>
            </w:r>
            <w:r w:rsidR="005B35CA" w:rsidRPr="00523D06">
              <w:rPr>
                <w:rFonts w:asciiTheme="majorHAnsi" w:hAnsiTheme="majorHAnsi"/>
                <w:b/>
                <w:color w:val="365F91"/>
              </w:rPr>
              <w:t>1</w:t>
            </w:r>
            <w:r w:rsidR="007A1EF8" w:rsidRPr="00523D06">
              <w:rPr>
                <w:rFonts w:asciiTheme="majorHAnsi" w:hAnsiTheme="majorHAnsi"/>
                <w:b/>
                <w:color w:val="365F91"/>
              </w:rPr>
              <w:t xml:space="preserve">:  </w:t>
            </w:r>
            <w:r w:rsidR="001B557C" w:rsidRPr="00523D06">
              <w:rPr>
                <w:rFonts w:asciiTheme="majorHAnsi" w:hAnsiTheme="majorHAnsi"/>
                <w:b/>
                <w:color w:val="365F91"/>
              </w:rPr>
              <w:t>‘</w:t>
            </w:r>
            <w:r w:rsidR="007A1EF8" w:rsidRPr="00523D06">
              <w:rPr>
                <w:rFonts w:asciiTheme="majorHAnsi" w:hAnsiTheme="majorHAnsi"/>
                <w:b/>
                <w:color w:val="365F91"/>
              </w:rPr>
              <w:t>Responsibility</w:t>
            </w:r>
            <w:r w:rsidR="001B557C" w:rsidRPr="00523D06">
              <w:rPr>
                <w:rFonts w:asciiTheme="majorHAnsi" w:hAnsiTheme="majorHAnsi"/>
                <w:b/>
                <w:color w:val="365F91"/>
              </w:rPr>
              <w:t>’</w:t>
            </w:r>
            <w:r w:rsidR="007A1EF8" w:rsidRPr="00523D06">
              <w:rPr>
                <w:rFonts w:asciiTheme="majorHAnsi" w:hAnsiTheme="majorHAnsi"/>
                <w:b/>
                <w:color w:val="365F91"/>
              </w:rPr>
              <w:t xml:space="preserve"> as a dimension of accountability </w:t>
            </w:r>
          </w:p>
        </w:tc>
        <w:tc>
          <w:tcPr>
            <w:tcW w:w="1661" w:type="dxa"/>
            <w:shd w:val="clear" w:color="auto" w:fill="DBE5F1"/>
          </w:tcPr>
          <w:p w:rsidR="007A1EF8" w:rsidRPr="00523D06" w:rsidRDefault="002D3146" w:rsidP="003E7492">
            <w:pPr>
              <w:spacing w:beforeLines="40" w:before="96" w:afterLines="40" w:after="96"/>
              <w:rPr>
                <w:rFonts w:asciiTheme="majorHAnsi" w:hAnsiTheme="majorHAnsi"/>
                <w:b/>
                <w:color w:val="365F91"/>
                <w:u w:val="single"/>
              </w:rPr>
            </w:pPr>
            <w:r w:rsidRPr="00523D06">
              <w:rPr>
                <w:rFonts w:asciiTheme="majorHAnsi" w:hAnsiTheme="majorHAnsi"/>
                <w:b/>
                <w:color w:val="365F91"/>
              </w:rPr>
              <w:t>10:00 – 12: 30</w:t>
            </w:r>
            <w:r w:rsidR="007A1EF8" w:rsidRPr="00523D06">
              <w:rPr>
                <w:rFonts w:asciiTheme="majorHAnsi" w:hAnsiTheme="majorHAnsi"/>
                <w:b/>
                <w:color w:val="365F91"/>
              </w:rPr>
              <w:t xml:space="preserve"> </w:t>
            </w:r>
          </w:p>
        </w:tc>
      </w:tr>
    </w:tbl>
    <w:p w:rsidR="00461006" w:rsidRPr="00523D06" w:rsidRDefault="006450C2" w:rsidP="006450C2">
      <w:pPr>
        <w:spacing w:before="300" w:after="200"/>
        <w:jc w:val="both"/>
        <w:rPr>
          <w:rFonts w:asciiTheme="majorHAnsi" w:hAnsiTheme="majorHAnsi"/>
        </w:rPr>
      </w:pPr>
      <w:r w:rsidRPr="00523D06">
        <w:rPr>
          <w:rFonts w:asciiTheme="majorHAnsi" w:hAnsiTheme="majorHAnsi"/>
        </w:rPr>
        <w:t>Accountability implies that actors involved in provision and regulation of water and sanitation services and those who are tasked to realize the human rights to safe drinking water and sanitation must have clearly defined roles and responsibilities. In addition, performance standards of those roles and responsibilities will allow their actions and decisions to be assess</w:t>
      </w:r>
      <w:r w:rsidR="00086EC7" w:rsidRPr="00523D06">
        <w:rPr>
          <w:rFonts w:asciiTheme="majorHAnsi" w:hAnsiTheme="majorHAnsi"/>
        </w:rPr>
        <w:t>ed</w:t>
      </w:r>
      <w:r w:rsidRPr="00523D06">
        <w:rPr>
          <w:rFonts w:asciiTheme="majorHAnsi" w:hAnsiTheme="majorHAnsi"/>
        </w:rPr>
        <w:t xml:space="preserve"> transparently and objectively. Therefore, the ‘responsibility’ as dimension of accountability is addressed in view of the following elements:</w:t>
      </w:r>
      <w:r w:rsidR="0072627A" w:rsidRPr="00523D06">
        <w:rPr>
          <w:rFonts w:asciiTheme="majorHAnsi" w:hAnsiTheme="majorHAnsi"/>
        </w:rPr>
        <w:t xml:space="preserve"> ‘what’ </w:t>
      </w:r>
      <w:r w:rsidRPr="00523D06">
        <w:rPr>
          <w:rFonts w:asciiTheme="majorHAnsi" w:hAnsiTheme="majorHAnsi"/>
        </w:rPr>
        <w:t>are the roles and responsibilities to realize the human rights to safe drinking water and sanitation</w:t>
      </w:r>
      <w:r w:rsidR="0072627A" w:rsidRPr="00523D06">
        <w:rPr>
          <w:rFonts w:asciiTheme="majorHAnsi" w:hAnsiTheme="majorHAnsi"/>
        </w:rPr>
        <w:t xml:space="preserve">, ‘who’ carries those </w:t>
      </w:r>
      <w:r w:rsidRPr="00523D06">
        <w:rPr>
          <w:rFonts w:asciiTheme="majorHAnsi" w:hAnsiTheme="majorHAnsi"/>
        </w:rPr>
        <w:t>roles and responsibilities and ‘how’</w:t>
      </w:r>
      <w:r w:rsidR="004817E9" w:rsidRPr="00523D06">
        <w:rPr>
          <w:rFonts w:asciiTheme="majorHAnsi" w:hAnsiTheme="majorHAnsi"/>
        </w:rPr>
        <w:t xml:space="preserve"> the performance of those roles and</w:t>
      </w:r>
      <w:r w:rsidR="0072627A" w:rsidRPr="00523D06">
        <w:rPr>
          <w:rFonts w:asciiTheme="majorHAnsi" w:hAnsiTheme="majorHAnsi"/>
        </w:rPr>
        <w:t xml:space="preserve"> responsibilities are </w:t>
      </w:r>
      <w:r w:rsidR="004817E9" w:rsidRPr="00523D06">
        <w:rPr>
          <w:rFonts w:asciiTheme="majorHAnsi" w:hAnsiTheme="majorHAnsi"/>
        </w:rPr>
        <w:t>assessed</w:t>
      </w:r>
      <w:r w:rsidR="0072627A" w:rsidRPr="00523D06">
        <w:rPr>
          <w:rFonts w:asciiTheme="majorHAnsi" w:hAnsiTheme="majorHAnsi"/>
        </w:rPr>
        <w:t xml:space="preserve">.  </w:t>
      </w:r>
      <w:r w:rsidR="00461006" w:rsidRPr="00523D06">
        <w:rPr>
          <w:rFonts w:asciiTheme="majorHAnsi" w:hAnsiTheme="majorHAnsi"/>
        </w:rPr>
        <w:t xml:space="preserve"> </w:t>
      </w:r>
    </w:p>
    <w:p w:rsidR="00884F2A" w:rsidRPr="00523D06" w:rsidRDefault="00337927" w:rsidP="00E40D8B">
      <w:pPr>
        <w:spacing w:before="300" w:after="200"/>
        <w:jc w:val="both"/>
        <w:rPr>
          <w:rFonts w:asciiTheme="majorHAnsi" w:hAnsiTheme="majorHAnsi"/>
        </w:rPr>
      </w:pPr>
      <w:bookmarkStart w:id="0" w:name="_Toc386372726"/>
      <w:r w:rsidRPr="00523D06">
        <w:rPr>
          <w:rFonts w:asciiTheme="majorHAnsi" w:hAnsiTheme="majorHAnsi"/>
        </w:rPr>
        <w:t>In relation to water and sanitation service provision, varieties of actors are involved. State institutions responsible for water and sanitation include different ministries at the central government level, authorities, regulatory actors and public service providers at the local or sub-national level. At times, the</w:t>
      </w:r>
      <w:r w:rsidR="00884F2A" w:rsidRPr="00523D06">
        <w:rPr>
          <w:rFonts w:asciiTheme="majorHAnsi" w:hAnsiTheme="majorHAnsi"/>
        </w:rPr>
        <w:t xml:space="preserve"> responsibilities are divided among different institutions and ministries, often without much clarity</w:t>
      </w:r>
      <w:r w:rsidR="00966255" w:rsidRPr="00523D06">
        <w:rPr>
          <w:rFonts w:asciiTheme="majorHAnsi" w:hAnsiTheme="majorHAnsi"/>
        </w:rPr>
        <w:t xml:space="preserve">. This often results in situations where several </w:t>
      </w:r>
      <w:r w:rsidR="00086EC7" w:rsidRPr="00523D06">
        <w:rPr>
          <w:rFonts w:asciiTheme="majorHAnsi" w:hAnsiTheme="majorHAnsi"/>
        </w:rPr>
        <w:t>bodies</w:t>
      </w:r>
      <w:r w:rsidR="00966255" w:rsidRPr="00523D06">
        <w:rPr>
          <w:rFonts w:asciiTheme="majorHAnsi" w:hAnsiTheme="majorHAnsi"/>
        </w:rPr>
        <w:t xml:space="preserve"> </w:t>
      </w:r>
      <w:r w:rsidR="00086EC7" w:rsidRPr="00523D06">
        <w:rPr>
          <w:rFonts w:asciiTheme="majorHAnsi" w:hAnsiTheme="majorHAnsi"/>
        </w:rPr>
        <w:t xml:space="preserve">are </w:t>
      </w:r>
      <w:r w:rsidR="00966255" w:rsidRPr="00523D06">
        <w:rPr>
          <w:rFonts w:asciiTheme="majorHAnsi" w:hAnsiTheme="majorHAnsi"/>
        </w:rPr>
        <w:t xml:space="preserve">tasked with fragmented aspects of drinking water and sanitation services to the population, resulting in a patchwork on how the government addresses the human rights framework </w:t>
      </w:r>
      <w:r w:rsidR="00086EC7" w:rsidRPr="00523D06">
        <w:rPr>
          <w:rFonts w:asciiTheme="majorHAnsi" w:hAnsiTheme="majorHAnsi"/>
        </w:rPr>
        <w:t xml:space="preserve">and a lack of clarity on who is hold accountable </w:t>
      </w:r>
      <w:r w:rsidR="00966255" w:rsidRPr="00523D06">
        <w:rPr>
          <w:rFonts w:asciiTheme="majorHAnsi" w:hAnsiTheme="majorHAnsi"/>
        </w:rPr>
        <w:t>(see Annex I</w:t>
      </w:r>
      <w:r w:rsidRPr="00523D06">
        <w:rPr>
          <w:rFonts w:asciiTheme="majorHAnsi" w:hAnsiTheme="majorHAnsi"/>
        </w:rPr>
        <w:t>I</w:t>
      </w:r>
      <w:r w:rsidR="00966255" w:rsidRPr="00523D06">
        <w:rPr>
          <w:rFonts w:asciiTheme="majorHAnsi" w:hAnsiTheme="majorHAnsi"/>
        </w:rPr>
        <w:t xml:space="preserve"> for a practical example).</w:t>
      </w:r>
      <w:r w:rsidR="00884F2A" w:rsidRPr="00523D06">
        <w:rPr>
          <w:rStyle w:val="FootnoteReference"/>
          <w:rFonts w:asciiTheme="majorHAnsi" w:hAnsiTheme="majorHAnsi"/>
        </w:rPr>
        <w:footnoteReference w:id="3"/>
      </w:r>
      <w:r w:rsidR="00884F2A" w:rsidRPr="00523D06">
        <w:rPr>
          <w:rFonts w:asciiTheme="majorHAnsi" w:hAnsiTheme="majorHAnsi"/>
        </w:rPr>
        <w:t xml:space="preserve"> </w:t>
      </w:r>
      <w:r w:rsidRPr="00523D06">
        <w:rPr>
          <w:rFonts w:asciiTheme="majorHAnsi" w:hAnsiTheme="majorHAnsi"/>
        </w:rPr>
        <w:t>Furthermore, in addition to formal State providers, various types of informal provider</w:t>
      </w:r>
      <w:r w:rsidR="00086EC7" w:rsidRPr="00523D06">
        <w:rPr>
          <w:rFonts w:asciiTheme="majorHAnsi" w:hAnsiTheme="majorHAnsi"/>
        </w:rPr>
        <w:t>s</w:t>
      </w:r>
      <w:r w:rsidRPr="00523D06">
        <w:rPr>
          <w:rFonts w:asciiTheme="majorHAnsi" w:hAnsiTheme="majorHAnsi"/>
        </w:rPr>
        <w:t xml:space="preserve"> </w:t>
      </w:r>
      <w:r w:rsidR="00086EC7" w:rsidRPr="00523D06">
        <w:rPr>
          <w:rFonts w:asciiTheme="majorHAnsi" w:hAnsiTheme="majorHAnsi"/>
        </w:rPr>
        <w:t>deliver</w:t>
      </w:r>
      <w:r w:rsidRPr="00523D06">
        <w:rPr>
          <w:rFonts w:asciiTheme="majorHAnsi" w:hAnsiTheme="majorHAnsi"/>
        </w:rPr>
        <w:t xml:space="preserve"> water and sanitation</w:t>
      </w:r>
      <w:r w:rsidR="00086EC7" w:rsidRPr="00523D06">
        <w:rPr>
          <w:rFonts w:asciiTheme="majorHAnsi" w:hAnsiTheme="majorHAnsi"/>
        </w:rPr>
        <w:t xml:space="preserve"> services</w:t>
      </w:r>
      <w:r w:rsidRPr="00523D06">
        <w:rPr>
          <w:rFonts w:asciiTheme="majorHAnsi" w:hAnsiTheme="majorHAnsi"/>
        </w:rPr>
        <w:t xml:space="preserve">. Service providers can be both State and non-State and the nature can be public, private or hybrid. </w:t>
      </w:r>
      <w:r w:rsidR="00884F2A" w:rsidRPr="00523D06">
        <w:rPr>
          <w:rFonts w:asciiTheme="majorHAnsi" w:hAnsiTheme="majorHAnsi"/>
        </w:rPr>
        <w:t xml:space="preserve">This can make it difficult for people to know whom to turn to for assistance and whom to hold accountable for realising their human rights to water and sanitation.  </w:t>
      </w:r>
    </w:p>
    <w:p w:rsidR="00337927" w:rsidRPr="00523D06" w:rsidRDefault="00337927" w:rsidP="00E40D8B">
      <w:pPr>
        <w:spacing w:before="300" w:after="200"/>
        <w:jc w:val="both"/>
        <w:rPr>
          <w:rFonts w:asciiTheme="majorHAnsi" w:hAnsiTheme="majorHAnsi"/>
        </w:rPr>
      </w:pPr>
      <w:r w:rsidRPr="00523D06">
        <w:rPr>
          <w:rFonts w:asciiTheme="majorHAnsi" w:hAnsiTheme="majorHAnsi"/>
        </w:rPr>
        <w:t>In addition, in the context of development cooperation in the water and sanitation sector, other actors are involved: the funder, the partner State and, when it exists, the implementing entity (</w:t>
      </w:r>
      <w:hyperlink r:id="rId16" w:history="1">
        <w:r w:rsidRPr="00523D06">
          <w:rPr>
            <w:rStyle w:val="Hyperlink"/>
            <w:rFonts w:asciiTheme="majorHAnsi" w:hAnsiTheme="majorHAnsi"/>
          </w:rPr>
          <w:t>A/72/127</w:t>
        </w:r>
      </w:hyperlink>
      <w:r w:rsidRPr="00523D06">
        <w:rPr>
          <w:rFonts w:asciiTheme="majorHAnsi" w:hAnsiTheme="majorHAnsi"/>
        </w:rPr>
        <w:t xml:space="preserve">, </w:t>
      </w:r>
      <w:proofErr w:type="spellStart"/>
      <w:r w:rsidRPr="00523D06">
        <w:rPr>
          <w:rFonts w:asciiTheme="majorHAnsi" w:hAnsiTheme="majorHAnsi"/>
        </w:rPr>
        <w:t>para</w:t>
      </w:r>
      <w:proofErr w:type="spellEnd"/>
      <w:r w:rsidRPr="00523D06">
        <w:rPr>
          <w:rFonts w:asciiTheme="majorHAnsi" w:hAnsiTheme="majorHAnsi"/>
        </w:rPr>
        <w:t>. 14 – 19).</w:t>
      </w:r>
    </w:p>
    <w:bookmarkEnd w:id="0"/>
    <w:p w:rsidR="001C12F4" w:rsidRPr="00523D06" w:rsidRDefault="00123C8A" w:rsidP="0001449A">
      <w:pPr>
        <w:pStyle w:val="LightGrid-Accent31"/>
        <w:spacing w:after="0" w:line="276" w:lineRule="auto"/>
        <w:ind w:left="0"/>
        <w:rPr>
          <w:rFonts w:asciiTheme="majorHAnsi" w:hAnsiTheme="majorHAnsi"/>
          <w:u w:val="single"/>
        </w:rPr>
      </w:pPr>
      <w:r w:rsidRPr="00523D06">
        <w:rPr>
          <w:rFonts w:asciiTheme="majorHAnsi" w:hAnsiTheme="majorHAnsi"/>
          <w:u w:val="single"/>
        </w:rPr>
        <w:t>Guiding questions</w:t>
      </w:r>
      <w:r w:rsidR="00D84B7E" w:rsidRPr="00523D06">
        <w:rPr>
          <w:rFonts w:asciiTheme="majorHAnsi" w:hAnsiTheme="majorHAnsi"/>
          <w:u w:val="single"/>
        </w:rPr>
        <w:t>:</w:t>
      </w:r>
    </w:p>
    <w:p w:rsidR="0001449A" w:rsidRPr="00523D06" w:rsidRDefault="0001449A" w:rsidP="0001449A">
      <w:pPr>
        <w:pStyle w:val="LightGrid-Accent31"/>
        <w:spacing w:after="0" w:line="276" w:lineRule="auto"/>
        <w:ind w:left="0"/>
        <w:rPr>
          <w:rFonts w:asciiTheme="majorHAnsi" w:hAnsiTheme="majorHAnsi"/>
          <w:u w:val="single"/>
        </w:rPr>
      </w:pPr>
    </w:p>
    <w:p w:rsidR="0001449A" w:rsidRPr="00523D06" w:rsidRDefault="00086EC7" w:rsidP="0001449A">
      <w:pPr>
        <w:numPr>
          <w:ilvl w:val="0"/>
          <w:numId w:val="2"/>
        </w:numPr>
        <w:spacing w:after="0"/>
        <w:rPr>
          <w:rFonts w:asciiTheme="majorHAnsi" w:hAnsiTheme="majorHAnsi"/>
        </w:rPr>
      </w:pPr>
      <w:r w:rsidRPr="00523D06">
        <w:rPr>
          <w:rFonts w:asciiTheme="majorHAnsi" w:hAnsiTheme="majorHAnsi"/>
        </w:rPr>
        <w:t>W</w:t>
      </w:r>
      <w:r w:rsidR="00966255" w:rsidRPr="00523D06">
        <w:rPr>
          <w:rFonts w:asciiTheme="majorHAnsi" w:hAnsiTheme="majorHAnsi"/>
        </w:rPr>
        <w:t xml:space="preserve">hat are the roles </w:t>
      </w:r>
      <w:r w:rsidRPr="00523D06">
        <w:rPr>
          <w:rFonts w:asciiTheme="majorHAnsi" w:hAnsiTheme="majorHAnsi"/>
        </w:rPr>
        <w:t xml:space="preserve">and responsibilities of key actors, regarding the accountability in the context of </w:t>
      </w:r>
      <w:r w:rsidR="0001449A" w:rsidRPr="00523D06">
        <w:rPr>
          <w:rFonts w:asciiTheme="majorHAnsi" w:hAnsiTheme="majorHAnsi"/>
        </w:rPr>
        <w:t xml:space="preserve">the </w:t>
      </w:r>
      <w:r w:rsidR="00966255" w:rsidRPr="00523D06">
        <w:rPr>
          <w:rFonts w:asciiTheme="majorHAnsi" w:hAnsiTheme="majorHAnsi"/>
        </w:rPr>
        <w:t xml:space="preserve">full realization of the </w:t>
      </w:r>
      <w:r w:rsidR="0001449A" w:rsidRPr="00523D06">
        <w:rPr>
          <w:rFonts w:asciiTheme="majorHAnsi" w:hAnsiTheme="majorHAnsi"/>
        </w:rPr>
        <w:t xml:space="preserve">human rights to </w:t>
      </w:r>
      <w:r w:rsidR="00966255" w:rsidRPr="00523D06">
        <w:rPr>
          <w:rFonts w:asciiTheme="majorHAnsi" w:hAnsiTheme="majorHAnsi"/>
        </w:rPr>
        <w:t xml:space="preserve">drinking </w:t>
      </w:r>
      <w:r w:rsidR="0001449A" w:rsidRPr="00523D06">
        <w:rPr>
          <w:rFonts w:asciiTheme="majorHAnsi" w:hAnsiTheme="majorHAnsi"/>
        </w:rPr>
        <w:t>water and sanitation?</w:t>
      </w:r>
    </w:p>
    <w:p w:rsidR="001C12F4" w:rsidRPr="00523D06" w:rsidRDefault="001C12F4" w:rsidP="0001449A">
      <w:pPr>
        <w:pStyle w:val="GradeClara-nfase31"/>
        <w:numPr>
          <w:ilvl w:val="0"/>
          <w:numId w:val="2"/>
        </w:numPr>
        <w:spacing w:after="0" w:line="276" w:lineRule="auto"/>
        <w:rPr>
          <w:rFonts w:asciiTheme="majorHAnsi" w:hAnsiTheme="majorHAnsi"/>
        </w:rPr>
      </w:pPr>
      <w:r w:rsidRPr="00523D06">
        <w:rPr>
          <w:rFonts w:asciiTheme="majorHAnsi" w:hAnsiTheme="majorHAnsi"/>
        </w:rPr>
        <w:lastRenderedPageBreak/>
        <w:t xml:space="preserve">What are the practical barriers and challenges in ensuring a clear allocation of roles and responsibilities of </w:t>
      </w:r>
      <w:r w:rsidR="00966255" w:rsidRPr="00523D06">
        <w:rPr>
          <w:rFonts w:asciiTheme="majorHAnsi" w:hAnsiTheme="majorHAnsi"/>
        </w:rPr>
        <w:t>government entities</w:t>
      </w:r>
      <w:r w:rsidRPr="00523D06">
        <w:rPr>
          <w:rFonts w:asciiTheme="majorHAnsi" w:hAnsiTheme="majorHAnsi"/>
        </w:rPr>
        <w:t xml:space="preserve"> involved in water and sanitation service provision? Can you provide positive and negative examples?</w:t>
      </w:r>
    </w:p>
    <w:p w:rsidR="002D3146" w:rsidRPr="00523D06" w:rsidRDefault="002D3146" w:rsidP="0001449A">
      <w:pPr>
        <w:pStyle w:val="GradeClara-nfase31"/>
        <w:numPr>
          <w:ilvl w:val="0"/>
          <w:numId w:val="2"/>
        </w:numPr>
        <w:spacing w:after="0" w:line="276" w:lineRule="auto"/>
        <w:rPr>
          <w:rFonts w:asciiTheme="majorHAnsi" w:hAnsiTheme="majorHAnsi"/>
        </w:rPr>
      </w:pPr>
      <w:r w:rsidRPr="00523D06">
        <w:rPr>
          <w:rFonts w:asciiTheme="majorHAnsi" w:hAnsiTheme="majorHAnsi"/>
        </w:rPr>
        <w:t>In addition to service provision and development cooperation, which other context</w:t>
      </w:r>
      <w:r w:rsidR="00D533C0" w:rsidRPr="00523D06">
        <w:rPr>
          <w:rFonts w:asciiTheme="majorHAnsi" w:hAnsiTheme="majorHAnsi"/>
        </w:rPr>
        <w:t>s</w:t>
      </w:r>
      <w:r w:rsidRPr="00523D06">
        <w:rPr>
          <w:rFonts w:asciiTheme="majorHAnsi" w:hAnsiTheme="majorHAnsi"/>
        </w:rPr>
        <w:t xml:space="preserve"> require more analysis to identify different roles of actors? </w:t>
      </w:r>
    </w:p>
    <w:p w:rsidR="002D3146" w:rsidRPr="00523D06" w:rsidRDefault="00E40D8B" w:rsidP="0001449A">
      <w:pPr>
        <w:pStyle w:val="GradeClara-nfase31"/>
        <w:numPr>
          <w:ilvl w:val="0"/>
          <w:numId w:val="2"/>
        </w:numPr>
        <w:spacing w:after="0" w:line="276" w:lineRule="auto"/>
        <w:rPr>
          <w:rFonts w:asciiTheme="majorHAnsi" w:hAnsiTheme="majorHAnsi"/>
        </w:rPr>
      </w:pPr>
      <w:r w:rsidRPr="00523D06">
        <w:rPr>
          <w:rFonts w:asciiTheme="majorHAnsi" w:hAnsiTheme="majorHAnsi"/>
        </w:rPr>
        <w:t xml:space="preserve">What </w:t>
      </w:r>
      <w:r w:rsidR="002D3146" w:rsidRPr="00523D06">
        <w:rPr>
          <w:rFonts w:asciiTheme="majorHAnsi" w:hAnsiTheme="majorHAnsi"/>
        </w:rPr>
        <w:t>performance standards</w:t>
      </w:r>
      <w:r w:rsidRPr="00523D06">
        <w:rPr>
          <w:rFonts w:asciiTheme="majorHAnsi" w:hAnsiTheme="majorHAnsi"/>
        </w:rPr>
        <w:t xml:space="preserve"> are</w:t>
      </w:r>
      <w:r w:rsidR="002D3146" w:rsidRPr="00523D06">
        <w:rPr>
          <w:rFonts w:asciiTheme="majorHAnsi" w:hAnsiTheme="majorHAnsi"/>
        </w:rPr>
        <w:t xml:space="preserve"> in place to assess the roles and responsibilities of actors?</w:t>
      </w:r>
      <w:r w:rsidRPr="00523D06">
        <w:rPr>
          <w:rFonts w:asciiTheme="majorHAnsi" w:hAnsiTheme="majorHAnsi"/>
        </w:rPr>
        <w:t xml:space="preserve"> </w:t>
      </w:r>
    </w:p>
    <w:p w:rsidR="00E9727A" w:rsidRPr="00523D06" w:rsidRDefault="00E9727A" w:rsidP="00E9727A">
      <w:pPr>
        <w:pStyle w:val="LightGrid-Accent31"/>
        <w:numPr>
          <w:ilvl w:val="0"/>
          <w:numId w:val="2"/>
        </w:numPr>
        <w:spacing w:line="276" w:lineRule="auto"/>
        <w:rPr>
          <w:rFonts w:asciiTheme="majorHAnsi" w:hAnsiTheme="majorHAnsi"/>
        </w:rPr>
      </w:pPr>
      <w:r w:rsidRPr="00523D06">
        <w:rPr>
          <w:rFonts w:asciiTheme="majorHAnsi" w:hAnsiTheme="majorHAnsi"/>
        </w:rPr>
        <w:t xml:space="preserve">What roles can civil </w:t>
      </w:r>
      <w:proofErr w:type="gramStart"/>
      <w:r w:rsidRPr="00523D06">
        <w:rPr>
          <w:rFonts w:asciiTheme="majorHAnsi" w:hAnsiTheme="majorHAnsi"/>
        </w:rPr>
        <w:t>society play</w:t>
      </w:r>
      <w:proofErr w:type="gramEnd"/>
      <w:r w:rsidRPr="00523D06">
        <w:rPr>
          <w:rFonts w:asciiTheme="majorHAnsi" w:hAnsiTheme="majorHAnsi"/>
        </w:rPr>
        <w:t xml:space="preserve"> in monitoring the rights to water and sanitation, how does this positively impact the </w:t>
      </w:r>
      <w:r w:rsidR="00D533C0" w:rsidRPr="00523D06">
        <w:rPr>
          <w:rFonts w:asciiTheme="majorHAnsi" w:hAnsiTheme="majorHAnsi"/>
        </w:rPr>
        <w:t xml:space="preserve">dimension </w:t>
      </w:r>
      <w:r w:rsidRPr="00523D06">
        <w:rPr>
          <w:rFonts w:asciiTheme="majorHAnsi" w:hAnsiTheme="majorHAnsi"/>
        </w:rPr>
        <w:t xml:space="preserve">of </w:t>
      </w:r>
      <w:r w:rsidR="00D533C0" w:rsidRPr="00523D06">
        <w:rPr>
          <w:rFonts w:asciiTheme="majorHAnsi" w:hAnsiTheme="majorHAnsi"/>
        </w:rPr>
        <w:t>responsibility</w:t>
      </w:r>
      <w:r w:rsidRPr="00523D06">
        <w:rPr>
          <w:rFonts w:asciiTheme="majorHAnsi" w:hAnsiTheme="majorHAnsi"/>
        </w:rPr>
        <w:t xml:space="preserve">? </w:t>
      </w:r>
    </w:p>
    <w:p w:rsidR="00D84B7E" w:rsidRPr="00523D06" w:rsidRDefault="00D84B7E" w:rsidP="00D84B7E">
      <w:pPr>
        <w:spacing w:before="300" w:after="200"/>
        <w:jc w:val="both"/>
        <w:rPr>
          <w:rFonts w:asciiTheme="majorHAnsi" w:hAnsiTheme="majorHAnsi"/>
        </w:rPr>
      </w:pPr>
      <w:proofErr w:type="gramStart"/>
      <w:r w:rsidRPr="00523D06">
        <w:rPr>
          <w:rFonts w:asciiTheme="majorHAnsi" w:hAnsiTheme="majorHAnsi"/>
          <w:u w:val="single"/>
        </w:rPr>
        <w:t>Introductory remarks</w:t>
      </w:r>
      <w:r w:rsidRPr="00523D06">
        <w:rPr>
          <w:rFonts w:asciiTheme="majorHAnsi" w:hAnsiTheme="majorHAnsi"/>
        </w:rPr>
        <w:t>: Benjamin Meier on ‘</w:t>
      </w:r>
      <w:r w:rsidR="00884F2A" w:rsidRPr="00523D06">
        <w:rPr>
          <w:rFonts w:asciiTheme="majorHAnsi" w:hAnsiTheme="majorHAnsi"/>
        </w:rPr>
        <w:t xml:space="preserve">roles and </w:t>
      </w:r>
      <w:r w:rsidR="00966255" w:rsidRPr="00523D06">
        <w:rPr>
          <w:rFonts w:asciiTheme="majorHAnsi" w:hAnsiTheme="majorHAnsi"/>
        </w:rPr>
        <w:t>responsibility’ for</w:t>
      </w:r>
      <w:r w:rsidRPr="00523D06">
        <w:rPr>
          <w:rFonts w:asciiTheme="majorHAnsi" w:hAnsiTheme="majorHAnsi"/>
        </w:rPr>
        <w:t xml:space="preserve"> </w:t>
      </w:r>
      <w:r w:rsidR="00966255" w:rsidRPr="00523D06">
        <w:rPr>
          <w:rFonts w:asciiTheme="majorHAnsi" w:hAnsiTheme="majorHAnsi"/>
        </w:rPr>
        <w:t xml:space="preserve">State </w:t>
      </w:r>
      <w:r w:rsidRPr="00523D06">
        <w:rPr>
          <w:rFonts w:asciiTheme="majorHAnsi" w:hAnsiTheme="majorHAnsi"/>
        </w:rPr>
        <w:t>actors (5 min).</w:t>
      </w:r>
      <w:proofErr w:type="gramEnd"/>
      <w:r w:rsidRPr="00523D06">
        <w:rPr>
          <w:rFonts w:asciiTheme="majorHAnsi" w:hAnsiTheme="majorHAnsi"/>
        </w:rPr>
        <w:t xml:space="preserve">  </w:t>
      </w:r>
      <w:proofErr w:type="gramStart"/>
      <w:r w:rsidRPr="00523D06">
        <w:rPr>
          <w:rFonts w:asciiTheme="majorHAnsi" w:hAnsiTheme="majorHAnsi"/>
        </w:rPr>
        <w:t xml:space="preserve">Sean </w:t>
      </w:r>
      <w:proofErr w:type="spellStart"/>
      <w:r w:rsidRPr="00523D06">
        <w:rPr>
          <w:rFonts w:asciiTheme="majorHAnsi" w:hAnsiTheme="majorHAnsi"/>
        </w:rPr>
        <w:t>Furey</w:t>
      </w:r>
      <w:proofErr w:type="spellEnd"/>
      <w:r w:rsidRPr="00523D06">
        <w:rPr>
          <w:rFonts w:asciiTheme="majorHAnsi" w:hAnsiTheme="majorHAnsi"/>
        </w:rPr>
        <w:t xml:space="preserve"> on ‘</w:t>
      </w:r>
      <w:r w:rsidR="00884F2A" w:rsidRPr="00523D06">
        <w:rPr>
          <w:rFonts w:asciiTheme="majorHAnsi" w:hAnsiTheme="majorHAnsi"/>
        </w:rPr>
        <w:t xml:space="preserve">roles and </w:t>
      </w:r>
      <w:r w:rsidRPr="00523D06">
        <w:rPr>
          <w:rFonts w:asciiTheme="majorHAnsi" w:hAnsiTheme="majorHAnsi"/>
        </w:rPr>
        <w:t>responsibility’ for non-State actors (5 min).</w:t>
      </w:r>
      <w:proofErr w:type="gramEnd"/>
    </w:p>
    <w:p w:rsidR="00B64118" w:rsidRPr="00523D06" w:rsidRDefault="00D84B7E" w:rsidP="00373B1A">
      <w:pPr>
        <w:spacing w:before="300" w:after="200"/>
        <w:jc w:val="both"/>
        <w:rPr>
          <w:rFonts w:asciiTheme="majorHAnsi" w:hAnsiTheme="majorHAnsi"/>
        </w:rPr>
      </w:pPr>
      <w:r w:rsidRPr="00523D06">
        <w:rPr>
          <w:rFonts w:asciiTheme="majorHAnsi" w:hAnsiTheme="majorHAnsi"/>
          <w:u w:val="single"/>
        </w:rPr>
        <w:t>Discussion among participants</w:t>
      </w:r>
    </w:p>
    <w:tbl>
      <w:tblPr>
        <w:tblW w:w="0" w:type="auto"/>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4A0" w:firstRow="1" w:lastRow="0" w:firstColumn="1" w:lastColumn="0" w:noHBand="0" w:noVBand="1"/>
      </w:tblPr>
      <w:tblGrid>
        <w:gridCol w:w="7616"/>
        <w:gridCol w:w="1666"/>
      </w:tblGrid>
      <w:tr w:rsidR="00B64118" w:rsidRPr="00523D06" w:rsidTr="00B64118">
        <w:tc>
          <w:tcPr>
            <w:tcW w:w="7621" w:type="dxa"/>
            <w:shd w:val="clear" w:color="auto" w:fill="FDE9D9"/>
          </w:tcPr>
          <w:p w:rsidR="00B64118" w:rsidRPr="00523D06" w:rsidRDefault="00B64118" w:rsidP="00B64118">
            <w:pPr>
              <w:spacing w:beforeLines="40" w:before="96" w:afterLines="40" w:after="96"/>
              <w:rPr>
                <w:rFonts w:asciiTheme="majorHAnsi" w:hAnsiTheme="majorHAnsi"/>
                <w:b/>
                <w:color w:val="365F91"/>
              </w:rPr>
            </w:pPr>
            <w:r w:rsidRPr="00523D06">
              <w:rPr>
                <w:rFonts w:asciiTheme="majorHAnsi" w:hAnsiTheme="majorHAnsi"/>
                <w:b/>
                <w:color w:val="365F91"/>
              </w:rPr>
              <w:t>Lunch break</w:t>
            </w:r>
          </w:p>
        </w:tc>
        <w:tc>
          <w:tcPr>
            <w:tcW w:w="1667" w:type="dxa"/>
            <w:shd w:val="clear" w:color="auto" w:fill="FDE9D9"/>
          </w:tcPr>
          <w:p w:rsidR="00B64118" w:rsidRPr="00523D06" w:rsidRDefault="00884F2A" w:rsidP="00B64118">
            <w:pPr>
              <w:spacing w:beforeLines="40" w:before="96" w:afterLines="40" w:after="96"/>
              <w:rPr>
                <w:rFonts w:asciiTheme="majorHAnsi" w:hAnsiTheme="majorHAnsi"/>
                <w:b/>
                <w:color w:val="365F91"/>
                <w:u w:val="single"/>
              </w:rPr>
            </w:pPr>
            <w:r w:rsidRPr="00523D06">
              <w:rPr>
                <w:rFonts w:asciiTheme="majorHAnsi" w:hAnsiTheme="majorHAnsi"/>
                <w:b/>
                <w:color w:val="365F91"/>
              </w:rPr>
              <w:t>12:30</w:t>
            </w:r>
            <w:r w:rsidR="00B64118" w:rsidRPr="00523D06">
              <w:rPr>
                <w:rFonts w:asciiTheme="majorHAnsi" w:hAnsiTheme="majorHAnsi"/>
                <w:b/>
                <w:color w:val="365F91"/>
              </w:rPr>
              <w:t xml:space="preserve"> – 14:</w:t>
            </w:r>
            <w:r w:rsidRPr="00523D06">
              <w:rPr>
                <w:rFonts w:asciiTheme="majorHAnsi" w:hAnsiTheme="majorHAnsi"/>
                <w:b/>
                <w:color w:val="365F91"/>
              </w:rPr>
              <w:t>00</w:t>
            </w:r>
          </w:p>
        </w:tc>
      </w:tr>
    </w:tbl>
    <w:p w:rsidR="000536E4" w:rsidRPr="00523D06" w:rsidRDefault="000536E4" w:rsidP="00373B1A">
      <w:pPr>
        <w:pStyle w:val="LightGrid-Accent31"/>
        <w:spacing w:line="276" w:lineRule="auto"/>
        <w:ind w:left="0"/>
        <w:rPr>
          <w:rFonts w:asciiTheme="majorHAnsi" w:hAnsiTheme="majorHAnsi"/>
        </w:rPr>
      </w:pPr>
    </w:p>
    <w:tbl>
      <w:tblPr>
        <w:tblW w:w="0" w:type="auto"/>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4A0" w:firstRow="1" w:lastRow="0" w:firstColumn="1" w:lastColumn="0" w:noHBand="0" w:noVBand="1"/>
      </w:tblPr>
      <w:tblGrid>
        <w:gridCol w:w="7581"/>
        <w:gridCol w:w="1661"/>
      </w:tblGrid>
      <w:tr w:rsidR="000536E4" w:rsidRPr="00523D06" w:rsidTr="007F2595">
        <w:tc>
          <w:tcPr>
            <w:tcW w:w="7581" w:type="dxa"/>
            <w:shd w:val="clear" w:color="auto" w:fill="DBE5F1"/>
          </w:tcPr>
          <w:p w:rsidR="000536E4" w:rsidRPr="00523D06" w:rsidRDefault="002B5562" w:rsidP="005B35CA">
            <w:pPr>
              <w:spacing w:beforeLines="40" w:before="96" w:afterLines="40" w:after="96"/>
              <w:rPr>
                <w:rFonts w:asciiTheme="majorHAnsi" w:hAnsiTheme="majorHAnsi"/>
                <w:b/>
                <w:color w:val="365F91"/>
              </w:rPr>
            </w:pPr>
            <w:r w:rsidRPr="00523D06">
              <w:rPr>
                <w:rFonts w:asciiTheme="majorHAnsi" w:hAnsiTheme="majorHAnsi"/>
                <w:b/>
                <w:color w:val="365F91"/>
              </w:rPr>
              <w:t xml:space="preserve">SESSION </w:t>
            </w:r>
            <w:r w:rsidR="005B35CA" w:rsidRPr="00523D06">
              <w:rPr>
                <w:rFonts w:asciiTheme="majorHAnsi" w:hAnsiTheme="majorHAnsi"/>
                <w:b/>
                <w:color w:val="365F91"/>
              </w:rPr>
              <w:t>2</w:t>
            </w:r>
            <w:r w:rsidR="000536E4" w:rsidRPr="00523D06">
              <w:rPr>
                <w:rFonts w:asciiTheme="majorHAnsi" w:hAnsiTheme="majorHAnsi"/>
                <w:b/>
                <w:color w:val="365F91"/>
              </w:rPr>
              <w:t xml:space="preserve">:  </w:t>
            </w:r>
            <w:r w:rsidR="001B557C" w:rsidRPr="00523D06">
              <w:rPr>
                <w:rFonts w:asciiTheme="majorHAnsi" w:hAnsiTheme="majorHAnsi"/>
                <w:b/>
                <w:color w:val="365F91"/>
              </w:rPr>
              <w:t>‘</w:t>
            </w:r>
            <w:r w:rsidR="000536E4" w:rsidRPr="00523D06">
              <w:rPr>
                <w:rFonts w:asciiTheme="majorHAnsi" w:hAnsiTheme="majorHAnsi"/>
                <w:b/>
                <w:color w:val="365F91"/>
              </w:rPr>
              <w:t>Answerability</w:t>
            </w:r>
            <w:r w:rsidR="001B557C" w:rsidRPr="00523D06">
              <w:rPr>
                <w:rFonts w:asciiTheme="majorHAnsi" w:hAnsiTheme="majorHAnsi"/>
                <w:b/>
                <w:color w:val="365F91"/>
              </w:rPr>
              <w:t>’</w:t>
            </w:r>
            <w:r w:rsidR="000536E4" w:rsidRPr="00523D06">
              <w:rPr>
                <w:rFonts w:asciiTheme="majorHAnsi" w:hAnsiTheme="majorHAnsi"/>
                <w:b/>
                <w:color w:val="365F91"/>
              </w:rPr>
              <w:t xml:space="preserve"> as a dimension of accountability </w:t>
            </w:r>
          </w:p>
        </w:tc>
        <w:tc>
          <w:tcPr>
            <w:tcW w:w="1661" w:type="dxa"/>
            <w:shd w:val="clear" w:color="auto" w:fill="DBE5F1"/>
          </w:tcPr>
          <w:p w:rsidR="000536E4" w:rsidRPr="00523D06" w:rsidRDefault="00884F2A" w:rsidP="007F2595">
            <w:pPr>
              <w:spacing w:beforeLines="40" w:before="96" w:afterLines="40" w:after="96"/>
              <w:rPr>
                <w:rFonts w:asciiTheme="majorHAnsi" w:hAnsiTheme="majorHAnsi"/>
                <w:b/>
                <w:color w:val="365F91"/>
                <w:u w:val="single"/>
              </w:rPr>
            </w:pPr>
            <w:r w:rsidRPr="00523D06">
              <w:rPr>
                <w:rFonts w:asciiTheme="majorHAnsi" w:hAnsiTheme="majorHAnsi"/>
                <w:b/>
                <w:color w:val="365F91"/>
              </w:rPr>
              <w:t>14:00</w:t>
            </w:r>
            <w:r w:rsidR="002D3146" w:rsidRPr="00523D06">
              <w:rPr>
                <w:rFonts w:asciiTheme="majorHAnsi" w:hAnsiTheme="majorHAnsi"/>
                <w:b/>
                <w:color w:val="365F91"/>
              </w:rPr>
              <w:t xml:space="preserve"> – 16: 00</w:t>
            </w:r>
            <w:r w:rsidR="000536E4" w:rsidRPr="00523D06">
              <w:rPr>
                <w:rFonts w:asciiTheme="majorHAnsi" w:hAnsiTheme="majorHAnsi"/>
                <w:b/>
                <w:color w:val="365F91"/>
              </w:rPr>
              <w:t xml:space="preserve"> </w:t>
            </w:r>
          </w:p>
        </w:tc>
      </w:tr>
    </w:tbl>
    <w:p w:rsidR="0076096D" w:rsidRPr="00523D06" w:rsidRDefault="0076096D" w:rsidP="0076096D">
      <w:pPr>
        <w:spacing w:line="276" w:lineRule="auto"/>
        <w:rPr>
          <w:rFonts w:asciiTheme="majorHAnsi" w:hAnsiTheme="majorHAnsi"/>
        </w:rPr>
      </w:pPr>
    </w:p>
    <w:p w:rsidR="00596967" w:rsidRPr="00523D06" w:rsidRDefault="0079174C" w:rsidP="00E9727A">
      <w:pPr>
        <w:spacing w:line="276" w:lineRule="auto"/>
        <w:jc w:val="both"/>
        <w:rPr>
          <w:rFonts w:asciiTheme="majorHAnsi" w:hAnsiTheme="majorHAnsi"/>
        </w:rPr>
      </w:pPr>
      <w:r w:rsidRPr="00523D06">
        <w:rPr>
          <w:rFonts w:asciiTheme="majorHAnsi" w:hAnsiTheme="majorHAnsi"/>
        </w:rPr>
        <w:t xml:space="preserve">‘Answerability’ as element of accountability requires that </w:t>
      </w:r>
      <w:r w:rsidR="00E40D8B" w:rsidRPr="00523D06">
        <w:rPr>
          <w:rFonts w:asciiTheme="majorHAnsi" w:hAnsiTheme="majorHAnsi"/>
        </w:rPr>
        <w:t xml:space="preserve">actors provide explanations and reasoned </w:t>
      </w:r>
      <w:r w:rsidRPr="00523D06">
        <w:rPr>
          <w:rFonts w:asciiTheme="majorHAnsi" w:hAnsiTheme="majorHAnsi"/>
        </w:rPr>
        <w:t>justifications for thei</w:t>
      </w:r>
      <w:r w:rsidR="00E40D8B" w:rsidRPr="00523D06">
        <w:rPr>
          <w:rFonts w:asciiTheme="majorHAnsi" w:hAnsiTheme="majorHAnsi"/>
        </w:rPr>
        <w:t>r actions and decisions to the people affected by as well as</w:t>
      </w:r>
      <w:r w:rsidRPr="00523D06">
        <w:rPr>
          <w:rFonts w:asciiTheme="majorHAnsi" w:hAnsiTheme="majorHAnsi"/>
        </w:rPr>
        <w:t xml:space="preserve"> the public at large and to institutions mandated to provide oversight. </w:t>
      </w:r>
    </w:p>
    <w:p w:rsidR="008003CD" w:rsidRPr="00523D06" w:rsidRDefault="0079174C" w:rsidP="008003CD">
      <w:pPr>
        <w:spacing w:line="276" w:lineRule="auto"/>
        <w:jc w:val="both"/>
        <w:rPr>
          <w:rFonts w:asciiTheme="majorHAnsi" w:hAnsiTheme="majorHAnsi"/>
        </w:rPr>
      </w:pPr>
      <w:r w:rsidRPr="00523D06">
        <w:rPr>
          <w:rFonts w:asciiTheme="majorHAnsi" w:hAnsiTheme="majorHAnsi"/>
        </w:rPr>
        <w:t xml:space="preserve">Monitoring and evaluating the implementation of policies and plans is central to ensuring </w:t>
      </w:r>
      <w:r w:rsidR="00E40D8B" w:rsidRPr="00523D06">
        <w:rPr>
          <w:rFonts w:asciiTheme="majorHAnsi" w:hAnsiTheme="majorHAnsi"/>
        </w:rPr>
        <w:t xml:space="preserve">States to </w:t>
      </w:r>
      <w:r w:rsidRPr="00523D06">
        <w:rPr>
          <w:rFonts w:asciiTheme="majorHAnsi" w:hAnsiTheme="majorHAnsi"/>
        </w:rPr>
        <w:t xml:space="preserve">explain their policy directions and is a prerequisite </w:t>
      </w:r>
      <w:r w:rsidR="00E40D8B" w:rsidRPr="00523D06">
        <w:rPr>
          <w:rFonts w:asciiTheme="majorHAnsi" w:hAnsiTheme="majorHAnsi"/>
        </w:rPr>
        <w:t>element to hold</w:t>
      </w:r>
      <w:r w:rsidRPr="00523D06">
        <w:rPr>
          <w:rFonts w:asciiTheme="majorHAnsi" w:hAnsiTheme="majorHAnsi"/>
        </w:rPr>
        <w:t xml:space="preserve"> States and other actors accountable for violations of, and progress in realising the human rights to water and sanitation. </w:t>
      </w:r>
      <w:r w:rsidR="00596967" w:rsidRPr="00523D06">
        <w:rPr>
          <w:rFonts w:asciiTheme="majorHAnsi" w:hAnsiTheme="majorHAnsi"/>
        </w:rPr>
        <w:t xml:space="preserve">Service providers can implement internal monitoring and evaluation structures for facilitating accountability, including performance and impact assessments. </w:t>
      </w:r>
      <w:r w:rsidR="008003CD" w:rsidRPr="00523D06">
        <w:rPr>
          <w:rFonts w:asciiTheme="majorHAnsi" w:hAnsiTheme="majorHAnsi"/>
        </w:rPr>
        <w:t xml:space="preserve">These constitute valuable sources of information for both the State and rights-holders affected by the </w:t>
      </w:r>
      <w:r w:rsidR="00CC1F00" w:rsidRPr="00523D06">
        <w:rPr>
          <w:rFonts w:asciiTheme="majorHAnsi" w:hAnsiTheme="majorHAnsi"/>
        </w:rPr>
        <w:t>provider</w:t>
      </w:r>
      <w:r w:rsidR="008003CD" w:rsidRPr="00523D06">
        <w:rPr>
          <w:rFonts w:asciiTheme="majorHAnsi" w:hAnsiTheme="majorHAnsi"/>
        </w:rPr>
        <w:t xml:space="preserve">’ performance, giving insights on whether performance is in line with, and contributes to fulfilling the human rights to water and sanitation. </w:t>
      </w:r>
      <w:r w:rsidR="008003CD" w:rsidRPr="00523D06" w:rsidDel="00E97D30">
        <w:rPr>
          <w:rFonts w:asciiTheme="majorHAnsi" w:hAnsiTheme="majorHAnsi"/>
        </w:rPr>
        <w:t xml:space="preserve"> </w:t>
      </w:r>
      <w:r w:rsidR="008003CD" w:rsidRPr="00523D06">
        <w:rPr>
          <w:rFonts w:asciiTheme="majorHAnsi" w:hAnsiTheme="majorHAnsi"/>
        </w:rPr>
        <w:t>Internal monitoring and evaluation structures for facilitating accountability</w:t>
      </w:r>
      <w:r w:rsidR="008003CD" w:rsidRPr="00523D06" w:rsidDel="00E97D30">
        <w:rPr>
          <w:rFonts w:asciiTheme="majorHAnsi" w:hAnsiTheme="majorHAnsi"/>
        </w:rPr>
        <w:t xml:space="preserve"> </w:t>
      </w:r>
      <w:r w:rsidR="008003CD" w:rsidRPr="00523D06">
        <w:rPr>
          <w:rFonts w:asciiTheme="majorHAnsi" w:hAnsiTheme="majorHAnsi"/>
        </w:rPr>
        <w:t>may include approaches in which non-state actors assess and report on its performance through stakeholder dialogues.</w:t>
      </w:r>
      <w:r w:rsidR="008003CD" w:rsidRPr="00523D06">
        <w:rPr>
          <w:rStyle w:val="FootnoteReference"/>
          <w:rFonts w:asciiTheme="majorHAnsi" w:hAnsiTheme="majorHAnsi"/>
        </w:rPr>
        <w:footnoteReference w:id="4"/>
      </w:r>
      <w:r w:rsidR="008003CD" w:rsidRPr="00523D06">
        <w:rPr>
          <w:rFonts w:asciiTheme="majorHAnsi" w:hAnsiTheme="majorHAnsi"/>
        </w:rPr>
        <w:t xml:space="preserve"> </w:t>
      </w:r>
    </w:p>
    <w:p w:rsidR="008003CD" w:rsidRPr="00523D06" w:rsidRDefault="008003CD" w:rsidP="008003CD">
      <w:pPr>
        <w:spacing w:line="276" w:lineRule="auto"/>
        <w:rPr>
          <w:rFonts w:asciiTheme="majorHAnsi" w:eastAsia="Times New Roman" w:hAnsiTheme="majorHAnsi"/>
        </w:rPr>
      </w:pPr>
      <w:r w:rsidRPr="00523D06">
        <w:rPr>
          <w:rFonts w:asciiTheme="majorHAnsi" w:eastAsia="Times New Roman" w:hAnsiTheme="majorHAnsi"/>
        </w:rPr>
        <w:t xml:space="preserve">Transparency, access to information and participation are another set of essential elements that must be present for actors to fulfil the answerability dimension of accountability.  </w:t>
      </w:r>
      <w:r w:rsidRPr="00523D06">
        <w:rPr>
          <w:rFonts w:asciiTheme="majorHAnsi" w:hAnsiTheme="majorHAnsi"/>
        </w:rPr>
        <w:t xml:space="preserve">These elements enable rights-holders to assess whether justifications are reasonable and voice their opinions. Actors must therefore ensure active, free and meaningful participation of rights-holders </w:t>
      </w:r>
      <w:r w:rsidRPr="00523D06">
        <w:rPr>
          <w:rFonts w:asciiTheme="majorHAnsi" w:eastAsia="Times New Roman" w:hAnsiTheme="majorHAnsi"/>
        </w:rPr>
        <w:t>in decision-making on policies and plans that impact the realisation of the rights to water and sanitation.</w:t>
      </w:r>
    </w:p>
    <w:p w:rsidR="00832C20" w:rsidRPr="00523D06" w:rsidRDefault="00832C20">
      <w:pPr>
        <w:spacing w:after="0" w:line="240" w:lineRule="auto"/>
        <w:rPr>
          <w:rFonts w:asciiTheme="majorHAnsi" w:hAnsiTheme="majorHAnsi"/>
          <w:u w:val="single"/>
        </w:rPr>
      </w:pPr>
      <w:r w:rsidRPr="00523D06">
        <w:rPr>
          <w:rFonts w:asciiTheme="majorHAnsi" w:hAnsiTheme="majorHAnsi"/>
          <w:u w:val="single"/>
        </w:rPr>
        <w:br w:type="page"/>
      </w:r>
    </w:p>
    <w:p w:rsidR="008003CD" w:rsidRPr="00523D06" w:rsidRDefault="008003CD" w:rsidP="008003CD">
      <w:pPr>
        <w:spacing w:line="276" w:lineRule="auto"/>
        <w:rPr>
          <w:rFonts w:asciiTheme="majorHAnsi" w:hAnsiTheme="majorHAnsi"/>
          <w:u w:val="single"/>
        </w:rPr>
      </w:pPr>
      <w:r w:rsidRPr="00523D06">
        <w:rPr>
          <w:rFonts w:asciiTheme="majorHAnsi" w:hAnsiTheme="majorHAnsi"/>
          <w:u w:val="single"/>
        </w:rPr>
        <w:lastRenderedPageBreak/>
        <w:t>Guiding questions:</w:t>
      </w:r>
    </w:p>
    <w:p w:rsidR="00832C20" w:rsidRPr="00523D06" w:rsidRDefault="008003CD" w:rsidP="00832C20">
      <w:pPr>
        <w:numPr>
          <w:ilvl w:val="0"/>
          <w:numId w:val="3"/>
        </w:numPr>
        <w:spacing w:line="276" w:lineRule="auto"/>
        <w:contextualSpacing/>
        <w:rPr>
          <w:rFonts w:asciiTheme="majorHAnsi" w:hAnsiTheme="majorHAnsi"/>
        </w:rPr>
      </w:pPr>
      <w:r w:rsidRPr="00523D06">
        <w:rPr>
          <w:rFonts w:asciiTheme="majorHAnsi" w:hAnsiTheme="majorHAnsi"/>
        </w:rPr>
        <w:t>What are practical examples where the role of monitoring contributed to ensuring a</w:t>
      </w:r>
      <w:r w:rsidR="00CC1F00" w:rsidRPr="00523D06">
        <w:rPr>
          <w:rFonts w:asciiTheme="majorHAnsi" w:hAnsiTheme="majorHAnsi"/>
        </w:rPr>
        <w:t>nswerability</w:t>
      </w:r>
      <w:r w:rsidRPr="00523D06">
        <w:rPr>
          <w:rFonts w:asciiTheme="majorHAnsi" w:hAnsiTheme="majorHAnsi"/>
        </w:rPr>
        <w:t xml:space="preserve"> of actors responsible for the realization of the human rights to safe drinking water and sanitation? What type of institution</w:t>
      </w:r>
      <w:r w:rsidR="00CC1F00" w:rsidRPr="00523D06">
        <w:rPr>
          <w:rFonts w:asciiTheme="majorHAnsi" w:hAnsiTheme="majorHAnsi"/>
        </w:rPr>
        <w:t xml:space="preserve"> i</w:t>
      </w:r>
      <w:r w:rsidRPr="00523D06">
        <w:rPr>
          <w:rFonts w:asciiTheme="majorHAnsi" w:hAnsiTheme="majorHAnsi"/>
        </w:rPr>
        <w:t xml:space="preserve">s best placed to undertake this role? </w:t>
      </w:r>
    </w:p>
    <w:p w:rsidR="00832C20" w:rsidRPr="00523D06" w:rsidRDefault="008003CD" w:rsidP="00832C20">
      <w:pPr>
        <w:numPr>
          <w:ilvl w:val="0"/>
          <w:numId w:val="3"/>
        </w:numPr>
        <w:spacing w:line="276" w:lineRule="auto"/>
        <w:contextualSpacing/>
        <w:rPr>
          <w:rFonts w:asciiTheme="majorHAnsi" w:hAnsiTheme="majorHAnsi"/>
        </w:rPr>
      </w:pPr>
      <w:r w:rsidRPr="00523D06">
        <w:rPr>
          <w:rFonts w:asciiTheme="majorHAnsi" w:hAnsiTheme="majorHAnsi"/>
        </w:rPr>
        <w:t xml:space="preserve">What are practical examples and ways </w:t>
      </w:r>
      <w:r w:rsidR="00CC1F00" w:rsidRPr="00523D06">
        <w:rPr>
          <w:rFonts w:asciiTheme="majorHAnsi" w:hAnsiTheme="majorHAnsi"/>
        </w:rPr>
        <w:t>in which</w:t>
      </w:r>
      <w:r w:rsidRPr="00523D06">
        <w:rPr>
          <w:rFonts w:asciiTheme="majorHAnsi" w:hAnsiTheme="majorHAnsi"/>
        </w:rPr>
        <w:t xml:space="preserve"> the right to information influence</w:t>
      </w:r>
      <w:r w:rsidR="00CC1F00" w:rsidRPr="00523D06">
        <w:rPr>
          <w:rFonts w:asciiTheme="majorHAnsi" w:hAnsiTheme="majorHAnsi"/>
        </w:rPr>
        <w:t>s</w:t>
      </w:r>
      <w:r w:rsidRPr="00523D06">
        <w:rPr>
          <w:rFonts w:asciiTheme="majorHAnsi" w:hAnsiTheme="majorHAnsi"/>
        </w:rPr>
        <w:t xml:space="preserve"> a</w:t>
      </w:r>
      <w:r w:rsidR="00CC1F00" w:rsidRPr="00523D06">
        <w:rPr>
          <w:rFonts w:asciiTheme="majorHAnsi" w:hAnsiTheme="majorHAnsi"/>
        </w:rPr>
        <w:t>nswerability</w:t>
      </w:r>
      <w:r w:rsidRPr="00523D06">
        <w:rPr>
          <w:rFonts w:asciiTheme="majorHAnsi" w:hAnsiTheme="majorHAnsi"/>
        </w:rPr>
        <w:t xml:space="preserve">, and what are common challenges observed for realizing access to information that </w:t>
      </w:r>
      <w:r w:rsidR="00CC1F00" w:rsidRPr="00523D06">
        <w:rPr>
          <w:rFonts w:asciiTheme="majorHAnsi" w:hAnsiTheme="majorHAnsi"/>
        </w:rPr>
        <w:t>hampers</w:t>
      </w:r>
      <w:r w:rsidRPr="00523D06">
        <w:rPr>
          <w:rFonts w:asciiTheme="majorHAnsi" w:hAnsiTheme="majorHAnsi"/>
        </w:rPr>
        <w:t xml:space="preserve"> holding actors accountable? </w:t>
      </w:r>
    </w:p>
    <w:p w:rsidR="00832C20" w:rsidRPr="00523D06" w:rsidRDefault="008003CD" w:rsidP="00832C20">
      <w:pPr>
        <w:numPr>
          <w:ilvl w:val="0"/>
          <w:numId w:val="3"/>
        </w:numPr>
        <w:spacing w:line="276" w:lineRule="auto"/>
        <w:contextualSpacing/>
        <w:rPr>
          <w:rFonts w:asciiTheme="majorHAnsi" w:hAnsiTheme="majorHAnsi"/>
        </w:rPr>
      </w:pPr>
      <w:r w:rsidRPr="00523D06">
        <w:rPr>
          <w:rFonts w:asciiTheme="majorHAnsi" w:hAnsiTheme="majorHAnsi"/>
        </w:rPr>
        <w:t xml:space="preserve">What are practical examples </w:t>
      </w:r>
      <w:r w:rsidR="00CC1F00" w:rsidRPr="00523D06">
        <w:rPr>
          <w:rFonts w:asciiTheme="majorHAnsi" w:hAnsiTheme="majorHAnsi"/>
        </w:rPr>
        <w:t xml:space="preserve">in the water and sanitation sector </w:t>
      </w:r>
      <w:r w:rsidRPr="00523D06">
        <w:rPr>
          <w:rFonts w:asciiTheme="majorHAnsi" w:hAnsiTheme="majorHAnsi"/>
        </w:rPr>
        <w:t>of explanations and reasoned justifications of actions and decisions provided by actors to the people affected by</w:t>
      </w:r>
      <w:r w:rsidR="00CC1F00" w:rsidRPr="00523D06">
        <w:rPr>
          <w:rFonts w:asciiTheme="majorHAnsi" w:hAnsiTheme="majorHAnsi"/>
        </w:rPr>
        <w:t>,</w:t>
      </w:r>
      <w:r w:rsidRPr="00523D06">
        <w:rPr>
          <w:rFonts w:asciiTheme="majorHAnsi" w:hAnsiTheme="majorHAnsi"/>
        </w:rPr>
        <w:t xml:space="preserve"> as well as </w:t>
      </w:r>
      <w:r w:rsidR="00CC1F00" w:rsidRPr="00523D06">
        <w:rPr>
          <w:rFonts w:asciiTheme="majorHAnsi" w:hAnsiTheme="majorHAnsi"/>
        </w:rPr>
        <w:t xml:space="preserve">to </w:t>
      </w:r>
      <w:r w:rsidRPr="00523D06">
        <w:rPr>
          <w:rFonts w:asciiTheme="majorHAnsi" w:hAnsiTheme="majorHAnsi"/>
        </w:rPr>
        <w:t>the public at large and to institutions mandated to provide oversight?</w:t>
      </w:r>
    </w:p>
    <w:p w:rsidR="008003CD" w:rsidRPr="00523D06" w:rsidRDefault="008003CD" w:rsidP="00832C20">
      <w:pPr>
        <w:numPr>
          <w:ilvl w:val="0"/>
          <w:numId w:val="3"/>
        </w:numPr>
        <w:spacing w:line="276" w:lineRule="auto"/>
        <w:contextualSpacing/>
        <w:rPr>
          <w:rFonts w:asciiTheme="majorHAnsi" w:hAnsiTheme="majorHAnsi"/>
        </w:rPr>
      </w:pPr>
      <w:r w:rsidRPr="00523D06">
        <w:rPr>
          <w:rFonts w:asciiTheme="majorHAnsi" w:hAnsiTheme="majorHAnsi"/>
        </w:rPr>
        <w:t xml:space="preserve">Are there any additional elements that can contribute to implementing the ‘answerability’ dimension of the principle of accountability?  </w:t>
      </w:r>
    </w:p>
    <w:p w:rsidR="00832C20" w:rsidRPr="00523D06" w:rsidRDefault="008003CD" w:rsidP="00832C20">
      <w:pPr>
        <w:numPr>
          <w:ilvl w:val="0"/>
          <w:numId w:val="3"/>
        </w:numPr>
        <w:spacing w:line="276" w:lineRule="auto"/>
        <w:contextualSpacing/>
        <w:rPr>
          <w:rFonts w:asciiTheme="majorHAnsi" w:hAnsiTheme="majorHAnsi"/>
        </w:rPr>
      </w:pPr>
      <w:r w:rsidRPr="00523D06">
        <w:rPr>
          <w:rFonts w:asciiTheme="majorHAnsi" w:hAnsiTheme="majorHAnsi"/>
        </w:rPr>
        <w:t xml:space="preserve">How should informal service providers </w:t>
      </w:r>
      <w:r w:rsidR="00CC1F00" w:rsidRPr="00523D06">
        <w:rPr>
          <w:rFonts w:asciiTheme="majorHAnsi" w:hAnsiTheme="majorHAnsi"/>
        </w:rPr>
        <w:t>give</w:t>
      </w:r>
      <w:r w:rsidRPr="00523D06">
        <w:rPr>
          <w:rFonts w:asciiTheme="majorHAnsi" w:hAnsiTheme="majorHAnsi"/>
        </w:rPr>
        <w:t xml:space="preserve"> explanations and reasoned justifications for their actions and decisions to users and towards the State regarding violations and the progressive realization of the human rights to water and sanitation? </w:t>
      </w:r>
    </w:p>
    <w:p w:rsidR="00832C20" w:rsidRPr="00523D06" w:rsidRDefault="008003CD" w:rsidP="00832C20">
      <w:pPr>
        <w:numPr>
          <w:ilvl w:val="0"/>
          <w:numId w:val="3"/>
        </w:numPr>
        <w:spacing w:line="276" w:lineRule="auto"/>
        <w:contextualSpacing/>
        <w:rPr>
          <w:rFonts w:asciiTheme="majorHAnsi" w:hAnsiTheme="majorHAnsi"/>
        </w:rPr>
      </w:pPr>
      <w:r w:rsidRPr="00523D06">
        <w:rPr>
          <w:rFonts w:asciiTheme="majorHAnsi" w:hAnsiTheme="majorHAnsi"/>
        </w:rPr>
        <w:t xml:space="preserve">What are the greatest challenges observed in ensuring answerability dimension of accountability? </w:t>
      </w:r>
    </w:p>
    <w:p w:rsidR="008003CD" w:rsidRPr="00523D06" w:rsidRDefault="008003CD" w:rsidP="00832C20">
      <w:pPr>
        <w:numPr>
          <w:ilvl w:val="0"/>
          <w:numId w:val="3"/>
        </w:numPr>
        <w:spacing w:line="276" w:lineRule="auto"/>
        <w:contextualSpacing/>
        <w:rPr>
          <w:rFonts w:asciiTheme="majorHAnsi" w:hAnsiTheme="majorHAnsi"/>
        </w:rPr>
      </w:pPr>
      <w:r w:rsidRPr="00523D06">
        <w:rPr>
          <w:rFonts w:asciiTheme="majorHAnsi" w:hAnsiTheme="majorHAnsi"/>
        </w:rPr>
        <w:t>In which ways has the participation of civil society organisations led to improved a</w:t>
      </w:r>
      <w:r w:rsidR="00CC1F00" w:rsidRPr="00523D06">
        <w:rPr>
          <w:rFonts w:asciiTheme="majorHAnsi" w:hAnsiTheme="majorHAnsi"/>
        </w:rPr>
        <w:t>nswerability</w:t>
      </w:r>
      <w:r w:rsidRPr="00523D06">
        <w:rPr>
          <w:rFonts w:asciiTheme="majorHAnsi" w:hAnsiTheme="majorHAnsi"/>
        </w:rPr>
        <w:t xml:space="preserve"> for the realization of the human rights to water and sanitation? </w:t>
      </w:r>
    </w:p>
    <w:p w:rsidR="008003CD" w:rsidRPr="00523D06" w:rsidRDefault="008003CD" w:rsidP="008003CD">
      <w:pPr>
        <w:spacing w:before="300" w:after="200"/>
        <w:jc w:val="both"/>
        <w:rPr>
          <w:rFonts w:asciiTheme="majorHAnsi" w:hAnsiTheme="majorHAnsi"/>
        </w:rPr>
      </w:pPr>
      <w:r w:rsidRPr="00523D06">
        <w:rPr>
          <w:rFonts w:asciiTheme="majorHAnsi" w:hAnsiTheme="majorHAnsi"/>
          <w:u w:val="single"/>
        </w:rPr>
        <w:t>Introductory remarks</w:t>
      </w:r>
      <w:r w:rsidRPr="00523D06">
        <w:rPr>
          <w:rFonts w:asciiTheme="majorHAnsi" w:hAnsiTheme="majorHAnsi"/>
        </w:rPr>
        <w:t xml:space="preserve">: </w:t>
      </w:r>
      <w:r w:rsidR="00FE6248" w:rsidRPr="00523D06">
        <w:rPr>
          <w:rFonts w:asciiTheme="majorHAnsi" w:hAnsiTheme="majorHAnsi"/>
        </w:rPr>
        <w:t xml:space="preserve">Al-Hassan Adam </w:t>
      </w:r>
      <w:r w:rsidRPr="00523D06">
        <w:rPr>
          <w:rFonts w:asciiTheme="majorHAnsi" w:hAnsiTheme="majorHAnsi"/>
        </w:rPr>
        <w:t>(5 min)</w:t>
      </w:r>
      <w:r w:rsidRPr="00523D06">
        <w:rPr>
          <w:rFonts w:asciiTheme="majorHAnsi" w:hAnsiTheme="majorHAnsi"/>
          <w:u w:val="single"/>
        </w:rPr>
        <w:t xml:space="preserve"> </w:t>
      </w:r>
    </w:p>
    <w:p w:rsidR="008003CD" w:rsidRPr="00523D06" w:rsidRDefault="008003CD" w:rsidP="008003CD">
      <w:pPr>
        <w:spacing w:before="300" w:after="200"/>
        <w:jc w:val="both"/>
        <w:rPr>
          <w:rFonts w:asciiTheme="majorHAnsi" w:hAnsiTheme="majorHAnsi"/>
          <w:u w:val="single"/>
        </w:rPr>
      </w:pPr>
      <w:r w:rsidRPr="00523D06">
        <w:rPr>
          <w:rFonts w:asciiTheme="majorHAnsi" w:hAnsiTheme="majorHAnsi"/>
          <w:u w:val="single"/>
        </w:rPr>
        <w:t>Discussion among participants</w:t>
      </w:r>
    </w:p>
    <w:tbl>
      <w:tblPr>
        <w:tblW w:w="0" w:type="auto"/>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4A0" w:firstRow="1" w:lastRow="0" w:firstColumn="1" w:lastColumn="0" w:noHBand="0" w:noVBand="1"/>
      </w:tblPr>
      <w:tblGrid>
        <w:gridCol w:w="7616"/>
        <w:gridCol w:w="1666"/>
      </w:tblGrid>
      <w:tr w:rsidR="008003CD" w:rsidRPr="00523D06" w:rsidTr="005E7426">
        <w:tc>
          <w:tcPr>
            <w:tcW w:w="7621" w:type="dxa"/>
            <w:shd w:val="clear" w:color="auto" w:fill="FDE9D9"/>
          </w:tcPr>
          <w:p w:rsidR="008003CD" w:rsidRPr="00523D06" w:rsidRDefault="008003CD" w:rsidP="005E7426">
            <w:pPr>
              <w:spacing w:beforeLines="40" w:before="96" w:afterLines="40" w:after="96"/>
              <w:rPr>
                <w:rFonts w:asciiTheme="majorHAnsi" w:hAnsiTheme="majorHAnsi"/>
                <w:b/>
                <w:color w:val="365F91"/>
              </w:rPr>
            </w:pPr>
            <w:r w:rsidRPr="00523D06">
              <w:rPr>
                <w:rFonts w:asciiTheme="majorHAnsi" w:hAnsiTheme="majorHAnsi"/>
                <w:b/>
                <w:color w:val="365F91"/>
              </w:rPr>
              <w:t>Coffee Break</w:t>
            </w:r>
          </w:p>
        </w:tc>
        <w:tc>
          <w:tcPr>
            <w:tcW w:w="1667" w:type="dxa"/>
            <w:shd w:val="clear" w:color="auto" w:fill="FDE9D9"/>
          </w:tcPr>
          <w:p w:rsidR="008003CD" w:rsidRPr="00523D06" w:rsidRDefault="008003CD" w:rsidP="005E7426">
            <w:pPr>
              <w:spacing w:beforeLines="40" w:before="96" w:afterLines="40" w:after="96"/>
              <w:rPr>
                <w:rFonts w:asciiTheme="majorHAnsi" w:hAnsiTheme="majorHAnsi"/>
                <w:b/>
                <w:color w:val="365F91"/>
                <w:u w:val="single"/>
              </w:rPr>
            </w:pPr>
            <w:r w:rsidRPr="00523D06">
              <w:rPr>
                <w:rFonts w:asciiTheme="majorHAnsi" w:hAnsiTheme="majorHAnsi"/>
                <w:b/>
                <w:color w:val="365F91"/>
              </w:rPr>
              <w:t>15:45 – 16:00</w:t>
            </w:r>
          </w:p>
        </w:tc>
      </w:tr>
    </w:tbl>
    <w:p w:rsidR="008003CD" w:rsidRPr="00523D06" w:rsidRDefault="008003CD" w:rsidP="008003CD">
      <w:pPr>
        <w:spacing w:line="276" w:lineRule="auto"/>
        <w:rPr>
          <w:rFonts w:asciiTheme="majorHAnsi" w:hAnsiTheme="majorHAnsi"/>
        </w:rPr>
      </w:pPr>
    </w:p>
    <w:tbl>
      <w:tblPr>
        <w:tblW w:w="0" w:type="auto"/>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4A0" w:firstRow="1" w:lastRow="0" w:firstColumn="1" w:lastColumn="0" w:noHBand="0" w:noVBand="1"/>
      </w:tblPr>
      <w:tblGrid>
        <w:gridCol w:w="7581"/>
        <w:gridCol w:w="1661"/>
      </w:tblGrid>
      <w:tr w:rsidR="008003CD" w:rsidRPr="00523D06" w:rsidTr="005E7426">
        <w:tc>
          <w:tcPr>
            <w:tcW w:w="7581" w:type="dxa"/>
            <w:shd w:val="clear" w:color="auto" w:fill="DBE5F1"/>
          </w:tcPr>
          <w:p w:rsidR="008003CD" w:rsidRPr="00523D06" w:rsidRDefault="008003CD" w:rsidP="005E7426">
            <w:pPr>
              <w:spacing w:beforeLines="40" w:before="96" w:afterLines="40" w:after="96"/>
              <w:rPr>
                <w:rFonts w:asciiTheme="majorHAnsi" w:hAnsiTheme="majorHAnsi"/>
                <w:b/>
                <w:color w:val="365F91"/>
              </w:rPr>
            </w:pPr>
            <w:r w:rsidRPr="00523D06">
              <w:rPr>
                <w:rFonts w:asciiTheme="majorHAnsi" w:hAnsiTheme="majorHAnsi"/>
                <w:b/>
                <w:color w:val="365F91"/>
              </w:rPr>
              <w:t xml:space="preserve">SESSION 3: ‘Enforceability’ as a dimension of accountability </w:t>
            </w:r>
          </w:p>
        </w:tc>
        <w:tc>
          <w:tcPr>
            <w:tcW w:w="1661" w:type="dxa"/>
            <w:shd w:val="clear" w:color="auto" w:fill="DBE5F1"/>
          </w:tcPr>
          <w:p w:rsidR="008003CD" w:rsidRPr="00523D06" w:rsidRDefault="008003CD" w:rsidP="005E7426">
            <w:pPr>
              <w:spacing w:beforeLines="40" w:before="96" w:afterLines="40" w:after="96"/>
              <w:rPr>
                <w:rFonts w:asciiTheme="majorHAnsi" w:hAnsiTheme="majorHAnsi"/>
                <w:b/>
                <w:color w:val="365F91"/>
                <w:u w:val="single"/>
              </w:rPr>
            </w:pPr>
            <w:r w:rsidRPr="00523D06">
              <w:rPr>
                <w:rFonts w:asciiTheme="majorHAnsi" w:hAnsiTheme="majorHAnsi"/>
                <w:b/>
                <w:color w:val="365F91"/>
              </w:rPr>
              <w:t xml:space="preserve">16:00 – 18:00 </w:t>
            </w:r>
          </w:p>
        </w:tc>
      </w:tr>
    </w:tbl>
    <w:p w:rsidR="008003CD" w:rsidRPr="00523D06" w:rsidRDefault="008003CD" w:rsidP="008003CD">
      <w:pPr>
        <w:spacing w:line="276" w:lineRule="auto"/>
        <w:rPr>
          <w:rFonts w:asciiTheme="majorHAnsi" w:hAnsiTheme="majorHAnsi"/>
          <w:b/>
          <w:u w:val="single"/>
        </w:rPr>
      </w:pPr>
    </w:p>
    <w:p w:rsidR="008003CD" w:rsidRPr="00523D06" w:rsidRDefault="008003CD" w:rsidP="008003CD">
      <w:pPr>
        <w:spacing w:line="276" w:lineRule="auto"/>
        <w:rPr>
          <w:rFonts w:asciiTheme="majorHAnsi" w:hAnsiTheme="majorHAnsi"/>
        </w:rPr>
      </w:pPr>
      <w:proofErr w:type="gramStart"/>
      <w:r w:rsidRPr="00523D06">
        <w:rPr>
          <w:rFonts w:asciiTheme="majorHAnsi" w:hAnsiTheme="majorHAnsi"/>
        </w:rPr>
        <w:t>Enforceability mechanisms in the context of accountability is</w:t>
      </w:r>
      <w:proofErr w:type="gramEnd"/>
      <w:r w:rsidRPr="00523D06">
        <w:rPr>
          <w:rFonts w:asciiTheme="majorHAnsi" w:hAnsiTheme="majorHAnsi"/>
        </w:rPr>
        <w:t xml:space="preserve"> not limited to judicial or quasi-judicial mechanisms but also includes non-judicial mechanisms. The right to access to justice, often referred to as the right to a remedy, is central to putting the principle of accountability into practice. Enforceability makes it possible to address individual or collective grievances, and sanction wrongdoing by the individuals and institutions responsible. </w:t>
      </w:r>
    </w:p>
    <w:p w:rsidR="008003CD" w:rsidRPr="00523D06" w:rsidRDefault="008003CD" w:rsidP="008003CD">
      <w:pPr>
        <w:numPr>
          <w:ilvl w:val="0"/>
          <w:numId w:val="12"/>
        </w:numPr>
        <w:spacing w:line="276" w:lineRule="auto"/>
        <w:contextualSpacing/>
        <w:rPr>
          <w:rFonts w:asciiTheme="majorHAnsi" w:eastAsia="Times New Roman" w:hAnsiTheme="majorHAnsi"/>
        </w:rPr>
      </w:pPr>
      <w:r w:rsidRPr="00523D06">
        <w:rPr>
          <w:rFonts w:asciiTheme="majorHAnsi" w:eastAsia="Times New Roman" w:hAnsiTheme="majorHAnsi"/>
          <w:b/>
        </w:rPr>
        <w:t>Complaint mechanisms</w:t>
      </w:r>
      <w:r w:rsidRPr="00523D06">
        <w:rPr>
          <w:rFonts w:asciiTheme="majorHAnsi" w:eastAsia="Times New Roman" w:hAnsiTheme="majorHAnsi"/>
        </w:rPr>
        <w:t xml:space="preserve"> at the level of service providers often constitute an accessible avenue for people to complaint and receive redress.  Companies and non-governmental organisations often have complaint mechanisms in place, including hotlines, advisory services or mediators to resolve problems or conflicts. </w:t>
      </w:r>
    </w:p>
    <w:p w:rsidR="008003CD" w:rsidRPr="00523D06" w:rsidRDefault="008003CD" w:rsidP="008003CD">
      <w:pPr>
        <w:numPr>
          <w:ilvl w:val="0"/>
          <w:numId w:val="12"/>
        </w:numPr>
        <w:spacing w:line="276" w:lineRule="auto"/>
        <w:contextualSpacing/>
        <w:rPr>
          <w:rFonts w:asciiTheme="majorHAnsi" w:eastAsia="Times New Roman" w:hAnsiTheme="majorHAnsi"/>
        </w:rPr>
      </w:pPr>
      <w:r w:rsidRPr="00523D06">
        <w:rPr>
          <w:rFonts w:asciiTheme="majorHAnsi" w:eastAsia="Times New Roman" w:hAnsiTheme="majorHAnsi"/>
          <w:b/>
        </w:rPr>
        <w:t>Administrative or regulatory bodies</w:t>
      </w:r>
      <w:r w:rsidRPr="00523D06">
        <w:rPr>
          <w:rFonts w:asciiTheme="majorHAnsi" w:eastAsia="Times New Roman" w:hAnsiTheme="majorHAnsi"/>
        </w:rPr>
        <w:t xml:space="preserve"> should safeguard the right of individuals to submit complaints when the enjoyment of their rights to water and sanitation has been compromised. </w:t>
      </w:r>
    </w:p>
    <w:p w:rsidR="008003CD" w:rsidRPr="00523D06" w:rsidRDefault="008003CD" w:rsidP="008003CD">
      <w:pPr>
        <w:numPr>
          <w:ilvl w:val="0"/>
          <w:numId w:val="12"/>
        </w:numPr>
        <w:spacing w:line="276" w:lineRule="auto"/>
        <w:contextualSpacing/>
        <w:rPr>
          <w:rFonts w:asciiTheme="majorHAnsi" w:hAnsiTheme="majorHAnsi"/>
        </w:rPr>
      </w:pPr>
      <w:r w:rsidRPr="00523D06">
        <w:rPr>
          <w:rFonts w:asciiTheme="majorHAnsi" w:hAnsiTheme="majorHAnsi"/>
          <w:b/>
        </w:rPr>
        <w:t>National human rights institutions and ombudspersons</w:t>
      </w:r>
      <w:r w:rsidRPr="00523D06">
        <w:rPr>
          <w:rFonts w:asciiTheme="majorHAnsi" w:hAnsiTheme="majorHAnsi"/>
        </w:rPr>
        <w:t xml:space="preserve"> can examine the human rights situation on their own initiative, and issue recommendations to harmonize national law and practice with international human rights. </w:t>
      </w:r>
    </w:p>
    <w:p w:rsidR="008003CD" w:rsidRPr="00523D06" w:rsidRDefault="008003CD" w:rsidP="008003CD">
      <w:pPr>
        <w:numPr>
          <w:ilvl w:val="0"/>
          <w:numId w:val="12"/>
        </w:numPr>
        <w:spacing w:line="276" w:lineRule="auto"/>
        <w:contextualSpacing/>
        <w:rPr>
          <w:rFonts w:asciiTheme="majorHAnsi" w:hAnsiTheme="majorHAnsi"/>
        </w:rPr>
      </w:pPr>
      <w:r w:rsidRPr="00523D06">
        <w:rPr>
          <w:rFonts w:asciiTheme="majorHAnsi" w:hAnsiTheme="majorHAnsi"/>
        </w:rPr>
        <w:lastRenderedPageBreak/>
        <w:t xml:space="preserve">States must ensure access to competent and </w:t>
      </w:r>
      <w:r w:rsidRPr="00523D06">
        <w:rPr>
          <w:rFonts w:asciiTheme="majorHAnsi" w:hAnsiTheme="majorHAnsi"/>
          <w:b/>
        </w:rPr>
        <w:t>effective judicial bodies</w:t>
      </w:r>
      <w:r w:rsidRPr="00523D06">
        <w:rPr>
          <w:rFonts w:asciiTheme="majorHAnsi" w:hAnsiTheme="majorHAnsi"/>
        </w:rPr>
        <w:t xml:space="preserve"> including courts and tribunals for violations of the rights to water and sanitation by both State and non-State actors. </w:t>
      </w:r>
    </w:p>
    <w:p w:rsidR="008003CD" w:rsidRPr="00523D06" w:rsidRDefault="008003CD" w:rsidP="008003CD">
      <w:pPr>
        <w:numPr>
          <w:ilvl w:val="0"/>
          <w:numId w:val="12"/>
        </w:numPr>
        <w:spacing w:line="276" w:lineRule="auto"/>
        <w:contextualSpacing/>
        <w:rPr>
          <w:rFonts w:asciiTheme="majorHAnsi" w:hAnsiTheme="majorHAnsi"/>
        </w:rPr>
      </w:pPr>
      <w:r w:rsidRPr="00523D06">
        <w:rPr>
          <w:rFonts w:asciiTheme="majorHAnsi" w:hAnsiTheme="majorHAnsi"/>
          <w:b/>
        </w:rPr>
        <w:t>Regional and international human rights mechanisms</w:t>
      </w:r>
      <w:r w:rsidRPr="00523D06">
        <w:rPr>
          <w:rFonts w:asciiTheme="majorHAnsi" w:hAnsiTheme="majorHAnsi"/>
        </w:rPr>
        <w:t xml:space="preserve">, including courts and commissions (and committee) provide another avenue for accountability when all national mechanisms are exhausted. </w:t>
      </w:r>
      <w:r w:rsidRPr="00523D06">
        <w:rPr>
          <w:rFonts w:asciiTheme="majorHAnsi" w:hAnsiTheme="majorHAnsi"/>
          <w:b/>
        </w:rPr>
        <w:t>United Nations human rights treaty bodies</w:t>
      </w:r>
      <w:r w:rsidRPr="00523D06">
        <w:rPr>
          <w:rFonts w:asciiTheme="majorHAnsi" w:hAnsiTheme="majorHAnsi"/>
        </w:rPr>
        <w:t xml:space="preserve"> can also hear individual complaints. </w:t>
      </w:r>
    </w:p>
    <w:p w:rsidR="008003CD" w:rsidRPr="00523D06" w:rsidRDefault="008003CD" w:rsidP="008003CD">
      <w:pPr>
        <w:numPr>
          <w:ilvl w:val="0"/>
          <w:numId w:val="12"/>
        </w:numPr>
        <w:spacing w:line="276" w:lineRule="auto"/>
        <w:contextualSpacing/>
        <w:rPr>
          <w:rFonts w:asciiTheme="majorHAnsi" w:eastAsia="Times New Roman" w:hAnsiTheme="majorHAnsi"/>
        </w:rPr>
      </w:pPr>
      <w:r w:rsidRPr="00523D06">
        <w:rPr>
          <w:rFonts w:asciiTheme="majorHAnsi" w:eastAsia="Times New Roman" w:hAnsiTheme="majorHAnsi"/>
          <w:b/>
        </w:rPr>
        <w:t>“Social accountability”</w:t>
      </w:r>
      <w:r w:rsidRPr="00523D06">
        <w:rPr>
          <w:rFonts w:asciiTheme="majorHAnsi" w:eastAsia="Times New Roman" w:hAnsiTheme="majorHAnsi"/>
        </w:rPr>
        <w:t xml:space="preserve"> is used to refer to a broad range of activities in which individuals and civil society organisations act directly or indirectly to mobilize demand for accountability.</w:t>
      </w:r>
      <w:r w:rsidRPr="00523D06">
        <w:rPr>
          <w:rStyle w:val="FootnoteReference"/>
          <w:rFonts w:asciiTheme="majorHAnsi" w:eastAsia="Times New Roman" w:hAnsiTheme="majorHAnsi"/>
        </w:rPr>
        <w:footnoteReference w:id="5"/>
      </w:r>
      <w:r w:rsidRPr="00523D06">
        <w:rPr>
          <w:rFonts w:asciiTheme="majorHAnsi" w:eastAsia="Times New Roman" w:hAnsiTheme="majorHAnsi"/>
        </w:rPr>
        <w:t xml:space="preserve"> There are many activities that can reinforce accountability in several ways. Activities driven by civil society have the potential to empower people who have traditionally been excluded or marginalized to claim entitlements and rights more effectively. Monitoring activities and advocacy by civil society can itself generate accountability through increasing the pressure on duty bearers to explain and justify their policies and actions.</w:t>
      </w:r>
      <w:r w:rsidRPr="00523D06">
        <w:rPr>
          <w:rStyle w:val="FootnoteReference"/>
          <w:rFonts w:asciiTheme="majorHAnsi" w:eastAsia="Times New Roman" w:hAnsiTheme="majorHAnsi"/>
        </w:rPr>
        <w:footnoteReference w:id="6"/>
      </w:r>
      <w:r w:rsidRPr="00523D06">
        <w:rPr>
          <w:rFonts w:asciiTheme="majorHAnsi" w:eastAsia="Times New Roman" w:hAnsiTheme="majorHAnsi"/>
        </w:rPr>
        <w:t xml:space="preserve"> </w:t>
      </w:r>
      <w:r w:rsidRPr="00523D06">
        <w:rPr>
          <w:rFonts w:asciiTheme="majorHAnsi" w:hAnsiTheme="majorHAnsi"/>
        </w:rPr>
        <w:t xml:space="preserve">In order to abide by the principle of accountability, States need to ensure that there </w:t>
      </w:r>
      <w:proofErr w:type="gramStart"/>
      <w:r w:rsidRPr="00523D06">
        <w:rPr>
          <w:rFonts w:asciiTheme="majorHAnsi" w:hAnsiTheme="majorHAnsi"/>
        </w:rPr>
        <w:t>are a range</w:t>
      </w:r>
      <w:proofErr w:type="gramEnd"/>
      <w:r w:rsidRPr="00523D06">
        <w:rPr>
          <w:rFonts w:asciiTheme="majorHAnsi" w:hAnsiTheme="majorHAnsi"/>
        </w:rPr>
        <w:t xml:space="preserve"> of well-defined opportunities for effective engagement of civil society in decision-making and review mechanisms.</w:t>
      </w:r>
    </w:p>
    <w:p w:rsidR="00832C20" w:rsidRPr="00523D06" w:rsidRDefault="00832C20" w:rsidP="00832C20">
      <w:pPr>
        <w:spacing w:line="276" w:lineRule="auto"/>
        <w:ind w:left="720"/>
        <w:contextualSpacing/>
        <w:rPr>
          <w:rFonts w:asciiTheme="majorHAnsi" w:eastAsia="Times New Roman" w:hAnsiTheme="majorHAnsi"/>
        </w:rPr>
      </w:pPr>
    </w:p>
    <w:p w:rsidR="008003CD" w:rsidRPr="00523D06" w:rsidRDefault="008003CD" w:rsidP="008003CD">
      <w:pPr>
        <w:spacing w:line="276" w:lineRule="auto"/>
        <w:rPr>
          <w:rFonts w:asciiTheme="majorHAnsi" w:hAnsiTheme="majorHAnsi"/>
          <w:u w:val="single"/>
        </w:rPr>
      </w:pPr>
      <w:r w:rsidRPr="00523D06">
        <w:rPr>
          <w:rFonts w:asciiTheme="majorHAnsi" w:hAnsiTheme="majorHAnsi"/>
          <w:u w:val="single"/>
        </w:rPr>
        <w:t>Guiding questions:</w:t>
      </w:r>
    </w:p>
    <w:p w:rsidR="008003CD" w:rsidRPr="00523D06" w:rsidRDefault="008003CD" w:rsidP="008003CD">
      <w:pPr>
        <w:numPr>
          <w:ilvl w:val="0"/>
          <w:numId w:val="3"/>
        </w:numPr>
        <w:spacing w:line="276" w:lineRule="auto"/>
        <w:contextualSpacing/>
        <w:rPr>
          <w:rFonts w:asciiTheme="majorHAnsi" w:hAnsiTheme="majorHAnsi"/>
        </w:rPr>
      </w:pPr>
      <w:r w:rsidRPr="00523D06">
        <w:rPr>
          <w:rFonts w:asciiTheme="majorHAnsi" w:hAnsiTheme="majorHAnsi"/>
        </w:rPr>
        <w:t xml:space="preserve">What </w:t>
      </w:r>
      <w:r w:rsidR="00FE6248" w:rsidRPr="00523D06">
        <w:rPr>
          <w:rFonts w:asciiTheme="majorHAnsi" w:hAnsiTheme="majorHAnsi"/>
        </w:rPr>
        <w:t>are the strengths and weaknesses of the different</w:t>
      </w:r>
      <w:r w:rsidRPr="00523D06">
        <w:rPr>
          <w:rFonts w:asciiTheme="majorHAnsi" w:hAnsiTheme="majorHAnsi"/>
        </w:rPr>
        <w:t xml:space="preserve"> mechanisms </w:t>
      </w:r>
      <w:r w:rsidR="00FE6248" w:rsidRPr="00523D06">
        <w:rPr>
          <w:rFonts w:asciiTheme="majorHAnsi" w:hAnsiTheme="majorHAnsi"/>
        </w:rPr>
        <w:t>in place</w:t>
      </w:r>
      <w:r w:rsidRPr="00523D06">
        <w:rPr>
          <w:rFonts w:asciiTheme="majorHAnsi" w:hAnsiTheme="majorHAnsi"/>
        </w:rPr>
        <w:t xml:space="preserve"> </w:t>
      </w:r>
      <w:r w:rsidR="00FE6248" w:rsidRPr="00523D06">
        <w:rPr>
          <w:rFonts w:asciiTheme="majorHAnsi" w:hAnsiTheme="majorHAnsi"/>
        </w:rPr>
        <w:t xml:space="preserve">aiming </w:t>
      </w:r>
      <w:r w:rsidRPr="00523D06">
        <w:rPr>
          <w:rFonts w:asciiTheme="majorHAnsi" w:hAnsiTheme="majorHAnsi"/>
        </w:rPr>
        <w:t xml:space="preserve">to actors at all levels are subject to enforceable sanctions or remedial actions in relation to the violation or abuse of the human rights to safe drinking water and sanitation? </w:t>
      </w:r>
    </w:p>
    <w:p w:rsidR="008003CD" w:rsidRPr="00523D06" w:rsidRDefault="008003CD" w:rsidP="008003CD">
      <w:pPr>
        <w:pStyle w:val="GradeClara-nfase31"/>
        <w:numPr>
          <w:ilvl w:val="0"/>
          <w:numId w:val="3"/>
        </w:numPr>
        <w:spacing w:line="276" w:lineRule="auto"/>
        <w:rPr>
          <w:rFonts w:asciiTheme="majorHAnsi" w:hAnsiTheme="majorHAnsi"/>
        </w:rPr>
      </w:pPr>
      <w:r w:rsidRPr="00523D06">
        <w:rPr>
          <w:rFonts w:asciiTheme="majorHAnsi" w:hAnsiTheme="majorHAnsi"/>
        </w:rPr>
        <w:t>What are the main challenges in ensuring remedial action for violations or omissions for the rights to water and sanitation, including for all types of (informal) service provision?</w:t>
      </w:r>
    </w:p>
    <w:p w:rsidR="008003CD" w:rsidRPr="00523D06" w:rsidRDefault="008003CD" w:rsidP="008003CD">
      <w:pPr>
        <w:spacing w:before="300" w:after="200"/>
        <w:jc w:val="both"/>
        <w:rPr>
          <w:rFonts w:asciiTheme="majorHAnsi" w:hAnsiTheme="majorHAnsi"/>
        </w:rPr>
      </w:pPr>
      <w:r w:rsidRPr="00523D06">
        <w:rPr>
          <w:rFonts w:asciiTheme="majorHAnsi" w:hAnsiTheme="majorHAnsi"/>
          <w:u w:val="single"/>
        </w:rPr>
        <w:t>Introductory remarks</w:t>
      </w:r>
      <w:r w:rsidRPr="00523D06">
        <w:rPr>
          <w:rFonts w:asciiTheme="majorHAnsi" w:hAnsiTheme="majorHAnsi"/>
        </w:rPr>
        <w:t xml:space="preserve">: Amanda </w:t>
      </w:r>
      <w:proofErr w:type="spellStart"/>
      <w:r w:rsidRPr="00523D06">
        <w:rPr>
          <w:rFonts w:asciiTheme="majorHAnsi" w:hAnsiTheme="majorHAnsi"/>
        </w:rPr>
        <w:t>Loeffen</w:t>
      </w:r>
      <w:proofErr w:type="spellEnd"/>
      <w:r w:rsidRPr="00523D06">
        <w:rPr>
          <w:rFonts w:asciiTheme="majorHAnsi" w:hAnsiTheme="majorHAnsi"/>
        </w:rPr>
        <w:t xml:space="preserve"> (5 min)</w:t>
      </w:r>
    </w:p>
    <w:p w:rsidR="008003CD" w:rsidRPr="00523D06" w:rsidRDefault="008003CD" w:rsidP="008003CD">
      <w:pPr>
        <w:spacing w:before="300" w:after="200"/>
        <w:jc w:val="both"/>
        <w:rPr>
          <w:rFonts w:asciiTheme="majorHAnsi" w:hAnsiTheme="majorHAnsi"/>
          <w:u w:val="single"/>
        </w:rPr>
      </w:pPr>
      <w:r w:rsidRPr="00523D06">
        <w:rPr>
          <w:rFonts w:asciiTheme="majorHAnsi" w:hAnsiTheme="majorHAnsi"/>
          <w:u w:val="single"/>
        </w:rPr>
        <w:t>Discussion among participants</w:t>
      </w:r>
    </w:p>
    <w:p w:rsidR="00965079" w:rsidRPr="00523D06" w:rsidRDefault="00965079">
      <w:pPr>
        <w:spacing w:after="0" w:line="240" w:lineRule="auto"/>
        <w:rPr>
          <w:rFonts w:asciiTheme="majorHAnsi" w:hAnsiTheme="majorHAnsi"/>
          <w:b/>
          <w:color w:val="365F91"/>
          <w:sz w:val="26"/>
          <w:szCs w:val="26"/>
          <w:u w:val="single"/>
        </w:rPr>
      </w:pPr>
      <w:r w:rsidRPr="00523D06">
        <w:rPr>
          <w:rFonts w:asciiTheme="majorHAnsi" w:hAnsiTheme="majorHAnsi"/>
          <w:b/>
          <w:color w:val="365F91"/>
          <w:sz w:val="26"/>
          <w:szCs w:val="26"/>
          <w:u w:val="single"/>
        </w:rPr>
        <w:br w:type="page"/>
      </w:r>
    </w:p>
    <w:p w:rsidR="008003CD" w:rsidRPr="00523D06" w:rsidRDefault="008003CD" w:rsidP="00832C20">
      <w:pPr>
        <w:spacing w:before="300" w:after="200"/>
        <w:jc w:val="center"/>
        <w:rPr>
          <w:rFonts w:asciiTheme="majorHAnsi" w:hAnsiTheme="majorHAnsi"/>
          <w:b/>
          <w:i/>
          <w:color w:val="B8CCE4"/>
          <w:sz w:val="26"/>
          <w:szCs w:val="26"/>
        </w:rPr>
      </w:pPr>
      <w:r w:rsidRPr="00523D06">
        <w:rPr>
          <w:rFonts w:asciiTheme="majorHAnsi" w:hAnsiTheme="majorHAnsi"/>
          <w:b/>
          <w:color w:val="365F91"/>
          <w:sz w:val="26"/>
          <w:szCs w:val="26"/>
          <w:u w:val="single"/>
        </w:rPr>
        <w:lastRenderedPageBreak/>
        <w:t xml:space="preserve">DAY 2 </w:t>
      </w:r>
      <w:proofErr w:type="gramStart"/>
      <w:r w:rsidRPr="00523D06">
        <w:rPr>
          <w:rFonts w:asciiTheme="majorHAnsi" w:hAnsiTheme="majorHAnsi"/>
          <w:b/>
          <w:color w:val="365F91"/>
          <w:sz w:val="26"/>
          <w:szCs w:val="26"/>
          <w:u w:val="single"/>
        </w:rPr>
        <w:t>PROGRAMME</w:t>
      </w:r>
      <w:proofErr w:type="gramEnd"/>
      <w:r w:rsidRPr="00523D06">
        <w:rPr>
          <w:rFonts w:asciiTheme="majorHAnsi" w:hAnsiTheme="majorHAnsi"/>
          <w:b/>
          <w:color w:val="365F91"/>
          <w:sz w:val="26"/>
          <w:szCs w:val="26"/>
          <w:u w:val="single"/>
        </w:rPr>
        <w:t>: 15 May 2018 (Tuesday)</w:t>
      </w:r>
    </w:p>
    <w:tbl>
      <w:tblPr>
        <w:tblW w:w="9322" w:type="dxa"/>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4A0" w:firstRow="1" w:lastRow="0" w:firstColumn="1" w:lastColumn="0" w:noHBand="0" w:noVBand="1"/>
      </w:tblPr>
      <w:tblGrid>
        <w:gridCol w:w="7581"/>
        <w:gridCol w:w="1741"/>
      </w:tblGrid>
      <w:tr w:rsidR="008003CD" w:rsidRPr="00523D06" w:rsidTr="005E7426">
        <w:tc>
          <w:tcPr>
            <w:tcW w:w="7581" w:type="dxa"/>
            <w:shd w:val="clear" w:color="auto" w:fill="DBE5F1"/>
          </w:tcPr>
          <w:p w:rsidR="008003CD" w:rsidRPr="00523D06" w:rsidRDefault="008003CD" w:rsidP="005E7426">
            <w:pPr>
              <w:spacing w:beforeLines="40" w:before="96" w:afterLines="40" w:after="96"/>
              <w:rPr>
                <w:rFonts w:asciiTheme="majorHAnsi" w:hAnsiTheme="majorHAnsi"/>
                <w:b/>
                <w:color w:val="365F91"/>
              </w:rPr>
            </w:pPr>
            <w:r w:rsidRPr="00523D06">
              <w:rPr>
                <w:rFonts w:asciiTheme="majorHAnsi" w:hAnsiTheme="majorHAnsi"/>
                <w:b/>
                <w:color w:val="365F91"/>
              </w:rPr>
              <w:t xml:space="preserve">SESSION 4: Dimensions of accountability </w:t>
            </w:r>
          </w:p>
        </w:tc>
        <w:tc>
          <w:tcPr>
            <w:tcW w:w="1741" w:type="dxa"/>
            <w:shd w:val="clear" w:color="auto" w:fill="DBE5F1"/>
          </w:tcPr>
          <w:p w:rsidR="008003CD" w:rsidRPr="00523D06" w:rsidRDefault="008003CD" w:rsidP="005E7426">
            <w:pPr>
              <w:spacing w:beforeLines="40" w:before="96" w:afterLines="40" w:after="96"/>
              <w:rPr>
                <w:rFonts w:asciiTheme="majorHAnsi" w:hAnsiTheme="majorHAnsi"/>
                <w:b/>
                <w:color w:val="365F91"/>
                <w:u w:val="single"/>
              </w:rPr>
            </w:pPr>
            <w:r w:rsidRPr="00523D06">
              <w:rPr>
                <w:rFonts w:asciiTheme="majorHAnsi" w:hAnsiTheme="majorHAnsi"/>
                <w:b/>
                <w:color w:val="365F91"/>
              </w:rPr>
              <w:t xml:space="preserve">9:30– 10: 30 </w:t>
            </w:r>
          </w:p>
        </w:tc>
      </w:tr>
    </w:tbl>
    <w:p w:rsidR="008003CD" w:rsidRPr="00523D06" w:rsidRDefault="008003CD" w:rsidP="008003CD">
      <w:pPr>
        <w:spacing w:line="276" w:lineRule="auto"/>
        <w:rPr>
          <w:rFonts w:asciiTheme="majorHAnsi" w:hAnsiTheme="majorHAnsi"/>
        </w:rPr>
      </w:pPr>
    </w:p>
    <w:p w:rsidR="008003CD" w:rsidRPr="00523D06" w:rsidRDefault="008003CD" w:rsidP="008003CD">
      <w:pPr>
        <w:spacing w:line="276" w:lineRule="auto"/>
        <w:rPr>
          <w:rFonts w:asciiTheme="majorHAnsi" w:hAnsiTheme="majorHAnsi"/>
          <w:u w:val="single"/>
        </w:rPr>
      </w:pPr>
      <w:r w:rsidRPr="00523D06">
        <w:rPr>
          <w:rFonts w:asciiTheme="majorHAnsi" w:hAnsiTheme="majorHAnsi"/>
          <w:u w:val="single"/>
        </w:rPr>
        <w:t xml:space="preserve">Guiding questions: </w:t>
      </w:r>
    </w:p>
    <w:p w:rsidR="008003CD" w:rsidRPr="00523D06" w:rsidRDefault="008003CD" w:rsidP="008003CD">
      <w:pPr>
        <w:numPr>
          <w:ilvl w:val="0"/>
          <w:numId w:val="9"/>
        </w:numPr>
        <w:rPr>
          <w:rFonts w:asciiTheme="majorHAnsi" w:hAnsiTheme="majorHAnsi"/>
        </w:rPr>
      </w:pPr>
      <w:r w:rsidRPr="00523D06">
        <w:rPr>
          <w:rFonts w:asciiTheme="majorHAnsi" w:hAnsiTheme="majorHAnsi"/>
        </w:rPr>
        <w:t xml:space="preserve">Among many definitions of the principle of accountability, what elements are relevant in the context of the human rights to safe drinking water and sanitation? </w:t>
      </w:r>
    </w:p>
    <w:p w:rsidR="008003CD" w:rsidRPr="00523D06" w:rsidRDefault="008003CD" w:rsidP="008003CD">
      <w:pPr>
        <w:numPr>
          <w:ilvl w:val="0"/>
          <w:numId w:val="9"/>
        </w:numPr>
        <w:rPr>
          <w:rFonts w:asciiTheme="majorHAnsi" w:hAnsiTheme="majorHAnsi"/>
        </w:rPr>
      </w:pPr>
      <w:r w:rsidRPr="00523D06">
        <w:rPr>
          <w:rFonts w:asciiTheme="majorHAnsi" w:hAnsiTheme="majorHAnsi"/>
        </w:rPr>
        <w:t>What are specific features of the water and sanitation services that require attention when we address the definition of accountability?</w:t>
      </w:r>
    </w:p>
    <w:p w:rsidR="008003CD" w:rsidRPr="00523D06" w:rsidRDefault="008003CD" w:rsidP="008003CD">
      <w:pPr>
        <w:numPr>
          <w:ilvl w:val="0"/>
          <w:numId w:val="9"/>
        </w:numPr>
        <w:rPr>
          <w:rFonts w:asciiTheme="majorHAnsi" w:hAnsiTheme="majorHAnsi"/>
        </w:rPr>
      </w:pPr>
      <w:r w:rsidRPr="00523D06">
        <w:rPr>
          <w:rFonts w:asciiTheme="majorHAnsi" w:hAnsiTheme="majorHAnsi"/>
        </w:rPr>
        <w:t xml:space="preserve">Do the 3 dimensions of accountability adopted as the main structure of the report require additional principles to encompass all relevant specificities of the human rights to water and sanitation? </w:t>
      </w:r>
    </w:p>
    <w:p w:rsidR="008003CD" w:rsidRPr="00523D06" w:rsidRDefault="008003CD" w:rsidP="008003CD">
      <w:pPr>
        <w:spacing w:before="300" w:after="200"/>
        <w:jc w:val="both"/>
        <w:rPr>
          <w:rFonts w:asciiTheme="majorHAnsi" w:hAnsiTheme="majorHAnsi"/>
        </w:rPr>
      </w:pPr>
      <w:r w:rsidRPr="00523D06">
        <w:rPr>
          <w:rFonts w:asciiTheme="majorHAnsi" w:hAnsiTheme="majorHAnsi"/>
          <w:u w:val="single"/>
        </w:rPr>
        <w:t>Introductory remarks</w:t>
      </w:r>
      <w:r w:rsidRPr="00523D06">
        <w:rPr>
          <w:rFonts w:asciiTheme="majorHAnsi" w:hAnsiTheme="majorHAnsi"/>
        </w:rPr>
        <w:t xml:space="preserve">: </w:t>
      </w:r>
      <w:r w:rsidRPr="00523D06">
        <w:rPr>
          <w:rFonts w:asciiTheme="majorHAnsi" w:hAnsiTheme="majorHAnsi"/>
          <w:u w:val="single"/>
        </w:rPr>
        <w:t xml:space="preserve">Alejandro Jiménez (5min) </w:t>
      </w:r>
    </w:p>
    <w:p w:rsidR="008003CD" w:rsidRPr="00523D06" w:rsidRDefault="008003CD" w:rsidP="008003CD">
      <w:pPr>
        <w:spacing w:before="300" w:after="200"/>
        <w:jc w:val="both"/>
        <w:rPr>
          <w:rFonts w:asciiTheme="majorHAnsi" w:hAnsiTheme="majorHAnsi"/>
          <w:u w:val="single"/>
        </w:rPr>
      </w:pPr>
      <w:r w:rsidRPr="00523D06">
        <w:rPr>
          <w:rFonts w:asciiTheme="majorHAnsi" w:hAnsiTheme="majorHAnsi"/>
          <w:u w:val="single"/>
        </w:rPr>
        <w:t>Discussion among participants</w:t>
      </w:r>
    </w:p>
    <w:tbl>
      <w:tblPr>
        <w:tblW w:w="0" w:type="auto"/>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4A0" w:firstRow="1" w:lastRow="0" w:firstColumn="1" w:lastColumn="0" w:noHBand="0" w:noVBand="1"/>
      </w:tblPr>
      <w:tblGrid>
        <w:gridCol w:w="7616"/>
        <w:gridCol w:w="1666"/>
      </w:tblGrid>
      <w:tr w:rsidR="008003CD" w:rsidRPr="00523D06" w:rsidTr="005E7426">
        <w:tc>
          <w:tcPr>
            <w:tcW w:w="7621" w:type="dxa"/>
            <w:shd w:val="clear" w:color="auto" w:fill="FDE9D9"/>
          </w:tcPr>
          <w:p w:rsidR="008003CD" w:rsidRPr="00523D06" w:rsidRDefault="008003CD" w:rsidP="005E7426">
            <w:pPr>
              <w:spacing w:beforeLines="40" w:before="96" w:afterLines="40" w:after="96"/>
              <w:rPr>
                <w:rFonts w:asciiTheme="majorHAnsi" w:hAnsiTheme="majorHAnsi"/>
                <w:b/>
                <w:color w:val="365F91"/>
              </w:rPr>
            </w:pPr>
            <w:r w:rsidRPr="00523D06">
              <w:rPr>
                <w:rFonts w:asciiTheme="majorHAnsi" w:hAnsiTheme="majorHAnsi"/>
                <w:b/>
                <w:color w:val="365F91"/>
              </w:rPr>
              <w:t>Coffee Break</w:t>
            </w:r>
          </w:p>
        </w:tc>
        <w:tc>
          <w:tcPr>
            <w:tcW w:w="1667" w:type="dxa"/>
            <w:shd w:val="clear" w:color="auto" w:fill="FDE9D9"/>
          </w:tcPr>
          <w:p w:rsidR="008003CD" w:rsidRPr="00523D06" w:rsidRDefault="008003CD" w:rsidP="005E7426">
            <w:pPr>
              <w:spacing w:beforeLines="40" w:before="96" w:afterLines="40" w:after="96"/>
              <w:rPr>
                <w:rFonts w:asciiTheme="majorHAnsi" w:hAnsiTheme="majorHAnsi"/>
                <w:b/>
                <w:color w:val="365F91"/>
                <w:u w:val="single"/>
              </w:rPr>
            </w:pPr>
            <w:r w:rsidRPr="00523D06">
              <w:rPr>
                <w:rFonts w:asciiTheme="majorHAnsi" w:hAnsiTheme="majorHAnsi"/>
                <w:b/>
                <w:color w:val="365F91"/>
              </w:rPr>
              <w:t>10:30 – 10:45</w:t>
            </w:r>
          </w:p>
        </w:tc>
      </w:tr>
    </w:tbl>
    <w:p w:rsidR="008003CD" w:rsidRPr="00523D06" w:rsidRDefault="008003CD" w:rsidP="008003CD">
      <w:pPr>
        <w:spacing w:line="276" w:lineRule="auto"/>
        <w:rPr>
          <w:rFonts w:asciiTheme="majorHAnsi" w:hAnsiTheme="majorHAnsi"/>
        </w:rPr>
      </w:pPr>
    </w:p>
    <w:tbl>
      <w:tblPr>
        <w:tblW w:w="0" w:type="auto"/>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4A0" w:firstRow="1" w:lastRow="0" w:firstColumn="1" w:lastColumn="0" w:noHBand="0" w:noVBand="1"/>
      </w:tblPr>
      <w:tblGrid>
        <w:gridCol w:w="7581"/>
        <w:gridCol w:w="1661"/>
      </w:tblGrid>
      <w:tr w:rsidR="008003CD" w:rsidRPr="00523D06" w:rsidTr="005E7426">
        <w:tc>
          <w:tcPr>
            <w:tcW w:w="7581" w:type="dxa"/>
            <w:shd w:val="clear" w:color="auto" w:fill="DBE5F1"/>
          </w:tcPr>
          <w:p w:rsidR="008003CD" w:rsidRPr="00523D06" w:rsidRDefault="008003CD" w:rsidP="005E7426">
            <w:pPr>
              <w:spacing w:beforeLines="40" w:before="96" w:afterLines="40" w:after="96"/>
              <w:rPr>
                <w:rFonts w:asciiTheme="majorHAnsi" w:hAnsiTheme="majorHAnsi"/>
                <w:b/>
                <w:color w:val="365F91"/>
              </w:rPr>
            </w:pPr>
            <w:r w:rsidRPr="00523D06">
              <w:rPr>
                <w:rFonts w:asciiTheme="majorHAnsi" w:hAnsiTheme="majorHAnsi"/>
                <w:b/>
                <w:color w:val="365F91"/>
              </w:rPr>
              <w:t xml:space="preserve">SESSION 5:  Barriers to </w:t>
            </w:r>
            <w:r w:rsidR="00FE6248" w:rsidRPr="00523D06">
              <w:rPr>
                <w:rFonts w:asciiTheme="majorHAnsi" w:hAnsiTheme="majorHAnsi"/>
                <w:b/>
                <w:color w:val="365F91"/>
              </w:rPr>
              <w:t xml:space="preserve">an </w:t>
            </w:r>
            <w:r w:rsidRPr="00523D06">
              <w:rPr>
                <w:rFonts w:asciiTheme="majorHAnsi" w:hAnsiTheme="majorHAnsi"/>
                <w:b/>
                <w:color w:val="365F91"/>
              </w:rPr>
              <w:t>enabling environment for accountability in the human rights to drinking water and sanitation</w:t>
            </w:r>
          </w:p>
        </w:tc>
        <w:tc>
          <w:tcPr>
            <w:tcW w:w="1661" w:type="dxa"/>
            <w:shd w:val="clear" w:color="auto" w:fill="DBE5F1"/>
          </w:tcPr>
          <w:p w:rsidR="008003CD" w:rsidRPr="00523D06" w:rsidRDefault="008003CD" w:rsidP="005E7426">
            <w:pPr>
              <w:spacing w:beforeLines="40" w:before="96" w:afterLines="40" w:after="96"/>
              <w:rPr>
                <w:rFonts w:asciiTheme="majorHAnsi" w:hAnsiTheme="majorHAnsi"/>
                <w:b/>
                <w:color w:val="365F91"/>
                <w:u w:val="single"/>
              </w:rPr>
            </w:pPr>
            <w:r w:rsidRPr="00523D06">
              <w:rPr>
                <w:rFonts w:asciiTheme="majorHAnsi" w:hAnsiTheme="majorHAnsi"/>
                <w:b/>
                <w:color w:val="365F91"/>
              </w:rPr>
              <w:t xml:space="preserve">10:45 – 12: 00 </w:t>
            </w:r>
          </w:p>
        </w:tc>
      </w:tr>
    </w:tbl>
    <w:p w:rsidR="008003CD" w:rsidRPr="00523D06" w:rsidRDefault="008003CD" w:rsidP="008003CD">
      <w:pPr>
        <w:spacing w:line="276" w:lineRule="auto"/>
        <w:rPr>
          <w:rFonts w:asciiTheme="majorHAnsi" w:hAnsiTheme="majorHAnsi"/>
        </w:rPr>
      </w:pPr>
    </w:p>
    <w:p w:rsidR="008003CD" w:rsidRPr="00523D06" w:rsidRDefault="008003CD" w:rsidP="008003CD">
      <w:pPr>
        <w:rPr>
          <w:rFonts w:asciiTheme="majorHAnsi" w:hAnsiTheme="majorHAnsi"/>
        </w:rPr>
      </w:pPr>
      <w:r w:rsidRPr="00523D06">
        <w:rPr>
          <w:rFonts w:asciiTheme="majorHAnsi" w:hAnsiTheme="majorHAnsi"/>
        </w:rPr>
        <w:t>The implementation of a number of elements can catalyse accountability in the water and sanitation sector, including aligning the human rights to the services with other interdependent human rights. There are also a number of elements that can hinder accountability towards the realization of the human rights to water and sanitation by actors involved. Some of these elements include corruption, a lack of follow-up and compliance with rulings and recommendations, conflicting demands for accountability (for example NGOs accountability towards their constituencies and towards funders</w:t>
      </w:r>
      <w:r w:rsidR="00965079" w:rsidRPr="00523D06">
        <w:rPr>
          <w:rFonts w:asciiTheme="majorHAnsi" w:hAnsiTheme="majorHAnsi"/>
        </w:rPr>
        <w:t>).</w:t>
      </w:r>
      <w:r w:rsidR="00FE6248" w:rsidRPr="00523D06">
        <w:rPr>
          <w:rStyle w:val="FootnoteReference"/>
          <w:rFonts w:asciiTheme="majorHAnsi" w:hAnsiTheme="majorHAnsi"/>
        </w:rPr>
        <w:footnoteReference w:id="7"/>
      </w:r>
      <w:r w:rsidRPr="00523D06">
        <w:rPr>
          <w:rFonts w:asciiTheme="majorHAnsi" w:hAnsiTheme="majorHAnsi"/>
        </w:rPr>
        <w:t xml:space="preserve"> </w:t>
      </w:r>
    </w:p>
    <w:p w:rsidR="008003CD" w:rsidRPr="00523D06" w:rsidRDefault="008003CD" w:rsidP="008003CD">
      <w:pPr>
        <w:spacing w:line="276" w:lineRule="auto"/>
        <w:jc w:val="both"/>
        <w:rPr>
          <w:rFonts w:asciiTheme="majorHAnsi" w:hAnsiTheme="majorHAnsi"/>
        </w:rPr>
      </w:pPr>
      <w:r w:rsidRPr="00523D06">
        <w:rPr>
          <w:rFonts w:asciiTheme="majorHAnsi" w:hAnsiTheme="majorHAnsi"/>
        </w:rPr>
        <w:t>Adequate institutional framework in the water and sanitation sector, the coordination of the several public agencies involved, the regulatory environment and a clear role of subnational levels of government are also some elements for an enabling environment</w:t>
      </w:r>
      <w:r w:rsidR="005A6D02" w:rsidRPr="00523D06">
        <w:rPr>
          <w:rFonts w:asciiTheme="majorHAnsi" w:hAnsiTheme="majorHAnsi"/>
        </w:rPr>
        <w:t xml:space="preserve"> in that context</w:t>
      </w:r>
      <w:r w:rsidRPr="00523D06">
        <w:rPr>
          <w:rFonts w:asciiTheme="majorHAnsi" w:hAnsiTheme="majorHAnsi"/>
        </w:rPr>
        <w:t xml:space="preserve">. </w:t>
      </w:r>
    </w:p>
    <w:p w:rsidR="008003CD" w:rsidRPr="00523D06" w:rsidRDefault="008003CD" w:rsidP="008003CD">
      <w:pPr>
        <w:spacing w:line="276" w:lineRule="auto"/>
        <w:rPr>
          <w:rFonts w:asciiTheme="majorHAnsi" w:hAnsiTheme="majorHAnsi"/>
          <w:u w:val="single"/>
        </w:rPr>
      </w:pPr>
      <w:r w:rsidRPr="00523D06">
        <w:rPr>
          <w:rFonts w:asciiTheme="majorHAnsi" w:hAnsiTheme="majorHAnsi"/>
          <w:u w:val="single"/>
        </w:rPr>
        <w:t>Guiding question:</w:t>
      </w:r>
    </w:p>
    <w:p w:rsidR="008003CD" w:rsidRPr="00523D06" w:rsidRDefault="008003CD" w:rsidP="008003CD">
      <w:pPr>
        <w:numPr>
          <w:ilvl w:val="0"/>
          <w:numId w:val="6"/>
        </w:numPr>
        <w:spacing w:beforeLines="40" w:before="96" w:afterLines="40" w:after="96"/>
        <w:contextualSpacing/>
        <w:rPr>
          <w:rFonts w:asciiTheme="majorHAnsi" w:hAnsiTheme="majorHAnsi"/>
        </w:rPr>
      </w:pPr>
      <w:r w:rsidRPr="00523D06">
        <w:rPr>
          <w:rFonts w:asciiTheme="majorHAnsi" w:hAnsiTheme="majorHAnsi"/>
        </w:rPr>
        <w:t>What key factors are determinant for the creation of an enabling environment to exercise the three dimensions of accountability in the realisation of the human rights to safe drinking water and sanitation?</w:t>
      </w:r>
    </w:p>
    <w:p w:rsidR="008003CD" w:rsidRPr="00523D06" w:rsidRDefault="008003CD" w:rsidP="008003CD">
      <w:pPr>
        <w:spacing w:beforeLines="40" w:before="96" w:afterLines="40" w:after="96"/>
        <w:ind w:left="360"/>
        <w:rPr>
          <w:rFonts w:asciiTheme="majorHAnsi" w:hAnsiTheme="majorHAnsi"/>
        </w:rPr>
      </w:pPr>
    </w:p>
    <w:p w:rsidR="008003CD" w:rsidRPr="00523D06" w:rsidRDefault="005A6D02" w:rsidP="008003CD">
      <w:pPr>
        <w:rPr>
          <w:rFonts w:asciiTheme="majorHAnsi" w:eastAsia="Times New Roman" w:hAnsiTheme="majorHAnsi"/>
          <w:color w:val="000000"/>
          <w:lang w:eastAsia="nl-NL"/>
        </w:rPr>
      </w:pPr>
      <w:r w:rsidRPr="00523D06">
        <w:rPr>
          <w:rFonts w:asciiTheme="majorHAnsi" w:hAnsiTheme="majorHAnsi"/>
          <w:u w:val="single"/>
        </w:rPr>
        <w:t>Introductory remarks</w:t>
      </w:r>
      <w:r w:rsidR="008003CD" w:rsidRPr="00523D06">
        <w:rPr>
          <w:rFonts w:asciiTheme="majorHAnsi" w:hAnsiTheme="majorHAnsi"/>
          <w:u w:val="single"/>
        </w:rPr>
        <w:t xml:space="preserve">: </w:t>
      </w:r>
      <w:r w:rsidR="008003CD" w:rsidRPr="00523D06">
        <w:rPr>
          <w:rFonts w:asciiTheme="majorHAnsi" w:eastAsia="Times New Roman" w:hAnsiTheme="majorHAnsi"/>
          <w:color w:val="000000"/>
          <w:lang w:eastAsia="nl-NL"/>
        </w:rPr>
        <w:t xml:space="preserve"> </w:t>
      </w:r>
    </w:p>
    <w:p w:rsidR="005A6D02" w:rsidRPr="00523D06" w:rsidRDefault="005A6D02" w:rsidP="005A6D02">
      <w:pPr>
        <w:rPr>
          <w:rFonts w:asciiTheme="majorHAnsi" w:hAnsiTheme="majorHAnsi"/>
          <w:u w:val="single"/>
        </w:rPr>
      </w:pPr>
      <w:r w:rsidRPr="00523D06">
        <w:rPr>
          <w:rFonts w:asciiTheme="majorHAnsi" w:hAnsiTheme="majorHAnsi"/>
        </w:rPr>
        <w:t xml:space="preserve">Frank van der </w:t>
      </w:r>
      <w:proofErr w:type="spellStart"/>
      <w:r w:rsidRPr="00523D06">
        <w:rPr>
          <w:rFonts w:asciiTheme="majorHAnsi" w:hAnsiTheme="majorHAnsi"/>
        </w:rPr>
        <w:t>Valk</w:t>
      </w:r>
      <w:proofErr w:type="spellEnd"/>
      <w:r w:rsidRPr="00523D06">
        <w:rPr>
          <w:rFonts w:asciiTheme="majorHAnsi" w:hAnsiTheme="majorHAnsi"/>
          <w:u w:val="single"/>
        </w:rPr>
        <w:t xml:space="preserve"> (5 minutes)</w:t>
      </w:r>
      <w:r w:rsidRPr="00523D06">
        <w:rPr>
          <w:rFonts w:asciiTheme="majorHAnsi" w:hAnsiTheme="majorHAnsi"/>
        </w:rPr>
        <w:t>: corruption in the WASH sector</w:t>
      </w:r>
      <w:r w:rsidR="00523D06">
        <w:rPr>
          <w:rFonts w:asciiTheme="majorHAnsi" w:hAnsiTheme="majorHAnsi"/>
          <w:u w:val="single"/>
        </w:rPr>
        <w:br/>
      </w:r>
      <w:proofErr w:type="spellStart"/>
      <w:r w:rsidRPr="00523D06">
        <w:rPr>
          <w:rFonts w:asciiTheme="majorHAnsi" w:eastAsia="Times New Roman" w:hAnsiTheme="majorHAnsi"/>
          <w:color w:val="000000"/>
          <w:lang w:eastAsia="nl-NL"/>
        </w:rPr>
        <w:t>Matheus</w:t>
      </w:r>
      <w:proofErr w:type="spellEnd"/>
      <w:r w:rsidRPr="00523D06">
        <w:rPr>
          <w:rFonts w:asciiTheme="majorHAnsi" w:eastAsia="Times New Roman" w:hAnsiTheme="majorHAnsi"/>
          <w:color w:val="000000"/>
          <w:lang w:eastAsia="nl-NL"/>
        </w:rPr>
        <w:t xml:space="preserve"> Valle Oliveira (</w:t>
      </w:r>
      <w:r w:rsidRPr="00523D06">
        <w:rPr>
          <w:rFonts w:asciiTheme="majorHAnsi" w:hAnsiTheme="majorHAnsi"/>
          <w:u w:val="single"/>
        </w:rPr>
        <w:t>5 minutes)</w:t>
      </w:r>
      <w:r w:rsidRPr="00523D06">
        <w:rPr>
          <w:rFonts w:asciiTheme="majorHAnsi" w:hAnsiTheme="majorHAnsi"/>
        </w:rPr>
        <w:t xml:space="preserve">: </w:t>
      </w:r>
      <w:r w:rsidRPr="00523D06">
        <w:rPr>
          <w:rFonts w:asciiTheme="majorHAnsi" w:eastAsia="Times New Roman" w:hAnsiTheme="majorHAnsi"/>
          <w:lang w:eastAsia="nl-NL"/>
        </w:rPr>
        <w:t>key challenges of regulators</w:t>
      </w:r>
      <w:r w:rsidR="00523D06">
        <w:rPr>
          <w:rFonts w:asciiTheme="majorHAnsi" w:eastAsia="Times New Roman" w:hAnsiTheme="majorHAnsi"/>
          <w:lang w:eastAsia="nl-NL"/>
        </w:rPr>
        <w:br/>
      </w:r>
      <w:r w:rsidRPr="00523D06">
        <w:rPr>
          <w:rFonts w:asciiTheme="majorHAnsi" w:eastAsia="Times New Roman" w:hAnsiTheme="majorHAnsi"/>
          <w:lang w:eastAsia="nl-NL"/>
        </w:rPr>
        <w:t xml:space="preserve">Samson </w:t>
      </w:r>
      <w:proofErr w:type="spellStart"/>
      <w:r w:rsidRPr="00523D06">
        <w:rPr>
          <w:rFonts w:asciiTheme="majorHAnsi" w:eastAsia="Times New Roman" w:hAnsiTheme="majorHAnsi"/>
          <w:lang w:eastAsia="nl-NL"/>
        </w:rPr>
        <w:t>Malesi</w:t>
      </w:r>
      <w:proofErr w:type="spellEnd"/>
      <w:r w:rsidRPr="00523D06">
        <w:rPr>
          <w:rFonts w:asciiTheme="majorHAnsi" w:eastAsia="Times New Roman" w:hAnsiTheme="majorHAnsi"/>
          <w:lang w:eastAsia="nl-NL"/>
        </w:rPr>
        <w:t xml:space="preserve"> </w:t>
      </w:r>
      <w:proofErr w:type="spellStart"/>
      <w:r w:rsidRPr="00523D06">
        <w:rPr>
          <w:rFonts w:asciiTheme="majorHAnsi" w:eastAsia="Times New Roman" w:hAnsiTheme="majorHAnsi"/>
          <w:lang w:eastAsia="nl-NL"/>
        </w:rPr>
        <w:t>Shivaji</w:t>
      </w:r>
      <w:proofErr w:type="spellEnd"/>
      <w:r w:rsidRPr="00523D06">
        <w:rPr>
          <w:rFonts w:asciiTheme="majorHAnsi" w:eastAsia="Times New Roman" w:hAnsiTheme="majorHAnsi"/>
          <w:lang w:eastAsia="nl-NL"/>
        </w:rPr>
        <w:t xml:space="preserve"> (</w:t>
      </w:r>
      <w:r w:rsidRPr="00523D06">
        <w:rPr>
          <w:rFonts w:asciiTheme="majorHAnsi" w:hAnsiTheme="majorHAnsi"/>
          <w:u w:val="single"/>
        </w:rPr>
        <w:t>5 minutes)</w:t>
      </w:r>
      <w:r w:rsidRPr="00523D06">
        <w:rPr>
          <w:rFonts w:asciiTheme="majorHAnsi" w:hAnsiTheme="majorHAnsi"/>
        </w:rPr>
        <w:t xml:space="preserve">: </w:t>
      </w:r>
      <w:r w:rsidRPr="00523D06">
        <w:rPr>
          <w:rFonts w:asciiTheme="majorHAnsi" w:eastAsia="Times New Roman" w:hAnsiTheme="majorHAnsi"/>
          <w:lang w:eastAsia="nl-NL"/>
        </w:rPr>
        <w:t>key challenges observed by civil society organizations</w:t>
      </w:r>
    </w:p>
    <w:p w:rsidR="008003CD" w:rsidRPr="00523D06" w:rsidRDefault="008003CD" w:rsidP="008003CD">
      <w:pPr>
        <w:rPr>
          <w:rFonts w:asciiTheme="majorHAnsi" w:eastAsia="Times New Roman" w:hAnsiTheme="majorHAnsi"/>
          <w:u w:val="single"/>
          <w:lang w:eastAsia="nl-NL"/>
        </w:rPr>
      </w:pPr>
      <w:r w:rsidRPr="00523D06">
        <w:rPr>
          <w:rFonts w:asciiTheme="majorHAnsi" w:eastAsia="Times New Roman" w:hAnsiTheme="majorHAnsi"/>
          <w:u w:val="single"/>
          <w:lang w:eastAsia="nl-NL"/>
        </w:rPr>
        <w:t xml:space="preserve">Discussion among participants </w:t>
      </w:r>
    </w:p>
    <w:p w:rsidR="008003CD" w:rsidRPr="00523D06" w:rsidRDefault="008003CD" w:rsidP="008003CD">
      <w:pPr>
        <w:spacing w:beforeLines="40" w:before="96" w:afterLines="40" w:after="96"/>
        <w:rPr>
          <w:rFonts w:asciiTheme="majorHAnsi" w:hAnsiTheme="majorHAnsi"/>
        </w:rPr>
      </w:pPr>
    </w:p>
    <w:tbl>
      <w:tblPr>
        <w:tblW w:w="0" w:type="auto"/>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4A0" w:firstRow="1" w:lastRow="0" w:firstColumn="1" w:lastColumn="0" w:noHBand="0" w:noVBand="1"/>
      </w:tblPr>
      <w:tblGrid>
        <w:gridCol w:w="7581"/>
        <w:gridCol w:w="1661"/>
      </w:tblGrid>
      <w:tr w:rsidR="008003CD" w:rsidRPr="00523D06" w:rsidTr="005E7426">
        <w:tc>
          <w:tcPr>
            <w:tcW w:w="7581" w:type="dxa"/>
            <w:shd w:val="clear" w:color="auto" w:fill="DBE5F1"/>
          </w:tcPr>
          <w:p w:rsidR="008003CD" w:rsidRPr="00523D06" w:rsidRDefault="008003CD" w:rsidP="005E7426">
            <w:pPr>
              <w:spacing w:beforeLines="40" w:before="96" w:afterLines="40" w:after="96"/>
              <w:rPr>
                <w:rFonts w:asciiTheme="majorHAnsi" w:hAnsiTheme="majorHAnsi"/>
                <w:b/>
                <w:color w:val="365F91"/>
              </w:rPr>
            </w:pPr>
            <w:r w:rsidRPr="00523D06">
              <w:rPr>
                <w:rFonts w:asciiTheme="majorHAnsi" w:hAnsiTheme="majorHAnsi"/>
                <w:b/>
                <w:color w:val="365F91"/>
              </w:rPr>
              <w:t xml:space="preserve">Recommendations and wrap up </w:t>
            </w:r>
          </w:p>
        </w:tc>
        <w:tc>
          <w:tcPr>
            <w:tcW w:w="1661" w:type="dxa"/>
            <w:shd w:val="clear" w:color="auto" w:fill="DBE5F1"/>
          </w:tcPr>
          <w:p w:rsidR="008003CD" w:rsidRPr="00523D06" w:rsidRDefault="008003CD" w:rsidP="005E7426">
            <w:pPr>
              <w:spacing w:beforeLines="40" w:before="96" w:afterLines="40" w:after="96"/>
              <w:rPr>
                <w:rFonts w:asciiTheme="majorHAnsi" w:hAnsiTheme="majorHAnsi"/>
                <w:b/>
                <w:color w:val="365F91"/>
                <w:u w:val="single"/>
              </w:rPr>
            </w:pPr>
            <w:r w:rsidRPr="00523D06">
              <w:rPr>
                <w:rFonts w:asciiTheme="majorHAnsi" w:hAnsiTheme="majorHAnsi"/>
                <w:b/>
                <w:color w:val="365F91"/>
              </w:rPr>
              <w:t xml:space="preserve">12:00 – 13:00 </w:t>
            </w:r>
          </w:p>
        </w:tc>
      </w:tr>
    </w:tbl>
    <w:p w:rsidR="008003CD" w:rsidRPr="00523D06" w:rsidRDefault="008003CD" w:rsidP="008003CD">
      <w:pPr>
        <w:spacing w:line="276" w:lineRule="auto"/>
        <w:rPr>
          <w:rFonts w:asciiTheme="majorHAnsi" w:hAnsiTheme="majorHAnsi"/>
        </w:rPr>
      </w:pPr>
    </w:p>
    <w:p w:rsidR="008003CD" w:rsidRPr="00523D06" w:rsidRDefault="008003CD" w:rsidP="008003CD">
      <w:pPr>
        <w:spacing w:line="276" w:lineRule="auto"/>
        <w:rPr>
          <w:rFonts w:asciiTheme="majorHAnsi" w:hAnsiTheme="majorHAnsi"/>
        </w:rPr>
      </w:pPr>
      <w:r w:rsidRPr="00523D06">
        <w:rPr>
          <w:rFonts w:asciiTheme="majorHAnsi" w:hAnsiTheme="majorHAnsi"/>
          <w:u w:val="single"/>
        </w:rPr>
        <w:t>Speaker:</w:t>
      </w:r>
      <w:r w:rsidRPr="00523D06">
        <w:rPr>
          <w:rFonts w:asciiTheme="majorHAnsi" w:hAnsiTheme="majorHAnsi"/>
        </w:rPr>
        <w:t xml:space="preserve"> Special Rapporteur and participants </w:t>
      </w:r>
    </w:p>
    <w:p w:rsidR="008003CD" w:rsidRPr="00523D06" w:rsidRDefault="008003CD" w:rsidP="008003CD">
      <w:pPr>
        <w:numPr>
          <w:ilvl w:val="0"/>
          <w:numId w:val="8"/>
        </w:numPr>
        <w:spacing w:beforeLines="40" w:before="96" w:afterLines="40" w:after="96"/>
        <w:contextualSpacing/>
        <w:rPr>
          <w:rFonts w:asciiTheme="majorHAnsi" w:hAnsiTheme="majorHAnsi"/>
        </w:rPr>
      </w:pPr>
      <w:r w:rsidRPr="00523D06">
        <w:rPr>
          <w:rFonts w:asciiTheme="majorHAnsi" w:hAnsiTheme="majorHAnsi"/>
        </w:rPr>
        <w:t xml:space="preserve">Remaining issues to be discussed </w:t>
      </w:r>
    </w:p>
    <w:p w:rsidR="005A6D02" w:rsidRPr="00523D06" w:rsidRDefault="008003CD" w:rsidP="008003CD">
      <w:pPr>
        <w:numPr>
          <w:ilvl w:val="0"/>
          <w:numId w:val="8"/>
        </w:numPr>
        <w:spacing w:beforeLines="40" w:before="96" w:afterLines="40" w:after="96"/>
        <w:contextualSpacing/>
        <w:rPr>
          <w:rFonts w:asciiTheme="majorHAnsi" w:hAnsiTheme="majorHAnsi"/>
        </w:rPr>
      </w:pPr>
      <w:r w:rsidRPr="00523D06">
        <w:rPr>
          <w:rFonts w:asciiTheme="majorHAnsi" w:hAnsiTheme="majorHAnsi"/>
        </w:rPr>
        <w:t xml:space="preserve">Closing the session by the Special Rapporteur </w:t>
      </w:r>
    </w:p>
    <w:p w:rsidR="00832C20" w:rsidRPr="00523D06" w:rsidRDefault="00832C20" w:rsidP="00832C20">
      <w:pPr>
        <w:spacing w:beforeLines="40" w:before="96" w:afterLines="40" w:after="96"/>
        <w:contextualSpacing/>
        <w:rPr>
          <w:rFonts w:asciiTheme="majorHAnsi" w:hAnsiTheme="majorHAnsi"/>
        </w:rPr>
      </w:pPr>
    </w:p>
    <w:p w:rsidR="00832C20" w:rsidRDefault="00832C20" w:rsidP="00832C20">
      <w:pPr>
        <w:spacing w:beforeLines="40" w:before="96" w:afterLines="40" w:after="96"/>
        <w:contextualSpacing/>
        <w:rPr>
          <w:rFonts w:asciiTheme="majorHAnsi" w:hAnsiTheme="majorHAnsi"/>
        </w:rPr>
      </w:pPr>
    </w:p>
    <w:p w:rsidR="00442C13" w:rsidRDefault="00442C13" w:rsidP="00832C20">
      <w:pPr>
        <w:spacing w:beforeLines="40" w:before="96" w:afterLines="40" w:after="96"/>
        <w:contextualSpacing/>
        <w:rPr>
          <w:rFonts w:asciiTheme="majorHAnsi" w:hAnsiTheme="majorHAnsi"/>
        </w:rPr>
      </w:pPr>
    </w:p>
    <w:p w:rsidR="00442C13" w:rsidRPr="00523D06" w:rsidRDefault="00442C13" w:rsidP="00832C20">
      <w:pPr>
        <w:spacing w:beforeLines="40" w:before="96" w:afterLines="40" w:after="96"/>
        <w:contextualSpacing/>
        <w:rPr>
          <w:rFonts w:asciiTheme="majorHAnsi" w:hAnsiTheme="majorHAnsi"/>
        </w:rPr>
      </w:pPr>
    </w:p>
    <w:p w:rsidR="00965079" w:rsidRPr="00523D06" w:rsidRDefault="00965079" w:rsidP="00832C20">
      <w:pPr>
        <w:spacing w:before="300" w:after="200"/>
        <w:jc w:val="center"/>
        <w:rPr>
          <w:rFonts w:asciiTheme="majorHAnsi" w:hAnsiTheme="majorHAnsi"/>
          <w:b/>
          <w:i/>
          <w:color w:val="B8CCE4"/>
          <w:sz w:val="26"/>
          <w:szCs w:val="26"/>
        </w:rPr>
      </w:pPr>
      <w:r w:rsidRPr="00523D06">
        <w:rPr>
          <w:rFonts w:asciiTheme="majorHAnsi" w:hAnsiTheme="majorHAnsi"/>
          <w:b/>
          <w:color w:val="365F91"/>
          <w:sz w:val="26"/>
          <w:szCs w:val="26"/>
          <w:u w:val="single"/>
        </w:rPr>
        <w:t>List of Participants</w:t>
      </w:r>
    </w:p>
    <w:tbl>
      <w:tblPr>
        <w:tblStyle w:val="GridTable7ColorfulAccent5"/>
        <w:tblW w:w="9085" w:type="dxa"/>
        <w:tblLook w:val="04A0" w:firstRow="1" w:lastRow="0" w:firstColumn="1" w:lastColumn="0" w:noHBand="0" w:noVBand="1"/>
      </w:tblPr>
      <w:tblGrid>
        <w:gridCol w:w="535"/>
        <w:gridCol w:w="2363"/>
        <w:gridCol w:w="6187"/>
      </w:tblGrid>
      <w:tr w:rsidR="00EA5AA0" w:rsidRPr="00523D06" w:rsidTr="00EA5AA0">
        <w:trPr>
          <w:cnfStyle w:val="100000000000" w:firstRow="1" w:lastRow="0" w:firstColumn="0" w:lastColumn="0" w:oddVBand="0" w:evenVBand="0" w:oddHBand="0" w:evenHBand="0" w:firstRowFirstColumn="0" w:firstRowLastColumn="0" w:lastRowFirstColumn="0" w:lastRowLastColumn="0"/>
          <w:trHeight w:val="312"/>
        </w:trPr>
        <w:tc>
          <w:tcPr>
            <w:cnfStyle w:val="001000000100" w:firstRow="0" w:lastRow="0" w:firstColumn="1" w:lastColumn="0" w:oddVBand="0" w:evenVBand="0" w:oddHBand="0" w:evenHBand="0" w:firstRowFirstColumn="1" w:firstRowLastColumn="0" w:lastRowFirstColumn="0" w:lastRowLastColumn="0"/>
            <w:tcW w:w="535" w:type="dxa"/>
            <w:hideMark/>
          </w:tcPr>
          <w:p w:rsidR="00965079" w:rsidRPr="00965079" w:rsidRDefault="00965079" w:rsidP="00965079">
            <w:pPr>
              <w:spacing w:after="0" w:line="240" w:lineRule="auto"/>
              <w:jc w:val="center"/>
              <w:rPr>
                <w:rFonts w:asciiTheme="majorHAnsi" w:eastAsia="Times New Roman" w:hAnsiTheme="majorHAnsi" w:cs="Calibri"/>
                <w:color w:val="000000"/>
                <w:lang w:eastAsia="ko-KR"/>
              </w:rPr>
            </w:pPr>
            <w:r w:rsidRPr="00965079">
              <w:rPr>
                <w:rFonts w:asciiTheme="majorHAnsi" w:eastAsia="Times New Roman" w:hAnsiTheme="majorHAnsi" w:cs="Calibri"/>
                <w:color w:val="000000"/>
                <w:lang w:eastAsia="ko-KR"/>
              </w:rPr>
              <w:t>N.</w:t>
            </w:r>
          </w:p>
        </w:tc>
        <w:tc>
          <w:tcPr>
            <w:tcW w:w="2363" w:type="dxa"/>
            <w:hideMark/>
          </w:tcPr>
          <w:p w:rsidR="00965079" w:rsidRPr="00965079" w:rsidRDefault="00965079" w:rsidP="00965079">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4"/>
                <w:szCs w:val="24"/>
                <w:lang w:eastAsia="ko-KR"/>
              </w:rPr>
            </w:pPr>
            <w:r w:rsidRPr="00965079">
              <w:rPr>
                <w:rFonts w:asciiTheme="majorHAnsi" w:eastAsia="Times New Roman" w:hAnsiTheme="majorHAnsi" w:cs="Calibri"/>
                <w:color w:val="000000"/>
                <w:sz w:val="24"/>
                <w:szCs w:val="24"/>
                <w:lang w:eastAsia="ko-KR"/>
              </w:rPr>
              <w:t>Name</w:t>
            </w:r>
          </w:p>
        </w:tc>
        <w:tc>
          <w:tcPr>
            <w:tcW w:w="6187" w:type="dxa"/>
            <w:hideMark/>
          </w:tcPr>
          <w:p w:rsidR="00965079" w:rsidRPr="00965079" w:rsidRDefault="00965079" w:rsidP="00965079">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4"/>
                <w:szCs w:val="24"/>
                <w:lang w:eastAsia="ko-KR"/>
              </w:rPr>
            </w:pPr>
            <w:r w:rsidRPr="00965079">
              <w:rPr>
                <w:rFonts w:asciiTheme="majorHAnsi" w:eastAsia="Times New Roman" w:hAnsiTheme="majorHAnsi" w:cs="Calibri"/>
                <w:color w:val="000000"/>
                <w:sz w:val="24"/>
                <w:szCs w:val="24"/>
                <w:lang w:eastAsia="ko-KR"/>
              </w:rPr>
              <w:t>Organization</w:t>
            </w:r>
          </w:p>
        </w:tc>
      </w:tr>
      <w:tr w:rsidR="00EA5AA0" w:rsidRPr="00523D06" w:rsidTr="00EA5AA0">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35" w:type="dxa"/>
            <w:hideMark/>
          </w:tcPr>
          <w:p w:rsidR="00965079" w:rsidRPr="00965079" w:rsidRDefault="00965079" w:rsidP="00965079">
            <w:pPr>
              <w:spacing w:after="0" w:line="240" w:lineRule="auto"/>
              <w:jc w:val="center"/>
              <w:rPr>
                <w:rFonts w:asciiTheme="majorHAnsi" w:eastAsia="Times New Roman" w:hAnsiTheme="majorHAnsi" w:cs="Calibri"/>
                <w:color w:val="000000"/>
                <w:lang w:eastAsia="ko-KR"/>
              </w:rPr>
            </w:pPr>
            <w:r w:rsidRPr="00965079">
              <w:rPr>
                <w:rFonts w:asciiTheme="majorHAnsi" w:eastAsia="Times New Roman" w:hAnsiTheme="majorHAnsi" w:cs="Calibri"/>
                <w:color w:val="000000"/>
                <w:lang w:eastAsia="ko-KR"/>
              </w:rPr>
              <w:t>1</w:t>
            </w:r>
          </w:p>
        </w:tc>
        <w:tc>
          <w:tcPr>
            <w:tcW w:w="2363" w:type="dxa"/>
            <w:hideMark/>
          </w:tcPr>
          <w:p w:rsidR="00965079" w:rsidRPr="00965079" w:rsidRDefault="00965079" w:rsidP="0096507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lang w:eastAsia="ko-KR"/>
              </w:rPr>
            </w:pPr>
            <w:r w:rsidRPr="00965079">
              <w:rPr>
                <w:rFonts w:asciiTheme="majorHAnsi" w:eastAsia="Times New Roman" w:hAnsiTheme="majorHAnsi" w:cs="Calibri"/>
                <w:color w:val="000000"/>
                <w:lang w:eastAsia="ko-KR"/>
              </w:rPr>
              <w:t>Alejandro Jiménez</w:t>
            </w:r>
          </w:p>
        </w:tc>
        <w:tc>
          <w:tcPr>
            <w:tcW w:w="6187" w:type="dxa"/>
            <w:hideMark/>
          </w:tcPr>
          <w:p w:rsidR="00965079" w:rsidRPr="00965079" w:rsidRDefault="00965079" w:rsidP="0096507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lang w:eastAsia="ko-KR"/>
              </w:rPr>
            </w:pPr>
            <w:r w:rsidRPr="00965079">
              <w:rPr>
                <w:rFonts w:asciiTheme="majorHAnsi" w:eastAsia="Times New Roman" w:hAnsiTheme="majorHAnsi" w:cs="Calibri"/>
                <w:color w:val="000000"/>
                <w:lang w:eastAsia="ko-KR"/>
              </w:rPr>
              <w:t>SIWI</w:t>
            </w:r>
          </w:p>
        </w:tc>
      </w:tr>
      <w:tr w:rsidR="00965079" w:rsidRPr="00965079" w:rsidTr="00EA5AA0">
        <w:trPr>
          <w:trHeight w:val="288"/>
        </w:trPr>
        <w:tc>
          <w:tcPr>
            <w:cnfStyle w:val="001000000000" w:firstRow="0" w:lastRow="0" w:firstColumn="1" w:lastColumn="0" w:oddVBand="0" w:evenVBand="0" w:oddHBand="0" w:evenHBand="0" w:firstRowFirstColumn="0" w:firstRowLastColumn="0" w:lastRowFirstColumn="0" w:lastRowLastColumn="0"/>
            <w:tcW w:w="535" w:type="dxa"/>
            <w:hideMark/>
          </w:tcPr>
          <w:p w:rsidR="00965079" w:rsidRPr="00965079" w:rsidRDefault="00965079" w:rsidP="00965079">
            <w:pPr>
              <w:spacing w:after="0" w:line="240" w:lineRule="auto"/>
              <w:jc w:val="center"/>
              <w:rPr>
                <w:rFonts w:asciiTheme="majorHAnsi" w:eastAsia="Times New Roman" w:hAnsiTheme="majorHAnsi" w:cs="Calibri"/>
                <w:color w:val="000000"/>
                <w:lang w:eastAsia="ko-KR"/>
              </w:rPr>
            </w:pPr>
            <w:r w:rsidRPr="00965079">
              <w:rPr>
                <w:rFonts w:asciiTheme="majorHAnsi" w:eastAsia="Times New Roman" w:hAnsiTheme="majorHAnsi" w:cs="Calibri"/>
                <w:color w:val="000000"/>
                <w:lang w:eastAsia="ko-KR"/>
              </w:rPr>
              <w:t>2</w:t>
            </w:r>
          </w:p>
        </w:tc>
        <w:tc>
          <w:tcPr>
            <w:tcW w:w="2363" w:type="dxa"/>
            <w:hideMark/>
          </w:tcPr>
          <w:p w:rsidR="00965079" w:rsidRPr="00965079" w:rsidRDefault="00965079" w:rsidP="0096507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ko-KR"/>
              </w:rPr>
            </w:pPr>
            <w:r w:rsidRPr="00965079">
              <w:rPr>
                <w:rFonts w:asciiTheme="majorHAnsi" w:eastAsia="Times New Roman" w:hAnsiTheme="majorHAnsi" w:cs="Calibri"/>
                <w:color w:val="000000"/>
                <w:lang w:eastAsia="ko-KR"/>
              </w:rPr>
              <w:t xml:space="preserve">Amanda </w:t>
            </w:r>
            <w:proofErr w:type="spellStart"/>
            <w:r w:rsidRPr="00965079">
              <w:rPr>
                <w:rFonts w:asciiTheme="majorHAnsi" w:eastAsia="Times New Roman" w:hAnsiTheme="majorHAnsi" w:cs="Calibri"/>
                <w:color w:val="000000"/>
                <w:lang w:eastAsia="ko-KR"/>
              </w:rPr>
              <w:t>Loeffen</w:t>
            </w:r>
            <w:proofErr w:type="spellEnd"/>
          </w:p>
        </w:tc>
        <w:tc>
          <w:tcPr>
            <w:tcW w:w="6187" w:type="dxa"/>
            <w:hideMark/>
          </w:tcPr>
          <w:p w:rsidR="00965079" w:rsidRPr="00965079" w:rsidRDefault="00965079" w:rsidP="0096507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ko-KR"/>
              </w:rPr>
            </w:pPr>
            <w:proofErr w:type="spellStart"/>
            <w:r w:rsidRPr="00965079">
              <w:rPr>
                <w:rFonts w:asciiTheme="majorHAnsi" w:eastAsia="Times New Roman" w:hAnsiTheme="majorHAnsi" w:cs="Calibri"/>
                <w:color w:val="000000"/>
                <w:lang w:eastAsia="ko-KR"/>
              </w:rPr>
              <w:t>WaterLex</w:t>
            </w:r>
            <w:proofErr w:type="spellEnd"/>
          </w:p>
        </w:tc>
      </w:tr>
      <w:tr w:rsidR="00EA5AA0" w:rsidRPr="00523D06" w:rsidTr="00EA5AA0">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535" w:type="dxa"/>
            <w:hideMark/>
          </w:tcPr>
          <w:p w:rsidR="00965079" w:rsidRPr="00965079" w:rsidRDefault="00965079" w:rsidP="00965079">
            <w:pPr>
              <w:spacing w:after="0" w:line="240" w:lineRule="auto"/>
              <w:jc w:val="center"/>
              <w:rPr>
                <w:rFonts w:asciiTheme="majorHAnsi" w:eastAsia="Times New Roman" w:hAnsiTheme="majorHAnsi" w:cs="Calibri"/>
                <w:color w:val="000000"/>
                <w:lang w:eastAsia="ko-KR"/>
              </w:rPr>
            </w:pPr>
            <w:r w:rsidRPr="00965079">
              <w:rPr>
                <w:rFonts w:asciiTheme="majorHAnsi" w:eastAsia="Times New Roman" w:hAnsiTheme="majorHAnsi" w:cs="Calibri"/>
                <w:color w:val="000000"/>
                <w:lang w:eastAsia="ko-KR"/>
              </w:rPr>
              <w:t>3</w:t>
            </w:r>
          </w:p>
        </w:tc>
        <w:tc>
          <w:tcPr>
            <w:tcW w:w="2363" w:type="dxa"/>
            <w:hideMark/>
          </w:tcPr>
          <w:p w:rsidR="00965079" w:rsidRPr="00965079" w:rsidRDefault="00965079" w:rsidP="0096507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lang w:eastAsia="ko-KR"/>
              </w:rPr>
            </w:pPr>
            <w:r w:rsidRPr="00965079">
              <w:rPr>
                <w:rFonts w:asciiTheme="majorHAnsi" w:eastAsia="Times New Roman" w:hAnsiTheme="majorHAnsi" w:cs="Calibri"/>
                <w:color w:val="000000"/>
                <w:lang w:eastAsia="ko-KR"/>
              </w:rPr>
              <w:t xml:space="preserve">Frank van der </w:t>
            </w:r>
            <w:proofErr w:type="spellStart"/>
            <w:r w:rsidRPr="00965079">
              <w:rPr>
                <w:rFonts w:asciiTheme="majorHAnsi" w:eastAsia="Times New Roman" w:hAnsiTheme="majorHAnsi" w:cs="Calibri"/>
                <w:color w:val="000000"/>
                <w:lang w:eastAsia="ko-KR"/>
              </w:rPr>
              <w:t>Valk</w:t>
            </w:r>
            <w:proofErr w:type="spellEnd"/>
          </w:p>
        </w:tc>
        <w:tc>
          <w:tcPr>
            <w:tcW w:w="6187" w:type="dxa"/>
            <w:hideMark/>
          </w:tcPr>
          <w:p w:rsidR="00965079" w:rsidRPr="00965079" w:rsidRDefault="00965079" w:rsidP="0096507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lang w:eastAsia="ko-KR"/>
              </w:rPr>
            </w:pPr>
            <w:r w:rsidRPr="00965079">
              <w:rPr>
                <w:rFonts w:asciiTheme="majorHAnsi" w:eastAsia="Times New Roman" w:hAnsiTheme="majorHAnsi" w:cs="Calibri"/>
                <w:color w:val="000000"/>
                <w:lang w:eastAsia="ko-KR"/>
              </w:rPr>
              <w:t>Water Integrity Network (WIN)</w:t>
            </w:r>
          </w:p>
        </w:tc>
      </w:tr>
      <w:tr w:rsidR="00965079" w:rsidRPr="00965079" w:rsidTr="00EA5AA0">
        <w:trPr>
          <w:trHeight w:val="256"/>
        </w:trPr>
        <w:tc>
          <w:tcPr>
            <w:cnfStyle w:val="001000000000" w:firstRow="0" w:lastRow="0" w:firstColumn="1" w:lastColumn="0" w:oddVBand="0" w:evenVBand="0" w:oddHBand="0" w:evenHBand="0" w:firstRowFirstColumn="0" w:firstRowLastColumn="0" w:lastRowFirstColumn="0" w:lastRowLastColumn="0"/>
            <w:tcW w:w="535" w:type="dxa"/>
            <w:hideMark/>
          </w:tcPr>
          <w:p w:rsidR="00965079" w:rsidRPr="00965079" w:rsidRDefault="00965079" w:rsidP="00965079">
            <w:pPr>
              <w:spacing w:after="0" w:line="240" w:lineRule="auto"/>
              <w:jc w:val="center"/>
              <w:rPr>
                <w:rFonts w:asciiTheme="majorHAnsi" w:eastAsia="Times New Roman" w:hAnsiTheme="majorHAnsi" w:cs="Calibri"/>
                <w:color w:val="000000"/>
                <w:lang w:eastAsia="ko-KR"/>
              </w:rPr>
            </w:pPr>
            <w:r w:rsidRPr="00965079">
              <w:rPr>
                <w:rFonts w:asciiTheme="majorHAnsi" w:eastAsia="Times New Roman" w:hAnsiTheme="majorHAnsi" w:cs="Calibri"/>
                <w:color w:val="000000"/>
                <w:lang w:eastAsia="ko-KR"/>
              </w:rPr>
              <w:t>4</w:t>
            </w:r>
          </w:p>
        </w:tc>
        <w:tc>
          <w:tcPr>
            <w:tcW w:w="2363" w:type="dxa"/>
            <w:hideMark/>
          </w:tcPr>
          <w:p w:rsidR="00965079" w:rsidRPr="00965079" w:rsidRDefault="00965079" w:rsidP="0096507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ko-KR"/>
              </w:rPr>
            </w:pPr>
            <w:r w:rsidRPr="00965079">
              <w:rPr>
                <w:rFonts w:asciiTheme="majorHAnsi" w:eastAsia="Times New Roman" w:hAnsiTheme="majorHAnsi" w:cs="Calibri"/>
                <w:color w:val="000000"/>
                <w:lang w:eastAsia="ko-KR"/>
              </w:rPr>
              <w:t xml:space="preserve">Sean </w:t>
            </w:r>
            <w:proofErr w:type="spellStart"/>
            <w:r w:rsidRPr="00965079">
              <w:rPr>
                <w:rFonts w:asciiTheme="majorHAnsi" w:eastAsia="Times New Roman" w:hAnsiTheme="majorHAnsi" w:cs="Calibri"/>
                <w:color w:val="000000"/>
                <w:lang w:eastAsia="ko-KR"/>
              </w:rPr>
              <w:t>Furey</w:t>
            </w:r>
            <w:proofErr w:type="spellEnd"/>
          </w:p>
        </w:tc>
        <w:tc>
          <w:tcPr>
            <w:tcW w:w="6187" w:type="dxa"/>
            <w:hideMark/>
          </w:tcPr>
          <w:p w:rsidR="00965079" w:rsidRPr="00965079" w:rsidRDefault="00965079" w:rsidP="0096507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ko-KR"/>
              </w:rPr>
            </w:pPr>
            <w:r w:rsidRPr="00965079">
              <w:rPr>
                <w:rFonts w:asciiTheme="majorHAnsi" w:eastAsia="Times New Roman" w:hAnsiTheme="majorHAnsi" w:cs="Calibri"/>
                <w:color w:val="000000"/>
                <w:lang w:eastAsia="ko-KR"/>
              </w:rPr>
              <w:t>Rural Water Supply Network (RWSN)</w:t>
            </w:r>
          </w:p>
        </w:tc>
      </w:tr>
      <w:tr w:rsidR="00EA5AA0" w:rsidRPr="00523D06" w:rsidTr="00EA5AA0">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35" w:type="dxa"/>
            <w:hideMark/>
          </w:tcPr>
          <w:p w:rsidR="00965079" w:rsidRPr="00965079" w:rsidRDefault="00965079" w:rsidP="00965079">
            <w:pPr>
              <w:spacing w:after="0" w:line="240" w:lineRule="auto"/>
              <w:jc w:val="center"/>
              <w:rPr>
                <w:rFonts w:asciiTheme="majorHAnsi" w:eastAsia="Times New Roman" w:hAnsiTheme="majorHAnsi" w:cs="Calibri"/>
                <w:color w:val="000000"/>
                <w:lang w:eastAsia="ko-KR"/>
              </w:rPr>
            </w:pPr>
            <w:r w:rsidRPr="00965079">
              <w:rPr>
                <w:rFonts w:asciiTheme="majorHAnsi" w:eastAsia="Times New Roman" w:hAnsiTheme="majorHAnsi" w:cs="Calibri"/>
                <w:color w:val="000000"/>
                <w:lang w:eastAsia="ko-KR"/>
              </w:rPr>
              <w:t>5</w:t>
            </w:r>
          </w:p>
        </w:tc>
        <w:tc>
          <w:tcPr>
            <w:tcW w:w="2363" w:type="dxa"/>
            <w:hideMark/>
          </w:tcPr>
          <w:p w:rsidR="00965079" w:rsidRPr="00965079" w:rsidRDefault="00964742" w:rsidP="0096507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lang w:eastAsia="ko-KR"/>
              </w:rPr>
            </w:pPr>
            <w:r>
              <w:rPr>
                <w:rFonts w:asciiTheme="majorHAnsi" w:eastAsia="Times New Roman" w:hAnsiTheme="majorHAnsi" w:cs="Calibri"/>
                <w:color w:val="000000"/>
                <w:lang w:eastAsia="ko-KR"/>
              </w:rPr>
              <w:t xml:space="preserve">Elizabeth </w:t>
            </w:r>
            <w:proofErr w:type="spellStart"/>
            <w:r>
              <w:rPr>
                <w:rFonts w:asciiTheme="majorHAnsi" w:eastAsia="Times New Roman" w:hAnsiTheme="majorHAnsi" w:cs="Calibri"/>
                <w:color w:val="000000"/>
                <w:lang w:eastAsia="ko-KR"/>
              </w:rPr>
              <w:t>Andvig</w:t>
            </w:r>
            <w:proofErr w:type="spellEnd"/>
          </w:p>
        </w:tc>
        <w:tc>
          <w:tcPr>
            <w:tcW w:w="6187" w:type="dxa"/>
            <w:hideMark/>
          </w:tcPr>
          <w:p w:rsidR="00965079" w:rsidRPr="00965079" w:rsidRDefault="00964742" w:rsidP="0096507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lang w:eastAsia="ko-KR"/>
              </w:rPr>
            </w:pPr>
            <w:r w:rsidRPr="00523D06">
              <w:rPr>
                <w:rFonts w:asciiTheme="majorHAnsi" w:eastAsia="Times New Roman" w:hAnsiTheme="majorHAnsi" w:cs="Calibri"/>
                <w:color w:val="000000"/>
                <w:lang w:eastAsia="ko-KR"/>
              </w:rPr>
              <w:t>Office of the High Commissioner for Human Rights</w:t>
            </w:r>
            <w:bookmarkStart w:id="1" w:name="_GoBack"/>
            <w:bookmarkEnd w:id="1"/>
          </w:p>
        </w:tc>
      </w:tr>
      <w:tr w:rsidR="00965079" w:rsidRPr="00965079" w:rsidTr="00EA5AA0">
        <w:trPr>
          <w:trHeight w:val="346"/>
        </w:trPr>
        <w:tc>
          <w:tcPr>
            <w:cnfStyle w:val="001000000000" w:firstRow="0" w:lastRow="0" w:firstColumn="1" w:lastColumn="0" w:oddVBand="0" w:evenVBand="0" w:oddHBand="0" w:evenHBand="0" w:firstRowFirstColumn="0" w:firstRowLastColumn="0" w:lastRowFirstColumn="0" w:lastRowLastColumn="0"/>
            <w:tcW w:w="535" w:type="dxa"/>
            <w:hideMark/>
          </w:tcPr>
          <w:p w:rsidR="00965079" w:rsidRPr="00965079" w:rsidRDefault="00965079" w:rsidP="00965079">
            <w:pPr>
              <w:spacing w:after="0" w:line="240" w:lineRule="auto"/>
              <w:jc w:val="center"/>
              <w:rPr>
                <w:rFonts w:asciiTheme="majorHAnsi" w:eastAsia="Times New Roman" w:hAnsiTheme="majorHAnsi" w:cs="Calibri"/>
                <w:color w:val="000000"/>
                <w:lang w:eastAsia="ko-KR"/>
              </w:rPr>
            </w:pPr>
            <w:r w:rsidRPr="00965079">
              <w:rPr>
                <w:rFonts w:asciiTheme="majorHAnsi" w:eastAsia="Times New Roman" w:hAnsiTheme="majorHAnsi" w:cs="Calibri"/>
                <w:color w:val="000000"/>
                <w:lang w:eastAsia="ko-KR"/>
              </w:rPr>
              <w:t>6</w:t>
            </w:r>
          </w:p>
        </w:tc>
        <w:tc>
          <w:tcPr>
            <w:tcW w:w="2363" w:type="dxa"/>
            <w:hideMark/>
          </w:tcPr>
          <w:p w:rsidR="00965079" w:rsidRPr="00965079" w:rsidRDefault="00965079" w:rsidP="0096507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ko-KR"/>
              </w:rPr>
            </w:pPr>
            <w:r w:rsidRPr="00965079">
              <w:rPr>
                <w:rFonts w:asciiTheme="majorHAnsi" w:eastAsia="Times New Roman" w:hAnsiTheme="majorHAnsi" w:cs="Calibri"/>
                <w:color w:val="000000"/>
                <w:lang w:eastAsia="ko-KR"/>
              </w:rPr>
              <w:t>Al-Hassan Adam</w:t>
            </w:r>
          </w:p>
        </w:tc>
        <w:tc>
          <w:tcPr>
            <w:tcW w:w="6187" w:type="dxa"/>
            <w:hideMark/>
          </w:tcPr>
          <w:p w:rsidR="00965079" w:rsidRPr="00965079" w:rsidRDefault="00965079" w:rsidP="0096507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ko-KR"/>
              </w:rPr>
            </w:pPr>
            <w:r w:rsidRPr="00965079">
              <w:rPr>
                <w:rFonts w:asciiTheme="majorHAnsi" w:eastAsia="Times New Roman" w:hAnsiTheme="majorHAnsi" w:cs="Calibri"/>
                <w:color w:val="000000"/>
                <w:lang w:eastAsia="ko-KR"/>
              </w:rPr>
              <w:t>End Water Poverty</w:t>
            </w:r>
          </w:p>
        </w:tc>
      </w:tr>
      <w:tr w:rsidR="00EA5AA0" w:rsidRPr="00523D06" w:rsidTr="00EA5AA0">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535" w:type="dxa"/>
            <w:hideMark/>
          </w:tcPr>
          <w:p w:rsidR="00965079" w:rsidRPr="00965079" w:rsidRDefault="00965079" w:rsidP="00965079">
            <w:pPr>
              <w:spacing w:after="0" w:line="240" w:lineRule="auto"/>
              <w:jc w:val="center"/>
              <w:rPr>
                <w:rFonts w:asciiTheme="majorHAnsi" w:eastAsia="Times New Roman" w:hAnsiTheme="majorHAnsi" w:cs="Calibri"/>
                <w:color w:val="000000"/>
                <w:lang w:eastAsia="ko-KR"/>
              </w:rPr>
            </w:pPr>
            <w:r w:rsidRPr="00965079">
              <w:rPr>
                <w:rFonts w:asciiTheme="majorHAnsi" w:eastAsia="Times New Roman" w:hAnsiTheme="majorHAnsi" w:cs="Calibri"/>
                <w:color w:val="000000"/>
                <w:lang w:eastAsia="ko-KR"/>
              </w:rPr>
              <w:t>7</w:t>
            </w:r>
          </w:p>
        </w:tc>
        <w:tc>
          <w:tcPr>
            <w:tcW w:w="2363" w:type="dxa"/>
            <w:hideMark/>
          </w:tcPr>
          <w:p w:rsidR="00965079" w:rsidRPr="00965079" w:rsidRDefault="00965079" w:rsidP="0096507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lang w:eastAsia="ko-KR"/>
              </w:rPr>
            </w:pPr>
            <w:r w:rsidRPr="00965079">
              <w:rPr>
                <w:rFonts w:asciiTheme="majorHAnsi" w:eastAsia="Times New Roman" w:hAnsiTheme="majorHAnsi" w:cs="Calibri"/>
                <w:color w:val="000000"/>
                <w:lang w:eastAsia="ko-KR"/>
              </w:rPr>
              <w:t>Benjamin Meier</w:t>
            </w:r>
          </w:p>
        </w:tc>
        <w:tc>
          <w:tcPr>
            <w:tcW w:w="6187" w:type="dxa"/>
            <w:hideMark/>
          </w:tcPr>
          <w:p w:rsidR="00965079" w:rsidRPr="00965079" w:rsidRDefault="00965079" w:rsidP="0096507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lang w:eastAsia="ko-KR"/>
              </w:rPr>
            </w:pPr>
            <w:r w:rsidRPr="00965079">
              <w:rPr>
                <w:rFonts w:asciiTheme="majorHAnsi" w:eastAsia="Times New Roman" w:hAnsiTheme="majorHAnsi" w:cs="Calibri"/>
                <w:color w:val="000000"/>
                <w:lang w:eastAsia="ko-KR"/>
              </w:rPr>
              <w:t>University of North Carolina</w:t>
            </w:r>
          </w:p>
        </w:tc>
      </w:tr>
      <w:tr w:rsidR="00965079" w:rsidRPr="00965079" w:rsidTr="00EA5AA0">
        <w:trPr>
          <w:trHeight w:val="346"/>
        </w:trPr>
        <w:tc>
          <w:tcPr>
            <w:cnfStyle w:val="001000000000" w:firstRow="0" w:lastRow="0" w:firstColumn="1" w:lastColumn="0" w:oddVBand="0" w:evenVBand="0" w:oddHBand="0" w:evenHBand="0" w:firstRowFirstColumn="0" w:firstRowLastColumn="0" w:lastRowFirstColumn="0" w:lastRowLastColumn="0"/>
            <w:tcW w:w="535" w:type="dxa"/>
            <w:hideMark/>
          </w:tcPr>
          <w:p w:rsidR="00965079" w:rsidRPr="00965079" w:rsidRDefault="00965079" w:rsidP="00965079">
            <w:pPr>
              <w:spacing w:after="0" w:line="240" w:lineRule="auto"/>
              <w:jc w:val="center"/>
              <w:rPr>
                <w:rFonts w:asciiTheme="majorHAnsi" w:eastAsia="Times New Roman" w:hAnsiTheme="majorHAnsi" w:cs="Calibri"/>
                <w:color w:val="000000"/>
                <w:lang w:eastAsia="ko-KR"/>
              </w:rPr>
            </w:pPr>
            <w:r w:rsidRPr="00965079">
              <w:rPr>
                <w:rFonts w:asciiTheme="majorHAnsi" w:eastAsia="Times New Roman" w:hAnsiTheme="majorHAnsi" w:cs="Calibri"/>
                <w:color w:val="000000"/>
                <w:lang w:eastAsia="ko-KR"/>
              </w:rPr>
              <w:t>8</w:t>
            </w:r>
          </w:p>
        </w:tc>
        <w:tc>
          <w:tcPr>
            <w:tcW w:w="2363" w:type="dxa"/>
            <w:hideMark/>
          </w:tcPr>
          <w:p w:rsidR="00965079" w:rsidRPr="00965079" w:rsidRDefault="00965079" w:rsidP="0096507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ko-KR"/>
              </w:rPr>
            </w:pPr>
            <w:r w:rsidRPr="00965079">
              <w:rPr>
                <w:rFonts w:asciiTheme="majorHAnsi" w:eastAsia="Times New Roman" w:hAnsiTheme="majorHAnsi" w:cs="Calibri"/>
                <w:color w:val="000000"/>
                <w:lang w:eastAsia="ko-KR"/>
              </w:rPr>
              <w:t xml:space="preserve">Samson </w:t>
            </w:r>
            <w:proofErr w:type="spellStart"/>
            <w:r w:rsidRPr="00965079">
              <w:rPr>
                <w:rFonts w:asciiTheme="majorHAnsi" w:eastAsia="Times New Roman" w:hAnsiTheme="majorHAnsi" w:cs="Calibri"/>
                <w:color w:val="000000"/>
                <w:lang w:eastAsia="ko-KR"/>
              </w:rPr>
              <w:t>Malesi</w:t>
            </w:r>
            <w:proofErr w:type="spellEnd"/>
            <w:r w:rsidRPr="00965079">
              <w:rPr>
                <w:rFonts w:asciiTheme="majorHAnsi" w:eastAsia="Times New Roman" w:hAnsiTheme="majorHAnsi" w:cs="Calibri"/>
                <w:color w:val="000000"/>
                <w:lang w:eastAsia="ko-KR"/>
              </w:rPr>
              <w:t xml:space="preserve"> </w:t>
            </w:r>
            <w:proofErr w:type="spellStart"/>
            <w:r w:rsidRPr="00965079">
              <w:rPr>
                <w:rFonts w:asciiTheme="majorHAnsi" w:eastAsia="Times New Roman" w:hAnsiTheme="majorHAnsi" w:cs="Calibri"/>
                <w:color w:val="000000"/>
                <w:lang w:eastAsia="ko-KR"/>
              </w:rPr>
              <w:t>Shivaji</w:t>
            </w:r>
            <w:proofErr w:type="spellEnd"/>
          </w:p>
        </w:tc>
        <w:tc>
          <w:tcPr>
            <w:tcW w:w="6187" w:type="dxa"/>
            <w:hideMark/>
          </w:tcPr>
          <w:p w:rsidR="00965079" w:rsidRPr="00965079" w:rsidRDefault="00965079" w:rsidP="0096507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ko-KR"/>
              </w:rPr>
            </w:pPr>
            <w:r w:rsidRPr="00965079">
              <w:rPr>
                <w:rFonts w:asciiTheme="majorHAnsi" w:eastAsia="Times New Roman" w:hAnsiTheme="majorHAnsi" w:cs="Calibri"/>
                <w:color w:val="000000"/>
                <w:lang w:eastAsia="ko-KR"/>
              </w:rPr>
              <w:t>Kenya Water and Sanitation CSOs Network (KEWASNET)</w:t>
            </w:r>
          </w:p>
        </w:tc>
      </w:tr>
      <w:tr w:rsidR="00EA5AA0" w:rsidRPr="00523D06" w:rsidTr="00EA5AA0">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535" w:type="dxa"/>
            <w:hideMark/>
          </w:tcPr>
          <w:p w:rsidR="00965079" w:rsidRPr="00965079" w:rsidRDefault="00965079" w:rsidP="00965079">
            <w:pPr>
              <w:spacing w:after="0" w:line="240" w:lineRule="auto"/>
              <w:jc w:val="center"/>
              <w:rPr>
                <w:rFonts w:asciiTheme="majorHAnsi" w:eastAsia="Times New Roman" w:hAnsiTheme="majorHAnsi" w:cs="Calibri"/>
                <w:color w:val="000000"/>
                <w:lang w:eastAsia="ko-KR"/>
              </w:rPr>
            </w:pPr>
            <w:r w:rsidRPr="00965079">
              <w:rPr>
                <w:rFonts w:asciiTheme="majorHAnsi" w:eastAsia="Times New Roman" w:hAnsiTheme="majorHAnsi" w:cs="Calibri"/>
                <w:color w:val="000000"/>
                <w:lang w:eastAsia="ko-KR"/>
              </w:rPr>
              <w:t>9</w:t>
            </w:r>
          </w:p>
        </w:tc>
        <w:tc>
          <w:tcPr>
            <w:tcW w:w="2363" w:type="dxa"/>
            <w:hideMark/>
          </w:tcPr>
          <w:p w:rsidR="00965079" w:rsidRPr="00965079" w:rsidRDefault="00965079" w:rsidP="0096507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lang w:eastAsia="ko-KR"/>
              </w:rPr>
            </w:pPr>
            <w:r w:rsidRPr="00965079">
              <w:rPr>
                <w:rFonts w:asciiTheme="majorHAnsi" w:eastAsia="Times New Roman" w:hAnsiTheme="majorHAnsi" w:cs="Calibri"/>
                <w:color w:val="000000"/>
                <w:lang w:eastAsia="ko-KR"/>
              </w:rPr>
              <w:t xml:space="preserve">Mohamed </w:t>
            </w:r>
            <w:proofErr w:type="spellStart"/>
            <w:r w:rsidRPr="00965079">
              <w:rPr>
                <w:rFonts w:asciiTheme="majorHAnsi" w:eastAsia="Times New Roman" w:hAnsiTheme="majorHAnsi" w:cs="Calibri"/>
                <w:color w:val="000000"/>
                <w:lang w:eastAsia="ko-KR"/>
              </w:rPr>
              <w:t>Shafie</w:t>
            </w:r>
            <w:proofErr w:type="spellEnd"/>
            <w:r w:rsidRPr="00965079">
              <w:rPr>
                <w:rFonts w:asciiTheme="majorHAnsi" w:eastAsia="Times New Roman" w:hAnsiTheme="majorHAnsi" w:cs="Calibri"/>
                <w:color w:val="000000"/>
                <w:lang w:eastAsia="ko-KR"/>
              </w:rPr>
              <w:t xml:space="preserve"> </w:t>
            </w:r>
            <w:proofErr w:type="spellStart"/>
            <w:r w:rsidRPr="00965079">
              <w:rPr>
                <w:rFonts w:asciiTheme="majorHAnsi" w:eastAsia="Times New Roman" w:hAnsiTheme="majorHAnsi" w:cs="Calibri"/>
                <w:color w:val="000000"/>
                <w:lang w:eastAsia="ko-KR"/>
              </w:rPr>
              <w:t>Ameermia</w:t>
            </w:r>
            <w:proofErr w:type="spellEnd"/>
            <w:r w:rsidRPr="00965079">
              <w:rPr>
                <w:rFonts w:asciiTheme="majorHAnsi" w:eastAsia="Times New Roman" w:hAnsiTheme="majorHAnsi" w:cs="Calibri"/>
                <w:color w:val="000000"/>
                <w:lang w:eastAsia="ko-KR"/>
              </w:rPr>
              <w:t xml:space="preserve"> </w:t>
            </w:r>
          </w:p>
        </w:tc>
        <w:tc>
          <w:tcPr>
            <w:tcW w:w="6187" w:type="dxa"/>
            <w:hideMark/>
          </w:tcPr>
          <w:p w:rsidR="00965079" w:rsidRPr="00965079" w:rsidRDefault="00965079" w:rsidP="0096507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lang w:eastAsia="ko-KR"/>
              </w:rPr>
            </w:pPr>
            <w:r w:rsidRPr="00965079">
              <w:rPr>
                <w:rFonts w:asciiTheme="majorHAnsi" w:eastAsia="Times New Roman" w:hAnsiTheme="majorHAnsi" w:cs="Calibri"/>
                <w:color w:val="000000"/>
                <w:lang w:eastAsia="ko-KR"/>
              </w:rPr>
              <w:t xml:space="preserve">South African Human Rights Commission </w:t>
            </w:r>
          </w:p>
        </w:tc>
      </w:tr>
      <w:tr w:rsidR="00EA5AA0" w:rsidRPr="00523D06" w:rsidTr="00EA5AA0">
        <w:trPr>
          <w:trHeight w:val="337"/>
        </w:trPr>
        <w:tc>
          <w:tcPr>
            <w:cnfStyle w:val="001000000000" w:firstRow="0" w:lastRow="0" w:firstColumn="1" w:lastColumn="0" w:oddVBand="0" w:evenVBand="0" w:oddHBand="0" w:evenHBand="0" w:firstRowFirstColumn="0" w:firstRowLastColumn="0" w:lastRowFirstColumn="0" w:lastRowLastColumn="0"/>
            <w:tcW w:w="535" w:type="dxa"/>
            <w:hideMark/>
          </w:tcPr>
          <w:p w:rsidR="00965079" w:rsidRPr="00965079" w:rsidRDefault="00965079" w:rsidP="00965079">
            <w:pPr>
              <w:spacing w:after="0" w:line="240" w:lineRule="auto"/>
              <w:jc w:val="center"/>
              <w:rPr>
                <w:rFonts w:asciiTheme="majorHAnsi" w:eastAsia="Times New Roman" w:hAnsiTheme="majorHAnsi" w:cs="Calibri"/>
                <w:color w:val="000000"/>
                <w:lang w:eastAsia="ko-KR"/>
              </w:rPr>
            </w:pPr>
            <w:r w:rsidRPr="00965079">
              <w:rPr>
                <w:rFonts w:asciiTheme="majorHAnsi" w:eastAsia="Times New Roman" w:hAnsiTheme="majorHAnsi" w:cs="Calibri"/>
                <w:color w:val="000000"/>
                <w:lang w:eastAsia="ko-KR"/>
              </w:rPr>
              <w:t>10</w:t>
            </w:r>
          </w:p>
        </w:tc>
        <w:tc>
          <w:tcPr>
            <w:tcW w:w="2363" w:type="dxa"/>
            <w:hideMark/>
          </w:tcPr>
          <w:p w:rsidR="00965079" w:rsidRPr="00965079" w:rsidRDefault="00965079" w:rsidP="0096507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ko-KR"/>
              </w:rPr>
            </w:pPr>
            <w:r w:rsidRPr="00965079">
              <w:rPr>
                <w:rFonts w:asciiTheme="majorHAnsi" w:eastAsia="Times New Roman" w:hAnsiTheme="majorHAnsi" w:cs="Calibri"/>
                <w:color w:val="000000"/>
                <w:lang w:eastAsia="ko-KR"/>
              </w:rPr>
              <w:t xml:space="preserve">Lucy </w:t>
            </w:r>
            <w:proofErr w:type="spellStart"/>
            <w:r w:rsidRPr="00965079">
              <w:rPr>
                <w:rFonts w:asciiTheme="majorHAnsi" w:eastAsia="Times New Roman" w:hAnsiTheme="majorHAnsi" w:cs="Calibri"/>
                <w:color w:val="000000"/>
                <w:lang w:eastAsia="ko-KR"/>
              </w:rPr>
              <w:t>McKernan</w:t>
            </w:r>
            <w:proofErr w:type="spellEnd"/>
          </w:p>
        </w:tc>
        <w:tc>
          <w:tcPr>
            <w:tcW w:w="6187" w:type="dxa"/>
            <w:hideMark/>
          </w:tcPr>
          <w:p w:rsidR="00965079" w:rsidRPr="00965079" w:rsidRDefault="00965079" w:rsidP="0096507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ko-KR"/>
              </w:rPr>
            </w:pPr>
            <w:r w:rsidRPr="00965079">
              <w:rPr>
                <w:rFonts w:asciiTheme="majorHAnsi" w:eastAsia="Times New Roman" w:hAnsiTheme="majorHAnsi" w:cs="Calibri"/>
                <w:color w:val="000000"/>
                <w:lang w:eastAsia="ko-KR"/>
              </w:rPr>
              <w:t>The Global Initiative for Economic Social and Cultural Rights</w:t>
            </w:r>
          </w:p>
        </w:tc>
      </w:tr>
      <w:tr w:rsidR="00EA5AA0" w:rsidRPr="00523D06" w:rsidTr="00EA5AA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535" w:type="dxa"/>
            <w:hideMark/>
          </w:tcPr>
          <w:p w:rsidR="00965079" w:rsidRPr="00965079" w:rsidRDefault="00965079" w:rsidP="00965079">
            <w:pPr>
              <w:spacing w:after="0" w:line="240" w:lineRule="auto"/>
              <w:jc w:val="center"/>
              <w:rPr>
                <w:rFonts w:asciiTheme="majorHAnsi" w:eastAsia="Times New Roman" w:hAnsiTheme="majorHAnsi" w:cs="Calibri"/>
                <w:color w:val="000000"/>
                <w:lang w:eastAsia="ko-KR"/>
              </w:rPr>
            </w:pPr>
            <w:r w:rsidRPr="00965079">
              <w:rPr>
                <w:rFonts w:asciiTheme="majorHAnsi" w:eastAsia="Times New Roman" w:hAnsiTheme="majorHAnsi" w:cs="Calibri"/>
                <w:color w:val="000000"/>
                <w:lang w:eastAsia="ko-KR"/>
              </w:rPr>
              <w:t>11</w:t>
            </w:r>
          </w:p>
        </w:tc>
        <w:tc>
          <w:tcPr>
            <w:tcW w:w="2363" w:type="dxa"/>
            <w:hideMark/>
          </w:tcPr>
          <w:p w:rsidR="00965079" w:rsidRPr="00965079" w:rsidRDefault="00965079" w:rsidP="0096507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lang w:eastAsia="ko-KR"/>
              </w:rPr>
            </w:pPr>
            <w:proofErr w:type="spellStart"/>
            <w:r w:rsidRPr="00965079">
              <w:rPr>
                <w:rFonts w:asciiTheme="majorHAnsi" w:eastAsia="Times New Roman" w:hAnsiTheme="majorHAnsi" w:cs="Calibri"/>
                <w:color w:val="000000"/>
                <w:lang w:eastAsia="ko-KR"/>
              </w:rPr>
              <w:t>Matheus</w:t>
            </w:r>
            <w:proofErr w:type="spellEnd"/>
            <w:r w:rsidRPr="00965079">
              <w:rPr>
                <w:rFonts w:asciiTheme="majorHAnsi" w:eastAsia="Times New Roman" w:hAnsiTheme="majorHAnsi" w:cs="Calibri"/>
                <w:color w:val="000000"/>
                <w:lang w:eastAsia="ko-KR"/>
              </w:rPr>
              <w:t xml:space="preserve"> Valle Oliveira</w:t>
            </w:r>
          </w:p>
        </w:tc>
        <w:tc>
          <w:tcPr>
            <w:tcW w:w="6187" w:type="dxa"/>
            <w:hideMark/>
          </w:tcPr>
          <w:p w:rsidR="00965079" w:rsidRPr="00965079" w:rsidRDefault="00965079" w:rsidP="0096507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lang w:eastAsia="ko-KR"/>
              </w:rPr>
            </w:pPr>
            <w:proofErr w:type="spellStart"/>
            <w:r w:rsidRPr="00965079">
              <w:rPr>
                <w:rFonts w:asciiTheme="majorHAnsi" w:eastAsia="Times New Roman" w:hAnsiTheme="majorHAnsi" w:cs="Calibri"/>
                <w:color w:val="000000"/>
                <w:lang w:eastAsia="ko-KR"/>
              </w:rPr>
              <w:t>Fundaçao</w:t>
            </w:r>
            <w:proofErr w:type="spellEnd"/>
            <w:r w:rsidRPr="00965079">
              <w:rPr>
                <w:rFonts w:asciiTheme="majorHAnsi" w:eastAsia="Times New Roman" w:hAnsiTheme="majorHAnsi" w:cs="Calibri"/>
                <w:color w:val="000000"/>
                <w:lang w:eastAsia="ko-KR"/>
              </w:rPr>
              <w:t xml:space="preserve"> </w:t>
            </w:r>
            <w:proofErr w:type="spellStart"/>
            <w:r w:rsidRPr="00965079">
              <w:rPr>
                <w:rFonts w:asciiTheme="majorHAnsi" w:eastAsia="Times New Roman" w:hAnsiTheme="majorHAnsi" w:cs="Calibri"/>
                <w:color w:val="000000"/>
                <w:lang w:eastAsia="ko-KR"/>
              </w:rPr>
              <w:t>Oswaldo</w:t>
            </w:r>
            <w:proofErr w:type="spellEnd"/>
            <w:r w:rsidRPr="00965079">
              <w:rPr>
                <w:rFonts w:asciiTheme="majorHAnsi" w:eastAsia="Times New Roman" w:hAnsiTheme="majorHAnsi" w:cs="Calibri"/>
                <w:color w:val="000000"/>
                <w:lang w:eastAsia="ko-KR"/>
              </w:rPr>
              <w:t xml:space="preserve"> Cruz </w:t>
            </w:r>
            <w:proofErr w:type="spellStart"/>
            <w:r w:rsidRPr="00965079">
              <w:rPr>
                <w:rFonts w:asciiTheme="majorHAnsi" w:eastAsia="Times New Roman" w:hAnsiTheme="majorHAnsi" w:cs="Calibri"/>
                <w:color w:val="000000"/>
                <w:lang w:eastAsia="ko-KR"/>
              </w:rPr>
              <w:t>Fiocruz</w:t>
            </w:r>
            <w:proofErr w:type="spellEnd"/>
            <w:r w:rsidRPr="00965079">
              <w:rPr>
                <w:rFonts w:asciiTheme="majorHAnsi" w:eastAsia="Times New Roman" w:hAnsiTheme="majorHAnsi" w:cs="Calibri"/>
                <w:color w:val="000000"/>
                <w:lang w:eastAsia="ko-KR"/>
              </w:rPr>
              <w:t xml:space="preserve"> Minas</w:t>
            </w:r>
          </w:p>
        </w:tc>
      </w:tr>
      <w:tr w:rsidR="00EA5AA0" w:rsidRPr="00523D06" w:rsidTr="00EA5AA0">
        <w:trPr>
          <w:trHeight w:val="301"/>
        </w:trPr>
        <w:tc>
          <w:tcPr>
            <w:cnfStyle w:val="001000000000" w:firstRow="0" w:lastRow="0" w:firstColumn="1" w:lastColumn="0" w:oddVBand="0" w:evenVBand="0" w:oddHBand="0" w:evenHBand="0" w:firstRowFirstColumn="0" w:firstRowLastColumn="0" w:lastRowFirstColumn="0" w:lastRowLastColumn="0"/>
            <w:tcW w:w="535" w:type="dxa"/>
            <w:hideMark/>
          </w:tcPr>
          <w:p w:rsidR="00965079" w:rsidRPr="00965079" w:rsidRDefault="00965079" w:rsidP="00965079">
            <w:pPr>
              <w:spacing w:after="0" w:line="240" w:lineRule="auto"/>
              <w:jc w:val="center"/>
              <w:rPr>
                <w:rFonts w:asciiTheme="majorHAnsi" w:eastAsia="Times New Roman" w:hAnsiTheme="majorHAnsi" w:cs="Calibri"/>
                <w:color w:val="000000"/>
                <w:lang w:eastAsia="ko-KR"/>
              </w:rPr>
            </w:pPr>
            <w:r w:rsidRPr="00965079">
              <w:rPr>
                <w:rFonts w:asciiTheme="majorHAnsi" w:eastAsia="Times New Roman" w:hAnsiTheme="majorHAnsi" w:cs="Calibri"/>
                <w:color w:val="000000"/>
                <w:lang w:eastAsia="ko-KR"/>
              </w:rPr>
              <w:t>12</w:t>
            </w:r>
          </w:p>
        </w:tc>
        <w:tc>
          <w:tcPr>
            <w:tcW w:w="2363" w:type="dxa"/>
            <w:hideMark/>
          </w:tcPr>
          <w:p w:rsidR="00965079" w:rsidRPr="00965079" w:rsidRDefault="00965079" w:rsidP="0096507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ko-KR"/>
              </w:rPr>
            </w:pPr>
            <w:r w:rsidRPr="00965079">
              <w:rPr>
                <w:rFonts w:asciiTheme="majorHAnsi" w:eastAsia="Times New Roman" w:hAnsiTheme="majorHAnsi" w:cs="Calibri"/>
                <w:color w:val="000000"/>
                <w:lang w:eastAsia="ko-KR"/>
              </w:rPr>
              <w:t>Natalia Uribe Panda</w:t>
            </w:r>
          </w:p>
        </w:tc>
        <w:tc>
          <w:tcPr>
            <w:tcW w:w="6187" w:type="dxa"/>
            <w:hideMark/>
          </w:tcPr>
          <w:p w:rsidR="00965079" w:rsidRPr="00965079" w:rsidRDefault="00965079" w:rsidP="0096507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ko-KR"/>
              </w:rPr>
            </w:pPr>
            <w:r w:rsidRPr="00965079">
              <w:rPr>
                <w:rFonts w:asciiTheme="majorHAnsi" w:eastAsia="Times New Roman" w:hAnsiTheme="majorHAnsi" w:cs="Calibri"/>
                <w:color w:val="000000"/>
                <w:lang w:eastAsia="ko-KR"/>
              </w:rPr>
              <w:t>Action Against Hunger, French Water Coalition (Coalition Eau)</w:t>
            </w:r>
          </w:p>
        </w:tc>
      </w:tr>
      <w:tr w:rsidR="00965079" w:rsidRPr="00523D06" w:rsidTr="00EA5AA0">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35" w:type="dxa"/>
            <w:noWrap/>
            <w:hideMark/>
          </w:tcPr>
          <w:p w:rsidR="00965079" w:rsidRPr="00965079" w:rsidRDefault="00965079" w:rsidP="00965079">
            <w:pPr>
              <w:spacing w:after="0" w:line="240" w:lineRule="auto"/>
              <w:jc w:val="center"/>
              <w:rPr>
                <w:rFonts w:asciiTheme="majorHAnsi" w:eastAsia="Times New Roman" w:hAnsiTheme="majorHAnsi" w:cs="Calibri"/>
                <w:color w:val="000000"/>
                <w:lang w:eastAsia="ko-KR"/>
              </w:rPr>
            </w:pPr>
            <w:r w:rsidRPr="00965079">
              <w:rPr>
                <w:rFonts w:asciiTheme="majorHAnsi" w:eastAsia="Times New Roman" w:hAnsiTheme="majorHAnsi" w:cs="Calibri"/>
                <w:color w:val="000000"/>
                <w:lang w:eastAsia="ko-KR"/>
              </w:rPr>
              <w:t>13</w:t>
            </w:r>
          </w:p>
        </w:tc>
        <w:tc>
          <w:tcPr>
            <w:tcW w:w="2363" w:type="dxa"/>
            <w:hideMark/>
          </w:tcPr>
          <w:p w:rsidR="00965079" w:rsidRPr="00965079" w:rsidRDefault="00965079" w:rsidP="0096507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lang w:eastAsia="ko-KR"/>
              </w:rPr>
            </w:pPr>
            <w:r w:rsidRPr="00965079">
              <w:rPr>
                <w:rFonts w:asciiTheme="majorHAnsi" w:eastAsia="Times New Roman" w:hAnsiTheme="majorHAnsi" w:cs="Calibri"/>
                <w:color w:val="000000"/>
                <w:lang w:eastAsia="ko-KR"/>
              </w:rPr>
              <w:t xml:space="preserve">Catherine </w:t>
            </w:r>
            <w:proofErr w:type="spellStart"/>
            <w:r w:rsidRPr="00965079">
              <w:rPr>
                <w:rFonts w:asciiTheme="majorHAnsi" w:eastAsia="Times New Roman" w:hAnsiTheme="majorHAnsi" w:cs="Calibri"/>
                <w:color w:val="000000"/>
                <w:lang w:eastAsia="ko-KR"/>
              </w:rPr>
              <w:t>Brölmann</w:t>
            </w:r>
            <w:proofErr w:type="spellEnd"/>
            <w:r w:rsidRPr="00965079">
              <w:rPr>
                <w:rFonts w:asciiTheme="majorHAnsi" w:eastAsia="Times New Roman" w:hAnsiTheme="majorHAnsi" w:cs="Calibri"/>
                <w:color w:val="000000"/>
                <w:lang w:eastAsia="ko-KR"/>
              </w:rPr>
              <w:t xml:space="preserve"> </w:t>
            </w:r>
          </w:p>
        </w:tc>
        <w:tc>
          <w:tcPr>
            <w:tcW w:w="6187" w:type="dxa"/>
            <w:hideMark/>
          </w:tcPr>
          <w:p w:rsidR="00965079" w:rsidRPr="00965079" w:rsidRDefault="00965079" w:rsidP="0096507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lang w:eastAsia="ko-KR"/>
              </w:rPr>
            </w:pPr>
            <w:r w:rsidRPr="00965079">
              <w:rPr>
                <w:rFonts w:asciiTheme="majorHAnsi" w:eastAsia="Times New Roman" w:hAnsiTheme="majorHAnsi" w:cs="Calibri"/>
                <w:color w:val="000000"/>
                <w:lang w:eastAsia="ko-KR"/>
              </w:rPr>
              <w:t>Department of International Law, University of Amsterdam</w:t>
            </w:r>
          </w:p>
        </w:tc>
      </w:tr>
      <w:tr w:rsidR="00965079" w:rsidRPr="00523D06" w:rsidTr="00EA5AA0">
        <w:trPr>
          <w:trHeight w:val="292"/>
        </w:trPr>
        <w:tc>
          <w:tcPr>
            <w:cnfStyle w:val="001000000000" w:firstRow="0" w:lastRow="0" w:firstColumn="1" w:lastColumn="0" w:oddVBand="0" w:evenVBand="0" w:oddHBand="0" w:evenHBand="0" w:firstRowFirstColumn="0" w:firstRowLastColumn="0" w:lastRowFirstColumn="0" w:lastRowLastColumn="0"/>
            <w:tcW w:w="535" w:type="dxa"/>
            <w:noWrap/>
            <w:hideMark/>
          </w:tcPr>
          <w:p w:rsidR="00965079" w:rsidRPr="00965079" w:rsidRDefault="00965079" w:rsidP="00965079">
            <w:pPr>
              <w:spacing w:after="0" w:line="240" w:lineRule="auto"/>
              <w:jc w:val="center"/>
              <w:rPr>
                <w:rFonts w:asciiTheme="majorHAnsi" w:eastAsia="Times New Roman" w:hAnsiTheme="majorHAnsi" w:cs="Calibri"/>
                <w:color w:val="000000"/>
                <w:lang w:eastAsia="ko-KR"/>
              </w:rPr>
            </w:pPr>
            <w:r w:rsidRPr="00965079">
              <w:rPr>
                <w:rFonts w:asciiTheme="majorHAnsi" w:eastAsia="Times New Roman" w:hAnsiTheme="majorHAnsi" w:cs="Calibri"/>
                <w:color w:val="000000"/>
                <w:lang w:eastAsia="ko-KR"/>
              </w:rPr>
              <w:t>14</w:t>
            </w:r>
          </w:p>
        </w:tc>
        <w:tc>
          <w:tcPr>
            <w:tcW w:w="2363" w:type="dxa"/>
            <w:hideMark/>
          </w:tcPr>
          <w:p w:rsidR="00965079" w:rsidRPr="00965079" w:rsidRDefault="00965079" w:rsidP="0096507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ko-KR"/>
              </w:rPr>
            </w:pPr>
            <w:proofErr w:type="spellStart"/>
            <w:r w:rsidRPr="00965079">
              <w:rPr>
                <w:rFonts w:asciiTheme="majorHAnsi" w:eastAsia="Times New Roman" w:hAnsiTheme="majorHAnsi" w:cs="Calibri"/>
                <w:color w:val="000000"/>
                <w:lang w:eastAsia="ko-KR"/>
              </w:rPr>
              <w:t>Priscila</w:t>
            </w:r>
            <w:proofErr w:type="spellEnd"/>
            <w:r w:rsidRPr="00965079">
              <w:rPr>
                <w:rFonts w:asciiTheme="majorHAnsi" w:eastAsia="Times New Roman" w:hAnsiTheme="majorHAnsi" w:cs="Calibri"/>
                <w:color w:val="000000"/>
                <w:lang w:eastAsia="ko-KR"/>
              </w:rPr>
              <w:t xml:space="preserve"> </w:t>
            </w:r>
            <w:proofErr w:type="spellStart"/>
            <w:r w:rsidRPr="00965079">
              <w:rPr>
                <w:rFonts w:asciiTheme="majorHAnsi" w:eastAsia="Times New Roman" w:hAnsiTheme="majorHAnsi" w:cs="Calibri"/>
                <w:color w:val="000000"/>
                <w:lang w:eastAsia="ko-KR"/>
              </w:rPr>
              <w:t>Neves</w:t>
            </w:r>
            <w:proofErr w:type="spellEnd"/>
            <w:r w:rsidRPr="00965079">
              <w:rPr>
                <w:rFonts w:asciiTheme="majorHAnsi" w:eastAsia="Times New Roman" w:hAnsiTheme="majorHAnsi" w:cs="Calibri"/>
                <w:color w:val="000000"/>
                <w:lang w:eastAsia="ko-KR"/>
              </w:rPr>
              <w:t xml:space="preserve"> Silva</w:t>
            </w:r>
          </w:p>
        </w:tc>
        <w:tc>
          <w:tcPr>
            <w:tcW w:w="6187" w:type="dxa"/>
            <w:noWrap/>
            <w:hideMark/>
          </w:tcPr>
          <w:p w:rsidR="00965079" w:rsidRPr="00965079" w:rsidRDefault="00965079" w:rsidP="0096507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ko-KR"/>
              </w:rPr>
            </w:pPr>
            <w:proofErr w:type="spellStart"/>
            <w:r w:rsidRPr="00523D06">
              <w:rPr>
                <w:rFonts w:asciiTheme="majorHAnsi" w:eastAsia="Times New Roman" w:hAnsiTheme="majorHAnsi" w:cs="Calibri"/>
                <w:color w:val="000000"/>
                <w:lang w:eastAsia="ko-KR"/>
              </w:rPr>
              <w:t>Fiocruz</w:t>
            </w:r>
            <w:proofErr w:type="spellEnd"/>
            <w:r w:rsidRPr="00523D06">
              <w:rPr>
                <w:rFonts w:asciiTheme="majorHAnsi" w:eastAsia="Times New Roman" w:hAnsiTheme="majorHAnsi" w:cs="Calibri"/>
                <w:color w:val="000000"/>
                <w:lang w:eastAsia="ko-KR"/>
              </w:rPr>
              <w:t xml:space="preserve"> - MG</w:t>
            </w:r>
          </w:p>
        </w:tc>
      </w:tr>
      <w:tr w:rsidR="00965079" w:rsidRPr="00523D06" w:rsidTr="00EA5A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5" w:type="dxa"/>
            <w:noWrap/>
            <w:hideMark/>
          </w:tcPr>
          <w:p w:rsidR="00965079" w:rsidRPr="00965079" w:rsidRDefault="00965079" w:rsidP="00965079">
            <w:pPr>
              <w:spacing w:after="0" w:line="240" w:lineRule="auto"/>
              <w:jc w:val="center"/>
              <w:rPr>
                <w:rFonts w:asciiTheme="majorHAnsi" w:eastAsia="Times New Roman" w:hAnsiTheme="majorHAnsi" w:cs="Calibri"/>
                <w:color w:val="000000"/>
                <w:lang w:eastAsia="ko-KR"/>
              </w:rPr>
            </w:pPr>
            <w:r w:rsidRPr="00965079">
              <w:rPr>
                <w:rFonts w:asciiTheme="majorHAnsi" w:eastAsia="Times New Roman" w:hAnsiTheme="majorHAnsi" w:cs="Calibri"/>
                <w:color w:val="000000"/>
                <w:lang w:eastAsia="ko-KR"/>
              </w:rPr>
              <w:t>16</w:t>
            </w:r>
          </w:p>
        </w:tc>
        <w:tc>
          <w:tcPr>
            <w:tcW w:w="2363" w:type="dxa"/>
            <w:hideMark/>
          </w:tcPr>
          <w:p w:rsidR="00965079" w:rsidRPr="00965079" w:rsidRDefault="00965079" w:rsidP="0096507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lang w:eastAsia="ko-KR"/>
              </w:rPr>
            </w:pPr>
            <w:proofErr w:type="spellStart"/>
            <w:r w:rsidRPr="00965079">
              <w:rPr>
                <w:rFonts w:asciiTheme="majorHAnsi" w:eastAsia="Times New Roman" w:hAnsiTheme="majorHAnsi" w:cs="Calibri"/>
                <w:color w:val="000000"/>
                <w:lang w:eastAsia="ko-KR"/>
              </w:rPr>
              <w:t>Madoka</w:t>
            </w:r>
            <w:proofErr w:type="spellEnd"/>
            <w:r w:rsidRPr="00965079">
              <w:rPr>
                <w:rFonts w:asciiTheme="majorHAnsi" w:eastAsia="Times New Roman" w:hAnsiTheme="majorHAnsi" w:cs="Calibri"/>
                <w:color w:val="000000"/>
                <w:lang w:eastAsia="ko-KR"/>
              </w:rPr>
              <w:t xml:space="preserve"> </w:t>
            </w:r>
            <w:proofErr w:type="spellStart"/>
            <w:r w:rsidRPr="00965079">
              <w:rPr>
                <w:rFonts w:asciiTheme="majorHAnsi" w:eastAsia="Times New Roman" w:hAnsiTheme="majorHAnsi" w:cs="Calibri"/>
                <w:color w:val="000000"/>
                <w:lang w:eastAsia="ko-KR"/>
              </w:rPr>
              <w:t>Saji</w:t>
            </w:r>
            <w:proofErr w:type="spellEnd"/>
          </w:p>
        </w:tc>
        <w:tc>
          <w:tcPr>
            <w:tcW w:w="6187" w:type="dxa"/>
            <w:hideMark/>
          </w:tcPr>
          <w:p w:rsidR="00965079" w:rsidRPr="00965079" w:rsidRDefault="00965079" w:rsidP="0096507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lang w:eastAsia="ko-KR"/>
              </w:rPr>
            </w:pPr>
            <w:r w:rsidRPr="00523D06">
              <w:rPr>
                <w:rFonts w:asciiTheme="majorHAnsi" w:eastAsia="Times New Roman" w:hAnsiTheme="majorHAnsi" w:cs="Calibri"/>
                <w:color w:val="000000"/>
                <w:lang w:eastAsia="ko-KR"/>
              </w:rPr>
              <w:t>Office of the High Commissioner for Human Rights</w:t>
            </w:r>
          </w:p>
        </w:tc>
      </w:tr>
      <w:tr w:rsidR="00EA5AA0" w:rsidRPr="00523D06" w:rsidTr="00EA5AA0">
        <w:trPr>
          <w:trHeight w:val="328"/>
        </w:trPr>
        <w:tc>
          <w:tcPr>
            <w:cnfStyle w:val="001000000000" w:firstRow="0" w:lastRow="0" w:firstColumn="1" w:lastColumn="0" w:oddVBand="0" w:evenVBand="0" w:oddHBand="0" w:evenHBand="0" w:firstRowFirstColumn="0" w:firstRowLastColumn="0" w:lastRowFirstColumn="0" w:lastRowLastColumn="0"/>
            <w:tcW w:w="535" w:type="dxa"/>
            <w:noWrap/>
            <w:hideMark/>
          </w:tcPr>
          <w:p w:rsidR="00965079" w:rsidRPr="00965079" w:rsidRDefault="00965079" w:rsidP="00965079">
            <w:pPr>
              <w:spacing w:after="0" w:line="240" w:lineRule="auto"/>
              <w:jc w:val="center"/>
              <w:rPr>
                <w:rFonts w:asciiTheme="majorHAnsi" w:eastAsia="Times New Roman" w:hAnsiTheme="majorHAnsi" w:cs="Calibri"/>
                <w:color w:val="000000"/>
                <w:lang w:eastAsia="ko-KR"/>
              </w:rPr>
            </w:pPr>
            <w:r w:rsidRPr="00965079">
              <w:rPr>
                <w:rFonts w:asciiTheme="majorHAnsi" w:eastAsia="Times New Roman" w:hAnsiTheme="majorHAnsi" w:cs="Calibri"/>
                <w:color w:val="000000"/>
                <w:lang w:eastAsia="ko-KR"/>
              </w:rPr>
              <w:t>17</w:t>
            </w:r>
          </w:p>
        </w:tc>
        <w:tc>
          <w:tcPr>
            <w:tcW w:w="2363" w:type="dxa"/>
            <w:hideMark/>
          </w:tcPr>
          <w:p w:rsidR="00965079" w:rsidRPr="00965079" w:rsidRDefault="00965079" w:rsidP="0096507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ko-KR"/>
              </w:rPr>
            </w:pPr>
            <w:r w:rsidRPr="00965079">
              <w:rPr>
                <w:rFonts w:asciiTheme="majorHAnsi" w:eastAsia="Times New Roman" w:hAnsiTheme="majorHAnsi" w:cs="Calibri"/>
                <w:color w:val="000000"/>
                <w:lang w:eastAsia="ko-KR"/>
              </w:rPr>
              <w:t>Ahreum Lee</w:t>
            </w:r>
          </w:p>
        </w:tc>
        <w:tc>
          <w:tcPr>
            <w:tcW w:w="6187" w:type="dxa"/>
            <w:hideMark/>
          </w:tcPr>
          <w:p w:rsidR="00965079" w:rsidRPr="00965079" w:rsidRDefault="00965079" w:rsidP="0096507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ko-KR"/>
              </w:rPr>
            </w:pPr>
            <w:r w:rsidRPr="00523D06">
              <w:rPr>
                <w:rFonts w:asciiTheme="majorHAnsi" w:eastAsia="Times New Roman" w:hAnsiTheme="majorHAnsi" w:cs="Calibri"/>
                <w:color w:val="000000"/>
                <w:lang w:eastAsia="ko-KR"/>
              </w:rPr>
              <w:t>Office of the High Commissioner for Human Rights</w:t>
            </w:r>
          </w:p>
        </w:tc>
      </w:tr>
      <w:tr w:rsidR="00EA5AA0" w:rsidRPr="00523D06" w:rsidTr="00EA5A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5" w:type="dxa"/>
            <w:noWrap/>
            <w:hideMark/>
          </w:tcPr>
          <w:p w:rsidR="00965079" w:rsidRPr="00965079" w:rsidRDefault="00965079" w:rsidP="00965079">
            <w:pPr>
              <w:spacing w:after="0" w:line="240" w:lineRule="auto"/>
              <w:jc w:val="center"/>
              <w:rPr>
                <w:rFonts w:asciiTheme="majorHAnsi" w:eastAsia="Times New Roman" w:hAnsiTheme="majorHAnsi" w:cs="Calibri"/>
                <w:color w:val="000000"/>
                <w:lang w:eastAsia="ko-KR"/>
              </w:rPr>
            </w:pPr>
            <w:r w:rsidRPr="00965079">
              <w:rPr>
                <w:rFonts w:asciiTheme="majorHAnsi" w:eastAsia="Times New Roman" w:hAnsiTheme="majorHAnsi" w:cs="Calibri"/>
                <w:color w:val="000000"/>
                <w:lang w:eastAsia="ko-KR"/>
              </w:rPr>
              <w:t>18</w:t>
            </w:r>
          </w:p>
        </w:tc>
        <w:tc>
          <w:tcPr>
            <w:tcW w:w="2363" w:type="dxa"/>
            <w:hideMark/>
          </w:tcPr>
          <w:p w:rsidR="00965079" w:rsidRPr="00965079" w:rsidRDefault="00965079" w:rsidP="0096507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lang w:eastAsia="ko-KR"/>
              </w:rPr>
            </w:pPr>
            <w:r w:rsidRPr="00965079">
              <w:rPr>
                <w:rFonts w:asciiTheme="majorHAnsi" w:eastAsia="Times New Roman" w:hAnsiTheme="majorHAnsi" w:cs="Calibri"/>
                <w:color w:val="000000"/>
                <w:lang w:eastAsia="ko-KR"/>
              </w:rPr>
              <w:t xml:space="preserve">Laura van de </w:t>
            </w:r>
            <w:proofErr w:type="spellStart"/>
            <w:r w:rsidRPr="00965079">
              <w:rPr>
                <w:rFonts w:asciiTheme="majorHAnsi" w:eastAsia="Times New Roman" w:hAnsiTheme="majorHAnsi" w:cs="Calibri"/>
                <w:color w:val="000000"/>
                <w:lang w:eastAsia="ko-KR"/>
              </w:rPr>
              <w:t>Lande</w:t>
            </w:r>
            <w:proofErr w:type="spellEnd"/>
          </w:p>
        </w:tc>
        <w:tc>
          <w:tcPr>
            <w:tcW w:w="6187" w:type="dxa"/>
            <w:hideMark/>
          </w:tcPr>
          <w:p w:rsidR="00965079" w:rsidRPr="00965079" w:rsidRDefault="00965079" w:rsidP="0096507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lang w:eastAsia="ko-KR"/>
              </w:rPr>
            </w:pPr>
            <w:r w:rsidRPr="00965079">
              <w:rPr>
                <w:rFonts w:asciiTheme="majorHAnsi" w:eastAsia="Times New Roman" w:hAnsiTheme="majorHAnsi" w:cs="Calibri"/>
                <w:color w:val="000000"/>
                <w:lang w:eastAsia="ko-KR"/>
              </w:rPr>
              <w:t>External assistant</w:t>
            </w:r>
            <w:r w:rsidR="00FF5680">
              <w:rPr>
                <w:rFonts w:asciiTheme="majorHAnsi" w:eastAsia="Times New Roman" w:hAnsiTheme="majorHAnsi" w:cs="Calibri"/>
                <w:color w:val="000000"/>
                <w:lang w:eastAsia="ko-KR"/>
              </w:rPr>
              <w:t xml:space="preserve"> of the mandate of the Special Rapporteur</w:t>
            </w:r>
          </w:p>
        </w:tc>
      </w:tr>
    </w:tbl>
    <w:p w:rsidR="00832C20" w:rsidRPr="00523D06" w:rsidRDefault="00832C20">
      <w:pPr>
        <w:spacing w:after="0" w:line="240" w:lineRule="auto"/>
        <w:rPr>
          <w:rFonts w:asciiTheme="majorHAnsi" w:hAnsiTheme="majorHAnsi"/>
          <w:b/>
          <w:color w:val="365F91"/>
          <w:u w:val="single"/>
        </w:rPr>
      </w:pPr>
      <w:r w:rsidRPr="00523D06">
        <w:rPr>
          <w:rFonts w:asciiTheme="majorHAnsi" w:hAnsiTheme="majorHAnsi"/>
          <w:b/>
          <w:color w:val="365F91"/>
          <w:u w:val="single"/>
        </w:rPr>
        <w:br w:type="page"/>
      </w:r>
    </w:p>
    <w:p w:rsidR="008003CD" w:rsidRPr="00523D06" w:rsidRDefault="008003CD" w:rsidP="00965079">
      <w:pPr>
        <w:spacing w:after="0" w:line="240" w:lineRule="auto"/>
        <w:rPr>
          <w:rFonts w:asciiTheme="majorHAnsi" w:hAnsiTheme="majorHAnsi"/>
          <w:b/>
          <w:color w:val="365F91"/>
          <w:u w:val="single"/>
        </w:rPr>
      </w:pPr>
      <w:r w:rsidRPr="00523D06">
        <w:rPr>
          <w:rFonts w:asciiTheme="majorHAnsi" w:hAnsiTheme="majorHAnsi"/>
          <w:b/>
          <w:color w:val="365F91"/>
          <w:u w:val="single"/>
        </w:rPr>
        <w:lastRenderedPageBreak/>
        <w:t>Annex I</w:t>
      </w:r>
    </w:p>
    <w:p w:rsidR="008003CD" w:rsidRPr="00523D06" w:rsidRDefault="008003CD" w:rsidP="00F63957">
      <w:pPr>
        <w:pStyle w:val="ListParagraph"/>
        <w:numPr>
          <w:ilvl w:val="0"/>
          <w:numId w:val="6"/>
        </w:numPr>
        <w:spacing w:before="300" w:after="200"/>
        <w:rPr>
          <w:rFonts w:asciiTheme="majorHAnsi" w:hAnsiTheme="majorHAnsi"/>
        </w:rPr>
      </w:pPr>
      <w:r w:rsidRPr="00523D06">
        <w:rPr>
          <w:rFonts w:asciiTheme="majorHAnsi" w:hAnsiTheme="majorHAnsi"/>
        </w:rPr>
        <w:t>Accountability as a core human rights principle can be approached trough a preventative or a corrective role. It seeks to influence decisions related to policy, provision and regulation of water and sanitation services, making it more responsive to the needs of rights-holders and it helps to determine whether the responsible actor is on track in progressively realising the human rights to water and sanitation. Accountability also serves a corrective function, making it possible to address individual or collective grievances, and sanction wrongdoing by the individuals and institutions responsible.”</w:t>
      </w:r>
      <w:r w:rsidRPr="00523D06">
        <w:rPr>
          <w:rStyle w:val="FootnoteReference"/>
          <w:rFonts w:asciiTheme="majorHAnsi" w:hAnsiTheme="majorHAnsi"/>
        </w:rPr>
        <w:footnoteReference w:id="8"/>
      </w:r>
    </w:p>
    <w:p w:rsidR="008003CD" w:rsidRPr="00523D06" w:rsidRDefault="008003CD" w:rsidP="00F63957">
      <w:pPr>
        <w:pStyle w:val="ListParagraph"/>
        <w:numPr>
          <w:ilvl w:val="0"/>
          <w:numId w:val="6"/>
        </w:numPr>
        <w:spacing w:before="300" w:after="200"/>
        <w:rPr>
          <w:rFonts w:asciiTheme="majorHAnsi" w:hAnsiTheme="majorHAnsi"/>
        </w:rPr>
      </w:pPr>
      <w:r w:rsidRPr="00523D06">
        <w:rPr>
          <w:rFonts w:asciiTheme="majorHAnsi" w:hAnsiTheme="majorHAnsi"/>
        </w:rPr>
        <w:t>“</w:t>
      </w:r>
      <w:proofErr w:type="gramStart"/>
      <w:r w:rsidRPr="00523D06">
        <w:rPr>
          <w:rFonts w:asciiTheme="majorHAnsi" w:hAnsiTheme="majorHAnsi"/>
        </w:rPr>
        <w:t>the</w:t>
      </w:r>
      <w:proofErr w:type="gramEnd"/>
      <w:r w:rsidRPr="00523D06">
        <w:rPr>
          <w:rFonts w:asciiTheme="majorHAnsi" w:hAnsiTheme="majorHAnsi"/>
        </w:rPr>
        <w:t xml:space="preserve"> means by which individuals and communities take ownership of their rights and ensure that States as primary duty-bearers, respect, protect, and fulfil their international and national obligations. This is fundamental to the individual empowerment and personal dignity that lies at the heart of international human rights.”</w:t>
      </w:r>
      <w:r w:rsidRPr="00523D06">
        <w:rPr>
          <w:rStyle w:val="FootnoteReference"/>
          <w:rFonts w:asciiTheme="majorHAnsi" w:hAnsiTheme="majorHAnsi"/>
        </w:rPr>
        <w:footnoteReference w:id="9"/>
      </w:r>
    </w:p>
    <w:p w:rsidR="008003CD" w:rsidRPr="00523D06" w:rsidRDefault="008003CD" w:rsidP="00F63957">
      <w:pPr>
        <w:pStyle w:val="ListParagraph"/>
        <w:numPr>
          <w:ilvl w:val="0"/>
          <w:numId w:val="6"/>
        </w:numPr>
        <w:spacing w:before="300" w:after="200"/>
        <w:rPr>
          <w:rFonts w:asciiTheme="majorHAnsi" w:hAnsiTheme="majorHAnsi"/>
          <w:b/>
          <w:u w:val="single"/>
        </w:rPr>
      </w:pPr>
      <w:r w:rsidRPr="00523D06">
        <w:rPr>
          <w:rFonts w:asciiTheme="majorHAnsi" w:hAnsiTheme="majorHAnsi"/>
        </w:rPr>
        <w:t>The Committee on Legal Affairs and Human Rights explains: “The essential basis of accountability is to scrutinise the performance of power wielders by seeking information, explanation and justification.”</w:t>
      </w:r>
      <w:r w:rsidRPr="00523D06">
        <w:rPr>
          <w:rStyle w:val="FootnoteReference"/>
          <w:rFonts w:asciiTheme="majorHAnsi" w:hAnsiTheme="majorHAnsi"/>
        </w:rPr>
        <w:footnoteReference w:id="10"/>
      </w:r>
      <w:r w:rsidRPr="00523D06">
        <w:rPr>
          <w:rFonts w:asciiTheme="majorHAnsi" w:hAnsiTheme="majorHAnsi"/>
          <w:b/>
          <w:u w:val="single"/>
        </w:rPr>
        <w:t xml:space="preserve"> </w:t>
      </w:r>
    </w:p>
    <w:p w:rsidR="008003CD" w:rsidRPr="00523D06" w:rsidRDefault="008003CD" w:rsidP="00965079">
      <w:pPr>
        <w:spacing w:after="0" w:line="240" w:lineRule="auto"/>
        <w:rPr>
          <w:rFonts w:asciiTheme="majorHAnsi" w:hAnsiTheme="majorHAnsi"/>
          <w:b/>
          <w:color w:val="365F91"/>
          <w:u w:val="single"/>
        </w:rPr>
      </w:pPr>
      <w:r w:rsidRPr="00523D06">
        <w:rPr>
          <w:rFonts w:asciiTheme="majorHAnsi" w:hAnsiTheme="majorHAnsi"/>
          <w:b/>
          <w:color w:val="365F91"/>
          <w:u w:val="single"/>
        </w:rPr>
        <w:t>Annex II</w:t>
      </w:r>
    </w:p>
    <w:p w:rsidR="00D80C76" w:rsidRPr="00523D06" w:rsidRDefault="00D533C0" w:rsidP="008003CD">
      <w:pPr>
        <w:spacing w:line="276" w:lineRule="auto"/>
        <w:jc w:val="both"/>
        <w:rPr>
          <w:rFonts w:asciiTheme="majorHAnsi" w:hAnsiTheme="majorHAnsi"/>
          <w:b/>
          <w:color w:val="365F91"/>
          <w:u w:val="single"/>
        </w:rPr>
      </w:pPr>
      <w:r w:rsidRPr="00523D06">
        <w:rPr>
          <w:rFonts w:asciiTheme="majorHAnsi" w:hAnsiTheme="majorHAnsi"/>
          <w:b/>
          <w:noProof/>
          <w:color w:val="365F91"/>
          <w:u w:val="single"/>
          <w:lang w:val="en-US"/>
        </w:rPr>
        <w:drawing>
          <wp:inline distT="0" distB="0" distL="0" distR="0">
            <wp:extent cx="3639820" cy="3665220"/>
            <wp:effectExtent l="1905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srcRect/>
                    <a:stretch>
                      <a:fillRect/>
                    </a:stretch>
                  </pic:blipFill>
                  <pic:spPr bwMode="auto">
                    <a:xfrm>
                      <a:off x="0" y="0"/>
                      <a:ext cx="3639820" cy="3665220"/>
                    </a:xfrm>
                    <a:prstGeom prst="rect">
                      <a:avLst/>
                    </a:prstGeom>
                    <a:noFill/>
                  </pic:spPr>
                </pic:pic>
              </a:graphicData>
            </a:graphic>
          </wp:inline>
        </w:drawing>
      </w:r>
    </w:p>
    <w:sectPr w:rsidR="00D80C76" w:rsidRPr="00523D06" w:rsidSect="00B13AF7">
      <w:footerReference w:type="default" r:id="rId1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1D8" w:rsidRDefault="009821D8" w:rsidP="007A1EF8">
      <w:pPr>
        <w:spacing w:after="0" w:line="240" w:lineRule="auto"/>
      </w:pPr>
      <w:r>
        <w:separator/>
      </w:r>
    </w:p>
  </w:endnote>
  <w:endnote w:type="continuationSeparator" w:id="0">
    <w:p w:rsidR="009821D8" w:rsidRDefault="009821D8" w:rsidP="007A1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Segoe UI">
    <w:charset w:val="00"/>
    <w:family w:val="swiss"/>
    <w:pitch w:val="variable"/>
    <w:sig w:usb0="E10022FF" w:usb1="C000E47F" w:usb2="00000029" w:usb3="00000000" w:csb0="000001D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맑은 고딕">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897395"/>
      <w:docPartObj>
        <w:docPartGallery w:val="Page Numbers (Bottom of Page)"/>
        <w:docPartUnique/>
      </w:docPartObj>
    </w:sdtPr>
    <w:sdtEndPr>
      <w:rPr>
        <w:noProof/>
      </w:rPr>
    </w:sdtEndPr>
    <w:sdtContent>
      <w:p w:rsidR="00523D06" w:rsidRDefault="00523D06">
        <w:pPr>
          <w:pStyle w:val="Footer"/>
          <w:jc w:val="center"/>
        </w:pPr>
        <w:r>
          <w:fldChar w:fldCharType="begin"/>
        </w:r>
        <w:r>
          <w:instrText xml:space="preserve"> PAGE   \* MERGEFORMAT </w:instrText>
        </w:r>
        <w:r>
          <w:fldChar w:fldCharType="separate"/>
        </w:r>
        <w:r w:rsidR="00964742">
          <w:rPr>
            <w:noProof/>
          </w:rPr>
          <w:t>8</w:t>
        </w:r>
        <w:r>
          <w:rPr>
            <w:noProof/>
          </w:rPr>
          <w:fldChar w:fldCharType="end"/>
        </w:r>
      </w:p>
    </w:sdtContent>
  </w:sdt>
  <w:p w:rsidR="00523D06" w:rsidRDefault="00523D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1D8" w:rsidRDefault="009821D8" w:rsidP="007A1EF8">
      <w:pPr>
        <w:spacing w:after="0" w:line="240" w:lineRule="auto"/>
      </w:pPr>
      <w:r>
        <w:separator/>
      </w:r>
    </w:p>
  </w:footnote>
  <w:footnote w:type="continuationSeparator" w:id="0">
    <w:p w:rsidR="009821D8" w:rsidRDefault="009821D8" w:rsidP="007A1EF8">
      <w:pPr>
        <w:spacing w:after="0" w:line="240" w:lineRule="auto"/>
      </w:pPr>
      <w:r>
        <w:continuationSeparator/>
      </w:r>
    </w:p>
  </w:footnote>
  <w:footnote w:id="1">
    <w:p w:rsidR="001C1961" w:rsidRPr="00965079" w:rsidRDefault="001C1961" w:rsidP="00337927">
      <w:pPr>
        <w:pStyle w:val="FootnoteText"/>
        <w:rPr>
          <w:rFonts w:asciiTheme="minorHAnsi" w:hAnsiTheme="minorHAnsi" w:cstheme="minorHAnsi"/>
          <w:vertAlign w:val="subscript"/>
        </w:rPr>
      </w:pPr>
      <w:r w:rsidRPr="00965079">
        <w:rPr>
          <w:rStyle w:val="FootnoteReference"/>
          <w:rFonts w:asciiTheme="minorHAnsi" w:hAnsiTheme="minorHAnsi" w:cstheme="minorHAnsi"/>
          <w:vertAlign w:val="subscript"/>
        </w:rPr>
        <w:footnoteRef/>
      </w:r>
      <w:r w:rsidRPr="00965079">
        <w:rPr>
          <w:rFonts w:asciiTheme="minorHAnsi" w:hAnsiTheme="minorHAnsi" w:cstheme="minorHAnsi"/>
          <w:vertAlign w:val="subscript"/>
        </w:rPr>
        <w:t xml:space="preserve"> Non-State actors may include, but are not limited to: businesses, private actors, development organisations, </w:t>
      </w:r>
      <w:proofErr w:type="gramStart"/>
      <w:r w:rsidRPr="00965079">
        <w:rPr>
          <w:rFonts w:asciiTheme="minorHAnsi" w:hAnsiTheme="minorHAnsi" w:cstheme="minorHAnsi"/>
          <w:vertAlign w:val="subscript"/>
        </w:rPr>
        <w:t>non</w:t>
      </w:r>
      <w:proofErr w:type="gramEnd"/>
      <w:r w:rsidRPr="00965079">
        <w:rPr>
          <w:rFonts w:asciiTheme="minorHAnsi" w:hAnsiTheme="minorHAnsi" w:cstheme="minorHAnsi"/>
          <w:vertAlign w:val="subscript"/>
        </w:rPr>
        <w:t>-governmental organisations, among others.</w:t>
      </w:r>
    </w:p>
  </w:footnote>
  <w:footnote w:id="2">
    <w:p w:rsidR="00B12BA3" w:rsidRPr="00965079" w:rsidRDefault="00B12BA3" w:rsidP="00337927">
      <w:pPr>
        <w:pStyle w:val="FootnoteText"/>
        <w:rPr>
          <w:rFonts w:asciiTheme="minorHAnsi" w:hAnsiTheme="minorHAnsi" w:cstheme="minorHAnsi"/>
          <w:vertAlign w:val="subscript"/>
        </w:rPr>
      </w:pPr>
      <w:r w:rsidRPr="00965079">
        <w:rPr>
          <w:rStyle w:val="FootnoteReference"/>
          <w:rFonts w:asciiTheme="minorHAnsi" w:hAnsiTheme="minorHAnsi" w:cstheme="minorHAnsi"/>
          <w:vertAlign w:val="subscript"/>
        </w:rPr>
        <w:footnoteRef/>
      </w:r>
      <w:r w:rsidRPr="00965079">
        <w:rPr>
          <w:rFonts w:asciiTheme="minorHAnsi" w:hAnsiTheme="minorHAnsi" w:cstheme="minorHAnsi"/>
          <w:vertAlign w:val="subscript"/>
        </w:rPr>
        <w:t xml:space="preserve"> Office of the High Commissioner for Human Rights, “Who will be accountable? Human Rights and the Post-2015 Development Agenda” (2013), p. 10 available from http://www.ohchr.org/Documents/Publications/WhoWillBeAccountable.pdf</w:t>
      </w:r>
    </w:p>
  </w:footnote>
  <w:footnote w:id="3">
    <w:p w:rsidR="00884F2A" w:rsidRPr="00965079" w:rsidRDefault="00884F2A" w:rsidP="00337927">
      <w:pPr>
        <w:pStyle w:val="FootnoteText"/>
        <w:rPr>
          <w:rFonts w:asciiTheme="minorHAnsi" w:hAnsiTheme="minorHAnsi" w:cstheme="minorHAnsi"/>
        </w:rPr>
      </w:pPr>
      <w:r w:rsidRPr="00965079">
        <w:rPr>
          <w:rStyle w:val="FootnoteReference"/>
          <w:rFonts w:asciiTheme="minorHAnsi" w:hAnsiTheme="minorHAnsi" w:cstheme="minorHAnsi"/>
        </w:rPr>
        <w:footnoteRef/>
      </w:r>
      <w:r w:rsidRPr="00965079">
        <w:rPr>
          <w:rFonts w:asciiTheme="minorHAnsi" w:hAnsiTheme="minorHAnsi" w:cstheme="minorHAnsi"/>
        </w:rPr>
        <w:t xml:space="preserve"> This is observed by the Special Rapporteur in many of his country visits, including in his recent one to Mongolia: </w:t>
      </w:r>
      <w:hyperlink r:id="rId1" w:history="1">
        <w:r w:rsidRPr="00965079">
          <w:rPr>
            <w:rStyle w:val="Hyperlink"/>
            <w:rFonts w:asciiTheme="minorHAnsi" w:hAnsiTheme="minorHAnsi" w:cstheme="minorHAnsi"/>
          </w:rPr>
          <w:t>http://www.ohchr.org/EN/NewsEvents/Pages/DisplayNews.aspx?NewsID=22957&amp;LangID=E</w:t>
        </w:r>
      </w:hyperlink>
      <w:r w:rsidRPr="00965079">
        <w:rPr>
          <w:rFonts w:asciiTheme="minorHAnsi" w:hAnsiTheme="minorHAnsi" w:cstheme="minorHAnsi"/>
        </w:rPr>
        <w:t xml:space="preserve"> </w:t>
      </w:r>
      <w:r w:rsidR="002D3146" w:rsidRPr="00965079">
        <w:rPr>
          <w:rFonts w:asciiTheme="minorHAnsi" w:hAnsiTheme="minorHAnsi" w:cstheme="minorHAnsi"/>
        </w:rPr>
        <w:br/>
      </w:r>
      <w:r w:rsidRPr="00965079">
        <w:rPr>
          <w:rFonts w:asciiTheme="minorHAnsi" w:hAnsiTheme="minorHAnsi" w:cstheme="minorHAnsi"/>
        </w:rPr>
        <w:t xml:space="preserve">Reports of country visits where unclear roles and responsibilities for water and sanitation service provision was addressed, include: A/HRC/12/24/Add.1, A/HRC/15/31/Add.3, A/HRC/18/33/Add.3, A/HRC/21/42/Add.2, A/HRC/24/44/Add.1, A/HRC/33/49/Add.2. </w:t>
      </w:r>
    </w:p>
  </w:footnote>
  <w:footnote w:id="4">
    <w:p w:rsidR="008003CD" w:rsidRPr="00965079" w:rsidRDefault="008003CD" w:rsidP="008003CD">
      <w:pPr>
        <w:pStyle w:val="FootnoteText"/>
        <w:rPr>
          <w:rFonts w:asciiTheme="minorHAnsi" w:hAnsiTheme="minorHAnsi" w:cstheme="minorHAnsi"/>
        </w:rPr>
      </w:pPr>
      <w:r w:rsidRPr="00965079">
        <w:rPr>
          <w:rStyle w:val="FootnoteReference"/>
          <w:rFonts w:asciiTheme="minorHAnsi" w:hAnsiTheme="minorHAnsi" w:cstheme="minorHAnsi"/>
        </w:rPr>
        <w:footnoteRef/>
      </w:r>
      <w:r w:rsidRPr="00965079">
        <w:rPr>
          <w:rFonts w:asciiTheme="minorHAnsi" w:hAnsiTheme="minorHAnsi" w:cstheme="minorHAnsi"/>
        </w:rPr>
        <w:t xml:space="preserve"> </w:t>
      </w:r>
      <w:proofErr w:type="spellStart"/>
      <w:r w:rsidRPr="00965079">
        <w:rPr>
          <w:rFonts w:asciiTheme="minorHAnsi" w:hAnsiTheme="minorHAnsi" w:cstheme="minorHAnsi"/>
        </w:rPr>
        <w:t>Alnoor</w:t>
      </w:r>
      <w:proofErr w:type="spellEnd"/>
      <w:r w:rsidRPr="00965079">
        <w:rPr>
          <w:rFonts w:asciiTheme="minorHAnsi" w:hAnsiTheme="minorHAnsi" w:cstheme="minorHAnsi"/>
        </w:rPr>
        <w:t xml:space="preserve"> </w:t>
      </w:r>
      <w:proofErr w:type="spellStart"/>
      <w:r w:rsidRPr="00965079">
        <w:rPr>
          <w:rFonts w:asciiTheme="minorHAnsi" w:hAnsiTheme="minorHAnsi" w:cstheme="minorHAnsi"/>
        </w:rPr>
        <w:t>Ebrahim</w:t>
      </w:r>
      <w:proofErr w:type="spellEnd"/>
      <w:r w:rsidRPr="00965079">
        <w:rPr>
          <w:rFonts w:asciiTheme="minorHAnsi" w:hAnsiTheme="minorHAnsi" w:cstheme="minorHAnsi"/>
        </w:rPr>
        <w:t>, Accountability In Practice: Mechanisms for NGOs, World Development Vol. 31, No. 5, p. 822-823</w:t>
      </w:r>
    </w:p>
  </w:footnote>
  <w:footnote w:id="5">
    <w:p w:rsidR="008003CD" w:rsidRPr="00965079" w:rsidRDefault="008003CD" w:rsidP="008003CD">
      <w:pPr>
        <w:pStyle w:val="FootnoteText"/>
        <w:rPr>
          <w:rFonts w:asciiTheme="minorHAnsi" w:hAnsiTheme="minorHAnsi" w:cstheme="minorHAnsi"/>
        </w:rPr>
      </w:pPr>
      <w:r w:rsidRPr="00965079">
        <w:rPr>
          <w:rStyle w:val="FootnoteReference"/>
          <w:rFonts w:asciiTheme="minorHAnsi" w:hAnsiTheme="minorHAnsi" w:cstheme="minorHAnsi"/>
        </w:rPr>
        <w:footnoteRef/>
      </w:r>
      <w:r w:rsidRPr="00965079">
        <w:rPr>
          <w:rFonts w:asciiTheme="minorHAnsi" w:hAnsiTheme="minorHAnsi" w:cstheme="minorHAnsi"/>
        </w:rPr>
        <w:t xml:space="preserve"> OHCHR, Who will be accountable? Human Rights and the Post-2015 Development Agenda, page 44</w:t>
      </w:r>
    </w:p>
  </w:footnote>
  <w:footnote w:id="6">
    <w:p w:rsidR="008003CD" w:rsidRPr="00965079" w:rsidRDefault="008003CD" w:rsidP="008003CD">
      <w:pPr>
        <w:pStyle w:val="FootnoteText"/>
        <w:rPr>
          <w:rFonts w:asciiTheme="minorHAnsi" w:hAnsiTheme="minorHAnsi" w:cstheme="minorHAnsi"/>
        </w:rPr>
      </w:pPr>
      <w:r w:rsidRPr="00965079">
        <w:rPr>
          <w:rStyle w:val="FootnoteReference"/>
          <w:rFonts w:asciiTheme="minorHAnsi" w:hAnsiTheme="minorHAnsi" w:cstheme="minorHAnsi"/>
        </w:rPr>
        <w:footnoteRef/>
      </w:r>
      <w:r w:rsidRPr="00965079">
        <w:rPr>
          <w:rFonts w:asciiTheme="minorHAnsi" w:hAnsiTheme="minorHAnsi" w:cstheme="minorHAnsi"/>
        </w:rPr>
        <w:t xml:space="preserve"> OHCHR, Who will be accountable? Human Rights and the Post-2015 Development Agenda, page 44</w:t>
      </w:r>
    </w:p>
  </w:footnote>
  <w:footnote w:id="7">
    <w:p w:rsidR="00FE6248" w:rsidRPr="00965079" w:rsidRDefault="00FE6248">
      <w:pPr>
        <w:pStyle w:val="FootnoteText"/>
        <w:rPr>
          <w:rFonts w:asciiTheme="minorHAnsi" w:hAnsiTheme="minorHAnsi" w:cstheme="minorHAnsi"/>
        </w:rPr>
      </w:pPr>
      <w:r w:rsidRPr="00965079">
        <w:rPr>
          <w:rStyle w:val="FootnoteReference"/>
          <w:rFonts w:asciiTheme="minorHAnsi" w:hAnsiTheme="minorHAnsi" w:cstheme="minorHAnsi"/>
        </w:rPr>
        <w:footnoteRef/>
      </w:r>
      <w:r w:rsidRPr="00965079">
        <w:rPr>
          <w:rFonts w:asciiTheme="minorHAnsi" w:hAnsiTheme="minorHAnsi" w:cstheme="minorHAnsi"/>
        </w:rPr>
        <w:t xml:space="preserve"> In a recent e-discussion organisation by the Rural Water Supply Network</w:t>
      </w:r>
      <w:r w:rsidR="005A6D02" w:rsidRPr="00965079">
        <w:rPr>
          <w:rFonts w:asciiTheme="minorHAnsi" w:hAnsiTheme="minorHAnsi" w:cstheme="minorHAnsi"/>
        </w:rPr>
        <w:t>,</w:t>
      </w:r>
      <w:r w:rsidRPr="00965079">
        <w:rPr>
          <w:rFonts w:asciiTheme="minorHAnsi" w:hAnsiTheme="minorHAnsi" w:cstheme="minorHAnsi"/>
        </w:rPr>
        <w:t xml:space="preserve"> the question of accountability of NGOs / CSOs was raised, both in terms of external accountability (to citizens and communities), but also internal (failure of organizations’ reporting chains leading to covering up issues about staff misconduct or abuse and preventing appropriate action to be taken). It was discussed that in contexts where services are heavily subsidized, service providers and governments may be more accountable to donors than their citizens. (</w:t>
      </w:r>
      <w:proofErr w:type="gramStart"/>
      <w:r w:rsidRPr="00965079">
        <w:rPr>
          <w:rFonts w:asciiTheme="minorHAnsi" w:hAnsiTheme="minorHAnsi" w:cstheme="minorHAnsi"/>
        </w:rPr>
        <w:t>www.rural</w:t>
      </w:r>
      <w:proofErr w:type="gramEnd"/>
      <w:r w:rsidRPr="00965079">
        <w:rPr>
          <w:rFonts w:asciiTheme="minorHAnsi" w:hAnsiTheme="minorHAnsi" w:cstheme="minorHAnsi"/>
        </w:rPr>
        <w:t>-water-supply.net/_ressources/documents/default/1-797-4-1521131175.pdf)</w:t>
      </w:r>
      <w:r w:rsidRPr="00965079">
        <w:rPr>
          <w:rStyle w:val="CommentReference"/>
          <w:rFonts w:asciiTheme="minorHAnsi" w:hAnsiTheme="minorHAnsi" w:cstheme="minorHAnsi"/>
          <w:sz w:val="20"/>
          <w:szCs w:val="20"/>
        </w:rPr>
        <w:t xml:space="preserve"> </w:t>
      </w:r>
    </w:p>
  </w:footnote>
  <w:footnote w:id="8">
    <w:p w:rsidR="008003CD" w:rsidRPr="00965079" w:rsidRDefault="008003CD" w:rsidP="008003CD">
      <w:pPr>
        <w:spacing w:after="0"/>
        <w:rPr>
          <w:rFonts w:asciiTheme="minorHAnsi" w:hAnsiTheme="minorHAnsi" w:cstheme="minorHAnsi"/>
          <w:sz w:val="20"/>
          <w:szCs w:val="20"/>
        </w:rPr>
      </w:pPr>
      <w:r w:rsidRPr="00965079">
        <w:rPr>
          <w:rStyle w:val="FootnoteReference"/>
          <w:rFonts w:asciiTheme="minorHAnsi" w:hAnsiTheme="minorHAnsi" w:cstheme="minorHAnsi"/>
          <w:sz w:val="20"/>
          <w:szCs w:val="20"/>
        </w:rPr>
        <w:footnoteRef/>
      </w:r>
      <w:r w:rsidRPr="00965079">
        <w:rPr>
          <w:rFonts w:asciiTheme="minorHAnsi" w:hAnsiTheme="minorHAnsi" w:cstheme="minorHAnsi"/>
          <w:sz w:val="20"/>
          <w:szCs w:val="20"/>
        </w:rPr>
        <w:t xml:space="preserve"> </w:t>
      </w:r>
      <w:proofErr w:type="spellStart"/>
      <w:r w:rsidRPr="00965079">
        <w:rPr>
          <w:rFonts w:asciiTheme="minorHAnsi" w:hAnsiTheme="minorHAnsi" w:cstheme="minorHAnsi"/>
          <w:sz w:val="20"/>
          <w:szCs w:val="20"/>
        </w:rPr>
        <w:t>Roaf</w:t>
      </w:r>
      <w:proofErr w:type="spellEnd"/>
      <w:r w:rsidRPr="00965079">
        <w:rPr>
          <w:rFonts w:asciiTheme="minorHAnsi" w:hAnsiTheme="minorHAnsi" w:cstheme="minorHAnsi"/>
          <w:sz w:val="20"/>
          <w:szCs w:val="20"/>
        </w:rPr>
        <w:t xml:space="preserve"> and De Albuquerque, </w:t>
      </w:r>
      <w:proofErr w:type="gramStart"/>
      <w:r w:rsidRPr="00965079">
        <w:rPr>
          <w:rFonts w:asciiTheme="minorHAnsi" w:hAnsiTheme="minorHAnsi" w:cstheme="minorHAnsi"/>
          <w:sz w:val="20"/>
          <w:szCs w:val="20"/>
        </w:rPr>
        <w:t>On</w:t>
      </w:r>
      <w:proofErr w:type="gramEnd"/>
      <w:r w:rsidRPr="00965079">
        <w:rPr>
          <w:rFonts w:asciiTheme="minorHAnsi" w:hAnsiTheme="minorHAnsi" w:cstheme="minorHAnsi"/>
          <w:sz w:val="20"/>
          <w:szCs w:val="20"/>
        </w:rPr>
        <w:t xml:space="preserve"> the right track - good practices in realising the rights to water and sanitation, page 187. OHCHR, Who will be accountable? Human Rights and the Post-2015 Development Agenda, page 15</w:t>
      </w:r>
    </w:p>
  </w:footnote>
  <w:footnote w:id="9">
    <w:p w:rsidR="008003CD" w:rsidRPr="00965079" w:rsidRDefault="008003CD" w:rsidP="008003CD">
      <w:pPr>
        <w:pStyle w:val="FootnoteText"/>
        <w:rPr>
          <w:rFonts w:asciiTheme="minorHAnsi" w:hAnsiTheme="minorHAnsi" w:cstheme="minorHAnsi"/>
          <w:lang w:val="en-US"/>
        </w:rPr>
      </w:pPr>
      <w:r w:rsidRPr="00965079">
        <w:rPr>
          <w:rStyle w:val="FootnoteReference"/>
          <w:rFonts w:asciiTheme="minorHAnsi" w:hAnsiTheme="minorHAnsi" w:cstheme="minorHAnsi"/>
        </w:rPr>
        <w:footnoteRef/>
      </w:r>
      <w:r w:rsidRPr="00965079">
        <w:rPr>
          <w:rFonts w:asciiTheme="minorHAnsi" w:hAnsiTheme="minorHAnsi" w:cstheme="minorHAnsi"/>
        </w:rPr>
        <w:t xml:space="preserve"> </w:t>
      </w:r>
      <w:proofErr w:type="spellStart"/>
      <w:r w:rsidRPr="00965079">
        <w:rPr>
          <w:rFonts w:asciiTheme="minorHAnsi" w:hAnsiTheme="minorHAnsi" w:cstheme="minorHAnsi"/>
        </w:rPr>
        <w:t>Roaf</w:t>
      </w:r>
      <w:proofErr w:type="spellEnd"/>
      <w:r w:rsidRPr="00965079">
        <w:rPr>
          <w:rFonts w:asciiTheme="minorHAnsi" w:hAnsiTheme="minorHAnsi" w:cstheme="minorHAnsi"/>
        </w:rPr>
        <w:t xml:space="preserve"> and De Albuquerque, </w:t>
      </w:r>
      <w:proofErr w:type="gramStart"/>
      <w:r w:rsidRPr="00965079">
        <w:rPr>
          <w:rFonts w:asciiTheme="minorHAnsi" w:hAnsiTheme="minorHAnsi" w:cstheme="minorHAnsi"/>
        </w:rPr>
        <w:t>On</w:t>
      </w:r>
      <w:proofErr w:type="gramEnd"/>
      <w:r w:rsidRPr="00965079">
        <w:rPr>
          <w:rFonts w:asciiTheme="minorHAnsi" w:hAnsiTheme="minorHAnsi" w:cstheme="minorHAnsi"/>
        </w:rPr>
        <w:t xml:space="preserve"> the right track - good practices in realising the rights to water and sanitation, page 177.</w:t>
      </w:r>
    </w:p>
  </w:footnote>
  <w:footnote w:id="10">
    <w:p w:rsidR="008003CD" w:rsidRPr="00965079" w:rsidRDefault="008003CD" w:rsidP="008003CD">
      <w:pPr>
        <w:pStyle w:val="FootnoteText"/>
        <w:rPr>
          <w:rFonts w:asciiTheme="minorHAnsi" w:hAnsiTheme="minorHAnsi" w:cstheme="minorHAnsi"/>
          <w:lang w:val="en-US"/>
        </w:rPr>
      </w:pPr>
      <w:r w:rsidRPr="00965079">
        <w:rPr>
          <w:rStyle w:val="FootnoteReference"/>
          <w:rFonts w:asciiTheme="minorHAnsi" w:hAnsiTheme="minorHAnsi" w:cstheme="minorHAnsi"/>
        </w:rPr>
        <w:footnoteRef/>
      </w:r>
      <w:r w:rsidRPr="00965079">
        <w:rPr>
          <w:rFonts w:asciiTheme="minorHAnsi" w:hAnsiTheme="minorHAnsi" w:cstheme="minorHAnsi"/>
        </w:rPr>
        <w:t xml:space="preserve"> Council of Europe, Committee on Legal Affairs and Human Rights, Accountability of international institutions for human rights violations, page 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C264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A69EA"/>
    <w:multiLevelType w:val="hybridMultilevel"/>
    <w:tmpl w:val="07906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6937DE"/>
    <w:multiLevelType w:val="hybridMultilevel"/>
    <w:tmpl w:val="6ADE4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856B2"/>
    <w:multiLevelType w:val="hybridMultilevel"/>
    <w:tmpl w:val="8086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0C74ED"/>
    <w:multiLevelType w:val="hybridMultilevel"/>
    <w:tmpl w:val="6ADE4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BA4872"/>
    <w:multiLevelType w:val="hybridMultilevel"/>
    <w:tmpl w:val="3F12F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C978BD"/>
    <w:multiLevelType w:val="hybridMultilevel"/>
    <w:tmpl w:val="D8887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13722CB"/>
    <w:multiLevelType w:val="hybridMultilevel"/>
    <w:tmpl w:val="DC72B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0C5974"/>
    <w:multiLevelType w:val="hybridMultilevel"/>
    <w:tmpl w:val="FDF2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B132A7"/>
    <w:multiLevelType w:val="hybridMultilevel"/>
    <w:tmpl w:val="6C2C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121363"/>
    <w:multiLevelType w:val="hybridMultilevel"/>
    <w:tmpl w:val="E422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B84D00"/>
    <w:multiLevelType w:val="hybridMultilevel"/>
    <w:tmpl w:val="5C4E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C94803"/>
    <w:multiLevelType w:val="hybridMultilevel"/>
    <w:tmpl w:val="27402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0769CA"/>
    <w:multiLevelType w:val="hybridMultilevel"/>
    <w:tmpl w:val="6400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A57E6"/>
    <w:multiLevelType w:val="hybridMultilevel"/>
    <w:tmpl w:val="9FBA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B732F8"/>
    <w:multiLevelType w:val="hybridMultilevel"/>
    <w:tmpl w:val="068C6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E8A28EF"/>
    <w:multiLevelType w:val="hybridMultilevel"/>
    <w:tmpl w:val="0AA0F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603596"/>
    <w:multiLevelType w:val="hybridMultilevel"/>
    <w:tmpl w:val="3F12F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A00DA0"/>
    <w:multiLevelType w:val="hybridMultilevel"/>
    <w:tmpl w:val="AC0C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CB2D7F"/>
    <w:multiLevelType w:val="hybridMultilevel"/>
    <w:tmpl w:val="2548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3045D1"/>
    <w:multiLevelType w:val="hybridMultilevel"/>
    <w:tmpl w:val="D5F6F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D464960"/>
    <w:multiLevelType w:val="hybridMultilevel"/>
    <w:tmpl w:val="1B92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19"/>
  </w:num>
  <w:num w:numId="5">
    <w:abstractNumId w:val="14"/>
  </w:num>
  <w:num w:numId="6">
    <w:abstractNumId w:val="20"/>
  </w:num>
  <w:num w:numId="7">
    <w:abstractNumId w:val="15"/>
  </w:num>
  <w:num w:numId="8">
    <w:abstractNumId w:val="8"/>
  </w:num>
  <w:num w:numId="9">
    <w:abstractNumId w:val="11"/>
  </w:num>
  <w:num w:numId="10">
    <w:abstractNumId w:val="7"/>
  </w:num>
  <w:num w:numId="11">
    <w:abstractNumId w:val="0"/>
  </w:num>
  <w:num w:numId="12">
    <w:abstractNumId w:val="16"/>
  </w:num>
  <w:num w:numId="13">
    <w:abstractNumId w:val="13"/>
  </w:num>
  <w:num w:numId="14">
    <w:abstractNumId w:val="12"/>
  </w:num>
  <w:num w:numId="15">
    <w:abstractNumId w:val="21"/>
  </w:num>
  <w:num w:numId="16">
    <w:abstractNumId w:val="5"/>
  </w:num>
  <w:num w:numId="17">
    <w:abstractNumId w:val="2"/>
  </w:num>
  <w:num w:numId="18">
    <w:abstractNumId w:val="18"/>
  </w:num>
  <w:num w:numId="19">
    <w:abstractNumId w:val="1"/>
  </w:num>
  <w:num w:numId="20">
    <w:abstractNumId w:val="3"/>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EF8"/>
    <w:rsid w:val="00011DAC"/>
    <w:rsid w:val="0001449A"/>
    <w:rsid w:val="00020206"/>
    <w:rsid w:val="0004158A"/>
    <w:rsid w:val="00042CE9"/>
    <w:rsid w:val="000536E4"/>
    <w:rsid w:val="00086EC7"/>
    <w:rsid w:val="000958EF"/>
    <w:rsid w:val="000B282A"/>
    <w:rsid w:val="000C67CA"/>
    <w:rsid w:val="00111662"/>
    <w:rsid w:val="00115427"/>
    <w:rsid w:val="00116315"/>
    <w:rsid w:val="00123C8A"/>
    <w:rsid w:val="00124CB9"/>
    <w:rsid w:val="00131240"/>
    <w:rsid w:val="001324ED"/>
    <w:rsid w:val="001869CC"/>
    <w:rsid w:val="00193BF3"/>
    <w:rsid w:val="001A1027"/>
    <w:rsid w:val="001A437E"/>
    <w:rsid w:val="001B557C"/>
    <w:rsid w:val="001C12F4"/>
    <w:rsid w:val="001C1961"/>
    <w:rsid w:val="001C4404"/>
    <w:rsid w:val="001C759A"/>
    <w:rsid w:val="001D24C8"/>
    <w:rsid w:val="00280DFE"/>
    <w:rsid w:val="0028274D"/>
    <w:rsid w:val="00286C39"/>
    <w:rsid w:val="002B4518"/>
    <w:rsid w:val="002B5562"/>
    <w:rsid w:val="002B7216"/>
    <w:rsid w:val="002D3146"/>
    <w:rsid w:val="002E2317"/>
    <w:rsid w:val="002E37AA"/>
    <w:rsid w:val="003104EE"/>
    <w:rsid w:val="00320DF1"/>
    <w:rsid w:val="003232DB"/>
    <w:rsid w:val="00337927"/>
    <w:rsid w:val="00370768"/>
    <w:rsid w:val="00373B1A"/>
    <w:rsid w:val="00392E46"/>
    <w:rsid w:val="003933BC"/>
    <w:rsid w:val="003976B1"/>
    <w:rsid w:val="003A2AE3"/>
    <w:rsid w:val="003E3E5F"/>
    <w:rsid w:val="003E7492"/>
    <w:rsid w:val="003F2F71"/>
    <w:rsid w:val="00417710"/>
    <w:rsid w:val="00442C13"/>
    <w:rsid w:val="00461006"/>
    <w:rsid w:val="004817E9"/>
    <w:rsid w:val="004A314F"/>
    <w:rsid w:val="004B72FD"/>
    <w:rsid w:val="004C3680"/>
    <w:rsid w:val="004D0ED7"/>
    <w:rsid w:val="004D6C6C"/>
    <w:rsid w:val="004E37FE"/>
    <w:rsid w:val="004E77A4"/>
    <w:rsid w:val="00506210"/>
    <w:rsid w:val="00512D90"/>
    <w:rsid w:val="00523D06"/>
    <w:rsid w:val="005302FE"/>
    <w:rsid w:val="00550514"/>
    <w:rsid w:val="00551F5D"/>
    <w:rsid w:val="005560B4"/>
    <w:rsid w:val="00585D9B"/>
    <w:rsid w:val="00590817"/>
    <w:rsid w:val="00595C34"/>
    <w:rsid w:val="00596967"/>
    <w:rsid w:val="005A0E9A"/>
    <w:rsid w:val="005A6D02"/>
    <w:rsid w:val="005B35CA"/>
    <w:rsid w:val="005F4D72"/>
    <w:rsid w:val="00625D86"/>
    <w:rsid w:val="00642AB4"/>
    <w:rsid w:val="006450C2"/>
    <w:rsid w:val="006566A3"/>
    <w:rsid w:val="0067682B"/>
    <w:rsid w:val="00684FE4"/>
    <w:rsid w:val="006B2D22"/>
    <w:rsid w:val="006B6BC5"/>
    <w:rsid w:val="006C00BF"/>
    <w:rsid w:val="006C25C4"/>
    <w:rsid w:val="00704455"/>
    <w:rsid w:val="007074AC"/>
    <w:rsid w:val="00716F24"/>
    <w:rsid w:val="0072627A"/>
    <w:rsid w:val="00732CFE"/>
    <w:rsid w:val="00752245"/>
    <w:rsid w:val="0076096D"/>
    <w:rsid w:val="0076283F"/>
    <w:rsid w:val="00783838"/>
    <w:rsid w:val="0078609F"/>
    <w:rsid w:val="0079174C"/>
    <w:rsid w:val="007A1EF8"/>
    <w:rsid w:val="007E1B04"/>
    <w:rsid w:val="007E476F"/>
    <w:rsid w:val="007F2595"/>
    <w:rsid w:val="007F34D9"/>
    <w:rsid w:val="007F3F4D"/>
    <w:rsid w:val="007F50DA"/>
    <w:rsid w:val="008003CD"/>
    <w:rsid w:val="008073C8"/>
    <w:rsid w:val="00832C20"/>
    <w:rsid w:val="008556C5"/>
    <w:rsid w:val="008567EB"/>
    <w:rsid w:val="00867517"/>
    <w:rsid w:val="00873C38"/>
    <w:rsid w:val="00884F2A"/>
    <w:rsid w:val="008A52CB"/>
    <w:rsid w:val="008A77F5"/>
    <w:rsid w:val="00915639"/>
    <w:rsid w:val="009210B6"/>
    <w:rsid w:val="009325C5"/>
    <w:rsid w:val="00964742"/>
    <w:rsid w:val="00965079"/>
    <w:rsid w:val="00966255"/>
    <w:rsid w:val="009821D8"/>
    <w:rsid w:val="00986407"/>
    <w:rsid w:val="009C5EBF"/>
    <w:rsid w:val="009E1095"/>
    <w:rsid w:val="009F2B70"/>
    <w:rsid w:val="00A1226B"/>
    <w:rsid w:val="00A678F3"/>
    <w:rsid w:val="00A93F4B"/>
    <w:rsid w:val="00AC4070"/>
    <w:rsid w:val="00AC71B0"/>
    <w:rsid w:val="00AC733D"/>
    <w:rsid w:val="00AD59E3"/>
    <w:rsid w:val="00AF5ADB"/>
    <w:rsid w:val="00B12BA3"/>
    <w:rsid w:val="00B13AF7"/>
    <w:rsid w:val="00B64118"/>
    <w:rsid w:val="00B64963"/>
    <w:rsid w:val="00BF50BE"/>
    <w:rsid w:val="00BF650D"/>
    <w:rsid w:val="00C13A63"/>
    <w:rsid w:val="00C2769B"/>
    <w:rsid w:val="00C43855"/>
    <w:rsid w:val="00C75059"/>
    <w:rsid w:val="00C7567F"/>
    <w:rsid w:val="00C91BA0"/>
    <w:rsid w:val="00CC1F00"/>
    <w:rsid w:val="00CC3C3C"/>
    <w:rsid w:val="00CC6257"/>
    <w:rsid w:val="00CD50A5"/>
    <w:rsid w:val="00D27EE6"/>
    <w:rsid w:val="00D43CAB"/>
    <w:rsid w:val="00D533C0"/>
    <w:rsid w:val="00D57DB6"/>
    <w:rsid w:val="00D80C76"/>
    <w:rsid w:val="00D84B7E"/>
    <w:rsid w:val="00D87E60"/>
    <w:rsid w:val="00D9318F"/>
    <w:rsid w:val="00DA380C"/>
    <w:rsid w:val="00DF4E57"/>
    <w:rsid w:val="00E35121"/>
    <w:rsid w:val="00E40C46"/>
    <w:rsid w:val="00E40D8B"/>
    <w:rsid w:val="00E41820"/>
    <w:rsid w:val="00E47470"/>
    <w:rsid w:val="00E53358"/>
    <w:rsid w:val="00E631F9"/>
    <w:rsid w:val="00E73DEB"/>
    <w:rsid w:val="00E748EA"/>
    <w:rsid w:val="00E96034"/>
    <w:rsid w:val="00E9727A"/>
    <w:rsid w:val="00EA5AA0"/>
    <w:rsid w:val="00ED5948"/>
    <w:rsid w:val="00EF6279"/>
    <w:rsid w:val="00F00D37"/>
    <w:rsid w:val="00F512B4"/>
    <w:rsid w:val="00F63957"/>
    <w:rsid w:val="00F6514A"/>
    <w:rsid w:val="00F73A46"/>
    <w:rsid w:val="00F91B7F"/>
    <w:rsid w:val="00FB6B62"/>
    <w:rsid w:val="00FD076C"/>
    <w:rsid w:val="00FD224D"/>
    <w:rsid w:val="00FE6248"/>
    <w:rsid w:val="00FF108B"/>
    <w:rsid w:val="00FF5680"/>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A1EF8"/>
    <w:pPr>
      <w:spacing w:after="160" w:line="259" w:lineRule="auto"/>
    </w:pPr>
    <w:rPr>
      <w:rFonts w:eastAsia="Cambria"/>
      <w:sz w:val="22"/>
      <w:szCs w:val="22"/>
      <w:lang w:val="en-GB" w:eastAsia="en-US"/>
    </w:rPr>
  </w:style>
  <w:style w:type="paragraph" w:styleId="Heading3">
    <w:name w:val="heading 3"/>
    <w:basedOn w:val="Normal"/>
    <w:next w:val="Normal"/>
    <w:link w:val="Heading3Char"/>
    <w:uiPriority w:val="9"/>
    <w:qFormat/>
    <w:rsid w:val="00461006"/>
    <w:pPr>
      <w:keepNext/>
      <w:spacing w:before="240" w:after="60" w:line="240" w:lineRule="auto"/>
      <w:outlineLvl w:val="2"/>
    </w:pPr>
    <w:rPr>
      <w:rFonts w:ascii="Calibri" w:eastAsia="MS Gothic" w:hAnsi="Calibri"/>
      <w:b/>
      <w:bCs/>
      <w:sz w:val="26"/>
      <w:szCs w:val="2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1EF8"/>
    <w:rPr>
      <w:rFonts w:eastAsia="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Grid-Accent31">
    <w:name w:val="Light Grid - Accent 31"/>
    <w:basedOn w:val="Normal"/>
    <w:uiPriority w:val="34"/>
    <w:qFormat/>
    <w:rsid w:val="007A1EF8"/>
    <w:pPr>
      <w:ind w:left="720"/>
      <w:contextualSpacing/>
    </w:pPr>
  </w:style>
  <w:style w:type="character" w:styleId="FootnoteReference">
    <w:name w:val="footnote reference"/>
    <w:aliases w:val="ftref,Footnote Reference Number,16 Point,Superscript 6 Point,Footnote,footnote ref,4_G,Footnotes refss,Footnote Ref,Style 10,Footnote number,callout,Ref,de nota al pie,Footnote text,BVI fnr Знак Char,BVI fnr Car Car Знак Char"/>
    <w:link w:val="BVIfnr"/>
    <w:uiPriority w:val="99"/>
    <w:qFormat/>
    <w:rsid w:val="007A1EF8"/>
    <w:rPr>
      <w:vertAlign w:val="superscript"/>
    </w:rPr>
  </w:style>
  <w:style w:type="paragraph" w:styleId="FootnoteText">
    <w:name w:val="footnote text"/>
    <w:aliases w:val="ft,Footnote Text Char Char Char Char Char Char Char,Footnote Text1,Footnote Text1 Char,Footnote Text2,Footnote Text Char Char Char Char Char Char Char1,Footnote Text Char Char Char Char Char Char Char1 Char,fn,FOOTNOTES,Genev"/>
    <w:basedOn w:val="Normal"/>
    <w:link w:val="FootnoteTextChar"/>
    <w:uiPriority w:val="99"/>
    <w:qFormat/>
    <w:rsid w:val="007A1EF8"/>
    <w:pPr>
      <w:suppressAutoHyphens/>
      <w:spacing w:after="0" w:line="240" w:lineRule="auto"/>
    </w:pPr>
    <w:rPr>
      <w:rFonts w:ascii="Times New Roman" w:eastAsia="Times New Roman" w:hAnsi="Times New Roman"/>
      <w:sz w:val="20"/>
      <w:szCs w:val="20"/>
      <w:lang w:eastAsia="ar-SA"/>
    </w:rPr>
  </w:style>
  <w:style w:type="character" w:customStyle="1" w:styleId="FootnoteTextChar">
    <w:name w:val="Footnote Text Char"/>
    <w:aliases w:val="ft Char,Footnote Text Char Char Char Char Char Char Char Char,Footnote Text1 Char1,Footnote Text1 Char Char,Footnote Text2 Char,Footnote Text Char Char Char Char Char Char Char1 Char1,fn Char,FOOTNOTES Char,Genev Char"/>
    <w:link w:val="FootnoteText"/>
    <w:uiPriority w:val="99"/>
    <w:rsid w:val="007A1EF8"/>
    <w:rPr>
      <w:rFonts w:ascii="Times New Roman" w:eastAsia="Times New Roman" w:hAnsi="Times New Roman" w:cs="Times New Roman"/>
      <w:sz w:val="20"/>
      <w:szCs w:val="20"/>
      <w:lang w:val="en-GB" w:eastAsia="ar-SA"/>
    </w:rPr>
  </w:style>
  <w:style w:type="paragraph" w:customStyle="1" w:styleId="Default">
    <w:name w:val="Default"/>
    <w:rsid w:val="007A1EF8"/>
    <w:pPr>
      <w:widowControl w:val="0"/>
      <w:autoSpaceDE w:val="0"/>
      <w:autoSpaceDN w:val="0"/>
      <w:adjustRightInd w:val="0"/>
    </w:pPr>
    <w:rPr>
      <w:rFonts w:cs="Cambria"/>
      <w:color w:val="000000"/>
      <w:sz w:val="24"/>
      <w:szCs w:val="24"/>
      <w:lang w:val="en-US" w:eastAsia="nl-NL"/>
    </w:rPr>
  </w:style>
  <w:style w:type="character" w:styleId="Hyperlink">
    <w:name w:val="Hyperlink"/>
    <w:uiPriority w:val="99"/>
    <w:unhideWhenUsed/>
    <w:rsid w:val="00ED5948"/>
    <w:rPr>
      <w:color w:val="0000FF"/>
      <w:u w:val="single"/>
    </w:rPr>
  </w:style>
  <w:style w:type="character" w:styleId="CommentReference">
    <w:name w:val="annotation reference"/>
    <w:uiPriority w:val="99"/>
    <w:semiHidden/>
    <w:unhideWhenUsed/>
    <w:rsid w:val="001324ED"/>
    <w:rPr>
      <w:sz w:val="16"/>
      <w:szCs w:val="16"/>
    </w:rPr>
  </w:style>
  <w:style w:type="paragraph" w:styleId="CommentText">
    <w:name w:val="annotation text"/>
    <w:basedOn w:val="Normal"/>
    <w:link w:val="CommentTextChar"/>
    <w:uiPriority w:val="99"/>
    <w:unhideWhenUsed/>
    <w:rsid w:val="001324ED"/>
    <w:rPr>
      <w:sz w:val="20"/>
      <w:szCs w:val="20"/>
    </w:rPr>
  </w:style>
  <w:style w:type="character" w:customStyle="1" w:styleId="CommentTextChar">
    <w:name w:val="Comment Text Char"/>
    <w:link w:val="CommentText"/>
    <w:uiPriority w:val="99"/>
    <w:rsid w:val="001324ED"/>
    <w:rPr>
      <w:rFonts w:eastAsia="Cambria"/>
      <w:lang w:val="nl-NL" w:eastAsia="en-US"/>
    </w:rPr>
  </w:style>
  <w:style w:type="paragraph" w:styleId="CommentSubject">
    <w:name w:val="annotation subject"/>
    <w:basedOn w:val="CommentText"/>
    <w:next w:val="CommentText"/>
    <w:link w:val="CommentSubjectChar"/>
    <w:uiPriority w:val="99"/>
    <w:semiHidden/>
    <w:unhideWhenUsed/>
    <w:rsid w:val="001324ED"/>
    <w:rPr>
      <w:b/>
      <w:bCs/>
    </w:rPr>
  </w:style>
  <w:style w:type="character" w:customStyle="1" w:styleId="CommentSubjectChar">
    <w:name w:val="Comment Subject Char"/>
    <w:link w:val="CommentSubject"/>
    <w:uiPriority w:val="99"/>
    <w:semiHidden/>
    <w:rsid w:val="001324ED"/>
    <w:rPr>
      <w:rFonts w:eastAsia="Cambria"/>
      <w:b/>
      <w:bCs/>
      <w:lang w:val="nl-NL" w:eastAsia="en-US"/>
    </w:rPr>
  </w:style>
  <w:style w:type="paragraph" w:styleId="BalloonText">
    <w:name w:val="Balloon Text"/>
    <w:basedOn w:val="Normal"/>
    <w:link w:val="BalloonTextChar"/>
    <w:uiPriority w:val="99"/>
    <w:semiHidden/>
    <w:unhideWhenUsed/>
    <w:rsid w:val="001324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324ED"/>
    <w:rPr>
      <w:rFonts w:ascii="Segoe UI" w:eastAsia="Cambria" w:hAnsi="Segoe UI" w:cs="Segoe UI"/>
      <w:sz w:val="18"/>
      <w:szCs w:val="18"/>
      <w:lang w:val="nl-NL" w:eastAsia="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BVI fnr"/>
    <w:basedOn w:val="Normal"/>
    <w:link w:val="FootnoteReference"/>
    <w:uiPriority w:val="99"/>
    <w:rsid w:val="001C759A"/>
    <w:pPr>
      <w:spacing w:line="240" w:lineRule="exact"/>
      <w:jc w:val="both"/>
    </w:pPr>
    <w:rPr>
      <w:rFonts w:eastAsia="MS Mincho"/>
      <w:sz w:val="20"/>
      <w:szCs w:val="20"/>
      <w:vertAlign w:val="superscript"/>
      <w:lang w:val="nl-NL" w:eastAsia="nl-NL"/>
    </w:rPr>
  </w:style>
  <w:style w:type="character" w:customStyle="1" w:styleId="Heading3Char">
    <w:name w:val="Heading 3 Char"/>
    <w:link w:val="Heading3"/>
    <w:uiPriority w:val="9"/>
    <w:rsid w:val="00461006"/>
    <w:rPr>
      <w:rFonts w:ascii="Calibri" w:eastAsia="MS Gothic" w:hAnsi="Calibri"/>
      <w:b/>
      <w:bCs/>
      <w:sz w:val="26"/>
      <w:szCs w:val="26"/>
      <w:lang w:val="en-GB"/>
    </w:rPr>
  </w:style>
  <w:style w:type="paragraph" w:customStyle="1" w:styleId="GradeClara-nfase31">
    <w:name w:val="Grade Clara - Ênfase 31"/>
    <w:basedOn w:val="Normal"/>
    <w:uiPriority w:val="34"/>
    <w:qFormat/>
    <w:rsid w:val="001C12F4"/>
    <w:pPr>
      <w:ind w:left="720"/>
      <w:contextualSpacing/>
    </w:pPr>
  </w:style>
  <w:style w:type="character" w:customStyle="1" w:styleId="apple-converted-space">
    <w:name w:val="apple-converted-space"/>
    <w:rsid w:val="00625D86"/>
  </w:style>
  <w:style w:type="paragraph" w:styleId="NormalWeb">
    <w:name w:val="Normal (Web)"/>
    <w:basedOn w:val="Normal"/>
    <w:uiPriority w:val="99"/>
    <w:semiHidden/>
    <w:unhideWhenUsed/>
    <w:rsid w:val="00625D86"/>
    <w:pPr>
      <w:spacing w:before="100" w:beforeAutospacing="1" w:after="100" w:afterAutospacing="1" w:line="240" w:lineRule="auto"/>
    </w:pPr>
    <w:rPr>
      <w:rFonts w:ascii="Times New Roman" w:eastAsia="Times New Roman" w:hAnsi="Times New Roman"/>
      <w:sz w:val="24"/>
      <w:szCs w:val="24"/>
      <w:lang w:eastAsia="ko-KR"/>
    </w:rPr>
  </w:style>
  <w:style w:type="character" w:styleId="Strong">
    <w:name w:val="Strong"/>
    <w:uiPriority w:val="22"/>
    <w:qFormat/>
    <w:rsid w:val="00625D86"/>
    <w:rPr>
      <w:b/>
      <w:bCs/>
    </w:rPr>
  </w:style>
  <w:style w:type="table" w:customStyle="1" w:styleId="GridTable5DarkAccent5">
    <w:name w:val="Grid Table 5 Dark Accent 5"/>
    <w:basedOn w:val="TableNormal"/>
    <w:uiPriority w:val="50"/>
    <w:rsid w:val="0096507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5">
    <w:name w:val="Grid Table 7 Colorful Accent 5"/>
    <w:basedOn w:val="TableNormal"/>
    <w:uiPriority w:val="52"/>
    <w:rsid w:val="00965079"/>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ListParagraph">
    <w:name w:val="List Paragraph"/>
    <w:basedOn w:val="Normal"/>
    <w:uiPriority w:val="72"/>
    <w:qFormat/>
    <w:rsid w:val="00F63957"/>
    <w:pPr>
      <w:ind w:left="720"/>
      <w:contextualSpacing/>
    </w:pPr>
  </w:style>
  <w:style w:type="paragraph" w:styleId="Header">
    <w:name w:val="header"/>
    <w:basedOn w:val="Normal"/>
    <w:link w:val="HeaderChar"/>
    <w:uiPriority w:val="99"/>
    <w:unhideWhenUsed/>
    <w:rsid w:val="00523D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D06"/>
    <w:rPr>
      <w:rFonts w:eastAsia="Cambria"/>
      <w:sz w:val="22"/>
      <w:szCs w:val="22"/>
      <w:lang w:val="en-GB" w:eastAsia="en-US"/>
    </w:rPr>
  </w:style>
  <w:style w:type="paragraph" w:styleId="Footer">
    <w:name w:val="footer"/>
    <w:basedOn w:val="Normal"/>
    <w:link w:val="FooterChar"/>
    <w:uiPriority w:val="99"/>
    <w:unhideWhenUsed/>
    <w:rsid w:val="00523D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D06"/>
    <w:rPr>
      <w:rFonts w:eastAsia="Cambria"/>
      <w:sz w:val="22"/>
      <w:szCs w:val="22"/>
      <w:lang w:val="en-GB" w:eastAsia="en-US"/>
    </w:rPr>
  </w:style>
  <w:style w:type="paragraph" w:styleId="DocumentMap">
    <w:name w:val="Document Map"/>
    <w:basedOn w:val="Normal"/>
    <w:link w:val="DocumentMapChar"/>
    <w:uiPriority w:val="99"/>
    <w:semiHidden/>
    <w:unhideWhenUsed/>
    <w:rsid w:val="0096474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64742"/>
    <w:rPr>
      <w:rFonts w:ascii="Lucida Grande" w:eastAsia="Cambria" w:hAnsi="Lucida Grande" w:cs="Lucida Grande"/>
      <w:sz w:val="24"/>
      <w:szCs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A1EF8"/>
    <w:pPr>
      <w:spacing w:after="160" w:line="259" w:lineRule="auto"/>
    </w:pPr>
    <w:rPr>
      <w:rFonts w:eastAsia="Cambria"/>
      <w:sz w:val="22"/>
      <w:szCs w:val="22"/>
      <w:lang w:val="en-GB" w:eastAsia="en-US"/>
    </w:rPr>
  </w:style>
  <w:style w:type="paragraph" w:styleId="Heading3">
    <w:name w:val="heading 3"/>
    <w:basedOn w:val="Normal"/>
    <w:next w:val="Normal"/>
    <w:link w:val="Heading3Char"/>
    <w:uiPriority w:val="9"/>
    <w:qFormat/>
    <w:rsid w:val="00461006"/>
    <w:pPr>
      <w:keepNext/>
      <w:spacing w:before="240" w:after="60" w:line="240" w:lineRule="auto"/>
      <w:outlineLvl w:val="2"/>
    </w:pPr>
    <w:rPr>
      <w:rFonts w:ascii="Calibri" w:eastAsia="MS Gothic" w:hAnsi="Calibri"/>
      <w:b/>
      <w:bCs/>
      <w:sz w:val="26"/>
      <w:szCs w:val="2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1EF8"/>
    <w:rPr>
      <w:rFonts w:eastAsia="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Grid-Accent31">
    <w:name w:val="Light Grid - Accent 31"/>
    <w:basedOn w:val="Normal"/>
    <w:uiPriority w:val="34"/>
    <w:qFormat/>
    <w:rsid w:val="007A1EF8"/>
    <w:pPr>
      <w:ind w:left="720"/>
      <w:contextualSpacing/>
    </w:pPr>
  </w:style>
  <w:style w:type="character" w:styleId="FootnoteReference">
    <w:name w:val="footnote reference"/>
    <w:aliases w:val="ftref,Footnote Reference Number,16 Point,Superscript 6 Point,Footnote,footnote ref,4_G,Footnotes refss,Footnote Ref,Style 10,Footnote number,callout,Ref,de nota al pie,Footnote text,BVI fnr Знак Char,BVI fnr Car Car Знак Char"/>
    <w:link w:val="BVIfnr"/>
    <w:uiPriority w:val="99"/>
    <w:qFormat/>
    <w:rsid w:val="007A1EF8"/>
    <w:rPr>
      <w:vertAlign w:val="superscript"/>
    </w:rPr>
  </w:style>
  <w:style w:type="paragraph" w:styleId="FootnoteText">
    <w:name w:val="footnote text"/>
    <w:aliases w:val="ft,Footnote Text Char Char Char Char Char Char Char,Footnote Text1,Footnote Text1 Char,Footnote Text2,Footnote Text Char Char Char Char Char Char Char1,Footnote Text Char Char Char Char Char Char Char1 Char,fn,FOOTNOTES,Genev"/>
    <w:basedOn w:val="Normal"/>
    <w:link w:val="FootnoteTextChar"/>
    <w:uiPriority w:val="99"/>
    <w:qFormat/>
    <w:rsid w:val="007A1EF8"/>
    <w:pPr>
      <w:suppressAutoHyphens/>
      <w:spacing w:after="0" w:line="240" w:lineRule="auto"/>
    </w:pPr>
    <w:rPr>
      <w:rFonts w:ascii="Times New Roman" w:eastAsia="Times New Roman" w:hAnsi="Times New Roman"/>
      <w:sz w:val="20"/>
      <w:szCs w:val="20"/>
      <w:lang w:eastAsia="ar-SA"/>
    </w:rPr>
  </w:style>
  <w:style w:type="character" w:customStyle="1" w:styleId="FootnoteTextChar">
    <w:name w:val="Footnote Text Char"/>
    <w:aliases w:val="ft Char,Footnote Text Char Char Char Char Char Char Char Char,Footnote Text1 Char1,Footnote Text1 Char Char,Footnote Text2 Char,Footnote Text Char Char Char Char Char Char Char1 Char1,fn Char,FOOTNOTES Char,Genev Char"/>
    <w:link w:val="FootnoteText"/>
    <w:uiPriority w:val="99"/>
    <w:rsid w:val="007A1EF8"/>
    <w:rPr>
      <w:rFonts w:ascii="Times New Roman" w:eastAsia="Times New Roman" w:hAnsi="Times New Roman" w:cs="Times New Roman"/>
      <w:sz w:val="20"/>
      <w:szCs w:val="20"/>
      <w:lang w:val="en-GB" w:eastAsia="ar-SA"/>
    </w:rPr>
  </w:style>
  <w:style w:type="paragraph" w:customStyle="1" w:styleId="Default">
    <w:name w:val="Default"/>
    <w:rsid w:val="007A1EF8"/>
    <w:pPr>
      <w:widowControl w:val="0"/>
      <w:autoSpaceDE w:val="0"/>
      <w:autoSpaceDN w:val="0"/>
      <w:adjustRightInd w:val="0"/>
    </w:pPr>
    <w:rPr>
      <w:rFonts w:cs="Cambria"/>
      <w:color w:val="000000"/>
      <w:sz w:val="24"/>
      <w:szCs w:val="24"/>
      <w:lang w:val="en-US" w:eastAsia="nl-NL"/>
    </w:rPr>
  </w:style>
  <w:style w:type="character" w:styleId="Hyperlink">
    <w:name w:val="Hyperlink"/>
    <w:uiPriority w:val="99"/>
    <w:unhideWhenUsed/>
    <w:rsid w:val="00ED5948"/>
    <w:rPr>
      <w:color w:val="0000FF"/>
      <w:u w:val="single"/>
    </w:rPr>
  </w:style>
  <w:style w:type="character" w:styleId="CommentReference">
    <w:name w:val="annotation reference"/>
    <w:uiPriority w:val="99"/>
    <w:semiHidden/>
    <w:unhideWhenUsed/>
    <w:rsid w:val="001324ED"/>
    <w:rPr>
      <w:sz w:val="16"/>
      <w:szCs w:val="16"/>
    </w:rPr>
  </w:style>
  <w:style w:type="paragraph" w:styleId="CommentText">
    <w:name w:val="annotation text"/>
    <w:basedOn w:val="Normal"/>
    <w:link w:val="CommentTextChar"/>
    <w:uiPriority w:val="99"/>
    <w:unhideWhenUsed/>
    <w:rsid w:val="001324ED"/>
    <w:rPr>
      <w:sz w:val="20"/>
      <w:szCs w:val="20"/>
    </w:rPr>
  </w:style>
  <w:style w:type="character" w:customStyle="1" w:styleId="CommentTextChar">
    <w:name w:val="Comment Text Char"/>
    <w:link w:val="CommentText"/>
    <w:uiPriority w:val="99"/>
    <w:rsid w:val="001324ED"/>
    <w:rPr>
      <w:rFonts w:eastAsia="Cambria"/>
      <w:lang w:val="nl-NL" w:eastAsia="en-US"/>
    </w:rPr>
  </w:style>
  <w:style w:type="paragraph" w:styleId="CommentSubject">
    <w:name w:val="annotation subject"/>
    <w:basedOn w:val="CommentText"/>
    <w:next w:val="CommentText"/>
    <w:link w:val="CommentSubjectChar"/>
    <w:uiPriority w:val="99"/>
    <w:semiHidden/>
    <w:unhideWhenUsed/>
    <w:rsid w:val="001324ED"/>
    <w:rPr>
      <w:b/>
      <w:bCs/>
    </w:rPr>
  </w:style>
  <w:style w:type="character" w:customStyle="1" w:styleId="CommentSubjectChar">
    <w:name w:val="Comment Subject Char"/>
    <w:link w:val="CommentSubject"/>
    <w:uiPriority w:val="99"/>
    <w:semiHidden/>
    <w:rsid w:val="001324ED"/>
    <w:rPr>
      <w:rFonts w:eastAsia="Cambria"/>
      <w:b/>
      <w:bCs/>
      <w:lang w:val="nl-NL" w:eastAsia="en-US"/>
    </w:rPr>
  </w:style>
  <w:style w:type="paragraph" w:styleId="BalloonText">
    <w:name w:val="Balloon Text"/>
    <w:basedOn w:val="Normal"/>
    <w:link w:val="BalloonTextChar"/>
    <w:uiPriority w:val="99"/>
    <w:semiHidden/>
    <w:unhideWhenUsed/>
    <w:rsid w:val="001324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324ED"/>
    <w:rPr>
      <w:rFonts w:ascii="Segoe UI" w:eastAsia="Cambria" w:hAnsi="Segoe UI" w:cs="Segoe UI"/>
      <w:sz w:val="18"/>
      <w:szCs w:val="18"/>
      <w:lang w:val="nl-NL" w:eastAsia="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BVI fnr"/>
    <w:basedOn w:val="Normal"/>
    <w:link w:val="FootnoteReference"/>
    <w:uiPriority w:val="99"/>
    <w:rsid w:val="001C759A"/>
    <w:pPr>
      <w:spacing w:line="240" w:lineRule="exact"/>
      <w:jc w:val="both"/>
    </w:pPr>
    <w:rPr>
      <w:rFonts w:eastAsia="MS Mincho"/>
      <w:sz w:val="20"/>
      <w:szCs w:val="20"/>
      <w:vertAlign w:val="superscript"/>
      <w:lang w:val="nl-NL" w:eastAsia="nl-NL"/>
    </w:rPr>
  </w:style>
  <w:style w:type="character" w:customStyle="1" w:styleId="Heading3Char">
    <w:name w:val="Heading 3 Char"/>
    <w:link w:val="Heading3"/>
    <w:uiPriority w:val="9"/>
    <w:rsid w:val="00461006"/>
    <w:rPr>
      <w:rFonts w:ascii="Calibri" w:eastAsia="MS Gothic" w:hAnsi="Calibri"/>
      <w:b/>
      <w:bCs/>
      <w:sz w:val="26"/>
      <w:szCs w:val="26"/>
      <w:lang w:val="en-GB"/>
    </w:rPr>
  </w:style>
  <w:style w:type="paragraph" w:customStyle="1" w:styleId="GradeClara-nfase31">
    <w:name w:val="Grade Clara - Ênfase 31"/>
    <w:basedOn w:val="Normal"/>
    <w:uiPriority w:val="34"/>
    <w:qFormat/>
    <w:rsid w:val="001C12F4"/>
    <w:pPr>
      <w:ind w:left="720"/>
      <w:contextualSpacing/>
    </w:pPr>
  </w:style>
  <w:style w:type="character" w:customStyle="1" w:styleId="apple-converted-space">
    <w:name w:val="apple-converted-space"/>
    <w:rsid w:val="00625D86"/>
  </w:style>
  <w:style w:type="paragraph" w:styleId="NormalWeb">
    <w:name w:val="Normal (Web)"/>
    <w:basedOn w:val="Normal"/>
    <w:uiPriority w:val="99"/>
    <w:semiHidden/>
    <w:unhideWhenUsed/>
    <w:rsid w:val="00625D86"/>
    <w:pPr>
      <w:spacing w:before="100" w:beforeAutospacing="1" w:after="100" w:afterAutospacing="1" w:line="240" w:lineRule="auto"/>
    </w:pPr>
    <w:rPr>
      <w:rFonts w:ascii="Times New Roman" w:eastAsia="Times New Roman" w:hAnsi="Times New Roman"/>
      <w:sz w:val="24"/>
      <w:szCs w:val="24"/>
      <w:lang w:eastAsia="ko-KR"/>
    </w:rPr>
  </w:style>
  <w:style w:type="character" w:styleId="Strong">
    <w:name w:val="Strong"/>
    <w:uiPriority w:val="22"/>
    <w:qFormat/>
    <w:rsid w:val="00625D86"/>
    <w:rPr>
      <w:b/>
      <w:bCs/>
    </w:rPr>
  </w:style>
  <w:style w:type="table" w:customStyle="1" w:styleId="GridTable5DarkAccent5">
    <w:name w:val="Grid Table 5 Dark Accent 5"/>
    <w:basedOn w:val="TableNormal"/>
    <w:uiPriority w:val="50"/>
    <w:rsid w:val="0096507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5">
    <w:name w:val="Grid Table 7 Colorful Accent 5"/>
    <w:basedOn w:val="TableNormal"/>
    <w:uiPriority w:val="52"/>
    <w:rsid w:val="00965079"/>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ListParagraph">
    <w:name w:val="List Paragraph"/>
    <w:basedOn w:val="Normal"/>
    <w:uiPriority w:val="72"/>
    <w:qFormat/>
    <w:rsid w:val="00F63957"/>
    <w:pPr>
      <w:ind w:left="720"/>
      <w:contextualSpacing/>
    </w:pPr>
  </w:style>
  <w:style w:type="paragraph" w:styleId="Header">
    <w:name w:val="header"/>
    <w:basedOn w:val="Normal"/>
    <w:link w:val="HeaderChar"/>
    <w:uiPriority w:val="99"/>
    <w:unhideWhenUsed/>
    <w:rsid w:val="00523D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D06"/>
    <w:rPr>
      <w:rFonts w:eastAsia="Cambria"/>
      <w:sz w:val="22"/>
      <w:szCs w:val="22"/>
      <w:lang w:val="en-GB" w:eastAsia="en-US"/>
    </w:rPr>
  </w:style>
  <w:style w:type="paragraph" w:styleId="Footer">
    <w:name w:val="footer"/>
    <w:basedOn w:val="Normal"/>
    <w:link w:val="FooterChar"/>
    <w:uiPriority w:val="99"/>
    <w:unhideWhenUsed/>
    <w:rsid w:val="00523D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D06"/>
    <w:rPr>
      <w:rFonts w:eastAsia="Cambria"/>
      <w:sz w:val="22"/>
      <w:szCs w:val="22"/>
      <w:lang w:val="en-GB" w:eastAsia="en-US"/>
    </w:rPr>
  </w:style>
  <w:style w:type="paragraph" w:styleId="DocumentMap">
    <w:name w:val="Document Map"/>
    <w:basedOn w:val="Normal"/>
    <w:link w:val="DocumentMapChar"/>
    <w:uiPriority w:val="99"/>
    <w:semiHidden/>
    <w:unhideWhenUsed/>
    <w:rsid w:val="0096474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64742"/>
    <w:rPr>
      <w:rFonts w:ascii="Lucida Grande" w:eastAsia="Cambria" w:hAnsi="Lucida Grande" w:cs="Lucida Grande"/>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5180">
      <w:bodyDiv w:val="1"/>
      <w:marLeft w:val="0"/>
      <w:marRight w:val="0"/>
      <w:marTop w:val="0"/>
      <w:marBottom w:val="0"/>
      <w:divBdr>
        <w:top w:val="none" w:sz="0" w:space="0" w:color="auto"/>
        <w:left w:val="none" w:sz="0" w:space="0" w:color="auto"/>
        <w:bottom w:val="none" w:sz="0" w:space="0" w:color="auto"/>
        <w:right w:val="none" w:sz="0" w:space="0" w:color="auto"/>
      </w:divBdr>
    </w:div>
    <w:div w:id="301233701">
      <w:bodyDiv w:val="1"/>
      <w:marLeft w:val="0"/>
      <w:marRight w:val="0"/>
      <w:marTop w:val="0"/>
      <w:marBottom w:val="0"/>
      <w:divBdr>
        <w:top w:val="none" w:sz="0" w:space="0" w:color="auto"/>
        <w:left w:val="none" w:sz="0" w:space="0" w:color="auto"/>
        <w:bottom w:val="none" w:sz="0" w:space="0" w:color="auto"/>
        <w:right w:val="none" w:sz="0" w:space="0" w:color="auto"/>
      </w:divBdr>
    </w:div>
    <w:div w:id="574126488">
      <w:bodyDiv w:val="1"/>
      <w:marLeft w:val="0"/>
      <w:marRight w:val="0"/>
      <w:marTop w:val="0"/>
      <w:marBottom w:val="0"/>
      <w:divBdr>
        <w:top w:val="none" w:sz="0" w:space="0" w:color="auto"/>
        <w:left w:val="none" w:sz="0" w:space="0" w:color="auto"/>
        <w:bottom w:val="none" w:sz="0" w:space="0" w:color="auto"/>
        <w:right w:val="none" w:sz="0" w:space="0" w:color="auto"/>
      </w:divBdr>
    </w:div>
    <w:div w:id="1158495975">
      <w:bodyDiv w:val="1"/>
      <w:marLeft w:val="0"/>
      <w:marRight w:val="0"/>
      <w:marTop w:val="0"/>
      <w:marBottom w:val="0"/>
      <w:divBdr>
        <w:top w:val="none" w:sz="0" w:space="0" w:color="auto"/>
        <w:left w:val="none" w:sz="0" w:space="0" w:color="auto"/>
        <w:bottom w:val="none" w:sz="0" w:space="0" w:color="auto"/>
        <w:right w:val="none" w:sz="0" w:space="0" w:color="auto"/>
      </w:divBdr>
    </w:div>
    <w:div w:id="1229731715">
      <w:bodyDiv w:val="1"/>
      <w:marLeft w:val="0"/>
      <w:marRight w:val="0"/>
      <w:marTop w:val="0"/>
      <w:marBottom w:val="0"/>
      <w:divBdr>
        <w:top w:val="none" w:sz="0" w:space="0" w:color="auto"/>
        <w:left w:val="none" w:sz="0" w:space="0" w:color="auto"/>
        <w:bottom w:val="none" w:sz="0" w:space="0" w:color="auto"/>
        <w:right w:val="none" w:sz="0" w:space="0" w:color="auto"/>
      </w:divBdr>
    </w:div>
    <w:div w:id="1293949365">
      <w:bodyDiv w:val="1"/>
      <w:marLeft w:val="0"/>
      <w:marRight w:val="0"/>
      <w:marTop w:val="0"/>
      <w:marBottom w:val="0"/>
      <w:divBdr>
        <w:top w:val="none" w:sz="0" w:space="0" w:color="auto"/>
        <w:left w:val="none" w:sz="0" w:space="0" w:color="auto"/>
        <w:bottom w:val="none" w:sz="0" w:space="0" w:color="auto"/>
        <w:right w:val="none" w:sz="0" w:space="0" w:color="auto"/>
      </w:divBdr>
    </w:div>
    <w:div w:id="1542202430">
      <w:bodyDiv w:val="1"/>
      <w:marLeft w:val="0"/>
      <w:marRight w:val="0"/>
      <w:marTop w:val="0"/>
      <w:marBottom w:val="0"/>
      <w:divBdr>
        <w:top w:val="none" w:sz="0" w:space="0" w:color="auto"/>
        <w:left w:val="none" w:sz="0" w:space="0" w:color="auto"/>
        <w:bottom w:val="none" w:sz="0" w:space="0" w:color="auto"/>
        <w:right w:val="none" w:sz="0" w:space="0" w:color="auto"/>
      </w:divBdr>
    </w:div>
    <w:div w:id="1720738724">
      <w:bodyDiv w:val="1"/>
      <w:marLeft w:val="0"/>
      <w:marRight w:val="0"/>
      <w:marTop w:val="0"/>
      <w:marBottom w:val="0"/>
      <w:divBdr>
        <w:top w:val="none" w:sz="0" w:space="0" w:color="auto"/>
        <w:left w:val="none" w:sz="0" w:space="0" w:color="auto"/>
        <w:bottom w:val="none" w:sz="0" w:space="0" w:color="auto"/>
        <w:right w:val="none" w:sz="0" w:space="0" w:color="auto"/>
      </w:divBdr>
    </w:div>
    <w:div w:id="1741563204">
      <w:bodyDiv w:val="1"/>
      <w:marLeft w:val="0"/>
      <w:marRight w:val="0"/>
      <w:marTop w:val="0"/>
      <w:marBottom w:val="0"/>
      <w:divBdr>
        <w:top w:val="none" w:sz="0" w:space="0" w:color="auto"/>
        <w:left w:val="none" w:sz="0" w:space="0" w:color="auto"/>
        <w:bottom w:val="none" w:sz="0" w:space="0" w:color="auto"/>
        <w:right w:val="none" w:sz="0" w:space="0" w:color="auto"/>
      </w:divBdr>
    </w:div>
    <w:div w:id="207188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ohchr.org/Documents/Issues/Water/Accountability/QuestionnaireNonStateActors_FR.pdf" TargetMode="External"/><Relationship Id="rId18"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 Id="rId21" Type="http://schemas.openxmlformats.org/officeDocument/2006/relationships/customXml" Target="../customXml/item2.xml"/><Relationship Id="rId12" Type="http://schemas.openxmlformats.org/officeDocument/2006/relationships/hyperlink" Target="https://www.ohchr.org/Documents/Issues/Water/Accountability/QuestionnaireNonStateActors_EN.pdf" TargetMode="External"/><Relationship Id="rId17" Type="http://schemas.openxmlformats.org/officeDocument/2006/relationships/image" Target="media/image1.png"/><Relationship Id="rId7" Type="http://schemas.openxmlformats.org/officeDocument/2006/relationships/footnotes" Target="footnotes.xml"/><Relationship Id="rId20" Type="http://schemas.openxmlformats.org/officeDocument/2006/relationships/theme" Target="theme/theme1.xml"/><Relationship Id="rId16" Type="http://schemas.openxmlformats.org/officeDocument/2006/relationships/hyperlink" Target="http://ap.ohchr.org/documents/dpage_e.aspx?si=A/72/127" TargetMode="External"/><Relationship Id="rId2" Type="http://schemas.openxmlformats.org/officeDocument/2006/relationships/numbering" Target="numbering.xml"/><Relationship Id="rId11" Type="http://schemas.openxmlformats.org/officeDocument/2006/relationships/hyperlink" Target="https://www.ohchr.org/Documents/Issues/Water/Accountability/QuestionnaireStates_SP.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ohchr.org/EN/Issues/WaterAndSanitation/SRWater/Pages/PrincipleOfAccountability.aspx" TargetMode="External"/><Relationship Id="rId5" Type="http://schemas.openxmlformats.org/officeDocument/2006/relationships/settings" Target="settings.xml"/><Relationship Id="rId23" Type="http://schemas.openxmlformats.org/officeDocument/2006/relationships/customXml" Target="../customXml/item4.xml"/><Relationship Id="rId10" Type="http://schemas.openxmlformats.org/officeDocument/2006/relationships/hyperlink" Target="https://www.ohchr.org/Documents/Issues/Water/Accountability/QuestionnaireStates_FR.pdf" TargetMode="External"/><Relationship Id="rId19" Type="http://schemas.openxmlformats.org/officeDocument/2006/relationships/fontTable" Target="fontTable.xml"/><Relationship Id="rId9" Type="http://schemas.openxmlformats.org/officeDocument/2006/relationships/hyperlink" Target="https://www.ohchr.org/Documents/Issues/Water/Accountability/QuestionnaireStates_EN.pdf" TargetMode="External"/><Relationship Id="rId14" Type="http://schemas.openxmlformats.org/officeDocument/2006/relationships/hyperlink" Target="https://www.ohchr.org/Documents/Issues/Water/Accountability/QuestionnaireNonStateActors_SP.pdf" TargetMode="External"/><Relationship Id="rId4" Type="http://schemas.microsoft.com/office/2007/relationships/stylesWithEffects" Target="stylesWithEffects.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NewsEvents/Pages/DisplayNews.aspx?NewsID=22957&amp;LangID=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BDB748-AB17-3441-A260-7DBCDA84CD3D}">
  <ds:schemaRefs>
    <ds:schemaRef ds:uri="http://schemas.openxmlformats.org/officeDocument/2006/bibliography"/>
  </ds:schemaRefs>
</ds:datastoreItem>
</file>

<file path=customXml/itemProps2.xml><?xml version="1.0" encoding="utf-8"?>
<ds:datastoreItem xmlns:ds="http://schemas.openxmlformats.org/officeDocument/2006/customXml" ds:itemID="{F5DED1C5-27A6-4B99-8849-209CE30BF9D8}"/>
</file>

<file path=customXml/itemProps3.xml><?xml version="1.0" encoding="utf-8"?>
<ds:datastoreItem xmlns:ds="http://schemas.openxmlformats.org/officeDocument/2006/customXml" ds:itemID="{3EE20263-703E-4ACD-AC68-752CA2FAE861}"/>
</file>

<file path=customXml/itemProps4.xml><?xml version="1.0" encoding="utf-8"?>
<ds:datastoreItem xmlns:ds="http://schemas.openxmlformats.org/officeDocument/2006/customXml" ds:itemID="{835C3F90-50BF-40BB-87F3-FFF764EF8CC2}"/>
</file>

<file path=docProps/app.xml><?xml version="1.0" encoding="utf-8"?>
<Properties xmlns="http://schemas.openxmlformats.org/officeDocument/2006/extended-properties" xmlns:vt="http://schemas.openxmlformats.org/officeDocument/2006/docPropsVTypes">
  <Template>Normal.dotm</Template>
  <TotalTime>0</TotalTime>
  <Pages>8</Pages>
  <Words>2673</Words>
  <Characters>15238</Characters>
  <Application>Microsoft Macintosh Word</Application>
  <DocSecurity>0</DocSecurity>
  <Lines>126</Lines>
  <Paragraphs>35</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17876</CharactersWithSpaces>
  <SharedDoc>false</SharedDoc>
  <HLinks>
    <vt:vector size="54" baseType="variant">
      <vt:variant>
        <vt:i4>721009</vt:i4>
      </vt:variant>
      <vt:variant>
        <vt:i4>21</vt:i4>
      </vt:variant>
      <vt:variant>
        <vt:i4>0</vt:i4>
      </vt:variant>
      <vt:variant>
        <vt:i4>5</vt:i4>
      </vt:variant>
      <vt:variant>
        <vt:lpwstr>http://ap.ohchr.org/documents/dpage_e.aspx?si=A/72/127</vt:lpwstr>
      </vt:variant>
      <vt:variant>
        <vt:lpwstr/>
      </vt:variant>
      <vt:variant>
        <vt:i4>7864438</vt:i4>
      </vt:variant>
      <vt:variant>
        <vt:i4>18</vt:i4>
      </vt:variant>
      <vt:variant>
        <vt:i4>0</vt:i4>
      </vt:variant>
      <vt:variant>
        <vt:i4>5</vt:i4>
      </vt:variant>
      <vt:variant>
        <vt:lpwstr>http://www.ohchr.org/EN/Issues/WaterAndSanitation/SRWater/Pages/PrincipleOfAccountability.aspx</vt:lpwstr>
      </vt:variant>
      <vt:variant>
        <vt:lpwstr/>
      </vt:variant>
      <vt:variant>
        <vt:i4>1572991</vt:i4>
      </vt:variant>
      <vt:variant>
        <vt:i4>15</vt:i4>
      </vt:variant>
      <vt:variant>
        <vt:i4>0</vt:i4>
      </vt:variant>
      <vt:variant>
        <vt:i4>5</vt:i4>
      </vt:variant>
      <vt:variant>
        <vt:lpwstr>http://www.ohchr.org/Documents/Issues/Water/Accountability/QuestionnaireNonStateActors_SP.pdf</vt:lpwstr>
      </vt:variant>
      <vt:variant>
        <vt:lpwstr/>
      </vt:variant>
      <vt:variant>
        <vt:i4>852093</vt:i4>
      </vt:variant>
      <vt:variant>
        <vt:i4>12</vt:i4>
      </vt:variant>
      <vt:variant>
        <vt:i4>0</vt:i4>
      </vt:variant>
      <vt:variant>
        <vt:i4>5</vt:i4>
      </vt:variant>
      <vt:variant>
        <vt:lpwstr>http://www.ohchr.org/Documents/Issues/Water/Accountability/QuestionnaireNonStateActors_FR.pdf</vt:lpwstr>
      </vt:variant>
      <vt:variant>
        <vt:lpwstr/>
      </vt:variant>
      <vt:variant>
        <vt:i4>917601</vt:i4>
      </vt:variant>
      <vt:variant>
        <vt:i4>9</vt:i4>
      </vt:variant>
      <vt:variant>
        <vt:i4>0</vt:i4>
      </vt:variant>
      <vt:variant>
        <vt:i4>5</vt:i4>
      </vt:variant>
      <vt:variant>
        <vt:lpwstr>http://www.ohchr.org/Documents/Issues/Water/Accountability/QuestionnaireNonStateActors_EN.pdf</vt:lpwstr>
      </vt:variant>
      <vt:variant>
        <vt:lpwstr/>
      </vt:variant>
      <vt:variant>
        <vt:i4>786543</vt:i4>
      </vt:variant>
      <vt:variant>
        <vt:i4>6</vt:i4>
      </vt:variant>
      <vt:variant>
        <vt:i4>0</vt:i4>
      </vt:variant>
      <vt:variant>
        <vt:i4>5</vt:i4>
      </vt:variant>
      <vt:variant>
        <vt:lpwstr>http://www.ohchr.org/Documents/Issues/Water/Accountability/QuestionnaireStates_SP.pdf</vt:lpwstr>
      </vt:variant>
      <vt:variant>
        <vt:lpwstr/>
      </vt:variant>
      <vt:variant>
        <vt:i4>1638509</vt:i4>
      </vt:variant>
      <vt:variant>
        <vt:i4>3</vt:i4>
      </vt:variant>
      <vt:variant>
        <vt:i4>0</vt:i4>
      </vt:variant>
      <vt:variant>
        <vt:i4>5</vt:i4>
      </vt:variant>
      <vt:variant>
        <vt:lpwstr>http://www.ohchr.org/Documents/Issues/Water/Accountability/QuestionnaireStates_FR.pdf</vt:lpwstr>
      </vt:variant>
      <vt:variant>
        <vt:lpwstr/>
      </vt:variant>
      <vt:variant>
        <vt:i4>1704049</vt:i4>
      </vt:variant>
      <vt:variant>
        <vt:i4>0</vt:i4>
      </vt:variant>
      <vt:variant>
        <vt:i4>0</vt:i4>
      </vt:variant>
      <vt:variant>
        <vt:i4>5</vt:i4>
      </vt:variant>
      <vt:variant>
        <vt:lpwstr>http://www.ohchr.org/Documents/Issues/Water/Accountability/QuestionnaireStates_EN.pdf</vt:lpwstr>
      </vt:variant>
      <vt:variant>
        <vt:lpwstr/>
      </vt:variant>
      <vt:variant>
        <vt:i4>2883694</vt:i4>
      </vt:variant>
      <vt:variant>
        <vt:i4>0</vt:i4>
      </vt:variant>
      <vt:variant>
        <vt:i4>0</vt:i4>
      </vt:variant>
      <vt:variant>
        <vt:i4>5</vt:i4>
      </vt:variant>
      <vt:variant>
        <vt:lpwstr>http://www.ohchr.org/EN/NewsEvents/Pages/DisplayNews.aspx?NewsID=22957&amp;LangID=E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SRwatsan_Accountability_Agenda</dc:title>
  <dc:creator>Laura van de Lande</dc:creator>
  <cp:lastModifiedBy>Ahreum Lee</cp:lastModifiedBy>
  <cp:revision>2</cp:revision>
  <cp:lastPrinted>2018-05-03T17:37:00Z</cp:lastPrinted>
  <dcterms:created xsi:type="dcterms:W3CDTF">2018-05-23T11:45:00Z</dcterms:created>
  <dcterms:modified xsi:type="dcterms:W3CDTF">2018-05-23T11:45:00Z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