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ABAC5" w14:textId="77777777" w:rsidR="00227F9D" w:rsidRDefault="00221F66">
      <w:pPr>
        <w:pStyle w:val="BodyA"/>
        <w:jc w:val="center"/>
        <w:rPr>
          <w:rFonts w:ascii="Times New Roman" w:eastAsia="Times New Roman" w:hAnsi="Times New Roman" w:cs="Times New Roman"/>
          <w:b/>
          <w:bCs/>
          <w:sz w:val="24"/>
          <w:szCs w:val="24"/>
        </w:rPr>
      </w:pPr>
      <w:bookmarkStart w:id="0" w:name="_GoBack"/>
      <w:bookmarkEnd w:id="0"/>
      <w:r w:rsidRPr="00D14E6B">
        <w:rPr>
          <w:rFonts w:ascii="Times New Roman" w:hAnsi="Times New Roman"/>
          <w:b/>
          <w:bCs/>
          <w:sz w:val="24"/>
          <w:szCs w:val="24"/>
        </w:rPr>
        <w:t xml:space="preserve">The </w:t>
      </w:r>
      <w:r w:rsidR="0090602D" w:rsidRPr="00D14E6B">
        <w:rPr>
          <w:rFonts w:ascii="Times New Roman" w:hAnsi="Times New Roman"/>
          <w:b/>
          <w:bCs/>
          <w:sz w:val="24"/>
          <w:szCs w:val="24"/>
        </w:rPr>
        <w:t>Platform of independent expert mechanisms on the elimination of discrimination and violence against women (</w:t>
      </w:r>
      <w:r w:rsidR="0090602D">
        <w:rPr>
          <w:rFonts w:ascii="Times New Roman" w:hAnsi="Times New Roman"/>
          <w:b/>
          <w:bCs/>
          <w:sz w:val="24"/>
          <w:szCs w:val="24"/>
        </w:rPr>
        <w:t>EDVAW Platform) call</w:t>
      </w:r>
      <w:r>
        <w:rPr>
          <w:rFonts w:ascii="Times New Roman" w:hAnsi="Times New Roman"/>
          <w:b/>
          <w:bCs/>
          <w:sz w:val="24"/>
          <w:szCs w:val="24"/>
        </w:rPr>
        <w:t>s on</w:t>
      </w:r>
      <w:r w:rsidR="0090602D">
        <w:rPr>
          <w:rFonts w:ascii="Times New Roman" w:hAnsi="Times New Roman"/>
          <w:b/>
          <w:bCs/>
          <w:sz w:val="24"/>
          <w:szCs w:val="24"/>
        </w:rPr>
        <w:t xml:space="preserve"> the UN Commission on the Status of Women</w:t>
      </w:r>
      <w:r>
        <w:rPr>
          <w:rFonts w:ascii="Times New Roman" w:hAnsi="Times New Roman"/>
          <w:b/>
          <w:bCs/>
          <w:sz w:val="24"/>
          <w:szCs w:val="24"/>
        </w:rPr>
        <w:t xml:space="preserve"> </w:t>
      </w:r>
      <w:r w:rsidR="0090602D">
        <w:rPr>
          <w:rFonts w:ascii="Times New Roman" w:hAnsi="Times New Roman"/>
          <w:b/>
          <w:bCs/>
          <w:sz w:val="24"/>
          <w:szCs w:val="24"/>
        </w:rPr>
        <w:t xml:space="preserve"> to use women’s human rights instruments and expert mechanisms to accelerate</w:t>
      </w:r>
      <w:r w:rsidR="002B1437">
        <w:rPr>
          <w:rFonts w:ascii="Times New Roman" w:hAnsi="Times New Roman"/>
          <w:b/>
          <w:bCs/>
          <w:sz w:val="24"/>
          <w:szCs w:val="24"/>
        </w:rPr>
        <w:t xml:space="preserve"> the</w:t>
      </w:r>
      <w:r w:rsidR="0090602D">
        <w:rPr>
          <w:rFonts w:ascii="Times New Roman" w:hAnsi="Times New Roman"/>
          <w:b/>
          <w:bCs/>
          <w:sz w:val="24"/>
          <w:szCs w:val="24"/>
        </w:rPr>
        <w:t xml:space="preserve"> implementation of the B</w:t>
      </w:r>
      <w:r w:rsidR="002B1437">
        <w:rPr>
          <w:rFonts w:ascii="Times New Roman" w:hAnsi="Times New Roman"/>
          <w:b/>
          <w:bCs/>
          <w:sz w:val="24"/>
          <w:szCs w:val="24"/>
        </w:rPr>
        <w:t xml:space="preserve">eijing </w:t>
      </w:r>
      <w:r w:rsidR="0090602D">
        <w:rPr>
          <w:rFonts w:ascii="Times New Roman" w:hAnsi="Times New Roman"/>
          <w:b/>
          <w:bCs/>
          <w:sz w:val="24"/>
          <w:szCs w:val="24"/>
        </w:rPr>
        <w:t>P</w:t>
      </w:r>
      <w:r w:rsidR="002B1437">
        <w:rPr>
          <w:rFonts w:ascii="Times New Roman" w:hAnsi="Times New Roman"/>
          <w:b/>
          <w:bCs/>
          <w:sz w:val="24"/>
          <w:szCs w:val="24"/>
        </w:rPr>
        <w:t xml:space="preserve">latform for </w:t>
      </w:r>
      <w:r w:rsidR="0090602D">
        <w:rPr>
          <w:rFonts w:ascii="Times New Roman" w:hAnsi="Times New Roman"/>
          <w:b/>
          <w:bCs/>
          <w:sz w:val="24"/>
          <w:szCs w:val="24"/>
        </w:rPr>
        <w:t>A</w:t>
      </w:r>
      <w:r w:rsidR="002B1437">
        <w:rPr>
          <w:rFonts w:ascii="Times New Roman" w:hAnsi="Times New Roman"/>
          <w:b/>
          <w:bCs/>
          <w:sz w:val="24"/>
          <w:szCs w:val="24"/>
        </w:rPr>
        <w:t>ction</w:t>
      </w:r>
      <w:r w:rsidR="0090602D">
        <w:rPr>
          <w:rFonts w:ascii="Times New Roman" w:hAnsi="Times New Roman"/>
          <w:b/>
          <w:bCs/>
          <w:sz w:val="24"/>
          <w:szCs w:val="24"/>
        </w:rPr>
        <w:t xml:space="preserve">  </w:t>
      </w:r>
    </w:p>
    <w:p w14:paraId="6E3C05DC" w14:textId="77777777" w:rsidR="00227F9D" w:rsidRDefault="00227F9D">
      <w:pPr>
        <w:pStyle w:val="BodyA"/>
        <w:jc w:val="center"/>
        <w:rPr>
          <w:rFonts w:ascii="Times New Roman" w:eastAsia="Times New Roman" w:hAnsi="Times New Roman" w:cs="Times New Roman"/>
          <w:b/>
          <w:bCs/>
          <w:sz w:val="24"/>
          <w:szCs w:val="24"/>
        </w:rPr>
      </w:pPr>
    </w:p>
    <w:p w14:paraId="0FB9B127" w14:textId="77777777" w:rsidR="00227F9D" w:rsidRDefault="00227F9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rPr>
          <w:u w:color="232323"/>
          <w:lang w:val="en-US"/>
          <w14:textOutline w14:w="12700" w14:cap="flat" w14:cmpd="sng" w14:algn="ctr">
            <w14:noFill/>
            <w14:prstDash w14:val="solid"/>
            <w14:miter w14:lim="400000"/>
          </w14:textOutline>
        </w:rPr>
      </w:pPr>
    </w:p>
    <w:p w14:paraId="61CDCBC1" w14:textId="11D16677"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rPr>
          <w:b/>
          <w:bCs/>
        </w:rPr>
      </w:pPr>
      <w:r>
        <w:rPr>
          <w:lang w:val="en-US"/>
        </w:rPr>
        <w:t xml:space="preserve">GENEVA (XX March 2021) – </w:t>
      </w:r>
      <w:r w:rsidR="006F0CB2">
        <w:rPr>
          <w:lang w:val="en-US"/>
        </w:rPr>
        <w:t>O</w:t>
      </w:r>
      <w:r>
        <w:rPr>
          <w:lang w:val="en-US"/>
        </w:rPr>
        <w:t>n the occasion of the 65</w:t>
      </w:r>
      <w:r>
        <w:rPr>
          <w:vertAlign w:val="superscript"/>
          <w:lang w:val="en-US"/>
        </w:rPr>
        <w:t>th</w:t>
      </w:r>
      <w:r>
        <w:rPr>
          <w:lang w:val="en-US"/>
        </w:rPr>
        <w:t xml:space="preserve"> session of the Commission on the Status of Women, </w:t>
      </w:r>
      <w:r>
        <w:rPr>
          <w:i/>
          <w:iCs/>
          <w:lang w:val="en-US"/>
        </w:rPr>
        <w:t>the EDVAW Platform of 7 independent United Nations and regional expert mechanisms on elimination of discrimination and violence against women (</w:t>
      </w:r>
      <w:r w:rsidR="002B1437">
        <w:rPr>
          <w:i/>
          <w:iCs/>
          <w:lang w:val="en-US"/>
        </w:rPr>
        <w:t>UN Special Rapporteur on violence against women, UN Committee on the Elimination of Discrimination against Women, UN Working Group on discrimination against women</w:t>
      </w:r>
      <w:r w:rsidR="003C0C0E">
        <w:rPr>
          <w:i/>
          <w:iCs/>
          <w:lang w:val="en-US"/>
        </w:rPr>
        <w:t xml:space="preserve"> and girls</w:t>
      </w:r>
      <w:r w:rsidR="002B1437">
        <w:rPr>
          <w:i/>
          <w:iCs/>
          <w:lang w:val="en-US"/>
        </w:rPr>
        <w:t>, Committee of Experts of the Follow-up Mechanism to the Belém do Pará Convention, Group of Experts on Action against Violence against Women and Domestic Violence, Special Rapporteur on the Rights of Women in African, Inter-American Rapporteur on the Rights of Women)</w:t>
      </w:r>
      <w:r>
        <w:rPr>
          <w:i/>
          <w:iCs/>
          <w:lang w:val="en-US"/>
        </w:rPr>
        <w:t xml:space="preserve"> </w:t>
      </w:r>
      <w:r>
        <w:rPr>
          <w:b/>
          <w:bCs/>
          <w:lang w:val="en-US"/>
        </w:rPr>
        <w:t>*</w:t>
      </w:r>
      <w:r>
        <w:rPr>
          <w:lang w:val="en-US"/>
        </w:rPr>
        <w:t> </w:t>
      </w:r>
      <w:r>
        <w:rPr>
          <w:b/>
          <w:bCs/>
          <w:lang w:val="en-US"/>
        </w:rPr>
        <w:t>jointly call</w:t>
      </w:r>
      <w:r w:rsidR="006F0CB2">
        <w:rPr>
          <w:b/>
          <w:bCs/>
          <w:lang w:val="en-US"/>
        </w:rPr>
        <w:t>ed</w:t>
      </w:r>
      <w:r>
        <w:rPr>
          <w:b/>
          <w:bCs/>
          <w:lang w:val="en-US"/>
        </w:rPr>
        <w:t xml:space="preserve"> upon all States</w:t>
      </w:r>
      <w:r w:rsidR="002B1437">
        <w:rPr>
          <w:b/>
          <w:bCs/>
          <w:lang w:val="en-US"/>
        </w:rPr>
        <w:t>,</w:t>
      </w:r>
      <w:r>
        <w:rPr>
          <w:b/>
          <w:bCs/>
          <w:lang w:val="en-US"/>
        </w:rPr>
        <w:t xml:space="preserve"> relevant stakeholders worldwide and the UN C</w:t>
      </w:r>
      <w:r w:rsidR="002B1437">
        <w:rPr>
          <w:b/>
          <w:bCs/>
          <w:lang w:val="en-US"/>
        </w:rPr>
        <w:t xml:space="preserve">ommission on the </w:t>
      </w:r>
      <w:r>
        <w:rPr>
          <w:b/>
          <w:bCs/>
          <w:lang w:val="en-US"/>
        </w:rPr>
        <w:t>S</w:t>
      </w:r>
      <w:r w:rsidR="002B1437">
        <w:rPr>
          <w:b/>
          <w:bCs/>
          <w:lang w:val="en-US"/>
        </w:rPr>
        <w:t xml:space="preserve">tatus of </w:t>
      </w:r>
      <w:r>
        <w:rPr>
          <w:b/>
          <w:bCs/>
          <w:lang w:val="en-US"/>
        </w:rPr>
        <w:t>W</w:t>
      </w:r>
      <w:r w:rsidR="002B1437">
        <w:rPr>
          <w:b/>
          <w:bCs/>
          <w:lang w:val="en-US"/>
        </w:rPr>
        <w:t>omen</w:t>
      </w:r>
      <w:r>
        <w:rPr>
          <w:b/>
          <w:bCs/>
          <w:lang w:val="en-US"/>
        </w:rPr>
        <w:t xml:space="preserve"> to </w:t>
      </w:r>
      <w:r w:rsidR="002B1437">
        <w:rPr>
          <w:b/>
          <w:bCs/>
          <w:lang w:val="en-US"/>
        </w:rPr>
        <w:t>adopt</w:t>
      </w:r>
      <w:r>
        <w:rPr>
          <w:b/>
          <w:bCs/>
          <w:lang w:val="en-US"/>
        </w:rPr>
        <w:t xml:space="preserve">  a human rights based approach </w:t>
      </w:r>
      <w:r w:rsidR="003C0C0E">
        <w:rPr>
          <w:b/>
          <w:bCs/>
          <w:lang w:val="en-US"/>
        </w:rPr>
        <w:t>to</w:t>
      </w:r>
      <w:r>
        <w:rPr>
          <w:b/>
          <w:bCs/>
          <w:lang w:val="en-US"/>
        </w:rPr>
        <w:t xml:space="preserve"> the implementation of strategies for the elimination of discrimination and violence against wome</w:t>
      </w:r>
      <w:r w:rsidR="002B1437">
        <w:rPr>
          <w:b/>
          <w:bCs/>
          <w:lang w:val="en-US"/>
        </w:rPr>
        <w:t>n</w:t>
      </w:r>
      <w:r>
        <w:rPr>
          <w:b/>
          <w:bCs/>
          <w:lang w:val="en-US"/>
        </w:rPr>
        <w:t xml:space="preserve"> and</w:t>
      </w:r>
      <w:r w:rsidR="006F0CB2">
        <w:rPr>
          <w:b/>
          <w:bCs/>
          <w:lang w:val="en-US"/>
        </w:rPr>
        <w:t xml:space="preserve"> the</w:t>
      </w:r>
      <w:r>
        <w:rPr>
          <w:b/>
          <w:bCs/>
          <w:lang w:val="en-US"/>
        </w:rPr>
        <w:t xml:space="preserve"> implementation of the B</w:t>
      </w:r>
      <w:r w:rsidR="002B1437">
        <w:rPr>
          <w:b/>
          <w:bCs/>
          <w:lang w:val="en-US"/>
        </w:rPr>
        <w:t xml:space="preserve">eijing </w:t>
      </w:r>
      <w:r>
        <w:rPr>
          <w:b/>
          <w:bCs/>
          <w:lang w:val="en-US"/>
        </w:rPr>
        <w:t>P</w:t>
      </w:r>
      <w:r w:rsidR="002B1437">
        <w:rPr>
          <w:b/>
          <w:bCs/>
          <w:lang w:val="en-US"/>
        </w:rPr>
        <w:t xml:space="preserve">latform for </w:t>
      </w:r>
      <w:r>
        <w:rPr>
          <w:b/>
          <w:bCs/>
          <w:lang w:val="en-US"/>
        </w:rPr>
        <w:t>A</w:t>
      </w:r>
      <w:r w:rsidR="002B1437">
        <w:rPr>
          <w:b/>
          <w:bCs/>
          <w:lang w:val="en-US"/>
        </w:rPr>
        <w:t>ction</w:t>
      </w:r>
      <w:r>
        <w:rPr>
          <w:b/>
          <w:bCs/>
          <w:lang w:val="en-US"/>
        </w:rPr>
        <w:t>, as present</w:t>
      </w:r>
      <w:r w:rsidR="002B1437">
        <w:rPr>
          <w:b/>
          <w:bCs/>
          <w:lang w:val="en-US"/>
        </w:rPr>
        <w:t>ed in</w:t>
      </w:r>
      <w:r>
        <w:rPr>
          <w:b/>
          <w:bCs/>
          <w:lang w:val="en-US"/>
        </w:rPr>
        <w:t xml:space="preserve"> their </w:t>
      </w:r>
      <w:hyperlink r:id="rId7" w:history="1">
        <w:r>
          <w:rPr>
            <w:rStyle w:val="Hyperlink0"/>
          </w:rPr>
          <w:t>joint publication</w:t>
        </w:r>
      </w:hyperlink>
      <w:r>
        <w:rPr>
          <w:b/>
          <w:bCs/>
          <w:lang w:val="en-US"/>
        </w:rPr>
        <w:t xml:space="preserve"> </w:t>
      </w:r>
      <w:r w:rsidR="006F0CB2">
        <w:rPr>
          <w:b/>
          <w:bCs/>
          <w:lang w:val="en-US"/>
        </w:rPr>
        <w:t>launched during this session</w:t>
      </w:r>
      <w:r>
        <w:rPr>
          <w:b/>
          <w:bCs/>
          <w:lang w:val="en-US"/>
        </w:rPr>
        <w:t>.</w:t>
      </w:r>
    </w:p>
    <w:p w14:paraId="2F0E99DC" w14:textId="46CC92FD"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 xml:space="preserve">The adoption of the Beijing Declaration and Platform for Action, in 1995, was an important step in developing a comprehensive international policy framework on women's </w:t>
      </w:r>
      <w:r w:rsidR="002B1437">
        <w:rPr>
          <w:lang w:val="en-US"/>
        </w:rPr>
        <w:t>empower</w:t>
      </w:r>
      <w:r>
        <w:rPr>
          <w:lang w:val="en-US"/>
        </w:rPr>
        <w:t>ment, human rights and development. The Beijing Platform for Action include</w:t>
      </w:r>
      <w:r w:rsidR="006F0CB2">
        <w:rPr>
          <w:lang w:val="en-US"/>
        </w:rPr>
        <w:t>s</w:t>
      </w:r>
      <w:r>
        <w:rPr>
          <w:lang w:val="en-US"/>
        </w:rPr>
        <w:t xml:space="preserve"> 12 critical areas of concern</w:t>
      </w:r>
      <w:r w:rsidR="002B1437">
        <w:rPr>
          <w:lang w:val="en-US"/>
        </w:rPr>
        <w:t>,</w:t>
      </w:r>
      <w:r>
        <w:rPr>
          <w:lang w:val="en-US"/>
        </w:rPr>
        <w:t xml:space="preserve"> including women’s human rights and violence against women. </w:t>
      </w:r>
    </w:p>
    <w:p w14:paraId="5E31523B" w14:textId="5D3D8507"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 xml:space="preserve">Since the Beijing Conference, </w:t>
      </w:r>
      <w:r w:rsidR="006F0CB2">
        <w:rPr>
          <w:lang w:val="en-US"/>
        </w:rPr>
        <w:t xml:space="preserve">the UN Commission on the Status of Women has assessed </w:t>
      </w:r>
      <w:r>
        <w:rPr>
          <w:lang w:val="en-US"/>
        </w:rPr>
        <w:t>the implementation of the Beijing Declaration and the Platform for Action through a review process carried out every five years</w:t>
      </w:r>
      <w:r w:rsidR="006F0CB2">
        <w:rPr>
          <w:lang w:val="en-US"/>
        </w:rPr>
        <w:t>. During these reviews</w:t>
      </w:r>
      <w:r>
        <w:rPr>
          <w:lang w:val="en-US"/>
        </w:rPr>
        <w:t xml:space="preserve"> </w:t>
      </w:r>
      <w:r w:rsidR="006F0CB2">
        <w:rPr>
          <w:lang w:val="en-US"/>
        </w:rPr>
        <w:t>States have reaffirmed their</w:t>
      </w:r>
      <w:r>
        <w:rPr>
          <w:lang w:val="en-US"/>
        </w:rPr>
        <w:t xml:space="preserve"> commitment to its full implementation. </w:t>
      </w:r>
    </w:p>
    <w:p w14:paraId="252C7BF3" w14:textId="2FAD3254"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rPr>
          <w:lang w:val="en-US"/>
        </w:rPr>
      </w:pPr>
      <w:r>
        <w:rPr>
          <w:lang w:val="en-US"/>
        </w:rPr>
        <w:t xml:space="preserve">While the more than 25 years since the adoption of the Beijing Declaration and Platform for Action have witnessed many positive changes </w:t>
      </w:r>
      <w:r w:rsidR="006F0CB2">
        <w:rPr>
          <w:lang w:val="en-US"/>
        </w:rPr>
        <w:t>for the realization of</w:t>
      </w:r>
      <w:r>
        <w:rPr>
          <w:lang w:val="en-US"/>
        </w:rPr>
        <w:t xml:space="preserve"> women’s rights, they have </w:t>
      </w:r>
      <w:r>
        <w:rPr>
          <w:b/>
          <w:bCs/>
          <w:lang w:val="en-US"/>
        </w:rPr>
        <w:t>also revealed the persistent and systematic discrimination and violence against women that are deeply rooted in the fabric of societies.</w:t>
      </w:r>
      <w:r>
        <w:rPr>
          <w:lang w:val="en-US"/>
        </w:rPr>
        <w:t xml:space="preserve"> Violence against women remains pervasive</w:t>
      </w:r>
      <w:r w:rsidR="003C0C0E">
        <w:rPr>
          <w:lang w:val="en-US"/>
        </w:rPr>
        <w:t xml:space="preserve"> and normalised</w:t>
      </w:r>
      <w:r>
        <w:rPr>
          <w:lang w:val="en-US"/>
        </w:rPr>
        <w:t xml:space="preserve">, and </w:t>
      </w:r>
      <w:r w:rsidR="003C0C0E">
        <w:rPr>
          <w:lang w:val="en-US"/>
        </w:rPr>
        <w:t xml:space="preserve">the </w:t>
      </w:r>
      <w:r>
        <w:rPr>
          <w:lang w:val="en-US"/>
        </w:rPr>
        <w:t>growing backlash against feminism, gender equality and women’s empowerment, pose</w:t>
      </w:r>
      <w:r w:rsidR="006F0CB2">
        <w:rPr>
          <w:lang w:val="en-US"/>
        </w:rPr>
        <w:t>s</w:t>
      </w:r>
      <w:r>
        <w:rPr>
          <w:lang w:val="en-US"/>
        </w:rPr>
        <w:t xml:space="preserve"> additional challenges to Constitutional</w:t>
      </w:r>
      <w:r w:rsidR="006F0CB2">
        <w:rPr>
          <w:lang w:val="en-US"/>
        </w:rPr>
        <w:t>,</w:t>
      </w:r>
      <w:r>
        <w:rPr>
          <w:lang w:val="en-US"/>
        </w:rPr>
        <w:t xml:space="preserve"> legislative</w:t>
      </w:r>
      <w:r w:rsidR="006F0CB2">
        <w:rPr>
          <w:lang w:val="en-US"/>
        </w:rPr>
        <w:t>, policy and programmatic</w:t>
      </w:r>
      <w:r>
        <w:rPr>
          <w:lang w:val="en-US"/>
        </w:rPr>
        <w:t xml:space="preserve"> changes</w:t>
      </w:r>
      <w:r w:rsidR="006F0CB2">
        <w:rPr>
          <w:lang w:val="en-US"/>
        </w:rPr>
        <w:t xml:space="preserve"> that are so urgently needed to implement fully the Beijing Platform for Action. </w:t>
      </w:r>
    </w:p>
    <w:p w14:paraId="369BDCF0" w14:textId="6383757D" w:rsidR="00227F9D" w:rsidRDefault="006F0CB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T</w:t>
      </w:r>
      <w:r w:rsidR="0090602D">
        <w:rPr>
          <w:lang w:val="en-US"/>
        </w:rPr>
        <w:t>he Beijing Platform for Action</w:t>
      </w:r>
      <w:r>
        <w:rPr>
          <w:lang w:val="en-US"/>
        </w:rPr>
        <w:t xml:space="preserve"> is solidly anchored in </w:t>
      </w:r>
      <w:r w:rsidR="002B1437">
        <w:rPr>
          <w:lang w:val="en-US"/>
        </w:rPr>
        <w:t xml:space="preserve">the </w:t>
      </w:r>
      <w:hyperlink r:id="rId8" w:history="1">
        <w:r w:rsidR="002B1437" w:rsidRPr="002B1437">
          <w:rPr>
            <w:rStyle w:val="Hyperlink"/>
            <w:lang w:val="en-US"/>
          </w:rPr>
          <w:t>UN</w:t>
        </w:r>
        <w:r w:rsidR="0090602D" w:rsidRPr="002B1437">
          <w:rPr>
            <w:rStyle w:val="Hyperlink"/>
            <w:lang w:val="en-US"/>
          </w:rPr>
          <w:t xml:space="preserve"> D</w:t>
        </w:r>
        <w:r w:rsidR="002B1437" w:rsidRPr="002B1437">
          <w:rPr>
            <w:rStyle w:val="Hyperlink"/>
            <w:lang w:val="en-US"/>
          </w:rPr>
          <w:t xml:space="preserve">eclaration on the </w:t>
        </w:r>
        <w:r w:rsidR="0090602D" w:rsidRPr="002B1437">
          <w:rPr>
            <w:rStyle w:val="Hyperlink"/>
            <w:lang w:val="en-US"/>
          </w:rPr>
          <w:t>E</w:t>
        </w:r>
        <w:r w:rsidR="002B1437" w:rsidRPr="002B1437">
          <w:rPr>
            <w:rStyle w:val="Hyperlink"/>
            <w:lang w:val="en-US"/>
          </w:rPr>
          <w:t xml:space="preserve">limination of </w:t>
        </w:r>
        <w:r w:rsidR="0090602D" w:rsidRPr="002B1437">
          <w:rPr>
            <w:rStyle w:val="Hyperlink"/>
            <w:lang w:val="en-US"/>
          </w:rPr>
          <w:t>V</w:t>
        </w:r>
        <w:r w:rsidR="002B1437" w:rsidRPr="002B1437">
          <w:rPr>
            <w:rStyle w:val="Hyperlink"/>
            <w:lang w:val="en-US"/>
          </w:rPr>
          <w:t xml:space="preserve">iolence </w:t>
        </w:r>
        <w:r w:rsidR="0090602D" w:rsidRPr="002B1437">
          <w:rPr>
            <w:rStyle w:val="Hyperlink"/>
            <w:lang w:val="en-US"/>
          </w:rPr>
          <w:t>A</w:t>
        </w:r>
        <w:r w:rsidR="002B1437" w:rsidRPr="002B1437">
          <w:rPr>
            <w:rStyle w:val="Hyperlink"/>
            <w:lang w:val="en-US"/>
          </w:rPr>
          <w:t xml:space="preserve">gainst </w:t>
        </w:r>
        <w:r w:rsidR="0090602D" w:rsidRPr="002B1437">
          <w:rPr>
            <w:rStyle w:val="Hyperlink"/>
            <w:lang w:val="en-US"/>
          </w:rPr>
          <w:t>W</w:t>
        </w:r>
        <w:r w:rsidR="002B1437" w:rsidRPr="002B1437">
          <w:rPr>
            <w:rStyle w:val="Hyperlink"/>
            <w:lang w:val="en-US"/>
          </w:rPr>
          <w:t>omen</w:t>
        </w:r>
        <w:r w:rsidR="0090602D" w:rsidRPr="002B1437">
          <w:rPr>
            <w:rStyle w:val="Hyperlink"/>
            <w:lang w:val="en-US"/>
          </w:rPr>
          <w:t xml:space="preserve"> of 1993</w:t>
        </w:r>
      </w:hyperlink>
      <w:r>
        <w:rPr>
          <w:lang w:val="en-US"/>
        </w:rPr>
        <w:t>,</w:t>
      </w:r>
      <w:r w:rsidR="003C0C0E">
        <w:rPr>
          <w:lang w:val="en-US"/>
        </w:rPr>
        <w:t xml:space="preserve"> and</w:t>
      </w:r>
      <w:r>
        <w:rPr>
          <w:lang w:val="en-US"/>
        </w:rPr>
        <w:t xml:space="preserve"> </w:t>
      </w:r>
      <w:r w:rsidR="002B1437">
        <w:rPr>
          <w:lang w:val="en-US"/>
        </w:rPr>
        <w:t xml:space="preserve">the </w:t>
      </w:r>
      <w:hyperlink r:id="rId9" w:history="1">
        <w:r w:rsidR="002B1437" w:rsidRPr="002B1437">
          <w:rPr>
            <w:rStyle w:val="Hyperlink"/>
            <w:lang w:val="en-US"/>
          </w:rPr>
          <w:t xml:space="preserve">Convention on the Elimination of </w:t>
        </w:r>
        <w:r w:rsidR="003C0C0E">
          <w:rPr>
            <w:rStyle w:val="Hyperlink"/>
            <w:lang w:val="en-US"/>
          </w:rPr>
          <w:t xml:space="preserve">All Forms of </w:t>
        </w:r>
        <w:r w:rsidR="002B1437" w:rsidRPr="002B1437">
          <w:rPr>
            <w:rStyle w:val="Hyperlink"/>
            <w:lang w:val="en-US"/>
          </w:rPr>
          <w:t xml:space="preserve">Discrimination against Women, </w:t>
        </w:r>
        <w:r w:rsidR="0090602D" w:rsidRPr="002B1437">
          <w:rPr>
            <w:rStyle w:val="Hyperlink"/>
            <w:lang w:val="en-US"/>
          </w:rPr>
          <w:t>of 1979</w:t>
        </w:r>
      </w:hyperlink>
      <w:r w:rsidR="0090602D">
        <w:rPr>
          <w:lang w:val="en-US"/>
        </w:rPr>
        <w:t>,</w:t>
      </w:r>
      <w:r w:rsidR="002B1437">
        <w:rPr>
          <w:lang w:val="en-US"/>
        </w:rPr>
        <w:t xml:space="preserve"> and its</w:t>
      </w:r>
      <w:r w:rsidR="003C0C0E">
        <w:rPr>
          <w:lang w:val="en-US"/>
        </w:rPr>
        <w:t xml:space="preserve"> main values and principles are reflected in the CEDAW</w:t>
      </w:r>
      <w:r w:rsidR="002B1437">
        <w:rPr>
          <w:lang w:val="en-US"/>
        </w:rPr>
        <w:t xml:space="preserve"> </w:t>
      </w:r>
      <w:hyperlink r:id="rId10" w:history="1">
        <w:r w:rsidR="002B1437" w:rsidRPr="002B1437">
          <w:rPr>
            <w:rStyle w:val="Hyperlink"/>
            <w:lang w:val="en-US"/>
          </w:rPr>
          <w:t>Optional Protocol</w:t>
        </w:r>
      </w:hyperlink>
      <w:r w:rsidR="002B1437">
        <w:rPr>
          <w:lang w:val="en-US"/>
        </w:rPr>
        <w:t xml:space="preserve">, the </w:t>
      </w:r>
      <w:hyperlink r:id="rId11" w:history="1">
        <w:r w:rsidR="002B1437" w:rsidRPr="002B1437">
          <w:rPr>
            <w:rStyle w:val="Hyperlink"/>
            <w:lang w:val="en-US"/>
          </w:rPr>
          <w:t>Belém do Pará Convention</w:t>
        </w:r>
        <w:r w:rsidR="002B1437">
          <w:rPr>
            <w:rStyle w:val="Hyperlink"/>
            <w:lang w:val="en-US"/>
          </w:rPr>
          <w:t>,</w:t>
        </w:r>
        <w:r w:rsidR="002B1437" w:rsidRPr="002B1437">
          <w:rPr>
            <w:rStyle w:val="Hyperlink"/>
            <w:lang w:val="en-US"/>
          </w:rPr>
          <w:t xml:space="preserve"> of 1994</w:t>
        </w:r>
      </w:hyperlink>
      <w:r w:rsidR="002B1437">
        <w:rPr>
          <w:lang w:val="en-US"/>
        </w:rPr>
        <w:t xml:space="preserve">, the </w:t>
      </w:r>
      <w:hyperlink r:id="rId12" w:history="1">
        <w:r w:rsidR="002B1437" w:rsidRPr="002B1437">
          <w:rPr>
            <w:rStyle w:val="Hyperlink"/>
            <w:lang w:val="en-US"/>
          </w:rPr>
          <w:t>Maputo Protocol, of 20</w:t>
        </w:r>
        <w:r w:rsidR="003C0C0E">
          <w:rPr>
            <w:rStyle w:val="Hyperlink"/>
            <w:lang w:val="en-US"/>
          </w:rPr>
          <w:t>03</w:t>
        </w:r>
      </w:hyperlink>
      <w:r w:rsidR="002B1437">
        <w:rPr>
          <w:lang w:val="en-US"/>
        </w:rPr>
        <w:t xml:space="preserve">, and the </w:t>
      </w:r>
      <w:hyperlink r:id="rId13" w:history="1">
        <w:r w:rsidR="002B1437" w:rsidRPr="002B1437">
          <w:rPr>
            <w:rStyle w:val="Hyperlink"/>
            <w:lang w:val="en-US"/>
          </w:rPr>
          <w:t xml:space="preserve">Istanbul Convention of </w:t>
        </w:r>
        <w:r w:rsidR="002B1437">
          <w:rPr>
            <w:rStyle w:val="Hyperlink"/>
            <w:lang w:val="en-US"/>
          </w:rPr>
          <w:t xml:space="preserve"> </w:t>
        </w:r>
        <w:r w:rsidR="002B1437" w:rsidRPr="002B1437">
          <w:rPr>
            <w:rStyle w:val="Hyperlink"/>
            <w:lang w:val="en-US"/>
          </w:rPr>
          <w:t>2011</w:t>
        </w:r>
      </w:hyperlink>
      <w:r w:rsidR="002B1437">
        <w:rPr>
          <w:lang w:val="en-US"/>
        </w:rPr>
        <w:t xml:space="preserve">. </w:t>
      </w:r>
      <w:r w:rsidR="00221F66">
        <w:rPr>
          <w:lang w:val="en-US"/>
        </w:rPr>
        <w:t xml:space="preserve"> The full implementation of the Platform</w:t>
      </w:r>
      <w:r w:rsidR="0090602D">
        <w:rPr>
          <w:lang w:val="en-US"/>
        </w:rPr>
        <w:t xml:space="preserve"> </w:t>
      </w:r>
      <w:r>
        <w:rPr>
          <w:lang w:val="en-US"/>
        </w:rPr>
        <w:t xml:space="preserve">therefore </w:t>
      </w:r>
      <w:r w:rsidR="0090602D">
        <w:rPr>
          <w:lang w:val="en-US"/>
        </w:rPr>
        <w:lastRenderedPageBreak/>
        <w:t>require</w:t>
      </w:r>
      <w:r w:rsidR="00221F66">
        <w:rPr>
          <w:lang w:val="en-US"/>
        </w:rPr>
        <w:t>s the</w:t>
      </w:r>
      <w:r w:rsidR="0090602D">
        <w:rPr>
          <w:lang w:val="en-US"/>
        </w:rPr>
        <w:t xml:space="preserve"> </w:t>
      </w:r>
      <w:r w:rsidR="00377561">
        <w:rPr>
          <w:lang w:val="en-US"/>
        </w:rPr>
        <w:t xml:space="preserve">implementation </w:t>
      </w:r>
      <w:r w:rsidR="0090602D">
        <w:rPr>
          <w:lang w:val="en-US"/>
        </w:rPr>
        <w:t xml:space="preserve">of </w:t>
      </w:r>
      <w:r w:rsidR="00221F66">
        <w:rPr>
          <w:lang w:val="en-US"/>
        </w:rPr>
        <w:t>all</w:t>
      </w:r>
      <w:r w:rsidR="0090602D">
        <w:rPr>
          <w:lang w:val="en-US"/>
        </w:rPr>
        <w:t xml:space="preserve"> of those instruments</w:t>
      </w:r>
      <w:r w:rsidR="00221F66">
        <w:rPr>
          <w:lang w:val="en-US"/>
        </w:rPr>
        <w:t>, under the guidance of the</w:t>
      </w:r>
      <w:r w:rsidR="0090602D">
        <w:rPr>
          <w:lang w:val="en-US"/>
        </w:rPr>
        <w:t xml:space="preserve"> expert monitoring</w:t>
      </w:r>
      <w:r w:rsidR="00221F66">
        <w:rPr>
          <w:lang w:val="en-US"/>
        </w:rPr>
        <w:t xml:space="preserve"> </w:t>
      </w:r>
      <w:r w:rsidR="0090602D">
        <w:rPr>
          <w:lang w:val="en-US"/>
        </w:rPr>
        <w:t>mechanisms</w:t>
      </w:r>
      <w:r>
        <w:rPr>
          <w:lang w:val="en-US"/>
        </w:rPr>
        <w:t xml:space="preserve"> gathered in this space</w:t>
      </w:r>
      <w:r w:rsidR="003C0C0E">
        <w:rPr>
          <w:lang w:val="en-US"/>
        </w:rPr>
        <w:t>. It also requires</w:t>
      </w:r>
      <w:r w:rsidR="0090602D">
        <w:rPr>
          <w:lang w:val="en-US"/>
        </w:rPr>
        <w:t xml:space="preserve"> renewed </w:t>
      </w:r>
      <w:r>
        <w:rPr>
          <w:lang w:val="en-US"/>
        </w:rPr>
        <w:t xml:space="preserve">encouragement </w:t>
      </w:r>
      <w:r w:rsidR="0090602D">
        <w:rPr>
          <w:lang w:val="en-US"/>
        </w:rPr>
        <w:t xml:space="preserve">by the Commission on the Status of Women to support States and other stakeholders. </w:t>
      </w:r>
    </w:p>
    <w:p w14:paraId="1477BDDB" w14:textId="04F93CC6"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The Commission on the Status of Women and States</w:t>
      </w:r>
      <w:r w:rsidR="00377561">
        <w:rPr>
          <w:lang w:val="en-US"/>
        </w:rPr>
        <w:t xml:space="preserve"> gathered at the Commission</w:t>
      </w:r>
      <w:r>
        <w:rPr>
          <w:lang w:val="en-US"/>
        </w:rPr>
        <w:t xml:space="preserve"> should consider </w:t>
      </w:r>
      <w:r w:rsidR="006F0CB2">
        <w:rPr>
          <w:lang w:val="en-US"/>
        </w:rPr>
        <w:t xml:space="preserve">the </w:t>
      </w:r>
      <w:r>
        <w:rPr>
          <w:lang w:val="en-US"/>
        </w:rPr>
        <w:t xml:space="preserve">recommendations and implementation strategies proposed by </w:t>
      </w:r>
      <w:r w:rsidR="006F0CB2">
        <w:rPr>
          <w:lang w:val="en-US"/>
        </w:rPr>
        <w:t>our</w:t>
      </w:r>
      <w:r>
        <w:rPr>
          <w:lang w:val="en-US"/>
        </w:rPr>
        <w:t xml:space="preserve"> expert mechanisms</w:t>
      </w:r>
      <w:r w:rsidR="006F0CB2">
        <w:rPr>
          <w:lang w:val="en-US"/>
        </w:rPr>
        <w:t>, including the</w:t>
      </w:r>
      <w:r>
        <w:rPr>
          <w:lang w:val="en-US"/>
        </w:rPr>
        <w:t xml:space="preserve"> good practices and legal and practical solutions</w:t>
      </w:r>
      <w:r w:rsidR="006F0CB2">
        <w:rPr>
          <w:lang w:val="en-US"/>
        </w:rPr>
        <w:t xml:space="preserve"> they have offered in a number of relevant thematic </w:t>
      </w:r>
      <w:r w:rsidR="003C0C0E">
        <w:rPr>
          <w:lang w:val="en-US"/>
        </w:rPr>
        <w:t>areas</w:t>
      </w:r>
      <w:r>
        <w:rPr>
          <w:lang w:val="en-US"/>
        </w:rPr>
        <w:t xml:space="preserve">. In particular those States facing similar implementation gaps and challenges should consider the recommendations provided by </w:t>
      </w:r>
      <w:r w:rsidR="006F0CB2">
        <w:rPr>
          <w:lang w:val="en-US"/>
        </w:rPr>
        <w:t>ou</w:t>
      </w:r>
      <w:r w:rsidR="00F12952">
        <w:rPr>
          <w:lang w:val="en-US"/>
        </w:rPr>
        <w:t>r</w:t>
      </w:r>
      <w:r>
        <w:rPr>
          <w:lang w:val="en-US"/>
        </w:rPr>
        <w:t xml:space="preserve"> expert mechanisms as tools </w:t>
      </w:r>
      <w:r w:rsidR="00F12952">
        <w:rPr>
          <w:lang w:val="en-US"/>
        </w:rPr>
        <w:t xml:space="preserve">including </w:t>
      </w:r>
      <w:r>
        <w:rPr>
          <w:lang w:val="en-US"/>
        </w:rPr>
        <w:t xml:space="preserve">using reliable and comparable data to track progress and </w:t>
      </w:r>
      <w:r w:rsidR="003C0C0E">
        <w:rPr>
          <w:lang w:val="en-US"/>
        </w:rPr>
        <w:t xml:space="preserve">prevent rollbacks </w:t>
      </w:r>
      <w:r w:rsidR="00F12952">
        <w:rPr>
          <w:lang w:val="en-US"/>
        </w:rPr>
        <w:t>by</w:t>
      </w:r>
      <w:r>
        <w:rPr>
          <w:lang w:val="en-US"/>
        </w:rPr>
        <w:t xml:space="preserve"> anti-gender campaigns and movements that are threatening progress.   </w:t>
      </w:r>
    </w:p>
    <w:p w14:paraId="50BB25CB" w14:textId="689D1A05"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 xml:space="preserve">The Commission on the Status of Women must recognize the indispensable role played by </w:t>
      </w:r>
      <w:r w:rsidR="00F12952">
        <w:rPr>
          <w:lang w:val="en-US"/>
        </w:rPr>
        <w:t xml:space="preserve">our </w:t>
      </w:r>
      <w:r>
        <w:rPr>
          <w:lang w:val="en-US"/>
        </w:rPr>
        <w:t xml:space="preserve">independent expert mechanisms and </w:t>
      </w:r>
      <w:r w:rsidR="00F12952">
        <w:rPr>
          <w:lang w:val="en-US"/>
        </w:rPr>
        <w:t xml:space="preserve">our </w:t>
      </w:r>
      <w:r>
        <w:rPr>
          <w:lang w:val="en-US"/>
        </w:rPr>
        <w:t>fundamental contributions to the implementation of the Beijing Platform for Action and other UN and regional</w:t>
      </w:r>
      <w:r w:rsidR="00F12952">
        <w:rPr>
          <w:lang w:val="en-US"/>
        </w:rPr>
        <w:t xml:space="preserve"> women’s rights</w:t>
      </w:r>
      <w:r>
        <w:rPr>
          <w:lang w:val="en-US"/>
        </w:rPr>
        <w:t xml:space="preserve"> instruments. While some of the EDVAW Platform expert mechanisms are already </w:t>
      </w:r>
      <w:r w:rsidR="00F12952">
        <w:rPr>
          <w:lang w:val="en-US"/>
        </w:rPr>
        <w:t xml:space="preserve">integrated </w:t>
      </w:r>
      <w:r>
        <w:rPr>
          <w:lang w:val="en-US"/>
        </w:rPr>
        <w:t>in the deliberations of the Commission on the Status of Women, others attend on a voluntary basis and present their work during Commission side events (MESECVI, GREVIO)</w:t>
      </w:r>
      <w:r w:rsidR="00F12952">
        <w:rPr>
          <w:lang w:val="en-US"/>
        </w:rPr>
        <w:t xml:space="preserve"> depending every year on their institutions’ financial possibilities </w:t>
      </w:r>
      <w:r>
        <w:rPr>
          <w:lang w:val="en-US"/>
        </w:rPr>
        <w:t>(SR WHR Africa, SR IAHRC).</w:t>
      </w:r>
    </w:p>
    <w:p w14:paraId="36A5AF2B" w14:textId="420BFB41" w:rsidR="00227F9D" w:rsidRDefault="0090602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r>
        <w:rPr>
          <w:lang w:val="en-US"/>
        </w:rPr>
        <w:t xml:space="preserve">Taking into account the need to more systematically address the issue of </w:t>
      </w:r>
      <w:r w:rsidR="00377561">
        <w:rPr>
          <w:lang w:val="en-US"/>
        </w:rPr>
        <w:t xml:space="preserve">discrimination and </w:t>
      </w:r>
      <w:r>
        <w:rPr>
          <w:lang w:val="en-US"/>
        </w:rPr>
        <w:t>violence against women in the context of the deliberations of the CSW, and considering the contributions by</w:t>
      </w:r>
      <w:r w:rsidR="00F12952">
        <w:rPr>
          <w:lang w:val="en-US"/>
        </w:rPr>
        <w:t xml:space="preserve"> our</w:t>
      </w:r>
      <w:r>
        <w:rPr>
          <w:lang w:val="en-US"/>
        </w:rPr>
        <w:t xml:space="preserve"> independent expert mechanisms in that regard, the Platform issues the following calls:</w:t>
      </w:r>
    </w:p>
    <w:p w14:paraId="0D3DD6F9" w14:textId="77777777" w:rsidR="00227F9D" w:rsidRDefault="00227F9D">
      <w:pPr>
        <w:pStyle w:val="Default"/>
        <w:spacing w:line="276" w:lineRule="auto"/>
        <w:ind w:left="0"/>
        <w:jc w:val="both"/>
        <w:rPr>
          <w:sz w:val="24"/>
          <w:szCs w:val="24"/>
        </w:rPr>
      </w:pPr>
    </w:p>
    <w:p w14:paraId="186CB379" w14:textId="6DFC2474" w:rsidR="00227F9D" w:rsidRDefault="0090602D">
      <w:pPr>
        <w:pStyle w:val="Default"/>
        <w:numPr>
          <w:ilvl w:val="0"/>
          <w:numId w:val="2"/>
        </w:numPr>
        <w:spacing w:line="276" w:lineRule="auto"/>
        <w:jc w:val="both"/>
        <w:rPr>
          <w:sz w:val="24"/>
          <w:szCs w:val="24"/>
        </w:rPr>
      </w:pPr>
      <w:r>
        <w:rPr>
          <w:b/>
          <w:bCs/>
          <w:sz w:val="24"/>
          <w:szCs w:val="24"/>
        </w:rPr>
        <w:t xml:space="preserve">The Commission on the Status of Women should include </w:t>
      </w:r>
      <w:r w:rsidR="003C0C0E">
        <w:rPr>
          <w:b/>
          <w:bCs/>
          <w:sz w:val="24"/>
          <w:szCs w:val="24"/>
        </w:rPr>
        <w:t xml:space="preserve">discrimination and </w:t>
      </w:r>
      <w:r>
        <w:rPr>
          <w:b/>
          <w:bCs/>
          <w:sz w:val="24"/>
          <w:szCs w:val="24"/>
        </w:rPr>
        <w:t>violence against women as a separate standing agenda item</w:t>
      </w:r>
      <w:r w:rsidR="003C0C0E">
        <w:rPr>
          <w:b/>
          <w:bCs/>
          <w:sz w:val="24"/>
          <w:szCs w:val="24"/>
        </w:rPr>
        <w:t xml:space="preserve"> through 2030</w:t>
      </w:r>
      <w:r>
        <w:rPr>
          <w:sz w:val="24"/>
          <w:szCs w:val="24"/>
        </w:rPr>
        <w:t>, to bediscussed each year in order to support States and other stakeholders in implementing commitments and recomme</w:t>
      </w:r>
      <w:r w:rsidR="00036637">
        <w:rPr>
          <w:sz w:val="24"/>
          <w:szCs w:val="24"/>
        </w:rPr>
        <w:t xml:space="preserve">ndations on the elimination of </w:t>
      </w:r>
      <w:r>
        <w:rPr>
          <w:sz w:val="24"/>
          <w:szCs w:val="24"/>
        </w:rPr>
        <w:t>violence against women and girls.</w:t>
      </w:r>
    </w:p>
    <w:p w14:paraId="1D2DF875" w14:textId="4509C699" w:rsidR="00227F9D" w:rsidRDefault="0090602D">
      <w:pPr>
        <w:pStyle w:val="Default"/>
        <w:numPr>
          <w:ilvl w:val="0"/>
          <w:numId w:val="2"/>
        </w:numPr>
        <w:spacing w:line="276" w:lineRule="auto"/>
        <w:jc w:val="both"/>
        <w:rPr>
          <w:sz w:val="24"/>
          <w:szCs w:val="24"/>
        </w:rPr>
      </w:pPr>
      <w:r>
        <w:rPr>
          <w:sz w:val="24"/>
          <w:szCs w:val="24"/>
        </w:rPr>
        <w:t>The EDVAW expert mechanisms and the Commission on the Status of Women should expand cooperation in order to focus on</w:t>
      </w:r>
      <w:r w:rsidR="00F12952">
        <w:rPr>
          <w:sz w:val="24"/>
          <w:szCs w:val="24"/>
        </w:rPr>
        <w:t xml:space="preserve"> the</w:t>
      </w:r>
      <w:r>
        <w:rPr>
          <w:sz w:val="24"/>
          <w:szCs w:val="24"/>
        </w:rPr>
        <w:t xml:space="preserve"> implementation of the Beijing Platform for Action and other international human rights instruments on the elimination of discrimination and gender based violence against women and girls.  </w:t>
      </w:r>
    </w:p>
    <w:p w14:paraId="07A16FA2" w14:textId="03F09134" w:rsidR="00227F9D" w:rsidRDefault="0090602D">
      <w:pPr>
        <w:pStyle w:val="Default"/>
        <w:numPr>
          <w:ilvl w:val="0"/>
          <w:numId w:val="2"/>
        </w:numPr>
        <w:spacing w:line="276" w:lineRule="auto"/>
        <w:jc w:val="both"/>
        <w:rPr>
          <w:sz w:val="24"/>
          <w:szCs w:val="24"/>
        </w:rPr>
      </w:pPr>
      <w:r>
        <w:rPr>
          <w:sz w:val="24"/>
          <w:szCs w:val="24"/>
        </w:rPr>
        <w:t>The UN Working Group on Discrimination against Women and Girls should be formally invited to intervene at the official opening of the Commission on the Status of Women together with the Chairperson of CEDAW and the Special Rapporteur on violence against women, its causes and consequences</w:t>
      </w:r>
      <w:r w:rsidR="003C0C0E">
        <w:rPr>
          <w:sz w:val="24"/>
          <w:szCs w:val="24"/>
        </w:rPr>
        <w:t>, as an integral part of the UN human rights mechanisms focusing on women’s rights</w:t>
      </w:r>
      <w:r>
        <w:rPr>
          <w:sz w:val="24"/>
          <w:szCs w:val="24"/>
        </w:rPr>
        <w:t>.</w:t>
      </w:r>
    </w:p>
    <w:p w14:paraId="57444622" w14:textId="3BD44CD4" w:rsidR="00227F9D" w:rsidRDefault="0090602D">
      <w:pPr>
        <w:pStyle w:val="Default"/>
        <w:numPr>
          <w:ilvl w:val="0"/>
          <w:numId w:val="2"/>
        </w:numPr>
        <w:spacing w:line="276" w:lineRule="auto"/>
        <w:jc w:val="both"/>
        <w:rPr>
          <w:sz w:val="24"/>
          <w:szCs w:val="24"/>
        </w:rPr>
      </w:pPr>
      <w:r>
        <w:rPr>
          <w:sz w:val="24"/>
          <w:szCs w:val="24"/>
        </w:rPr>
        <w:t>The Commission on the Status of Women should, in addition to receiving oral statements, hold an interactive dialogue with the UN expert mechanisms (CEDAW, SRVAW, WGDAW), allowing them the opportunity to present their respective reports and recommendations to States.</w:t>
      </w:r>
    </w:p>
    <w:p w14:paraId="71436D9A" w14:textId="2314B400" w:rsidR="00227F9D" w:rsidRDefault="0090602D">
      <w:pPr>
        <w:pStyle w:val="Default"/>
        <w:numPr>
          <w:ilvl w:val="0"/>
          <w:numId w:val="2"/>
        </w:numPr>
        <w:spacing w:line="276" w:lineRule="auto"/>
        <w:jc w:val="both"/>
        <w:rPr>
          <w:sz w:val="24"/>
          <w:szCs w:val="24"/>
        </w:rPr>
      </w:pPr>
      <w:r>
        <w:rPr>
          <w:sz w:val="24"/>
          <w:szCs w:val="24"/>
        </w:rPr>
        <w:lastRenderedPageBreak/>
        <w:t xml:space="preserve">The Commission on the Status of Women should invite all women’s human rights expert mechanisms to participate </w:t>
      </w:r>
      <w:r w:rsidR="00F12952">
        <w:rPr>
          <w:sz w:val="24"/>
          <w:szCs w:val="24"/>
        </w:rPr>
        <w:t>in</w:t>
      </w:r>
      <w:r>
        <w:rPr>
          <w:sz w:val="24"/>
          <w:szCs w:val="24"/>
        </w:rPr>
        <w:t xml:space="preserve"> the official panels of the Commission.</w:t>
      </w:r>
    </w:p>
    <w:p w14:paraId="42D09253" w14:textId="77777777" w:rsidR="00227F9D" w:rsidRDefault="0090602D">
      <w:pPr>
        <w:pStyle w:val="Default"/>
        <w:numPr>
          <w:ilvl w:val="0"/>
          <w:numId w:val="2"/>
        </w:numPr>
        <w:spacing w:line="276" w:lineRule="auto"/>
        <w:jc w:val="both"/>
        <w:rPr>
          <w:sz w:val="24"/>
          <w:szCs w:val="24"/>
        </w:rPr>
      </w:pPr>
      <w:r>
        <w:rPr>
          <w:sz w:val="24"/>
          <w:szCs w:val="24"/>
        </w:rPr>
        <w:t>Regional mechanisms such as MESECVI and GREVIO, as well as the African Commission on Human and Peoples' Rights Special Rapporteur on the Rights of Women in Africa and the Inter-American Commission on Human Rights Rapporteur on the Rights of Women should be invited to participate in panels at the Commission on the Status of Women, and to other activities and side events on relevant topics.</w:t>
      </w:r>
    </w:p>
    <w:p w14:paraId="568A4AD9" w14:textId="7D0F72E5" w:rsidR="00227F9D" w:rsidRDefault="0090602D">
      <w:pPr>
        <w:pStyle w:val="Default"/>
        <w:numPr>
          <w:ilvl w:val="0"/>
          <w:numId w:val="2"/>
        </w:numPr>
        <w:spacing w:line="276" w:lineRule="auto"/>
        <w:jc w:val="both"/>
        <w:rPr>
          <w:sz w:val="24"/>
          <w:szCs w:val="24"/>
        </w:rPr>
      </w:pPr>
      <w:r>
        <w:rPr>
          <w:sz w:val="24"/>
          <w:szCs w:val="24"/>
        </w:rPr>
        <w:t xml:space="preserve">The Trust Fund on violence against women should present its reports to the Commission on the Status of Women and the Human </w:t>
      </w:r>
      <w:r w:rsidR="003C0C0E">
        <w:rPr>
          <w:sz w:val="24"/>
          <w:szCs w:val="24"/>
        </w:rPr>
        <w:t>R</w:t>
      </w:r>
      <w:r>
        <w:rPr>
          <w:sz w:val="24"/>
          <w:szCs w:val="24"/>
        </w:rPr>
        <w:t xml:space="preserve">ights Council and establish cooperation with the Special Rapporteur on violence against women as entrusted by its founding resolution.  </w:t>
      </w:r>
    </w:p>
    <w:p w14:paraId="126658BA" w14:textId="0F6ACC70" w:rsidR="00227F9D" w:rsidRDefault="0090602D">
      <w:pPr>
        <w:pStyle w:val="Default"/>
        <w:numPr>
          <w:ilvl w:val="0"/>
          <w:numId w:val="2"/>
        </w:numPr>
        <w:spacing w:line="276" w:lineRule="auto"/>
        <w:jc w:val="both"/>
        <w:rPr>
          <w:sz w:val="24"/>
          <w:szCs w:val="24"/>
        </w:rPr>
      </w:pPr>
      <w:r>
        <w:rPr>
          <w:sz w:val="24"/>
          <w:szCs w:val="24"/>
        </w:rPr>
        <w:t xml:space="preserve">The EDVAW Platform should be supported by the </w:t>
      </w:r>
      <w:r w:rsidR="00221F66">
        <w:rPr>
          <w:sz w:val="24"/>
          <w:szCs w:val="24"/>
        </w:rPr>
        <w:t xml:space="preserve">Office of the High Commission for Human Rights, </w:t>
      </w:r>
      <w:r>
        <w:rPr>
          <w:sz w:val="24"/>
          <w:szCs w:val="24"/>
        </w:rPr>
        <w:t>UN Women, C</w:t>
      </w:r>
      <w:r w:rsidR="00221F66">
        <w:rPr>
          <w:sz w:val="24"/>
          <w:szCs w:val="24"/>
        </w:rPr>
        <w:t xml:space="preserve">ouncil of Europe, the Organization of American States, the African Union and </w:t>
      </w:r>
      <w:r>
        <w:rPr>
          <w:sz w:val="24"/>
          <w:szCs w:val="24"/>
        </w:rPr>
        <w:t>all UN Member States.</w:t>
      </w:r>
    </w:p>
    <w:p w14:paraId="03010A24" w14:textId="4234DF7D" w:rsidR="00A976D5" w:rsidRDefault="00A976D5" w:rsidP="009A1D8E">
      <w:pPr>
        <w:pStyle w:val="Default"/>
        <w:spacing w:line="276" w:lineRule="auto"/>
        <w:ind w:left="0"/>
        <w:jc w:val="both"/>
        <w:rPr>
          <w:sz w:val="24"/>
          <w:szCs w:val="24"/>
        </w:rPr>
      </w:pPr>
    </w:p>
    <w:p w14:paraId="016E9302" w14:textId="0A0A69FA" w:rsidR="00A976D5" w:rsidRDefault="00A976D5" w:rsidP="009A1D8E">
      <w:pPr>
        <w:pStyle w:val="Default"/>
        <w:spacing w:line="276" w:lineRule="auto"/>
        <w:ind w:left="0"/>
        <w:jc w:val="both"/>
        <w:rPr>
          <w:sz w:val="24"/>
          <w:szCs w:val="24"/>
        </w:rPr>
      </w:pPr>
    </w:p>
    <w:p w14:paraId="7F342CA3" w14:textId="3C3F31AF" w:rsidR="00A976D5" w:rsidRDefault="00A976D5" w:rsidP="00A976D5">
      <w:pPr>
        <w:pStyle w:val="Body"/>
        <w:jc w:val="both"/>
        <w:rPr>
          <w:lang w:val="de-DE"/>
        </w:rPr>
      </w:pPr>
      <w:r>
        <w:rPr>
          <w:lang w:val="de-DE"/>
        </w:rPr>
        <w:t xml:space="preserve">SIGNED </w:t>
      </w:r>
    </w:p>
    <w:p w14:paraId="5F61D253" w14:textId="77777777" w:rsidR="00A976D5" w:rsidRDefault="00A976D5" w:rsidP="00A976D5">
      <w:pPr>
        <w:pStyle w:val="Body"/>
        <w:jc w:val="both"/>
      </w:pPr>
    </w:p>
    <w:p w14:paraId="01BC3EA9" w14:textId="77777777" w:rsidR="00A976D5" w:rsidRDefault="00A976D5" w:rsidP="00A976D5">
      <w:pPr>
        <w:pStyle w:val="Body"/>
        <w:jc w:val="both"/>
      </w:pPr>
    </w:p>
    <w:p w14:paraId="4097C58C" w14:textId="52C59917" w:rsidR="00A976D5" w:rsidRDefault="00A976D5" w:rsidP="00A976D5">
      <w:pPr>
        <w:pStyle w:val="Body"/>
        <w:jc w:val="both"/>
        <w:rPr>
          <w:lang w:val="en-US"/>
        </w:rPr>
      </w:pPr>
      <w:r>
        <w:rPr>
          <w:b/>
          <w:bCs/>
        </w:rPr>
        <w:t>Dubravka Šimonovic</w:t>
      </w:r>
      <w:r>
        <w:rPr>
          <w:lang w:val="en-US"/>
        </w:rPr>
        <w:t xml:space="preserve">, UN Special Rapporteur on violence against women, its causes and consequences </w:t>
      </w:r>
    </w:p>
    <w:p w14:paraId="018EF401" w14:textId="77777777" w:rsidR="00A976D5" w:rsidRDefault="00A976D5" w:rsidP="00A976D5">
      <w:pPr>
        <w:pStyle w:val="Body"/>
        <w:jc w:val="both"/>
        <w:rPr>
          <w:lang w:val="en-US"/>
        </w:rPr>
      </w:pPr>
    </w:p>
    <w:p w14:paraId="198274E9" w14:textId="61434DCD" w:rsidR="00A976D5" w:rsidRDefault="00A976D5" w:rsidP="00A976D5">
      <w:pPr>
        <w:jc w:val="both"/>
        <w:rPr>
          <w:rFonts w:cstheme="minorHAnsi"/>
        </w:rPr>
      </w:pPr>
      <w:r>
        <w:rPr>
          <w:rFonts w:cstheme="minorHAnsi"/>
          <w:b/>
          <w:bCs/>
        </w:rPr>
        <w:t xml:space="preserve">Gladys Acosta, </w:t>
      </w:r>
      <w:r>
        <w:rPr>
          <w:rFonts w:cstheme="minorHAnsi"/>
        </w:rPr>
        <w:t xml:space="preserve">Chairperson of the UN Committee on the Elimination of Discrimination against Women (CEDAW) </w:t>
      </w:r>
    </w:p>
    <w:p w14:paraId="3CCBDB72" w14:textId="77777777" w:rsidR="00A976D5" w:rsidRDefault="00A976D5" w:rsidP="00A976D5">
      <w:pPr>
        <w:jc w:val="both"/>
        <w:rPr>
          <w:rFonts w:cstheme="minorHAnsi"/>
          <w:b/>
          <w:bCs/>
        </w:rPr>
      </w:pPr>
    </w:p>
    <w:p w14:paraId="73AE8538" w14:textId="01C7E777" w:rsidR="00A976D5" w:rsidRDefault="00A976D5" w:rsidP="00A976D5">
      <w:pPr>
        <w:jc w:val="both"/>
        <w:rPr>
          <w:rFonts w:cstheme="minorHAnsi"/>
        </w:rPr>
      </w:pPr>
      <w:r>
        <w:rPr>
          <w:rFonts w:cstheme="minorHAnsi"/>
          <w:b/>
          <w:bCs/>
        </w:rPr>
        <w:t xml:space="preserve">Elizabeth Broderick, </w:t>
      </w:r>
      <w:r>
        <w:rPr>
          <w:rFonts w:cstheme="minorHAnsi"/>
          <w:bCs/>
        </w:rPr>
        <w:t>Chair-Rapporteur of the UN Working Group on Discrimination against</w:t>
      </w:r>
      <w:r>
        <w:rPr>
          <w:rFonts w:cstheme="minorHAnsi"/>
        </w:rPr>
        <w:t xml:space="preserve"> Women and Girls </w:t>
      </w:r>
    </w:p>
    <w:p w14:paraId="4892D1B3" w14:textId="77777777" w:rsidR="00A976D5" w:rsidRDefault="00A976D5" w:rsidP="00A976D5">
      <w:pPr>
        <w:pStyle w:val="Body"/>
        <w:jc w:val="both"/>
        <w:rPr>
          <w:b/>
          <w:bCs/>
        </w:rPr>
      </w:pPr>
    </w:p>
    <w:p w14:paraId="6CEC78D6" w14:textId="61B2A596" w:rsidR="00A976D5" w:rsidRDefault="00A976D5" w:rsidP="00A976D5">
      <w:pPr>
        <w:pStyle w:val="Body"/>
        <w:jc w:val="both"/>
        <w:rPr>
          <w:lang w:val="en-US"/>
        </w:rPr>
      </w:pPr>
      <w:r>
        <w:rPr>
          <w:b/>
          <w:bCs/>
        </w:rPr>
        <w:t>Tatiana Rein Venegas</w:t>
      </w:r>
      <w:r>
        <w:rPr>
          <w:lang w:val="en-US"/>
        </w:rPr>
        <w:t>, President of the</w:t>
      </w:r>
      <w:r>
        <w:t xml:space="preserve"> Committee of Experts of the Follow-up Mechanism to the Belém do Pará Convention</w:t>
      </w:r>
      <w:r>
        <w:rPr>
          <w:lang w:val="en-US"/>
        </w:rPr>
        <w:t xml:space="preserve"> (MESECVI)</w:t>
      </w:r>
    </w:p>
    <w:p w14:paraId="411FEEBB" w14:textId="77777777" w:rsidR="00A976D5" w:rsidRDefault="00A976D5" w:rsidP="00A976D5">
      <w:pPr>
        <w:pStyle w:val="Body"/>
        <w:jc w:val="both"/>
        <w:rPr>
          <w:b/>
          <w:bCs/>
          <w:lang w:val="de-DE"/>
        </w:rPr>
      </w:pPr>
    </w:p>
    <w:p w14:paraId="255C2AE8" w14:textId="5BE6D255" w:rsidR="00A976D5" w:rsidRDefault="00A976D5" w:rsidP="00A976D5">
      <w:pPr>
        <w:pStyle w:val="Body"/>
        <w:jc w:val="both"/>
      </w:pPr>
      <w:r>
        <w:rPr>
          <w:b/>
          <w:bCs/>
          <w:lang w:val="de-DE"/>
        </w:rPr>
        <w:t>Marceline Naudi</w:t>
      </w:r>
      <w:r>
        <w:rPr>
          <w:lang w:val="en-US"/>
        </w:rPr>
        <w:t xml:space="preserve">, President of the </w:t>
      </w:r>
      <w:r>
        <w:t>of Experts on Action against Violence against Women and Domestic Violence of the Council of Europe</w:t>
      </w:r>
      <w:r>
        <w:rPr>
          <w:lang w:val="en-US"/>
        </w:rPr>
        <w:t xml:space="preserve"> (GREVIO) </w:t>
      </w:r>
    </w:p>
    <w:p w14:paraId="0939A943" w14:textId="77777777" w:rsidR="00A976D5" w:rsidRPr="009A1D8E" w:rsidRDefault="00A976D5" w:rsidP="00A976D5">
      <w:pPr>
        <w:jc w:val="both"/>
        <w:rPr>
          <w:rFonts w:cstheme="minorHAnsi"/>
          <w:lang w:val="en-GB"/>
        </w:rPr>
      </w:pPr>
    </w:p>
    <w:p w14:paraId="28F5A425" w14:textId="38781FB8" w:rsidR="00A976D5" w:rsidRDefault="00A976D5" w:rsidP="00A976D5">
      <w:pPr>
        <w:pStyle w:val="Body"/>
        <w:jc w:val="both"/>
        <w:rPr>
          <w:lang w:val="en-US"/>
        </w:rPr>
      </w:pPr>
      <w:r>
        <w:rPr>
          <w:b/>
          <w:bCs/>
          <w:lang w:val="da-DK"/>
        </w:rPr>
        <w:t>Maria Teresa Manuela</w:t>
      </w:r>
      <w:r>
        <w:rPr>
          <w:lang w:val="en-US"/>
        </w:rPr>
        <w:t xml:space="preserve">, Special Rapporteur on the Rights of Women in Africa </w:t>
      </w:r>
    </w:p>
    <w:p w14:paraId="1E5B205F" w14:textId="77777777" w:rsidR="00A976D5" w:rsidRDefault="00A976D5" w:rsidP="00A976D5">
      <w:pPr>
        <w:pStyle w:val="Body"/>
        <w:jc w:val="both"/>
        <w:rPr>
          <w:b/>
          <w:bCs/>
          <w:lang w:val="en-US"/>
        </w:rPr>
      </w:pPr>
    </w:p>
    <w:p w14:paraId="041F22D2" w14:textId="679708D6" w:rsidR="00A976D5" w:rsidRDefault="00A976D5" w:rsidP="00A976D5">
      <w:pPr>
        <w:pStyle w:val="Body"/>
        <w:jc w:val="both"/>
        <w:rPr>
          <w:lang w:val="en-US"/>
        </w:rPr>
      </w:pPr>
      <w:r>
        <w:rPr>
          <w:b/>
          <w:bCs/>
          <w:lang w:val="en-US"/>
        </w:rPr>
        <w:t>Margarette May Macaulay</w:t>
      </w:r>
      <w:r>
        <w:rPr>
          <w:lang w:val="en-US"/>
        </w:rPr>
        <w:t xml:space="preserve">, Rapporteur on the Rights of Women of the Inter-American Commission on Human Rights </w:t>
      </w:r>
    </w:p>
    <w:p w14:paraId="289D19B1" w14:textId="77777777" w:rsidR="00A976D5" w:rsidRDefault="00A976D5" w:rsidP="00A976D5">
      <w:pPr>
        <w:pStyle w:val="Body"/>
        <w:jc w:val="both"/>
        <w:rPr>
          <w:b/>
          <w:bCs/>
          <w:lang w:val="da-DK"/>
        </w:rPr>
      </w:pPr>
    </w:p>
    <w:p w14:paraId="6B17C358" w14:textId="09ADF557" w:rsidR="00A976D5" w:rsidRDefault="00A976D5" w:rsidP="00A976D5">
      <w:pPr>
        <w:pStyle w:val="Body"/>
        <w:jc w:val="both"/>
        <w:rPr>
          <w:lang w:val="en-US"/>
        </w:rPr>
      </w:pPr>
    </w:p>
    <w:p w14:paraId="71A9D382" w14:textId="77777777" w:rsidR="00A976D5" w:rsidRDefault="00A976D5" w:rsidP="00A976D5">
      <w:pPr>
        <w:pStyle w:val="Body"/>
        <w:jc w:val="both"/>
      </w:pPr>
    </w:p>
    <w:p w14:paraId="4C9062C7" w14:textId="77777777" w:rsidR="00A976D5" w:rsidRPr="009A1D8E" w:rsidRDefault="00A976D5" w:rsidP="009A1D8E">
      <w:pPr>
        <w:pStyle w:val="Default"/>
        <w:spacing w:line="276" w:lineRule="auto"/>
        <w:ind w:left="0"/>
        <w:jc w:val="both"/>
        <w:rPr>
          <w:sz w:val="24"/>
          <w:szCs w:val="24"/>
          <w:lang w:val="en-GB"/>
        </w:rPr>
      </w:pPr>
    </w:p>
    <w:p w14:paraId="7B668EA4" w14:textId="77777777" w:rsidR="00227F9D" w:rsidRDefault="00227F9D">
      <w:pPr>
        <w:pStyle w:val="Body"/>
        <w:rPr>
          <w:rStyle w:val="NoneA"/>
          <w:lang w:val="en-US"/>
        </w:rPr>
      </w:pPr>
    </w:p>
    <w:p w14:paraId="287B16D3" w14:textId="77777777" w:rsidR="00227F9D" w:rsidRDefault="00227F9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20" w:lineRule="exact"/>
        <w:jc w:val="both"/>
      </w:pPr>
    </w:p>
    <w:sectPr w:rsidR="00227F9D">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130B" w14:textId="77777777" w:rsidR="008C3F3B" w:rsidRDefault="0090602D">
      <w:r>
        <w:separator/>
      </w:r>
    </w:p>
  </w:endnote>
  <w:endnote w:type="continuationSeparator" w:id="0">
    <w:p w14:paraId="5EF5414E" w14:textId="77777777" w:rsidR="008C3F3B" w:rsidRDefault="0090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88AC" w14:textId="77777777" w:rsidR="008C3F3B" w:rsidRDefault="0090602D">
      <w:r>
        <w:separator/>
      </w:r>
    </w:p>
  </w:footnote>
  <w:footnote w:type="continuationSeparator" w:id="0">
    <w:p w14:paraId="344744BA" w14:textId="77777777" w:rsidR="008C3F3B" w:rsidRDefault="0090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EFC"/>
    <w:multiLevelType w:val="hybridMultilevel"/>
    <w:tmpl w:val="2ACAF194"/>
    <w:numStyleLink w:val="ImportedStyle1"/>
  </w:abstractNum>
  <w:abstractNum w:abstractNumId="1" w15:restartNumberingAfterBreak="0">
    <w:nsid w:val="15533CA0"/>
    <w:multiLevelType w:val="hybridMultilevel"/>
    <w:tmpl w:val="2ACAF194"/>
    <w:styleLink w:val="ImportedStyle1"/>
    <w:lvl w:ilvl="0" w:tplc="60EA4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A6D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AA3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3811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D6D0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A1A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FCD3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DE6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43D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9D"/>
    <w:rsid w:val="00036637"/>
    <w:rsid w:val="00221F66"/>
    <w:rsid w:val="00227F9D"/>
    <w:rsid w:val="00230FB1"/>
    <w:rsid w:val="002973E0"/>
    <w:rsid w:val="002B1437"/>
    <w:rsid w:val="00377561"/>
    <w:rsid w:val="003C0C0E"/>
    <w:rsid w:val="006F0CB2"/>
    <w:rsid w:val="008C3F3B"/>
    <w:rsid w:val="0090602D"/>
    <w:rsid w:val="009A1D8E"/>
    <w:rsid w:val="00A976D5"/>
    <w:rsid w:val="00AB1ED0"/>
    <w:rsid w:val="00C1068A"/>
    <w:rsid w:val="00C52919"/>
    <w:rsid w:val="00CD7A96"/>
    <w:rsid w:val="00D14E6B"/>
    <w:rsid w:val="00F12952"/>
    <w:rsid w:val="00F5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A153"/>
  <w15:docId w15:val="{19E87774-4774-474F-AABB-A77B1177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5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b/>
      <w:bCs/>
      <w:outline w:val="0"/>
      <w:color w:val="0563C1"/>
      <w:u w:val="single" w:color="000000"/>
      <w:lang w:val="en-US"/>
    </w:rPr>
  </w:style>
  <w:style w:type="paragraph" w:customStyle="1" w:styleId="Default">
    <w:name w:val="Default"/>
    <w:pPr>
      <w:spacing w:line="288" w:lineRule="auto"/>
      <w:ind w:left="2160"/>
    </w:pPr>
    <w:rPr>
      <w:rFonts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style>
  <w:style w:type="paragraph" w:styleId="BalloonText">
    <w:name w:val="Balloon Text"/>
    <w:basedOn w:val="Normal"/>
    <w:link w:val="BalloonTextChar"/>
    <w:uiPriority w:val="99"/>
    <w:semiHidden/>
    <w:unhideWhenUsed/>
    <w:rsid w:val="006F0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B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6F0CB2"/>
    <w:rPr>
      <w:sz w:val="16"/>
      <w:szCs w:val="16"/>
    </w:rPr>
  </w:style>
  <w:style w:type="paragraph" w:styleId="CommentText">
    <w:name w:val="annotation text"/>
    <w:basedOn w:val="Normal"/>
    <w:link w:val="CommentTextChar"/>
    <w:uiPriority w:val="99"/>
    <w:semiHidden/>
    <w:unhideWhenUsed/>
    <w:rsid w:val="006F0CB2"/>
    <w:rPr>
      <w:sz w:val="20"/>
      <w:szCs w:val="20"/>
    </w:rPr>
  </w:style>
  <w:style w:type="character" w:customStyle="1" w:styleId="CommentTextChar">
    <w:name w:val="Comment Text Char"/>
    <w:basedOn w:val="DefaultParagraphFont"/>
    <w:link w:val="CommentText"/>
    <w:uiPriority w:val="99"/>
    <w:semiHidden/>
    <w:rsid w:val="006F0CB2"/>
    <w:rPr>
      <w:lang w:val="en-US" w:eastAsia="en-US"/>
    </w:rPr>
  </w:style>
  <w:style w:type="paragraph" w:styleId="CommentSubject">
    <w:name w:val="annotation subject"/>
    <w:basedOn w:val="CommentText"/>
    <w:next w:val="CommentText"/>
    <w:link w:val="CommentSubjectChar"/>
    <w:uiPriority w:val="99"/>
    <w:semiHidden/>
    <w:unhideWhenUsed/>
    <w:rsid w:val="006F0CB2"/>
    <w:rPr>
      <w:b/>
      <w:bCs/>
    </w:rPr>
  </w:style>
  <w:style w:type="character" w:customStyle="1" w:styleId="CommentSubjectChar">
    <w:name w:val="Comment Subject Char"/>
    <w:basedOn w:val="CommentTextChar"/>
    <w:link w:val="CommentSubject"/>
    <w:uiPriority w:val="99"/>
    <w:semiHidden/>
    <w:rsid w:val="006F0C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1159">
      <w:bodyDiv w:val="1"/>
      <w:marLeft w:val="0"/>
      <w:marRight w:val="0"/>
      <w:marTop w:val="0"/>
      <w:marBottom w:val="0"/>
      <w:divBdr>
        <w:top w:val="none" w:sz="0" w:space="0" w:color="auto"/>
        <w:left w:val="none" w:sz="0" w:space="0" w:color="auto"/>
        <w:bottom w:val="none" w:sz="0" w:space="0" w:color="auto"/>
        <w:right w:val="none" w:sz="0" w:space="0" w:color="auto"/>
      </w:divBdr>
    </w:div>
    <w:div w:id="200154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ViolenceAgainstWomen.aspx" TargetMode="External"/><Relationship Id="rId13" Type="http://schemas.openxmlformats.org/officeDocument/2006/relationships/hyperlink" Target="https://www.coe.int/en/web/conventions/full-list/-/conventions/rms/090000168008482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Documents/Issues/Women/SR/EDVAW_Booklets.pdf" TargetMode="External"/><Relationship Id="rId12" Type="http://schemas.openxmlformats.org/officeDocument/2006/relationships/hyperlink" Target="https://au.int/en/treaties/protocol-african-charter-human-and-peoples-rights-rights-women-afric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s.org/en/mesecvi/docs/belemdopara-englis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hchr.org/en/professionalinterest/pages/opcedaw.aspx" TargetMode="External"/><Relationship Id="rId4" Type="http://schemas.openxmlformats.org/officeDocument/2006/relationships/webSettings" Target="webSettings.xml"/><Relationship Id="rId9" Type="http://schemas.openxmlformats.org/officeDocument/2006/relationships/hyperlink" Target="https://www.ohchr.org/en/professionalinterest/pages/cedaw.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26807-8594-4BFE-918A-BFE15E009575}"/>
</file>

<file path=customXml/itemProps2.xml><?xml version="1.0" encoding="utf-8"?>
<ds:datastoreItem xmlns:ds="http://schemas.openxmlformats.org/officeDocument/2006/customXml" ds:itemID="{A12BD628-7C24-421A-9FD2-7122EEC68994}"/>
</file>

<file path=customXml/itemProps3.xml><?xml version="1.0" encoding="utf-8"?>
<ds:datastoreItem xmlns:ds="http://schemas.openxmlformats.org/officeDocument/2006/customXml" ds:itemID="{835719B1-C157-4F2A-AC00-667E81558143}"/>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PRETURLAN Renata</dc:creator>
  <cp:lastModifiedBy>PRETURLAN Renata</cp:lastModifiedBy>
  <cp:revision>4</cp:revision>
  <dcterms:created xsi:type="dcterms:W3CDTF">2021-03-24T16:04:00Z</dcterms:created>
  <dcterms:modified xsi:type="dcterms:W3CDTF">2021-03-24T16:20:00Z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