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2C2558" w:rsidP="002C2558">
            <w:pPr>
              <w:jc w:val="right"/>
            </w:pPr>
            <w:r w:rsidRPr="002C2558">
              <w:rPr>
                <w:sz w:val="40"/>
              </w:rPr>
              <w:t>A</w:t>
            </w:r>
            <w:r>
              <w:t>/HRC/41/42/Add.1</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0F5126" w:rsidP="00562621">
            <w:pPr>
              <w:spacing w:before="120" w:line="420" w:lineRule="exact"/>
              <w:rPr>
                <w:b/>
                <w:sz w:val="40"/>
                <w:szCs w:val="40"/>
              </w:rPr>
            </w:pPr>
            <w:r>
              <w:rPr>
                <w:b/>
                <w:sz w:val="40"/>
                <w:szCs w:val="40"/>
              </w:rPr>
              <w:t>Advance Unedited Version</w:t>
            </w:r>
            <w:bookmarkStart w:id="0" w:name="_GoBack"/>
            <w:bookmarkEnd w:id="0"/>
          </w:p>
        </w:tc>
        <w:tc>
          <w:tcPr>
            <w:tcW w:w="2930" w:type="dxa"/>
            <w:tcBorders>
              <w:top w:val="single" w:sz="4" w:space="0" w:color="auto"/>
              <w:left w:val="nil"/>
              <w:bottom w:val="single" w:sz="12" w:space="0" w:color="auto"/>
              <w:right w:val="nil"/>
            </w:tcBorders>
          </w:tcPr>
          <w:p w:rsidR="003107FA" w:rsidRDefault="002C2558" w:rsidP="002C2558">
            <w:pPr>
              <w:spacing w:before="240" w:line="240" w:lineRule="exact"/>
            </w:pPr>
            <w:r>
              <w:t>Distr.: General</w:t>
            </w:r>
          </w:p>
          <w:p w:rsidR="002C2558" w:rsidRDefault="00BC5457" w:rsidP="002C2558">
            <w:pPr>
              <w:spacing w:line="240" w:lineRule="exact"/>
            </w:pPr>
            <w:r>
              <w:t>3 June</w:t>
            </w:r>
            <w:r w:rsidR="002C2558">
              <w:t xml:space="preserve"> 2019</w:t>
            </w:r>
          </w:p>
          <w:p w:rsidR="002C2558" w:rsidRDefault="002C2558" w:rsidP="002C2558">
            <w:pPr>
              <w:spacing w:line="240" w:lineRule="exact"/>
            </w:pPr>
          </w:p>
          <w:p w:rsidR="002C2558" w:rsidRDefault="002C2558" w:rsidP="002C2558">
            <w:pPr>
              <w:spacing w:line="240" w:lineRule="exact"/>
            </w:pPr>
            <w:r>
              <w:t>Original: English</w:t>
            </w:r>
          </w:p>
        </w:tc>
      </w:tr>
    </w:tbl>
    <w:p w:rsidR="002C2558" w:rsidRPr="003E4ACA" w:rsidRDefault="002C2558" w:rsidP="002C2558">
      <w:pPr>
        <w:spacing w:before="120"/>
        <w:rPr>
          <w:b/>
          <w:sz w:val="24"/>
          <w:szCs w:val="24"/>
        </w:rPr>
      </w:pPr>
      <w:r w:rsidRPr="003E4ACA">
        <w:rPr>
          <w:b/>
          <w:sz w:val="24"/>
          <w:szCs w:val="24"/>
        </w:rPr>
        <w:t xml:space="preserve">Human Rights Council </w:t>
      </w:r>
    </w:p>
    <w:p w:rsidR="002C2558" w:rsidRPr="0000478D" w:rsidRDefault="00BC5457" w:rsidP="002C2558">
      <w:pPr>
        <w:rPr>
          <w:b/>
        </w:rPr>
      </w:pPr>
      <w:r>
        <w:rPr>
          <w:b/>
        </w:rPr>
        <w:t>Forty f</w:t>
      </w:r>
      <w:r w:rsidR="002C2558" w:rsidRPr="0000478D">
        <w:rPr>
          <w:b/>
        </w:rPr>
        <w:t>irst Session</w:t>
      </w:r>
    </w:p>
    <w:p w:rsidR="002C2558" w:rsidRPr="0000478D" w:rsidRDefault="002C2558" w:rsidP="002C2558">
      <w:r>
        <w:t>24 June–12 July 2019</w:t>
      </w:r>
    </w:p>
    <w:p w:rsidR="002C2558" w:rsidRPr="0000478D" w:rsidRDefault="00874085" w:rsidP="002C2558">
      <w:r>
        <w:t>Agenda item 3</w:t>
      </w:r>
    </w:p>
    <w:p w:rsidR="002C2558" w:rsidRPr="0000478D" w:rsidRDefault="002C2558" w:rsidP="002C2558">
      <w:pPr>
        <w:rPr>
          <w:b/>
        </w:rPr>
      </w:pPr>
      <w:r w:rsidRPr="0000478D">
        <w:rPr>
          <w:b/>
        </w:rPr>
        <w:t xml:space="preserve">Promotion and protection of all human rights, civil, </w:t>
      </w:r>
      <w:r w:rsidR="00874085">
        <w:rPr>
          <w:b/>
        </w:rPr>
        <w:br/>
      </w:r>
      <w:r w:rsidRPr="0000478D">
        <w:rPr>
          <w:b/>
        </w:rPr>
        <w:t xml:space="preserve">political, economic, social and cultural rights, </w:t>
      </w:r>
      <w:r w:rsidR="00874085">
        <w:rPr>
          <w:b/>
        </w:rPr>
        <w:br/>
      </w:r>
      <w:r w:rsidRPr="0000478D">
        <w:rPr>
          <w:b/>
        </w:rPr>
        <w:t>including the right to development</w:t>
      </w:r>
    </w:p>
    <w:p w:rsidR="00BC5457" w:rsidRDefault="002C2558" w:rsidP="002C2558">
      <w:pPr>
        <w:pStyle w:val="HChG"/>
      </w:pPr>
      <w:r>
        <w:tab/>
      </w:r>
      <w:r>
        <w:tab/>
      </w:r>
      <w:r w:rsidR="00BC5457" w:rsidRPr="008F409F">
        <w:t xml:space="preserve">Visit to </w:t>
      </w:r>
      <w:r w:rsidR="00CB4ECE">
        <w:t>Canada</w:t>
      </w:r>
    </w:p>
    <w:p w:rsidR="002C2558" w:rsidRDefault="00CB4ECE" w:rsidP="00CB4ECE">
      <w:pPr>
        <w:pStyle w:val="H1G"/>
      </w:pPr>
      <w:r>
        <w:tab/>
      </w:r>
      <w:r>
        <w:tab/>
      </w:r>
      <w:r w:rsidRPr="008F409F">
        <w:t>Report of</w:t>
      </w:r>
      <w:r>
        <w:t xml:space="preserve"> the Special Rapporteur on </w:t>
      </w:r>
      <w:r w:rsidRPr="00B05116">
        <w:rPr>
          <w:lang w:val="en-US"/>
        </w:rPr>
        <w:t>violence against women, its causes</w:t>
      </w:r>
      <w:r>
        <w:rPr>
          <w:lang w:val="en-US"/>
        </w:rPr>
        <w:t xml:space="preserve"> </w:t>
      </w:r>
      <w:r w:rsidRPr="00B05116">
        <w:rPr>
          <w:lang w:val="en-US"/>
        </w:rPr>
        <w:t>and consequences</w:t>
      </w:r>
      <w:r w:rsidRPr="005965BC">
        <w:rPr>
          <w:rStyle w:val="FootnoteReference"/>
          <w:b w:val="0"/>
          <w:bCs/>
          <w:sz w:val="20"/>
        </w:rPr>
        <w:t xml:space="preserve"> </w:t>
      </w:r>
      <w:r w:rsidRPr="00CB4ECE">
        <w:rPr>
          <w:rStyle w:val="FootnoteReference"/>
          <w:b w:val="0"/>
          <w:bCs/>
          <w:sz w:val="20"/>
          <w:vertAlign w:val="baseline"/>
        </w:rPr>
        <w:footnoteReference w:customMarkFollows="1" w:id="2"/>
        <w:t>*</w:t>
      </w:r>
      <w:r w:rsidRPr="00CB4ECE">
        <w:rPr>
          <w:b w:val="0"/>
          <w:bCs/>
          <w:position w:val="8"/>
          <w:sz w:val="20"/>
        </w:rPr>
        <w:t>,</w:t>
      </w:r>
      <w:r w:rsidRPr="00CB4ECE">
        <w:rPr>
          <w:b w:val="0"/>
          <w:bCs/>
          <w:sz w:val="20"/>
        </w:rPr>
        <w:t xml:space="preserve"> </w:t>
      </w:r>
      <w:r w:rsidRPr="00CB4ECE">
        <w:rPr>
          <w:rStyle w:val="FootnoteReference"/>
          <w:b w:val="0"/>
          <w:bCs/>
          <w:sz w:val="20"/>
          <w:vertAlign w:val="baseline"/>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2C2558" w:rsidTr="008E1328">
        <w:trPr>
          <w:jc w:val="center"/>
        </w:trPr>
        <w:tc>
          <w:tcPr>
            <w:tcW w:w="9637" w:type="dxa"/>
            <w:shd w:val="clear" w:color="auto" w:fill="auto"/>
          </w:tcPr>
          <w:p w:rsidR="002C2558" w:rsidRPr="00C6263E" w:rsidRDefault="002C2558" w:rsidP="008E1328">
            <w:pPr>
              <w:spacing w:before="240" w:after="120"/>
              <w:ind w:left="255"/>
              <w:rPr>
                <w:i/>
                <w:sz w:val="24"/>
              </w:rPr>
            </w:pPr>
            <w:r w:rsidRPr="00C6263E">
              <w:rPr>
                <w:i/>
                <w:sz w:val="24"/>
              </w:rPr>
              <w:t>Summary</w:t>
            </w:r>
          </w:p>
        </w:tc>
      </w:tr>
      <w:tr w:rsidR="002C2558" w:rsidTr="008E1328">
        <w:trPr>
          <w:jc w:val="center"/>
        </w:trPr>
        <w:tc>
          <w:tcPr>
            <w:tcW w:w="9637" w:type="dxa"/>
            <w:shd w:val="clear" w:color="auto" w:fill="auto"/>
          </w:tcPr>
          <w:p w:rsidR="002C2558" w:rsidRPr="00DE629F" w:rsidRDefault="002C2558" w:rsidP="00874085">
            <w:pPr>
              <w:pStyle w:val="SingleTxtG"/>
              <w:ind w:firstLine="567"/>
            </w:pPr>
            <w:r w:rsidRPr="00F05203">
              <w:t xml:space="preserve">The Secretariat has the honour to transmit to the Human Rights Council the report of the Special Rapporteur on violence against women, its causes and consequences, </w:t>
            </w:r>
            <w:proofErr w:type="spellStart"/>
            <w:r w:rsidRPr="00F05203">
              <w:t>Dubravka</w:t>
            </w:r>
            <w:proofErr w:type="spellEnd"/>
            <w:r w:rsidRPr="00F05203">
              <w:t xml:space="preserve"> </w:t>
            </w:r>
            <w:proofErr w:type="spellStart"/>
            <w:r w:rsidRPr="00F05203">
              <w:t>Šimonović</w:t>
            </w:r>
            <w:proofErr w:type="spellEnd"/>
            <w:r w:rsidRPr="00F05203">
              <w:t>, on her visit to Canada from 13</w:t>
            </w:r>
            <w:r w:rsidR="00874085">
              <w:t xml:space="preserve"> to 23 April 2018.</w:t>
            </w:r>
          </w:p>
        </w:tc>
      </w:tr>
      <w:tr w:rsidR="00874085" w:rsidTr="008E1328">
        <w:trPr>
          <w:jc w:val="center"/>
        </w:trPr>
        <w:tc>
          <w:tcPr>
            <w:tcW w:w="9637" w:type="dxa"/>
            <w:shd w:val="clear" w:color="auto" w:fill="auto"/>
          </w:tcPr>
          <w:p w:rsidR="00874085" w:rsidRPr="00F05203" w:rsidRDefault="00874085" w:rsidP="008E1328">
            <w:pPr>
              <w:pStyle w:val="SingleTxtG"/>
              <w:ind w:firstLine="567"/>
            </w:pPr>
            <w:r w:rsidRPr="00F05203">
              <w:t>In the report, she examines gaps and challenges in fulfilling the obligations of the State to eliminate violence against women, its causes and consequences, and recommends measures for preventing and combating violence against women in the country.</w:t>
            </w:r>
          </w:p>
        </w:tc>
      </w:tr>
      <w:tr w:rsidR="002C2558" w:rsidTr="008E1328">
        <w:trPr>
          <w:jc w:val="center"/>
        </w:trPr>
        <w:tc>
          <w:tcPr>
            <w:tcW w:w="9637" w:type="dxa"/>
            <w:shd w:val="clear" w:color="auto" w:fill="auto"/>
          </w:tcPr>
          <w:p w:rsidR="002C2558" w:rsidRDefault="002C2558" w:rsidP="008E1328"/>
        </w:tc>
      </w:tr>
    </w:tbl>
    <w:p w:rsidR="002C2558" w:rsidRPr="007209E6" w:rsidRDefault="002C2558" w:rsidP="002C2558"/>
    <w:p w:rsidR="002C2558" w:rsidRDefault="002C2558" w:rsidP="002C2558">
      <w:pPr>
        <w:rPr>
          <w:sz w:val="28"/>
        </w:rPr>
      </w:pPr>
      <w:r>
        <w:br w:type="page"/>
      </w:r>
      <w:r>
        <w:rPr>
          <w:sz w:val="28"/>
        </w:rPr>
        <w:lastRenderedPageBreak/>
        <w:t>Contents</w:t>
      </w:r>
    </w:p>
    <w:p w:rsidR="002C2558" w:rsidRDefault="002C2558" w:rsidP="002C2558">
      <w:pPr>
        <w:tabs>
          <w:tab w:val="right" w:pos="9638"/>
        </w:tabs>
        <w:spacing w:after="120"/>
        <w:ind w:left="283"/>
        <w:rPr>
          <w:sz w:val="18"/>
        </w:rPr>
      </w:pPr>
      <w:r>
        <w:rPr>
          <w:i/>
          <w:sz w:val="18"/>
        </w:rPr>
        <w:tab/>
        <w:t>Page</w:t>
      </w:r>
    </w:p>
    <w:p w:rsidR="002C2558" w:rsidRPr="00434A68" w:rsidRDefault="00874085" w:rsidP="00874085">
      <w:pPr>
        <w:tabs>
          <w:tab w:val="right" w:pos="850"/>
          <w:tab w:val="left" w:pos="1134"/>
          <w:tab w:val="left" w:pos="1559"/>
          <w:tab w:val="left" w:pos="1984"/>
          <w:tab w:val="left" w:leader="dot" w:pos="8929"/>
          <w:tab w:val="right" w:pos="9638"/>
        </w:tabs>
        <w:spacing w:after="120"/>
        <w:ind w:left="1080" w:hanging="720"/>
      </w:pPr>
      <w:r>
        <w:tab/>
      </w:r>
      <w:r w:rsidRPr="00434A68">
        <w:t>I.</w:t>
      </w:r>
      <w:r w:rsidRPr="00434A68">
        <w:tab/>
      </w:r>
      <w:r w:rsidR="002C2558" w:rsidRPr="00434A68">
        <w:t>Introduction</w:t>
      </w:r>
      <w:r w:rsidR="002C2558" w:rsidRPr="00434A68">
        <w:tab/>
      </w:r>
      <w:r w:rsidR="002C2558" w:rsidRPr="00434A68">
        <w:tab/>
        <w:t>3</w:t>
      </w:r>
    </w:p>
    <w:p w:rsidR="002C2558" w:rsidRPr="00434A68" w:rsidRDefault="00874085" w:rsidP="00874085">
      <w:pPr>
        <w:tabs>
          <w:tab w:val="right" w:pos="850"/>
          <w:tab w:val="left" w:pos="1134"/>
          <w:tab w:val="left" w:pos="1559"/>
          <w:tab w:val="left" w:pos="1984"/>
          <w:tab w:val="left" w:leader="dot" w:pos="8929"/>
          <w:tab w:val="right" w:pos="9638"/>
        </w:tabs>
        <w:spacing w:after="120"/>
        <w:ind w:left="1080" w:hanging="720"/>
      </w:pPr>
      <w:r>
        <w:tab/>
      </w:r>
      <w:r w:rsidRPr="00434A68">
        <w:t>II.</w:t>
      </w:r>
      <w:r w:rsidRPr="00434A68">
        <w:tab/>
      </w:r>
      <w:r w:rsidR="002C2558" w:rsidRPr="00434A68">
        <w:t>General context</w:t>
      </w:r>
      <w:r w:rsidR="002C2558" w:rsidRPr="00434A68">
        <w:tab/>
      </w:r>
      <w:r w:rsidR="002C2558" w:rsidRPr="00434A68">
        <w:tab/>
        <w:t>3</w:t>
      </w:r>
    </w:p>
    <w:p w:rsidR="002C2558" w:rsidRPr="00434A68" w:rsidRDefault="00874085" w:rsidP="00874085">
      <w:pPr>
        <w:tabs>
          <w:tab w:val="right" w:pos="850"/>
          <w:tab w:val="left" w:pos="1134"/>
          <w:tab w:val="left" w:pos="1559"/>
          <w:tab w:val="left" w:pos="1984"/>
          <w:tab w:val="left" w:leader="dot" w:pos="8929"/>
          <w:tab w:val="right" w:pos="9638"/>
        </w:tabs>
        <w:spacing w:after="120"/>
        <w:ind w:left="1080" w:hanging="720"/>
      </w:pPr>
      <w:r>
        <w:tab/>
      </w:r>
      <w:r w:rsidRPr="00434A68">
        <w:t>III.</w:t>
      </w:r>
      <w:r w:rsidRPr="00434A68">
        <w:tab/>
      </w:r>
      <w:r w:rsidR="002C2558" w:rsidRPr="00434A68">
        <w:t>Incorporation of the international framework on women</w:t>
      </w:r>
      <w:r w:rsidR="002C2558">
        <w:t>’s</w:t>
      </w:r>
      <w:r w:rsidR="002C2558" w:rsidRPr="00434A68">
        <w:t xml:space="preserve"> rights and violence against women</w:t>
      </w:r>
      <w:r w:rsidR="002C2558" w:rsidRPr="00434A68">
        <w:tab/>
      </w:r>
      <w:r w:rsidR="002C2558" w:rsidRPr="00434A68">
        <w:tab/>
        <w:t>4</w:t>
      </w:r>
    </w:p>
    <w:p w:rsidR="002C2558" w:rsidRPr="00434A68" w:rsidRDefault="00874085" w:rsidP="00874085">
      <w:pPr>
        <w:tabs>
          <w:tab w:val="right" w:pos="850"/>
          <w:tab w:val="left" w:pos="1134"/>
          <w:tab w:val="left" w:pos="1559"/>
          <w:tab w:val="left" w:pos="1984"/>
          <w:tab w:val="left" w:leader="dot" w:pos="8929"/>
          <w:tab w:val="right" w:pos="9638"/>
        </w:tabs>
        <w:spacing w:after="120"/>
        <w:ind w:left="1080" w:hanging="720"/>
      </w:pPr>
      <w:r>
        <w:tab/>
      </w:r>
      <w:r w:rsidRPr="00434A68">
        <w:t>IV.</w:t>
      </w:r>
      <w:r w:rsidRPr="00434A68">
        <w:tab/>
      </w:r>
      <w:r w:rsidR="002C2558" w:rsidRPr="00434A68">
        <w:t>State responses and measures to address violence against women</w:t>
      </w:r>
      <w:r w:rsidR="002C2558" w:rsidRPr="00434A68">
        <w:tab/>
      </w:r>
      <w:r w:rsidR="002C2558" w:rsidRPr="00434A68">
        <w:tab/>
        <w:t>5</w:t>
      </w:r>
    </w:p>
    <w:p w:rsidR="002C2558" w:rsidRPr="00434A68" w:rsidRDefault="00874085" w:rsidP="00874085">
      <w:pPr>
        <w:tabs>
          <w:tab w:val="right" w:pos="850"/>
          <w:tab w:val="left" w:pos="1134"/>
          <w:tab w:val="left" w:pos="1559"/>
          <w:tab w:val="left" w:pos="1984"/>
          <w:tab w:val="left" w:leader="dot" w:pos="8929"/>
          <w:tab w:val="right" w:pos="9638"/>
        </w:tabs>
        <w:spacing w:after="120"/>
      </w:pPr>
      <w:r>
        <w:tab/>
      </w:r>
      <w:r>
        <w:tab/>
      </w:r>
      <w:r w:rsidRPr="00434A68">
        <w:t>A.</w:t>
      </w:r>
      <w:r w:rsidRPr="00434A68">
        <w:tab/>
      </w:r>
      <w:r w:rsidR="007C7C4D">
        <w:t xml:space="preserve">Constitutional and </w:t>
      </w:r>
      <w:r w:rsidR="002C2558" w:rsidRPr="00434A68">
        <w:t>legislative and policy framework</w:t>
      </w:r>
      <w:r w:rsidR="002C2558" w:rsidRPr="00434A68">
        <w:tab/>
      </w:r>
      <w:r w:rsidR="002C2558" w:rsidRPr="00434A68">
        <w:tab/>
        <w:t>5</w:t>
      </w:r>
    </w:p>
    <w:p w:rsidR="002C2558" w:rsidRPr="00434A68" w:rsidRDefault="00874085" w:rsidP="00874085">
      <w:pPr>
        <w:tabs>
          <w:tab w:val="right" w:pos="850"/>
          <w:tab w:val="left" w:pos="1134"/>
          <w:tab w:val="left" w:pos="1559"/>
          <w:tab w:val="left" w:pos="1984"/>
          <w:tab w:val="left" w:leader="dot" w:pos="8929"/>
          <w:tab w:val="right" w:pos="9638"/>
        </w:tabs>
        <w:spacing w:after="120"/>
      </w:pPr>
      <w:r>
        <w:tab/>
      </w:r>
      <w:r>
        <w:tab/>
      </w:r>
      <w:r w:rsidRPr="00434A68">
        <w:t>B.</w:t>
      </w:r>
      <w:r w:rsidRPr="00434A68">
        <w:tab/>
      </w:r>
      <w:r w:rsidR="002C2558" w:rsidRPr="00434A68">
        <w:t>National machinery and independent human rights institutions</w:t>
      </w:r>
      <w:r w:rsidR="002C2558" w:rsidRPr="00434A68">
        <w:tab/>
      </w:r>
      <w:r w:rsidR="002C2558" w:rsidRPr="00434A68">
        <w:tab/>
        <w:t>7</w:t>
      </w:r>
    </w:p>
    <w:p w:rsidR="002C2558" w:rsidRPr="00434A68" w:rsidRDefault="00874085" w:rsidP="00874085">
      <w:pPr>
        <w:tabs>
          <w:tab w:val="right" w:pos="850"/>
          <w:tab w:val="left" w:pos="1134"/>
          <w:tab w:val="left" w:pos="1559"/>
          <w:tab w:val="left" w:pos="1984"/>
          <w:tab w:val="left" w:leader="dot" w:pos="8929"/>
          <w:tab w:val="right" w:pos="9638"/>
        </w:tabs>
        <w:spacing w:after="120"/>
        <w:ind w:left="1080" w:hanging="720"/>
      </w:pPr>
      <w:r>
        <w:tab/>
      </w:r>
      <w:r w:rsidRPr="00434A68">
        <w:t>V.</w:t>
      </w:r>
      <w:r w:rsidRPr="00434A68">
        <w:tab/>
      </w:r>
      <w:r w:rsidR="002C2558" w:rsidRPr="00434A68">
        <w:t>Manifestations of violence against women, its causes and consequences</w:t>
      </w:r>
      <w:r w:rsidR="002C2558" w:rsidRPr="00434A68">
        <w:tab/>
      </w:r>
      <w:r w:rsidR="002C2558" w:rsidRPr="00434A68">
        <w:tab/>
        <w:t>8</w:t>
      </w:r>
    </w:p>
    <w:p w:rsidR="002C2558" w:rsidRPr="00434A68" w:rsidRDefault="00874085" w:rsidP="00874085">
      <w:pPr>
        <w:tabs>
          <w:tab w:val="right" w:pos="850"/>
          <w:tab w:val="left" w:pos="1134"/>
          <w:tab w:val="left" w:pos="1559"/>
          <w:tab w:val="left" w:pos="1984"/>
          <w:tab w:val="left" w:leader="dot" w:pos="8929"/>
          <w:tab w:val="right" w:pos="9638"/>
        </w:tabs>
        <w:spacing w:after="120"/>
      </w:pPr>
      <w:r>
        <w:tab/>
      </w:r>
      <w:r>
        <w:tab/>
      </w:r>
      <w:r w:rsidRPr="00434A68">
        <w:t>A.</w:t>
      </w:r>
      <w:r w:rsidRPr="00434A68">
        <w:tab/>
      </w:r>
      <w:proofErr w:type="spellStart"/>
      <w:r w:rsidR="002C2558" w:rsidRPr="00434A68">
        <w:t>Femicide</w:t>
      </w:r>
      <w:proofErr w:type="spellEnd"/>
      <w:r w:rsidR="002C2558" w:rsidRPr="00434A68">
        <w:t xml:space="preserve"> and gende</w:t>
      </w:r>
      <w:r w:rsidR="007C7C4D">
        <w:t>r-</w:t>
      </w:r>
      <w:r w:rsidR="002C2558" w:rsidRPr="00434A68">
        <w:t>based violence against women</w:t>
      </w:r>
      <w:r w:rsidR="002C2558" w:rsidRPr="00434A68">
        <w:tab/>
      </w:r>
      <w:r w:rsidR="002C2558">
        <w:tab/>
      </w:r>
      <w:r w:rsidR="002C2558" w:rsidRPr="00434A68">
        <w:t>8</w:t>
      </w:r>
    </w:p>
    <w:p w:rsidR="002C2558" w:rsidRPr="00434A68" w:rsidRDefault="00874085" w:rsidP="00874085">
      <w:pPr>
        <w:tabs>
          <w:tab w:val="right" w:pos="850"/>
          <w:tab w:val="left" w:pos="1134"/>
          <w:tab w:val="left" w:pos="1559"/>
          <w:tab w:val="left" w:pos="1984"/>
          <w:tab w:val="left" w:leader="dot" w:pos="8929"/>
          <w:tab w:val="right" w:pos="9638"/>
        </w:tabs>
        <w:spacing w:after="120"/>
      </w:pPr>
      <w:r>
        <w:tab/>
      </w:r>
      <w:r>
        <w:tab/>
      </w:r>
      <w:r w:rsidRPr="00434A68">
        <w:t>B.</w:t>
      </w:r>
      <w:r w:rsidRPr="00434A68">
        <w:tab/>
      </w:r>
      <w:r w:rsidR="002C2558" w:rsidRPr="00434A68">
        <w:t>Domestic violence</w:t>
      </w:r>
      <w:r w:rsidR="002C2558" w:rsidRPr="00434A68">
        <w:tab/>
      </w:r>
      <w:r w:rsidR="002C2558" w:rsidRPr="00434A68">
        <w:tab/>
        <w:t>10</w:t>
      </w:r>
    </w:p>
    <w:p w:rsidR="002C2558" w:rsidRPr="00434A68" w:rsidRDefault="00874085" w:rsidP="00874085">
      <w:pPr>
        <w:tabs>
          <w:tab w:val="right" w:pos="850"/>
          <w:tab w:val="left" w:pos="1134"/>
          <w:tab w:val="left" w:pos="1559"/>
          <w:tab w:val="left" w:pos="1984"/>
          <w:tab w:val="left" w:leader="dot" w:pos="8929"/>
          <w:tab w:val="right" w:pos="9638"/>
        </w:tabs>
        <w:spacing w:after="120"/>
      </w:pPr>
      <w:r>
        <w:tab/>
      </w:r>
      <w:r>
        <w:tab/>
      </w:r>
      <w:r w:rsidRPr="00434A68">
        <w:t>C.</w:t>
      </w:r>
      <w:r w:rsidRPr="00434A68">
        <w:tab/>
      </w:r>
      <w:r w:rsidR="002C2558" w:rsidRPr="00434A68">
        <w:t>Sexual assault of women and girls</w:t>
      </w:r>
      <w:r w:rsidR="002C2558" w:rsidRPr="00434A68">
        <w:tab/>
      </w:r>
      <w:r w:rsidR="002C2558" w:rsidRPr="00434A68">
        <w:tab/>
        <w:t>10</w:t>
      </w:r>
    </w:p>
    <w:p w:rsidR="002C2558" w:rsidRPr="00434A68" w:rsidRDefault="00874085" w:rsidP="00874085">
      <w:pPr>
        <w:tabs>
          <w:tab w:val="right" w:pos="850"/>
          <w:tab w:val="left" w:pos="1134"/>
          <w:tab w:val="left" w:pos="1559"/>
          <w:tab w:val="left" w:pos="1984"/>
          <w:tab w:val="left" w:leader="dot" w:pos="8929"/>
          <w:tab w:val="right" w:pos="9638"/>
        </w:tabs>
        <w:spacing w:after="120"/>
      </w:pPr>
      <w:r>
        <w:tab/>
      </w:r>
      <w:r>
        <w:tab/>
      </w:r>
      <w:r w:rsidRPr="00434A68">
        <w:t>D.</w:t>
      </w:r>
      <w:r w:rsidRPr="00434A68">
        <w:tab/>
      </w:r>
      <w:r w:rsidR="002C2558" w:rsidRPr="00434A68">
        <w:t>Trafficking of women and girls</w:t>
      </w:r>
      <w:r w:rsidR="002C2558" w:rsidRPr="00434A68">
        <w:tab/>
      </w:r>
      <w:r w:rsidR="002C2558" w:rsidRPr="00434A68">
        <w:tab/>
        <w:t>11</w:t>
      </w:r>
    </w:p>
    <w:p w:rsidR="002C2558" w:rsidRPr="00434A68" w:rsidRDefault="00874085" w:rsidP="00874085">
      <w:pPr>
        <w:tabs>
          <w:tab w:val="right" w:pos="850"/>
          <w:tab w:val="left" w:pos="1134"/>
          <w:tab w:val="left" w:pos="1559"/>
          <w:tab w:val="left" w:pos="1984"/>
          <w:tab w:val="left" w:leader="dot" w:pos="8929"/>
          <w:tab w:val="right" w:pos="9638"/>
        </w:tabs>
        <w:spacing w:after="120"/>
      </w:pPr>
      <w:r>
        <w:tab/>
      </w:r>
      <w:r>
        <w:tab/>
      </w:r>
      <w:r w:rsidRPr="00434A68">
        <w:t>E.</w:t>
      </w:r>
      <w:r w:rsidRPr="00434A68">
        <w:tab/>
      </w:r>
      <w:r w:rsidR="002C2558" w:rsidRPr="00434A68">
        <w:t>Violence and harassment against w</w:t>
      </w:r>
      <w:r w:rsidR="001B2C7C">
        <w:t xml:space="preserve">omen and girls </w:t>
      </w:r>
      <w:r w:rsidR="002C2558" w:rsidRPr="00434A68">
        <w:tab/>
      </w:r>
      <w:r w:rsidR="002C2558" w:rsidRPr="00434A68">
        <w:tab/>
        <w:t>1</w:t>
      </w:r>
      <w:r w:rsidR="002C2558">
        <w:t>1</w:t>
      </w:r>
    </w:p>
    <w:p w:rsidR="002C2558" w:rsidRPr="00434A68" w:rsidRDefault="00874085" w:rsidP="00874085">
      <w:pPr>
        <w:tabs>
          <w:tab w:val="right" w:pos="850"/>
          <w:tab w:val="left" w:pos="1134"/>
          <w:tab w:val="left" w:pos="1559"/>
          <w:tab w:val="left" w:pos="1984"/>
          <w:tab w:val="left" w:leader="dot" w:pos="8929"/>
          <w:tab w:val="right" w:pos="9638"/>
        </w:tabs>
        <w:spacing w:after="120"/>
      </w:pPr>
      <w:r>
        <w:tab/>
      </w:r>
      <w:r>
        <w:tab/>
      </w:r>
      <w:r w:rsidRPr="00434A68">
        <w:t>F.</w:t>
      </w:r>
      <w:r w:rsidRPr="00434A68">
        <w:tab/>
      </w:r>
      <w:r w:rsidR="002C2558" w:rsidRPr="00434A68">
        <w:t>Violence against women and girls related to reproductive and sexual rights and health</w:t>
      </w:r>
      <w:r w:rsidR="002C2558" w:rsidRPr="00434A68">
        <w:tab/>
      </w:r>
      <w:r w:rsidR="002C2558" w:rsidRPr="00434A68">
        <w:tab/>
        <w:t>12</w:t>
      </w:r>
    </w:p>
    <w:p w:rsidR="002C2558" w:rsidRPr="00434A68" w:rsidRDefault="00874085" w:rsidP="00874085">
      <w:pPr>
        <w:tabs>
          <w:tab w:val="right" w:pos="850"/>
          <w:tab w:val="left" w:pos="1134"/>
          <w:tab w:val="left" w:pos="1559"/>
          <w:tab w:val="left" w:pos="1984"/>
          <w:tab w:val="left" w:leader="dot" w:pos="8929"/>
          <w:tab w:val="right" w:pos="9638"/>
        </w:tabs>
        <w:spacing w:after="120"/>
      </w:pPr>
      <w:r>
        <w:tab/>
      </w:r>
      <w:r>
        <w:tab/>
      </w:r>
      <w:r w:rsidRPr="00434A68">
        <w:t>G.</w:t>
      </w:r>
      <w:r w:rsidRPr="00434A68">
        <w:tab/>
      </w:r>
      <w:r w:rsidR="002C2558" w:rsidRPr="00434A68">
        <w:t>Violence against women in detention</w:t>
      </w:r>
      <w:r w:rsidR="002C2558" w:rsidRPr="00434A68">
        <w:tab/>
      </w:r>
      <w:r w:rsidR="002C2558" w:rsidRPr="00434A68">
        <w:tab/>
        <w:t>13</w:t>
      </w:r>
    </w:p>
    <w:p w:rsidR="002C2558" w:rsidRPr="00434A68" w:rsidRDefault="00874085" w:rsidP="00874085">
      <w:pPr>
        <w:tabs>
          <w:tab w:val="right" w:pos="850"/>
          <w:tab w:val="left" w:pos="1134"/>
          <w:tab w:val="left" w:pos="1559"/>
          <w:tab w:val="left" w:pos="1984"/>
          <w:tab w:val="left" w:leader="dot" w:pos="8929"/>
          <w:tab w:val="right" w:pos="9638"/>
        </w:tabs>
        <w:spacing w:after="120"/>
        <w:ind w:left="1559" w:hanging="1559"/>
      </w:pPr>
      <w:r>
        <w:tab/>
      </w:r>
      <w:r>
        <w:tab/>
      </w:r>
      <w:r w:rsidRPr="00434A68">
        <w:t>H.</w:t>
      </w:r>
      <w:r w:rsidRPr="00434A68">
        <w:tab/>
      </w:r>
      <w:r w:rsidR="002C2558" w:rsidRPr="00434A68">
        <w:t xml:space="preserve">Situation of women who encounter multiple and intersecting forms of discrimination </w:t>
      </w:r>
      <w:r>
        <w:br/>
        <w:t>and violence</w:t>
      </w:r>
      <w:r>
        <w:tab/>
      </w:r>
      <w:r>
        <w:tab/>
      </w:r>
      <w:r w:rsidR="002C2558" w:rsidRPr="00434A68">
        <w:t>14</w:t>
      </w:r>
    </w:p>
    <w:p w:rsidR="002C2558" w:rsidRPr="00EA2978" w:rsidRDefault="00874085" w:rsidP="00874085">
      <w:pPr>
        <w:tabs>
          <w:tab w:val="right" w:pos="850"/>
          <w:tab w:val="left" w:pos="1134"/>
          <w:tab w:val="left" w:pos="1559"/>
          <w:tab w:val="left" w:pos="1984"/>
          <w:tab w:val="left" w:leader="dot" w:pos="8929"/>
          <w:tab w:val="right" w:pos="9638"/>
        </w:tabs>
        <w:spacing w:after="120"/>
        <w:ind w:left="1080" w:hanging="720"/>
      </w:pPr>
      <w:r>
        <w:tab/>
      </w:r>
      <w:r w:rsidRPr="00EA2978">
        <w:t>VI.</w:t>
      </w:r>
      <w:r w:rsidRPr="00EA2978">
        <w:tab/>
      </w:r>
      <w:r w:rsidR="002C2558" w:rsidRPr="00434A68">
        <w:t>Conclusion</w:t>
      </w:r>
      <w:r w:rsidR="001B2C7C">
        <w:t>s</w:t>
      </w:r>
      <w:r w:rsidR="002C2558" w:rsidRPr="00434A68">
        <w:t xml:space="preserve"> and recommendations</w:t>
      </w:r>
      <w:r w:rsidR="002C2558" w:rsidRPr="00434A68">
        <w:tab/>
      </w:r>
      <w:r w:rsidR="002C2558" w:rsidRPr="00434A68">
        <w:tab/>
        <w:t>18</w:t>
      </w:r>
    </w:p>
    <w:p w:rsidR="002C2558" w:rsidRPr="00DE629F" w:rsidRDefault="002C2558" w:rsidP="002C2558">
      <w:pPr>
        <w:pStyle w:val="HChG"/>
      </w:pPr>
      <w:r>
        <w:br w:type="page"/>
      </w:r>
      <w:r>
        <w:lastRenderedPageBreak/>
        <w:tab/>
        <w:t>I.</w:t>
      </w:r>
      <w:r>
        <w:tab/>
        <w:t>Introduction</w:t>
      </w:r>
    </w:p>
    <w:p w:rsidR="002C2558" w:rsidRPr="00DE629F" w:rsidRDefault="002C2558" w:rsidP="002C2558">
      <w:pPr>
        <w:pStyle w:val="SingleTxtG"/>
      </w:pPr>
      <w:r>
        <w:t>1.</w:t>
      </w:r>
      <w:r>
        <w:tab/>
      </w:r>
      <w:r w:rsidRPr="00DE629F">
        <w:t xml:space="preserve">At the invitation of the Government, the Special Rapporteur on violence against women, its causes and consequences, Ms </w:t>
      </w:r>
      <w:proofErr w:type="spellStart"/>
      <w:r w:rsidRPr="00DE629F">
        <w:t>Dubravka</w:t>
      </w:r>
      <w:proofErr w:type="spellEnd"/>
      <w:r w:rsidRPr="00DE629F">
        <w:t xml:space="preserve"> </w:t>
      </w:r>
      <w:proofErr w:type="spellStart"/>
      <w:r w:rsidRPr="00DE629F">
        <w:t>Šimonović</w:t>
      </w:r>
      <w:proofErr w:type="spellEnd"/>
      <w:r w:rsidRPr="00DE629F">
        <w:t xml:space="preserve">, visited </w:t>
      </w:r>
      <w:r>
        <w:t>Canada from 13 to 23 April 2018.</w:t>
      </w:r>
    </w:p>
    <w:p w:rsidR="002C2558" w:rsidRPr="00DE629F" w:rsidRDefault="002C2558" w:rsidP="002C2558">
      <w:pPr>
        <w:pStyle w:val="SingleTxtG"/>
      </w:pPr>
      <w:r>
        <w:t>2.</w:t>
      </w:r>
      <w:r>
        <w:tab/>
      </w:r>
      <w:r w:rsidRPr="00DE629F">
        <w:t xml:space="preserve">During her visit, </w:t>
      </w:r>
      <w:r w:rsidR="00A95B7F">
        <w:t>she</w:t>
      </w:r>
      <w:r w:rsidRPr="00DE629F">
        <w:t xml:space="preserve"> met with key stakeholders on the situation of violence against women at the federal, provincial and territorial level, gathering first-hand information through visiting three out of the ten province level governments (Ontario, Quebec and Manitoba), as well as one </w:t>
      </w:r>
      <w:r>
        <w:t>territory government – Nunavut.</w:t>
      </w:r>
    </w:p>
    <w:p w:rsidR="002C2558" w:rsidRPr="00DE629F" w:rsidRDefault="002C2558" w:rsidP="002C2558">
      <w:pPr>
        <w:pStyle w:val="SingleTxtG"/>
      </w:pPr>
      <w:r>
        <w:t>3.</w:t>
      </w:r>
      <w:r>
        <w:tab/>
      </w:r>
      <w:r w:rsidRPr="00DE629F">
        <w:t xml:space="preserve">At the federal level, she held several meetings and roundtable with officials from the Ministries </w:t>
      </w:r>
      <w:r>
        <w:t xml:space="preserve">for </w:t>
      </w:r>
      <w:r w:rsidRPr="00DE629F">
        <w:t xml:space="preserve">Women </w:t>
      </w:r>
      <w:r>
        <w:t>and Gender Equality Canada (formerly Status of Women Canada)</w:t>
      </w:r>
      <w:r w:rsidRPr="00DE629F">
        <w:t>, Justice, Crown-</w:t>
      </w:r>
      <w:r>
        <w:t>Indigenous</w:t>
      </w:r>
      <w:r w:rsidRPr="00DE629F">
        <w:t xml:space="preserve"> Relations and Northern Affairs, Employment, Families, Children and Social Development, Immigration, Refugees and Citizenship, Public Safety and Emergency Preparedness, Correctional Services, Canada Border Services Agency, Natio</w:t>
      </w:r>
      <w:r>
        <w:t>nal Defence and Global Affairs.</w:t>
      </w:r>
    </w:p>
    <w:p w:rsidR="002C2558" w:rsidRPr="00DE629F" w:rsidRDefault="002C2558" w:rsidP="002C2558">
      <w:pPr>
        <w:pStyle w:val="SingleTxtG"/>
      </w:pPr>
      <w:r>
        <w:t>4.</w:t>
      </w:r>
      <w:r>
        <w:tab/>
      </w:r>
      <w:r w:rsidRPr="00DE629F">
        <w:t xml:space="preserve">At the provincial </w:t>
      </w:r>
      <w:r>
        <w:t xml:space="preserve">and territorial </w:t>
      </w:r>
      <w:r w:rsidRPr="00DE629F">
        <w:t>level</w:t>
      </w:r>
      <w:r>
        <w:t>s</w:t>
      </w:r>
      <w:r w:rsidRPr="00DE629F">
        <w:t>, in Toronto, she met with Ministers and authorities representing the government of Ontario, in Montreal, with authorities from the government of Quebec, in Winnipeg, with Ministers and authorities of the government of Manitoba, and in Iqaluit with a Minister and government officials fro</w:t>
      </w:r>
      <w:r>
        <w:t>m Nunavut.</w:t>
      </w:r>
    </w:p>
    <w:p w:rsidR="002C2558" w:rsidRPr="00DE629F" w:rsidRDefault="002C2558" w:rsidP="002C2558">
      <w:pPr>
        <w:pStyle w:val="SingleTxtG"/>
      </w:pPr>
      <w:r>
        <w:t>5.</w:t>
      </w:r>
      <w:r>
        <w:tab/>
      </w:r>
      <w:r w:rsidRPr="00DE629F">
        <w:t xml:space="preserve">She visited two women’s correctional facilities: the Nunavut Women’s Correctional Centre in Iqaluit and the Women's Correctional Centre of Manitoba in Headingly. She also visited shelters for women fleeing of violence in each </w:t>
      </w:r>
      <w:r>
        <w:t>of the locations visited.</w:t>
      </w:r>
    </w:p>
    <w:p w:rsidR="002C2558" w:rsidRPr="00DE629F" w:rsidRDefault="002C2558" w:rsidP="002C2558">
      <w:pPr>
        <w:pStyle w:val="SingleTxtG"/>
      </w:pPr>
      <w:r>
        <w:t>6.</w:t>
      </w:r>
      <w:r>
        <w:tab/>
      </w:r>
      <w:r w:rsidR="003E7ECD">
        <w:t xml:space="preserve"> She </w:t>
      </w:r>
      <w:r w:rsidRPr="00DE629F">
        <w:t xml:space="preserve">also met with a range of representatives of statutory human rights agencies such as the Canadian Human Rights Commission, the Ontario Human Rights Commission and the Commission on the rights of the people and youth of Québec. Other institutions and advisories bodies with whom the </w:t>
      </w:r>
      <w:r w:rsidR="003E7ECD">
        <w:t xml:space="preserve">Rapporteur </w:t>
      </w:r>
      <w:r w:rsidRPr="00DE629F">
        <w:t xml:space="preserve">met are: the Office of the Correctional Investigator, the </w:t>
      </w:r>
      <w:proofErr w:type="spellStart"/>
      <w:r w:rsidRPr="00DE629F">
        <w:t>Qulliit</w:t>
      </w:r>
      <w:proofErr w:type="spellEnd"/>
      <w:r w:rsidRPr="00DE629F">
        <w:t xml:space="preserve"> Nunavut Status of Women Council, the Protector of the Citizen of Québec and the Council on the </w:t>
      </w:r>
      <w:r>
        <w:t>status of women of Québec.</w:t>
      </w:r>
    </w:p>
    <w:p w:rsidR="002C2558" w:rsidRPr="00DE629F" w:rsidRDefault="002C2558" w:rsidP="002C2558">
      <w:pPr>
        <w:pStyle w:val="SingleTxtG"/>
      </w:pPr>
      <w:r>
        <w:t>7.</w:t>
      </w:r>
      <w:r>
        <w:tab/>
      </w:r>
      <w:r w:rsidRPr="00DE629F">
        <w:t>In addition</w:t>
      </w:r>
      <w:proofErr w:type="gramStart"/>
      <w:r w:rsidRPr="00DE629F">
        <w:t xml:space="preserve">, </w:t>
      </w:r>
      <w:r w:rsidR="003E7ECD">
        <w:t xml:space="preserve"> she</w:t>
      </w:r>
      <w:proofErr w:type="gramEnd"/>
      <w:r w:rsidR="003E7ECD">
        <w:t xml:space="preserve"> </w:t>
      </w:r>
      <w:r w:rsidRPr="00DE629F">
        <w:t xml:space="preserve">held a video conference with the Chief Commissioner of the National Inquiry into Missing and Murdered </w:t>
      </w:r>
      <w:r>
        <w:t>Indigenous</w:t>
      </w:r>
      <w:r w:rsidRPr="00DE629F">
        <w:t xml:space="preserve"> Women and Girls and met with representatives of the Public Inquiry Commission on relations between </w:t>
      </w:r>
      <w:r>
        <w:t>Indigenous</w:t>
      </w:r>
      <w:r w:rsidRPr="00DE629F">
        <w:t xml:space="preserve"> Peoples and certain public services in Québec, </w:t>
      </w:r>
      <w:r>
        <w:t xml:space="preserve">also known as the </w:t>
      </w:r>
      <w:proofErr w:type="spellStart"/>
      <w:r>
        <w:t>Viens</w:t>
      </w:r>
      <w:proofErr w:type="spellEnd"/>
      <w:r>
        <w:t xml:space="preserve"> Inquiry.</w:t>
      </w:r>
    </w:p>
    <w:p w:rsidR="002C2558" w:rsidRPr="00DE629F" w:rsidRDefault="002C2558" w:rsidP="002C2558">
      <w:pPr>
        <w:pStyle w:val="SingleTxtG"/>
      </w:pPr>
      <w:r>
        <w:t>8.</w:t>
      </w:r>
      <w:r>
        <w:tab/>
      </w:r>
      <w:r w:rsidRPr="00DE629F">
        <w:t>She convened meetings with a broad range of civil society representatives, academics, service providers and women’s legal centres, such as the National Association of Women and the Law</w:t>
      </w:r>
      <w:r w:rsidRPr="003D7F3B">
        <w:rPr>
          <w:sz w:val="16"/>
          <w:szCs w:val="16"/>
        </w:rPr>
        <w:t>,</w:t>
      </w:r>
      <w:r w:rsidRPr="003D7F3B">
        <w:rPr>
          <w:rStyle w:val="FootnoteTextChar"/>
          <w:vertAlign w:val="superscript"/>
        </w:rPr>
        <w:footnoteReference w:id="4"/>
      </w:r>
      <w:r w:rsidRPr="003D7F3B">
        <w:rPr>
          <w:rStyle w:val="FootnoteTextChar"/>
        </w:rPr>
        <w:t xml:space="preserve"> </w:t>
      </w:r>
      <w:r w:rsidRPr="00DE629F">
        <w:t xml:space="preserve">the Barbra </w:t>
      </w:r>
      <w:proofErr w:type="spellStart"/>
      <w:r w:rsidRPr="00DE629F">
        <w:t>Schlifer</w:t>
      </w:r>
      <w:proofErr w:type="spellEnd"/>
      <w:r w:rsidRPr="00DE629F">
        <w:t xml:space="preserve"> Commemorative Clinic</w:t>
      </w:r>
      <w:r w:rsidRPr="003D7F3B">
        <w:rPr>
          <w:sz w:val="18"/>
          <w:szCs w:val="18"/>
          <w:vertAlign w:val="superscript"/>
        </w:rPr>
        <w:footnoteReference w:id="5"/>
      </w:r>
      <w:r w:rsidRPr="003D7F3B">
        <w:rPr>
          <w:sz w:val="18"/>
          <w:szCs w:val="18"/>
        </w:rPr>
        <w:t xml:space="preserve"> </w:t>
      </w:r>
      <w:r w:rsidRPr="00DE629F">
        <w:t>and the Canadian Feminist Alliance for International Action.</w:t>
      </w:r>
      <w:r w:rsidRPr="003D7F3B">
        <w:rPr>
          <w:sz w:val="18"/>
          <w:szCs w:val="18"/>
          <w:vertAlign w:val="superscript"/>
        </w:rPr>
        <w:footnoteReference w:id="6"/>
      </w:r>
      <w:r w:rsidRPr="003D7F3B">
        <w:rPr>
          <w:sz w:val="18"/>
          <w:szCs w:val="18"/>
          <w:vertAlign w:val="superscript"/>
        </w:rPr>
        <w:t xml:space="preserve"> </w:t>
      </w:r>
      <w:r w:rsidRPr="00DE629F">
        <w:t>She also held several meetings with a</w:t>
      </w:r>
      <w:r>
        <w:t>cademics in Ottawa and Toronto.</w:t>
      </w:r>
    </w:p>
    <w:p w:rsidR="002C2558" w:rsidRDefault="002C2558" w:rsidP="002C2558">
      <w:pPr>
        <w:pStyle w:val="SingleTxtG"/>
      </w:pPr>
      <w:r>
        <w:t>9.</w:t>
      </w:r>
      <w:r>
        <w:tab/>
      </w:r>
      <w:r w:rsidRPr="00DE629F">
        <w:t xml:space="preserve">The Special Rapporteur expresses her gratitude to the federal Government and the governments of the provinces and territories for welcoming the first visit by the mandate and for their excellent cooperation and to civil society organizations, academics and other stakeholders for their valuable inputs. She expresses her heartfelt thanks to </w:t>
      </w:r>
      <w:r>
        <w:t xml:space="preserve">victims </w:t>
      </w:r>
      <w:r w:rsidRPr="00DE629F">
        <w:t>of violence who agreed to relate their personal experiences, crucial to gaining a deeper understanding of the situation of violenc</w:t>
      </w:r>
      <w:r>
        <w:t>e against women in the country.</w:t>
      </w:r>
    </w:p>
    <w:p w:rsidR="002C2558" w:rsidRPr="00DE629F" w:rsidRDefault="002C2558" w:rsidP="002C2558">
      <w:pPr>
        <w:pStyle w:val="HChG"/>
      </w:pPr>
      <w:r>
        <w:tab/>
        <w:t>II.</w:t>
      </w:r>
      <w:r>
        <w:tab/>
        <w:t xml:space="preserve">General context </w:t>
      </w:r>
    </w:p>
    <w:p w:rsidR="002C2558" w:rsidRDefault="002C2558" w:rsidP="002C2558">
      <w:pPr>
        <w:pStyle w:val="SingleTxtG"/>
        <w:rPr>
          <w:lang w:val="en-US"/>
        </w:rPr>
      </w:pPr>
      <w:r>
        <w:t>10</w:t>
      </w:r>
      <w:r w:rsidRPr="00B64779">
        <w:t>.</w:t>
      </w:r>
      <w:r w:rsidRPr="00B64779">
        <w:tab/>
        <w:t>Canada has a long-standing record of support at the United Nations to issues related to violence against women, including the establishment of the mandate of the Special Rapporteur on violence against women, its causes and consequences as the main sponsor of the mandates founding resolution of 1994. The first mandate’s official visit to Canada to gather first-hand information on the situation of violence against women coincides with the commendable decision by the Government to proclaim itself as a feminist government and to adopt feminist foreign and international assistance policies. Despite such commitments the mandate holder notes that women lives’ in the country are still marked by systemic gender-based violence,</w:t>
      </w:r>
      <w:r w:rsidRPr="00B64779">
        <w:rPr>
          <w:shd w:val="clear" w:color="auto" w:fill="FFFFFF"/>
          <w:lang w:val="en-US"/>
        </w:rPr>
        <w:t xml:space="preserve"> </w:t>
      </w:r>
      <w:r w:rsidRPr="004929E3">
        <w:rPr>
          <w:shd w:val="clear" w:color="auto" w:fill="FFFFFF"/>
          <w:lang w:val="en-US"/>
        </w:rPr>
        <w:t>especially concerning Indigenous and other women</w:t>
      </w:r>
      <w:r w:rsidRPr="004929E3">
        <w:rPr>
          <w:lang w:val="en-US"/>
        </w:rPr>
        <w:t xml:space="preserve"> who encounter multiple forms of discrimination.</w:t>
      </w:r>
    </w:p>
    <w:p w:rsidR="002C2558" w:rsidRPr="00DE629F" w:rsidRDefault="002C2558" w:rsidP="002C2558">
      <w:pPr>
        <w:pStyle w:val="SingleTxtG"/>
      </w:pPr>
      <w:r>
        <w:t>11.</w:t>
      </w:r>
      <w:r>
        <w:tab/>
      </w:r>
      <w:r w:rsidRPr="00DE629F">
        <w:t xml:space="preserve">Within the visit to different federal, provincial and territorial jurisdictions, the Rapporteur could identify a variety of good practices that could be replicated in other provinces and territories, as well as at the global level. She also observed significant gaps and challenges related to prevention and protection of women from gender-based violence, in particular with regard to </w:t>
      </w:r>
      <w:r>
        <w:t>Indigenous</w:t>
      </w:r>
      <w:r w:rsidRPr="00DE629F">
        <w:t xml:space="preserve"> women and girls.</w:t>
      </w:r>
    </w:p>
    <w:p w:rsidR="002C2558" w:rsidRPr="00DE629F" w:rsidRDefault="002C2558" w:rsidP="002C2558">
      <w:pPr>
        <w:pStyle w:val="SingleTxtG"/>
      </w:pPr>
      <w:r>
        <w:t>12.</w:t>
      </w:r>
      <w:r>
        <w:tab/>
      </w:r>
      <w:r w:rsidRPr="00DE629F">
        <w:t xml:space="preserve">Intimate partner violence is the most common form of violence against women in Canada with </w:t>
      </w:r>
      <w:r>
        <w:t>8</w:t>
      </w:r>
      <w:r w:rsidRPr="00DE629F">
        <w:t xml:space="preserve"> in 10 victims who are women and girls.</w:t>
      </w:r>
      <w:r>
        <w:rPr>
          <w:rStyle w:val="FootnoteReference"/>
        </w:rPr>
        <w:footnoteReference w:id="7"/>
      </w:r>
      <w:r w:rsidRPr="00DE629F">
        <w:t xml:space="preserve"> Rates of female victims of violent crime were 8 times higher in the territories and nearly 3 times higher in the Provincial North than in the South.</w:t>
      </w:r>
      <w:r>
        <w:rPr>
          <w:rStyle w:val="FootnoteReference"/>
        </w:rPr>
        <w:footnoteReference w:id="8"/>
      </w:r>
      <w:r w:rsidRPr="00DE629F">
        <w:t xml:space="preserve"> </w:t>
      </w:r>
      <w:r>
        <w:t>Indigenous</w:t>
      </w:r>
      <w:r w:rsidRPr="00DE629F">
        <w:t xml:space="preserve"> women are 3 times more likely to be victims of violence than non-</w:t>
      </w:r>
      <w:r>
        <w:t>Indigenous</w:t>
      </w:r>
      <w:r w:rsidRPr="00DE629F">
        <w:t xml:space="preserve"> women. Approximately every 2</w:t>
      </w:r>
      <w:r>
        <w:t>.5</w:t>
      </w:r>
      <w:r w:rsidRPr="00DE629F">
        <w:t xml:space="preserve"> days, a woman in Canada is killed by her intimate partner.</w:t>
      </w:r>
      <w:r w:rsidRPr="003D7F3B">
        <w:rPr>
          <w:sz w:val="18"/>
          <w:szCs w:val="18"/>
          <w:vertAlign w:val="superscript"/>
        </w:rPr>
        <w:footnoteReference w:id="9"/>
      </w:r>
      <w:r>
        <w:t>In 2017, 84% of police-reported homicide victims killed by an intimate partner were women.</w:t>
      </w:r>
      <w:r w:rsidRPr="003D7F3B">
        <w:rPr>
          <w:sz w:val="18"/>
          <w:szCs w:val="18"/>
          <w:vertAlign w:val="superscript"/>
        </w:rPr>
        <w:footnoteReference w:id="10"/>
      </w:r>
    </w:p>
    <w:p w:rsidR="002C2558" w:rsidRDefault="002C2558" w:rsidP="002C2558">
      <w:pPr>
        <w:pStyle w:val="SingleTxtG"/>
      </w:pPr>
      <w:r>
        <w:t>13.</w:t>
      </w:r>
      <w:r>
        <w:tab/>
      </w:r>
      <w:r w:rsidRPr="00DE629F">
        <w:t xml:space="preserve">An issue of major of concern in the country is the inadequate protection of </w:t>
      </w:r>
      <w:r>
        <w:t>Indigenous</w:t>
      </w:r>
      <w:r w:rsidRPr="00DE629F">
        <w:t xml:space="preserve"> women and girls’ economi</w:t>
      </w:r>
      <w:r>
        <w:t>c social and cultural rights as</w:t>
      </w:r>
      <w:r w:rsidRPr="00DE629F">
        <w:t xml:space="preserve"> an element exacerbating </w:t>
      </w:r>
      <w:r>
        <w:t xml:space="preserve">the high rate of </w:t>
      </w:r>
      <w:r w:rsidRPr="00DE629F">
        <w:t>violence against women.</w:t>
      </w:r>
      <w:r>
        <w:t xml:space="preserve"> Indigenous</w:t>
      </w:r>
      <w:r w:rsidRPr="00DE629F">
        <w:t xml:space="preserve"> women from First Nations, Metis and Inuit communities face violence, marginalization, exclusion and poverty because of institutional, systemic, multiple intersecting forms of discrimination not addressed adequately by the State. </w:t>
      </w:r>
      <w:r>
        <w:t>According to 2016 data, Indigenous</w:t>
      </w:r>
      <w:r w:rsidRPr="00DE629F">
        <w:t xml:space="preserve"> peoples represent 5% of Canadian population, with </w:t>
      </w:r>
      <w:r>
        <w:t>Indigenous</w:t>
      </w:r>
      <w:r w:rsidRPr="00DE629F">
        <w:t xml:space="preserve"> women 2.5 per cent of the total population.</w:t>
      </w:r>
      <w:r>
        <w:rPr>
          <w:rStyle w:val="FootnoteReference"/>
        </w:rPr>
        <w:footnoteReference w:id="11"/>
      </w:r>
      <w:r w:rsidRPr="00DE629F">
        <w:t xml:space="preserve"> Yet, </w:t>
      </w:r>
      <w:r>
        <w:t>Indigenous</w:t>
      </w:r>
      <w:r w:rsidRPr="00DE629F">
        <w:t xml:space="preserve"> women and girls are </w:t>
      </w:r>
      <w:r>
        <w:t xml:space="preserve">nearly </w:t>
      </w:r>
      <w:r w:rsidRPr="00DE629F">
        <w:t>3 times more likely to be victimized by violen</w:t>
      </w:r>
      <w:r>
        <w:t>t crime</w:t>
      </w:r>
      <w:r>
        <w:rPr>
          <w:rStyle w:val="FootnoteReference"/>
        </w:rPr>
        <w:footnoteReference w:id="12"/>
      </w:r>
      <w:r w:rsidRPr="00DE629F">
        <w:t xml:space="preserve"> and</w:t>
      </w:r>
      <w:r>
        <w:t xml:space="preserve"> 6 times more likely to be the victim of homicide than non-Indigenous women.</w:t>
      </w:r>
      <w:r>
        <w:rPr>
          <w:rStyle w:val="FootnoteReference"/>
        </w:rPr>
        <w:footnoteReference w:id="13"/>
      </w:r>
      <w:r w:rsidRPr="00DE629F">
        <w:t xml:space="preserve"> </w:t>
      </w:r>
      <w:r>
        <w:t>Indigenous</w:t>
      </w:r>
      <w:r w:rsidRPr="00DE629F">
        <w:t xml:space="preserve"> women and girls encounter multiple forms of discr</w:t>
      </w:r>
      <w:r>
        <w:t>imination, including inadequate social assistance and housing and lack of affordable public childcare.</w:t>
      </w:r>
      <w:r w:rsidRPr="00DE629F" w:rsidDel="00423BB7">
        <w:t xml:space="preserve"> </w:t>
      </w:r>
      <w:r>
        <w:t>Indigenous</w:t>
      </w:r>
      <w:r w:rsidRPr="00DE629F">
        <w:t xml:space="preserve"> women continue to experience high rates of children being removed from their care, a practice which began in the era or residential schools.</w:t>
      </w:r>
      <w:r w:rsidRPr="003D7F3B">
        <w:rPr>
          <w:sz w:val="18"/>
          <w:szCs w:val="18"/>
          <w:vertAlign w:val="superscript"/>
        </w:rPr>
        <w:footnoteReference w:id="14"/>
      </w:r>
    </w:p>
    <w:p w:rsidR="002C2558" w:rsidRPr="00960E51" w:rsidRDefault="002C2558" w:rsidP="002C2558">
      <w:pPr>
        <w:pStyle w:val="HChG"/>
      </w:pPr>
      <w:r>
        <w:tab/>
        <w:t>III.</w:t>
      </w:r>
      <w:r>
        <w:tab/>
        <w:t>Incorporation of the international framework on women’s rights and violence against women</w:t>
      </w:r>
    </w:p>
    <w:p w:rsidR="002C2558" w:rsidRPr="00960E51" w:rsidRDefault="002C2558" w:rsidP="002C2558">
      <w:pPr>
        <w:pStyle w:val="SingleTxtG"/>
      </w:pPr>
      <w:r>
        <w:t>14.</w:t>
      </w:r>
      <w:r>
        <w:tab/>
      </w:r>
      <w:r w:rsidRPr="00960E51">
        <w:t>In 1981, Canada was one of the first countries to ratify the CEDAW Convention.</w:t>
      </w:r>
      <w:r>
        <w:t xml:space="preserve"> </w:t>
      </w:r>
      <w:r w:rsidRPr="00960E51">
        <w:t>In 2002 it</w:t>
      </w:r>
      <w:r>
        <w:t xml:space="preserve"> </w:t>
      </w:r>
      <w:r w:rsidRPr="00960E51">
        <w:t>ratified</w:t>
      </w:r>
      <w:r>
        <w:t xml:space="preserve"> </w:t>
      </w:r>
      <w:r w:rsidRPr="00960E51">
        <w:t>the CEDAW Optional Protocol and recently</w:t>
      </w:r>
      <w:r>
        <w:t xml:space="preserve"> </w:t>
      </w:r>
      <w:r w:rsidRPr="00960E51">
        <w:t xml:space="preserve">announced </w:t>
      </w:r>
      <w:r w:rsidRPr="00270491">
        <w:t xml:space="preserve">that it would begin the process to join </w:t>
      </w:r>
      <w:r w:rsidRPr="00960E51">
        <w:t>the Inter-American Convention on the Prevention, Punishment, and Eradication of Violence against Women (Belem do Para’ Convention), but at the current stage of finalization of this report this Convention has yet to be ratified.</w:t>
      </w:r>
      <w:r w:rsidRPr="003D7F3B">
        <w:rPr>
          <w:sz w:val="18"/>
          <w:szCs w:val="18"/>
          <w:vertAlign w:val="superscript"/>
        </w:rPr>
        <w:footnoteReference w:id="15"/>
      </w:r>
    </w:p>
    <w:p w:rsidR="002C2558" w:rsidRDefault="002C2558" w:rsidP="002C2558">
      <w:pPr>
        <w:pStyle w:val="SingleTxtG"/>
      </w:pPr>
      <w:r>
        <w:t>15.</w:t>
      </w:r>
      <w:r>
        <w:tab/>
      </w:r>
      <w:r w:rsidRPr="00960E51">
        <w:t xml:space="preserve">Despite an early ratification of the CEDAW Convention, its provisions are not fully incorporated into the national legal system. They are not directly applicable and do not have full legal effect at the federal, provincial or territorial level. Canada’s federal structure and division of competencies concerning the protection of women’s rights among the federal, </w:t>
      </w:r>
      <w:r w:rsidRPr="00270491">
        <w:t>provincial and</w:t>
      </w:r>
      <w:r>
        <w:t xml:space="preserve"> territorial</w:t>
      </w:r>
      <w:r w:rsidRPr="00270491">
        <w:t xml:space="preserve"> </w:t>
      </w:r>
      <w:r w:rsidRPr="00960E51">
        <w:t>governments’, combined with the absence of a strict obligations to apply the CEDAW provisions at all levels, results in different level of CEDAW Convention’s incorporation in laws on violence against women and girls, which presents particular challenges in</w:t>
      </w:r>
      <w:r>
        <w:t xml:space="preserve"> assessing implementation gaps.</w:t>
      </w:r>
    </w:p>
    <w:p w:rsidR="002C2558" w:rsidRPr="00960E51" w:rsidRDefault="002C2558" w:rsidP="002C2558">
      <w:pPr>
        <w:pStyle w:val="HChG"/>
      </w:pPr>
      <w:r>
        <w:tab/>
        <w:t>IV.</w:t>
      </w:r>
      <w:r>
        <w:tab/>
        <w:t>State responses and measures to address violence against women</w:t>
      </w:r>
    </w:p>
    <w:p w:rsidR="002C2558" w:rsidRDefault="002C2558" w:rsidP="002C2558">
      <w:pPr>
        <w:pStyle w:val="H1G"/>
      </w:pPr>
      <w:r>
        <w:tab/>
        <w:t>A.</w:t>
      </w:r>
      <w:r>
        <w:tab/>
      </w:r>
      <w:r w:rsidRPr="005B700E">
        <w:t>Constitutional and legislative and policy framework</w:t>
      </w:r>
    </w:p>
    <w:p w:rsidR="002C2558" w:rsidRPr="00960E51" w:rsidRDefault="002C2558" w:rsidP="002C2558">
      <w:pPr>
        <w:pStyle w:val="SingleTxtG"/>
      </w:pPr>
      <w:r>
        <w:t>16.</w:t>
      </w:r>
      <w:r>
        <w:tab/>
      </w:r>
      <w:r w:rsidRPr="00960E51">
        <w:t>Canada is a federal system with a division of responsibilities between the federal, provincial and territorial (FPT) governments, including in the area of violence against women. While the federal government has jurisdiction over criminal law, the administration of justice is a provincial and territorial responsibility. However, federalism should not constitute a barrier to human rights implementation. In this regard, the Rapporteur recalls that, in compliance to CEDAW general recommendation No. 28 (2010), States parties have core obligations under article 2 of the Convention to fulfil its obligations to all women within its jurisdiction. Through its 2016 concluding observations, the CEDAW Committee also reiterated that “the federal Government is responsible for ensuring the implementation of the Convention and providing leadership to the provincia</w:t>
      </w:r>
      <w:r>
        <w:t>l and territorial governments”.</w:t>
      </w:r>
    </w:p>
    <w:p w:rsidR="002C2558" w:rsidRPr="00960E51" w:rsidRDefault="002C2558" w:rsidP="002C2558">
      <w:pPr>
        <w:pStyle w:val="SingleTxtG"/>
      </w:pPr>
      <w:r>
        <w:t>17.</w:t>
      </w:r>
      <w:r>
        <w:tab/>
      </w:r>
      <w:r w:rsidRPr="00270491">
        <w:t>Within the Canadian Constitution Act, (1982), Sections 15 and 28 of the Canadian Charter of Rights and Freedoms are repository of equality and non-discrimination provisions. The right to life, liberty and security of the person is guaranteed under section 7 of the Charter, as well as and the right not to be subjected to any cruel and unusual treatment or punishment are established under section 712 of the Act</w:t>
      </w:r>
      <w:r>
        <w:t xml:space="preserve"> </w:t>
      </w:r>
      <w:r w:rsidRPr="00270491">
        <w:t xml:space="preserve">Charter. Section 25 and 35 of the Constitution Act, 1982 recognizes and affirms the existing </w:t>
      </w:r>
      <w:r>
        <w:t>Indigenous</w:t>
      </w:r>
      <w:r w:rsidRPr="00270491">
        <w:t xml:space="preserve"> and aboriginal and treaty or other rights or freedoms aboriginal and treaty rights of the aboriginal peoples of Canada, while the Section 35 further clarifies that the aboriginal and treaty rights are guaranteed equally to male and female persons</w:t>
      </w:r>
      <w:r>
        <w:t>.”</w:t>
      </w:r>
    </w:p>
    <w:p w:rsidR="002C2558" w:rsidRPr="00960E51" w:rsidRDefault="002C2558" w:rsidP="002C2558">
      <w:pPr>
        <w:pStyle w:val="SingleTxtG"/>
      </w:pPr>
      <w:r>
        <w:t>18.</w:t>
      </w:r>
      <w:r>
        <w:tab/>
      </w:r>
      <w:r w:rsidRPr="00960E51">
        <w:t>Despite these constitutional guarantees and the accepted international treaties like the CEDAW and ICCPR, the Indian Act (R.S.C., 1985, c. I-5) still discriminates against First Nations women and their descendants with respect to entitlement to, and transmission of Indian status which represents a continuous violation of international and national gender equality provisions.</w:t>
      </w:r>
    </w:p>
    <w:p w:rsidR="002C2558" w:rsidRPr="00960E51" w:rsidRDefault="002C2558" w:rsidP="002C2558">
      <w:pPr>
        <w:pStyle w:val="SingleTxtG"/>
      </w:pPr>
      <w:r>
        <w:t>19.</w:t>
      </w:r>
      <w:r>
        <w:tab/>
      </w:r>
      <w:r w:rsidRPr="00960E51">
        <w:t>The </w:t>
      </w:r>
      <w:hyperlink r:id="rId8" w:history="1">
        <w:r w:rsidRPr="00960E51">
          <w:rPr>
            <w:rStyle w:val="Hyperlink"/>
            <w:rFonts w:eastAsia="Arial Unicode MS"/>
          </w:rPr>
          <w:t>Canadian Charter of Rights and Freedoms</w:t>
        </w:r>
      </w:hyperlink>
      <w:r w:rsidRPr="00960E51">
        <w:t> of 1982 is part of Canada’s Constitution. The Charter protects everyone’s right to be treated equally under the law. The Charter guarantees broad equality rights and other fundamental rights, such as the freedom of expression, freedom of assembly and freedom of religion.</w:t>
      </w:r>
    </w:p>
    <w:p w:rsidR="002C2558" w:rsidRPr="00960E51" w:rsidRDefault="002C2558" w:rsidP="002C2558">
      <w:pPr>
        <w:pStyle w:val="SingleTxtG"/>
      </w:pPr>
      <w:r>
        <w:t>20.</w:t>
      </w:r>
      <w:r>
        <w:tab/>
      </w:r>
      <w:r w:rsidRPr="00960E51">
        <w:t xml:space="preserve">The </w:t>
      </w:r>
      <w:r w:rsidRPr="00960E51">
        <w:rPr>
          <w:rFonts w:eastAsia="Arial Unicode MS"/>
        </w:rPr>
        <w:t>Canadian Human Rights Act</w:t>
      </w:r>
      <w:r w:rsidRPr="00960E51">
        <w:t xml:space="preserve"> (1977) provides protection against </w:t>
      </w:r>
      <w:hyperlink r:id="rId9" w:history="1">
        <w:r w:rsidRPr="00960E51">
          <w:rPr>
            <w:rStyle w:val="Hyperlink"/>
          </w:rPr>
          <w:t>harassment</w:t>
        </w:r>
      </w:hyperlink>
      <w:r w:rsidRPr="00960E51">
        <w:t> or discrimination when based on one or more </w:t>
      </w:r>
      <w:hyperlink r:id="rId10" w:history="1">
        <w:r w:rsidRPr="00960E51">
          <w:rPr>
            <w:rStyle w:val="Hyperlink"/>
          </w:rPr>
          <w:t xml:space="preserve">grounds </w:t>
        </w:r>
      </w:hyperlink>
      <w:r w:rsidRPr="00960E51">
        <w:t> such as race, age and sexual orientation.</w:t>
      </w:r>
      <w:r w:rsidRPr="00FA7632">
        <w:rPr>
          <w:sz w:val="18"/>
          <w:szCs w:val="18"/>
          <w:vertAlign w:val="superscript"/>
        </w:rPr>
        <w:footnoteReference w:id="16"/>
      </w:r>
      <w:r w:rsidRPr="00960E51">
        <w:t xml:space="preserve"> In 1996, it was amended to specifically include sexual orientation as one of the prohibited </w:t>
      </w:r>
      <w:hyperlink r:id="rId11" w:history="1">
        <w:r w:rsidRPr="00960E51">
          <w:rPr>
            <w:rStyle w:val="Hyperlink"/>
          </w:rPr>
          <w:t>grounds of discrimination</w:t>
        </w:r>
      </w:hyperlink>
      <w:r w:rsidRPr="00960E51">
        <w:t xml:space="preserve">. In 2000, the Parliament passed </w:t>
      </w:r>
      <w:r w:rsidRPr="00960E51">
        <w:rPr>
          <w:rFonts w:eastAsia="Arial Unicode MS"/>
        </w:rPr>
        <w:t>Bill C-23</w:t>
      </w:r>
      <w:r w:rsidRPr="00960E51">
        <w:t>, which gives same-sex couple the same social and tax benefits as heterosexuals in common-law relationships.</w:t>
      </w:r>
      <w:r w:rsidRPr="00960E51">
        <w:rPr>
          <w:rFonts w:eastAsia="Arial Unicode MS"/>
        </w:rPr>
        <w:t xml:space="preserve"> </w:t>
      </w:r>
      <w:r w:rsidRPr="00960E51">
        <w:t xml:space="preserve">Bill C-38, the </w:t>
      </w:r>
      <w:hyperlink r:id="rId12" w:history="1">
        <w:r w:rsidRPr="00960E51">
          <w:rPr>
            <w:rStyle w:val="Hyperlink"/>
            <w:rFonts w:eastAsia="Arial Unicode MS"/>
          </w:rPr>
          <w:t>Civil Marriage Act</w:t>
        </w:r>
      </w:hyperlink>
      <w:r w:rsidRPr="00960E51">
        <w:rPr>
          <w:rFonts w:eastAsia="Arial Unicode MS"/>
        </w:rPr>
        <w:t xml:space="preserve">, </w:t>
      </w:r>
      <w:r>
        <w:t>in 2005, provided</w:t>
      </w:r>
      <w:r w:rsidRPr="00960E51">
        <w:t xml:space="preserve"> for same-sex couples to be married anywhere in Canada. Most provinces and territories have included sexual orientation as a prohibited ground of discrimination.</w:t>
      </w:r>
      <w:r w:rsidRPr="00FA7632">
        <w:rPr>
          <w:sz w:val="18"/>
          <w:szCs w:val="18"/>
          <w:vertAlign w:val="superscript"/>
        </w:rPr>
        <w:footnoteReference w:id="17"/>
      </w:r>
      <w:r>
        <w:t xml:space="preserve"> In 2017, the </w:t>
      </w:r>
      <w:proofErr w:type="gramStart"/>
      <w:r>
        <w:t>Government  amended</w:t>
      </w:r>
      <w:proofErr w:type="gramEnd"/>
      <w:r>
        <w:t xml:space="preserve"> the Canadian Human Rights Act and Criminal Code, making gender identity and expression a prohibited ground for discrimination.</w:t>
      </w:r>
    </w:p>
    <w:p w:rsidR="002C2558" w:rsidRPr="00960E51" w:rsidRDefault="002C2558" w:rsidP="002C2558">
      <w:pPr>
        <w:pStyle w:val="SingleTxtG"/>
      </w:pPr>
      <w:r>
        <w:t>21.</w:t>
      </w:r>
      <w:r>
        <w:tab/>
      </w:r>
      <w:r w:rsidRPr="00960E51">
        <w:t>Today, at the federal level, the Canadian criminal legislation is providing uniform norms on sexual assault that encompass rape and sexual violence. The Rapporteur notes the recent adoption (2018) of Bill C-51, intended to clarify and strengthen Canada’s sexual assault laws, including important cl</w:t>
      </w:r>
      <w:r>
        <w:t>arification on lack of consent.</w:t>
      </w:r>
    </w:p>
    <w:p w:rsidR="002C2558" w:rsidRPr="00960E51" w:rsidRDefault="002C2558" w:rsidP="002C2558">
      <w:pPr>
        <w:pStyle w:val="SingleTxtG"/>
      </w:pPr>
      <w:r>
        <w:t>22.</w:t>
      </w:r>
      <w:r>
        <w:tab/>
      </w:r>
      <w:r w:rsidRPr="00960E51">
        <w:t xml:space="preserve">In 2018, the government also </w:t>
      </w:r>
      <w:r>
        <w:t xml:space="preserve">introduced </w:t>
      </w:r>
      <w:r w:rsidRPr="00960E51">
        <w:t xml:space="preserve">Bill C-75, which, among other provisions: modernize interim release provisions and require that particular attention be given to the circumstances of accused </w:t>
      </w:r>
      <w:r>
        <w:t>Indigenous</w:t>
      </w:r>
      <w:r w:rsidRPr="00960E51">
        <w:t xml:space="preserve"> and vulnerable populations, providing more onerous requirements for offences involving violence against an intimate partner; and increase the maximum term of imprisonment for repeat offences involving intimate partner violence, also considering it as an </w:t>
      </w:r>
      <w:r>
        <w:t>“</w:t>
      </w:r>
      <w:r w:rsidRPr="00960E51">
        <w:t>aggravating factor”.</w:t>
      </w:r>
    </w:p>
    <w:p w:rsidR="002C2558" w:rsidRPr="00960E51" w:rsidRDefault="002C2558" w:rsidP="002C2558">
      <w:pPr>
        <w:pStyle w:val="SingleTxtG"/>
      </w:pPr>
      <w:r>
        <w:t>23.</w:t>
      </w:r>
      <w:r>
        <w:tab/>
      </w:r>
      <w:r w:rsidRPr="00960E51">
        <w:t xml:space="preserve">The </w:t>
      </w:r>
      <w:r w:rsidRPr="00960E51">
        <w:rPr>
          <w:rFonts w:eastAsia="Arial Unicode MS"/>
        </w:rPr>
        <w:t>Criminal Code</w:t>
      </w:r>
      <w:r w:rsidRPr="00960E51">
        <w:t xml:space="preserve"> also contains a number of provisions dedicated to protect victims of violence, including of domestic violence by transmitting to criminal courts a wide range of powers to release or detain an accused person, including release conditions such as "no contact" until the trial or appeal (</w:t>
      </w:r>
      <w:hyperlink r:id="rId13" w:anchor="docCont" w:history="1">
        <w:r w:rsidRPr="00960E51">
          <w:rPr>
            <w:rStyle w:val="Hyperlink"/>
          </w:rPr>
          <w:t>Section 515</w:t>
        </w:r>
      </w:hyperlink>
      <w:r w:rsidRPr="00960E51">
        <w:t xml:space="preserve">). Special consideration is given to the harm that comes from family violence. Because of the nature of the harm, sentencing provisions of the </w:t>
      </w:r>
      <w:r w:rsidRPr="00960E51">
        <w:rPr>
          <w:rFonts w:eastAsia="Arial Unicode MS"/>
        </w:rPr>
        <w:t>Criminal Code</w:t>
      </w:r>
      <w:r w:rsidRPr="00960E51">
        <w:t xml:space="preserve"> (</w:t>
      </w:r>
      <w:hyperlink r:id="rId14" w:anchor="docCont" w:history="1">
        <w:r w:rsidRPr="00960E51">
          <w:rPr>
            <w:rStyle w:val="Hyperlink"/>
          </w:rPr>
          <w:t>Section 718.2</w:t>
        </w:r>
      </w:hyperlink>
      <w:r w:rsidRPr="00960E51">
        <w:t>) make it an "aggravating factor" when the offence involves abuse of a spouse or common law partner, abuse of a person under the age of 18 or abuse of a position of trust or authority.</w:t>
      </w:r>
    </w:p>
    <w:p w:rsidR="002C2558" w:rsidRPr="00960E51" w:rsidRDefault="002C2558" w:rsidP="002C2558">
      <w:pPr>
        <w:pStyle w:val="SingleTxtG"/>
      </w:pPr>
      <w:r>
        <w:t>24.</w:t>
      </w:r>
      <w:r>
        <w:tab/>
      </w:r>
      <w:r w:rsidRPr="00960E51">
        <w:t xml:space="preserve">The Rapporteur welcomes the </w:t>
      </w:r>
      <w:r w:rsidRPr="00960E51">
        <w:rPr>
          <w:rFonts w:eastAsia="Arial Unicode MS"/>
        </w:rPr>
        <w:t>Protecting Canadians from Online Crime Act</w:t>
      </w:r>
      <w:r w:rsidRPr="00960E51">
        <w:t xml:space="preserve">, of 2015, which created a new offence under s.162.1 of the </w:t>
      </w:r>
      <w:r w:rsidRPr="00960E51">
        <w:rPr>
          <w:rFonts w:eastAsia="Arial Unicode MS"/>
        </w:rPr>
        <w:t>Criminal Code</w:t>
      </w:r>
      <w:r w:rsidRPr="00960E51">
        <w:t xml:space="preserve"> prohibiting the non-consensual distribution of intimate images. The province of Manitoba</w:t>
      </w:r>
      <w:r>
        <w:t>,</w:t>
      </w:r>
      <w:r w:rsidRPr="00960E51">
        <w:t xml:space="preserve"> Alberta</w:t>
      </w:r>
      <w:r>
        <w:t>, Newfoundland and Labrador</w:t>
      </w:r>
      <w:r w:rsidRPr="00960E51">
        <w:t xml:space="preserve"> introduced, respectively, </w:t>
      </w:r>
      <w:r w:rsidRPr="00960E51">
        <w:rPr>
          <w:rFonts w:eastAsia="Arial Unicode MS"/>
        </w:rPr>
        <w:t>The Intimate Image Protection Act</w:t>
      </w:r>
      <w:r w:rsidRPr="00960E51">
        <w:t>, S.M. 2015, c. 42</w:t>
      </w:r>
      <w:r>
        <w:t xml:space="preserve">; </w:t>
      </w:r>
      <w:r w:rsidRPr="00960E51">
        <w:t xml:space="preserve">the </w:t>
      </w:r>
      <w:r w:rsidRPr="00960E51">
        <w:rPr>
          <w:rFonts w:eastAsia="Arial Unicode MS"/>
        </w:rPr>
        <w:t>Protecting Victims of Non-Consensual Distribution of Images Act</w:t>
      </w:r>
      <w:r w:rsidRPr="00960E51">
        <w:t>, S.A. 2017, c. P-26.9</w:t>
      </w:r>
      <w:r>
        <w:t xml:space="preserve"> which came into force in 2017, and the Intimate Images Protection Act, 2018.</w:t>
      </w:r>
    </w:p>
    <w:p w:rsidR="002C2558" w:rsidRPr="00960E51" w:rsidRDefault="002C2558" w:rsidP="002C2558">
      <w:pPr>
        <w:pStyle w:val="SingleTxtG"/>
      </w:pPr>
      <w:r>
        <w:t>25.</w:t>
      </w:r>
      <w:r>
        <w:tab/>
      </w:r>
      <w:r w:rsidRPr="00960E51">
        <w:t>Although criminalization of violence against women in family, sexual assault and immigration law is an important legal action towards tackling this epi</w:t>
      </w:r>
      <w:r>
        <w:t>demic</w:t>
      </w:r>
      <w:r w:rsidRPr="00960E51">
        <w:t>, reports by service providers for women victims of violence highlight a certain victimization of women requesting state protection against violence, which is reflected in an increase in the laying of charges against themselves when denouncing alleged perpetrators whom they know. Service providers have also observed in cases where the requirements of child custody arrangements based on the so-called best interests of the child test, force women to have continued contact with abusers, ignoring violence committed by the former spouses</w:t>
      </w:r>
      <w:r w:rsidRPr="00FA7632">
        <w:rPr>
          <w:sz w:val="18"/>
          <w:szCs w:val="18"/>
          <w:vertAlign w:val="superscript"/>
        </w:rPr>
        <w:footnoteReference w:id="18"/>
      </w:r>
      <w:r w:rsidRPr="00960E51">
        <w:t>.</w:t>
      </w:r>
    </w:p>
    <w:p w:rsidR="002C2558" w:rsidRPr="00960E51" w:rsidRDefault="002C2558" w:rsidP="002C2558">
      <w:pPr>
        <w:pStyle w:val="SingleTxtG"/>
      </w:pPr>
      <w:r>
        <w:t>26.</w:t>
      </w:r>
      <w:r>
        <w:tab/>
      </w:r>
      <w:r w:rsidRPr="00960E51">
        <w:t>To date, six provinces (Alberta, Manitoba, Nova Scotia, Prince Edward Island, Newfoundland and Labrador and Saskatchewan) and three territories (Northwest Territories, Yukon and Nunavut) have adopted specific legislation on family violence. These civil statutes are designed to complement the </w:t>
      </w:r>
      <w:r w:rsidRPr="00960E51">
        <w:rPr>
          <w:rFonts w:eastAsia="Arial Unicode MS"/>
        </w:rPr>
        <w:t>Criminal Code</w:t>
      </w:r>
      <w:r w:rsidRPr="00960E51">
        <w:t>, and offer further protection to victims of family violence, including by providing emergency intervention and protection orders. Other jurisdictions provide for family violence protection orders under their family law legislation, such as the </w:t>
      </w:r>
      <w:hyperlink r:id="rId15" w:history="1">
        <w:r w:rsidRPr="00960E51">
          <w:rPr>
            <w:rStyle w:val="Hyperlink"/>
            <w:rFonts w:eastAsia="Arial Unicode MS"/>
          </w:rPr>
          <w:t>Family Law Act</w:t>
        </w:r>
      </w:hyperlink>
      <w:r w:rsidRPr="00960E51">
        <w:t xml:space="preserve"> SBC 2011, c 25, in British Columbia. Some provinces and territories also provide “non-criminal emergency protection orders” or, if not available, </w:t>
      </w:r>
      <w:r w:rsidRPr="00270491">
        <w:t xml:space="preserve">Canada’s Criminal Code authorizes </w:t>
      </w:r>
      <w:r w:rsidRPr="00960E51">
        <w:t>“peace bonds”</w:t>
      </w:r>
      <w:r w:rsidRPr="00270491">
        <w:t xml:space="preserve"> that are available in all Canadian jurisdictions</w:t>
      </w:r>
      <w:r>
        <w:t>.</w:t>
      </w:r>
      <w:r w:rsidRPr="00FA7632">
        <w:rPr>
          <w:sz w:val="18"/>
          <w:szCs w:val="18"/>
          <w:vertAlign w:val="superscript"/>
        </w:rPr>
        <w:footnoteReference w:id="19"/>
      </w:r>
      <w:r>
        <w:t xml:space="preserve"> </w:t>
      </w:r>
      <w:r w:rsidRPr="00960E51">
        <w:t>In addition, all parts of Canada have police and </w:t>
      </w:r>
      <w:hyperlink r:id="rId16" w:anchor="b8" w:history="1">
        <w:r w:rsidRPr="00960E51">
          <w:rPr>
            <w:rStyle w:val="Hyperlink"/>
          </w:rPr>
          <w:t>Crown prosecutor</w:t>
        </w:r>
      </w:hyperlink>
      <w:r w:rsidRPr="00960E51">
        <w:t> and </w:t>
      </w:r>
      <w:hyperlink r:id="rId17" w:anchor="b24" w:history="1">
        <w:r w:rsidRPr="00960E51">
          <w:rPr>
            <w:rStyle w:val="Hyperlink"/>
          </w:rPr>
          <w:t>spousal abuse policies</w:t>
        </w:r>
      </w:hyperlink>
      <w:r w:rsidRPr="00960E51">
        <w:t> to ensure that spousal violence is treated as seriously as stranger violence, including regarding the enforceability of protection orders.</w:t>
      </w:r>
      <w:r w:rsidRPr="00FA7632">
        <w:rPr>
          <w:sz w:val="18"/>
          <w:szCs w:val="18"/>
          <w:vertAlign w:val="superscript"/>
        </w:rPr>
        <w:footnoteReference w:id="20"/>
      </w:r>
    </w:p>
    <w:p w:rsidR="002C2558" w:rsidRPr="00960E51" w:rsidRDefault="002C2558" w:rsidP="002C2558">
      <w:pPr>
        <w:pStyle w:val="SingleTxtG"/>
      </w:pPr>
      <w:r>
        <w:t>27.</w:t>
      </w:r>
      <w:r>
        <w:tab/>
      </w:r>
      <w:r w:rsidRPr="00960E51">
        <w:t>One of the main issue of concern is also the lack of a national definition of family and domestic violence and the lack of national legal framework on violence against women and domestic violence based on women’s international human rights standards, as enshrined in the CEDAW and elaborated in detail in its General Recommendations No. 19 and No. 35 on gende</w:t>
      </w:r>
      <w:r>
        <w:t>r-based violence against women.</w:t>
      </w:r>
    </w:p>
    <w:p w:rsidR="002C2558" w:rsidRPr="00960E51" w:rsidRDefault="002C2558" w:rsidP="002C2558">
      <w:pPr>
        <w:pStyle w:val="SingleTxtG"/>
      </w:pPr>
      <w:r>
        <w:t>28.</w:t>
      </w:r>
      <w:r>
        <w:tab/>
      </w:r>
      <w:r w:rsidRPr="00FA6F07">
        <w:t>The provincial and territorial</w:t>
      </w:r>
      <w:r>
        <w:t xml:space="preserve"> </w:t>
      </w:r>
      <w:r w:rsidRPr="00FA6F07">
        <w:t xml:space="preserve">governments have primary jurisdiction in the administration and delivery of health care services. The Canada Health Act, Canada’s federal health care insurance legislation, requires </w:t>
      </w:r>
      <w:r>
        <w:t xml:space="preserve">them </w:t>
      </w:r>
      <w:r w:rsidRPr="00FA6F07">
        <w:t>to provide coverage for medically necessary hospital, physician, and surgical-dental services to their eligible residents</w:t>
      </w:r>
      <w:r>
        <w:t>.</w:t>
      </w:r>
      <w:r w:rsidRPr="00960E51" w:rsidDel="00BC6469">
        <w:t xml:space="preserve"> </w:t>
      </w:r>
      <w:r w:rsidRPr="00960E51">
        <w:t>Concerning the protection of sexual and reproductive health and rights, the Rapporteur notes that, in compliance with the 1988 Supreme Court of Canada decision R. v. Morgentaler, there is no criminalization of abortion in Canada. Yet, access to it is uneven across the country.</w:t>
      </w:r>
    </w:p>
    <w:p w:rsidR="002C2558" w:rsidRPr="00960E51" w:rsidRDefault="002C2558" w:rsidP="002C2558">
      <w:pPr>
        <w:pStyle w:val="SingleTxtG"/>
      </w:pPr>
      <w:r>
        <w:t>29.</w:t>
      </w:r>
      <w:r>
        <w:tab/>
      </w:r>
      <w:r w:rsidRPr="00960E51">
        <w:t>Canada has 1</w:t>
      </w:r>
      <w:r>
        <w:t>4</w:t>
      </w:r>
      <w:r w:rsidRPr="00960E51">
        <w:t xml:space="preserve"> different jurisdictions for employment legislation</w:t>
      </w:r>
      <w:r>
        <w:rPr>
          <w:rStyle w:val="Hyperlink3"/>
          <w:lang w:val="en-US"/>
        </w:rPr>
        <w:t xml:space="preserve">, each with its own approach, and some with very little or no language on harassment and violence. </w:t>
      </w:r>
      <w:r w:rsidRPr="00960E51">
        <w:t>Depending on the jurisdiction, regulation on workplace violence may not include all forms of violence, such as psychological harassment and bullying or domestic violence when it impacts the workplace. Much health and safety legislation is framed around the reporting of incidents of violence, which makes it challenging to capture more diffuse forms of harassment like hostile workplaces, or the intersections of different forms of harassment for women with multiple and intersecting identities. Of particular concern is that such legislation does not always apply to all workers, including precarious and part-time workers, workers in the informal sector, migrant workers (including migrant domestic worker) – categories where women are over-represented.</w:t>
      </w:r>
    </w:p>
    <w:p w:rsidR="002C2558" w:rsidRPr="00960E51" w:rsidRDefault="002C2558" w:rsidP="002C2558">
      <w:pPr>
        <w:pStyle w:val="SingleTxtG"/>
      </w:pPr>
      <w:r>
        <w:t>30.</w:t>
      </w:r>
      <w:r>
        <w:tab/>
      </w:r>
      <w:r w:rsidRPr="00960E51">
        <w:t xml:space="preserve">In this regard, the Rapporteur notes the </w:t>
      </w:r>
      <w:r>
        <w:t>introduction</w:t>
      </w:r>
      <w:r w:rsidRPr="00960E51">
        <w:t xml:space="preserve">, in 2017, of Bill 65, which </w:t>
      </w:r>
      <w:r>
        <w:t xml:space="preserve">amends the </w:t>
      </w:r>
      <w:r w:rsidRPr="005D773C">
        <w:rPr>
          <w:i/>
        </w:rPr>
        <w:t>Canada Labour Code</w:t>
      </w:r>
      <w:r>
        <w:t xml:space="preserve"> to </w:t>
      </w:r>
      <w:r w:rsidRPr="00FB62B1">
        <w:t>create a framework enhanc</w:t>
      </w:r>
      <w:r>
        <w:t>ing</w:t>
      </w:r>
      <w:r w:rsidRPr="00FB62B1">
        <w:t xml:space="preserve"> prevention</w:t>
      </w:r>
      <w:r>
        <w:t>, protection</w:t>
      </w:r>
      <w:r w:rsidRPr="00FB62B1">
        <w:t xml:space="preserve"> and response to harassment and violence in federally regulated workplaces,</w:t>
      </w:r>
      <w:r w:rsidRPr="00960E51">
        <w:t xml:space="preserve"> and also extends the provisions to include </w:t>
      </w:r>
      <w:r>
        <w:t xml:space="preserve">parliamentary workers. In addition, recent changes were made to the </w:t>
      </w:r>
      <w:r w:rsidRPr="00E0355D">
        <w:rPr>
          <w:i/>
        </w:rPr>
        <w:t>Canada Labour Code</w:t>
      </w:r>
      <w:r>
        <w:t xml:space="preserve"> by introducing a new 10-day leave for victims of family violence (of which five days are paid).</w:t>
      </w:r>
    </w:p>
    <w:p w:rsidR="002C2558" w:rsidRPr="00960E51" w:rsidRDefault="002C2558" w:rsidP="002C2558">
      <w:pPr>
        <w:pStyle w:val="SingleTxtG"/>
      </w:pPr>
      <w:r>
        <w:t>31.</w:t>
      </w:r>
      <w:r>
        <w:tab/>
      </w:r>
      <w:r w:rsidRPr="00960E51">
        <w:t xml:space="preserve">In June 2017, the federal government </w:t>
      </w:r>
      <w:r w:rsidRPr="00981619">
        <w:t xml:space="preserve">through the Minister for Women and Gender Equality (formerly Status of Women) launched </w:t>
      </w:r>
      <w:r>
        <w:t>“</w:t>
      </w:r>
      <w:r w:rsidRPr="00981619">
        <w:t>It’s Time: Canada’s Strategy to Prevent and Address Gender-Based Violence</w:t>
      </w:r>
      <w:r>
        <w:t xml:space="preserve">”. </w:t>
      </w:r>
      <w:r w:rsidRPr="00960E51">
        <w:t xml:space="preserve">The Rapporteur also welcomes the Minister </w:t>
      </w:r>
      <w:r w:rsidRPr="00981619">
        <w:t>for Women and Gender Equality’s of Status of Women</w:t>
      </w:r>
      <w:r>
        <w:t xml:space="preserve"> </w:t>
      </w:r>
      <w:r w:rsidRPr="00960E51">
        <w:t xml:space="preserve">Report on the </w:t>
      </w:r>
      <w:r>
        <w:t xml:space="preserve">2016 </w:t>
      </w:r>
      <w:r w:rsidRPr="00960E51">
        <w:t>Engagement Process for the</w:t>
      </w:r>
      <w:r>
        <w:t xml:space="preserve"> </w:t>
      </w:r>
      <w:r w:rsidRPr="00960E51">
        <w:t>Strategy</w:t>
      </w:r>
      <w:r>
        <w:t xml:space="preserve"> </w:t>
      </w:r>
      <w:r w:rsidRPr="00960E51">
        <w:t xml:space="preserve">which include data collection </w:t>
      </w:r>
      <w:r>
        <w:t>among the key priority actions.</w:t>
      </w:r>
    </w:p>
    <w:p w:rsidR="002C2558" w:rsidRPr="00960E51" w:rsidRDefault="002C2558" w:rsidP="002C2558">
      <w:pPr>
        <w:pStyle w:val="SingleTxtG"/>
      </w:pPr>
      <w:r>
        <w:t>32.</w:t>
      </w:r>
      <w:r>
        <w:tab/>
      </w:r>
      <w:r w:rsidRPr="00960E51">
        <w:t>However, the Strategy</w:t>
      </w:r>
      <w:r>
        <w:t xml:space="preserve"> </w:t>
      </w:r>
      <w:r>
        <w:rPr>
          <w:rStyle w:val="None"/>
        </w:rPr>
        <w:t xml:space="preserve">based on </w:t>
      </w:r>
      <w:r w:rsidRPr="00960E51">
        <w:t>three pillars (prevention; support for survivors and their families; and promotion of responsive legal and justice systems), appears to be mainly</w:t>
      </w:r>
      <w:r>
        <w:t xml:space="preserve"> </w:t>
      </w:r>
      <w:r w:rsidRPr="00960E51">
        <w:t>project oriented, focusing on specific areas and lacking a human rights based holistic legal framework and comparable data collection for all forms of gender-based violence agai</w:t>
      </w:r>
      <w:r>
        <w:t>nst women in all jurisdictions.</w:t>
      </w:r>
    </w:p>
    <w:p w:rsidR="002C2558" w:rsidRDefault="002C2558" w:rsidP="002C2558">
      <w:pPr>
        <w:pStyle w:val="SingleTxtG"/>
      </w:pPr>
      <w:r>
        <w:t>33.</w:t>
      </w:r>
      <w:r>
        <w:tab/>
      </w:r>
      <w:r w:rsidRPr="00960E51">
        <w:t xml:space="preserve">The </w:t>
      </w:r>
      <w:r w:rsidR="003E7ECD">
        <w:t>rapporteur</w:t>
      </w:r>
      <w:r w:rsidRPr="00960E51">
        <w:t xml:space="preserve"> also highlights that there is a need for a more comprehensive and holistic National Action Plan on violence against women.</w:t>
      </w:r>
    </w:p>
    <w:p w:rsidR="002C2558" w:rsidRPr="00B8797E" w:rsidRDefault="002C2558" w:rsidP="002C2558">
      <w:pPr>
        <w:pStyle w:val="H1G"/>
      </w:pPr>
      <w:r>
        <w:rPr>
          <w:rStyle w:val="None"/>
          <w:bCs/>
          <w:sz w:val="20"/>
        </w:rPr>
        <w:tab/>
      </w:r>
      <w:r w:rsidRPr="00B8797E">
        <w:t>B.</w:t>
      </w:r>
      <w:r w:rsidRPr="00B8797E">
        <w:tab/>
        <w:t>National machinery and independent institutions</w:t>
      </w:r>
    </w:p>
    <w:p w:rsidR="002C2558" w:rsidRPr="00960E51" w:rsidRDefault="002C2558" w:rsidP="002C2558">
      <w:pPr>
        <w:pStyle w:val="SingleTxtG"/>
      </w:pPr>
      <w:r>
        <w:t>34.</w:t>
      </w:r>
      <w:r>
        <w:tab/>
      </w:r>
      <w:r w:rsidRPr="00960E51">
        <w:t xml:space="preserve">Since the Royal Commission on the Status of Women tabled its landmark report in 1970, Canada has developed a multi- level national machinery for the advancement of women at the federal level, with a federal Minister on the Status of Women since 1971. </w:t>
      </w:r>
      <w:r>
        <w:t>In 2015, the first full Minister for Status of Women was appointed. The Minister acts within Cabinet to ensure women’s contributions and concerns are part of government decision-making. In 2018, the Office of the Coordinator for the Status of Women was formally replaced by the Department for Women and Gender Equality. Departmental legislation introduces an expanded mandate to advance equality, including social, economic, and political equality, with respect to sex, sexual orientation, and gender identity or expression. The Department is also responsible for promoting a greater understanding of the intersection of sex and gender with other identity factors that include race, national and ethnic origin, Indigenous origin or identity, age, sexual orientation, socio-economic condition, place of residence and disability.</w:t>
      </w:r>
      <w:r w:rsidRPr="00F5050D">
        <w:t xml:space="preserve"> </w:t>
      </w:r>
      <w:r>
        <w:t>Provincial and territorial governments also have Ministers responsible for the status of women and commensurate offices within the public service, and some have independent advisory councils. In addition, there is a FPT Forum of Ministers Responsible for the Status of Women that meets annually.</w:t>
      </w:r>
    </w:p>
    <w:p w:rsidR="002C2558" w:rsidRPr="00960E51" w:rsidRDefault="002C2558" w:rsidP="002C2558">
      <w:pPr>
        <w:pStyle w:val="SingleTxtG"/>
      </w:pPr>
      <w:r>
        <w:t>35.</w:t>
      </w:r>
      <w:r>
        <w:tab/>
      </w:r>
      <w:r w:rsidRPr="00960E51">
        <w:t>The Special Rapporteur welcomes the upgrading of the Federal Agency on the Status of Women into a full-size department. She considers this an important step for better coordination of laws and policies with accepted international standards across the country.</w:t>
      </w:r>
    </w:p>
    <w:p w:rsidR="002C2558" w:rsidRPr="00960E51" w:rsidRDefault="002C2558" w:rsidP="002C2558">
      <w:pPr>
        <w:pStyle w:val="SingleTxtG"/>
      </w:pPr>
      <w:r>
        <w:t>36.</w:t>
      </w:r>
      <w:r>
        <w:tab/>
      </w:r>
      <w:r w:rsidRPr="00B64779">
        <w:t>The Canadian Human Rights Commission</w:t>
      </w:r>
      <w:r w:rsidRPr="00960E51">
        <w:t xml:space="preserve"> (CHRC), as an independent and human rights institution established in 1977 with the authority to raise awareness on any matter related to </w:t>
      </w:r>
      <w:r w:rsidRPr="00CA01CD">
        <w:t>human rights and administer the law protecting people from discrimination based on different grounds. It is empowered under the Canadian Human Rights Act to investigate and settle complaints of discrimination in employment and in the provis</w:t>
      </w:r>
      <w:r w:rsidRPr="00250C59">
        <w:t>ion of services within federal jurisdiction.</w:t>
      </w:r>
      <w:r w:rsidRPr="00FA7632">
        <w:rPr>
          <w:sz w:val="18"/>
          <w:szCs w:val="18"/>
          <w:vertAlign w:val="superscript"/>
        </w:rPr>
        <w:footnoteReference w:id="21"/>
      </w:r>
    </w:p>
    <w:p w:rsidR="002C2558" w:rsidRDefault="002C2558" w:rsidP="002C2558">
      <w:pPr>
        <w:pStyle w:val="SingleTxtG"/>
        <w:rPr>
          <w:rStyle w:val="Hyperlink3"/>
        </w:rPr>
      </w:pPr>
      <w:r>
        <w:t>37.</w:t>
      </w:r>
      <w:r>
        <w:tab/>
      </w:r>
      <w:r w:rsidRPr="00960E51">
        <w:t>Additionally to the legislative reforms needed to harmonize and coordinate the implementation of international human rights standards at all levels, the Rapporteur was also informed that there are already national mechanisms that could be used in that respect. For example, for the first time in nearly thirty years FPT ministers responsible for human rights met to discuss key priorities in relation to Canada's international human rights obligations. These meetings could be used for the systematic monitoring and implementation of the CEDAW standards on the elimination of violence against women.</w:t>
      </w:r>
    </w:p>
    <w:p w:rsidR="002C2558" w:rsidRPr="00B8797E" w:rsidRDefault="002C2558" w:rsidP="002C2558">
      <w:pPr>
        <w:pStyle w:val="HChG"/>
      </w:pPr>
      <w:r>
        <w:rPr>
          <w:rStyle w:val="Hyperlink3"/>
        </w:rPr>
        <w:tab/>
      </w:r>
      <w:r w:rsidRPr="00B8797E">
        <w:t>V.</w:t>
      </w:r>
      <w:r w:rsidRPr="00B8797E">
        <w:tab/>
        <w:t>Manifestations of violence against women, its causes and consequences</w:t>
      </w:r>
    </w:p>
    <w:p w:rsidR="002C2558" w:rsidRPr="00F95D80" w:rsidRDefault="002C2558" w:rsidP="002C2558">
      <w:pPr>
        <w:pStyle w:val="SingleTxtG"/>
        <w:rPr>
          <w:rStyle w:val="None"/>
        </w:rPr>
      </w:pPr>
      <w:r>
        <w:t>38.</w:t>
      </w:r>
      <w:r>
        <w:tab/>
      </w:r>
      <w:r w:rsidRPr="00F95D80">
        <w:t>Data relating to gender-based violence against women in the country is collected but fragmentary and generally incomparable across the different</w:t>
      </w:r>
      <w:r>
        <w:t xml:space="preserve"> </w:t>
      </w:r>
      <w:r w:rsidRPr="00F95D80">
        <w:t xml:space="preserve">provinces and territories, owing to differences in what is captured, counted and reported. In the absence of an exhaustive national observatory on violence against women, data is collected without a comprehensive information gathering and </w:t>
      </w:r>
      <w:r>
        <w:t>analysis at the national level.</w:t>
      </w:r>
    </w:p>
    <w:p w:rsidR="002C2558" w:rsidRPr="00F95D80" w:rsidRDefault="002C2558" w:rsidP="002C2558">
      <w:pPr>
        <w:pStyle w:val="H1G"/>
      </w:pPr>
      <w:r>
        <w:rPr>
          <w:lang w:val="en-US"/>
        </w:rPr>
        <w:tab/>
        <w:t>A.</w:t>
      </w:r>
      <w:r>
        <w:rPr>
          <w:lang w:val="en-US"/>
        </w:rPr>
        <w:tab/>
      </w:r>
      <w:proofErr w:type="spellStart"/>
      <w:r>
        <w:t>Femicide</w:t>
      </w:r>
      <w:proofErr w:type="spellEnd"/>
      <w:r>
        <w:t xml:space="preserve"> and gender-based violence against women</w:t>
      </w:r>
    </w:p>
    <w:p w:rsidR="002C2558" w:rsidRPr="00F95D80" w:rsidRDefault="002C2558" w:rsidP="002C2558">
      <w:pPr>
        <w:pStyle w:val="SingleTxtG"/>
      </w:pPr>
      <w:r>
        <w:t>39.</w:t>
      </w:r>
      <w:r>
        <w:tab/>
      </w:r>
      <w:r w:rsidRPr="00F95D80">
        <w:t xml:space="preserve">The </w:t>
      </w:r>
      <w:r w:rsidR="003E7ECD">
        <w:t>Special Rapporteur</w:t>
      </w:r>
      <w:r w:rsidRPr="00F95D80">
        <w:t xml:space="preserve"> received some official general data on violence against women by Statistic Canada’s Homicide Survey. However, this data lacks of adequate gender lens.</w:t>
      </w:r>
      <w:r w:rsidRPr="00FA7632">
        <w:rPr>
          <w:sz w:val="18"/>
          <w:szCs w:val="18"/>
          <w:vertAlign w:val="superscript"/>
        </w:rPr>
        <w:footnoteReference w:id="22"/>
      </w:r>
      <w:r w:rsidRPr="00FA7632">
        <w:rPr>
          <w:sz w:val="18"/>
          <w:szCs w:val="18"/>
          <w:vertAlign w:val="superscript"/>
        </w:rPr>
        <w:t xml:space="preserve"> </w:t>
      </w:r>
      <w:r w:rsidRPr="00F95D80">
        <w:t xml:space="preserve">While the killing of all women and girls is included as a core focus of data collection for Statistic Canada’s Homicide Survey, data are limited (e.g. minimal information on context of crime, history of relationship, prior history of violence, etc.), with little focus on justice and accountability following the </w:t>
      </w:r>
      <w:proofErr w:type="spellStart"/>
      <w:r w:rsidRPr="00F95D80">
        <w:t>femicide</w:t>
      </w:r>
      <w:proofErr w:type="spellEnd"/>
      <w:r w:rsidRPr="00F95D80">
        <w:t xml:space="preserve"> beyond initial charge laid by police. Furthermore, it does not address post-</w:t>
      </w:r>
      <w:proofErr w:type="spellStart"/>
      <w:r w:rsidRPr="00F95D80">
        <w:t>femicide</w:t>
      </w:r>
      <w:proofErr w:type="spellEnd"/>
      <w:r w:rsidRPr="00F95D80">
        <w:t xml:space="preserve"> information prevention possibilities including the monitoring of criminal justice and social responses and stereotypes. Both pre- and post-prevention initiati</w:t>
      </w:r>
      <w:r>
        <w:t>ves are crucial and reciprocal.</w:t>
      </w:r>
    </w:p>
    <w:p w:rsidR="002C2558" w:rsidRPr="00F95D80" w:rsidRDefault="002C2558" w:rsidP="002C2558">
      <w:pPr>
        <w:pStyle w:val="SingleTxtG"/>
      </w:pPr>
      <w:r>
        <w:t>40.</w:t>
      </w:r>
      <w:r>
        <w:tab/>
      </w:r>
      <w:r w:rsidRPr="00F95D80">
        <w:t>Comparable data at the national level on specific forms of violence and gender related killings of women’s or </w:t>
      </w:r>
      <w:proofErr w:type="spellStart"/>
      <w:r w:rsidRPr="00F95D80">
        <w:t>femicide</w:t>
      </w:r>
      <w:proofErr w:type="spellEnd"/>
      <w:r w:rsidRPr="00F95D80">
        <w:t xml:space="preserve"> are necessary for evidence-based policy making. </w:t>
      </w:r>
      <w:r>
        <w:t>T</w:t>
      </w:r>
      <w:r w:rsidRPr="00F95D80">
        <w:t xml:space="preserve">he Rapporteur welcomes that there are initial steps and good practices in some provinces for the establishment of observatories on </w:t>
      </w:r>
      <w:proofErr w:type="spellStart"/>
      <w:r w:rsidRPr="00F95D80">
        <w:t>femicides</w:t>
      </w:r>
      <w:proofErr w:type="spellEnd"/>
      <w:r w:rsidRPr="00F95D80">
        <w:t>, in line with her initiative for the establishment of “</w:t>
      </w:r>
      <w:proofErr w:type="spellStart"/>
      <w:r w:rsidRPr="00F95D80">
        <w:t>Femicide</w:t>
      </w:r>
      <w:proofErr w:type="spellEnd"/>
      <w:r w:rsidRPr="00F95D80">
        <w:t xml:space="preserve"> watch” worldwide.</w:t>
      </w:r>
      <w:r w:rsidRPr="00FA7632">
        <w:rPr>
          <w:sz w:val="18"/>
          <w:szCs w:val="18"/>
          <w:vertAlign w:val="superscript"/>
        </w:rPr>
        <w:footnoteReference w:id="23"/>
      </w:r>
      <w:r>
        <w:t xml:space="preserve"> </w:t>
      </w:r>
      <w:r w:rsidR="00A95B7F">
        <w:t>She</w:t>
      </w:r>
      <w:r w:rsidR="003E7ECD">
        <w:t xml:space="preserve"> </w:t>
      </w:r>
      <w:r w:rsidRPr="00F95D80">
        <w:t>welcomes as a good practice the establishment, in 2017,</w:t>
      </w:r>
      <w:r>
        <w:t xml:space="preserve"> </w:t>
      </w:r>
      <w:r w:rsidRPr="00F95D80">
        <w:t>by the Centre for the Study of Social and Legal Responses to Violence at the University of Guelph</w:t>
      </w:r>
      <w:r>
        <w:t>,</w:t>
      </w:r>
      <w:r w:rsidRPr="00F95D80">
        <w:t xml:space="preserve"> of the Canadian </w:t>
      </w:r>
      <w:proofErr w:type="spellStart"/>
      <w:r w:rsidRPr="00F95D80">
        <w:t>Femicide</w:t>
      </w:r>
      <w:proofErr w:type="spellEnd"/>
      <w:r w:rsidRPr="00F95D80">
        <w:t xml:space="preserve"> Observatory for Justice and Accountability (CFOJA) in Ontario that tracks </w:t>
      </w:r>
      <w:proofErr w:type="spellStart"/>
      <w:r w:rsidRPr="00F95D80">
        <w:t>femicides</w:t>
      </w:r>
      <w:proofErr w:type="spellEnd"/>
      <w:r w:rsidRPr="00F95D80">
        <w:t xml:space="preserve"> and documents social and state responses somewhat in line </w:t>
      </w:r>
      <w:r>
        <w:t>with the SRVAW recommendations.</w:t>
      </w:r>
      <w:r w:rsidRPr="00FA7632">
        <w:rPr>
          <w:sz w:val="18"/>
          <w:szCs w:val="18"/>
          <w:vertAlign w:val="superscript"/>
        </w:rPr>
        <w:footnoteReference w:id="24"/>
      </w:r>
    </w:p>
    <w:p w:rsidR="002C2558" w:rsidRPr="00F95D80" w:rsidRDefault="002C2558" w:rsidP="002C2558">
      <w:pPr>
        <w:pStyle w:val="SingleTxtG"/>
      </w:pPr>
      <w:r>
        <w:t>41.</w:t>
      </w:r>
      <w:r>
        <w:tab/>
      </w:r>
      <w:r w:rsidRPr="00296DF0">
        <w:t>Domestic violence death review committees</w:t>
      </w:r>
      <w:r w:rsidRPr="00F95D80">
        <w:t xml:space="preserve"> are also important mechanisms but they do not apply the human rights framework in their work necessary for prevention of </w:t>
      </w:r>
      <w:proofErr w:type="spellStart"/>
      <w:r w:rsidRPr="00F95D80">
        <w:t>femicides</w:t>
      </w:r>
      <w:proofErr w:type="spellEnd"/>
      <w:r w:rsidRPr="00F95D80">
        <w:t>.</w:t>
      </w:r>
    </w:p>
    <w:p w:rsidR="002C2558" w:rsidRDefault="002C2558" w:rsidP="002C2558">
      <w:pPr>
        <w:pStyle w:val="SingleTxtG"/>
      </w:pPr>
      <w:r>
        <w:t>42.</w:t>
      </w:r>
      <w:r>
        <w:tab/>
      </w:r>
      <w:r w:rsidRPr="00F95D80">
        <w:t xml:space="preserve">Comprehensive data collection and analysis of cases on </w:t>
      </w:r>
      <w:proofErr w:type="spellStart"/>
      <w:r w:rsidRPr="00F95D80">
        <w:t>femicide</w:t>
      </w:r>
      <w:proofErr w:type="spellEnd"/>
      <w:r w:rsidRPr="00F95D80">
        <w:t xml:space="preserve"> and gender-based violence in line with modalities recommended by the Rapporteur will allow for international and cross-jurisdictional comparisons and</w:t>
      </w:r>
      <w:r>
        <w:t xml:space="preserve"> determination of shortcomings </w:t>
      </w:r>
      <w:r w:rsidRPr="00F95D80">
        <w:t xml:space="preserve">as a basis for prevention </w:t>
      </w:r>
      <w:r>
        <w:t>violence against women.</w:t>
      </w:r>
    </w:p>
    <w:p w:rsidR="002C2558" w:rsidRDefault="002C2558" w:rsidP="002C2558">
      <w:pPr>
        <w:pStyle w:val="H23G"/>
      </w:pPr>
      <w:r>
        <w:tab/>
      </w:r>
      <w:r w:rsidRPr="00D736DA">
        <w:t>1.</w:t>
      </w:r>
      <w:r w:rsidRPr="00D736DA">
        <w:tab/>
        <w:t>Provision of shelters and adequate housing</w:t>
      </w:r>
    </w:p>
    <w:p w:rsidR="002C2558" w:rsidRPr="00F95D80" w:rsidRDefault="002C2558" w:rsidP="002C2558">
      <w:pPr>
        <w:pStyle w:val="SingleTxtG"/>
      </w:pPr>
      <w:r>
        <w:t>43.</w:t>
      </w:r>
      <w:r>
        <w:tab/>
      </w:r>
      <w:r w:rsidRPr="00F95D80">
        <w:t>There is a significant number of women’s shelters</w:t>
      </w:r>
      <w:r>
        <w:t xml:space="preserve"> in Canada. According to 2017/2018 data there are</w:t>
      </w:r>
      <w:r w:rsidRPr="00F95D80">
        <w:t xml:space="preserve"> </w:t>
      </w:r>
      <w:r>
        <w:t xml:space="preserve">552 residential facilities for victims of abuse </w:t>
      </w:r>
      <w:r w:rsidRPr="00F95D80">
        <w:t>across the country</w:t>
      </w:r>
      <w:r>
        <w:t>.</w:t>
      </w:r>
      <w:r w:rsidRPr="00FA7632">
        <w:rPr>
          <w:sz w:val="18"/>
          <w:szCs w:val="18"/>
          <w:vertAlign w:val="superscript"/>
        </w:rPr>
        <w:footnoteReference w:id="25"/>
      </w:r>
      <w:r w:rsidRPr="00F95D80">
        <w:t xml:space="preserve"> Most have a long history, like the Ontario Association of Interval and Transition Houses created in 1977, the </w:t>
      </w:r>
      <w:proofErr w:type="spellStart"/>
      <w:r w:rsidRPr="00F95D80">
        <w:t>Regroupement</w:t>
      </w:r>
      <w:proofErr w:type="spellEnd"/>
      <w:r w:rsidRPr="00F95D80">
        <w:t xml:space="preserve"> des </w:t>
      </w:r>
      <w:proofErr w:type="spellStart"/>
      <w:r w:rsidRPr="00F95D80">
        <w:t>maisons</w:t>
      </w:r>
      <w:proofErr w:type="spellEnd"/>
      <w:r w:rsidRPr="00F95D80">
        <w:t xml:space="preserve"> pour femmes </w:t>
      </w:r>
      <w:proofErr w:type="spellStart"/>
      <w:r w:rsidRPr="00F95D80">
        <w:t>victimes</w:t>
      </w:r>
      <w:proofErr w:type="spellEnd"/>
      <w:r w:rsidRPr="00F95D80">
        <w:t xml:space="preserve"> de violence </w:t>
      </w:r>
      <w:proofErr w:type="spellStart"/>
      <w:r w:rsidRPr="00F95D80">
        <w:t>conjugale</w:t>
      </w:r>
      <w:proofErr w:type="spellEnd"/>
      <w:r w:rsidRPr="00F95D80">
        <w:t xml:space="preserve"> in Quebec and the Alberta Council of Women's Shelters, to name a few. In 2012, these associations created the Canadian Network of Women’s Shelters and Transition Houses, a provincial/territorial organization also known as Women’s Shelters Canada.</w:t>
      </w:r>
      <w:r w:rsidRPr="00FA7632">
        <w:rPr>
          <w:sz w:val="18"/>
          <w:szCs w:val="18"/>
          <w:vertAlign w:val="superscript"/>
        </w:rPr>
        <w:footnoteReference w:id="26"/>
      </w:r>
      <w:r w:rsidRPr="00FA7632">
        <w:rPr>
          <w:sz w:val="18"/>
          <w:szCs w:val="18"/>
          <w:vertAlign w:val="superscript"/>
        </w:rPr>
        <w:t xml:space="preserve"> </w:t>
      </w:r>
    </w:p>
    <w:p w:rsidR="002C2558" w:rsidRPr="006931FF" w:rsidRDefault="002C2558" w:rsidP="002C2558">
      <w:pPr>
        <w:pStyle w:val="SingleTxtG"/>
      </w:pPr>
      <w:r>
        <w:t>44.</w:t>
      </w:r>
      <w:r>
        <w:tab/>
      </w:r>
      <w:r w:rsidRPr="00F95D80">
        <w:t xml:space="preserve">The operations of shelters are mostly linked to provincial policies and governments. Although the current number of shelters may seem impressive, Canada is a vast country and a significant percentage of shelters often lacks capacity and services, resulting in hundreds of women being turned away on a daily basis with no other place to go, also due to the housing crisis affecting the country. Due to the lack of adequate services able to welcome women victims of violence with their children, women, especially </w:t>
      </w:r>
      <w:r>
        <w:t>Indigenous</w:t>
      </w:r>
      <w:r w:rsidRPr="00F95D80">
        <w:t>, are also concerned to lose children’s custody when seeking for protection. Of the 215 shelters that responded to the 2018 Shelter Voices survey</w:t>
      </w:r>
      <w:r>
        <w:t>,</w:t>
      </w:r>
      <w:r w:rsidRPr="00FA7632">
        <w:rPr>
          <w:sz w:val="18"/>
          <w:szCs w:val="18"/>
          <w:vertAlign w:val="superscript"/>
        </w:rPr>
        <w:footnoteReference w:id="27"/>
      </w:r>
      <w:r>
        <w:t xml:space="preserve"> </w:t>
      </w:r>
      <w:r w:rsidRPr="00F95D80">
        <w:t xml:space="preserve">47% declared to have no available space which resulted in 75% of the requests for residential services not being accommodated. The services providers unanimously denounced the dire shortage of shelters and a general lack </w:t>
      </w:r>
      <w:r w:rsidRPr="00B64779">
        <w:t xml:space="preserve">of funding and affordable public housing, including transitional housing and second stage accommodation and rehabilitation services, including employment opportunities. The extent of </w:t>
      </w:r>
      <w:r w:rsidRPr="006931FF">
        <w:t>services available in urban areas is much greater than in rural areas, despite the fact that there the rates of violence against women are among the highest in the country, and too often the services provided are limited to safe space without specific programs aiming at the empowerment of women. Public funds are often distributed on a per capita basis, which greatly disadvantages rural and isolated communities. There are only three women’s shelters in the Yukon, and five residential facilities for victims of abuse respectively</w:t>
      </w:r>
      <w:r w:rsidRPr="006931FF">
        <w:rPr>
          <w:b/>
        </w:rPr>
        <w:t xml:space="preserve"> </w:t>
      </w:r>
      <w:r w:rsidRPr="006931FF">
        <w:t xml:space="preserve">in the Northwest Territories and five in Nunavut, further exacerbating the geographical isolation of women from Indigenous communities. Many of these shelters are small and only accessible by air or ice roads and the lack and cost of transportation increased cost of services. </w:t>
      </w:r>
    </w:p>
    <w:p w:rsidR="002C2558" w:rsidRPr="00F95D80" w:rsidRDefault="002C2558" w:rsidP="002C2558">
      <w:pPr>
        <w:pStyle w:val="SingleTxtG"/>
        <w:rPr>
          <w:rStyle w:val="None"/>
        </w:rPr>
      </w:pPr>
      <w:r w:rsidRPr="006931FF">
        <w:t>45.</w:t>
      </w:r>
      <w:r w:rsidRPr="006931FF">
        <w:tab/>
        <w:t>Of the 552 shelters for victims of abuse operating across Canada in 2017/2018, just six percent served women and</w:t>
      </w:r>
      <w:r>
        <w:t xml:space="preserve"> children in Indigenous communities.</w:t>
      </w:r>
      <w:r w:rsidRPr="00F95D80" w:rsidDel="001A794A">
        <w:t xml:space="preserve"> </w:t>
      </w:r>
      <w:r w:rsidRPr="00F95D80">
        <w:t xml:space="preserve">The high rates of violence and small size of communities make community-based shelters extremely important for women. However, there is a lack of adequate shelters provided to </w:t>
      </w:r>
      <w:r>
        <w:t>Indigenous</w:t>
      </w:r>
      <w:r w:rsidRPr="00F95D80">
        <w:t xml:space="preserve"> communities respecting cultural and language diversities and led by </w:t>
      </w:r>
      <w:r>
        <w:t>Indigenous</w:t>
      </w:r>
      <w:r w:rsidRPr="00F95D80">
        <w:t xml:space="preserve"> women.</w:t>
      </w:r>
    </w:p>
    <w:p w:rsidR="002C2558" w:rsidRPr="00F95D80" w:rsidRDefault="002C2558" w:rsidP="002C2558">
      <w:pPr>
        <w:pStyle w:val="H23G"/>
      </w:pPr>
      <w:r w:rsidRPr="00F95D80">
        <w:rPr>
          <w:rStyle w:val="None"/>
        </w:rPr>
        <w:tab/>
      </w:r>
      <w:r w:rsidRPr="00D736DA">
        <w:rPr>
          <w:rStyle w:val="None"/>
        </w:rPr>
        <w:t>2.</w:t>
      </w:r>
      <w:r w:rsidRPr="00D736DA">
        <w:rPr>
          <w:rStyle w:val="None"/>
        </w:rPr>
        <w:tab/>
        <w:t>Legal Aid</w:t>
      </w:r>
    </w:p>
    <w:p w:rsidR="002C2558" w:rsidRPr="00F95D80" w:rsidRDefault="002C2558" w:rsidP="002C2558">
      <w:pPr>
        <w:pStyle w:val="SingleTxtG"/>
      </w:pPr>
      <w:r>
        <w:t>46.</w:t>
      </w:r>
      <w:r>
        <w:tab/>
      </w:r>
      <w:r w:rsidRPr="00F95D80">
        <w:t>Another matter of concern is the inadequacy of free legal aid services including for women survivors of violence, and federal-provincial cost-shared pilot projects providing independent legal advice for survivors are available only in some provinces.</w:t>
      </w:r>
      <w:r>
        <w:t xml:space="preserve"> </w:t>
      </w:r>
      <w:r w:rsidRPr="00F95D80">
        <w:t>The Government provides a direct transfer to the provinces and territories for criminal and civil legal aid which are included in the basket of programs to be paid from the Canada Social Transfer (CST). Since requirements for provinces and territories to spend CST money on civil legal aid were removed in 1995, expend</w:t>
      </w:r>
      <w:r>
        <w:t>itures have fallen drastically.</w:t>
      </w:r>
    </w:p>
    <w:p w:rsidR="002C2558" w:rsidRPr="00F95D80" w:rsidRDefault="002C2558" w:rsidP="002C2558">
      <w:pPr>
        <w:pStyle w:val="SingleTxtG"/>
      </w:pPr>
      <w:r>
        <w:t xml:space="preserve">47. </w:t>
      </w:r>
      <w:r w:rsidRPr="00F95D80">
        <w:t xml:space="preserve">There is a marked gender difference in legal aid usage: men are the primary users of criminal legal aid, while women are the primary users of civil legal aid, especially for family law matters. The Canadian Bar Association asserts that the lack of access to civil legal aid disproportionately affects women and </w:t>
      </w:r>
      <w:r>
        <w:t>Indigenous</w:t>
      </w:r>
      <w:r w:rsidRPr="00F95D80">
        <w:t xml:space="preserve"> people, as well as other disadvantaged groups.</w:t>
      </w:r>
    </w:p>
    <w:p w:rsidR="002C2558" w:rsidRPr="00F95D80" w:rsidRDefault="002C2558" w:rsidP="002C2558">
      <w:pPr>
        <w:pStyle w:val="SingleTxtG"/>
      </w:pPr>
      <w:r>
        <w:t>48.</w:t>
      </w:r>
      <w:r>
        <w:tab/>
      </w:r>
      <w:r w:rsidRPr="00F95D80">
        <w:t>Additionally, in 2008 and 2016, the CEDAW Committee recommended that there be standardized minimum criteria for eligibility for legal aid. Notwithstanding, there continues to be uneven access to legal aid services across provinces and territories and narrow eligibility requirements, which severely curtail women’s access to justice.</w:t>
      </w:r>
      <w:r w:rsidRPr="00FA7632">
        <w:rPr>
          <w:sz w:val="18"/>
          <w:szCs w:val="18"/>
          <w:vertAlign w:val="superscript"/>
        </w:rPr>
        <w:footnoteReference w:id="28"/>
      </w:r>
    </w:p>
    <w:p w:rsidR="002C2558" w:rsidRPr="00F95D80" w:rsidRDefault="002C2558" w:rsidP="002C2558">
      <w:pPr>
        <w:pStyle w:val="H1G"/>
        <w:rPr>
          <w:rStyle w:val="None"/>
        </w:rPr>
      </w:pPr>
      <w:r>
        <w:rPr>
          <w:rStyle w:val="None"/>
        </w:rPr>
        <w:tab/>
      </w:r>
      <w:r w:rsidRPr="00F95D80">
        <w:rPr>
          <w:rStyle w:val="None"/>
        </w:rPr>
        <w:t>B.</w:t>
      </w:r>
      <w:r>
        <w:rPr>
          <w:rStyle w:val="None"/>
        </w:rPr>
        <w:tab/>
      </w:r>
      <w:r w:rsidRPr="00F95D80">
        <w:rPr>
          <w:rStyle w:val="None"/>
        </w:rPr>
        <w:t>Domestic violence</w:t>
      </w:r>
    </w:p>
    <w:p w:rsidR="002C2558" w:rsidRPr="00F95D80" w:rsidRDefault="002C2558" w:rsidP="002C2558">
      <w:pPr>
        <w:pStyle w:val="SingleTxtG"/>
        <w:rPr>
          <w:u w:val="single" w:color="353535"/>
        </w:rPr>
      </w:pPr>
      <w:r>
        <w:rPr>
          <w:rStyle w:val="None"/>
          <w:lang w:val="en-US"/>
        </w:rPr>
        <w:t>49.</w:t>
      </w:r>
      <w:r>
        <w:rPr>
          <w:rStyle w:val="None"/>
          <w:lang w:val="en-US"/>
        </w:rPr>
        <w:tab/>
        <w:t xml:space="preserve">Intimate partner violence is one of the most common forms of violence against </w:t>
      </w:r>
      <w:r w:rsidRPr="00B64779">
        <w:rPr>
          <w:rStyle w:val="None"/>
          <w:lang w:val="en-US"/>
        </w:rPr>
        <w:t xml:space="preserve">women in Canada. According to 2017 data, </w:t>
      </w:r>
      <w:r w:rsidRPr="00B64779">
        <w:rPr>
          <w:rStyle w:val="None"/>
          <w:u w:color="353535"/>
          <w:lang w:val="en-US"/>
        </w:rPr>
        <w:t>women are victims of intimate partner homicide at a rate five times greater than men</w:t>
      </w:r>
      <w:r w:rsidRPr="00B64779">
        <w:rPr>
          <w:rStyle w:val="None"/>
          <w:lang w:val="en-US"/>
        </w:rPr>
        <w:t xml:space="preserve">. A woman is killed by her partner or former partner every 2.5 days. </w:t>
      </w:r>
      <w:r w:rsidRPr="00B64779">
        <w:rPr>
          <w:rStyle w:val="Hyperlink3"/>
          <w:lang w:val="en-US"/>
        </w:rPr>
        <w:t xml:space="preserve">Of all police-reported violent crime in 2016, more than 26% resulted from family violence. Almost 67% of family violence victims were women and girls. 79% of police reported intimate partner violence </w:t>
      </w:r>
      <w:r>
        <w:rPr>
          <w:rStyle w:val="Hyperlink3"/>
          <w:lang w:val="en-US"/>
        </w:rPr>
        <w:t>was committed</w:t>
      </w:r>
      <w:r w:rsidRPr="00B64779">
        <w:rPr>
          <w:rStyle w:val="Hyperlink3"/>
          <w:lang w:val="en-US"/>
        </w:rPr>
        <w:t xml:space="preserve"> against women during same year</w:t>
      </w:r>
      <w:r w:rsidRPr="00887EF3">
        <w:rPr>
          <w:rStyle w:val="None"/>
        </w:rPr>
        <w:t>.</w:t>
      </w:r>
      <w:r w:rsidRPr="00FA7632">
        <w:rPr>
          <w:rStyle w:val="None"/>
          <w:sz w:val="18"/>
          <w:szCs w:val="18"/>
          <w:vertAlign w:val="superscript"/>
        </w:rPr>
        <w:footnoteReference w:id="29"/>
      </w:r>
    </w:p>
    <w:p w:rsidR="002C2558" w:rsidRPr="00F95D80" w:rsidRDefault="002C2558" w:rsidP="002C2558">
      <w:pPr>
        <w:pStyle w:val="H1G"/>
      </w:pPr>
      <w:r>
        <w:tab/>
        <w:t>C.</w:t>
      </w:r>
      <w:r>
        <w:tab/>
        <w:t>Sexual assault of women and girls</w:t>
      </w:r>
    </w:p>
    <w:p w:rsidR="002C2558" w:rsidRDefault="002C2558" w:rsidP="002C2558">
      <w:pPr>
        <w:pStyle w:val="SingleTxtG"/>
        <w:rPr>
          <w:rStyle w:val="Hyperlink3"/>
        </w:rPr>
      </w:pPr>
      <w:r w:rsidRPr="00F95D80">
        <w:rPr>
          <w:rStyle w:val="Hyperlink3"/>
        </w:rPr>
        <w:t>50.</w:t>
      </w:r>
      <w:r w:rsidRPr="00F95D80">
        <w:rPr>
          <w:rStyle w:val="Hyperlink3"/>
        </w:rPr>
        <w:tab/>
        <w:t>Despite an increased societal awareness about sexual assault, it continues to be a persistent issue. Unlike the rate of other violent crimes, which have been decreasing, the rate of sexual assault remains unchanged since 2004. According to the 2014 General Social Survey, there were approximately 636,000 self-reported incidents of sexual assault over a twelve-month period.</w:t>
      </w:r>
      <w:r w:rsidRPr="00FA7632">
        <w:rPr>
          <w:rStyle w:val="None"/>
          <w:sz w:val="18"/>
          <w:szCs w:val="18"/>
          <w:vertAlign w:val="superscript"/>
        </w:rPr>
        <w:footnoteReference w:id="30"/>
      </w:r>
      <w:r w:rsidRPr="00FA7632">
        <w:rPr>
          <w:rStyle w:val="Hyperlink3"/>
          <w:sz w:val="18"/>
          <w:szCs w:val="18"/>
          <w:vertAlign w:val="superscript"/>
        </w:rPr>
        <w:t xml:space="preserve"> </w:t>
      </w:r>
      <w:r w:rsidRPr="00F95D80">
        <w:rPr>
          <w:rStyle w:val="Hyperlink3"/>
        </w:rPr>
        <w:t xml:space="preserve">Because of the pervasiveness of sexual violence in women’s lives, women are now more likely than men to be victims of violent crime. Some groups of women, including </w:t>
      </w:r>
      <w:r>
        <w:rPr>
          <w:rStyle w:val="Hyperlink3"/>
        </w:rPr>
        <w:t>Indigenous</w:t>
      </w:r>
      <w:r w:rsidRPr="00F95D80">
        <w:rPr>
          <w:rStyle w:val="Hyperlink3"/>
        </w:rPr>
        <w:t xml:space="preserve"> women, young women, LGBTQ2</w:t>
      </w:r>
      <w:r>
        <w:rPr>
          <w:rStyle w:val="FootnoteReference"/>
        </w:rPr>
        <w:footnoteReference w:id="31"/>
      </w:r>
      <w:r w:rsidRPr="00F95D80">
        <w:rPr>
          <w:rStyle w:val="None"/>
        </w:rPr>
        <w:t xml:space="preserve"> women </w:t>
      </w:r>
      <w:r w:rsidRPr="00F95D80">
        <w:rPr>
          <w:rStyle w:val="Hyperlink3"/>
        </w:rPr>
        <w:t xml:space="preserve">and women with mental health </w:t>
      </w:r>
      <w:r>
        <w:rPr>
          <w:rStyle w:val="Hyperlink3"/>
        </w:rPr>
        <w:t>conditions</w:t>
      </w:r>
      <w:r w:rsidRPr="00F95D80">
        <w:rPr>
          <w:rStyle w:val="Hyperlink3"/>
        </w:rPr>
        <w:t xml:space="preserve"> are especially vulnerable to sexual violence. As highlighted by the 2014 General Social Survey, more than one in five </w:t>
      </w:r>
      <w:r>
        <w:rPr>
          <w:rStyle w:val="Hyperlink3"/>
        </w:rPr>
        <w:t>Indigenous</w:t>
      </w:r>
      <w:r w:rsidRPr="00F95D80">
        <w:rPr>
          <w:rStyle w:val="Hyperlink3"/>
        </w:rPr>
        <w:t xml:space="preserve"> women between the ages of 15 and 24 </w:t>
      </w:r>
      <w:r>
        <w:t xml:space="preserve">reported having been sexually assaulted that year and </w:t>
      </w:r>
      <w:r w:rsidRPr="00F95D80">
        <w:rPr>
          <w:rStyle w:val="Hyperlink3"/>
        </w:rPr>
        <w:t xml:space="preserve">the sexual assault justice gap, which seems to be rooted in gendered colonization, is glaringly wide for </w:t>
      </w:r>
      <w:r>
        <w:rPr>
          <w:rStyle w:val="Hyperlink3"/>
        </w:rPr>
        <w:t>Indigenous</w:t>
      </w:r>
      <w:r w:rsidRPr="00F95D80">
        <w:rPr>
          <w:rStyle w:val="Hyperlink3"/>
        </w:rPr>
        <w:t xml:space="preserve"> women.</w:t>
      </w:r>
      <w:r w:rsidRPr="00FA7632">
        <w:rPr>
          <w:rStyle w:val="None"/>
          <w:sz w:val="18"/>
          <w:szCs w:val="18"/>
          <w:vertAlign w:val="superscript"/>
        </w:rPr>
        <w:footnoteReference w:id="32"/>
      </w:r>
      <w:r w:rsidRPr="00FA7632">
        <w:rPr>
          <w:rStyle w:val="Hyperlink3"/>
          <w:sz w:val="18"/>
          <w:szCs w:val="18"/>
          <w:vertAlign w:val="superscript"/>
        </w:rPr>
        <w:t xml:space="preserve"> </w:t>
      </w:r>
    </w:p>
    <w:p w:rsidR="002C2558" w:rsidRPr="004428BD" w:rsidRDefault="002C2558" w:rsidP="002C2558">
      <w:pPr>
        <w:pStyle w:val="SingleTxtG"/>
      </w:pPr>
      <w:r w:rsidRPr="00F95D80">
        <w:t>51.</w:t>
      </w:r>
      <w:r w:rsidRPr="00F95D80">
        <w:tab/>
      </w:r>
      <w:r w:rsidRPr="00F95D80">
        <w:rPr>
          <w:rStyle w:val="Hyperlink3"/>
        </w:rPr>
        <w:t xml:space="preserve">A further element of concern is the urgent need of capacity building to address violence against women and sexual violence by law enforcement officials. The Royal Canadian Mounted Police Force (RCMP), has faced continuous public scrutiny stemming from numerous reports highlighting a culture of bullying, harassment, and dysfunction. In </w:t>
      </w:r>
      <w:r w:rsidRPr="00B64779">
        <w:rPr>
          <w:rStyle w:val="Hyperlink3"/>
        </w:rPr>
        <w:t xml:space="preserve">2016, the RCMP delivered a historic apology to female officers and civilian members with a massive settlement over harassment, discrimination and sexual abuse claims that was capped at $100 million. In 2015, former Supreme Court Justice Marie </w:t>
      </w:r>
      <w:proofErr w:type="spellStart"/>
      <w:r w:rsidRPr="00B64779">
        <w:rPr>
          <w:rStyle w:val="Hyperlink3"/>
        </w:rPr>
        <w:t>Deschamps</w:t>
      </w:r>
      <w:proofErr w:type="spellEnd"/>
      <w:r w:rsidRPr="00B64779">
        <w:rPr>
          <w:rStyle w:val="Hyperlink3"/>
        </w:rPr>
        <w:t xml:space="preserve"> produced a major report, the External Review on Sexual Misconduct and Harassment in the Canadian Armed Forces (CAF), which denounced an underlying sexualized culture hostile to women and LGTBQ2 members, and conducive to serious incidents of sexual harassment and assault, as well as a clear indication of lack of reporting. Following the </w:t>
      </w:r>
      <w:proofErr w:type="spellStart"/>
      <w:r w:rsidRPr="00B64779">
        <w:rPr>
          <w:rStyle w:val="Hyperlink3"/>
        </w:rPr>
        <w:t>Deschamps</w:t>
      </w:r>
      <w:proofErr w:type="spellEnd"/>
      <w:r w:rsidRPr="00B64779">
        <w:rPr>
          <w:rStyle w:val="Hyperlink3"/>
        </w:rPr>
        <w:t xml:space="preserve"> report</w:t>
      </w:r>
      <w:r>
        <w:rPr>
          <w:rStyle w:val="Hyperlink3"/>
        </w:rPr>
        <w:t>,</w:t>
      </w:r>
      <w:r w:rsidRPr="00B64779">
        <w:rPr>
          <w:rStyle w:val="Hyperlink3"/>
        </w:rPr>
        <w:t xml:space="preserve"> the</w:t>
      </w:r>
      <w:r>
        <w:rPr>
          <w:rStyle w:val="Hyperlink3"/>
        </w:rPr>
        <w:t xml:space="preserve"> </w:t>
      </w:r>
      <w:r w:rsidRPr="00B64779">
        <w:rPr>
          <w:rStyle w:val="Hyperlink3"/>
        </w:rPr>
        <w:t>CAF established Operation HONOUR</w:t>
      </w:r>
      <w:r w:rsidR="001B2C7C">
        <w:rPr>
          <w:rStyle w:val="Hyperlink3"/>
        </w:rPr>
        <w:t xml:space="preserve"> </w:t>
      </w:r>
      <w:r w:rsidRPr="00B64779">
        <w:rPr>
          <w:rStyle w:val="Hyperlink3"/>
        </w:rPr>
        <w:t xml:space="preserve">in order to address harmful, inappropriate sexual behaviour and </w:t>
      </w:r>
      <w:r w:rsidRPr="004428BD">
        <w:rPr>
          <w:rStyle w:val="Hyperlink3"/>
        </w:rPr>
        <w:t xml:space="preserve">sexual misconduct in the Canadian military. </w:t>
      </w:r>
      <w:r w:rsidRPr="004428BD">
        <w:t>Both the RCMP and CAF recently adopt initiatives to prevent and address gender-based violence against women and girls.</w:t>
      </w:r>
    </w:p>
    <w:p w:rsidR="002C2558" w:rsidRPr="00EE30C3" w:rsidRDefault="002C2558" w:rsidP="002C2558">
      <w:pPr>
        <w:pStyle w:val="H23G"/>
      </w:pPr>
      <w:r>
        <w:tab/>
      </w:r>
      <w:r>
        <w:tab/>
      </w:r>
      <w:r w:rsidRPr="004428BD">
        <w:t>Sexual Violence and harassment against women and girls at universities</w:t>
      </w:r>
      <w:r w:rsidRPr="00EE30C3">
        <w:t xml:space="preserve"> </w:t>
      </w:r>
    </w:p>
    <w:p w:rsidR="002C2558" w:rsidRPr="00C12E58" w:rsidRDefault="002C2558" w:rsidP="002C2558">
      <w:pPr>
        <w:pStyle w:val="SingleTxtG"/>
      </w:pPr>
      <w:r>
        <w:t>52.</w:t>
      </w:r>
      <w:r>
        <w:tab/>
      </w:r>
      <w:r w:rsidRPr="00C12E58">
        <w:t xml:space="preserve">The Rapporteur received reports on the widespread cases of sexual violence against women and girls in schools and on campuses. Young women between 15 and 25 years old attending an education facility are at high risk of experiencing sexual violence. Of all self-reported sexual assault in 2014, 41% were reported by students, 90% </w:t>
      </w:r>
      <w:r>
        <w:t xml:space="preserve">of whom </w:t>
      </w:r>
      <w:r w:rsidRPr="00C12E58">
        <w:t xml:space="preserve">committed against </w:t>
      </w:r>
      <w:r>
        <w:t>female student</w:t>
      </w:r>
      <w:r w:rsidRPr="00C12E58">
        <w:t xml:space="preserve">. Risk of sexual violence is particularly high for female students who are </w:t>
      </w:r>
      <w:r>
        <w:t>Indigenous</w:t>
      </w:r>
      <w:r w:rsidRPr="00C12E58">
        <w:t xml:space="preserve">, with disabilities, and LGBTQ2. </w:t>
      </w:r>
      <w:r w:rsidRPr="00CA0D7A">
        <w:rPr>
          <w:sz w:val="18"/>
          <w:szCs w:val="18"/>
          <w:vertAlign w:val="superscript"/>
        </w:rPr>
        <w:footnoteReference w:id="33"/>
      </w:r>
    </w:p>
    <w:p w:rsidR="002C2558" w:rsidRDefault="002C2558" w:rsidP="002C2558">
      <w:pPr>
        <w:pStyle w:val="SingleTxtG"/>
      </w:pPr>
      <w:r>
        <w:t>53.</w:t>
      </w:r>
      <w:r>
        <w:tab/>
      </w:r>
      <w:r w:rsidRPr="00C12E58">
        <w:t xml:space="preserve">Across Canada there are some inconsistencies in legislation addressing sexual violence in schools and on campuses. In relation to post-secondary institutions, only four provinces (out of our 10 provinces and 3 territories), namely Québec, Ontario, British Columbia and Manitoba, have introduced legislation that require universities to have stand-alone sexual violence policies. Student groups and experts question the efficacy of the current legislation in informing the implementation of comprehensive sexual violence policies. The Rapporteur welcomes the </w:t>
      </w:r>
      <w:r>
        <w:t>specific budget allocation in</w:t>
      </w:r>
      <w:r w:rsidRPr="00C12E58">
        <w:t xml:space="preserve"> 2018 </w:t>
      </w:r>
      <w:r>
        <w:t>through Canada’s</w:t>
      </w:r>
      <w:r w:rsidRPr="00C12E58">
        <w:t xml:space="preserve"> Strategy to </w:t>
      </w:r>
      <w:r>
        <w:t>P</w:t>
      </w:r>
      <w:r w:rsidRPr="00C12E58">
        <w:t xml:space="preserve">revent and </w:t>
      </w:r>
      <w:r>
        <w:t>A</w:t>
      </w:r>
      <w:r w:rsidRPr="00C12E58">
        <w:t xml:space="preserve">ddress </w:t>
      </w:r>
      <w:r>
        <w:t xml:space="preserve">Gender Based Violence </w:t>
      </w:r>
      <w:r w:rsidRPr="00C12E58">
        <w:t xml:space="preserve">to establish a National Framework to Address Gender-based Violence </w:t>
      </w:r>
      <w:r>
        <w:t>in Post-Secondary Institutions.</w:t>
      </w:r>
    </w:p>
    <w:p w:rsidR="002C2558" w:rsidRPr="00B8797E" w:rsidRDefault="002C2558" w:rsidP="002C2558">
      <w:pPr>
        <w:pStyle w:val="H1G"/>
      </w:pPr>
      <w:r w:rsidRPr="00B8797E">
        <w:tab/>
        <w:t>D.</w:t>
      </w:r>
      <w:r w:rsidRPr="00B8797E">
        <w:tab/>
        <w:t xml:space="preserve">Trafficking of women and girls </w:t>
      </w:r>
    </w:p>
    <w:p w:rsidR="002C2558" w:rsidRPr="00C12E58" w:rsidRDefault="002C2558" w:rsidP="002C2558">
      <w:pPr>
        <w:pStyle w:val="SingleTxtG"/>
      </w:pPr>
      <w:r w:rsidRPr="00C12E58">
        <w:t>54.</w:t>
      </w:r>
      <w:r w:rsidRPr="00C12E58">
        <w:tab/>
      </w:r>
      <w:r w:rsidRPr="00201B47">
        <w:t xml:space="preserve">Trafficking is a matter of serious concern in the country. Canada’s response to human trafficking is framed primarily through the criminal law (Criminal Code, Section 279.01; to section 279.04). </w:t>
      </w:r>
      <w:r>
        <w:t>T</w:t>
      </w:r>
      <w:r w:rsidRPr="00201B47">
        <w:t xml:space="preserve">he country </w:t>
      </w:r>
      <w:r>
        <w:t xml:space="preserve">also </w:t>
      </w:r>
      <w:r w:rsidRPr="00201B47">
        <w:t>adopted a specific national action plan to combat human trafficking</w:t>
      </w:r>
      <w:r w:rsidRPr="00CA0D7A">
        <w:rPr>
          <w:sz w:val="18"/>
          <w:szCs w:val="18"/>
          <w:vertAlign w:val="superscript"/>
        </w:rPr>
        <w:footnoteReference w:id="34"/>
      </w:r>
      <w:r w:rsidRPr="00CA0D7A">
        <w:rPr>
          <w:sz w:val="18"/>
          <w:szCs w:val="18"/>
          <w:vertAlign w:val="superscript"/>
        </w:rPr>
        <w:t xml:space="preserve"> </w:t>
      </w:r>
      <w:r>
        <w:t xml:space="preserve">and launched the </w:t>
      </w:r>
      <w:r w:rsidRPr="007B066A">
        <w:rPr>
          <w:rFonts w:eastAsia="Calibri"/>
          <w:lang w:val="en-US" w:eastAsia="en-CA"/>
        </w:rPr>
        <w:t>National Human Trafficking Hotline</w:t>
      </w:r>
      <w:r>
        <w:rPr>
          <w:rFonts w:eastAsia="Calibri"/>
          <w:lang w:val="en-US" w:eastAsia="en-CA"/>
        </w:rPr>
        <w:t>.</w:t>
      </w:r>
      <w:r w:rsidRPr="00201B47">
        <w:t xml:space="preserve"> Even though human trafficking constitutes a criminal offence in Canada</w:t>
      </w:r>
      <w:r>
        <w:t>, t</w:t>
      </w:r>
      <w:r w:rsidRPr="00201B47">
        <w:t xml:space="preserve">he Rapporteur highlights that there is a lack of </w:t>
      </w:r>
      <w:r>
        <w:t xml:space="preserve">comprehensive and systemic </w:t>
      </w:r>
      <w:r w:rsidRPr="00201B47">
        <w:t xml:space="preserve">data </w:t>
      </w:r>
      <w:r>
        <w:t xml:space="preserve">collection </w:t>
      </w:r>
      <w:r w:rsidRPr="00201B47">
        <w:t xml:space="preserve">on trafficking and trafficking victims, including on </w:t>
      </w:r>
      <w:r>
        <w:t xml:space="preserve">trafficked indigenous women, and </w:t>
      </w:r>
      <w:r w:rsidRPr="00201B47">
        <w:t>exploitation of prostitution and other related purposes.</w:t>
      </w:r>
      <w:r>
        <w:t xml:space="preserve"> </w:t>
      </w:r>
    </w:p>
    <w:p w:rsidR="002C2558" w:rsidRPr="00C12E58" w:rsidRDefault="002C2558" w:rsidP="002C2558">
      <w:pPr>
        <w:pStyle w:val="SingleTxtG"/>
      </w:pPr>
      <w:r w:rsidRPr="00C12E58">
        <w:t>55.</w:t>
      </w:r>
      <w:r w:rsidRPr="00C12E58">
        <w:tab/>
      </w:r>
      <w:r w:rsidRPr="00223B3B">
        <w:t xml:space="preserve"> </w:t>
      </w:r>
      <w:r>
        <w:t xml:space="preserve">According to a survey conducted by the Canadian Women’s Foundation, </w:t>
      </w:r>
      <w:r w:rsidRPr="00F735FA">
        <w:t>Indigenous women and girls are overrepresented as victims of human trafficking in Canada (</w:t>
      </w:r>
      <w:r w:rsidRPr="00324AF9">
        <w:rPr>
          <w:bCs/>
          <w:lang w:val="en-US"/>
        </w:rPr>
        <w:t>50</w:t>
      </w:r>
      <w:r w:rsidRPr="00324AF9">
        <w:rPr>
          <w:lang w:val="en-US"/>
        </w:rPr>
        <w:t xml:space="preserve">% of </w:t>
      </w:r>
      <w:r w:rsidRPr="00324AF9">
        <w:rPr>
          <w:bCs/>
          <w:lang w:val="en-US"/>
        </w:rPr>
        <w:t>trafficked</w:t>
      </w:r>
      <w:r w:rsidRPr="00324AF9">
        <w:rPr>
          <w:lang w:val="en-US"/>
        </w:rPr>
        <w:t xml:space="preserve"> girls and 51% of </w:t>
      </w:r>
      <w:r w:rsidRPr="00324AF9">
        <w:rPr>
          <w:bCs/>
          <w:lang w:val="en-US"/>
        </w:rPr>
        <w:t>trafficked</w:t>
      </w:r>
      <w:r w:rsidRPr="00324AF9">
        <w:rPr>
          <w:lang w:val="en-US"/>
        </w:rPr>
        <w:t xml:space="preserve"> women</w:t>
      </w:r>
      <w:r w:rsidRPr="00F735FA">
        <w:t>)</w:t>
      </w:r>
      <w:r>
        <w:t>.</w:t>
      </w:r>
      <w:r w:rsidRPr="00CA0D7A">
        <w:rPr>
          <w:sz w:val="18"/>
          <w:szCs w:val="18"/>
          <w:vertAlign w:val="superscript"/>
        </w:rPr>
        <w:footnoteReference w:id="35"/>
      </w:r>
      <w:r w:rsidRPr="00F735FA">
        <w:t xml:space="preserve"> LGBTQ2 people also are vulnerable to being trafficked, facing many vulnerabilities including precarious housing and employment, lack of supports, and isolation from their </w:t>
      </w:r>
      <w:r w:rsidRPr="00C12E58">
        <w:t>families and communities.</w:t>
      </w:r>
      <w:r w:rsidRPr="00CA0D7A">
        <w:rPr>
          <w:sz w:val="18"/>
          <w:szCs w:val="18"/>
          <w:vertAlign w:val="superscript"/>
        </w:rPr>
        <w:footnoteReference w:id="36"/>
      </w:r>
      <w:r w:rsidRPr="00CA0D7A">
        <w:rPr>
          <w:sz w:val="18"/>
          <w:szCs w:val="18"/>
          <w:vertAlign w:val="superscript"/>
        </w:rPr>
        <w:t xml:space="preserve"> </w:t>
      </w:r>
      <w:r w:rsidRPr="00C12E58">
        <w:t xml:space="preserve">Stigma, and lack of equal access to culturally-appropriate programs and services create shame which hinders them from accessing the legal system, healing resources and permanent, affordable housing. </w:t>
      </w:r>
    </w:p>
    <w:p w:rsidR="002C2558" w:rsidRPr="001D6461" w:rsidRDefault="002C2558" w:rsidP="002C2558">
      <w:pPr>
        <w:pStyle w:val="SingleTxtG"/>
      </w:pPr>
      <w:r>
        <w:t>56.</w:t>
      </w:r>
      <w:r>
        <w:tab/>
        <w:t>T</w:t>
      </w:r>
      <w:r w:rsidRPr="00C12E58">
        <w:t xml:space="preserve">he immigration and </w:t>
      </w:r>
      <w:proofErr w:type="spellStart"/>
      <w:r w:rsidRPr="00C12E58">
        <w:t>labor</w:t>
      </w:r>
      <w:proofErr w:type="spellEnd"/>
      <w:r w:rsidRPr="00C12E58">
        <w:t xml:space="preserve"> migration system implemented under Canada’s Temporary Foreign Worker Program</w:t>
      </w:r>
      <w:r>
        <w:t xml:space="preserve"> (TFW)</w:t>
      </w:r>
      <w:r w:rsidRPr="00C12E58">
        <w:t xml:space="preserve"> </w:t>
      </w:r>
      <w:r w:rsidRPr="00094E67">
        <w:t xml:space="preserve">allows Canadian employers to hire </w:t>
      </w:r>
      <w:r>
        <w:t xml:space="preserve">documented </w:t>
      </w:r>
      <w:r w:rsidRPr="00094E67">
        <w:t>foreign nationals</w:t>
      </w:r>
      <w:r>
        <w:t xml:space="preserve">. </w:t>
      </w:r>
      <w:r w:rsidRPr="00094E67">
        <w:t xml:space="preserve">However, </w:t>
      </w:r>
      <w:r>
        <w:t xml:space="preserve">in case of foreign nationals who are undocumented, they face </w:t>
      </w:r>
      <w:r w:rsidRPr="00C12E58">
        <w:t xml:space="preserve">conditions of </w:t>
      </w:r>
      <w:proofErr w:type="spellStart"/>
      <w:r w:rsidRPr="00C12E58">
        <w:t>labor</w:t>
      </w:r>
      <w:proofErr w:type="spellEnd"/>
      <w:r w:rsidRPr="00C12E58">
        <w:t xml:space="preserve"> and economic scarcity and coercion, and lack</w:t>
      </w:r>
      <w:r>
        <w:t xml:space="preserve"> </w:t>
      </w:r>
      <w:r w:rsidRPr="00C12E58">
        <w:t xml:space="preserve">access to social services, such as healthcare, </w:t>
      </w:r>
      <w:r>
        <w:t>that can</w:t>
      </w:r>
      <w:r w:rsidRPr="00C12E58">
        <w:t xml:space="preserve"> lead to the criminalization and marginalization of migrant women and expose them to trafficking and sex work, with related risks of detention and deportation. This has the perverse impact of </w:t>
      </w:r>
      <w:proofErr w:type="spellStart"/>
      <w:r w:rsidRPr="00C12E58">
        <w:t>dis</w:t>
      </w:r>
      <w:r>
        <w:t>incentivizing</w:t>
      </w:r>
      <w:proofErr w:type="spellEnd"/>
      <w:r>
        <w:t xml:space="preserve"> female migrants </w:t>
      </w:r>
      <w:r w:rsidRPr="00C12E58">
        <w:t xml:space="preserve">from reporting rapes, assaults, or other violations. </w:t>
      </w:r>
    </w:p>
    <w:p w:rsidR="002C2558" w:rsidRPr="00B8797E" w:rsidRDefault="002C2558" w:rsidP="002C2558">
      <w:pPr>
        <w:pStyle w:val="H1G"/>
        <w:rPr>
          <w:rStyle w:val="None"/>
        </w:rPr>
      </w:pPr>
      <w:r>
        <w:tab/>
        <w:t>E.</w:t>
      </w:r>
      <w:r>
        <w:tab/>
      </w:r>
      <w:r w:rsidRPr="00B8797E">
        <w:t xml:space="preserve">Online Violence and harassment against women and girls </w:t>
      </w:r>
    </w:p>
    <w:p w:rsidR="002C2558" w:rsidRDefault="002C2558" w:rsidP="002C2558">
      <w:pPr>
        <w:pStyle w:val="SingleTxtG"/>
      </w:pPr>
      <w:r>
        <w:t>57.</w:t>
      </w:r>
      <w:r>
        <w:tab/>
      </w:r>
      <w:r w:rsidRPr="00C12E58">
        <w:t>Online violence against women is an emerging issue in the country. In light of her thematic work on online violence against women and girls</w:t>
      </w:r>
      <w:r w:rsidRPr="00CA0D7A">
        <w:rPr>
          <w:sz w:val="18"/>
          <w:szCs w:val="18"/>
          <w:vertAlign w:val="superscript"/>
        </w:rPr>
        <w:footnoteReference w:id="37"/>
      </w:r>
      <w:r w:rsidRPr="00C12E58">
        <w:t>, the Rapporteur welcomes the</w:t>
      </w:r>
      <w:r>
        <w:t xml:space="preserve"> country’s legislative response</w:t>
      </w:r>
      <w:r w:rsidRPr="00C12E58">
        <w:t xml:space="preserve"> on this matter, as well as the creation of a new offence under the </w:t>
      </w:r>
      <w:r>
        <w:t>C</w:t>
      </w:r>
      <w:r w:rsidRPr="00C12E58">
        <w:t xml:space="preserve">riminal </w:t>
      </w:r>
      <w:r>
        <w:t>C</w:t>
      </w:r>
      <w:r w:rsidRPr="00C12E58">
        <w:t xml:space="preserve">ode with regard to non-consensual distribution of intimate images and the adoption of similar provisions </w:t>
      </w:r>
      <w:r>
        <w:t>in</w:t>
      </w:r>
      <w:r w:rsidRPr="00C12E58">
        <w:t xml:space="preserve"> Alberta</w:t>
      </w:r>
      <w:r>
        <w:t xml:space="preserve">, </w:t>
      </w:r>
      <w:r w:rsidRPr="00C12E58">
        <w:t>Manitoba</w:t>
      </w:r>
      <w:r>
        <w:t>,</w:t>
      </w:r>
      <w:r w:rsidRPr="00AA091F">
        <w:t xml:space="preserve"> and Newfoundland and Labrador</w:t>
      </w:r>
      <w:r w:rsidRPr="00C12E58">
        <w:t xml:space="preserve">. She also welcomes the budget allocation to invest in preventing teen dating violence and cyber bullying initiatives and the creation of the Digital Inclusion Lab within </w:t>
      </w:r>
      <w:r>
        <w:t xml:space="preserve">Global Affairs Canada </w:t>
      </w:r>
      <w:r w:rsidRPr="00C12E58">
        <w:t>which is currently focusing on tech</w:t>
      </w:r>
      <w:r>
        <w:t>nology</w:t>
      </w:r>
      <w:r w:rsidRPr="00C12E58">
        <w:t xml:space="preserve"> facilitated violence against women and girls, digital threats to liberal democracy and artificial intelligence and human rights, as well as work carried out by the Citizen Lab of the University of Toronto</w:t>
      </w:r>
      <w:r>
        <w:t xml:space="preserve">, </w:t>
      </w:r>
      <w:r w:rsidRPr="006E496F">
        <w:rPr>
          <w:rFonts w:eastAsia="SimSun"/>
          <w:color w:val="000000" w:themeColor="text1"/>
        </w:rPr>
        <w:t>which is an interdisciplinary laboratory focusing on research, development, and high-level strategic policy and legal engagement at the intersection of information and communication technologies, human rights, and global security while integrating a gender and diversity-based analysis</w:t>
      </w:r>
      <w:r w:rsidRPr="00C12E58">
        <w:t>.</w:t>
      </w:r>
      <w:r w:rsidRPr="00CA0D7A">
        <w:rPr>
          <w:sz w:val="18"/>
          <w:szCs w:val="18"/>
          <w:vertAlign w:val="superscript"/>
        </w:rPr>
        <w:footnoteReference w:id="38"/>
      </w:r>
      <w:r w:rsidRPr="00CA0D7A">
        <w:rPr>
          <w:sz w:val="18"/>
          <w:szCs w:val="18"/>
          <w:vertAlign w:val="superscript"/>
        </w:rPr>
        <w:t xml:space="preserve"> </w:t>
      </w:r>
      <w:r>
        <w:t>S</w:t>
      </w:r>
      <w:r w:rsidRPr="00C12E58">
        <w:t>uch good practices should be systemically implemented across all jurisdictions.</w:t>
      </w:r>
      <w:r>
        <w:t xml:space="preserve"> </w:t>
      </w:r>
    </w:p>
    <w:p w:rsidR="002C2558" w:rsidRPr="00B8797E" w:rsidRDefault="002C2558" w:rsidP="001B2C7C">
      <w:pPr>
        <w:pStyle w:val="H1G"/>
      </w:pPr>
      <w:r>
        <w:tab/>
        <w:t>F.</w:t>
      </w:r>
      <w:r>
        <w:tab/>
      </w:r>
      <w:r w:rsidRPr="00B8797E">
        <w:t>Violence against women and girls related to reproductive and sexual rights and health</w:t>
      </w:r>
    </w:p>
    <w:p w:rsidR="002C2558" w:rsidRDefault="002C2558" w:rsidP="002C2558">
      <w:pPr>
        <w:pStyle w:val="SingleTxtG"/>
      </w:pPr>
      <w:r>
        <w:t>58.</w:t>
      </w:r>
      <w:r>
        <w:tab/>
      </w:r>
      <w:r w:rsidRPr="00C12E58">
        <w:t>While there are no criminal laws restricting access to abortion in Canada, the Rapporteur notes that the lack of access to safe abortion services continues to be a barrier for women, particularly those in rural or remote regions.</w:t>
      </w:r>
      <w:r w:rsidRPr="00CA0D7A">
        <w:rPr>
          <w:sz w:val="18"/>
          <w:szCs w:val="18"/>
          <w:vertAlign w:val="superscript"/>
        </w:rPr>
        <w:footnoteReference w:id="39"/>
      </w:r>
      <w:r w:rsidRPr="00CA0D7A">
        <w:rPr>
          <w:sz w:val="18"/>
          <w:szCs w:val="18"/>
          <w:vertAlign w:val="superscript"/>
        </w:rPr>
        <w:t xml:space="preserve"> </w:t>
      </w:r>
      <w:r w:rsidRPr="00C12E58">
        <w:t>In addition, while there are no laws requiring parental consent nor imposing restrictions to abortion based on age, young women seeking abortion services have reported experiencing stigmatization from health care providers.</w:t>
      </w:r>
    </w:p>
    <w:p w:rsidR="002C2558" w:rsidRPr="00C12E58" w:rsidRDefault="002C2558" w:rsidP="002C2558">
      <w:pPr>
        <w:pStyle w:val="SingleTxtG"/>
      </w:pPr>
      <w:r>
        <w:t>59.</w:t>
      </w:r>
      <w:r>
        <w:tab/>
      </w:r>
      <w:r w:rsidRPr="00C12E58">
        <w:t xml:space="preserve">During the visit the Rapporteur was also informed of several alleged cases of forced sterilization of </w:t>
      </w:r>
      <w:r>
        <w:t>Indigenous</w:t>
      </w:r>
      <w:r w:rsidRPr="00C12E58">
        <w:t xml:space="preserve"> women in the country.</w:t>
      </w:r>
      <w:r w:rsidRPr="00CA0D7A">
        <w:rPr>
          <w:sz w:val="18"/>
          <w:szCs w:val="18"/>
          <w:vertAlign w:val="superscript"/>
        </w:rPr>
        <w:footnoteReference w:id="40"/>
      </w:r>
      <w:r>
        <w:t xml:space="preserve"> </w:t>
      </w:r>
      <w:r w:rsidRPr="00C12E58">
        <w:t xml:space="preserve">After several women, </w:t>
      </w:r>
      <w:r>
        <w:t>Indigenous</w:t>
      </w:r>
      <w:r w:rsidRPr="00C12E58">
        <w:t xml:space="preserve"> in particular, reported having been victims of this practice, some official recognition of such episodes of gender-</w:t>
      </w:r>
      <w:r>
        <w:t>based violence has taken place.</w:t>
      </w:r>
    </w:p>
    <w:p w:rsidR="002C2558" w:rsidRPr="00C12E58" w:rsidRDefault="002C2558" w:rsidP="002C2558">
      <w:pPr>
        <w:pStyle w:val="SingleTxtG"/>
      </w:pPr>
      <w:r>
        <w:t>60.</w:t>
      </w:r>
      <w:r>
        <w:tab/>
      </w:r>
      <w:r w:rsidRPr="00C12E58">
        <w:t xml:space="preserve">In this regard, also the Saskatoon Health Region apologized to the </w:t>
      </w:r>
      <w:r>
        <w:t>Indigenous</w:t>
      </w:r>
      <w:r w:rsidRPr="00C12E58">
        <w:t xml:space="preserve"> women who were coerced into surgery that prevented them from bearing more children, and acknowledged through its spokesperson that “racism exists within our health care system and we as leaders acknowledge this</w:t>
      </w:r>
      <w:r>
        <w:t>”</w:t>
      </w:r>
      <w:r w:rsidRPr="00C12E58">
        <w:t>.</w:t>
      </w:r>
    </w:p>
    <w:p w:rsidR="002C2558" w:rsidRPr="00B8797E" w:rsidRDefault="002C2558" w:rsidP="002C2558">
      <w:pPr>
        <w:pStyle w:val="SingleTxtG"/>
        <w:rPr>
          <w:rStyle w:val="None"/>
        </w:rPr>
      </w:pPr>
      <w:r>
        <w:t>61.</w:t>
      </w:r>
      <w:r>
        <w:tab/>
      </w:r>
      <w:r w:rsidRPr="00C12E58">
        <w:t>The Rapporteur believes that the practice</w:t>
      </w:r>
      <w:r>
        <w:t>s</w:t>
      </w:r>
      <w:r w:rsidRPr="00C12E58">
        <w:t xml:space="preserve"> of forced sterilization should be investigated and addressed in the context of systemic discrimination against </w:t>
      </w:r>
      <w:r>
        <w:t>Indigenous</w:t>
      </w:r>
      <w:r w:rsidRPr="00C12E58">
        <w:t xml:space="preserve"> peoples, particularly </w:t>
      </w:r>
      <w:proofErr w:type="gramStart"/>
      <w:r>
        <w:t>Indigenous</w:t>
      </w:r>
      <w:proofErr w:type="gramEnd"/>
      <w:r w:rsidRPr="00C12E58">
        <w:t xml:space="preserve"> women, as well as comprehensive information on consent instituted while victims of such violence should receive full remedy including compensation.</w:t>
      </w:r>
      <w:r w:rsidRPr="00CA0D7A">
        <w:rPr>
          <w:sz w:val="18"/>
          <w:szCs w:val="18"/>
          <w:vertAlign w:val="superscript"/>
        </w:rPr>
        <w:footnoteReference w:id="41"/>
      </w:r>
      <w:r w:rsidRPr="00CA0D7A">
        <w:rPr>
          <w:sz w:val="18"/>
          <w:szCs w:val="18"/>
          <w:vertAlign w:val="superscript"/>
        </w:rPr>
        <w:t xml:space="preserve"> </w:t>
      </w:r>
    </w:p>
    <w:p w:rsidR="002C2558" w:rsidRPr="00B8797E" w:rsidRDefault="002C2558" w:rsidP="002C2558">
      <w:pPr>
        <w:pStyle w:val="H1G"/>
      </w:pPr>
      <w:r>
        <w:tab/>
        <w:t>G.</w:t>
      </w:r>
      <w:r>
        <w:tab/>
      </w:r>
      <w:r w:rsidRPr="00B8797E">
        <w:t>Violence against women in detention</w:t>
      </w:r>
    </w:p>
    <w:p w:rsidR="002C2558" w:rsidRPr="00C12E58" w:rsidRDefault="002C2558" w:rsidP="002C2558">
      <w:pPr>
        <w:pStyle w:val="SingleTxtG"/>
      </w:pPr>
      <w:r>
        <w:t>62.</w:t>
      </w:r>
      <w:r>
        <w:tab/>
      </w:r>
      <w:r w:rsidRPr="00C12E58">
        <w:t xml:space="preserve">The Rapporteur visited the Nunavut Women’s Correctional Centre in Iqaluit and the Women's Correctional Centre of Manitoba in </w:t>
      </w:r>
      <w:proofErr w:type="gramStart"/>
      <w:r w:rsidRPr="00C12E58">
        <w:t>Headingly</w:t>
      </w:r>
      <w:proofErr w:type="gramEnd"/>
      <w:r w:rsidRPr="00C12E58">
        <w:t xml:space="preserve">, and in both </w:t>
      </w:r>
      <w:r>
        <w:t xml:space="preserve">provincial </w:t>
      </w:r>
      <w:r w:rsidRPr="00C12E58">
        <w:t>centres she had the opportunity of holding private meetings with women in detention.</w:t>
      </w:r>
    </w:p>
    <w:p w:rsidR="002C2558" w:rsidRPr="00250C59" w:rsidRDefault="002C2558" w:rsidP="002C2558">
      <w:pPr>
        <w:pStyle w:val="SingleTxtG"/>
      </w:pPr>
      <w:r w:rsidRPr="00B64779">
        <w:t>63.</w:t>
      </w:r>
      <w:r w:rsidRPr="00B64779">
        <w:tab/>
        <w:t>She welcomes the positive steps that the Government is taking in relation to the current consultations with provincial and territorial governments in view of the forthcoming accession of the State to the OPCAT. However, she draws the government’s attention to serious concerns collected du</w:t>
      </w:r>
      <w:r>
        <w:t xml:space="preserve">ring her visit to the detention </w:t>
      </w:r>
      <w:proofErr w:type="spellStart"/>
      <w:r w:rsidRPr="00B64779">
        <w:t>centers</w:t>
      </w:r>
      <w:proofErr w:type="spellEnd"/>
      <w:r w:rsidRPr="00B64779">
        <w:t>.</w:t>
      </w:r>
      <w:r w:rsidRPr="00CA0D7A">
        <w:rPr>
          <w:sz w:val="18"/>
          <w:szCs w:val="18"/>
          <w:vertAlign w:val="superscript"/>
        </w:rPr>
        <w:footnoteReference w:id="42"/>
      </w:r>
      <w:r w:rsidRPr="00B64779">
        <w:t xml:space="preserve"> Primarily, the</w:t>
      </w:r>
      <w:r>
        <w:t xml:space="preserve"> </w:t>
      </w:r>
      <w:r w:rsidRPr="00B64779">
        <w:t>overcrowding of facilities, the over-representation of Indigenous women, the widespread use of practices such as strip searching and employing male staff working in direct contact with women in women's institutions</w:t>
      </w:r>
      <w:r>
        <w:t xml:space="preserve"> a</w:t>
      </w:r>
      <w:proofErr w:type="spellStart"/>
      <w:r w:rsidRPr="00250C59">
        <w:rPr>
          <w:rStyle w:val="Hyperlink3"/>
          <w:lang w:val="en-US"/>
        </w:rPr>
        <w:t>nd</w:t>
      </w:r>
      <w:proofErr w:type="spellEnd"/>
      <w:r w:rsidRPr="00250C59">
        <w:rPr>
          <w:rStyle w:val="Hyperlink3"/>
          <w:lang w:val="en-US"/>
        </w:rPr>
        <w:t xml:space="preserve"> no dedicated, stand-alone treatment facility for women in federal corrections.</w:t>
      </w:r>
    </w:p>
    <w:p w:rsidR="002C2558" w:rsidRDefault="002C2558" w:rsidP="002C2558">
      <w:pPr>
        <w:pStyle w:val="SingleTxtG"/>
      </w:pPr>
      <w:r w:rsidRPr="00250C59">
        <w:t>64.</w:t>
      </w:r>
      <w:r w:rsidRPr="00250C59">
        <w:tab/>
      </w:r>
      <w:r w:rsidRPr="00250C59">
        <w:rPr>
          <w:rStyle w:val="None"/>
        </w:rPr>
        <w:t xml:space="preserve">The majority of </w:t>
      </w:r>
      <w:r w:rsidRPr="00250C59">
        <w:t>women in prison have histories of abuse (physical, sexual, domestic) and addictions and suffer from posttraumatic stress</w:t>
      </w:r>
      <w:r w:rsidRPr="009750A4">
        <w:t xml:space="preserve"> disorder</w:t>
      </w:r>
      <w:r w:rsidRPr="00CA0D7A">
        <w:rPr>
          <w:sz w:val="18"/>
          <w:szCs w:val="18"/>
          <w:vertAlign w:val="superscript"/>
        </w:rPr>
        <w:footnoteReference w:id="43"/>
      </w:r>
      <w:r w:rsidRPr="00B64779">
        <w:t>. In 2014-15, 68% of federally sentenced women reported histories of sexual abuse and 86% reported having been physically abused at some point in their life. 64.2% of federally incarcerated women are single mothers. At the provincial level, both</w:t>
      </w:r>
      <w:r w:rsidRPr="00C12E58">
        <w:t xml:space="preserve"> of the </w:t>
      </w:r>
      <w:r>
        <w:t>provincial detention centres</w:t>
      </w:r>
      <w:r w:rsidRPr="00C12E58">
        <w:t xml:space="preserve"> visited had not currently in place any child and mother program. </w:t>
      </w:r>
      <w:r w:rsidRPr="00CA0D7A">
        <w:rPr>
          <w:sz w:val="18"/>
          <w:szCs w:val="18"/>
          <w:vertAlign w:val="superscript"/>
        </w:rPr>
        <w:footnoteReference w:id="44"/>
      </w:r>
      <w:r w:rsidRPr="00CA0D7A">
        <w:rPr>
          <w:sz w:val="18"/>
          <w:szCs w:val="18"/>
          <w:vertAlign w:val="superscript"/>
        </w:rPr>
        <w:t xml:space="preserve"> </w:t>
      </w:r>
      <w:r>
        <w:t>In an investigation conducted in 2016-2017 by the Office of Correctional Investigator among women in maximum security,</w:t>
      </w:r>
      <w:r w:rsidRPr="00C12E58">
        <w:t xml:space="preserve"> 90% women reported being segregated during their detention and 83% also reported having mental health problems that, as highlighted also by the Canadian Human Rights Commission, are often exacerbated during their placement in segregation.</w:t>
      </w:r>
      <w:r w:rsidRPr="00CA0D7A">
        <w:rPr>
          <w:sz w:val="18"/>
          <w:szCs w:val="18"/>
          <w:vertAlign w:val="superscript"/>
        </w:rPr>
        <w:footnoteReference w:id="45"/>
      </w:r>
    </w:p>
    <w:p w:rsidR="002C2558" w:rsidRPr="00C12E58" w:rsidRDefault="002C2558" w:rsidP="002C2558">
      <w:pPr>
        <w:pStyle w:val="SingleTxtG"/>
      </w:pPr>
      <w:r>
        <w:t>65.</w:t>
      </w:r>
      <w:r>
        <w:tab/>
      </w:r>
      <w:r w:rsidRPr="00C12E58">
        <w:t>An emblematic case is the one of the 19-year-old Ashley Smith, who was found dead in her segregation cell. Staff members were charged for their alleged assaults or criminal negligence. Although the charges were stayed because of CSC’s administrative direction to staff not to assist Ashley, the jury following the inquest into her death ruled her death a homicide and made 104 recommendations.</w:t>
      </w:r>
      <w:r w:rsidRPr="00CA0D7A">
        <w:rPr>
          <w:sz w:val="18"/>
          <w:szCs w:val="18"/>
          <w:vertAlign w:val="superscript"/>
        </w:rPr>
        <w:footnoteReference w:id="46"/>
      </w:r>
      <w:r w:rsidRPr="00CA0D7A">
        <w:rPr>
          <w:sz w:val="18"/>
          <w:szCs w:val="18"/>
          <w:vertAlign w:val="superscript"/>
        </w:rPr>
        <w:t xml:space="preserve"> </w:t>
      </w:r>
    </w:p>
    <w:p w:rsidR="002C2558" w:rsidRPr="004428BD" w:rsidRDefault="002C2558" w:rsidP="002C2558">
      <w:pPr>
        <w:pStyle w:val="SingleTxtG"/>
      </w:pPr>
      <w:r>
        <w:t>66.</w:t>
      </w:r>
      <w:r>
        <w:tab/>
      </w:r>
      <w:r w:rsidRPr="00C12E58">
        <w:t>The Rapporteur highlights that incarceration as a resp</w:t>
      </w:r>
      <w:r>
        <w:t>onse</w:t>
      </w:r>
      <w:r w:rsidRPr="00C12E58">
        <w:t xml:space="preserve"> for women with mental health </w:t>
      </w:r>
      <w:r>
        <w:t>conditions</w:t>
      </w:r>
      <w:r w:rsidRPr="00C12E58">
        <w:t xml:space="preserve"> is not in compliance with international human rights standards</w:t>
      </w:r>
      <w:r>
        <w:t xml:space="preserve"> and that t</w:t>
      </w:r>
      <w:r w:rsidRPr="00C12E58">
        <w:t xml:space="preserve">here is the urgent need to provide alternatives </w:t>
      </w:r>
      <w:r>
        <w:t>to imprisonment</w:t>
      </w:r>
      <w:r w:rsidRPr="00002FE8">
        <w:rPr>
          <w:rStyle w:val="Hyperlink3"/>
        </w:rPr>
        <w:t xml:space="preserve"> </w:t>
      </w:r>
      <w:r>
        <w:rPr>
          <w:rStyle w:val="Hyperlink3"/>
        </w:rPr>
        <w:t xml:space="preserve">for women with mental health </w:t>
      </w:r>
      <w:r w:rsidRPr="004428BD">
        <w:rPr>
          <w:rStyle w:val="Hyperlink3"/>
        </w:rPr>
        <w:t>conditions by transferring prisoners to mental health services, facilities or psychiatric hospitals.</w:t>
      </w:r>
    </w:p>
    <w:p w:rsidR="002C2558" w:rsidRPr="004428BD" w:rsidRDefault="002C2558" w:rsidP="002C2558">
      <w:pPr>
        <w:pStyle w:val="H23G"/>
      </w:pPr>
      <w:r w:rsidRPr="004428BD">
        <w:tab/>
      </w:r>
      <w:r>
        <w:tab/>
      </w:r>
      <w:r w:rsidRPr="004428BD">
        <w:t>Over-incarceration of Indigenous women</w:t>
      </w:r>
    </w:p>
    <w:p w:rsidR="002C2558" w:rsidRPr="004428BD" w:rsidRDefault="002C2558" w:rsidP="002C2558">
      <w:pPr>
        <w:pStyle w:val="SingleTxtG"/>
      </w:pPr>
      <w:r w:rsidRPr="004428BD">
        <w:t>67.</w:t>
      </w:r>
      <w:r w:rsidRPr="004428BD">
        <w:tab/>
        <w:t>Currently, the over-incarceration of Indigenous people is among the most pressing social justice and human rights issues in Canada. Over the last ten years, the number of Indigenous federally sentenced women increased by 60%, growing from 168 in March 2009 to 270 in March 2018. At the end of the reporting period, 40% of incarcerated women in Canada were of Indigenous ancestry. “These numbers are distressing.”</w:t>
      </w:r>
      <w:r w:rsidRPr="004428BD">
        <w:rPr>
          <w:sz w:val="18"/>
          <w:szCs w:val="18"/>
          <w:vertAlign w:val="superscript"/>
        </w:rPr>
        <w:footnoteReference w:id="47"/>
      </w:r>
      <w:r w:rsidRPr="004428BD">
        <w:rPr>
          <w:sz w:val="18"/>
          <w:szCs w:val="18"/>
          <w:vertAlign w:val="superscript"/>
        </w:rPr>
        <w:t xml:space="preserve"> </w:t>
      </w:r>
    </w:p>
    <w:p w:rsidR="002C2558" w:rsidRPr="006931FF" w:rsidRDefault="002C2558" w:rsidP="002C2558">
      <w:pPr>
        <w:pStyle w:val="SingleTxtG"/>
      </w:pPr>
      <w:r w:rsidRPr="004428BD">
        <w:t>68.</w:t>
      </w:r>
      <w:r w:rsidRPr="004428BD">
        <w:tab/>
        <w:t>They are also over-represented in segregation and as a result have limited to no access to programs, education, training nor access to justice or alternatives to incarceration. They are more likely</w:t>
      </w:r>
      <w:r w:rsidRPr="005F6B78">
        <w:t xml:space="preserve"> to be considered high risk and high need and they are classified low reintegration potential besides being released later in their sentences. Canada has legislation that allows for the </w:t>
      </w:r>
      <w:proofErr w:type="spellStart"/>
      <w:r w:rsidRPr="005F6B78">
        <w:t>decarceration</w:t>
      </w:r>
      <w:proofErr w:type="spellEnd"/>
      <w:r w:rsidRPr="005F6B78">
        <w:t xml:space="preserve"> of prisoners, yet it is hardly ever used and segrega</w:t>
      </w:r>
      <w:r>
        <w:t xml:space="preserve">tion is a widespread </w:t>
      </w:r>
      <w:r w:rsidRPr="006931FF">
        <w:t>practice.</w:t>
      </w:r>
    </w:p>
    <w:p w:rsidR="002C2558" w:rsidRPr="006931FF" w:rsidRDefault="002C2558" w:rsidP="002C2558">
      <w:pPr>
        <w:pStyle w:val="SingleTxtG"/>
      </w:pPr>
      <w:r w:rsidRPr="006931FF">
        <w:t>69.</w:t>
      </w:r>
      <w:r w:rsidRPr="006931FF">
        <w:tab/>
        <w:t xml:space="preserve">An important case of jurisprudence is “the R v. </w:t>
      </w:r>
      <w:proofErr w:type="spellStart"/>
      <w:r w:rsidRPr="006931FF">
        <w:t>Gladue</w:t>
      </w:r>
      <w:proofErr w:type="spellEnd"/>
      <w:r w:rsidRPr="006931FF">
        <w:t xml:space="preserve"> decision”, following which, in compliance with the Canadian Criminal Code, judges should consider the background circumstances of Indigenous offenders.</w:t>
      </w:r>
      <w:r w:rsidRPr="006931FF">
        <w:rPr>
          <w:sz w:val="18"/>
          <w:szCs w:val="18"/>
          <w:vertAlign w:val="superscript"/>
        </w:rPr>
        <w:footnoteReference w:id="48"/>
      </w:r>
      <w:r w:rsidRPr="006931FF">
        <w:rPr>
          <w:sz w:val="18"/>
          <w:szCs w:val="18"/>
          <w:vertAlign w:val="superscript"/>
        </w:rPr>
        <w:t xml:space="preserve"> </w:t>
      </w:r>
      <w:r w:rsidRPr="006931FF">
        <w:t>Some provinces and territories now use “Aboriginal Social History reports” to supply judges with information on the lives of Indigenous people before they are sentenced. However, there are warnings that such reports remain ill-understood and sometimes simply reinforce stereotypes and undermine the agency of the offender.</w:t>
      </w:r>
      <w:r w:rsidRPr="006931FF">
        <w:rPr>
          <w:sz w:val="18"/>
          <w:szCs w:val="18"/>
          <w:vertAlign w:val="superscript"/>
        </w:rPr>
        <w:footnoteReference w:id="49"/>
      </w:r>
    </w:p>
    <w:p w:rsidR="002C2558" w:rsidRPr="005F6B78" w:rsidRDefault="002C2558" w:rsidP="002C2558">
      <w:pPr>
        <w:pStyle w:val="SingleTxtG"/>
      </w:pPr>
      <w:r w:rsidRPr="006931FF">
        <w:t>70.</w:t>
      </w:r>
      <w:r w:rsidRPr="006931FF">
        <w:tab/>
        <w:t xml:space="preserve">Besides the Criminal Code provisions requiring that judges consider “all available sanctions, other than imprisonment” for offenders, Sections 81 and 84 of the Corrections and Conditional Release Act (S.C. 1992, c. 20) </w:t>
      </w:r>
      <w:r w:rsidRPr="006931FF">
        <w:rPr>
          <w:rFonts w:eastAsia="Arial Unicode MS" w:cs="Arial Unicode MS"/>
          <w:iCs/>
          <w:u w:color="000000"/>
          <w:bdr w:val="nil"/>
          <w:lang w:val="en-US" w:eastAsia="en-GB"/>
        </w:rPr>
        <w:t>related to federal corrections</w:t>
      </w:r>
      <w:r w:rsidRPr="006931FF">
        <w:t xml:space="preserve"> allow women to execute the sentence in their community or apply for early release to an Indigenous community. Unfortunately, this legislation is under-utilized, under-funded and often not communicated to women as part of their intake process.</w:t>
      </w:r>
    </w:p>
    <w:p w:rsidR="002C2558" w:rsidRPr="004D5364" w:rsidRDefault="002C2558" w:rsidP="002C2558">
      <w:pPr>
        <w:pStyle w:val="H1G"/>
      </w:pPr>
      <w:r>
        <w:tab/>
        <w:t>H.</w:t>
      </w:r>
      <w:r>
        <w:tab/>
      </w:r>
      <w:r w:rsidRPr="00B8797E">
        <w:t xml:space="preserve">Situation of women who encounter multiple and intersecting forms of </w:t>
      </w:r>
      <w:r w:rsidRPr="004D5364">
        <w:t>discrimination and violence</w:t>
      </w:r>
    </w:p>
    <w:p w:rsidR="002C2558" w:rsidRDefault="002C2558" w:rsidP="002C2558">
      <w:pPr>
        <w:pStyle w:val="SingleTxtG"/>
      </w:pPr>
      <w:r w:rsidRPr="004D5364">
        <w:t>71.</w:t>
      </w:r>
      <w:r w:rsidRPr="004D5364">
        <w:tab/>
      </w:r>
      <w:r w:rsidRPr="009750A4">
        <w:t>During her visit, the Special Rapporteur paid special attention to the situation of women and girls who encounter multiple and intersecting forms of discrimination and violence and experience higher rates of all forms of violence against women.</w:t>
      </w:r>
      <w:r w:rsidRPr="005F6B78">
        <w:t xml:space="preserve"> </w:t>
      </w:r>
    </w:p>
    <w:p w:rsidR="002C2558" w:rsidRPr="005B700E" w:rsidRDefault="002C2558" w:rsidP="002C2558">
      <w:pPr>
        <w:pStyle w:val="H23G"/>
        <w:rPr>
          <w:rStyle w:val="None"/>
        </w:rPr>
      </w:pPr>
      <w:r w:rsidRPr="005B700E">
        <w:rPr>
          <w:rStyle w:val="None"/>
        </w:rPr>
        <w:tab/>
        <w:t>1.</w:t>
      </w:r>
      <w:r w:rsidRPr="005B700E">
        <w:rPr>
          <w:rStyle w:val="None"/>
        </w:rPr>
        <w:tab/>
        <w:t xml:space="preserve">Violence against </w:t>
      </w:r>
      <w:r>
        <w:rPr>
          <w:rStyle w:val="None"/>
        </w:rPr>
        <w:t>Indigenous</w:t>
      </w:r>
      <w:r w:rsidRPr="005B700E">
        <w:rPr>
          <w:rStyle w:val="None"/>
        </w:rPr>
        <w:t xml:space="preserve"> women and girls</w:t>
      </w:r>
    </w:p>
    <w:p w:rsidR="002C2558" w:rsidRPr="005F6B78" w:rsidRDefault="002C2558" w:rsidP="002C2558">
      <w:pPr>
        <w:pStyle w:val="SingleTxtG"/>
      </w:pPr>
      <w:r>
        <w:t>72.</w:t>
      </w:r>
      <w:r>
        <w:tab/>
      </w:r>
      <w:r w:rsidRPr="005F6B78">
        <w:t xml:space="preserve">It has been recognized also by the Government that the basic inequalities that exist between </w:t>
      </w:r>
      <w:r>
        <w:t>Indigenous</w:t>
      </w:r>
      <w:r w:rsidRPr="005F6B78">
        <w:t xml:space="preserve"> peoples and the rest of Canada are a glaring reminder of the failure by the State to overcome systemic racism, the intergenerational trauma resulting from colonialism and the inadequate provision of specialized services and programs</w:t>
      </w:r>
      <w:r>
        <w:t xml:space="preserve"> for each community.</w:t>
      </w:r>
    </w:p>
    <w:p w:rsidR="002C2558" w:rsidRPr="005F6B78" w:rsidRDefault="002C2558" w:rsidP="002C2558">
      <w:pPr>
        <w:pStyle w:val="SingleTxtG"/>
      </w:pPr>
      <w:r>
        <w:t>73.</w:t>
      </w:r>
      <w:r>
        <w:tab/>
        <w:t>Indigenous</w:t>
      </w:r>
      <w:r w:rsidRPr="005F6B78">
        <w:t xml:space="preserve"> peoples from First Nations, M</w:t>
      </w:r>
      <w:r w:rsidRPr="00446164">
        <w:t>é</w:t>
      </w:r>
      <w:r w:rsidRPr="005F6B78">
        <w:t xml:space="preserve">tis and Inuit communities represent around the 5% of Canadian population, with </w:t>
      </w:r>
      <w:r>
        <w:t>Indigenous</w:t>
      </w:r>
      <w:r w:rsidRPr="005F6B78">
        <w:t xml:space="preserve"> women 2.5 per cent of the total population. Yet, </w:t>
      </w:r>
      <w:r>
        <w:t>Indigenous</w:t>
      </w:r>
      <w:r w:rsidRPr="005F6B78">
        <w:t xml:space="preserve"> women and girls are 3 times more likely to be victimized by violence, including </w:t>
      </w:r>
      <w:r>
        <w:t xml:space="preserve">intimate partner </w:t>
      </w:r>
      <w:r w:rsidRPr="005F6B78">
        <w:t>violence and violent crime, and approximately six times higher to be a victim of</w:t>
      </w:r>
      <w:r>
        <w:t xml:space="preserve"> female homicide</w:t>
      </w:r>
      <w:r w:rsidRPr="005F6B78">
        <w:t>.</w:t>
      </w:r>
      <w:r w:rsidRPr="00CA0D7A">
        <w:rPr>
          <w:sz w:val="18"/>
          <w:szCs w:val="18"/>
          <w:vertAlign w:val="superscript"/>
        </w:rPr>
        <w:footnoteReference w:id="50"/>
      </w:r>
    </w:p>
    <w:p w:rsidR="002C2558" w:rsidRPr="005F6B78" w:rsidRDefault="002C2558" w:rsidP="002C2558">
      <w:pPr>
        <w:pStyle w:val="SingleTxtG"/>
      </w:pPr>
      <w:r>
        <w:t>74.</w:t>
      </w:r>
      <w:r>
        <w:tab/>
      </w:r>
      <w:r w:rsidRPr="005F6B78">
        <w:t xml:space="preserve">According to </w:t>
      </w:r>
      <w:r>
        <w:t xml:space="preserve">the </w:t>
      </w:r>
      <w:r>
        <w:rPr>
          <w:rFonts w:ascii="Open Sans" w:hAnsi="Open Sans"/>
          <w:color w:val="222222"/>
          <w:lang w:val="en"/>
        </w:rPr>
        <w:t>Native Women's Association of Canada information</w:t>
      </w:r>
      <w:r w:rsidRPr="005F6B78">
        <w:t xml:space="preserve">, there are more than 4000 murdered and missing </w:t>
      </w:r>
      <w:r>
        <w:t>Indigenous</w:t>
      </w:r>
      <w:r w:rsidRPr="005F6B78">
        <w:t xml:space="preserve"> women and girls</w:t>
      </w:r>
      <w:r>
        <w:t>.</w:t>
      </w:r>
      <w:r w:rsidRPr="005F6B78">
        <w:t xml:space="preserve"> </w:t>
      </w:r>
      <w:r>
        <w:t>According to RCMP</w:t>
      </w:r>
      <w:r w:rsidRPr="005F6B78">
        <w:t xml:space="preserve"> </w:t>
      </w:r>
      <w:r>
        <w:t>indigenous women represents</w:t>
      </w:r>
      <w:r w:rsidRPr="005F6B78">
        <w:t>11%</w:t>
      </w:r>
      <w:r>
        <w:t>of</w:t>
      </w:r>
      <w:r w:rsidRPr="005F6B78">
        <w:t xml:space="preserve"> missing</w:t>
      </w:r>
      <w:r>
        <w:t xml:space="preserve"> women in 2013</w:t>
      </w:r>
      <w:r w:rsidRPr="005F6B78">
        <w:t xml:space="preserve"> </w:t>
      </w:r>
      <w:r>
        <w:t xml:space="preserve">and </w:t>
      </w:r>
      <w:r w:rsidRPr="005F6B78">
        <w:t xml:space="preserve">16% </w:t>
      </w:r>
      <w:r>
        <w:t xml:space="preserve">of victims of homicide </w:t>
      </w:r>
      <w:r w:rsidRPr="005F6B78">
        <w:t>nationally</w:t>
      </w:r>
      <w:r w:rsidRPr="00636953">
        <w:t xml:space="preserve"> </w:t>
      </w:r>
      <w:r>
        <w:t>between 1980 and 2012</w:t>
      </w:r>
      <w:r w:rsidRPr="005F6B78">
        <w:t>.</w:t>
      </w:r>
      <w:r>
        <w:rPr>
          <w:rStyle w:val="FootnoteReference"/>
        </w:rPr>
        <w:footnoteReference w:id="51"/>
      </w:r>
      <w:r w:rsidRPr="005F6B78">
        <w:t xml:space="preserve"> </w:t>
      </w:r>
      <w:r>
        <w:t>It has been estimated that m</w:t>
      </w:r>
      <w:r w:rsidRPr="005F6B78">
        <w:t xml:space="preserve">ore than half of victims of human sex trafficking are </w:t>
      </w:r>
      <w:r>
        <w:t>Indigenous</w:t>
      </w:r>
      <w:r w:rsidRPr="005F6B78">
        <w:t xml:space="preserve"> women and girls.</w:t>
      </w:r>
      <w:r>
        <w:t xml:space="preserve"> Suicide rates are high among Indigenous peoples, particularly for youth with First Nations (five to seven times higher than for non-Indigenous youth) and Inuit youth (11 times the national average).</w:t>
      </w:r>
      <w:r>
        <w:rPr>
          <w:rStyle w:val="FootnoteReference"/>
        </w:rPr>
        <w:footnoteReference w:id="52"/>
      </w:r>
    </w:p>
    <w:p w:rsidR="002C2558" w:rsidRPr="005F6B78" w:rsidRDefault="002C2558" w:rsidP="002C2558">
      <w:pPr>
        <w:pStyle w:val="SingleTxtG"/>
      </w:pPr>
      <w:r>
        <w:t>75.</w:t>
      </w:r>
      <w:r>
        <w:tab/>
        <w:t>Indigenous</w:t>
      </w:r>
      <w:r w:rsidRPr="005F6B78">
        <w:t xml:space="preserve"> women are overtly disadvantaged within their societies and in the larger national scheme. They face marginalization, exclusion and poverty because of institutional, systemic, multiple, intersecting forms of discrimination that has not been addressed adequately by the State. Universal access to social and community-based services and infrastructure is not adequate for </w:t>
      </w:r>
      <w:r>
        <w:t>Indigenous</w:t>
      </w:r>
      <w:r w:rsidRPr="005F6B78">
        <w:t xml:space="preserve"> people and in particular for those leaving in rural and remote areas where access to safe and clean drinking water, education, health care facilities, adequate housing and employment represents a real challen</w:t>
      </w:r>
      <w:r>
        <w:t>ge.</w:t>
      </w:r>
    </w:p>
    <w:p w:rsidR="002C2558" w:rsidRDefault="002C2558" w:rsidP="002C2558">
      <w:pPr>
        <w:pStyle w:val="SingleTxtG"/>
      </w:pPr>
      <w:r w:rsidRPr="005F6B78">
        <w:t>76.</w:t>
      </w:r>
      <w:r w:rsidRPr="005F6B78">
        <w:tab/>
        <w:t>In this regard, the rapporteur welcomes the Action Plan to Prevent Family Violence and Violent Crimes against Aboriginal Women and Girls (2015-2020), which outlines concrete actions on prevention of violence, support to victims and protection. However this plan lacks a holistic approach and does not fully address what stated in 2015 by the CEDAW Committee (CEDAW/C/OP.8/CAN/1),which found</w:t>
      </w:r>
      <w:r>
        <w:t xml:space="preserve"> </w:t>
      </w:r>
      <w:r w:rsidRPr="005F6B78">
        <w:t xml:space="preserve">that </w:t>
      </w:r>
      <w:r>
        <w:t>Indigenous</w:t>
      </w:r>
      <w:r w:rsidRPr="005F6B78">
        <w:t xml:space="preserve"> women have been subjected to grave human rights violations, emphasizing the long-lasting social and economic disadvantages, biases and racism in administration of justice, policing, data collection, jails and penitentiaries, social programs. </w:t>
      </w:r>
      <w:r>
        <w:t>Indigenous</w:t>
      </w:r>
      <w:r w:rsidRPr="005F6B78">
        <w:t xml:space="preserve"> people in Canada have also been discriminated historically even by law. The Indian Act (R.S.C., 1985, c. I-5) is a colonial and patriarchal document at its core which is embedded with historical racial and sex-based discrimination. Its treatment of First Nations women as secondary to men allows violence to be perpetrated against them. It works to systemically reduce the number of recognized First Nations people by discriminating against First Nations women and their descendants, denying them entitlement to Indian status on the same footing as their male counterparts. This discrimination and hierarchy among status exacerbates collateral violence within communities, as well as jurisdictional and logistical barriers for First Nations people to access services. The 2011 and 2017 reforms to the Indian Act have fallen short of providing equality to First Nations women and their descendants, which further results in unequal a</w:t>
      </w:r>
      <w:r>
        <w:t>ccess to benefits and services.</w:t>
      </w:r>
    </w:p>
    <w:p w:rsidR="002C2558" w:rsidRPr="005F6B78" w:rsidRDefault="002C2558" w:rsidP="002C2558">
      <w:pPr>
        <w:pStyle w:val="SingleTxtG"/>
      </w:pPr>
      <w:r>
        <w:t>77.</w:t>
      </w:r>
      <w:r>
        <w:tab/>
      </w:r>
      <w:r w:rsidRPr="005F6B78">
        <w:t>On several occasions, the CEDAW, the Human Rights Committee and the IACHR have recognized that sex discrimination in the Indian Act is a root cause of violence and called for the urgent elimination of the legal provisions that discriminate against First Nations women and their descendants. Bill S-3 was passed in</w:t>
      </w:r>
      <w:r>
        <w:t xml:space="preserve"> </w:t>
      </w:r>
      <w:r w:rsidRPr="005F6B78">
        <w:t xml:space="preserve">2017, in response to the </w:t>
      </w:r>
      <w:proofErr w:type="spellStart"/>
      <w:r w:rsidRPr="005F6B78">
        <w:t>Descheneaux</w:t>
      </w:r>
      <w:proofErr w:type="spellEnd"/>
      <w:r w:rsidRPr="005F6B78">
        <w:t xml:space="preserve"> decision of the Quebec Superior Court, which found that the </w:t>
      </w:r>
      <w:hyperlink r:id="rId18" w:history="1">
        <w:r w:rsidRPr="005F6B78">
          <w:rPr>
            <w:rStyle w:val="Hyperlink"/>
          </w:rPr>
          <w:t>Indian Act</w:t>
        </w:r>
      </w:hyperlink>
      <w:r w:rsidRPr="005F6B78">
        <w:t xml:space="preserve"> unjustifiably violate equality rights under the </w:t>
      </w:r>
      <w:hyperlink r:id="rId19" w:history="1">
        <w:r w:rsidRPr="005F6B78">
          <w:rPr>
            <w:rStyle w:val="Hyperlink"/>
          </w:rPr>
          <w:t>Canadian Charter of Rights and Freedoms</w:t>
        </w:r>
      </w:hyperlink>
      <w:r w:rsidRPr="005F6B78">
        <w:t xml:space="preserve">. Because the Senate of Canada insisted that the Government of Canada should go beyond the requirements of </w:t>
      </w:r>
      <w:proofErr w:type="spellStart"/>
      <w:r w:rsidRPr="005F6B78">
        <w:t>Descheneaux</w:t>
      </w:r>
      <w:proofErr w:type="spellEnd"/>
      <w:r w:rsidRPr="005F6B78">
        <w:t xml:space="preserve"> and remove the core discrimination embedded in the sex-based hierarchy between full status (6(1)(a) and partial status (6(1)(c), the Government of Canada included provisions in Bill S-3 that would have this effect. However, these provisions were not brought into force in December 2017.</w:t>
      </w:r>
    </w:p>
    <w:p w:rsidR="002C2558" w:rsidRPr="005F6B78" w:rsidRDefault="002C2558" w:rsidP="002C2558">
      <w:pPr>
        <w:pStyle w:val="SingleTxtG"/>
      </w:pPr>
      <w:r>
        <w:t>78.</w:t>
      </w:r>
      <w:r>
        <w:tab/>
      </w:r>
      <w:r w:rsidRPr="005F6B78">
        <w:t>The</w:t>
      </w:r>
      <w:r w:rsidR="003E7ECD">
        <w:t xml:space="preserve"> Rapporteur</w:t>
      </w:r>
      <w:r w:rsidRPr="005F6B78">
        <w:t xml:space="preserve"> the decision of 14 January 2019 by United Nations Human Rights Committee in favour of Sharon McIvor. The Committee held that the sex-based hierarchy between s. 6(1</w:t>
      </w:r>
      <w:proofErr w:type="gramStart"/>
      <w:r w:rsidRPr="005F6B78">
        <w:t>)(</w:t>
      </w:r>
      <w:proofErr w:type="gramEnd"/>
      <w:r w:rsidRPr="005F6B78">
        <w:t xml:space="preserve">a) and s. 6(1)(c), introduced by the 1985 </w:t>
      </w:r>
      <w:r w:rsidRPr="005F6B78">
        <w:rPr>
          <w:rFonts w:eastAsia="Arial Unicode MS"/>
        </w:rPr>
        <w:t>Indian Act</w:t>
      </w:r>
      <w:r w:rsidRPr="005F6B78">
        <w:t>, and continued by the amendments of 2011 and 2017, violates the right to the equal protection of the law without discrimination based on sex, and violates the equal right of men and women to the enjoyment of</w:t>
      </w:r>
      <w:r>
        <w:t xml:space="preserve"> Indigenous</w:t>
      </w:r>
      <w:r w:rsidRPr="005F6B78">
        <w:t xml:space="preserve"> culture, guaranteed by the </w:t>
      </w:r>
      <w:r w:rsidRPr="005F6B78">
        <w:rPr>
          <w:rFonts w:eastAsia="Arial Unicode MS"/>
        </w:rPr>
        <w:t>International Covenant on Civil and Political Rights.</w:t>
      </w:r>
      <w:r w:rsidRPr="005F6B78">
        <w:t xml:space="preserve"> The Committee also found that Canada is obligated to provide full reparation, and “to take steps to address residual discrimination based on sex by the federal government arising from the </w:t>
      </w:r>
      <w:r w:rsidRPr="005F6B78">
        <w:rPr>
          <w:rFonts w:eastAsia="Arial Unicode MS"/>
        </w:rPr>
        <w:t>Indian Act</w:t>
      </w:r>
      <w:r w:rsidRPr="005F6B78">
        <w:t>."</w:t>
      </w:r>
    </w:p>
    <w:p w:rsidR="002C2558" w:rsidRDefault="002C2558" w:rsidP="002C2558">
      <w:pPr>
        <w:pStyle w:val="SingleTxtG"/>
      </w:pPr>
      <w:r>
        <w:t>79.</w:t>
      </w:r>
      <w:r>
        <w:tab/>
      </w:r>
      <w:r w:rsidRPr="005F6B78">
        <w:t xml:space="preserve">For a century now, on the grounds of discriminatory policies and practices, </w:t>
      </w:r>
      <w:r>
        <w:t>Indigenous</w:t>
      </w:r>
      <w:r w:rsidRPr="005F6B78">
        <w:t xml:space="preserve"> children have been taken away from their families alienating them from their traditional culture, language and social relations and support network. Since the time of residential schools, and Sixties Scoop</w:t>
      </w:r>
      <w:r w:rsidRPr="00632839">
        <w:rPr>
          <w:sz w:val="18"/>
          <w:szCs w:val="18"/>
          <w:vertAlign w:val="superscript"/>
        </w:rPr>
        <w:footnoteReference w:id="53"/>
      </w:r>
      <w:r w:rsidRPr="005F6B78">
        <w:t xml:space="preserve">, the Rapporteur was informed that it continues to be a persistent harmful practice embedded in the Canadian child welfare system. While just 7.7 per cent of all children under 14 are </w:t>
      </w:r>
      <w:r>
        <w:t>Indigenous</w:t>
      </w:r>
      <w:r w:rsidRPr="005F6B78">
        <w:t>, they represent the 52.2 per cent of all children in foster care.</w:t>
      </w:r>
    </w:p>
    <w:p w:rsidR="002C2558" w:rsidRPr="005B700E" w:rsidRDefault="002C2558" w:rsidP="002C2558">
      <w:pPr>
        <w:pStyle w:val="H23G"/>
      </w:pPr>
      <w:r>
        <w:rPr>
          <w:rStyle w:val="None"/>
          <w:bCs/>
        </w:rPr>
        <w:tab/>
      </w:r>
      <w:r w:rsidRPr="005B700E">
        <w:rPr>
          <w:rStyle w:val="None"/>
        </w:rPr>
        <w:t>2.</w:t>
      </w:r>
      <w:r w:rsidRPr="005B700E">
        <w:rPr>
          <w:rStyle w:val="None"/>
        </w:rPr>
        <w:tab/>
        <w:t xml:space="preserve">Inquiry on </w:t>
      </w:r>
      <w:r>
        <w:rPr>
          <w:rStyle w:val="None"/>
        </w:rPr>
        <w:t>Indigenous</w:t>
      </w:r>
      <w:r w:rsidRPr="005B700E">
        <w:rPr>
          <w:rStyle w:val="None"/>
        </w:rPr>
        <w:t xml:space="preserve"> women</w:t>
      </w:r>
    </w:p>
    <w:p w:rsidR="002C2558" w:rsidRPr="005F6B78" w:rsidRDefault="002C2558" w:rsidP="002C2558">
      <w:pPr>
        <w:pStyle w:val="SingleTxtG"/>
      </w:pPr>
      <w:r>
        <w:t>80.</w:t>
      </w:r>
      <w:r>
        <w:tab/>
      </w:r>
      <w:r w:rsidRPr="005F6B78">
        <w:t xml:space="preserve">Evidences and emblematic cases show that violence against </w:t>
      </w:r>
      <w:r>
        <w:t>Indigenous</w:t>
      </w:r>
      <w:r w:rsidRPr="005F6B78">
        <w:t xml:space="preserve"> women in Canada, is rooted in racial discrimination</w:t>
      </w:r>
      <w:r w:rsidRPr="00632839">
        <w:rPr>
          <w:sz w:val="18"/>
          <w:szCs w:val="18"/>
          <w:vertAlign w:val="superscript"/>
        </w:rPr>
        <w:footnoteReference w:id="54"/>
      </w:r>
      <w:r w:rsidRPr="005F6B78">
        <w:t xml:space="preserve"> and inter-generational trauma which has not yet been adequately acknowledged or addressed. This discrimination takes the form both of overt cultural prejudice and implicit or systemic biases in the policies and actions of government officials and agencies, or society as a whole, failing to provide </w:t>
      </w:r>
      <w:r>
        <w:t>Indigenous</w:t>
      </w:r>
      <w:r w:rsidRPr="005F6B78">
        <w:t xml:space="preserve"> women the protection from violence that is every woman’s human rights.</w:t>
      </w:r>
      <w:r w:rsidRPr="00632839">
        <w:rPr>
          <w:sz w:val="18"/>
          <w:szCs w:val="18"/>
          <w:vertAlign w:val="superscript"/>
        </w:rPr>
        <w:footnoteReference w:id="55"/>
      </w:r>
      <w:r w:rsidRPr="005F6B78">
        <w:t xml:space="preserve"> It is therefore crucial to provide a human rights-based approach to discrimination and violence against </w:t>
      </w:r>
      <w:r>
        <w:t>Indigenous</w:t>
      </w:r>
      <w:r w:rsidRPr="005F6B78">
        <w:t xml:space="preserve"> </w:t>
      </w:r>
      <w:r>
        <w:t>w</w:t>
      </w:r>
      <w:r w:rsidRPr="005F6B78">
        <w:t>omen and to promptly investigate all the cases of missing and murder</w:t>
      </w:r>
      <w:r>
        <w:t>ed</w:t>
      </w:r>
      <w:r w:rsidRPr="005F6B78">
        <w:t xml:space="preserve"> women in the country.</w:t>
      </w:r>
    </w:p>
    <w:p w:rsidR="002C2558" w:rsidRPr="005F6B78" w:rsidRDefault="002C2558" w:rsidP="002C2558">
      <w:pPr>
        <w:pStyle w:val="SingleTxtG"/>
      </w:pPr>
      <w:r>
        <w:t>81.</w:t>
      </w:r>
      <w:r>
        <w:tab/>
      </w:r>
      <w:r w:rsidRPr="005F6B78">
        <w:t>In its 2015</w:t>
      </w:r>
      <w:r>
        <w:t xml:space="preserve"> recommendations (</w:t>
      </w:r>
      <w:r w:rsidRPr="00C92EA3">
        <w:t>CEDAW/C/OP.8/CAN/1</w:t>
      </w:r>
      <w:r>
        <w:t>)</w:t>
      </w:r>
      <w:r w:rsidRPr="005F6B78">
        <w:t xml:space="preserve">, the CEDAW Committee recommended that the Government establish a national public inquiry into cases of missing and murdered </w:t>
      </w:r>
      <w:r>
        <w:t>Indigenous</w:t>
      </w:r>
      <w:r w:rsidRPr="005F6B78">
        <w:t xml:space="preserve"> women and girls. In this regard, the expert welcomed the dialogue and ongoing healing process initiated with the launch of the National Inquiry into the Missing and Murdered </w:t>
      </w:r>
      <w:r>
        <w:t>Indigenous</w:t>
      </w:r>
      <w:r w:rsidRPr="005F6B78">
        <w:t xml:space="preserve"> women and girls but called for urgent action on other CEDAW recommend</w:t>
      </w:r>
      <w:r>
        <w:t>ations from its Inquiry report.</w:t>
      </w:r>
    </w:p>
    <w:p w:rsidR="002C2558" w:rsidRPr="005F6B78" w:rsidRDefault="002C2558" w:rsidP="002C2558">
      <w:pPr>
        <w:pStyle w:val="SingleTxtG"/>
      </w:pPr>
      <w:r>
        <w:t>82.</w:t>
      </w:r>
      <w:r>
        <w:tab/>
      </w:r>
      <w:r w:rsidRPr="005F6B78">
        <w:t>During her visit the expert received updated information on the work of the National Inquiry which has continued, for almost two years to collect many testimonies across the country and plans to hold expert hearings on 1) human rights framework, and 2) racism. The subjects of the institutional hearings, based on a family approach, are: 1) gover</w:t>
      </w:r>
      <w:r>
        <w:t>nment services and 2) policing.</w:t>
      </w:r>
    </w:p>
    <w:p w:rsidR="002C2558" w:rsidRPr="005F6B78" w:rsidRDefault="002C2558" w:rsidP="002C2558">
      <w:pPr>
        <w:pStyle w:val="SingleTxtG"/>
      </w:pPr>
      <w:r>
        <w:t>83.</w:t>
      </w:r>
      <w:r>
        <w:tab/>
      </w:r>
      <w:r w:rsidRPr="005F6B78">
        <w:t xml:space="preserve">The </w:t>
      </w:r>
      <w:r w:rsidR="003E7ECD">
        <w:t>Rapporteur</w:t>
      </w:r>
      <w:r w:rsidRPr="005F6B78">
        <w:t xml:space="preserve"> considers that this is an important mourning and healing process that opened up an important dialogue on the past and current racist and colonial policies. However, several concerns have been raised about the limited mandate of the inquiry including on child welfare. In March 2018 the Inquiry asked the 14 governments for a 24-month extension on their mandate, from December 2018 to December 2020 while the governments agreed to a shorter extension of 6 months ending in June 2019.</w:t>
      </w:r>
    </w:p>
    <w:p w:rsidR="002C2558" w:rsidRDefault="002C2558" w:rsidP="002C2558">
      <w:pPr>
        <w:pStyle w:val="SingleTxtG"/>
      </w:pPr>
      <w:r>
        <w:t>84.</w:t>
      </w:r>
      <w:r>
        <w:tab/>
      </w:r>
      <w:r w:rsidRPr="005F6B78">
        <w:t xml:space="preserve">During her visit, the expert was informed of the work of the Provincial Inquiry dealing with the investigation of misconduct and violence of police forces against </w:t>
      </w:r>
      <w:r>
        <w:t>Indigenous</w:t>
      </w:r>
      <w:r w:rsidRPr="005F6B78">
        <w:t xml:space="preserve"> women in Quebec. The mandate of the Inquiry includes investigating specific cases. She has also been made aware of a similar request for an inquiry in relation to the death of Tina </w:t>
      </w:r>
      <w:proofErr w:type="spellStart"/>
      <w:r w:rsidRPr="005F6B78">
        <w:t>Fountaine</w:t>
      </w:r>
      <w:proofErr w:type="spellEnd"/>
      <w:r w:rsidRPr="005F6B78">
        <w:t xml:space="preserve"> in Winnipeg. The request included the need to examine the failure of the whole social child welfa</w:t>
      </w:r>
      <w:r>
        <w:t>re and criminal justice system.</w:t>
      </w:r>
    </w:p>
    <w:p w:rsidR="002C2558" w:rsidRPr="005B700E" w:rsidRDefault="002C2558" w:rsidP="002C2558">
      <w:pPr>
        <w:pStyle w:val="H23G"/>
      </w:pPr>
      <w:r w:rsidRPr="005B700E">
        <w:tab/>
        <w:t>3.</w:t>
      </w:r>
      <w:r w:rsidRPr="005B700E">
        <w:tab/>
        <w:t>Violence against women and girls with disabilities</w:t>
      </w:r>
    </w:p>
    <w:p w:rsidR="002C2558" w:rsidRPr="005F6B78" w:rsidRDefault="002C2558" w:rsidP="002C2558">
      <w:pPr>
        <w:pStyle w:val="SingleTxtG"/>
      </w:pPr>
      <w:r>
        <w:t>85.</w:t>
      </w:r>
      <w:r>
        <w:tab/>
      </w:r>
      <w:r w:rsidRPr="005F6B78">
        <w:t>In line with of the most recent concluding observations to the State Party under the CEDAW Convention, the CRPD and the CESCR, the Rapporteur expressed serious concern about the high incidences of violence against women and girls with disabilities. Even though all relevant federal and provincial legislation already prohibits violence against persons with disabilities, the law has not been successful enough in the prevention or reduction of violence. Based on the information received and the shelters she visited, services for assistance and home support or adapted transportation lack accessibili</w:t>
      </w:r>
      <w:r>
        <w:t>ty for women with disabilities.</w:t>
      </w:r>
      <w:r w:rsidRPr="00632839">
        <w:rPr>
          <w:sz w:val="18"/>
          <w:szCs w:val="18"/>
          <w:vertAlign w:val="superscript"/>
        </w:rPr>
        <w:footnoteReference w:id="56"/>
      </w:r>
    </w:p>
    <w:p w:rsidR="002C2558" w:rsidRPr="005F6B78" w:rsidRDefault="002C2558" w:rsidP="002C2558">
      <w:pPr>
        <w:pStyle w:val="SingleTxtG"/>
      </w:pPr>
      <w:r>
        <w:t>86.</w:t>
      </w:r>
      <w:r>
        <w:tab/>
        <w:t>W</w:t>
      </w:r>
      <w:r w:rsidRPr="005F6B78">
        <w:t xml:space="preserve">omen </w:t>
      </w:r>
      <w:r>
        <w:t>with disabilities</w:t>
      </w:r>
      <w:r w:rsidRPr="005F6B78">
        <w:t xml:space="preserve"> are at risk of many forms of violence– neglect, physical abuse, sexual abuse, psychological abuse and financial exploitation. Because there is a lack of accessible and affordable housing, women with disabilities are forced into institutions and become more vulnerable to abuse. They are twice as likely as women without disability to be victims of violent crime and to be sexually assaulted</w:t>
      </w:r>
      <w:r w:rsidRPr="00632839">
        <w:rPr>
          <w:sz w:val="18"/>
          <w:szCs w:val="18"/>
          <w:vertAlign w:val="superscript"/>
        </w:rPr>
        <w:footnoteReference w:id="57"/>
      </w:r>
      <w:r w:rsidRPr="005F6B78">
        <w:t xml:space="preserve"> and they are also particularly vulnerable to being trafficked for sexual and </w:t>
      </w:r>
      <w:proofErr w:type="spellStart"/>
      <w:r w:rsidRPr="005F6B78">
        <w:t>labor</w:t>
      </w:r>
      <w:proofErr w:type="spellEnd"/>
      <w:r w:rsidRPr="005F6B78">
        <w:t xml:space="preserve"> exploitation.</w:t>
      </w:r>
    </w:p>
    <w:p w:rsidR="002C2558" w:rsidRPr="005F6B78" w:rsidRDefault="002C2558" w:rsidP="002C2558">
      <w:pPr>
        <w:pStyle w:val="SingleTxtG"/>
      </w:pPr>
      <w:r>
        <w:t>87.</w:t>
      </w:r>
      <w:r>
        <w:tab/>
      </w:r>
      <w:r w:rsidRPr="005F6B78">
        <w:t xml:space="preserve">According to the British Columbia Aboriginal Network on Disability Society (BCANDS), the rate of disability among </w:t>
      </w:r>
      <w:r>
        <w:t>Indigenous</w:t>
      </w:r>
      <w:r w:rsidRPr="005F6B78">
        <w:t xml:space="preserve"> persons in Canada is two to three times higher than the national rate. </w:t>
      </w:r>
      <w:r>
        <w:t>Indigenous</w:t>
      </w:r>
      <w:r w:rsidRPr="005F6B78">
        <w:t xml:space="preserve"> women and black women with disabilities are also over represented in prison, trafficking and homelessness.</w:t>
      </w:r>
    </w:p>
    <w:p w:rsidR="002C2558" w:rsidRPr="005F6B78" w:rsidRDefault="002C2558" w:rsidP="002C2558">
      <w:pPr>
        <w:pStyle w:val="SingleTxtG"/>
      </w:pPr>
      <w:r>
        <w:t>88.</w:t>
      </w:r>
      <w:r>
        <w:tab/>
      </w:r>
      <w:r w:rsidRPr="005F6B78">
        <w:t xml:space="preserve">The lack of comprehensive data on violence against women with disabilities stems from lack of </w:t>
      </w:r>
      <w:r>
        <w:t>self-</w:t>
      </w:r>
      <w:r w:rsidRPr="005F6B78">
        <w:t>reporting</w:t>
      </w:r>
      <w:r>
        <w:t xml:space="preserve"> by female victims with disabilities</w:t>
      </w:r>
      <w:r w:rsidRPr="005F6B78">
        <w:t xml:space="preserve">. This is due by the stigmatization faced by them because they are women with disabilities that is further exacerbated by factors </w:t>
      </w:r>
      <w:r>
        <w:t>such as</w:t>
      </w:r>
      <w:r w:rsidRPr="005F6B78">
        <w:t xml:space="preserve"> race and age.</w:t>
      </w:r>
    </w:p>
    <w:p w:rsidR="002C2558" w:rsidRPr="005B700E" w:rsidRDefault="002C2558" w:rsidP="002C2558">
      <w:pPr>
        <w:pStyle w:val="H23G"/>
      </w:pPr>
      <w:r w:rsidRPr="005B700E">
        <w:tab/>
        <w:t>4.</w:t>
      </w:r>
      <w:r w:rsidRPr="005B700E">
        <w:tab/>
        <w:t xml:space="preserve">Violence against women asylum seekers and refugees </w:t>
      </w:r>
    </w:p>
    <w:p w:rsidR="002C2558" w:rsidRPr="005F6B78" w:rsidRDefault="002C2558" w:rsidP="002C2558">
      <w:pPr>
        <w:pStyle w:val="SingleTxtG"/>
      </w:pPr>
      <w:r>
        <w:t>89.</w:t>
      </w:r>
      <w:r>
        <w:tab/>
      </w:r>
      <w:r w:rsidRPr="005F6B78">
        <w:t xml:space="preserve">The Rapporteur acknowledged Canada’s longstanding policy in welcoming migrants to the country. However, during her visit, she collected information about immigration and refugee policies practice carried out by the </w:t>
      </w:r>
      <w:r>
        <w:t xml:space="preserve">Canada </w:t>
      </w:r>
      <w:r w:rsidRPr="005F6B78">
        <w:t>Border Services Agency (CBSA) under which women, including pregnant women, and children can be detained indefinitely.</w:t>
      </w:r>
    </w:p>
    <w:p w:rsidR="002C2558" w:rsidRPr="005F6B78" w:rsidRDefault="002C2558" w:rsidP="002C2558">
      <w:pPr>
        <w:pStyle w:val="SingleTxtG"/>
      </w:pPr>
      <w:r>
        <w:t>90.</w:t>
      </w:r>
      <w:r>
        <w:tab/>
      </w:r>
      <w:r w:rsidRPr="005F6B78">
        <w:t xml:space="preserve">Migrant women </w:t>
      </w:r>
      <w:r>
        <w:rPr>
          <w:rStyle w:val="Hyperlink3"/>
          <w:lang w:val="en-US"/>
        </w:rPr>
        <w:t xml:space="preserve">are made </w:t>
      </w:r>
      <w:r w:rsidRPr="005F6B78">
        <w:t>more vulnerable to violence and abuse through their employment relationships, precarious migration status, and gendered pathways to migration and survivors of gender-based violence, as well as discriminatory policies concerning child custody and protection. Such vulnerability is even worse for black women, LGBT</w:t>
      </w:r>
      <w:r>
        <w:t>Q2 individuals</w:t>
      </w:r>
      <w:r w:rsidRPr="005F6B78">
        <w:t xml:space="preserve"> and women with disabilities.</w:t>
      </w:r>
    </w:p>
    <w:p w:rsidR="002C2558" w:rsidRPr="005F6B78" w:rsidRDefault="002C2558" w:rsidP="002C2558">
      <w:pPr>
        <w:pStyle w:val="SingleTxtG"/>
      </w:pPr>
      <w:r>
        <w:t>91.</w:t>
      </w:r>
      <w:r>
        <w:tab/>
      </w:r>
      <w:r w:rsidRPr="005F6B78">
        <w:t xml:space="preserve">Although gender is not explicitly expressed as an enumerated Convention ground for refugee protection, the Immigration and Refugee Board (IRB) has interpreted gender to be included as one of the enumerated grounds as a “particular social group.” Under section 96 of the Immigration and Refugee Protection Act (S.C. 2001, c. 27), a Convention Refugee must establish a well-founded fear of persecution for reasons of membership in a particular social group; they must further show that they are unable or unwilling to avail themselves of the protection of their country of origin. Although section 97 of the Act was meant to bring it in line with Canada’s international obligations under the International Convention Against Torture, the expert highlights that a number of studies have shown that, in practice, the Refugee Protection Division (RPD) adjudicators fail to assess the gendered aspects of a claimant’s fear of persecution for gender-based violence, and will instead suggest that these women are fleeing from a generalized risk of crime. This is a result of the failure to clearly enumerate gender as a separate basis on which </w:t>
      </w:r>
      <w:r>
        <w:t>refugee status can be claimed.</w:t>
      </w:r>
    </w:p>
    <w:p w:rsidR="002C2558" w:rsidRDefault="002C2558" w:rsidP="002C2558">
      <w:pPr>
        <w:pStyle w:val="SingleTxtG"/>
      </w:pPr>
      <w:r>
        <w:t>92.</w:t>
      </w:r>
      <w:r>
        <w:tab/>
      </w:r>
      <w:r w:rsidRPr="005F6B78">
        <w:t>Of particular concern is also the inability of migrants and refugees victims of violence to access a separate permit permission and available services and assistance, including legal aid. Women who arrive in Canada as sponsored spouses are often unable to leave sponsorship relationships that have become violent as a result of application criteria that fail to consider the realities of abused wo</w:t>
      </w:r>
      <w:r>
        <w:t>men.</w:t>
      </w:r>
    </w:p>
    <w:p w:rsidR="002C2558" w:rsidRPr="005B700E" w:rsidRDefault="002C2558" w:rsidP="002C2558">
      <w:pPr>
        <w:pStyle w:val="H23G"/>
      </w:pPr>
      <w:r>
        <w:tab/>
      </w:r>
      <w:r w:rsidRPr="005B700E">
        <w:t>5.</w:t>
      </w:r>
      <w:r w:rsidRPr="005B700E">
        <w:tab/>
        <w:t xml:space="preserve">Violence against rural women </w:t>
      </w:r>
    </w:p>
    <w:p w:rsidR="002C2558" w:rsidRPr="005F6B78" w:rsidRDefault="002C2558" w:rsidP="002C2558">
      <w:pPr>
        <w:pStyle w:val="SingleTxtG"/>
      </w:pPr>
      <w:r>
        <w:t>93.</w:t>
      </w:r>
      <w:r>
        <w:tab/>
      </w:r>
      <w:r w:rsidRPr="005F6B78">
        <w:t xml:space="preserve">In 2016, 16% of Canada’s population lived in a rural area. At the same time, 24% of violent crime, 18% of property crime, 23% of other Criminal Code offences, 32% of impaired driving and 22% of drug crime occurred in a rural area. As noted, certain types of crimes are overrepresented and victimization rates are highest for women in rural areas, including concerning violent crimes. </w:t>
      </w:r>
      <w:r>
        <w:t>For 2017,</w:t>
      </w:r>
      <w:r w:rsidRPr="00815A6E">
        <w:t xml:space="preserve"> </w:t>
      </w:r>
      <w:r>
        <w:t xml:space="preserve">police-reported rates of violent crime were higher for women of all age groups in rural than in urban areas. </w:t>
      </w:r>
      <w:r w:rsidRPr="005F6B78">
        <w:t xml:space="preserve">Crimes committed by intimate partners are disproportionately high also in rural areas. </w:t>
      </w:r>
    </w:p>
    <w:p w:rsidR="002C2558" w:rsidRPr="005D229F" w:rsidRDefault="002C2558" w:rsidP="002C2558">
      <w:pPr>
        <w:pStyle w:val="SingleTxtG"/>
      </w:pPr>
      <w:r>
        <w:t>94.</w:t>
      </w:r>
      <w:r>
        <w:tab/>
      </w:r>
      <w:r w:rsidRPr="005F6B78">
        <w:t>Among the issues exacerbating violence against women in rural context there is social isolation, access to weapon and unregulated fire arms, the lack of legal representation and ICT access, limited public transportation and day care services, and economic crisis and poverty. The lack of access to services for women and confidentiality when reporting abuses, social, cultural psychological isolation also exacerbate violence against women and girls in rural areas, including in terms</w:t>
      </w:r>
      <w:r>
        <w:t xml:space="preserve"> of underreporting of violence.</w:t>
      </w:r>
    </w:p>
    <w:p w:rsidR="002C2558" w:rsidRPr="001135B8" w:rsidRDefault="002C2558" w:rsidP="002C2558">
      <w:pPr>
        <w:pStyle w:val="HChG"/>
      </w:pPr>
      <w:r>
        <w:tab/>
        <w:t>VI.</w:t>
      </w:r>
      <w:r>
        <w:tab/>
        <w:t>Conclusions and recommendations</w:t>
      </w:r>
    </w:p>
    <w:p w:rsidR="002C2558" w:rsidRPr="00CF73EE" w:rsidRDefault="002C2558" w:rsidP="002C2558">
      <w:pPr>
        <w:pStyle w:val="SingleTxtG"/>
        <w:rPr>
          <w:b/>
          <w:u w:color="000000"/>
          <w:bdr w:val="nil"/>
          <w:lang w:eastAsia="en-GB"/>
        </w:rPr>
      </w:pPr>
      <w:r w:rsidRPr="008C5C12">
        <w:rPr>
          <w:u w:color="000000"/>
          <w:bdr w:val="nil"/>
          <w:lang w:val="en-US" w:eastAsia="en-GB"/>
        </w:rPr>
        <w:t>95</w:t>
      </w:r>
      <w:r>
        <w:rPr>
          <w:b/>
          <w:u w:color="000000"/>
          <w:bdr w:val="nil"/>
          <w:lang w:val="en-US" w:eastAsia="en-GB"/>
        </w:rPr>
        <w:t>.</w:t>
      </w:r>
      <w:r>
        <w:rPr>
          <w:b/>
          <w:u w:color="000000"/>
          <w:bdr w:val="nil"/>
          <w:lang w:val="en-US" w:eastAsia="en-GB"/>
        </w:rPr>
        <w:tab/>
      </w:r>
      <w:r w:rsidR="00E810CA">
        <w:rPr>
          <w:b/>
          <w:u w:color="000000"/>
          <w:bdr w:val="nil"/>
          <w:lang w:val="en-US" w:eastAsia="en-GB"/>
        </w:rPr>
        <w:t>B</w:t>
      </w:r>
      <w:r w:rsidRPr="00CF73EE">
        <w:rPr>
          <w:b/>
          <w:u w:color="000000"/>
          <w:bdr w:val="nil"/>
          <w:lang w:val="en-US" w:eastAsia="en-GB"/>
        </w:rPr>
        <w:t>ased on the above findings and in a spirit of cooperation and dialogue, the Special Rapporteur on violence against women</w:t>
      </w:r>
      <w:r>
        <w:rPr>
          <w:b/>
          <w:u w:color="000000"/>
          <w:bdr w:val="nil"/>
          <w:lang w:val="en-US" w:eastAsia="en-GB"/>
        </w:rPr>
        <w:t>,</w:t>
      </w:r>
      <w:r w:rsidRPr="00CF73EE">
        <w:rPr>
          <w:b/>
          <w:u w:color="000000"/>
          <w:bdr w:val="nil"/>
          <w:lang w:val="en-US" w:eastAsia="en-GB"/>
        </w:rPr>
        <w:t xml:space="preserve"> its causes and consequences, a mandate whose establishment had Canada as a lead player 25 years ago, offers the Government of </w:t>
      </w:r>
      <w:r w:rsidRPr="00CF73EE">
        <w:rPr>
          <w:b/>
          <w:bCs/>
          <w:u w:color="000000"/>
          <w:bdr w:val="nil"/>
          <w:lang w:eastAsia="en-GB"/>
        </w:rPr>
        <w:t>Canada</w:t>
      </w:r>
      <w:r w:rsidRPr="00CF73EE">
        <w:rPr>
          <w:b/>
          <w:u w:color="000000"/>
          <w:bdr w:val="nil"/>
          <w:lang w:val="en-US" w:eastAsia="en-GB"/>
        </w:rPr>
        <w:t xml:space="preserve"> the following recommendations: </w:t>
      </w:r>
    </w:p>
    <w:p w:rsidR="002C2558" w:rsidRPr="00CF73EE" w:rsidRDefault="00CB4ECE" w:rsidP="002C2558">
      <w:pPr>
        <w:pStyle w:val="SingleTxtG"/>
        <w:ind w:firstLine="567"/>
        <w:rPr>
          <w:b/>
        </w:rPr>
      </w:pPr>
      <w:r>
        <w:t>(</w:t>
      </w:r>
      <w:r w:rsidR="006804A7">
        <w:t>a</w:t>
      </w:r>
      <w:r w:rsidR="002C2558" w:rsidRPr="009C115F">
        <w:t>)</w:t>
      </w:r>
      <w:r w:rsidR="002C2558" w:rsidRPr="00CF73EE">
        <w:rPr>
          <w:b/>
        </w:rPr>
        <w:tab/>
      </w:r>
      <w:proofErr w:type="gramStart"/>
      <w:r w:rsidR="003E7ECD">
        <w:rPr>
          <w:b/>
        </w:rPr>
        <w:t>Concerning</w:t>
      </w:r>
      <w:proofErr w:type="gramEnd"/>
      <w:r w:rsidR="002C2558" w:rsidRPr="00CF73EE">
        <w:rPr>
          <w:b/>
        </w:rPr>
        <w:t xml:space="preserve"> the international framework on women’s rights, to ratify the Belem do Para’ Convention, as well as the OP-CAT</w:t>
      </w:r>
      <w:r w:rsidR="0034568F">
        <w:rPr>
          <w:b/>
        </w:rPr>
        <w:t>;</w:t>
      </w:r>
    </w:p>
    <w:p w:rsidR="002C2558" w:rsidRPr="00CF73EE" w:rsidRDefault="00CB4ECE" w:rsidP="002C2558">
      <w:pPr>
        <w:pStyle w:val="SingleTxtG"/>
        <w:ind w:firstLine="567"/>
        <w:rPr>
          <w:b/>
        </w:rPr>
      </w:pPr>
      <w:r>
        <w:t>(</w:t>
      </w:r>
      <w:r w:rsidR="006804A7">
        <w:t>b</w:t>
      </w:r>
      <w:r w:rsidR="002C2558" w:rsidRPr="009C115F">
        <w:t>)</w:t>
      </w:r>
      <w:r w:rsidR="002C2558" w:rsidRPr="00CF73EE">
        <w:rPr>
          <w:b/>
        </w:rPr>
        <w:tab/>
        <w:t xml:space="preserve">Effectively, fully harmonize laws at all levels of the national jurisdiction with the CEDAW Convention and, with regards to </w:t>
      </w:r>
      <w:r w:rsidR="002C2558">
        <w:rPr>
          <w:b/>
        </w:rPr>
        <w:t>Indigenous</w:t>
      </w:r>
      <w:r w:rsidR="002C2558" w:rsidRPr="00CF73EE">
        <w:rPr>
          <w:b/>
        </w:rPr>
        <w:t xml:space="preserve"> women, in conjunction with the United Nations Declaration on the Rights of </w:t>
      </w:r>
      <w:r w:rsidR="002C2558">
        <w:rPr>
          <w:b/>
        </w:rPr>
        <w:t>Indigenous</w:t>
      </w:r>
      <w:r w:rsidR="002C2558" w:rsidRPr="00CF73EE">
        <w:rPr>
          <w:b/>
        </w:rPr>
        <w:t xml:space="preserve"> Peoples</w:t>
      </w:r>
      <w:r w:rsidR="0034568F">
        <w:rPr>
          <w:b/>
        </w:rPr>
        <w:t>;</w:t>
      </w:r>
      <w:r w:rsidR="002C2558" w:rsidRPr="00CF73EE">
        <w:rPr>
          <w:b/>
        </w:rPr>
        <w:t xml:space="preserve"> </w:t>
      </w:r>
    </w:p>
    <w:p w:rsidR="002C2558" w:rsidRPr="00CF73EE" w:rsidRDefault="00CB4ECE" w:rsidP="002C2558">
      <w:pPr>
        <w:pStyle w:val="SingleTxtG"/>
        <w:ind w:firstLine="567"/>
        <w:rPr>
          <w:b/>
        </w:rPr>
      </w:pPr>
      <w:r>
        <w:t>(</w:t>
      </w:r>
      <w:r w:rsidR="006804A7">
        <w:t>c</w:t>
      </w:r>
      <w:r w:rsidR="002C2558" w:rsidRPr="009C115F">
        <w:t>)</w:t>
      </w:r>
      <w:r w:rsidR="002C2558" w:rsidRPr="00CF73EE">
        <w:rPr>
          <w:b/>
        </w:rPr>
        <w:tab/>
      </w:r>
      <w:r w:rsidR="003E7ECD">
        <w:rPr>
          <w:b/>
        </w:rPr>
        <w:t>E</w:t>
      </w:r>
      <w:r w:rsidR="002C2558" w:rsidRPr="00CF73EE">
        <w:rPr>
          <w:b/>
        </w:rPr>
        <w:t>nacting a federal law on combating and preventing violence against women and domestic violence, based on the CEDAW Convention, the CEDAW General Recommendations No. 35, the DEVAW, and the Belem do Para Convention</w:t>
      </w:r>
      <w:r w:rsidR="0034568F">
        <w:rPr>
          <w:b/>
        </w:rPr>
        <w:t>;</w:t>
      </w:r>
      <w:r w:rsidR="002C2558" w:rsidRPr="00CF73EE">
        <w:rPr>
          <w:b/>
        </w:rPr>
        <w:t xml:space="preserve"> </w:t>
      </w:r>
    </w:p>
    <w:p w:rsidR="002C2558" w:rsidRPr="00CF73EE" w:rsidRDefault="00CB4ECE" w:rsidP="002C2558">
      <w:pPr>
        <w:pStyle w:val="SingleTxtG"/>
        <w:ind w:firstLine="567"/>
        <w:rPr>
          <w:b/>
        </w:rPr>
      </w:pPr>
      <w:r>
        <w:t>(</w:t>
      </w:r>
      <w:r w:rsidR="006804A7">
        <w:t>d</w:t>
      </w:r>
      <w:r w:rsidR="002C2558" w:rsidRPr="009C115F">
        <w:t>)</w:t>
      </w:r>
      <w:r w:rsidR="002C2558" w:rsidRPr="00CF73EE">
        <w:rPr>
          <w:b/>
        </w:rPr>
        <w:tab/>
        <w:t xml:space="preserve">Ensure the </w:t>
      </w:r>
      <w:r w:rsidR="002C2558">
        <w:rPr>
          <w:b/>
        </w:rPr>
        <w:t>harmonization of</w:t>
      </w:r>
      <w:r w:rsidR="002C2558" w:rsidRPr="00CF73EE">
        <w:rPr>
          <w:b/>
        </w:rPr>
        <w:t xml:space="preserve"> the legislation on violence against women and domestic violence across all federal/provincial/territorial jurisdictions in line with the CEDAW, the DEVAW and other international and regional human</w:t>
      </w:r>
      <w:r w:rsidR="002C2558" w:rsidRPr="00CF73EE">
        <w:rPr>
          <w:rFonts w:eastAsia="Calibri"/>
          <w:b/>
        </w:rPr>
        <w:t xml:space="preserve"> rights instruments and commit to ensuring that feminist and equality-seeking group</w:t>
      </w:r>
      <w:r w:rsidR="002C2558" w:rsidRPr="00CF73EE">
        <w:rPr>
          <w:b/>
        </w:rPr>
        <w:t>s</w:t>
      </w:r>
      <w:r w:rsidR="002C2558" w:rsidRPr="00CF73EE">
        <w:rPr>
          <w:rFonts w:eastAsia="Calibri"/>
          <w:b/>
        </w:rPr>
        <w:t xml:space="preserve"> are systematically </w:t>
      </w:r>
      <w:r w:rsidR="002C2558" w:rsidRPr="00CF73EE">
        <w:rPr>
          <w:b/>
        </w:rPr>
        <w:t xml:space="preserve">involved </w:t>
      </w:r>
      <w:r w:rsidR="002C2558" w:rsidRPr="00CF73EE">
        <w:rPr>
          <w:rFonts w:eastAsia="Calibri"/>
          <w:b/>
        </w:rPr>
        <w:t>in the framing and monitoring of all</w:t>
      </w:r>
      <w:r w:rsidR="002C2558" w:rsidRPr="00CF73EE">
        <w:rPr>
          <w:b/>
        </w:rPr>
        <w:t xml:space="preserve"> the law reform initiatives on</w:t>
      </w:r>
      <w:r w:rsidR="002C2558" w:rsidRPr="00CF73EE">
        <w:rPr>
          <w:rFonts w:eastAsia="Calibri"/>
          <w:b/>
        </w:rPr>
        <w:t xml:space="preserve"> </w:t>
      </w:r>
      <w:r w:rsidR="002C2558" w:rsidRPr="00CF73EE">
        <w:rPr>
          <w:b/>
        </w:rPr>
        <w:t>violence against women</w:t>
      </w:r>
      <w:r w:rsidR="0034568F">
        <w:rPr>
          <w:b/>
        </w:rPr>
        <w:t>;</w:t>
      </w:r>
      <w:r w:rsidR="002C2558" w:rsidRPr="00CF73EE">
        <w:rPr>
          <w:b/>
        </w:rPr>
        <w:t xml:space="preserve"> </w:t>
      </w:r>
    </w:p>
    <w:p w:rsidR="002C2558" w:rsidRPr="00CF73EE" w:rsidRDefault="00CB4ECE" w:rsidP="002C2558">
      <w:pPr>
        <w:pStyle w:val="SingleTxtG"/>
        <w:ind w:firstLine="567"/>
        <w:rPr>
          <w:rFonts w:ascii="Calibri" w:eastAsia="Calibri" w:hAnsi="Calibri" w:cs="Calibri"/>
          <w:b/>
          <w:u w:color="000000"/>
          <w:bdr w:val="nil"/>
          <w:lang w:val="en-US" w:eastAsia="en-GB"/>
        </w:rPr>
      </w:pPr>
      <w:r>
        <w:t>(</w:t>
      </w:r>
      <w:r w:rsidR="006804A7">
        <w:t>e</w:t>
      </w:r>
      <w:r w:rsidR="002C2558" w:rsidRPr="009C115F">
        <w:t>)</w:t>
      </w:r>
      <w:r w:rsidR="002C2558" w:rsidRPr="00CF73EE">
        <w:rPr>
          <w:b/>
        </w:rPr>
        <w:tab/>
        <w:t xml:space="preserve">The </w:t>
      </w:r>
      <w:r w:rsidR="003E7ECD">
        <w:rPr>
          <w:b/>
        </w:rPr>
        <w:t>Rapporteur</w:t>
      </w:r>
      <w:r w:rsidR="002C2558" w:rsidRPr="00CF73EE">
        <w:rPr>
          <w:b/>
        </w:rPr>
        <w:t xml:space="preserve"> highlights that there is an urgent need for a more comprehensive and holistic National Action Plan on violence against women</w:t>
      </w:r>
      <w:r w:rsidR="002C2558">
        <w:rPr>
          <w:b/>
        </w:rPr>
        <w:t>,</w:t>
      </w:r>
      <w:r w:rsidR="002C2558" w:rsidRPr="00CF73EE">
        <w:rPr>
          <w:b/>
        </w:rPr>
        <w:t xml:space="preserve"> ensur</w:t>
      </w:r>
      <w:r w:rsidR="002C2558">
        <w:rPr>
          <w:b/>
        </w:rPr>
        <w:t>ing</w:t>
      </w:r>
      <w:r w:rsidR="002C2558" w:rsidRPr="00CF73EE">
        <w:rPr>
          <w:b/>
        </w:rPr>
        <w:t xml:space="preserve"> that women and girls in all areas of the country have access to comparable levels of services and human rights protection. She, therefore, recommends adopting, in cooperation with independent human rights institutions</w:t>
      </w:r>
      <w:r w:rsidR="002C2558" w:rsidRPr="00CF73EE">
        <w:rPr>
          <w:rFonts w:eastAsia="Calibri" w:cs="Calibri"/>
          <w:b/>
          <w:u w:color="000000"/>
          <w:bdr w:val="nil"/>
          <w:lang w:val="en-US" w:eastAsia="en-GB"/>
        </w:rPr>
        <w:t xml:space="preserve"> and CSOs, a National Action Plan on Violence Against Women and Domestic violence, based on human right standards on prevention, services and prosecution of violence against women</w:t>
      </w:r>
      <w:r w:rsidR="002C2558" w:rsidRPr="002662A4">
        <w:rPr>
          <w:rFonts w:eastAsia="Calibri" w:cs="Calibri"/>
          <w:b/>
          <w:u w:color="000000"/>
          <w:bdr w:val="nil"/>
          <w:lang w:val="en-US" w:eastAsia="en-GB"/>
        </w:rPr>
        <w:t xml:space="preserve"> </w:t>
      </w:r>
      <w:r w:rsidR="002C2558" w:rsidRPr="00CF73EE">
        <w:rPr>
          <w:rFonts w:eastAsia="Calibri" w:cs="Calibri"/>
          <w:b/>
          <w:u w:color="000000"/>
          <w:bdr w:val="nil"/>
          <w:lang w:val="en-US" w:eastAsia="en-GB"/>
        </w:rPr>
        <w:t>accepted</w:t>
      </w:r>
      <w:r w:rsidR="002C2558">
        <w:rPr>
          <w:rFonts w:eastAsia="Calibri" w:cs="Calibri"/>
          <w:b/>
          <w:u w:color="000000"/>
          <w:bdr w:val="nil"/>
          <w:lang w:val="en-US" w:eastAsia="en-GB"/>
        </w:rPr>
        <w:t xml:space="preserve"> by Canada</w:t>
      </w:r>
      <w:r w:rsidR="002C2558" w:rsidRPr="00CF73EE">
        <w:rPr>
          <w:rFonts w:eastAsia="Calibri" w:cs="Calibri"/>
          <w:b/>
          <w:u w:color="000000"/>
          <w:bdr w:val="nil"/>
          <w:lang w:val="en-US" w:eastAsia="en-GB"/>
        </w:rPr>
        <w:t>, such as the CEDAW Convention and its General Recommendation No. 35 on gender-based violence against women</w:t>
      </w:r>
      <w:r w:rsidR="0034568F">
        <w:rPr>
          <w:rFonts w:eastAsia="Calibri" w:cs="Calibri"/>
          <w:b/>
          <w:u w:color="000000"/>
          <w:bdr w:val="nil"/>
          <w:lang w:val="en-US" w:eastAsia="en-GB"/>
        </w:rPr>
        <w:t>;</w:t>
      </w:r>
    </w:p>
    <w:p w:rsidR="002C2558" w:rsidRPr="00CF73EE" w:rsidRDefault="00CB4ECE" w:rsidP="002C2558">
      <w:pPr>
        <w:pStyle w:val="SingleTxtG"/>
        <w:ind w:firstLine="567"/>
        <w:rPr>
          <w:rFonts w:eastAsia="Arial Unicode MS"/>
          <w:b/>
          <w:bdr w:val="nil"/>
          <w:lang w:val="en-US"/>
        </w:rPr>
      </w:pPr>
      <w:r>
        <w:rPr>
          <w:rFonts w:eastAsia="Arial Unicode MS"/>
          <w:bdr w:val="nil"/>
          <w:lang w:val="en-US"/>
        </w:rPr>
        <w:t>(</w:t>
      </w:r>
      <w:r w:rsidR="006804A7">
        <w:rPr>
          <w:rFonts w:eastAsia="Arial Unicode MS"/>
          <w:bdr w:val="nil"/>
          <w:lang w:val="en-US"/>
        </w:rPr>
        <w:t>f</w:t>
      </w:r>
      <w:r w:rsidR="002C2558" w:rsidRPr="009C115F">
        <w:rPr>
          <w:rFonts w:eastAsia="Arial Unicode MS"/>
          <w:bdr w:val="nil"/>
          <w:lang w:val="en-US"/>
        </w:rPr>
        <w:t>)</w:t>
      </w:r>
      <w:r w:rsidR="002C2558" w:rsidRPr="00CF73EE">
        <w:rPr>
          <w:rFonts w:eastAsia="Arial Unicode MS"/>
          <w:b/>
          <w:bdr w:val="nil"/>
          <w:lang w:val="en-US"/>
        </w:rPr>
        <w:tab/>
        <w:t xml:space="preserve">Adopt a National Action Plan on violence against </w:t>
      </w:r>
      <w:r w:rsidR="002C2558">
        <w:rPr>
          <w:rFonts w:eastAsia="Arial Unicode MS"/>
          <w:b/>
          <w:bdr w:val="nil"/>
          <w:lang w:val="en-US"/>
        </w:rPr>
        <w:t>Indigenous</w:t>
      </w:r>
      <w:r w:rsidR="002C2558" w:rsidRPr="00CF73EE">
        <w:rPr>
          <w:rFonts w:eastAsia="Arial Unicode MS"/>
          <w:b/>
          <w:bdr w:val="nil"/>
          <w:lang w:val="en-US"/>
        </w:rPr>
        <w:t xml:space="preserve"> women or elaborate it as a separate part of the recommended National Action Plan on Violence against women and domestic violence. This NAP should provide the same level of protection across the country based on the implementation of international human rights standards as well as the CEDAW Inquiry report recommendations (CEDAW/C/OP.8/CAN/1)</w:t>
      </w:r>
      <w:r w:rsidR="002F0EF7">
        <w:rPr>
          <w:rFonts w:eastAsia="Arial Unicode MS"/>
          <w:b/>
          <w:bdr w:val="nil"/>
          <w:lang w:val="en-US"/>
        </w:rPr>
        <w:t>.</w:t>
      </w:r>
    </w:p>
    <w:p w:rsidR="002C2558" w:rsidRPr="00CF73EE" w:rsidRDefault="00CB4ECE" w:rsidP="003E7ECD">
      <w:pPr>
        <w:pStyle w:val="SingleTxtG"/>
        <w:ind w:firstLine="567"/>
        <w:rPr>
          <w:rFonts w:ascii="Calibri" w:eastAsia="Calibri" w:hAnsi="Calibri" w:cs="Calibri"/>
          <w:b/>
          <w:u w:color="000000"/>
          <w:bdr w:val="nil"/>
          <w:lang w:val="en-US" w:eastAsia="en-GB"/>
        </w:rPr>
      </w:pPr>
      <w:r w:rsidRPr="00CB4ECE">
        <w:rPr>
          <w:rFonts w:eastAsia="Calibri" w:cs="Calibri"/>
          <w:u w:color="000000"/>
          <w:bdr w:val="nil"/>
          <w:lang w:val="en-US" w:eastAsia="en-GB"/>
        </w:rPr>
        <w:t>(</w:t>
      </w:r>
      <w:r w:rsidR="003E7ECD" w:rsidRPr="00CB4ECE">
        <w:rPr>
          <w:rFonts w:eastAsia="Calibri" w:cs="Calibri"/>
          <w:u w:color="000000"/>
          <w:bdr w:val="nil"/>
          <w:lang w:val="en-US" w:eastAsia="en-GB"/>
        </w:rPr>
        <w:t>g)</w:t>
      </w:r>
      <w:r w:rsidR="002C2558" w:rsidRPr="00CB4ECE">
        <w:rPr>
          <w:rFonts w:eastAsia="Calibri" w:cs="Calibri"/>
          <w:u w:color="000000"/>
          <w:bdr w:val="nil"/>
          <w:lang w:val="en-US" w:eastAsia="en-GB"/>
        </w:rPr>
        <w:tab/>
      </w:r>
      <w:r w:rsidR="002C2558" w:rsidRPr="00CF73EE">
        <w:rPr>
          <w:rFonts w:eastAsia="Calibri" w:cs="Calibri"/>
          <w:b/>
          <w:u w:color="000000"/>
          <w:bdr w:val="nil"/>
          <w:lang w:val="en-US" w:eastAsia="en-GB"/>
        </w:rPr>
        <w:t xml:space="preserve">Concerning the situation of violence against </w:t>
      </w:r>
      <w:r w:rsidR="002C2558">
        <w:rPr>
          <w:rFonts w:eastAsia="Calibri" w:cs="Calibri"/>
          <w:b/>
          <w:u w:color="000000"/>
          <w:bdr w:val="nil"/>
          <w:lang w:val="en-US" w:eastAsia="en-GB"/>
        </w:rPr>
        <w:t>Indigenous</w:t>
      </w:r>
      <w:r w:rsidR="002C2558" w:rsidRPr="00CF73EE">
        <w:rPr>
          <w:rFonts w:eastAsia="Calibri" w:cs="Calibri"/>
          <w:b/>
          <w:u w:color="000000"/>
          <w:bdr w:val="nil"/>
          <w:lang w:val="en-US" w:eastAsia="en-GB"/>
        </w:rPr>
        <w:t xml:space="preserve"> women, the mandate holder also reiterates her full endorsement of previous CEDAW Inquiry report recommendations and calls for their full</w:t>
      </w:r>
      <w:r w:rsidR="00AD06C8">
        <w:rPr>
          <w:rFonts w:eastAsia="Calibri" w:cs="Calibri"/>
          <w:b/>
          <w:u w:color="000000"/>
          <w:bdr w:val="nil"/>
          <w:lang w:val="en-US" w:eastAsia="en-GB"/>
        </w:rPr>
        <w:t xml:space="preserve"> implementation. In particular:</w:t>
      </w:r>
    </w:p>
    <w:p w:rsidR="002C2558" w:rsidRPr="00CF73EE" w:rsidRDefault="00CB4ECE" w:rsidP="00CB4ECE">
      <w:pPr>
        <w:pStyle w:val="SingleTxtG"/>
        <w:ind w:left="2268"/>
        <w:rPr>
          <w:rFonts w:eastAsia="Calibri" w:cs="Calibri"/>
          <w:b/>
          <w:u w:color="000000"/>
          <w:bdr w:val="nil"/>
          <w:lang w:val="en-US" w:eastAsia="en-GB"/>
        </w:rPr>
      </w:pPr>
      <w:r>
        <w:rPr>
          <w:rFonts w:eastAsia="Calibri" w:cs="Calibri"/>
          <w:u w:color="000000"/>
          <w:bdr w:val="nil"/>
          <w:lang w:val="en-US" w:eastAsia="en-GB"/>
        </w:rPr>
        <w:t>(</w:t>
      </w:r>
      <w:proofErr w:type="spellStart"/>
      <w:r w:rsidR="003E7ECD">
        <w:rPr>
          <w:rFonts w:eastAsia="Calibri" w:cs="Calibri"/>
          <w:u w:color="000000"/>
          <w:bdr w:val="nil"/>
          <w:lang w:val="en-US" w:eastAsia="en-GB"/>
        </w:rPr>
        <w:t>i</w:t>
      </w:r>
      <w:proofErr w:type="spellEnd"/>
      <w:r w:rsidR="002C2558" w:rsidRPr="009C115F">
        <w:rPr>
          <w:rFonts w:eastAsia="Calibri" w:cs="Calibri"/>
          <w:u w:color="000000"/>
          <w:bdr w:val="nil"/>
          <w:lang w:val="en-US" w:eastAsia="en-GB"/>
        </w:rPr>
        <w:t>)</w:t>
      </w:r>
      <w:r w:rsidR="002C2558" w:rsidRPr="00CF73EE">
        <w:rPr>
          <w:rFonts w:eastAsia="Calibri" w:cs="Calibri"/>
          <w:b/>
          <w:u w:color="000000"/>
          <w:bdr w:val="nil"/>
          <w:lang w:val="en-US" w:eastAsia="en-GB"/>
        </w:rPr>
        <w:tab/>
        <w:t xml:space="preserve">Urgently repeal remaining discriminatory provisions in Canada’s Indian Act and any other discriminatory national law and practices against </w:t>
      </w:r>
      <w:r w:rsidR="002C2558">
        <w:rPr>
          <w:rFonts w:eastAsia="Calibri" w:cs="Calibri"/>
          <w:b/>
          <w:u w:color="000000"/>
          <w:bdr w:val="nil"/>
          <w:lang w:val="en-US" w:eastAsia="en-GB"/>
        </w:rPr>
        <w:t>Indigenous</w:t>
      </w:r>
      <w:r w:rsidR="002C2558" w:rsidRPr="00CF73EE">
        <w:rPr>
          <w:rFonts w:eastAsia="Calibri" w:cs="Calibri"/>
          <w:b/>
          <w:u w:color="000000"/>
          <w:bdr w:val="nil"/>
          <w:lang w:val="en-US" w:eastAsia="en-GB"/>
        </w:rPr>
        <w:t xml:space="preserve"> women and girls</w:t>
      </w:r>
      <w:r w:rsidR="008C3F61">
        <w:rPr>
          <w:rFonts w:eastAsia="Calibri" w:cs="Calibri"/>
          <w:b/>
          <w:u w:color="000000"/>
          <w:bdr w:val="nil"/>
          <w:lang w:val="en-US" w:eastAsia="en-GB"/>
        </w:rPr>
        <w:t>;</w:t>
      </w:r>
    </w:p>
    <w:p w:rsidR="002C2558" w:rsidRPr="00CF73EE" w:rsidRDefault="00CB4ECE" w:rsidP="00CB4ECE">
      <w:pPr>
        <w:pStyle w:val="SingleTxtG"/>
        <w:ind w:left="2268"/>
        <w:rPr>
          <w:rFonts w:eastAsia="Calibri" w:cs="Calibri"/>
          <w:b/>
          <w:u w:color="000000"/>
          <w:bdr w:val="nil"/>
          <w:lang w:val="en-US" w:eastAsia="en-GB"/>
        </w:rPr>
      </w:pPr>
      <w:r w:rsidRPr="00CB4ECE">
        <w:rPr>
          <w:rFonts w:eastAsia="Calibri" w:cs="Calibri"/>
          <w:u w:color="000000"/>
          <w:bdr w:val="nil"/>
          <w:lang w:val="en-US" w:eastAsia="en-GB"/>
        </w:rPr>
        <w:t>(</w:t>
      </w:r>
      <w:r w:rsidR="003E7ECD" w:rsidRPr="00CB4ECE">
        <w:rPr>
          <w:rFonts w:eastAsia="Calibri" w:cs="Calibri"/>
          <w:u w:color="000000"/>
          <w:bdr w:val="nil"/>
          <w:lang w:val="en-US" w:eastAsia="en-GB"/>
        </w:rPr>
        <w:t>ii)</w:t>
      </w:r>
      <w:r w:rsidR="002C2558" w:rsidRPr="00CF73EE">
        <w:rPr>
          <w:rFonts w:eastAsia="Calibri" w:cs="Calibri"/>
          <w:b/>
          <w:u w:color="000000"/>
          <w:bdr w:val="nil"/>
          <w:lang w:val="en-US" w:eastAsia="en-GB"/>
        </w:rPr>
        <w:tab/>
        <w:t xml:space="preserve">Adopt measures to improve the socioeconomic conditions of </w:t>
      </w:r>
      <w:r w:rsidR="002C2558">
        <w:rPr>
          <w:rFonts w:eastAsia="Calibri" w:cs="Calibri"/>
          <w:b/>
          <w:u w:color="000000"/>
          <w:bdr w:val="nil"/>
          <w:lang w:val="en-US" w:eastAsia="en-GB"/>
        </w:rPr>
        <w:t>Indigenous</w:t>
      </w:r>
      <w:r w:rsidR="002C2558" w:rsidRPr="00CF73EE">
        <w:rPr>
          <w:rFonts w:eastAsia="Calibri" w:cs="Calibri"/>
          <w:b/>
          <w:u w:color="000000"/>
          <w:bdr w:val="nil"/>
          <w:lang w:val="en-US" w:eastAsia="en-GB"/>
        </w:rPr>
        <w:t xml:space="preserve"> women and girls and provide adequate funding to support dedicated </w:t>
      </w:r>
      <w:r w:rsidR="002C2558">
        <w:rPr>
          <w:rFonts w:eastAsia="Calibri" w:cs="Calibri"/>
          <w:b/>
          <w:u w:color="000000"/>
          <w:bdr w:val="nil"/>
          <w:lang w:val="en-US" w:eastAsia="en-GB"/>
        </w:rPr>
        <w:t>Indigenous</w:t>
      </w:r>
      <w:r w:rsidR="002C2558" w:rsidRPr="00CF73EE">
        <w:rPr>
          <w:rFonts w:eastAsia="Calibri" w:cs="Calibri"/>
          <w:b/>
          <w:u w:color="000000"/>
          <w:bdr w:val="nil"/>
          <w:lang w:val="en-US" w:eastAsia="en-GB"/>
        </w:rPr>
        <w:t>-based holistic community supports</w:t>
      </w:r>
      <w:r w:rsidR="008C3F61">
        <w:rPr>
          <w:rFonts w:eastAsia="Calibri" w:cs="Calibri"/>
          <w:b/>
          <w:u w:color="000000"/>
          <w:bdr w:val="nil"/>
          <w:lang w:val="en-US" w:eastAsia="en-GB"/>
        </w:rPr>
        <w:t>;</w:t>
      </w:r>
    </w:p>
    <w:p w:rsidR="002C2558" w:rsidRPr="00CF73EE" w:rsidRDefault="00CB4ECE" w:rsidP="002C2558">
      <w:pPr>
        <w:pStyle w:val="SingleTxtG"/>
        <w:ind w:firstLine="567"/>
        <w:rPr>
          <w:rFonts w:eastAsia="Calibri" w:cs="Calibri"/>
          <w:b/>
          <w:u w:color="000000"/>
          <w:bdr w:val="nil"/>
          <w:lang w:val="en-US" w:eastAsia="en-GB"/>
        </w:rPr>
      </w:pPr>
      <w:r>
        <w:rPr>
          <w:rFonts w:eastAsia="Calibri" w:cs="Calibri"/>
          <w:u w:color="000000"/>
          <w:bdr w:val="nil"/>
          <w:lang w:val="en-US" w:eastAsia="en-GB"/>
        </w:rPr>
        <w:t>(</w:t>
      </w:r>
      <w:r w:rsidR="003E7ECD">
        <w:rPr>
          <w:rFonts w:eastAsia="Calibri" w:cs="Calibri"/>
          <w:u w:color="000000"/>
          <w:bdr w:val="nil"/>
          <w:lang w:val="en-US" w:eastAsia="en-GB"/>
        </w:rPr>
        <w:t>h</w:t>
      </w:r>
      <w:r w:rsidR="002C2558" w:rsidRPr="009C115F">
        <w:rPr>
          <w:rFonts w:eastAsia="Calibri" w:cs="Calibri"/>
          <w:u w:color="000000"/>
          <w:bdr w:val="nil"/>
          <w:lang w:val="en-US" w:eastAsia="en-GB"/>
        </w:rPr>
        <w:t>)</w:t>
      </w:r>
      <w:r w:rsidR="002C2558" w:rsidRPr="00CF73EE">
        <w:rPr>
          <w:rFonts w:eastAsia="Calibri" w:cs="Calibri"/>
          <w:b/>
          <w:u w:color="000000"/>
          <w:bdr w:val="nil"/>
          <w:lang w:val="en-US" w:eastAsia="en-GB"/>
        </w:rPr>
        <w:tab/>
        <w:t xml:space="preserve">Review family laws and the </w:t>
      </w:r>
      <w:r w:rsidR="002C2558" w:rsidRPr="00CF73EE">
        <w:rPr>
          <w:rFonts w:eastAsia="Calibri" w:cs="Calibri"/>
          <w:b/>
          <w:i/>
          <w:iCs/>
          <w:u w:color="000000"/>
          <w:bdr w:val="nil"/>
          <w:lang w:val="en-US" w:eastAsia="en-GB"/>
        </w:rPr>
        <w:t>Divorce Act (R.S.C., 1985, c. 3 (2nd Supp.))</w:t>
      </w:r>
      <w:r w:rsidR="002C2558" w:rsidRPr="00CF73EE">
        <w:rPr>
          <w:rFonts w:eastAsia="Calibri" w:cs="Calibri"/>
          <w:b/>
          <w:u w:color="000000"/>
          <w:bdr w:val="nil"/>
          <w:lang w:val="en-US" w:eastAsia="en-GB"/>
        </w:rPr>
        <w:t xml:space="preserve"> to ensure that domestic violence is taken in primarily consideration when a decision about child custody occurs and that protection orders are easily enforceable across all province and territories while guaranteeing freedom of movement to survivors</w:t>
      </w:r>
      <w:r w:rsidR="008C3F61">
        <w:rPr>
          <w:rFonts w:eastAsia="Calibri" w:cs="Calibri"/>
          <w:b/>
          <w:u w:color="000000"/>
          <w:bdr w:val="nil"/>
          <w:lang w:val="en-US" w:eastAsia="en-GB"/>
        </w:rPr>
        <w:t>;</w:t>
      </w:r>
    </w:p>
    <w:p w:rsidR="002C2558" w:rsidRPr="00CF73EE" w:rsidRDefault="00CB4ECE" w:rsidP="002C2558">
      <w:pPr>
        <w:pStyle w:val="SingleTxtG"/>
        <w:ind w:firstLine="567"/>
        <w:rPr>
          <w:rFonts w:eastAsia="Calibri" w:cs="Calibri"/>
          <w:b/>
          <w:u w:color="000000"/>
          <w:bdr w:val="nil"/>
          <w:lang w:val="en-US" w:eastAsia="en-GB"/>
        </w:rPr>
      </w:pPr>
      <w:r>
        <w:rPr>
          <w:rFonts w:eastAsia="Calibri" w:cs="Calibri"/>
          <w:u w:color="000000"/>
          <w:bdr w:val="nil"/>
          <w:lang w:val="en-US" w:eastAsia="en-GB"/>
        </w:rPr>
        <w:t>(</w:t>
      </w:r>
      <w:proofErr w:type="spellStart"/>
      <w:r w:rsidR="00254E2E">
        <w:rPr>
          <w:rFonts w:eastAsia="Calibri" w:cs="Calibri"/>
          <w:u w:color="000000"/>
          <w:bdr w:val="nil"/>
          <w:lang w:val="en-US" w:eastAsia="en-GB"/>
        </w:rPr>
        <w:t>i</w:t>
      </w:r>
      <w:proofErr w:type="spellEnd"/>
      <w:r w:rsidR="002C2558" w:rsidRPr="009C115F">
        <w:rPr>
          <w:rFonts w:eastAsia="Calibri" w:cs="Calibri"/>
          <w:u w:color="000000"/>
          <w:bdr w:val="nil"/>
          <w:lang w:val="en-US" w:eastAsia="en-GB"/>
        </w:rPr>
        <w:t>)</w:t>
      </w:r>
      <w:r w:rsidR="002C2558" w:rsidRPr="00CF73EE">
        <w:rPr>
          <w:rFonts w:eastAsia="Calibri" w:cs="Calibri"/>
          <w:b/>
          <w:u w:color="000000"/>
          <w:bdr w:val="nil"/>
          <w:lang w:val="en-US" w:eastAsia="en-GB"/>
        </w:rPr>
        <w:tab/>
        <w:t>Take the necessary legislative, or other, measures to ensure that a woman victim of violence is not criminalized when seeking for state protection and that the exercise of any visitation or custody rights does not jeopardize the rights and safety of the women who are victims of violence or their children</w:t>
      </w:r>
      <w:r w:rsidR="008C3F61">
        <w:rPr>
          <w:rFonts w:eastAsia="Calibri" w:cs="Calibri"/>
          <w:b/>
          <w:u w:color="000000"/>
          <w:bdr w:val="nil"/>
          <w:lang w:val="en-US" w:eastAsia="en-GB"/>
        </w:rPr>
        <w:t>;</w:t>
      </w:r>
    </w:p>
    <w:p w:rsidR="002C2558" w:rsidRPr="00CF73EE" w:rsidRDefault="00CB4ECE" w:rsidP="002C2558">
      <w:pPr>
        <w:pStyle w:val="SingleTxtG"/>
        <w:ind w:firstLine="567"/>
        <w:rPr>
          <w:rFonts w:eastAsia="Calibri" w:cs="Calibri"/>
          <w:b/>
          <w:u w:color="000000"/>
          <w:bdr w:val="nil"/>
          <w:lang w:val="en-US" w:eastAsia="en-GB"/>
        </w:rPr>
      </w:pPr>
      <w:r>
        <w:rPr>
          <w:rFonts w:eastAsia="Calibri" w:cs="Calibri"/>
          <w:u w:color="000000"/>
          <w:bdr w:val="nil"/>
          <w:lang w:val="en-US" w:eastAsia="en-GB"/>
        </w:rPr>
        <w:t>(</w:t>
      </w:r>
      <w:r w:rsidR="00254E2E">
        <w:rPr>
          <w:rFonts w:eastAsia="Calibri" w:cs="Calibri"/>
          <w:u w:color="000000"/>
          <w:bdr w:val="nil"/>
          <w:lang w:val="en-US" w:eastAsia="en-GB"/>
        </w:rPr>
        <w:t>j</w:t>
      </w:r>
      <w:r w:rsidR="002C2558" w:rsidRPr="009C115F">
        <w:rPr>
          <w:rFonts w:eastAsia="Calibri" w:cs="Calibri"/>
          <w:u w:color="000000"/>
          <w:bdr w:val="nil"/>
          <w:lang w:val="en-US" w:eastAsia="en-GB"/>
        </w:rPr>
        <w:t>)</w:t>
      </w:r>
      <w:r w:rsidR="002C2558" w:rsidRPr="00CF73EE">
        <w:rPr>
          <w:rFonts w:eastAsia="Calibri" w:cs="Calibri"/>
          <w:b/>
          <w:u w:color="000000"/>
          <w:bdr w:val="nil"/>
          <w:lang w:val="en-US" w:eastAsia="en-GB"/>
        </w:rPr>
        <w:tab/>
        <w:t>Review through gender lens the gun control legislation in order to harmonize it with the CEDAW Convention</w:t>
      </w:r>
      <w:r w:rsidR="008C3F61">
        <w:rPr>
          <w:rFonts w:eastAsia="Calibri" w:cs="Calibri"/>
          <w:b/>
          <w:u w:color="000000"/>
          <w:bdr w:val="nil"/>
          <w:lang w:val="en-US" w:eastAsia="en-GB"/>
        </w:rPr>
        <w:t>;</w:t>
      </w:r>
    </w:p>
    <w:p w:rsidR="002C2558" w:rsidRPr="00CF73EE" w:rsidRDefault="00CB4ECE" w:rsidP="002C2558">
      <w:pPr>
        <w:pStyle w:val="SingleTxtG"/>
        <w:ind w:firstLine="567"/>
        <w:rPr>
          <w:b/>
          <w:u w:color="000000"/>
          <w:bdr w:val="nil"/>
          <w:lang w:val="en-US" w:eastAsia="en-GB"/>
        </w:rPr>
      </w:pPr>
      <w:r>
        <w:rPr>
          <w:u w:color="000000"/>
          <w:bdr w:val="nil"/>
          <w:lang w:val="en-US" w:eastAsia="en-GB"/>
        </w:rPr>
        <w:t>(</w:t>
      </w:r>
      <w:r w:rsidR="00254E2E">
        <w:rPr>
          <w:u w:color="000000"/>
          <w:bdr w:val="nil"/>
          <w:lang w:val="en-US" w:eastAsia="en-GB"/>
        </w:rPr>
        <w:t>k</w:t>
      </w:r>
      <w:r w:rsidR="002C2558" w:rsidRPr="009C115F">
        <w:rPr>
          <w:u w:color="000000"/>
          <w:bdr w:val="nil"/>
          <w:lang w:val="en-US" w:eastAsia="en-GB"/>
        </w:rPr>
        <w:t>)</w:t>
      </w:r>
      <w:r w:rsidR="002C2558" w:rsidRPr="00CF73EE">
        <w:rPr>
          <w:b/>
          <w:u w:color="000000"/>
          <w:bdr w:val="nil"/>
          <w:lang w:val="en-US" w:eastAsia="en-GB"/>
        </w:rPr>
        <w:tab/>
        <w:t xml:space="preserve">As enshrined in the CEDAW Convention, provide awareness-raising and training programs on women’s rights and violence against women, including on sexual violence and harassment, addressed to law enforcement officials, social and health workers, teachers and the general public, including information and guidelines on the specific needs of </w:t>
      </w:r>
      <w:r w:rsidR="002C2558">
        <w:rPr>
          <w:b/>
          <w:u w:color="000000"/>
          <w:bdr w:val="nil"/>
          <w:lang w:val="en-US" w:eastAsia="en-GB"/>
        </w:rPr>
        <w:t>Indigenous</w:t>
      </w:r>
      <w:r w:rsidR="002C2558" w:rsidRPr="00CF73EE">
        <w:rPr>
          <w:b/>
          <w:u w:color="000000"/>
          <w:bdr w:val="nil"/>
          <w:lang w:val="en-US" w:eastAsia="en-GB"/>
        </w:rPr>
        <w:t xml:space="preserve"> women, LGBT</w:t>
      </w:r>
      <w:r w:rsidR="002C2558">
        <w:rPr>
          <w:b/>
          <w:u w:color="000000"/>
          <w:bdr w:val="nil"/>
          <w:lang w:val="en-US" w:eastAsia="en-GB"/>
        </w:rPr>
        <w:t>2 individuals</w:t>
      </w:r>
      <w:r w:rsidR="002C2558" w:rsidRPr="00CF73EE">
        <w:rPr>
          <w:b/>
          <w:u w:color="000000"/>
          <w:bdr w:val="nil"/>
          <w:lang w:val="en-US" w:eastAsia="en-GB"/>
        </w:rPr>
        <w:t>, women with disabilities and other women belonging to groups that are particularly a target of violence</w:t>
      </w:r>
      <w:r w:rsidR="008C3F61">
        <w:rPr>
          <w:b/>
          <w:u w:color="000000"/>
          <w:bdr w:val="nil"/>
          <w:lang w:val="en-US" w:eastAsia="en-GB"/>
        </w:rPr>
        <w:t>;</w:t>
      </w:r>
    </w:p>
    <w:p w:rsidR="002C2558" w:rsidRPr="00CF73EE" w:rsidRDefault="00CB4ECE" w:rsidP="002C2558">
      <w:pPr>
        <w:pStyle w:val="SingleTxtG"/>
        <w:ind w:firstLine="567"/>
        <w:rPr>
          <w:rFonts w:ascii="Calibri" w:eastAsia="Calibri" w:hAnsi="Calibri" w:cs="Calibri"/>
          <w:b/>
          <w:u w:color="000000"/>
          <w:bdr w:val="nil"/>
          <w:lang w:val="en-US" w:eastAsia="en-GB"/>
        </w:rPr>
      </w:pPr>
      <w:r>
        <w:rPr>
          <w:rFonts w:eastAsia="Calibri" w:cs="Calibri"/>
          <w:u w:color="000000"/>
          <w:bdr w:val="nil"/>
          <w:lang w:val="en-US" w:eastAsia="en-GB"/>
        </w:rPr>
        <w:t>(</w:t>
      </w:r>
      <w:r w:rsidR="00254E2E">
        <w:rPr>
          <w:rFonts w:eastAsia="Calibri" w:cs="Calibri"/>
          <w:u w:color="000000"/>
          <w:bdr w:val="nil"/>
          <w:lang w:val="en-US" w:eastAsia="en-GB"/>
        </w:rPr>
        <w:t>l</w:t>
      </w:r>
      <w:r w:rsidR="002C2558" w:rsidRPr="009C115F">
        <w:rPr>
          <w:rFonts w:eastAsia="Calibri" w:cs="Calibri"/>
          <w:u w:color="000000"/>
          <w:bdr w:val="nil"/>
          <w:lang w:val="en-US" w:eastAsia="en-GB"/>
        </w:rPr>
        <w:t>)</w:t>
      </w:r>
      <w:r w:rsidR="002C2558" w:rsidRPr="00CF73EE">
        <w:rPr>
          <w:rFonts w:eastAsia="Calibri" w:cs="Calibri"/>
          <w:b/>
          <w:u w:color="000000"/>
          <w:bdr w:val="nil"/>
          <w:lang w:val="en-US" w:eastAsia="en-GB"/>
        </w:rPr>
        <w:tab/>
        <w:t xml:space="preserve">Strengthen existing coordination mechanisms on human rights or establish a new coordinating mechanism (composed by </w:t>
      </w:r>
      <w:r w:rsidR="002C2558">
        <w:rPr>
          <w:rFonts w:eastAsia="Calibri" w:cs="Calibri"/>
          <w:b/>
          <w:u w:color="000000"/>
          <w:bdr w:val="nil"/>
          <w:lang w:val="en-US" w:eastAsia="en-GB"/>
        </w:rPr>
        <w:t xml:space="preserve">FPT </w:t>
      </w:r>
      <w:r w:rsidR="002C2558" w:rsidRPr="00CF73EE">
        <w:rPr>
          <w:rFonts w:eastAsia="Calibri" w:cs="Calibri"/>
          <w:b/>
          <w:u w:color="000000"/>
          <w:bdr w:val="nil"/>
          <w:lang w:val="en-US" w:eastAsia="en-GB"/>
        </w:rPr>
        <w:t xml:space="preserve">ministers for human rights) for coordination and implementation of human rights obligations and recommendations arising from the international and regional human rights mechanisms (UN treaty bodies, Special procedures and the IACHR and independent human rights commissions) with the constructive participation of civil society and </w:t>
      </w:r>
      <w:r w:rsidR="002C2558">
        <w:rPr>
          <w:rFonts w:eastAsia="Calibri" w:cs="Calibri"/>
          <w:b/>
          <w:u w:color="000000"/>
          <w:bdr w:val="nil"/>
          <w:lang w:val="en-US" w:eastAsia="en-GB"/>
        </w:rPr>
        <w:t>Indigenous</w:t>
      </w:r>
      <w:r w:rsidR="008C3F61">
        <w:rPr>
          <w:rFonts w:eastAsia="Calibri" w:cs="Calibri"/>
          <w:b/>
          <w:u w:color="000000"/>
          <w:bdr w:val="nil"/>
          <w:lang w:val="en-US" w:eastAsia="en-GB"/>
        </w:rPr>
        <w:t xml:space="preserve"> representatives;</w:t>
      </w:r>
    </w:p>
    <w:p w:rsidR="002C2558" w:rsidRPr="00CF73EE" w:rsidRDefault="00CB4ECE" w:rsidP="002C2558">
      <w:pPr>
        <w:pStyle w:val="SingleTxtG"/>
        <w:ind w:firstLine="567"/>
        <w:rPr>
          <w:rFonts w:eastAsia="Calibri" w:cs="Calibri"/>
          <w:b/>
          <w:u w:color="000000"/>
          <w:bdr w:val="nil"/>
          <w:lang w:val="en-US" w:eastAsia="en-GB"/>
        </w:rPr>
      </w:pPr>
      <w:r>
        <w:rPr>
          <w:rFonts w:eastAsia="Calibri" w:cs="Calibri"/>
          <w:u w:color="000000"/>
          <w:bdr w:val="nil"/>
          <w:lang w:val="en-US" w:eastAsia="en-GB"/>
        </w:rPr>
        <w:t>(</w:t>
      </w:r>
      <w:r w:rsidR="00254E2E">
        <w:rPr>
          <w:rFonts w:eastAsia="Calibri" w:cs="Calibri"/>
          <w:u w:color="000000"/>
          <w:bdr w:val="nil"/>
          <w:lang w:val="en-US" w:eastAsia="en-GB"/>
        </w:rPr>
        <w:t>m</w:t>
      </w:r>
      <w:r w:rsidR="002C2558" w:rsidRPr="009C115F">
        <w:rPr>
          <w:rFonts w:eastAsia="Calibri" w:cs="Calibri"/>
          <w:u w:color="000000"/>
          <w:bdr w:val="nil"/>
          <w:lang w:val="en-US" w:eastAsia="en-GB"/>
        </w:rPr>
        <w:t>)</w:t>
      </w:r>
      <w:r w:rsidR="002C2558" w:rsidRPr="00CF73EE">
        <w:rPr>
          <w:rFonts w:eastAsia="Calibri" w:cs="Calibri"/>
          <w:b/>
          <w:u w:color="000000"/>
          <w:bdr w:val="nil"/>
          <w:lang w:val="en-US" w:eastAsia="en-GB"/>
        </w:rPr>
        <w:tab/>
        <w:t xml:space="preserve">Ensure systemic and comparable national </w:t>
      </w:r>
      <w:r w:rsidR="002C2558" w:rsidRPr="00CF73EE">
        <w:rPr>
          <w:rFonts w:eastAsia="Calibri" w:cs="Calibri"/>
          <w:b/>
          <w:bCs/>
          <w:u w:color="000000"/>
          <w:bdr w:val="nil"/>
          <w:lang w:val="en-US" w:eastAsia="en-GB"/>
        </w:rPr>
        <w:t xml:space="preserve">data collection </w:t>
      </w:r>
      <w:r w:rsidR="002C2558" w:rsidRPr="00CF73EE">
        <w:rPr>
          <w:rFonts w:eastAsia="Calibri" w:cs="Calibri"/>
          <w:b/>
          <w:u w:color="000000"/>
          <w:bdr w:val="nil"/>
          <w:lang w:val="en-US" w:eastAsia="en-GB"/>
        </w:rPr>
        <w:t xml:space="preserve">on all manifestations of gender-based violence against women and girls and </w:t>
      </w:r>
      <w:proofErr w:type="spellStart"/>
      <w:r w:rsidR="002C2558" w:rsidRPr="00CF73EE">
        <w:rPr>
          <w:rFonts w:eastAsia="Calibri" w:cs="Calibri"/>
          <w:b/>
          <w:u w:color="000000"/>
          <w:bdr w:val="nil"/>
          <w:lang w:val="en-US" w:eastAsia="en-GB"/>
        </w:rPr>
        <w:t>femicide</w:t>
      </w:r>
      <w:proofErr w:type="spellEnd"/>
      <w:r w:rsidR="002C2558" w:rsidRPr="00CF73EE">
        <w:rPr>
          <w:rFonts w:eastAsia="Calibri" w:cs="Calibri"/>
          <w:b/>
          <w:u w:color="000000"/>
          <w:bdr w:val="nil"/>
          <w:lang w:val="en-US" w:eastAsia="en-GB"/>
        </w:rPr>
        <w:t xml:space="preserve">, as well as specific information on violence against women and </w:t>
      </w:r>
      <w:proofErr w:type="spellStart"/>
      <w:r w:rsidR="002C2558" w:rsidRPr="00CF73EE">
        <w:rPr>
          <w:rFonts w:eastAsia="Calibri" w:cs="Calibri"/>
          <w:b/>
          <w:u w:color="000000"/>
          <w:bdr w:val="nil"/>
          <w:lang w:val="en-US" w:eastAsia="en-GB"/>
        </w:rPr>
        <w:t>femicide</w:t>
      </w:r>
      <w:proofErr w:type="spellEnd"/>
      <w:r w:rsidR="002C2558" w:rsidRPr="00CF73EE">
        <w:rPr>
          <w:rFonts w:eastAsia="Calibri" w:cs="Calibri"/>
          <w:b/>
          <w:u w:color="000000"/>
          <w:bdr w:val="nil"/>
          <w:lang w:val="en-US" w:eastAsia="en-GB"/>
        </w:rPr>
        <w:t xml:space="preserve"> of </w:t>
      </w:r>
      <w:r w:rsidR="002C2558">
        <w:rPr>
          <w:rFonts w:eastAsia="Calibri" w:cs="Calibri"/>
          <w:b/>
          <w:u w:color="000000"/>
          <w:bdr w:val="nil"/>
          <w:lang w:val="en-US" w:eastAsia="en-GB"/>
        </w:rPr>
        <w:t>Indigenous</w:t>
      </w:r>
      <w:r w:rsidR="002C2558" w:rsidRPr="00CF73EE">
        <w:rPr>
          <w:rFonts w:eastAsia="Calibri" w:cs="Calibri"/>
          <w:b/>
          <w:u w:color="000000"/>
          <w:bdr w:val="nil"/>
          <w:lang w:val="en-US" w:eastAsia="en-GB"/>
        </w:rPr>
        <w:t xml:space="preserve"> women and establish and provide support to existing </w:t>
      </w:r>
      <w:proofErr w:type="spellStart"/>
      <w:r w:rsidR="002C2558" w:rsidRPr="00CF73EE">
        <w:rPr>
          <w:rFonts w:eastAsia="Calibri" w:cs="Calibri"/>
          <w:b/>
          <w:u w:color="000000"/>
          <w:bdr w:val="nil"/>
          <w:lang w:val="en-US" w:eastAsia="en-GB"/>
        </w:rPr>
        <w:t>femicide</w:t>
      </w:r>
      <w:proofErr w:type="spellEnd"/>
      <w:r w:rsidR="002C2558" w:rsidRPr="00CF73EE">
        <w:rPr>
          <w:rFonts w:eastAsia="Calibri" w:cs="Calibri"/>
          <w:b/>
          <w:u w:color="000000"/>
          <w:bdr w:val="nil"/>
          <w:lang w:val="en-US" w:eastAsia="en-GB"/>
        </w:rPr>
        <w:t xml:space="preserve"> watch or observatories, including </w:t>
      </w:r>
      <w:r w:rsidR="002C2558">
        <w:rPr>
          <w:rFonts w:eastAsia="Calibri" w:cs="Calibri"/>
          <w:b/>
          <w:u w:color="000000"/>
          <w:bdr w:val="nil"/>
          <w:lang w:val="en-US" w:eastAsia="en-GB"/>
        </w:rPr>
        <w:t>Indigenous</w:t>
      </w:r>
      <w:r w:rsidR="002C2558" w:rsidRPr="00CF73EE">
        <w:rPr>
          <w:rFonts w:eastAsia="Calibri" w:cs="Calibri"/>
          <w:b/>
          <w:u w:color="000000"/>
          <w:bdr w:val="nil"/>
          <w:lang w:val="en-US" w:eastAsia="en-GB"/>
        </w:rPr>
        <w:t xml:space="preserve"> women’s </w:t>
      </w:r>
      <w:proofErr w:type="spellStart"/>
      <w:r w:rsidR="002C2558" w:rsidRPr="00CF73EE">
        <w:rPr>
          <w:rFonts w:eastAsia="Calibri" w:cs="Calibri"/>
          <w:b/>
          <w:u w:color="000000"/>
          <w:bdr w:val="nil"/>
          <w:lang w:val="en-US" w:eastAsia="en-GB"/>
        </w:rPr>
        <w:t>femicide</w:t>
      </w:r>
      <w:proofErr w:type="spellEnd"/>
      <w:r w:rsidR="002C2558" w:rsidRPr="00CF73EE">
        <w:rPr>
          <w:rFonts w:eastAsia="Calibri" w:cs="Calibri"/>
          <w:b/>
          <w:u w:color="000000"/>
          <w:bdr w:val="nil"/>
          <w:lang w:val="en-US" w:eastAsia="en-GB"/>
        </w:rPr>
        <w:t xml:space="preserve"> observatories. Such observatories should focus on prevention through human rights-based analysis of cases as recommended in the SRVAW thematic report on modalities for the establishment of </w:t>
      </w:r>
      <w:proofErr w:type="spellStart"/>
      <w:r w:rsidR="002C2558" w:rsidRPr="00CF73EE">
        <w:rPr>
          <w:rFonts w:eastAsia="Calibri" w:cs="Calibri"/>
          <w:b/>
          <w:u w:color="000000"/>
          <w:bdr w:val="nil"/>
          <w:lang w:val="en-US" w:eastAsia="en-GB"/>
        </w:rPr>
        <w:t>femicide</w:t>
      </w:r>
      <w:proofErr w:type="spellEnd"/>
      <w:r w:rsidR="002C2558" w:rsidRPr="00CF73EE">
        <w:rPr>
          <w:rFonts w:eastAsia="Calibri" w:cs="Calibri"/>
          <w:b/>
          <w:u w:color="000000"/>
          <w:bdr w:val="nil"/>
          <w:lang w:val="en-US" w:eastAsia="en-GB"/>
        </w:rPr>
        <w:t xml:space="preserve"> observatories (A/71/378)</w:t>
      </w:r>
      <w:r w:rsidR="008C3F61">
        <w:rPr>
          <w:rFonts w:eastAsia="Calibri" w:cs="Calibri"/>
          <w:b/>
          <w:u w:color="000000"/>
          <w:bdr w:val="nil"/>
          <w:lang w:val="en-US" w:eastAsia="en-GB"/>
        </w:rPr>
        <w:t>;</w:t>
      </w:r>
    </w:p>
    <w:p w:rsidR="002C2558" w:rsidRDefault="00CB4ECE" w:rsidP="002C2558">
      <w:pPr>
        <w:pStyle w:val="SingleTxtG"/>
        <w:ind w:firstLine="567"/>
        <w:rPr>
          <w:rFonts w:eastAsia="Calibri" w:cs="Calibri"/>
          <w:b/>
          <w:u w:color="000000"/>
          <w:bdr w:val="nil"/>
          <w:lang w:val="en-US" w:eastAsia="en-GB"/>
        </w:rPr>
      </w:pPr>
      <w:r>
        <w:rPr>
          <w:rFonts w:eastAsia="Calibri" w:cs="Calibri"/>
          <w:u w:color="000000"/>
          <w:bdr w:val="nil"/>
          <w:lang w:val="en-US" w:eastAsia="en-GB"/>
        </w:rPr>
        <w:t>(</w:t>
      </w:r>
      <w:r w:rsidR="00254E2E">
        <w:rPr>
          <w:rFonts w:eastAsia="Calibri" w:cs="Calibri"/>
          <w:u w:color="000000"/>
          <w:bdr w:val="nil"/>
          <w:lang w:val="en-US" w:eastAsia="en-GB"/>
        </w:rPr>
        <w:t>n</w:t>
      </w:r>
      <w:r w:rsidR="002C2558" w:rsidRPr="009C115F">
        <w:rPr>
          <w:rFonts w:eastAsia="Calibri" w:cs="Calibri"/>
          <w:u w:color="000000"/>
          <w:bdr w:val="nil"/>
          <w:lang w:val="en-US" w:eastAsia="en-GB"/>
        </w:rPr>
        <w:t>)</w:t>
      </w:r>
      <w:r w:rsidR="002C2558" w:rsidRPr="00CF73EE">
        <w:rPr>
          <w:rFonts w:eastAsia="Calibri" w:cs="Calibri"/>
          <w:b/>
          <w:u w:color="000000"/>
          <w:bdr w:val="nil"/>
          <w:lang w:val="en-US" w:eastAsia="en-GB"/>
        </w:rPr>
        <w:tab/>
        <w:t xml:space="preserve">Ensure collection of data on </w:t>
      </w:r>
      <w:r w:rsidR="002C2558" w:rsidRPr="00CF73EE">
        <w:rPr>
          <w:rFonts w:eastAsia="Calibri" w:cs="Calibri"/>
          <w:b/>
          <w:bCs/>
          <w:u w:color="000000"/>
          <w:bdr w:val="nil"/>
          <w:lang w:val="en-US" w:eastAsia="en-GB"/>
        </w:rPr>
        <w:t>trafficking</w:t>
      </w:r>
      <w:r w:rsidR="002C2558" w:rsidRPr="00CF73EE">
        <w:rPr>
          <w:rFonts w:eastAsia="Calibri" w:cs="Calibri"/>
          <w:b/>
          <w:u w:color="000000"/>
          <w:bdr w:val="nil"/>
          <w:lang w:val="en-US" w:eastAsia="en-GB"/>
        </w:rPr>
        <w:t xml:space="preserve"> of women and girls including, </w:t>
      </w:r>
      <w:r w:rsidR="002C2558">
        <w:rPr>
          <w:rFonts w:eastAsia="Calibri" w:cs="Calibri"/>
          <w:b/>
          <w:u w:color="000000"/>
          <w:bdr w:val="nil"/>
          <w:lang w:val="en-US" w:eastAsia="en-GB"/>
        </w:rPr>
        <w:t>Indigenous</w:t>
      </w:r>
      <w:r w:rsidR="002C2558" w:rsidRPr="00CF73EE">
        <w:rPr>
          <w:rFonts w:eastAsia="Calibri" w:cs="Calibri"/>
          <w:b/>
          <w:u w:color="000000"/>
          <w:bdr w:val="nil"/>
          <w:lang w:val="en-US" w:eastAsia="en-GB"/>
        </w:rPr>
        <w:t xml:space="preserve"> women and LGBTQ2S+ people</w:t>
      </w:r>
      <w:r w:rsidR="008C3F61">
        <w:rPr>
          <w:rFonts w:eastAsia="Calibri" w:cs="Calibri"/>
          <w:b/>
          <w:u w:color="000000"/>
          <w:bdr w:val="nil"/>
          <w:lang w:val="en-US" w:eastAsia="en-GB"/>
        </w:rPr>
        <w:t>;</w:t>
      </w:r>
    </w:p>
    <w:p w:rsidR="002C2558" w:rsidRPr="00CF73EE" w:rsidRDefault="00CB4ECE" w:rsidP="002C2558">
      <w:pPr>
        <w:pStyle w:val="SingleTxtG"/>
        <w:ind w:firstLine="567"/>
        <w:rPr>
          <w:rFonts w:eastAsia="Calibri" w:cs="Calibri"/>
          <w:b/>
          <w:u w:color="000000"/>
          <w:bdr w:val="nil"/>
          <w:lang w:val="en-US" w:eastAsia="en-GB"/>
        </w:rPr>
      </w:pPr>
      <w:r>
        <w:rPr>
          <w:rFonts w:eastAsia="Calibri" w:cs="Calibri"/>
          <w:u w:color="000000"/>
          <w:bdr w:val="nil"/>
          <w:lang w:val="en-US" w:eastAsia="en-GB"/>
        </w:rPr>
        <w:t>(</w:t>
      </w:r>
      <w:r w:rsidR="00254E2E">
        <w:rPr>
          <w:rFonts w:eastAsia="Calibri" w:cs="Calibri"/>
          <w:u w:color="000000"/>
          <w:bdr w:val="nil"/>
          <w:lang w:val="en-US" w:eastAsia="en-GB"/>
        </w:rPr>
        <w:t>o</w:t>
      </w:r>
      <w:r w:rsidR="002C2558" w:rsidRPr="009C115F">
        <w:rPr>
          <w:rFonts w:eastAsia="Calibri" w:cs="Calibri"/>
          <w:u w:color="000000"/>
          <w:bdr w:val="nil"/>
          <w:lang w:val="en-US" w:eastAsia="en-GB"/>
        </w:rPr>
        <w:t>)</w:t>
      </w:r>
      <w:r w:rsidR="002C2558">
        <w:rPr>
          <w:rFonts w:eastAsia="Calibri" w:cs="Calibri"/>
          <w:b/>
          <w:u w:color="000000"/>
          <w:bdr w:val="nil"/>
          <w:lang w:val="en-US" w:eastAsia="en-GB"/>
        </w:rPr>
        <w:tab/>
      </w:r>
      <w:r w:rsidR="002C2558" w:rsidRPr="00CF73EE">
        <w:rPr>
          <w:rFonts w:eastAsia="Calibri" w:cs="Calibri"/>
          <w:b/>
          <w:u w:color="000000"/>
          <w:bdr w:val="nil"/>
          <w:lang w:val="en-US" w:eastAsia="en-GB"/>
        </w:rPr>
        <w:t xml:space="preserve">Establish adequate number, distribution and sustainable funding for culturally appropriate </w:t>
      </w:r>
      <w:r w:rsidR="002C2558" w:rsidRPr="00CF73EE">
        <w:rPr>
          <w:rFonts w:eastAsia="Calibri" w:cs="Calibri"/>
          <w:b/>
          <w:bCs/>
          <w:u w:color="000000"/>
          <w:bdr w:val="nil"/>
          <w:lang w:val="en-US" w:eastAsia="en-GB"/>
        </w:rPr>
        <w:t>victim’s services, shelters, second stage affordable housing facilities</w:t>
      </w:r>
      <w:r w:rsidR="002C2558" w:rsidRPr="00CF73EE">
        <w:rPr>
          <w:rFonts w:eastAsia="Calibri" w:cs="Calibri"/>
          <w:b/>
          <w:u w:color="000000"/>
          <w:bdr w:val="nil"/>
          <w:lang w:val="en-US" w:eastAsia="en-GB"/>
        </w:rPr>
        <w:t xml:space="preserve"> dedicated to women victims of violence, giving duly consideration to the specific needs of women belonging to vulnerable groups, in line with SRVAW recommendations (A/HRC/35/30).</w:t>
      </w:r>
      <w:r w:rsidR="002C2558">
        <w:rPr>
          <w:rFonts w:eastAsia="Calibri" w:cs="Calibri"/>
          <w:b/>
          <w:u w:color="000000"/>
          <w:bdr w:val="nil"/>
          <w:lang w:val="en-US" w:eastAsia="en-GB"/>
        </w:rPr>
        <w:t xml:space="preserve"> </w:t>
      </w:r>
      <w:r w:rsidR="002C2558" w:rsidRPr="00CF73EE">
        <w:rPr>
          <w:rFonts w:eastAsia="Calibri" w:cs="Calibri"/>
          <w:b/>
          <w:u w:color="000000"/>
          <w:bdr w:val="nil"/>
          <w:lang w:val="en-US" w:eastAsia="en-GB"/>
        </w:rPr>
        <w:t xml:space="preserve">This encompasses the establishment of specific shelters and services tailored for </w:t>
      </w:r>
      <w:r w:rsidR="002C2558">
        <w:rPr>
          <w:rFonts w:eastAsia="Calibri" w:cs="Calibri"/>
          <w:b/>
          <w:u w:color="000000"/>
          <w:bdr w:val="nil"/>
          <w:lang w:val="en-US" w:eastAsia="en-GB"/>
        </w:rPr>
        <w:t>Indigenous</w:t>
      </w:r>
      <w:r w:rsidR="002C2558" w:rsidRPr="00CF73EE">
        <w:rPr>
          <w:rFonts w:eastAsia="Calibri" w:cs="Calibri"/>
          <w:b/>
          <w:u w:color="000000"/>
          <w:bdr w:val="nil"/>
          <w:lang w:val="en-US" w:eastAsia="en-GB"/>
        </w:rPr>
        <w:t xml:space="preserve"> women and communities, including those living in remote are</w:t>
      </w:r>
      <w:r w:rsidR="008C3F61">
        <w:rPr>
          <w:rFonts w:eastAsia="Calibri" w:cs="Calibri"/>
          <w:b/>
          <w:u w:color="000000"/>
          <w:bdr w:val="nil"/>
          <w:lang w:val="en-US" w:eastAsia="en-GB"/>
        </w:rPr>
        <w:t>as, which should be run by them;</w:t>
      </w:r>
    </w:p>
    <w:p w:rsidR="002C2558" w:rsidRPr="00CF73EE" w:rsidRDefault="00CB4ECE" w:rsidP="002C2558">
      <w:pPr>
        <w:pStyle w:val="SingleTxtG"/>
        <w:ind w:firstLine="567"/>
        <w:rPr>
          <w:rFonts w:eastAsia="Arial Unicode MS" w:cs="Arial Unicode MS"/>
          <w:b/>
          <w:u w:color="000000"/>
          <w:bdr w:val="nil"/>
          <w:lang w:val="en-US" w:eastAsia="en-GB"/>
        </w:rPr>
      </w:pPr>
      <w:r>
        <w:rPr>
          <w:rFonts w:eastAsia="Arial Unicode MS" w:cs="Arial Unicode MS"/>
          <w:u w:color="000000"/>
          <w:bdr w:val="nil"/>
          <w:lang w:val="en-US" w:eastAsia="en-GB"/>
        </w:rPr>
        <w:t>(</w:t>
      </w:r>
      <w:r w:rsidR="00254E2E">
        <w:rPr>
          <w:rFonts w:eastAsia="Arial Unicode MS" w:cs="Arial Unicode MS"/>
          <w:u w:color="000000"/>
          <w:bdr w:val="nil"/>
          <w:lang w:val="en-US" w:eastAsia="en-GB"/>
        </w:rPr>
        <w:t>p</w:t>
      </w:r>
      <w:r w:rsidR="002C2558" w:rsidRPr="009C115F">
        <w:rPr>
          <w:rFonts w:eastAsia="Arial Unicode MS" w:cs="Arial Unicode MS"/>
          <w:u w:color="000000"/>
          <w:bdr w:val="nil"/>
          <w:lang w:val="en-US" w:eastAsia="en-GB"/>
        </w:rPr>
        <w:t>)</w:t>
      </w:r>
      <w:r w:rsidR="002C2558" w:rsidRPr="00CF73EE">
        <w:rPr>
          <w:rFonts w:eastAsia="Arial Unicode MS" w:cs="Arial Unicode MS"/>
          <w:b/>
          <w:u w:color="000000"/>
          <w:bdr w:val="nil"/>
          <w:lang w:val="en-US" w:eastAsia="en-GB"/>
        </w:rPr>
        <w:tab/>
        <w:t>In order to strengthen its framework on </w:t>
      </w:r>
      <w:r w:rsidR="002C2558" w:rsidRPr="00CF73EE">
        <w:rPr>
          <w:rFonts w:eastAsia="Arial Unicode MS" w:cs="Arial Unicode MS"/>
          <w:b/>
          <w:bCs/>
          <w:u w:color="000000"/>
          <w:bdr w:val="nil"/>
          <w:lang w:val="en-US" w:eastAsia="en-GB"/>
        </w:rPr>
        <w:t>sexual assault</w:t>
      </w:r>
      <w:r w:rsidR="002C2558" w:rsidRPr="00CF73EE">
        <w:rPr>
          <w:rFonts w:eastAsia="Arial Unicode MS" w:cs="Arial Unicode MS"/>
          <w:b/>
          <w:u w:color="000000"/>
          <w:bdr w:val="nil"/>
          <w:lang w:val="en-US" w:eastAsia="en-GB"/>
        </w:rPr>
        <w:t xml:space="preserve"> and criminal justice system, the federal government, in cooperation with provinces and territories, should improve criminal justice responses to survivors, including providing free legal aid at the </w:t>
      </w:r>
      <w:r w:rsidR="002C2558">
        <w:rPr>
          <w:rFonts w:eastAsia="Arial Unicode MS" w:cs="Arial Unicode MS"/>
          <w:b/>
          <w:u w:color="000000"/>
          <w:bdr w:val="nil"/>
          <w:lang w:val="en-US" w:eastAsia="en-GB"/>
        </w:rPr>
        <w:t xml:space="preserve">FPT </w:t>
      </w:r>
      <w:r w:rsidR="002C2558" w:rsidRPr="00CF73EE">
        <w:rPr>
          <w:rFonts w:eastAsia="Arial Unicode MS" w:cs="Arial Unicode MS"/>
          <w:b/>
          <w:u w:color="000000"/>
          <w:bdr w:val="nil"/>
          <w:lang w:val="en-US" w:eastAsia="en-GB"/>
        </w:rPr>
        <w:t>level</w:t>
      </w:r>
      <w:r w:rsidR="008C3F61">
        <w:rPr>
          <w:rFonts w:eastAsia="Arial Unicode MS" w:cs="Arial Unicode MS"/>
          <w:b/>
          <w:u w:color="000000"/>
          <w:bdr w:val="nil"/>
          <w:lang w:val="en-US" w:eastAsia="en-GB"/>
        </w:rPr>
        <w:t>;</w:t>
      </w:r>
    </w:p>
    <w:p w:rsidR="002C2558" w:rsidRPr="00CF73EE" w:rsidRDefault="00CB4ECE" w:rsidP="002C2558">
      <w:pPr>
        <w:pStyle w:val="SingleTxtG"/>
        <w:ind w:firstLine="567"/>
        <w:rPr>
          <w:rFonts w:eastAsia="Arial Unicode MS" w:cs="Arial Unicode MS"/>
          <w:b/>
          <w:bCs/>
          <w:u w:color="000000"/>
          <w:bdr w:val="nil"/>
          <w:lang w:val="en-US" w:eastAsia="en-GB"/>
        </w:rPr>
      </w:pPr>
      <w:r>
        <w:rPr>
          <w:rFonts w:eastAsia="Arial Unicode MS" w:cs="Arial Unicode MS"/>
          <w:u w:color="000000"/>
          <w:bdr w:val="nil"/>
          <w:lang w:val="en-US" w:eastAsia="en-GB"/>
        </w:rPr>
        <w:t>(</w:t>
      </w:r>
      <w:r w:rsidR="00254E2E">
        <w:rPr>
          <w:rFonts w:eastAsia="Arial Unicode MS" w:cs="Arial Unicode MS"/>
          <w:u w:color="000000"/>
          <w:bdr w:val="nil"/>
          <w:lang w:val="en-US" w:eastAsia="en-GB"/>
        </w:rPr>
        <w:t>q</w:t>
      </w:r>
      <w:r w:rsidR="002C2558" w:rsidRPr="009C115F">
        <w:rPr>
          <w:rFonts w:eastAsia="Arial Unicode MS" w:cs="Arial Unicode MS"/>
          <w:u w:color="000000"/>
          <w:bdr w:val="nil"/>
          <w:lang w:val="en-US" w:eastAsia="en-GB"/>
        </w:rPr>
        <w:t>)</w:t>
      </w:r>
      <w:r w:rsidR="002C2558" w:rsidRPr="00CF73EE">
        <w:rPr>
          <w:rFonts w:eastAsia="Arial Unicode MS" w:cs="Arial Unicode MS"/>
          <w:b/>
          <w:u w:color="000000"/>
          <w:bdr w:val="nil"/>
          <w:lang w:val="en-US" w:eastAsia="en-GB"/>
        </w:rPr>
        <w:tab/>
        <w:t xml:space="preserve">Ensure consistency in policy and legislation across all jurisdictions in order to promptly address sexual violence on </w:t>
      </w:r>
      <w:r w:rsidR="002C2558" w:rsidRPr="00CF73EE">
        <w:rPr>
          <w:rFonts w:eastAsia="Arial Unicode MS" w:cs="Arial Unicode MS"/>
          <w:b/>
          <w:bCs/>
          <w:u w:color="000000"/>
          <w:bdr w:val="nil"/>
          <w:lang w:val="en-US" w:eastAsia="en-GB"/>
        </w:rPr>
        <w:t xml:space="preserve">universities’ </w:t>
      </w:r>
      <w:r w:rsidR="002C2558" w:rsidRPr="00CF73EE">
        <w:rPr>
          <w:rFonts w:eastAsia="Arial Unicode MS" w:cs="Arial Unicode MS"/>
          <w:b/>
          <w:u w:color="000000"/>
          <w:bdr w:val="nil"/>
          <w:lang w:val="en-US" w:eastAsia="en-GB"/>
        </w:rPr>
        <w:t>campuses and schools</w:t>
      </w:r>
      <w:r w:rsidR="008C3F61">
        <w:rPr>
          <w:rFonts w:eastAsia="Arial Unicode MS" w:cs="Arial Unicode MS"/>
          <w:b/>
          <w:u w:color="000000"/>
          <w:bdr w:val="nil"/>
          <w:lang w:val="en-US" w:eastAsia="en-GB"/>
        </w:rPr>
        <w:t>;</w:t>
      </w:r>
    </w:p>
    <w:p w:rsidR="002C2558" w:rsidRPr="00CF73EE" w:rsidRDefault="00CB4ECE" w:rsidP="002C2558">
      <w:pPr>
        <w:pStyle w:val="SingleTxtG"/>
        <w:ind w:firstLine="567"/>
        <w:rPr>
          <w:rFonts w:eastAsia="Arial Unicode MS" w:cs="Arial Unicode MS"/>
          <w:b/>
          <w:u w:color="000000"/>
          <w:bdr w:val="nil"/>
          <w:lang w:val="en-US" w:eastAsia="en-GB"/>
        </w:rPr>
      </w:pPr>
      <w:r>
        <w:rPr>
          <w:rFonts w:eastAsia="Arial Unicode MS" w:cs="Arial Unicode MS"/>
          <w:u w:color="000000"/>
          <w:bdr w:val="nil"/>
          <w:lang w:val="en-US" w:eastAsia="en-GB"/>
        </w:rPr>
        <w:t>(</w:t>
      </w:r>
      <w:r w:rsidR="00254E2E">
        <w:rPr>
          <w:rFonts w:eastAsia="Arial Unicode MS" w:cs="Arial Unicode MS"/>
          <w:u w:color="000000"/>
          <w:bdr w:val="nil"/>
          <w:lang w:val="en-US" w:eastAsia="en-GB"/>
        </w:rPr>
        <w:t>r</w:t>
      </w:r>
      <w:r w:rsidR="002C2558" w:rsidRPr="009C115F">
        <w:rPr>
          <w:rFonts w:eastAsia="Arial Unicode MS" w:cs="Arial Unicode MS"/>
          <w:u w:color="000000"/>
          <w:bdr w:val="nil"/>
          <w:lang w:val="en-US" w:eastAsia="en-GB"/>
        </w:rPr>
        <w:t>)</w:t>
      </w:r>
      <w:r w:rsidR="002C2558" w:rsidRPr="00CF73EE">
        <w:rPr>
          <w:rFonts w:eastAsia="Arial Unicode MS" w:cs="Arial Unicode MS"/>
          <w:b/>
          <w:u w:color="000000"/>
          <w:bdr w:val="nil"/>
          <w:lang w:val="en-US" w:eastAsia="en-GB"/>
        </w:rPr>
        <w:tab/>
        <w:t xml:space="preserve">Investigate all allegations of </w:t>
      </w:r>
      <w:r w:rsidR="002C2558" w:rsidRPr="00CF73EE">
        <w:rPr>
          <w:rFonts w:eastAsia="Arial Unicode MS" w:cs="Arial Unicode MS"/>
          <w:b/>
          <w:bCs/>
          <w:u w:color="000000"/>
          <w:bdr w:val="nil"/>
          <w:lang w:val="en-US" w:eastAsia="en-GB"/>
        </w:rPr>
        <w:t>forced or coerced sterilizations</w:t>
      </w:r>
      <w:r w:rsidR="002C2558" w:rsidRPr="00CF73EE">
        <w:rPr>
          <w:rFonts w:eastAsia="Arial Unicode MS" w:cs="Arial Unicode MS"/>
          <w:b/>
          <w:u w:color="000000"/>
          <w:bdr w:val="nil"/>
          <w:lang w:val="en-US" w:eastAsia="en-GB"/>
        </w:rPr>
        <w:t xml:space="preserve">, with particular attention to cases involving </w:t>
      </w:r>
      <w:r w:rsidR="002C2558">
        <w:rPr>
          <w:rFonts w:eastAsia="Arial Unicode MS" w:cs="Arial Unicode MS"/>
          <w:b/>
          <w:u w:color="000000"/>
          <w:bdr w:val="nil"/>
          <w:lang w:val="en-US" w:eastAsia="en-GB"/>
        </w:rPr>
        <w:t>Indigenous</w:t>
      </w:r>
      <w:r w:rsidR="002C2558" w:rsidRPr="00CF73EE">
        <w:rPr>
          <w:rFonts w:eastAsia="Arial Unicode MS" w:cs="Arial Unicode MS"/>
          <w:b/>
          <w:u w:color="000000"/>
          <w:bdr w:val="nil"/>
          <w:lang w:val="en-US" w:eastAsia="en-GB"/>
        </w:rPr>
        <w:t xml:space="preserve"> women and girls, ensuring justice and remedies including reparations to survivors and their families, explicitly prohibiting sterilization without free, full, and informed consent and enforce healthcare professional accountability</w:t>
      </w:r>
      <w:r w:rsidR="008C3F61">
        <w:rPr>
          <w:rFonts w:eastAsia="Arial Unicode MS" w:cs="Arial Unicode MS"/>
          <w:b/>
          <w:u w:color="000000"/>
          <w:bdr w:val="nil"/>
          <w:lang w:val="en-US" w:eastAsia="en-GB"/>
        </w:rPr>
        <w:t>;</w:t>
      </w:r>
    </w:p>
    <w:p w:rsidR="002C2558" w:rsidRPr="00CF73EE" w:rsidRDefault="00CB4ECE" w:rsidP="002C2558">
      <w:pPr>
        <w:pStyle w:val="SingleTxtG"/>
        <w:ind w:firstLine="567"/>
        <w:rPr>
          <w:b/>
          <w:u w:color="000000"/>
          <w:bdr w:val="nil"/>
          <w:lang w:val="en-US" w:eastAsia="en-GB"/>
        </w:rPr>
      </w:pPr>
      <w:r>
        <w:rPr>
          <w:u w:color="000000"/>
          <w:bdr w:val="nil"/>
          <w:lang w:val="en-US" w:eastAsia="en-GB"/>
        </w:rPr>
        <w:t>(</w:t>
      </w:r>
      <w:r w:rsidR="00254E2E">
        <w:rPr>
          <w:u w:color="000000"/>
          <w:bdr w:val="nil"/>
          <w:lang w:val="en-US" w:eastAsia="en-GB"/>
        </w:rPr>
        <w:t>s</w:t>
      </w:r>
      <w:r w:rsidR="002C2558" w:rsidRPr="009C115F">
        <w:rPr>
          <w:u w:color="000000"/>
          <w:bdr w:val="nil"/>
          <w:lang w:val="en-US" w:eastAsia="en-GB"/>
        </w:rPr>
        <w:t>)</w:t>
      </w:r>
      <w:r w:rsidR="002C2558" w:rsidRPr="00CF73EE">
        <w:rPr>
          <w:b/>
          <w:u w:color="000000"/>
          <w:bdr w:val="nil"/>
          <w:lang w:val="en-US" w:eastAsia="en-GB"/>
        </w:rPr>
        <w:tab/>
        <w:t xml:space="preserve">Establish a consistent approach across all jurisdictions regulating </w:t>
      </w:r>
      <w:r w:rsidR="002C2558" w:rsidRPr="00CF73EE">
        <w:rPr>
          <w:b/>
          <w:bCs/>
          <w:u w:color="000000"/>
          <w:bdr w:val="nil"/>
          <w:lang w:val="en-US" w:eastAsia="en-GB"/>
        </w:rPr>
        <w:t xml:space="preserve">online violence against women and the prohibition of non-consensual distribution of intimate images </w:t>
      </w:r>
      <w:r w:rsidR="002C2558" w:rsidRPr="00CF73EE">
        <w:rPr>
          <w:b/>
          <w:u w:color="000000"/>
          <w:bdr w:val="nil"/>
          <w:lang w:val="en-US" w:eastAsia="en-GB"/>
        </w:rPr>
        <w:t>by implementing best practices from Canada and related SRVAW recommendations (A/HRC/38/47)</w:t>
      </w:r>
      <w:r w:rsidR="008C3F61">
        <w:rPr>
          <w:b/>
          <w:u w:color="000000"/>
          <w:bdr w:val="nil"/>
          <w:lang w:val="en-US" w:eastAsia="en-GB"/>
        </w:rPr>
        <w:t>;</w:t>
      </w:r>
    </w:p>
    <w:p w:rsidR="002C2558" w:rsidRPr="00CF73EE" w:rsidRDefault="00CB4ECE" w:rsidP="002C2558">
      <w:pPr>
        <w:pStyle w:val="SingleTxtG"/>
        <w:ind w:firstLine="567"/>
        <w:rPr>
          <w:rFonts w:eastAsia="Calibri" w:cs="Calibri"/>
          <w:b/>
          <w:u w:color="000000"/>
          <w:bdr w:val="nil"/>
          <w:lang w:val="en-US" w:eastAsia="en-GB"/>
        </w:rPr>
      </w:pPr>
      <w:r>
        <w:rPr>
          <w:rFonts w:eastAsia="Calibri" w:cs="Calibri"/>
          <w:u w:color="000000"/>
          <w:bdr w:val="nil"/>
          <w:lang w:val="en-US" w:eastAsia="en-GB"/>
        </w:rPr>
        <w:t>(</w:t>
      </w:r>
      <w:r w:rsidR="00254E2E">
        <w:rPr>
          <w:rFonts w:eastAsia="Calibri" w:cs="Calibri"/>
          <w:u w:color="000000"/>
          <w:bdr w:val="nil"/>
          <w:lang w:val="en-US" w:eastAsia="en-GB"/>
        </w:rPr>
        <w:t>t</w:t>
      </w:r>
      <w:r w:rsidR="002C2558" w:rsidRPr="009C115F">
        <w:rPr>
          <w:rFonts w:eastAsia="Calibri" w:cs="Calibri"/>
          <w:u w:color="000000"/>
          <w:bdr w:val="nil"/>
          <w:lang w:val="en-US" w:eastAsia="en-GB"/>
        </w:rPr>
        <w:t>)</w:t>
      </w:r>
      <w:r w:rsidR="002C2558" w:rsidRPr="00CF73EE">
        <w:rPr>
          <w:rFonts w:eastAsia="Calibri" w:cs="Calibri"/>
          <w:b/>
          <w:u w:color="000000"/>
          <w:bdr w:val="nil"/>
          <w:lang w:val="en-US" w:eastAsia="en-GB"/>
        </w:rPr>
        <w:tab/>
        <w:t xml:space="preserve">Ensure that relevant labor legislation addresses the full spectrum of violence and </w:t>
      </w:r>
      <w:r w:rsidR="002C2558" w:rsidRPr="00CF73EE">
        <w:rPr>
          <w:rFonts w:eastAsia="Calibri" w:cs="Calibri"/>
          <w:b/>
          <w:bCs/>
          <w:u w:color="000000"/>
          <w:bdr w:val="nil"/>
          <w:lang w:val="en-US" w:eastAsia="en-GB"/>
        </w:rPr>
        <w:t>harassment against women in the world of work</w:t>
      </w:r>
      <w:r w:rsidR="002C2558" w:rsidRPr="00CF73EE">
        <w:rPr>
          <w:rFonts w:eastAsia="Calibri" w:cs="Calibri"/>
          <w:b/>
          <w:u w:color="000000"/>
          <w:bdr w:val="nil"/>
          <w:lang w:val="en-US" w:eastAsia="en-GB"/>
        </w:rPr>
        <w:t xml:space="preserve"> and consistency across jurisdictions, covering all women workers, migrant workers included</w:t>
      </w:r>
      <w:r w:rsidR="008C3F61">
        <w:rPr>
          <w:rFonts w:eastAsia="Calibri" w:cs="Calibri"/>
          <w:b/>
          <w:u w:color="000000"/>
          <w:bdr w:val="nil"/>
          <w:lang w:val="en-US" w:eastAsia="en-GB"/>
        </w:rPr>
        <w:t>;</w:t>
      </w:r>
    </w:p>
    <w:p w:rsidR="002C2558" w:rsidRPr="00CF73EE" w:rsidRDefault="00CB4ECE" w:rsidP="002C2558">
      <w:pPr>
        <w:pStyle w:val="SingleTxtG"/>
        <w:ind w:firstLine="567"/>
        <w:rPr>
          <w:rFonts w:eastAsia="Calibri" w:cs="Calibri"/>
          <w:b/>
          <w:u w:color="000000"/>
          <w:bdr w:val="nil"/>
          <w:lang w:val="en-US" w:eastAsia="en-GB"/>
        </w:rPr>
      </w:pPr>
      <w:r>
        <w:rPr>
          <w:rFonts w:eastAsia="Calibri" w:cs="Calibri"/>
          <w:u w:color="000000"/>
          <w:bdr w:val="nil"/>
          <w:lang w:val="en-US" w:eastAsia="en-GB"/>
        </w:rPr>
        <w:t>(</w:t>
      </w:r>
      <w:r w:rsidR="00254E2E">
        <w:rPr>
          <w:rFonts w:eastAsia="Calibri" w:cs="Calibri"/>
          <w:u w:color="000000"/>
          <w:bdr w:val="nil"/>
          <w:lang w:val="en-US" w:eastAsia="en-GB"/>
        </w:rPr>
        <w:t>u</w:t>
      </w:r>
      <w:r w:rsidR="002C2558" w:rsidRPr="009C115F">
        <w:rPr>
          <w:rFonts w:eastAsia="Calibri" w:cs="Calibri"/>
          <w:u w:color="000000"/>
          <w:bdr w:val="nil"/>
          <w:lang w:val="en-US" w:eastAsia="en-GB"/>
        </w:rPr>
        <w:t>)</w:t>
      </w:r>
      <w:r w:rsidR="002C2558" w:rsidRPr="00CF73EE">
        <w:rPr>
          <w:rFonts w:eastAsia="Calibri" w:cs="Calibri"/>
          <w:b/>
          <w:u w:color="000000"/>
          <w:bdr w:val="nil"/>
          <w:lang w:val="en-US" w:eastAsia="en-GB"/>
        </w:rPr>
        <w:tab/>
        <w:t xml:space="preserve">Amend the </w:t>
      </w:r>
      <w:r w:rsidR="002C2558" w:rsidRPr="00CF73EE">
        <w:rPr>
          <w:rFonts w:eastAsia="Calibri" w:cs="Calibri"/>
          <w:b/>
          <w:i/>
          <w:iCs/>
          <w:u w:color="000000"/>
          <w:bdr w:val="nil"/>
          <w:lang w:val="en-US" w:eastAsia="en-GB"/>
        </w:rPr>
        <w:t xml:space="preserve">Immigration and Refugee Protection Act </w:t>
      </w:r>
      <w:r w:rsidR="002C2558" w:rsidRPr="00324AF9">
        <w:rPr>
          <w:rFonts w:eastAsia="Calibri" w:cs="Calibri"/>
          <w:b/>
          <w:i/>
          <w:iCs/>
          <w:u w:color="000000"/>
          <w:bdr w:val="nil"/>
          <w:lang w:val="en-US" w:eastAsia="en-GB"/>
        </w:rPr>
        <w:t xml:space="preserve">(S.C. 2001, c. 27) </w:t>
      </w:r>
      <w:r w:rsidR="002C2558" w:rsidRPr="00CF73EE">
        <w:rPr>
          <w:rFonts w:eastAsia="Calibri" w:cs="Calibri"/>
          <w:b/>
          <w:u w:color="000000"/>
          <w:bdr w:val="nil"/>
          <w:lang w:val="en-US" w:eastAsia="en-GB"/>
        </w:rPr>
        <w:t>to guarantee protection to survivors of trafficking and offer adequate support to trafficked persons and faster access to permanent residence. Increase access to information about Temporary Residence Permits to victims of human trafficking and streamline applications for Permanent Residence</w:t>
      </w:r>
      <w:r w:rsidR="008C3F61">
        <w:rPr>
          <w:rFonts w:eastAsia="Calibri" w:cs="Calibri"/>
          <w:b/>
          <w:u w:color="000000"/>
          <w:bdr w:val="nil"/>
          <w:lang w:val="en-US" w:eastAsia="en-GB"/>
        </w:rPr>
        <w:t>;</w:t>
      </w:r>
    </w:p>
    <w:p w:rsidR="002C2558" w:rsidRPr="00CF73EE" w:rsidRDefault="00CB4ECE" w:rsidP="002C2558">
      <w:pPr>
        <w:pStyle w:val="SingleTxtG"/>
        <w:ind w:firstLine="567"/>
        <w:rPr>
          <w:rFonts w:eastAsia="Calibri" w:cs="Calibri"/>
          <w:b/>
          <w:u w:color="000000"/>
          <w:bdr w:val="nil"/>
          <w:lang w:val="en-US" w:eastAsia="en-GB"/>
        </w:rPr>
      </w:pPr>
      <w:r>
        <w:rPr>
          <w:rFonts w:eastAsia="Calibri" w:cs="Calibri"/>
          <w:u w:color="000000"/>
          <w:bdr w:val="nil"/>
          <w:lang w:val="en-US" w:eastAsia="en-GB"/>
        </w:rPr>
        <w:t>(</w:t>
      </w:r>
      <w:r w:rsidR="00254E2E">
        <w:rPr>
          <w:rFonts w:eastAsia="Calibri" w:cs="Calibri"/>
          <w:u w:color="000000"/>
          <w:bdr w:val="nil"/>
          <w:lang w:val="en-US" w:eastAsia="en-GB"/>
        </w:rPr>
        <w:t>v</w:t>
      </w:r>
      <w:r w:rsidR="002C2558" w:rsidRPr="009C115F">
        <w:rPr>
          <w:rFonts w:eastAsia="Calibri" w:cs="Calibri"/>
          <w:u w:color="000000"/>
          <w:bdr w:val="nil"/>
          <w:lang w:val="en-US" w:eastAsia="en-GB"/>
        </w:rPr>
        <w:t>)</w:t>
      </w:r>
      <w:r w:rsidR="002C2558" w:rsidRPr="00CF73EE">
        <w:rPr>
          <w:rFonts w:eastAsia="Calibri" w:cs="Calibri"/>
          <w:b/>
          <w:u w:color="000000"/>
          <w:bdr w:val="nil"/>
          <w:lang w:val="en-US" w:eastAsia="en-GB"/>
        </w:rPr>
        <w:tab/>
        <w:t>Enable women migrant workers to have open work permits, or regional or sectorial work permits and end the practice of issuing tied work permits</w:t>
      </w:r>
      <w:r w:rsidR="008C3F61">
        <w:rPr>
          <w:rFonts w:eastAsia="Calibri" w:cs="Calibri"/>
          <w:b/>
          <w:u w:color="000000"/>
          <w:bdr w:val="nil"/>
          <w:lang w:val="en-US" w:eastAsia="en-GB"/>
        </w:rPr>
        <w:t>;</w:t>
      </w:r>
    </w:p>
    <w:p w:rsidR="002C2558" w:rsidRPr="00CF73EE" w:rsidRDefault="00CB4ECE" w:rsidP="002C2558">
      <w:pPr>
        <w:pStyle w:val="SingleTxtG"/>
        <w:ind w:firstLine="567"/>
        <w:rPr>
          <w:rFonts w:eastAsia="Calibri" w:cs="Calibri"/>
          <w:b/>
          <w:u w:color="000000"/>
          <w:bdr w:val="nil"/>
          <w:lang w:val="en-US" w:eastAsia="en-GB"/>
        </w:rPr>
      </w:pPr>
      <w:r>
        <w:rPr>
          <w:rFonts w:eastAsia="Calibri" w:cs="Calibri"/>
          <w:b/>
          <w:u w:color="000000"/>
          <w:bdr w:val="nil"/>
          <w:lang w:val="en-US" w:eastAsia="en-GB"/>
        </w:rPr>
        <w:t>(</w:t>
      </w:r>
      <w:r w:rsidR="00254E2E">
        <w:rPr>
          <w:rFonts w:eastAsia="Calibri" w:cs="Calibri"/>
          <w:b/>
          <w:u w:color="000000"/>
          <w:bdr w:val="nil"/>
          <w:lang w:val="en-US" w:eastAsia="en-GB"/>
        </w:rPr>
        <w:t>w</w:t>
      </w:r>
      <w:r w:rsidR="002C2558" w:rsidRPr="00CF73EE">
        <w:rPr>
          <w:rFonts w:eastAsia="Calibri" w:cs="Calibri"/>
          <w:b/>
          <w:u w:color="000000"/>
          <w:bdr w:val="nil"/>
          <w:lang w:val="en-US" w:eastAsia="en-GB"/>
        </w:rPr>
        <w:t>)</w:t>
      </w:r>
      <w:r w:rsidR="002C2558" w:rsidRPr="00CF73EE">
        <w:rPr>
          <w:rFonts w:eastAsia="Calibri" w:cs="Calibri"/>
          <w:b/>
          <w:u w:color="000000"/>
          <w:bdr w:val="nil"/>
          <w:lang w:val="en-US" w:eastAsia="en-GB"/>
        </w:rPr>
        <w:tab/>
        <w:t xml:space="preserve">Provide resources to assist migrant women with filling out their forms in order to prevent misinformation including funding </w:t>
      </w:r>
      <w:r w:rsidR="008C3F61">
        <w:rPr>
          <w:rFonts w:eastAsia="Calibri" w:cs="Calibri"/>
          <w:b/>
          <w:u w:color="000000"/>
          <w:bdr w:val="nil"/>
          <w:lang w:val="en-US" w:eastAsia="en-GB"/>
        </w:rPr>
        <w:t>NGOs to provide such assistance;</w:t>
      </w:r>
    </w:p>
    <w:p w:rsidR="002C2558" w:rsidRPr="00CF73EE" w:rsidRDefault="00CB4ECE" w:rsidP="002C2558">
      <w:pPr>
        <w:pStyle w:val="SingleTxtG"/>
        <w:ind w:firstLine="567"/>
        <w:rPr>
          <w:rFonts w:eastAsia="Arial Unicode MS" w:cs="Arial Unicode MS"/>
          <w:b/>
          <w:u w:color="000000"/>
          <w:bdr w:val="nil"/>
          <w:lang w:val="en-US" w:eastAsia="en-GB"/>
        </w:rPr>
      </w:pPr>
      <w:r>
        <w:rPr>
          <w:rFonts w:eastAsia="Arial Unicode MS" w:cs="Arial Unicode MS"/>
          <w:u w:color="000000"/>
          <w:bdr w:val="nil"/>
          <w:lang w:val="en-US" w:eastAsia="en-GB"/>
        </w:rPr>
        <w:t>(</w:t>
      </w:r>
      <w:r w:rsidR="00254E2E">
        <w:rPr>
          <w:rFonts w:eastAsia="Arial Unicode MS" w:cs="Arial Unicode MS"/>
          <w:u w:color="000000"/>
          <w:bdr w:val="nil"/>
          <w:lang w:val="en-US" w:eastAsia="en-GB"/>
        </w:rPr>
        <w:t>x</w:t>
      </w:r>
      <w:r w:rsidR="002C2558" w:rsidRPr="009C115F">
        <w:rPr>
          <w:rFonts w:eastAsia="Arial Unicode MS" w:cs="Arial Unicode MS"/>
          <w:u w:color="000000"/>
          <w:bdr w:val="nil"/>
          <w:lang w:val="en-US" w:eastAsia="en-GB"/>
        </w:rPr>
        <w:t>)</w:t>
      </w:r>
      <w:r w:rsidR="002C2558" w:rsidRPr="00CF73EE">
        <w:rPr>
          <w:rFonts w:eastAsia="Arial Unicode MS" w:cs="Arial Unicode MS"/>
          <w:b/>
          <w:u w:color="000000"/>
          <w:bdr w:val="nil"/>
          <w:lang w:val="en-US" w:eastAsia="en-GB"/>
        </w:rPr>
        <w:tab/>
        <w:t>Fully implement the United Nations Standard Minimum Rules for the Treatment of Prisoners and the United Nations Rules for the Treatment of Women Prisoners and Non-custodial Measures for Women Offenders (the Bangkok Rules) which provides guidance for women in prison</w:t>
      </w:r>
      <w:r w:rsidR="008C3F61">
        <w:rPr>
          <w:rFonts w:eastAsia="Arial Unicode MS" w:cs="Arial Unicode MS"/>
          <w:b/>
          <w:u w:color="000000"/>
          <w:bdr w:val="nil"/>
          <w:lang w:val="en-US" w:eastAsia="en-GB"/>
        </w:rPr>
        <w:t>;</w:t>
      </w:r>
    </w:p>
    <w:p w:rsidR="002C2558" w:rsidRPr="006931FF" w:rsidRDefault="00CB4ECE" w:rsidP="002C2558">
      <w:pPr>
        <w:pStyle w:val="SingleTxtG"/>
        <w:ind w:firstLine="567"/>
        <w:rPr>
          <w:rFonts w:eastAsia="Arial Unicode MS" w:cs="Arial Unicode MS"/>
          <w:b/>
          <w:u w:color="000000"/>
          <w:bdr w:val="nil"/>
          <w:lang w:val="en-US" w:eastAsia="en-GB"/>
        </w:rPr>
      </w:pPr>
      <w:r>
        <w:rPr>
          <w:rFonts w:eastAsia="Arial Unicode MS" w:cs="Arial Unicode MS"/>
          <w:u w:color="000000"/>
          <w:bdr w:val="nil"/>
          <w:lang w:val="en-US" w:eastAsia="en-GB"/>
        </w:rPr>
        <w:t>(</w:t>
      </w:r>
      <w:r w:rsidR="00254E2E">
        <w:rPr>
          <w:rFonts w:eastAsia="Arial Unicode MS" w:cs="Arial Unicode MS"/>
          <w:u w:color="000000"/>
          <w:bdr w:val="nil"/>
          <w:lang w:val="en-US" w:eastAsia="en-GB"/>
        </w:rPr>
        <w:t>y</w:t>
      </w:r>
      <w:r w:rsidR="002C2558" w:rsidRPr="009C115F">
        <w:rPr>
          <w:rFonts w:eastAsia="Arial Unicode MS" w:cs="Arial Unicode MS"/>
          <w:u w:color="000000"/>
          <w:bdr w:val="nil"/>
          <w:lang w:val="en-US" w:eastAsia="en-GB"/>
        </w:rPr>
        <w:t>)</w:t>
      </w:r>
      <w:r w:rsidR="002C2558" w:rsidRPr="00CF73EE">
        <w:rPr>
          <w:rFonts w:eastAsia="Arial Unicode MS" w:cs="Arial Unicode MS"/>
          <w:b/>
          <w:u w:color="000000"/>
          <w:bdr w:val="nil"/>
          <w:lang w:val="en-US" w:eastAsia="en-GB"/>
        </w:rPr>
        <w:tab/>
        <w:t>In compliance with the above mentioned rules, institute a ban on solitary confinement, segregation, intensive psychiatric care, strip searching and all other related forms of isolation of women in detention, including young women, women with mental health issues and</w:t>
      </w:r>
      <w:r w:rsidR="002C2558">
        <w:rPr>
          <w:rFonts w:eastAsia="Arial Unicode MS" w:cs="Arial Unicode MS"/>
          <w:b/>
          <w:u w:color="000000"/>
          <w:bdr w:val="nil"/>
          <w:lang w:val="en-US" w:eastAsia="en-GB"/>
        </w:rPr>
        <w:t xml:space="preserve"> </w:t>
      </w:r>
      <w:r w:rsidR="002C2558" w:rsidRPr="006931FF">
        <w:rPr>
          <w:rFonts w:eastAsia="Arial Unicode MS" w:cs="Arial Unicode MS"/>
          <w:b/>
          <w:u w:color="000000"/>
          <w:bdr w:val="nil"/>
          <w:lang w:val="en-US" w:eastAsia="en-GB"/>
        </w:rPr>
        <w:t>Indigenous women, which experience high rates of segregation, and guarantee that “mother and child” and rehabilitation programs are always in place</w:t>
      </w:r>
      <w:r w:rsidR="008C3F61">
        <w:rPr>
          <w:rFonts w:eastAsia="Arial Unicode MS" w:cs="Arial Unicode MS"/>
          <w:b/>
          <w:u w:color="000000"/>
          <w:bdr w:val="nil"/>
          <w:lang w:val="en-US" w:eastAsia="en-GB"/>
        </w:rPr>
        <w:t>;</w:t>
      </w:r>
    </w:p>
    <w:p w:rsidR="002C2558" w:rsidRPr="00CF73EE" w:rsidRDefault="00CB4ECE" w:rsidP="002C2558">
      <w:pPr>
        <w:pStyle w:val="SingleTxtG"/>
        <w:ind w:firstLine="567"/>
        <w:rPr>
          <w:rFonts w:eastAsia="Arial Unicode MS" w:cs="Arial Unicode MS"/>
          <w:b/>
          <w:u w:color="000000"/>
          <w:bdr w:val="nil"/>
          <w:lang w:val="en-US" w:eastAsia="en-GB"/>
        </w:rPr>
      </w:pPr>
      <w:r>
        <w:rPr>
          <w:rFonts w:eastAsia="Arial Unicode MS" w:cs="Arial Unicode MS"/>
          <w:u w:color="000000"/>
          <w:bdr w:val="nil"/>
          <w:lang w:val="en-US" w:eastAsia="en-GB"/>
        </w:rPr>
        <w:t>(</w:t>
      </w:r>
      <w:r w:rsidR="00254E2E">
        <w:rPr>
          <w:rFonts w:eastAsia="Arial Unicode MS" w:cs="Arial Unicode MS"/>
          <w:u w:color="000000"/>
          <w:bdr w:val="nil"/>
          <w:lang w:val="en-US" w:eastAsia="en-GB"/>
        </w:rPr>
        <w:t>z</w:t>
      </w:r>
      <w:r w:rsidR="002C2558" w:rsidRPr="009C115F">
        <w:rPr>
          <w:rFonts w:eastAsia="Arial Unicode MS" w:cs="Arial Unicode MS"/>
          <w:u w:color="000000"/>
          <w:bdr w:val="nil"/>
          <w:lang w:val="en-US" w:eastAsia="en-GB"/>
        </w:rPr>
        <w:t>)</w:t>
      </w:r>
      <w:r w:rsidR="008C3F61">
        <w:rPr>
          <w:rFonts w:eastAsia="Arial Unicode MS" w:cs="Arial Unicode MS"/>
          <w:b/>
          <w:u w:color="000000"/>
          <w:bdr w:val="nil"/>
          <w:lang w:val="en-US" w:eastAsia="en-GB"/>
        </w:rPr>
        <w:tab/>
      </w:r>
      <w:r w:rsidR="002C2558" w:rsidRPr="006931FF">
        <w:rPr>
          <w:rFonts w:eastAsia="Arial Unicode MS" w:cs="Arial Unicode MS"/>
          <w:b/>
          <w:u w:color="000000"/>
          <w:bdr w:val="nil"/>
          <w:lang w:val="en-US" w:eastAsia="en-GB"/>
        </w:rPr>
        <w:t xml:space="preserve">Reduce the over-crowding of detention centers, ensuring that sections 81 and 84 of the of the </w:t>
      </w:r>
      <w:r w:rsidR="002C2558" w:rsidRPr="006931FF">
        <w:rPr>
          <w:rFonts w:eastAsia="Arial Unicode MS" w:cs="Arial Unicode MS"/>
          <w:b/>
          <w:i/>
          <w:iCs/>
          <w:u w:color="000000"/>
          <w:bdr w:val="nil"/>
          <w:lang w:val="en-US" w:eastAsia="en-GB"/>
        </w:rPr>
        <w:t xml:space="preserve">Corrections and Conditional Release Act (S.C. 1992, c. 20) </w:t>
      </w:r>
      <w:r w:rsidR="00254E2E">
        <w:rPr>
          <w:rFonts w:eastAsia="Arial Unicode MS" w:cs="Arial Unicode MS"/>
          <w:b/>
          <w:i/>
          <w:iCs/>
          <w:u w:color="000000"/>
          <w:bdr w:val="nil"/>
          <w:lang w:val="en-US" w:eastAsia="en-GB"/>
        </w:rPr>
        <w:t xml:space="preserve"> </w:t>
      </w:r>
      <w:r w:rsidR="00254E2E">
        <w:rPr>
          <w:rFonts w:eastAsia="Arial Unicode MS" w:cs="Arial Unicode MS"/>
          <w:b/>
          <w:iCs/>
          <w:u w:color="000000"/>
          <w:bdr w:val="nil"/>
          <w:lang w:val="en-US" w:eastAsia="en-GB"/>
        </w:rPr>
        <w:t>concerning</w:t>
      </w:r>
      <w:r w:rsidR="002C2558" w:rsidRPr="006931FF">
        <w:rPr>
          <w:rFonts w:eastAsia="Arial Unicode MS" w:cs="Arial Unicode MS"/>
          <w:b/>
          <w:iCs/>
          <w:u w:color="000000"/>
          <w:bdr w:val="nil"/>
          <w:lang w:val="en-US" w:eastAsia="en-GB"/>
        </w:rPr>
        <w:t xml:space="preserve"> federal corrections</w:t>
      </w:r>
      <w:r w:rsidR="002C2558" w:rsidRPr="006931FF">
        <w:rPr>
          <w:rFonts w:eastAsia="Arial Unicode MS" w:cs="Arial Unicode MS"/>
          <w:b/>
          <w:i/>
          <w:iCs/>
          <w:u w:color="000000"/>
          <w:bdr w:val="nil"/>
          <w:lang w:val="en-US" w:eastAsia="en-GB"/>
        </w:rPr>
        <w:t xml:space="preserve"> </w:t>
      </w:r>
      <w:r w:rsidR="002C2558" w:rsidRPr="006931FF">
        <w:rPr>
          <w:rFonts w:eastAsia="Arial Unicode MS" w:cs="Arial Unicode MS"/>
          <w:b/>
          <w:u w:color="000000"/>
          <w:bdr w:val="nil"/>
          <w:lang w:val="en-US" w:eastAsia="en-GB"/>
        </w:rPr>
        <w:t xml:space="preserve">are consistently applied, give preference to alternatives to imprisonment for prisoners with mental health </w:t>
      </w:r>
      <w:r w:rsidR="00254E2E">
        <w:rPr>
          <w:rFonts w:eastAsia="Arial Unicode MS" w:cs="Arial Unicode MS"/>
          <w:b/>
          <w:u w:color="000000"/>
          <w:bdr w:val="nil"/>
          <w:lang w:val="en-US" w:eastAsia="en-GB"/>
        </w:rPr>
        <w:t xml:space="preserve">conditions </w:t>
      </w:r>
      <w:r w:rsidR="002C2558" w:rsidRPr="006931FF">
        <w:rPr>
          <w:rFonts w:eastAsia="Arial Unicode MS" w:cs="Arial Unicode MS"/>
          <w:b/>
          <w:u w:color="000000"/>
          <w:bdr w:val="nil"/>
          <w:lang w:val="en-US" w:eastAsia="en-GB"/>
        </w:rPr>
        <w:t xml:space="preserve"> by transferring prisoners to mental health services, facilities</w:t>
      </w:r>
      <w:r w:rsidR="002C2558" w:rsidRPr="00CF73EE">
        <w:rPr>
          <w:rFonts w:eastAsia="Arial Unicode MS" w:cs="Arial Unicode MS"/>
          <w:b/>
          <w:u w:color="000000"/>
          <w:bdr w:val="nil"/>
          <w:lang w:val="en-US" w:eastAsia="en-GB"/>
        </w:rPr>
        <w:t xml:space="preserve"> or psychiatric hospitals, pursuing to existing and/or potential exchange of services agreements between the federal and provincial and territorial health authorities</w:t>
      </w:r>
      <w:r w:rsidR="008C3F61">
        <w:rPr>
          <w:rFonts w:eastAsia="Arial Unicode MS" w:cs="Arial Unicode MS"/>
          <w:b/>
          <w:u w:color="000000"/>
          <w:bdr w:val="nil"/>
          <w:lang w:val="en-US" w:eastAsia="en-GB"/>
        </w:rPr>
        <w:t>;</w:t>
      </w:r>
    </w:p>
    <w:p w:rsidR="002C2558" w:rsidRPr="00CF73EE" w:rsidRDefault="00CB4ECE" w:rsidP="00CB4ECE">
      <w:pPr>
        <w:pStyle w:val="SingleTxtG"/>
        <w:ind w:left="1701"/>
        <w:rPr>
          <w:b/>
          <w:u w:color="000000"/>
          <w:bdr w:val="nil"/>
          <w:lang w:val="en-US" w:eastAsia="en-GB"/>
        </w:rPr>
      </w:pPr>
      <w:r>
        <w:rPr>
          <w:u w:color="000000"/>
          <w:bdr w:val="nil"/>
          <w:lang w:val="en-US" w:eastAsia="en-GB"/>
        </w:rPr>
        <w:t>(</w:t>
      </w:r>
      <w:proofErr w:type="spellStart"/>
      <w:r w:rsidR="00254E2E">
        <w:rPr>
          <w:u w:color="000000"/>
          <w:bdr w:val="nil"/>
          <w:lang w:val="en-US" w:eastAsia="en-GB"/>
        </w:rPr>
        <w:t>i</w:t>
      </w:r>
      <w:proofErr w:type="spellEnd"/>
      <w:r w:rsidR="002C2558" w:rsidRPr="009C115F">
        <w:rPr>
          <w:u w:color="000000"/>
          <w:bdr w:val="nil"/>
          <w:lang w:val="en-US" w:eastAsia="en-GB"/>
        </w:rPr>
        <w:t>)</w:t>
      </w:r>
      <w:r w:rsidR="002C2558" w:rsidRPr="00CF73EE">
        <w:rPr>
          <w:b/>
          <w:u w:color="000000"/>
          <w:bdr w:val="nil"/>
          <w:lang w:val="en-US" w:eastAsia="en-GB"/>
        </w:rPr>
        <w:tab/>
        <w:t xml:space="preserve">Take concrete steps to eliminate the over-representation of </w:t>
      </w:r>
      <w:r w:rsidR="002C2558">
        <w:rPr>
          <w:b/>
          <w:u w:color="000000"/>
          <w:bdr w:val="nil"/>
          <w:lang w:val="en-US" w:eastAsia="en-GB"/>
        </w:rPr>
        <w:t>Indigenous</w:t>
      </w:r>
      <w:r w:rsidR="002C2558" w:rsidRPr="00CF73EE">
        <w:rPr>
          <w:b/>
          <w:u w:color="000000"/>
          <w:bdr w:val="nil"/>
          <w:lang w:val="en-US" w:eastAsia="en-GB"/>
        </w:rPr>
        <w:t xml:space="preserve"> women in custody (and youth corrections facilities for </w:t>
      </w:r>
      <w:r w:rsidR="002C2558">
        <w:rPr>
          <w:b/>
          <w:u w:color="000000"/>
          <w:bdr w:val="nil"/>
          <w:lang w:val="en-US" w:eastAsia="en-GB"/>
        </w:rPr>
        <w:t>Indigenous</w:t>
      </w:r>
      <w:r w:rsidR="002C2558" w:rsidRPr="00CF73EE">
        <w:rPr>
          <w:b/>
          <w:u w:color="000000"/>
          <w:bdr w:val="nil"/>
          <w:lang w:val="en-US" w:eastAsia="en-GB"/>
        </w:rPr>
        <w:t xml:space="preserve"> girls). Issue detailed annual reports to monitor and evaluate progress and stop classifying them as bearing a low potential of reintegration when they are detained</w:t>
      </w:r>
      <w:r w:rsidR="008C3F61">
        <w:rPr>
          <w:b/>
          <w:u w:color="000000"/>
          <w:bdr w:val="nil"/>
          <w:lang w:val="en-US" w:eastAsia="en-GB"/>
        </w:rPr>
        <w:t>;</w:t>
      </w:r>
    </w:p>
    <w:p w:rsidR="002C2558" w:rsidRPr="00CF73EE" w:rsidRDefault="00CB4ECE" w:rsidP="00CB4ECE">
      <w:pPr>
        <w:pStyle w:val="SingleTxtG"/>
        <w:ind w:left="1701"/>
        <w:rPr>
          <w:rFonts w:eastAsia="Calibri" w:cs="Calibri"/>
          <w:b/>
          <w:u w:color="000000"/>
          <w:bdr w:val="nil"/>
          <w:lang w:val="en-US" w:eastAsia="en-GB"/>
        </w:rPr>
      </w:pPr>
      <w:r w:rsidRPr="00CB4ECE">
        <w:rPr>
          <w:rFonts w:eastAsia="Calibri" w:cs="Calibri"/>
          <w:u w:color="000000"/>
          <w:bdr w:val="nil"/>
          <w:shd w:val="clear" w:color="auto" w:fill="FFFFFF"/>
          <w:lang w:val="en-US" w:eastAsia="en-GB"/>
        </w:rPr>
        <w:t>(</w:t>
      </w:r>
      <w:r w:rsidR="00254E2E" w:rsidRPr="00CB4ECE">
        <w:rPr>
          <w:rFonts w:eastAsia="Calibri" w:cs="Calibri"/>
          <w:u w:color="000000"/>
          <w:bdr w:val="nil"/>
          <w:shd w:val="clear" w:color="auto" w:fill="FFFFFF"/>
          <w:lang w:val="en-US" w:eastAsia="en-GB"/>
        </w:rPr>
        <w:t>ii)</w:t>
      </w:r>
      <w:r w:rsidR="002C2558" w:rsidRPr="00CF73EE">
        <w:rPr>
          <w:rFonts w:eastAsia="Calibri" w:cs="Calibri"/>
          <w:b/>
          <w:u w:color="000000"/>
          <w:bdr w:val="nil"/>
          <w:shd w:val="clear" w:color="auto" w:fill="FFFFFF"/>
          <w:lang w:val="en-US" w:eastAsia="en-GB"/>
        </w:rPr>
        <w:tab/>
        <w:t xml:space="preserve">Address the disproportionately high number of </w:t>
      </w:r>
      <w:r w:rsidR="002C2558">
        <w:rPr>
          <w:rFonts w:eastAsia="Calibri" w:cs="Calibri"/>
          <w:b/>
          <w:u w:color="000000"/>
          <w:bdr w:val="nil"/>
          <w:shd w:val="clear" w:color="auto" w:fill="FFFFFF"/>
          <w:lang w:val="en-US" w:eastAsia="en-GB"/>
        </w:rPr>
        <w:t>Indigenous</w:t>
      </w:r>
      <w:r w:rsidR="002C2558" w:rsidRPr="00CF73EE">
        <w:rPr>
          <w:rFonts w:eastAsia="Calibri" w:cs="Calibri"/>
          <w:b/>
          <w:u w:color="000000"/>
          <w:bdr w:val="nil"/>
          <w:shd w:val="clear" w:color="auto" w:fill="FFFFFF"/>
          <w:lang w:val="en-US" w:eastAsia="en-GB"/>
        </w:rPr>
        <w:t xml:space="preserve"> children institutionalized by Child welfare authorities which renders </w:t>
      </w:r>
      <w:r w:rsidR="002C2558">
        <w:rPr>
          <w:rFonts w:eastAsia="Calibri" w:cs="Calibri"/>
          <w:b/>
          <w:u w:color="000000"/>
          <w:bdr w:val="nil"/>
          <w:shd w:val="clear" w:color="auto" w:fill="FFFFFF"/>
          <w:lang w:val="en-US" w:eastAsia="en-GB"/>
        </w:rPr>
        <w:t>Indigenous</w:t>
      </w:r>
      <w:r w:rsidR="002C2558" w:rsidRPr="00CF73EE">
        <w:rPr>
          <w:rFonts w:eastAsia="Calibri" w:cs="Calibri"/>
          <w:b/>
          <w:u w:color="000000"/>
          <w:bdr w:val="nil"/>
          <w:shd w:val="clear" w:color="auto" w:fill="FFFFFF"/>
          <w:lang w:val="en-US" w:eastAsia="en-GB"/>
        </w:rPr>
        <w:t xml:space="preserve"> women more vulnerable to violence, as they are reluctant to seek help from authorities fearing that their children may be taken away</w:t>
      </w:r>
      <w:r w:rsidR="008C3F61">
        <w:rPr>
          <w:rFonts w:eastAsia="Calibri" w:cs="Calibri"/>
          <w:b/>
          <w:u w:color="000000"/>
          <w:bdr w:val="nil"/>
          <w:shd w:val="clear" w:color="auto" w:fill="FFFFFF"/>
          <w:lang w:val="en-US" w:eastAsia="en-GB"/>
        </w:rPr>
        <w:t>;</w:t>
      </w:r>
    </w:p>
    <w:p w:rsidR="002C2558" w:rsidRPr="00CF73EE" w:rsidRDefault="00CB4ECE" w:rsidP="00CB4ECE">
      <w:pPr>
        <w:pStyle w:val="SingleTxtG"/>
        <w:ind w:left="1701"/>
        <w:rPr>
          <w:b/>
          <w:u w:color="000000"/>
          <w:bdr w:val="nil"/>
          <w:lang w:val="en-US" w:eastAsia="en-GB"/>
        </w:rPr>
      </w:pPr>
      <w:r>
        <w:rPr>
          <w:u w:color="000000"/>
          <w:bdr w:val="nil"/>
          <w:lang w:val="en-US" w:eastAsia="en-GB"/>
        </w:rPr>
        <w:t>(</w:t>
      </w:r>
      <w:r w:rsidR="00254E2E">
        <w:rPr>
          <w:u w:color="000000"/>
          <w:bdr w:val="nil"/>
          <w:lang w:val="en-US" w:eastAsia="en-GB"/>
        </w:rPr>
        <w:t>iii</w:t>
      </w:r>
      <w:r w:rsidR="002C2558" w:rsidRPr="009C115F">
        <w:rPr>
          <w:u w:color="000000"/>
          <w:bdr w:val="nil"/>
          <w:lang w:val="en-US" w:eastAsia="en-GB"/>
        </w:rPr>
        <w:t>)</w:t>
      </w:r>
      <w:r w:rsidR="00254E2E">
        <w:rPr>
          <w:b/>
          <w:u w:color="000000"/>
          <w:bdr w:val="nil"/>
          <w:lang w:val="en-US" w:eastAsia="en-GB"/>
        </w:rPr>
        <w:t xml:space="preserve"> </w:t>
      </w:r>
      <w:r w:rsidR="00254E2E">
        <w:rPr>
          <w:b/>
          <w:u w:color="000000"/>
          <w:bdr w:val="nil"/>
          <w:lang w:val="en-US" w:eastAsia="en-GB"/>
        </w:rPr>
        <w:tab/>
        <w:t xml:space="preserve">Respectively </w:t>
      </w:r>
      <w:r w:rsidR="002C2558" w:rsidRPr="00CF73EE">
        <w:rPr>
          <w:b/>
          <w:u w:color="000000"/>
          <w:bdr w:val="nil"/>
          <w:lang w:val="en-US" w:eastAsia="en-GB"/>
        </w:rPr>
        <w:t xml:space="preserve">with all levels of jurisdictions, establish civilian oversight of police, as an important step in monitoring police response to sexual assault and sexual assault survivors especial against </w:t>
      </w:r>
      <w:r w:rsidR="002C2558">
        <w:rPr>
          <w:b/>
          <w:u w:color="000000"/>
          <w:bdr w:val="nil"/>
          <w:lang w:val="en-US" w:eastAsia="en-GB"/>
        </w:rPr>
        <w:t>Indigenous</w:t>
      </w:r>
      <w:r w:rsidR="002C2558" w:rsidRPr="00CF73EE">
        <w:rPr>
          <w:b/>
          <w:u w:color="000000"/>
          <w:bdr w:val="nil"/>
          <w:lang w:val="en-US" w:eastAsia="en-GB"/>
        </w:rPr>
        <w:t xml:space="preserve"> women and girls</w:t>
      </w:r>
      <w:r w:rsidR="008C3F61">
        <w:rPr>
          <w:b/>
          <w:u w:color="000000"/>
          <w:bdr w:val="nil"/>
          <w:lang w:val="en-US" w:eastAsia="en-GB"/>
        </w:rPr>
        <w:t>;</w:t>
      </w:r>
    </w:p>
    <w:p w:rsidR="002C2558" w:rsidRPr="00CF73EE" w:rsidRDefault="00CB4ECE" w:rsidP="00CB4ECE">
      <w:pPr>
        <w:pStyle w:val="SingleTxtG"/>
        <w:ind w:left="1701"/>
        <w:rPr>
          <w:b/>
          <w:u w:color="000000"/>
          <w:bdr w:val="nil"/>
          <w:lang w:val="en-US" w:eastAsia="en-GB"/>
        </w:rPr>
      </w:pPr>
      <w:proofErr w:type="gramStart"/>
      <w:r>
        <w:rPr>
          <w:u w:color="000000"/>
          <w:bdr w:val="nil"/>
          <w:shd w:val="clear" w:color="auto" w:fill="FFFFFF"/>
          <w:lang w:val="en-US" w:eastAsia="en-GB"/>
        </w:rPr>
        <w:t>(</w:t>
      </w:r>
      <w:r w:rsidR="00254E2E">
        <w:rPr>
          <w:u w:color="000000"/>
          <w:bdr w:val="nil"/>
          <w:shd w:val="clear" w:color="auto" w:fill="FFFFFF"/>
          <w:lang w:val="en-US" w:eastAsia="en-GB"/>
        </w:rPr>
        <w:t>iv</w:t>
      </w:r>
      <w:r w:rsidR="002C2558" w:rsidRPr="009C115F">
        <w:rPr>
          <w:u w:color="000000"/>
          <w:bdr w:val="nil"/>
          <w:shd w:val="clear" w:color="auto" w:fill="FFFFFF"/>
          <w:lang w:val="en-US" w:eastAsia="en-GB"/>
        </w:rPr>
        <w:t>)</w:t>
      </w:r>
      <w:r w:rsidR="002C2558" w:rsidRPr="00CF73EE">
        <w:rPr>
          <w:b/>
          <w:u w:color="000000"/>
          <w:bdr w:val="nil"/>
          <w:shd w:val="clear" w:color="auto" w:fill="FFFFFF"/>
          <w:lang w:val="en-US" w:eastAsia="en-GB"/>
        </w:rPr>
        <w:tab/>
        <w:t>Establish</w:t>
      </w:r>
      <w:proofErr w:type="gramEnd"/>
      <w:r w:rsidR="002C2558" w:rsidRPr="00CF73EE">
        <w:rPr>
          <w:b/>
          <w:u w:color="000000"/>
          <w:bdr w:val="nil"/>
          <w:lang w:val="en-US" w:eastAsia="en-GB"/>
        </w:rPr>
        <w:t xml:space="preserve"> an independent civilian oversight body for the RCMP</w:t>
      </w:r>
      <w:r w:rsidR="002C2558" w:rsidRPr="00CF73EE">
        <w:rPr>
          <w:b/>
          <w:u w:color="000000"/>
          <w:bdr w:val="nil"/>
          <w:shd w:val="clear" w:color="auto" w:fill="FFFFFF"/>
          <w:lang w:val="en-US" w:eastAsia="en-GB"/>
        </w:rPr>
        <w:t xml:space="preserve">, </w:t>
      </w:r>
      <w:r w:rsidR="002C2558" w:rsidRPr="00CF73EE">
        <w:rPr>
          <w:b/>
          <w:u w:color="000000"/>
          <w:bdr w:val="nil"/>
          <w:lang w:val="en-US" w:eastAsia="en-GB"/>
        </w:rPr>
        <w:t>to monitor police response to sexual assault and sexual assault survivors</w:t>
      </w:r>
      <w:r w:rsidR="002C2558">
        <w:rPr>
          <w:b/>
          <w:u w:color="000000"/>
          <w:bdr w:val="nil"/>
          <w:lang w:val="en-US" w:eastAsia="en-GB"/>
        </w:rPr>
        <w:t>,</w:t>
      </w:r>
      <w:r w:rsidR="002C2558" w:rsidRPr="00CF73EE">
        <w:rPr>
          <w:b/>
          <w:u w:color="000000"/>
          <w:bdr w:val="nil"/>
          <w:lang w:val="en-US" w:eastAsia="en-GB"/>
        </w:rPr>
        <w:t xml:space="preserve"> especially </w:t>
      </w:r>
      <w:r w:rsidR="00AD06C8">
        <w:rPr>
          <w:b/>
          <w:u w:color="000000"/>
          <w:bdr w:val="nil"/>
          <w:lang w:val="en-US" w:eastAsia="en-GB"/>
        </w:rPr>
        <w:t>indigenous</w:t>
      </w:r>
      <w:r w:rsidR="002C2558" w:rsidRPr="00CF73EE">
        <w:rPr>
          <w:b/>
          <w:u w:color="000000"/>
          <w:bdr w:val="nil"/>
          <w:lang w:val="en-US" w:eastAsia="en-GB"/>
        </w:rPr>
        <w:t xml:space="preserve"> women and girls</w:t>
      </w:r>
      <w:r w:rsidR="008C3F61">
        <w:rPr>
          <w:b/>
          <w:u w:color="000000"/>
          <w:bdr w:val="nil"/>
          <w:lang w:val="en-US" w:eastAsia="en-GB"/>
        </w:rPr>
        <w:t>;</w:t>
      </w:r>
    </w:p>
    <w:p w:rsidR="002C2558" w:rsidRPr="00CF73EE" w:rsidRDefault="00CB4ECE" w:rsidP="00CB4ECE">
      <w:pPr>
        <w:pStyle w:val="SingleTxtG"/>
        <w:ind w:left="1701"/>
        <w:rPr>
          <w:rFonts w:ascii="Arial Unicode MS" w:eastAsia="Arial Unicode MS" w:hAnsi="Arial Unicode MS" w:cs="Arial Unicode MS"/>
          <w:b/>
          <w:u w:color="000000"/>
          <w:bdr w:val="nil"/>
          <w:lang w:val="en-US" w:eastAsia="en-GB"/>
        </w:rPr>
      </w:pPr>
      <w:r>
        <w:rPr>
          <w:rFonts w:eastAsia="Arial Unicode MS" w:cs="Arial Unicode MS"/>
          <w:u w:color="000000"/>
          <w:bdr w:val="nil"/>
          <w:lang w:val="en-US" w:eastAsia="en-GB"/>
        </w:rPr>
        <w:t>(</w:t>
      </w:r>
      <w:r w:rsidR="00254E2E">
        <w:rPr>
          <w:rFonts w:eastAsia="Arial Unicode MS" w:cs="Arial Unicode MS"/>
          <w:u w:color="000000"/>
          <w:bdr w:val="nil"/>
          <w:lang w:val="en-US" w:eastAsia="en-GB"/>
        </w:rPr>
        <w:t>v</w:t>
      </w:r>
      <w:r w:rsidR="002C2558" w:rsidRPr="009C115F">
        <w:rPr>
          <w:rFonts w:eastAsia="Arial Unicode MS" w:cs="Arial Unicode MS"/>
          <w:u w:color="000000"/>
          <w:bdr w:val="nil"/>
          <w:lang w:val="en-US" w:eastAsia="en-GB"/>
        </w:rPr>
        <w:t>)</w:t>
      </w:r>
      <w:r w:rsidR="002C2558" w:rsidRPr="00CF73EE">
        <w:rPr>
          <w:rFonts w:eastAsia="Arial Unicode MS" w:cs="Arial Unicode MS"/>
          <w:b/>
          <w:u w:color="000000"/>
          <w:bdr w:val="nil"/>
          <w:lang w:val="en-US" w:eastAsia="en-GB"/>
        </w:rPr>
        <w:tab/>
        <w:t xml:space="preserve">Support an external review, </w:t>
      </w:r>
      <w:r w:rsidR="00EB643A">
        <w:rPr>
          <w:rFonts w:eastAsia="Arial Unicode MS" w:cs="Arial Unicode MS"/>
          <w:b/>
          <w:u w:color="000000"/>
          <w:bdr w:val="nil"/>
          <w:lang w:val="en-US" w:eastAsia="en-GB"/>
        </w:rPr>
        <w:t>conjointly</w:t>
      </w:r>
      <w:r w:rsidR="002C2558" w:rsidRPr="00CF73EE">
        <w:rPr>
          <w:rFonts w:eastAsia="Arial Unicode MS" w:cs="Arial Unicode MS"/>
          <w:b/>
          <w:u w:color="000000"/>
          <w:bdr w:val="nil"/>
          <w:lang w:val="en-US" w:eastAsia="en-GB"/>
        </w:rPr>
        <w:t xml:space="preserve"> with civil society and </w:t>
      </w:r>
      <w:r w:rsidR="002C2558">
        <w:rPr>
          <w:rFonts w:eastAsia="Arial Unicode MS" w:cs="Arial Unicode MS"/>
          <w:b/>
          <w:u w:color="000000"/>
          <w:bdr w:val="nil"/>
          <w:lang w:val="en-US" w:eastAsia="en-GB"/>
        </w:rPr>
        <w:t>Indigenous</w:t>
      </w:r>
      <w:r w:rsidR="002C2558" w:rsidRPr="00CF73EE">
        <w:rPr>
          <w:rFonts w:eastAsia="Arial Unicode MS" w:cs="Arial Unicode MS"/>
          <w:b/>
          <w:u w:color="000000"/>
          <w:bdr w:val="nil"/>
          <w:lang w:val="en-US" w:eastAsia="en-GB"/>
        </w:rPr>
        <w:t xml:space="preserve"> communities, of the disproportionate levels of racism, abuse, and violence towards </w:t>
      </w:r>
      <w:r w:rsidR="002C2558">
        <w:rPr>
          <w:rFonts w:eastAsia="Arial Unicode MS" w:cs="Arial Unicode MS"/>
          <w:b/>
          <w:u w:color="000000"/>
          <w:bdr w:val="nil"/>
          <w:lang w:val="en-US" w:eastAsia="en-GB"/>
        </w:rPr>
        <w:t>Indigenous</w:t>
      </w:r>
      <w:r w:rsidR="002C2558" w:rsidRPr="00CF73EE">
        <w:rPr>
          <w:rFonts w:eastAsia="Arial Unicode MS" w:cs="Arial Unicode MS"/>
          <w:b/>
          <w:u w:color="000000"/>
          <w:bdr w:val="nil"/>
          <w:lang w:val="en-US" w:eastAsia="en-GB"/>
        </w:rPr>
        <w:t xml:space="preserve"> women and girls by police and correctional officers, with a view to implement preventative measures and enforcing institutional accountability on a concept of zero tolerance for excessive use of force and sexual harassment or assaul</w:t>
      </w:r>
      <w:r w:rsidR="002C2558" w:rsidRPr="00CF73EE">
        <w:rPr>
          <w:rFonts w:ascii="Arial Unicode MS" w:eastAsia="Arial Unicode MS" w:hAnsi="Arial Unicode MS" w:cs="Arial Unicode MS"/>
          <w:b/>
          <w:u w:color="000000"/>
          <w:bdr w:val="nil"/>
          <w:lang w:val="en-US" w:eastAsia="en-GB"/>
        </w:rPr>
        <w:t>t</w:t>
      </w:r>
      <w:r w:rsidR="008C3F61" w:rsidRPr="008C3F61">
        <w:rPr>
          <w:rFonts w:eastAsia="Arial Unicode MS"/>
          <w:b/>
          <w:u w:color="000000"/>
          <w:bdr w:val="nil"/>
          <w:lang w:val="en-US" w:eastAsia="en-GB"/>
        </w:rPr>
        <w:t>;</w:t>
      </w:r>
    </w:p>
    <w:p w:rsidR="002C2558" w:rsidRPr="00CF73EE" w:rsidRDefault="00CB4ECE" w:rsidP="00CB4ECE">
      <w:pPr>
        <w:pStyle w:val="SingleTxtG"/>
        <w:ind w:left="1701"/>
        <w:rPr>
          <w:rFonts w:eastAsia="Arial Unicode MS" w:cs="Arial Unicode MS"/>
          <w:b/>
          <w:bCs/>
          <w:u w:color="000000"/>
          <w:bdr w:val="nil"/>
          <w:lang w:val="en-US" w:eastAsia="en-GB"/>
        </w:rPr>
      </w:pPr>
      <w:proofErr w:type="gramStart"/>
      <w:r>
        <w:rPr>
          <w:rFonts w:eastAsia="Arial Unicode MS" w:cs="Arial Unicode MS"/>
          <w:bCs/>
          <w:u w:color="000000"/>
          <w:bdr w:val="nil"/>
          <w:lang w:val="en-US" w:eastAsia="en-GB"/>
        </w:rPr>
        <w:t>(</w:t>
      </w:r>
      <w:r w:rsidR="00254E2E">
        <w:rPr>
          <w:rFonts w:eastAsia="Arial Unicode MS" w:cs="Arial Unicode MS"/>
          <w:bCs/>
          <w:u w:color="000000"/>
          <w:bdr w:val="nil"/>
          <w:lang w:val="en-US" w:eastAsia="en-GB"/>
        </w:rPr>
        <w:t>v</w:t>
      </w:r>
      <w:r w:rsidR="004978E3">
        <w:rPr>
          <w:rFonts w:eastAsia="Arial Unicode MS" w:cs="Arial Unicode MS"/>
          <w:bCs/>
          <w:u w:color="000000"/>
          <w:bdr w:val="nil"/>
          <w:lang w:val="en-US" w:eastAsia="en-GB"/>
        </w:rPr>
        <w:t>i</w:t>
      </w:r>
      <w:r w:rsidR="002C2558" w:rsidRPr="009C115F">
        <w:rPr>
          <w:rFonts w:eastAsia="Arial Unicode MS" w:cs="Arial Unicode MS"/>
          <w:bCs/>
          <w:u w:color="000000"/>
          <w:bdr w:val="nil"/>
          <w:lang w:val="en-US" w:eastAsia="en-GB"/>
        </w:rPr>
        <w:t>)</w:t>
      </w:r>
      <w:r w:rsidR="002C2558" w:rsidRPr="00CF73EE">
        <w:rPr>
          <w:rFonts w:eastAsia="Arial Unicode MS" w:cs="Arial Unicode MS"/>
          <w:b/>
          <w:bCs/>
          <w:u w:color="000000"/>
          <w:bdr w:val="nil"/>
          <w:lang w:val="en-US" w:eastAsia="en-GB"/>
        </w:rPr>
        <w:tab/>
        <w:t>On</w:t>
      </w:r>
      <w:proofErr w:type="gramEnd"/>
      <w:r w:rsidR="002C2558" w:rsidRPr="00CF73EE">
        <w:rPr>
          <w:rFonts w:eastAsia="Arial Unicode MS" w:cs="Arial Unicode MS"/>
          <w:b/>
          <w:bCs/>
          <w:u w:color="000000"/>
          <w:bdr w:val="nil"/>
          <w:lang w:val="en-US" w:eastAsia="en-GB"/>
        </w:rPr>
        <w:t xml:space="preserve"> women with disabilities, </w:t>
      </w:r>
      <w:r w:rsidR="002C2558" w:rsidRPr="00CF73EE">
        <w:rPr>
          <w:rFonts w:eastAsia="Arial Unicode MS" w:cs="Arial Unicode MS"/>
          <w:b/>
          <w:u w:color="000000"/>
          <w:bdr w:val="nil"/>
          <w:lang w:val="en-US" w:eastAsia="en-GB"/>
        </w:rPr>
        <w:t>fully align policies and legal framework with the recommendations made by the international human rights mechanisms and provide a comprehensive assessment of the situation of girls and women with disabilities in the country</w:t>
      </w:r>
      <w:r w:rsidR="008C3F61">
        <w:rPr>
          <w:rFonts w:eastAsia="Arial Unicode MS" w:cs="Arial Unicode MS"/>
          <w:b/>
          <w:u w:color="000000"/>
          <w:bdr w:val="nil"/>
          <w:lang w:val="en-US" w:eastAsia="en-GB"/>
        </w:rPr>
        <w:t>;</w:t>
      </w:r>
    </w:p>
    <w:p w:rsidR="002C2558" w:rsidRPr="00CF73EE" w:rsidRDefault="00CB4ECE" w:rsidP="00CB4ECE">
      <w:pPr>
        <w:pStyle w:val="SingleTxtG"/>
        <w:ind w:left="1701"/>
        <w:rPr>
          <w:rFonts w:eastAsia="Calibri" w:cs="Calibri"/>
          <w:b/>
          <w:u w:color="000000"/>
          <w:bdr w:val="nil"/>
          <w:lang w:val="en-US" w:eastAsia="en-GB"/>
        </w:rPr>
      </w:pPr>
      <w:r>
        <w:rPr>
          <w:rFonts w:eastAsia="Calibri"/>
          <w:bCs/>
          <w:u w:color="000000"/>
          <w:bdr w:val="nil"/>
          <w:lang w:val="en-US" w:eastAsia="en-GB"/>
        </w:rPr>
        <w:t>(</w:t>
      </w:r>
      <w:r w:rsidR="00254E2E">
        <w:rPr>
          <w:rFonts w:eastAsia="Calibri"/>
          <w:bCs/>
          <w:u w:color="000000"/>
          <w:bdr w:val="nil"/>
          <w:lang w:val="en-US" w:eastAsia="en-GB"/>
        </w:rPr>
        <w:t>v</w:t>
      </w:r>
      <w:r w:rsidR="004978E3">
        <w:rPr>
          <w:rFonts w:eastAsia="Calibri"/>
          <w:bCs/>
          <w:u w:color="000000"/>
          <w:bdr w:val="nil"/>
          <w:lang w:val="en-US" w:eastAsia="en-GB"/>
        </w:rPr>
        <w:t>ii</w:t>
      </w:r>
      <w:r w:rsidR="002C2558" w:rsidRPr="009C115F">
        <w:rPr>
          <w:rFonts w:eastAsia="Calibri"/>
          <w:bCs/>
          <w:u w:color="000000"/>
          <w:bdr w:val="nil"/>
          <w:lang w:val="en-US" w:eastAsia="en-GB"/>
        </w:rPr>
        <w:t>)</w:t>
      </w:r>
      <w:r w:rsidR="002C2558" w:rsidRPr="00CF73EE">
        <w:rPr>
          <w:rFonts w:eastAsia="Calibri"/>
          <w:b/>
          <w:bCs/>
          <w:u w:color="000000"/>
          <w:bdr w:val="nil"/>
          <w:lang w:val="en-US" w:eastAsia="en-GB"/>
        </w:rPr>
        <w:tab/>
        <w:t xml:space="preserve">On women refugees and asylum seekers, </w:t>
      </w:r>
      <w:r w:rsidR="002C2558" w:rsidRPr="00CF73EE">
        <w:rPr>
          <w:rFonts w:eastAsia="Calibri"/>
          <w:b/>
          <w:u w:color="000000"/>
          <w:bdr w:val="nil"/>
          <w:lang w:val="en-US" w:eastAsia="en-GB"/>
        </w:rPr>
        <w:t>amend immigration and refugee policies to end the current practice under which women, including pregnant women, and children can be detained indefinitely. An independent oversight mechanism to monitor the Canada Border Services Agency (CBSA) and</w:t>
      </w:r>
      <w:r w:rsidR="002C2558" w:rsidRPr="00CF73EE">
        <w:rPr>
          <w:rFonts w:eastAsia="Calibri" w:cs="Calibri"/>
          <w:b/>
          <w:u w:color="000000"/>
          <w:bdr w:val="nil"/>
          <w:lang w:val="en-US" w:eastAsia="en-GB"/>
        </w:rPr>
        <w:t xml:space="preserve"> its detention policies should be put in place to deal with complaints of violence and abuse towards women in detention</w:t>
      </w:r>
      <w:r w:rsidR="008C3F61">
        <w:rPr>
          <w:rFonts w:eastAsia="Calibri" w:cs="Calibri"/>
          <w:b/>
          <w:u w:color="000000"/>
          <w:bdr w:val="nil"/>
          <w:lang w:val="en-US" w:eastAsia="en-GB"/>
        </w:rPr>
        <w:t>;</w:t>
      </w:r>
    </w:p>
    <w:p w:rsidR="002C2558" w:rsidRPr="00CF73EE" w:rsidRDefault="00CB4ECE" w:rsidP="00CB4ECE">
      <w:pPr>
        <w:pStyle w:val="SingleTxtG"/>
        <w:ind w:left="1701"/>
        <w:rPr>
          <w:rFonts w:eastAsia="Arial Unicode MS" w:cs="Arial Unicode MS"/>
          <w:b/>
          <w:u w:color="000000"/>
          <w:bdr w:val="nil"/>
          <w:lang w:val="en-US" w:eastAsia="en-GB"/>
        </w:rPr>
      </w:pPr>
      <w:r>
        <w:rPr>
          <w:rFonts w:eastAsia="Arial Unicode MS" w:cs="Arial Unicode MS"/>
          <w:u w:color="000000"/>
          <w:bdr w:val="nil"/>
          <w:lang w:val="en-US" w:eastAsia="en-GB"/>
        </w:rPr>
        <w:t>(</w:t>
      </w:r>
      <w:r w:rsidR="00254E2E">
        <w:rPr>
          <w:rFonts w:eastAsia="Arial Unicode MS" w:cs="Arial Unicode MS"/>
          <w:u w:color="000000"/>
          <w:bdr w:val="nil"/>
          <w:lang w:val="en-US" w:eastAsia="en-GB"/>
        </w:rPr>
        <w:t>v</w:t>
      </w:r>
      <w:r w:rsidR="004978E3">
        <w:rPr>
          <w:rFonts w:eastAsia="Arial Unicode MS" w:cs="Arial Unicode MS"/>
          <w:u w:color="000000"/>
          <w:bdr w:val="nil"/>
          <w:lang w:val="en-US" w:eastAsia="en-GB"/>
        </w:rPr>
        <w:t>iii</w:t>
      </w:r>
      <w:r w:rsidR="002C2558" w:rsidRPr="009C115F">
        <w:rPr>
          <w:rFonts w:eastAsia="Arial Unicode MS" w:cs="Arial Unicode MS"/>
          <w:u w:color="000000"/>
          <w:bdr w:val="nil"/>
          <w:lang w:val="en-US" w:eastAsia="en-GB"/>
        </w:rPr>
        <w:t>)</w:t>
      </w:r>
      <w:r w:rsidR="002C2558" w:rsidRPr="00CF73EE">
        <w:rPr>
          <w:rFonts w:eastAsia="Arial Unicode MS" w:cs="Arial Unicode MS"/>
          <w:b/>
          <w:u w:color="000000"/>
          <w:bdr w:val="nil"/>
          <w:lang w:val="en-US" w:eastAsia="en-GB"/>
        </w:rPr>
        <w:tab/>
        <w:t>Adopts measures that will facilitate the process of regularization of migrant status based on humanitarian and GBVAW ground in line with CEDAW General Recommendation No. 32 on the gender-related dimensions of refugee status, asylum, nationality and statelessness of women</w:t>
      </w:r>
      <w:r w:rsidR="008C3F61">
        <w:rPr>
          <w:rFonts w:eastAsia="Arial Unicode MS" w:cs="Arial Unicode MS"/>
          <w:b/>
          <w:u w:color="000000"/>
          <w:bdr w:val="nil"/>
          <w:lang w:val="en-US" w:eastAsia="en-GB"/>
        </w:rPr>
        <w:t>;</w:t>
      </w:r>
    </w:p>
    <w:p w:rsidR="00CF586F" w:rsidRDefault="00CB4ECE" w:rsidP="00CB4ECE">
      <w:pPr>
        <w:pStyle w:val="SingleTxtG"/>
        <w:ind w:left="1701"/>
        <w:rPr>
          <w:rFonts w:eastAsia="Arial Unicode MS" w:cs="Arial Unicode MS"/>
          <w:b/>
          <w:u w:color="000000"/>
          <w:bdr w:val="nil"/>
          <w:lang w:val="en-US" w:eastAsia="en-GB"/>
        </w:rPr>
      </w:pPr>
      <w:r>
        <w:rPr>
          <w:rFonts w:eastAsia="Arial Unicode MS" w:cs="Arial Unicode MS"/>
          <w:u w:color="000000"/>
          <w:bdr w:val="nil"/>
          <w:lang w:val="en-US" w:eastAsia="en-GB"/>
        </w:rPr>
        <w:t>(</w:t>
      </w:r>
      <w:r w:rsidR="00254E2E">
        <w:rPr>
          <w:rFonts w:eastAsia="Arial Unicode MS" w:cs="Arial Unicode MS"/>
          <w:u w:color="000000"/>
          <w:bdr w:val="nil"/>
          <w:lang w:val="en-US" w:eastAsia="en-GB"/>
        </w:rPr>
        <w:t>ix</w:t>
      </w:r>
      <w:r w:rsidR="002C2558" w:rsidRPr="002C2558">
        <w:rPr>
          <w:rFonts w:eastAsia="Arial Unicode MS" w:cs="Arial Unicode MS"/>
          <w:u w:color="000000"/>
          <w:bdr w:val="nil"/>
          <w:lang w:val="en-US" w:eastAsia="en-GB"/>
        </w:rPr>
        <w:t>)</w:t>
      </w:r>
      <w:r w:rsidR="002C2558" w:rsidRPr="002C2558">
        <w:rPr>
          <w:rFonts w:eastAsia="Arial Unicode MS" w:cs="Arial Unicode MS"/>
          <w:u w:color="000000"/>
          <w:bdr w:val="nil"/>
          <w:lang w:val="en-US" w:eastAsia="en-GB"/>
        </w:rPr>
        <w:tab/>
      </w:r>
      <w:r w:rsidR="002C2558" w:rsidRPr="002C2558">
        <w:rPr>
          <w:rFonts w:eastAsia="Arial Unicode MS" w:cs="Arial Unicode MS"/>
          <w:b/>
          <w:u w:color="000000"/>
          <w:bdr w:val="nil"/>
          <w:lang w:val="en-US" w:eastAsia="en-GB"/>
        </w:rPr>
        <w:t>Concerning the protection LGBTQ2S women victims of stigmatization and violence and of LGBT rights, increase provision and funding for support services that are culturally-relevant, community and survivor-based</w:t>
      </w:r>
      <w:r w:rsidR="001B0E8D">
        <w:rPr>
          <w:rFonts w:eastAsia="Arial Unicode MS" w:cs="Arial Unicode MS"/>
          <w:b/>
          <w:u w:color="000000"/>
          <w:bdr w:val="nil"/>
          <w:lang w:val="en-US" w:eastAsia="en-GB"/>
        </w:rPr>
        <w:t>.</w:t>
      </w:r>
    </w:p>
    <w:p w:rsidR="002C2558" w:rsidRPr="002C2558" w:rsidRDefault="002C2558" w:rsidP="002C2558">
      <w:pPr>
        <w:pStyle w:val="SingleTxtG"/>
        <w:spacing w:before="240" w:after="0"/>
        <w:jc w:val="center"/>
        <w:rPr>
          <w:rFonts w:eastAsia="Arial Unicode MS" w:cs="Arial Unicode MS"/>
          <w:u w:val="single" w:color="000000"/>
          <w:bdr w:val="nil"/>
          <w:lang w:val="en-US" w:eastAsia="en-GB"/>
        </w:rPr>
      </w:pPr>
      <w:r>
        <w:rPr>
          <w:rFonts w:eastAsia="Arial Unicode MS" w:cs="Arial Unicode MS"/>
          <w:u w:val="single" w:color="000000"/>
          <w:bdr w:val="nil"/>
          <w:lang w:val="en-US" w:eastAsia="en-GB"/>
        </w:rPr>
        <w:tab/>
      </w:r>
      <w:r>
        <w:rPr>
          <w:rFonts w:eastAsia="Arial Unicode MS" w:cs="Arial Unicode MS"/>
          <w:u w:val="single" w:color="000000"/>
          <w:bdr w:val="nil"/>
          <w:lang w:val="en-US" w:eastAsia="en-GB"/>
        </w:rPr>
        <w:tab/>
      </w:r>
      <w:r>
        <w:rPr>
          <w:rFonts w:eastAsia="Arial Unicode MS" w:cs="Arial Unicode MS"/>
          <w:u w:val="single" w:color="000000"/>
          <w:bdr w:val="nil"/>
          <w:lang w:val="en-US" w:eastAsia="en-GB"/>
        </w:rPr>
        <w:tab/>
      </w:r>
      <w:r w:rsidR="002F0EF7">
        <w:rPr>
          <w:rFonts w:eastAsia="Arial Unicode MS" w:cs="Arial Unicode MS"/>
          <w:u w:val="single" w:color="000000"/>
          <w:bdr w:val="nil"/>
          <w:lang w:val="en-US" w:eastAsia="en-GB"/>
        </w:rPr>
        <w:tab/>
      </w:r>
    </w:p>
    <w:sectPr w:rsidR="002C2558" w:rsidRPr="002C2558" w:rsidSect="002C2558">
      <w:headerReference w:type="even" r:id="rId20"/>
      <w:headerReference w:type="default" r:id="rId21"/>
      <w:footerReference w:type="even" r:id="rId22"/>
      <w:footerReference w:type="default" r:id="rId2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AA1" w:rsidRDefault="00141AA1"/>
  </w:endnote>
  <w:endnote w:type="continuationSeparator" w:id="0">
    <w:p w:rsidR="00141AA1" w:rsidRDefault="00141AA1"/>
  </w:endnote>
  <w:endnote w:type="continuationNotice" w:id="1">
    <w:p w:rsidR="00141AA1" w:rsidRDefault="00141A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 Sans">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558" w:rsidRPr="002C2558" w:rsidRDefault="002C2558" w:rsidP="002C2558">
    <w:pPr>
      <w:pStyle w:val="Footer"/>
      <w:tabs>
        <w:tab w:val="right" w:pos="9638"/>
      </w:tabs>
      <w:rPr>
        <w:sz w:val="18"/>
      </w:rPr>
    </w:pPr>
    <w:r w:rsidRPr="002C2558">
      <w:rPr>
        <w:b/>
        <w:sz w:val="18"/>
      </w:rPr>
      <w:fldChar w:fldCharType="begin"/>
    </w:r>
    <w:r w:rsidRPr="002C2558">
      <w:rPr>
        <w:b/>
        <w:sz w:val="18"/>
      </w:rPr>
      <w:instrText xml:space="preserve"> PAGE  \* MERGEFORMAT </w:instrText>
    </w:r>
    <w:r w:rsidRPr="002C2558">
      <w:rPr>
        <w:b/>
        <w:sz w:val="18"/>
      </w:rPr>
      <w:fldChar w:fldCharType="separate"/>
    </w:r>
    <w:r w:rsidR="000F5126">
      <w:rPr>
        <w:b/>
        <w:noProof/>
        <w:sz w:val="18"/>
      </w:rPr>
      <w:t>20</w:t>
    </w:r>
    <w:r w:rsidRPr="002C255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558" w:rsidRPr="002C2558" w:rsidRDefault="002C2558" w:rsidP="002C2558">
    <w:pPr>
      <w:pStyle w:val="Footer"/>
      <w:tabs>
        <w:tab w:val="right" w:pos="9638"/>
      </w:tabs>
      <w:rPr>
        <w:b/>
        <w:sz w:val="18"/>
      </w:rPr>
    </w:pPr>
    <w:r>
      <w:tab/>
    </w:r>
    <w:r w:rsidRPr="002C2558">
      <w:rPr>
        <w:b/>
        <w:sz w:val="18"/>
      </w:rPr>
      <w:fldChar w:fldCharType="begin"/>
    </w:r>
    <w:r w:rsidRPr="002C2558">
      <w:rPr>
        <w:b/>
        <w:sz w:val="18"/>
      </w:rPr>
      <w:instrText xml:space="preserve"> PAGE  \* MERGEFORMAT </w:instrText>
    </w:r>
    <w:r w:rsidRPr="002C2558">
      <w:rPr>
        <w:b/>
        <w:sz w:val="18"/>
      </w:rPr>
      <w:fldChar w:fldCharType="separate"/>
    </w:r>
    <w:r w:rsidR="000F5126">
      <w:rPr>
        <w:b/>
        <w:noProof/>
        <w:sz w:val="18"/>
      </w:rPr>
      <w:t>19</w:t>
    </w:r>
    <w:r w:rsidRPr="002C255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AA1" w:rsidRPr="000B175B" w:rsidRDefault="00141AA1" w:rsidP="000B175B">
      <w:pPr>
        <w:tabs>
          <w:tab w:val="right" w:pos="2155"/>
        </w:tabs>
        <w:spacing w:after="80"/>
        <w:ind w:left="680"/>
        <w:rPr>
          <w:u w:val="single"/>
        </w:rPr>
      </w:pPr>
      <w:r>
        <w:rPr>
          <w:u w:val="single"/>
        </w:rPr>
        <w:tab/>
      </w:r>
    </w:p>
  </w:footnote>
  <w:footnote w:type="continuationSeparator" w:id="0">
    <w:p w:rsidR="00141AA1" w:rsidRPr="00FC68B7" w:rsidRDefault="00141AA1" w:rsidP="00FC68B7">
      <w:pPr>
        <w:tabs>
          <w:tab w:val="left" w:pos="2155"/>
        </w:tabs>
        <w:spacing w:after="80"/>
        <w:ind w:left="680"/>
        <w:rPr>
          <w:u w:val="single"/>
        </w:rPr>
      </w:pPr>
      <w:r>
        <w:rPr>
          <w:u w:val="single"/>
        </w:rPr>
        <w:tab/>
      </w:r>
    </w:p>
  </w:footnote>
  <w:footnote w:type="continuationNotice" w:id="1">
    <w:p w:rsidR="00141AA1" w:rsidRDefault="00141AA1"/>
  </w:footnote>
  <w:footnote w:id="2">
    <w:p w:rsidR="00CB4ECE" w:rsidRPr="005965BC" w:rsidRDefault="00CB4ECE" w:rsidP="00CB4ECE">
      <w:pPr>
        <w:pStyle w:val="FootnoteText"/>
      </w:pPr>
      <w:r w:rsidRPr="00CB4ECE">
        <w:rPr>
          <w:rStyle w:val="FootnoteReference"/>
          <w:vertAlign w:val="baseline"/>
        </w:rPr>
        <w:tab/>
      </w:r>
      <w:r w:rsidRPr="00CB4ECE">
        <w:rPr>
          <w:rStyle w:val="FootnoteReference"/>
          <w:sz w:val="20"/>
          <w:vertAlign w:val="baseline"/>
        </w:rPr>
        <w:t>*</w:t>
      </w:r>
      <w:r>
        <w:rPr>
          <w:rStyle w:val="FootnoteReference"/>
          <w:sz w:val="20"/>
        </w:rPr>
        <w:tab/>
      </w:r>
      <w:r w:rsidRPr="008C607F">
        <w:t>The summary of the report is being circulated in all official languages. The report itself, which is annexed to the summary, is being circulated in the language of submission only.</w:t>
      </w:r>
    </w:p>
  </w:footnote>
  <w:footnote w:id="3">
    <w:p w:rsidR="00CB4ECE" w:rsidRPr="005965BC" w:rsidRDefault="00CB4ECE" w:rsidP="00CB4ECE">
      <w:pPr>
        <w:pStyle w:val="FootnoteText"/>
      </w:pPr>
      <w:r w:rsidRPr="00CB4ECE">
        <w:rPr>
          <w:rStyle w:val="FootnoteReference"/>
          <w:vertAlign w:val="baseline"/>
        </w:rPr>
        <w:tab/>
      </w:r>
      <w:r w:rsidRPr="00CB4ECE">
        <w:rPr>
          <w:rStyle w:val="FootnoteReference"/>
          <w:sz w:val="20"/>
          <w:vertAlign w:val="baseline"/>
        </w:rPr>
        <w:t>**</w:t>
      </w:r>
      <w:r>
        <w:rPr>
          <w:rStyle w:val="FootnoteReference"/>
          <w:sz w:val="20"/>
        </w:rPr>
        <w:tab/>
      </w:r>
      <w:r w:rsidRPr="00BC0992">
        <w:t>The present report was submitted late to reflect the most recent developments.</w:t>
      </w:r>
    </w:p>
  </w:footnote>
  <w:footnote w:id="4">
    <w:p w:rsidR="002C2558" w:rsidRPr="00003B15" w:rsidRDefault="002C2558" w:rsidP="002C2558">
      <w:pPr>
        <w:pStyle w:val="FootnoteText"/>
      </w:pPr>
      <w:r>
        <w:rPr>
          <w:rFonts w:eastAsia="Arial Unicode MS"/>
        </w:rPr>
        <w:tab/>
      </w:r>
      <w:r w:rsidRPr="003D7F3B">
        <w:rPr>
          <w:szCs w:val="18"/>
          <w:vertAlign w:val="superscript"/>
        </w:rPr>
        <w:footnoteRef/>
      </w:r>
      <w:r w:rsidRPr="003D7F3B">
        <w:rPr>
          <w:rFonts w:eastAsia="Arial Unicode MS"/>
          <w:szCs w:val="18"/>
          <w:vertAlign w:val="superscript"/>
        </w:rPr>
        <w:t xml:space="preserve"> </w:t>
      </w:r>
      <w:r>
        <w:rPr>
          <w:rFonts w:eastAsia="Arial Unicode MS"/>
        </w:rPr>
        <w:tab/>
      </w:r>
      <w:r w:rsidRPr="003D7F3B">
        <w:rPr>
          <w:rFonts w:eastAsia="Arial Unicode MS"/>
        </w:rPr>
        <w:t>http://nawl.ca/en/</w:t>
      </w:r>
      <w:r>
        <w:rPr>
          <w:rFonts w:eastAsia="Arial Unicode MS"/>
        </w:rPr>
        <w:t>.</w:t>
      </w:r>
    </w:p>
  </w:footnote>
  <w:footnote w:id="5">
    <w:p w:rsidR="002C2558" w:rsidRPr="00003B15" w:rsidRDefault="002C2558" w:rsidP="002C2558">
      <w:pPr>
        <w:pStyle w:val="FootnoteText"/>
      </w:pPr>
      <w:r>
        <w:rPr>
          <w:rFonts w:eastAsia="Arial Unicode MS"/>
        </w:rPr>
        <w:tab/>
      </w:r>
      <w:r w:rsidRPr="003D7F3B">
        <w:rPr>
          <w:vertAlign w:val="superscript"/>
        </w:rPr>
        <w:footnoteRef/>
      </w:r>
      <w:r w:rsidRPr="003D7F3B">
        <w:rPr>
          <w:rFonts w:eastAsia="Arial Unicode MS"/>
          <w:vertAlign w:val="superscript"/>
        </w:rPr>
        <w:t xml:space="preserve"> </w:t>
      </w:r>
      <w:r>
        <w:rPr>
          <w:rFonts w:eastAsia="Arial Unicode MS"/>
        </w:rPr>
        <w:tab/>
      </w:r>
      <w:r w:rsidRPr="003D7F3B">
        <w:rPr>
          <w:rFonts w:eastAsia="Arial Unicode MS"/>
        </w:rPr>
        <w:t>https://schliferclinic.com</w:t>
      </w:r>
      <w:r>
        <w:rPr>
          <w:rFonts w:eastAsia="Arial Unicode MS"/>
        </w:rPr>
        <w:t>.</w:t>
      </w:r>
    </w:p>
  </w:footnote>
  <w:footnote w:id="6">
    <w:p w:rsidR="002C2558" w:rsidRPr="003D7F3B" w:rsidRDefault="002C2558" w:rsidP="002C2558">
      <w:pPr>
        <w:pStyle w:val="FootnoteText"/>
      </w:pPr>
      <w:r>
        <w:rPr>
          <w:rFonts w:eastAsia="Arial Unicode MS"/>
        </w:rPr>
        <w:tab/>
      </w:r>
      <w:r w:rsidRPr="003D7F3B">
        <w:rPr>
          <w:vertAlign w:val="superscript"/>
        </w:rPr>
        <w:footnoteRef/>
      </w:r>
      <w:r w:rsidRPr="003D7F3B">
        <w:rPr>
          <w:rFonts w:eastAsia="Arial Unicode MS"/>
          <w:vertAlign w:val="superscript"/>
        </w:rPr>
        <w:t xml:space="preserve"> </w:t>
      </w:r>
      <w:r w:rsidRPr="003D7F3B">
        <w:rPr>
          <w:rFonts w:eastAsia="Arial Unicode MS"/>
          <w:vertAlign w:val="superscript"/>
        </w:rPr>
        <w:tab/>
      </w:r>
      <w:r w:rsidRPr="003D7F3B">
        <w:rPr>
          <w:rFonts w:eastAsia="Arial Unicode MS"/>
        </w:rPr>
        <w:t>http://fafia-afai.org/en/</w:t>
      </w:r>
      <w:r>
        <w:rPr>
          <w:rFonts w:eastAsia="Arial Unicode MS"/>
        </w:rPr>
        <w:t>.</w:t>
      </w:r>
    </w:p>
  </w:footnote>
  <w:footnote w:id="7">
    <w:p w:rsidR="002C2558" w:rsidRPr="006931FF" w:rsidRDefault="002C2558" w:rsidP="002C2558">
      <w:pPr>
        <w:pStyle w:val="FootnoteText"/>
      </w:pPr>
      <w:r>
        <w:rPr>
          <w:rFonts w:eastAsia="Arial Unicode MS"/>
        </w:rPr>
        <w:tab/>
      </w:r>
      <w:r w:rsidRPr="003D7F3B">
        <w:rPr>
          <w:szCs w:val="18"/>
          <w:vertAlign w:val="superscript"/>
        </w:rPr>
        <w:footnoteRef/>
      </w:r>
      <w:r w:rsidRPr="003D7F3B">
        <w:rPr>
          <w:rFonts w:eastAsia="Arial Unicode MS"/>
          <w:szCs w:val="18"/>
          <w:vertAlign w:val="superscript"/>
        </w:rPr>
        <w:t xml:space="preserve"> </w:t>
      </w:r>
      <w:r>
        <w:rPr>
          <w:rFonts w:eastAsia="Arial Unicode MS"/>
        </w:rPr>
        <w:tab/>
      </w:r>
      <w:r w:rsidRPr="00B64779">
        <w:t>In Canada, crime is measured using a combination of both police (police-reported data) and victim-</w:t>
      </w:r>
      <w:r w:rsidRPr="006931FF">
        <w:t>reported information (self-reported data). Statistics Canada 2018. Family violence in Canada: A statistical profile, 2017</w:t>
      </w:r>
      <w:r>
        <w:t>.</w:t>
      </w:r>
    </w:p>
  </w:footnote>
  <w:footnote w:id="8">
    <w:p w:rsidR="002C2558" w:rsidRPr="006931FF" w:rsidRDefault="002C2558" w:rsidP="002C2558">
      <w:pPr>
        <w:pStyle w:val="FootnoteText"/>
      </w:pPr>
      <w:r>
        <w:rPr>
          <w:rFonts w:eastAsia="Arial Unicode MS"/>
        </w:rPr>
        <w:tab/>
      </w:r>
      <w:r w:rsidRPr="003D7F3B">
        <w:rPr>
          <w:szCs w:val="18"/>
          <w:vertAlign w:val="superscript"/>
        </w:rPr>
        <w:footnoteRef/>
      </w:r>
      <w:r w:rsidRPr="003D7F3B">
        <w:rPr>
          <w:rFonts w:eastAsia="Arial Unicode MS"/>
          <w:szCs w:val="18"/>
          <w:vertAlign w:val="superscript"/>
        </w:rPr>
        <w:t xml:space="preserve"> </w:t>
      </w:r>
      <w:r>
        <w:rPr>
          <w:rFonts w:eastAsia="Arial Unicode MS"/>
        </w:rPr>
        <w:tab/>
      </w:r>
      <w:r w:rsidR="00AD06C8">
        <w:t xml:space="preserve"> Statistics Canada 2015</w:t>
      </w:r>
      <w:r w:rsidRPr="006931FF">
        <w:t>. Police-reported crime in Canada's Provincial North and Territories, 2013. https://www150.statcan.gc.ca/n1/pub/85-002-x/2015001/article/14165-eng.htm</w:t>
      </w:r>
      <w:r>
        <w:t>.</w:t>
      </w:r>
    </w:p>
  </w:footnote>
  <w:footnote w:id="9">
    <w:p w:rsidR="002C2558" w:rsidRPr="006931FF" w:rsidRDefault="002C2558" w:rsidP="002C2558">
      <w:pPr>
        <w:pStyle w:val="FootnoteText"/>
      </w:pPr>
      <w:r w:rsidRPr="006931FF">
        <w:tab/>
      </w:r>
      <w:r w:rsidRPr="006931FF">
        <w:rPr>
          <w:vertAlign w:val="superscript"/>
        </w:rPr>
        <w:footnoteRef/>
      </w:r>
      <w:r w:rsidRPr="006931FF">
        <w:t xml:space="preserve"> </w:t>
      </w:r>
      <w:r w:rsidRPr="006931FF">
        <w:tab/>
        <w:t>https://femicideincanada.ca/callitfemicide.pdf</w:t>
      </w:r>
      <w:r>
        <w:t>.</w:t>
      </w:r>
    </w:p>
  </w:footnote>
  <w:footnote w:id="10">
    <w:p w:rsidR="002C2558" w:rsidRPr="00F833AB" w:rsidRDefault="002C2558" w:rsidP="002C2558">
      <w:pPr>
        <w:pStyle w:val="FootnoteText"/>
        <w:rPr>
          <w:spacing w:val="-2"/>
        </w:rPr>
      </w:pPr>
      <w:r w:rsidRPr="00F833AB">
        <w:rPr>
          <w:spacing w:val="-2"/>
        </w:rPr>
        <w:tab/>
      </w:r>
      <w:r w:rsidRPr="00F833AB">
        <w:rPr>
          <w:spacing w:val="-2"/>
          <w:vertAlign w:val="superscript"/>
        </w:rPr>
        <w:footnoteRef/>
      </w:r>
      <w:r w:rsidRPr="00F833AB">
        <w:rPr>
          <w:spacing w:val="-2"/>
          <w:vertAlign w:val="superscript"/>
        </w:rPr>
        <w:t xml:space="preserve"> </w:t>
      </w:r>
      <w:r w:rsidRPr="00F833AB">
        <w:rPr>
          <w:spacing w:val="-2"/>
          <w:vertAlign w:val="superscript"/>
        </w:rPr>
        <w:tab/>
      </w:r>
      <w:r w:rsidRPr="00F833AB">
        <w:rPr>
          <w:spacing w:val="-2"/>
        </w:rPr>
        <w:t>Statistics Canada 2018. Homicide in Canada 2017Family violence in Canada: A statistical profile, 2016.</w:t>
      </w:r>
    </w:p>
  </w:footnote>
  <w:footnote w:id="11">
    <w:p w:rsidR="002C2558" w:rsidRPr="006931FF" w:rsidRDefault="002C2558" w:rsidP="002C2558">
      <w:pPr>
        <w:pStyle w:val="FootnoteText"/>
      </w:pPr>
      <w:r>
        <w:rPr>
          <w:rFonts w:eastAsia="Arial Unicode MS"/>
        </w:rPr>
        <w:tab/>
      </w:r>
      <w:r w:rsidRPr="003D7F3B">
        <w:rPr>
          <w:szCs w:val="18"/>
          <w:vertAlign w:val="superscript"/>
        </w:rPr>
        <w:footnoteRef/>
      </w:r>
      <w:r w:rsidRPr="003D7F3B">
        <w:rPr>
          <w:rFonts w:eastAsia="Arial Unicode MS"/>
          <w:szCs w:val="18"/>
          <w:vertAlign w:val="superscript"/>
        </w:rPr>
        <w:t xml:space="preserve"> </w:t>
      </w:r>
      <w:r>
        <w:rPr>
          <w:rFonts w:eastAsia="Arial Unicode MS"/>
        </w:rPr>
        <w:tab/>
      </w:r>
      <w:r w:rsidRPr="006931FF">
        <w:t>Statistics Canada 2016. Aboriginal Population Profile, 2016 Census.</w:t>
      </w:r>
    </w:p>
  </w:footnote>
  <w:footnote w:id="12">
    <w:p w:rsidR="002C2558" w:rsidRPr="006931FF" w:rsidRDefault="002C2558" w:rsidP="002C2558">
      <w:pPr>
        <w:pStyle w:val="FootnoteText"/>
      </w:pPr>
      <w:r>
        <w:rPr>
          <w:rFonts w:eastAsia="Arial Unicode MS"/>
        </w:rPr>
        <w:tab/>
      </w:r>
      <w:r w:rsidRPr="003D7F3B">
        <w:rPr>
          <w:szCs w:val="18"/>
          <w:vertAlign w:val="superscript"/>
        </w:rPr>
        <w:footnoteRef/>
      </w:r>
      <w:r w:rsidRPr="003D7F3B">
        <w:rPr>
          <w:rFonts w:eastAsia="Arial Unicode MS"/>
          <w:szCs w:val="18"/>
          <w:vertAlign w:val="superscript"/>
        </w:rPr>
        <w:t xml:space="preserve"> </w:t>
      </w:r>
      <w:r>
        <w:rPr>
          <w:rFonts w:eastAsia="Arial Unicode MS"/>
        </w:rPr>
        <w:tab/>
      </w:r>
      <w:r w:rsidRPr="006931FF">
        <w:t xml:space="preserve">Statistics Canada 2017. Women and the Criminal Justice System. </w:t>
      </w:r>
    </w:p>
  </w:footnote>
  <w:footnote w:id="13">
    <w:p w:rsidR="002C2558" w:rsidRPr="006931FF" w:rsidRDefault="002C2558" w:rsidP="002C2558">
      <w:pPr>
        <w:pStyle w:val="FootnoteText"/>
      </w:pPr>
      <w:r w:rsidRPr="006931FF">
        <w:tab/>
      </w:r>
      <w:r w:rsidRPr="006931FF">
        <w:rPr>
          <w:rStyle w:val="FootnoteReference"/>
        </w:rPr>
        <w:footnoteRef/>
      </w:r>
      <w:r w:rsidRPr="006931FF">
        <w:tab/>
        <w:t>Source: Statistics Canada 2018. Homicide in Canada, 2017</w:t>
      </w:r>
      <w:r>
        <w:t>.</w:t>
      </w:r>
    </w:p>
  </w:footnote>
  <w:footnote w:id="14">
    <w:p w:rsidR="002C2558" w:rsidRPr="006931FF" w:rsidRDefault="002C2558" w:rsidP="002C2558">
      <w:pPr>
        <w:pStyle w:val="FootnoteText"/>
        <w:rPr>
          <w:lang w:val="en-US"/>
        </w:rPr>
      </w:pPr>
      <w:r w:rsidRPr="006931FF">
        <w:rPr>
          <w:lang w:val="en-US"/>
        </w:rPr>
        <w:tab/>
      </w:r>
      <w:r w:rsidRPr="006931FF">
        <w:rPr>
          <w:vertAlign w:val="superscript"/>
        </w:rPr>
        <w:footnoteRef/>
      </w:r>
      <w:r w:rsidRPr="006931FF">
        <w:rPr>
          <w:lang w:val="en-US"/>
        </w:rPr>
        <w:t xml:space="preserve"> </w:t>
      </w:r>
      <w:r w:rsidRPr="006931FF">
        <w:rPr>
          <w:lang w:val="en-US"/>
        </w:rPr>
        <w:tab/>
        <w:t>http://www.standcanada.org/truth-reconciliation-commission-report-summary/</w:t>
      </w:r>
      <w:r>
        <w:rPr>
          <w:lang w:val="en-US"/>
        </w:rPr>
        <w:t>.</w:t>
      </w:r>
    </w:p>
  </w:footnote>
  <w:footnote w:id="15">
    <w:p w:rsidR="002C2558" w:rsidRPr="00003B15" w:rsidRDefault="002C2558" w:rsidP="002C2558">
      <w:pPr>
        <w:pStyle w:val="FootnoteText"/>
      </w:pPr>
      <w:r w:rsidRPr="006931FF">
        <w:rPr>
          <w:rFonts w:eastAsia="Arial Unicode MS"/>
          <w:lang w:val="en-US"/>
        </w:rPr>
        <w:tab/>
      </w:r>
      <w:r w:rsidRPr="006931FF">
        <w:rPr>
          <w:vertAlign w:val="superscript"/>
        </w:rPr>
        <w:footnoteRef/>
      </w:r>
      <w:r w:rsidRPr="006931FF">
        <w:rPr>
          <w:rFonts w:eastAsia="Arial Unicode MS"/>
          <w:vertAlign w:val="superscript"/>
        </w:rPr>
        <w:t xml:space="preserve"> </w:t>
      </w:r>
      <w:r w:rsidRPr="006931FF">
        <w:rPr>
          <w:rFonts w:eastAsia="Arial Unicode MS"/>
        </w:rPr>
        <w:tab/>
        <w:t>In addition, Canada has not ratified</w:t>
      </w:r>
      <w:r w:rsidRPr="00003B15">
        <w:rPr>
          <w:rFonts w:eastAsia="Arial Unicode MS"/>
        </w:rPr>
        <w:t xml:space="preserve"> the ICPPED, the CMW, the OP-CAT, the OP-ICESCR and the OP3-CRC</w:t>
      </w:r>
      <w:r>
        <w:rPr>
          <w:rFonts w:eastAsia="Arial Unicode MS"/>
        </w:rPr>
        <w:t>.</w:t>
      </w:r>
    </w:p>
  </w:footnote>
  <w:footnote w:id="16">
    <w:p w:rsidR="002C2558" w:rsidRPr="00003B15" w:rsidRDefault="002C2558" w:rsidP="002C2558">
      <w:pPr>
        <w:pStyle w:val="FootnoteText"/>
      </w:pPr>
      <w:r>
        <w:rPr>
          <w:rFonts w:eastAsia="Arial Unicode MS"/>
        </w:rPr>
        <w:tab/>
      </w:r>
      <w:r w:rsidRPr="00FA7632">
        <w:rPr>
          <w:vertAlign w:val="superscript"/>
        </w:rPr>
        <w:footnoteRef/>
      </w:r>
      <w:r w:rsidRPr="00003B15">
        <w:rPr>
          <w:rFonts w:eastAsia="Arial Unicode MS"/>
        </w:rPr>
        <w:t xml:space="preserve"> </w:t>
      </w:r>
      <w:r>
        <w:rPr>
          <w:rFonts w:eastAsia="Arial Unicode MS"/>
        </w:rPr>
        <w:tab/>
      </w:r>
      <w:r w:rsidRPr="00003B15">
        <w:rPr>
          <w:rFonts w:eastAsia="Arial Unicode MS"/>
        </w:rPr>
        <w:t>https://laws-lois.justice.gc.ca/eng/acts/h-6/page-1.html</w:t>
      </w:r>
      <w:r>
        <w:rPr>
          <w:rFonts w:eastAsia="Arial Unicode MS"/>
        </w:rPr>
        <w:t>.</w:t>
      </w:r>
    </w:p>
  </w:footnote>
  <w:footnote w:id="17">
    <w:p w:rsidR="002C2558" w:rsidRPr="00003B15" w:rsidRDefault="002C2558" w:rsidP="002C2558">
      <w:pPr>
        <w:pStyle w:val="FootnoteText"/>
      </w:pPr>
      <w:r>
        <w:rPr>
          <w:rFonts w:eastAsia="Arial Unicode MS"/>
        </w:rPr>
        <w:tab/>
      </w:r>
      <w:r w:rsidRPr="00FA7632">
        <w:rPr>
          <w:vertAlign w:val="superscript"/>
        </w:rPr>
        <w:footnoteRef/>
      </w:r>
      <w:r w:rsidRPr="00FA7632">
        <w:rPr>
          <w:rFonts w:eastAsia="Arial Unicode MS"/>
          <w:vertAlign w:val="superscript"/>
        </w:rPr>
        <w:t xml:space="preserve"> </w:t>
      </w:r>
      <w:r>
        <w:rPr>
          <w:rFonts w:eastAsia="Arial Unicode MS"/>
        </w:rPr>
        <w:tab/>
      </w:r>
      <w:r w:rsidRPr="00003B15">
        <w:rPr>
          <w:rFonts w:eastAsia="Arial Unicode MS"/>
        </w:rPr>
        <w:t>https://www.canada.ca/en/canadian-heritage/services/rights-lgbti-persons.html</w:t>
      </w:r>
      <w:r>
        <w:rPr>
          <w:rFonts w:eastAsia="Arial Unicode MS"/>
        </w:rPr>
        <w:t>.</w:t>
      </w:r>
    </w:p>
  </w:footnote>
  <w:footnote w:id="18">
    <w:p w:rsidR="002C2558" w:rsidRPr="00F833AB" w:rsidRDefault="002C2558" w:rsidP="002C2558">
      <w:pPr>
        <w:pStyle w:val="FootnoteText"/>
        <w:rPr>
          <w:spacing w:val="-4"/>
        </w:rPr>
      </w:pPr>
      <w:r w:rsidRPr="00F833AB">
        <w:rPr>
          <w:rFonts w:eastAsia="Arial Unicode MS"/>
          <w:spacing w:val="-4"/>
        </w:rPr>
        <w:tab/>
      </w:r>
      <w:r w:rsidRPr="00F833AB">
        <w:rPr>
          <w:spacing w:val="-4"/>
          <w:vertAlign w:val="superscript"/>
        </w:rPr>
        <w:footnoteRef/>
      </w:r>
      <w:r w:rsidRPr="00F833AB">
        <w:rPr>
          <w:rFonts w:eastAsia="Arial Unicode MS"/>
          <w:spacing w:val="-4"/>
          <w:vertAlign w:val="superscript"/>
        </w:rPr>
        <w:t xml:space="preserve"> </w:t>
      </w:r>
      <w:r w:rsidRPr="00F833AB">
        <w:rPr>
          <w:rFonts w:eastAsia="Arial Unicode MS"/>
          <w:spacing w:val="-4"/>
          <w:vertAlign w:val="superscript"/>
        </w:rPr>
        <w:tab/>
      </w:r>
      <w:r w:rsidR="00AD06C8">
        <w:rPr>
          <w:rFonts w:eastAsia="Arial Unicode MS"/>
          <w:spacing w:val="-4"/>
        </w:rPr>
        <w:t>Dale, YWCA, 2007</w:t>
      </w:r>
      <w:proofErr w:type="gramStart"/>
      <w:r w:rsidR="00AD06C8">
        <w:rPr>
          <w:rFonts w:eastAsia="Arial Unicode MS"/>
          <w:spacing w:val="-4"/>
        </w:rPr>
        <w:t>;Cross,</w:t>
      </w:r>
      <w:r w:rsidRPr="00F833AB">
        <w:rPr>
          <w:rFonts w:eastAsia="Arial Unicode MS"/>
          <w:spacing w:val="-4"/>
        </w:rPr>
        <w:t>YWCA</w:t>
      </w:r>
      <w:proofErr w:type="gramEnd"/>
      <w:r w:rsidRPr="00F833AB">
        <w:rPr>
          <w:rFonts w:eastAsia="Arial Unicode MS"/>
          <w:spacing w:val="-4"/>
        </w:rPr>
        <w:t xml:space="preserve"> 2009;Woman Abuse Council, Pollack, </w:t>
      </w:r>
      <w:proofErr w:type="spellStart"/>
      <w:r w:rsidRPr="00F833AB">
        <w:rPr>
          <w:rFonts w:eastAsia="Arial Unicode MS"/>
          <w:spacing w:val="-4"/>
        </w:rPr>
        <w:t>Battaglia,Anke</w:t>
      </w:r>
      <w:proofErr w:type="spellEnd"/>
      <w:r w:rsidRPr="00F833AB">
        <w:rPr>
          <w:rFonts w:eastAsia="Arial Unicode MS"/>
          <w:spacing w:val="-4"/>
        </w:rPr>
        <w:t xml:space="preserve"> </w:t>
      </w:r>
      <w:proofErr w:type="spellStart"/>
      <w:r w:rsidRPr="00F833AB">
        <w:rPr>
          <w:rFonts w:eastAsia="Arial Unicode MS"/>
          <w:spacing w:val="-4"/>
        </w:rPr>
        <w:t>Allspach</w:t>
      </w:r>
      <w:proofErr w:type="spellEnd"/>
      <w:r w:rsidRPr="00F833AB">
        <w:rPr>
          <w:rFonts w:eastAsia="Arial Unicode MS"/>
          <w:spacing w:val="-4"/>
        </w:rPr>
        <w:t>, 2005.</w:t>
      </w:r>
    </w:p>
  </w:footnote>
  <w:footnote w:id="19">
    <w:p w:rsidR="002C2558" w:rsidRPr="00003B15" w:rsidRDefault="002C2558" w:rsidP="002C2558">
      <w:pPr>
        <w:pStyle w:val="FootnoteText"/>
      </w:pPr>
      <w:r>
        <w:tab/>
      </w:r>
      <w:r w:rsidRPr="00FA7632">
        <w:rPr>
          <w:vertAlign w:val="superscript"/>
        </w:rPr>
        <w:footnoteRef/>
      </w:r>
      <w:r w:rsidRPr="00003B15">
        <w:t xml:space="preserve"> </w:t>
      </w:r>
      <w:r>
        <w:tab/>
      </w:r>
      <w:r w:rsidRPr="00003B15">
        <w:t>als</w:t>
      </w:r>
      <w:r w:rsidR="00AD06C8">
        <w:t>o Criminal Code</w:t>
      </w:r>
      <w:r w:rsidR="00AD06C8" w:rsidRPr="00003B15">
        <w:t xml:space="preserve"> </w:t>
      </w:r>
    </w:p>
  </w:footnote>
  <w:footnote w:id="20">
    <w:p w:rsidR="002C2558" w:rsidRPr="00003B15" w:rsidRDefault="002C2558" w:rsidP="002C2558">
      <w:pPr>
        <w:pStyle w:val="FootnoteText"/>
      </w:pPr>
      <w:r>
        <w:tab/>
      </w:r>
      <w:r w:rsidRPr="00FA7632">
        <w:rPr>
          <w:vertAlign w:val="superscript"/>
        </w:rPr>
        <w:footnoteRef/>
      </w:r>
      <w:r w:rsidRPr="00FA7632">
        <w:rPr>
          <w:vertAlign w:val="superscript"/>
        </w:rPr>
        <w:t xml:space="preserve"> </w:t>
      </w:r>
      <w:r>
        <w:tab/>
      </w:r>
      <w:r w:rsidRPr="00003B15">
        <w:t>https://www.justice.gc.ca/eng/cj-jp/fv-vf/laws-lois.html</w:t>
      </w:r>
      <w:r>
        <w:t>.</w:t>
      </w:r>
    </w:p>
  </w:footnote>
  <w:footnote w:id="21">
    <w:p w:rsidR="002C2558" w:rsidRPr="00003B15" w:rsidRDefault="002C2558" w:rsidP="002C2558">
      <w:pPr>
        <w:pStyle w:val="FootnoteText"/>
      </w:pPr>
      <w:r>
        <w:rPr>
          <w:rFonts w:eastAsia="Arial Unicode MS"/>
        </w:rPr>
        <w:tab/>
      </w:r>
      <w:r w:rsidRPr="00FA7632">
        <w:rPr>
          <w:vertAlign w:val="superscript"/>
        </w:rPr>
        <w:footnoteRef/>
      </w:r>
      <w:r w:rsidRPr="00FA7632">
        <w:rPr>
          <w:rFonts w:eastAsia="Arial Unicode MS"/>
          <w:vertAlign w:val="superscript"/>
        </w:rPr>
        <w:t xml:space="preserve"> </w:t>
      </w:r>
      <w:r>
        <w:rPr>
          <w:rFonts w:eastAsia="Arial Unicode MS"/>
        </w:rPr>
        <w:tab/>
      </w:r>
      <w:r w:rsidRPr="00003B15">
        <w:rPr>
          <w:rFonts w:eastAsia="Arial Unicode MS"/>
        </w:rPr>
        <w:t>https://www.canada.ca/en/human-rights-commission.html</w:t>
      </w:r>
      <w:r>
        <w:rPr>
          <w:rFonts w:eastAsia="Arial Unicode MS"/>
        </w:rPr>
        <w:t>.</w:t>
      </w:r>
    </w:p>
  </w:footnote>
  <w:footnote w:id="22">
    <w:p w:rsidR="002C2558" w:rsidRPr="00003B15" w:rsidRDefault="002C2558" w:rsidP="002C2558">
      <w:pPr>
        <w:pStyle w:val="FootnoteText"/>
      </w:pPr>
      <w:r>
        <w:tab/>
      </w:r>
      <w:r w:rsidRPr="00FA7632">
        <w:rPr>
          <w:vertAlign w:val="superscript"/>
        </w:rPr>
        <w:footnoteRef/>
      </w:r>
      <w:r w:rsidRPr="00FA7632">
        <w:rPr>
          <w:vertAlign w:val="superscript"/>
        </w:rPr>
        <w:t xml:space="preserve"> </w:t>
      </w:r>
      <w:r>
        <w:tab/>
      </w:r>
      <w:hyperlink r:id="rId1" w:history="1">
        <w:r w:rsidRPr="00003B15">
          <w:rPr>
            <w:rStyle w:val="Hyperlink"/>
          </w:rPr>
          <w:t>https://www150.statcan.gc.ca/n1/en/pub/85-002-x/2017001/article/54879-eng.pdf?st=b4CCeKMU</w:t>
        </w:r>
      </w:hyperlink>
      <w:r>
        <w:rPr>
          <w:rStyle w:val="Hyperlink"/>
        </w:rPr>
        <w:t>.</w:t>
      </w:r>
    </w:p>
  </w:footnote>
  <w:footnote w:id="23">
    <w:p w:rsidR="002C2558" w:rsidRPr="00003B15" w:rsidRDefault="002C2558" w:rsidP="002C2558">
      <w:pPr>
        <w:pStyle w:val="FootnoteText"/>
      </w:pPr>
      <w:r>
        <w:rPr>
          <w:rFonts w:eastAsia="Arial Unicode MS"/>
        </w:rPr>
        <w:tab/>
      </w:r>
      <w:r w:rsidRPr="00FA7632">
        <w:rPr>
          <w:vertAlign w:val="superscript"/>
        </w:rPr>
        <w:footnoteRef/>
      </w:r>
      <w:r w:rsidRPr="00FA7632">
        <w:rPr>
          <w:rFonts w:eastAsia="Arial Unicode MS"/>
          <w:vertAlign w:val="superscript"/>
        </w:rPr>
        <w:t xml:space="preserve"> </w:t>
      </w:r>
      <w:r>
        <w:rPr>
          <w:rFonts w:eastAsia="Arial Unicode MS"/>
        </w:rPr>
        <w:tab/>
      </w:r>
      <w:r w:rsidRPr="00003B15">
        <w:rPr>
          <w:rFonts w:eastAsia="Arial Unicode MS"/>
        </w:rPr>
        <w:t>A/71/398</w:t>
      </w:r>
      <w:r>
        <w:rPr>
          <w:rFonts w:eastAsia="Arial Unicode MS"/>
        </w:rPr>
        <w:t>.</w:t>
      </w:r>
    </w:p>
  </w:footnote>
  <w:footnote w:id="24">
    <w:p w:rsidR="002C2558" w:rsidRPr="00003B15" w:rsidRDefault="002C2558" w:rsidP="002C2558">
      <w:pPr>
        <w:pStyle w:val="FootnoteText"/>
      </w:pPr>
      <w:r>
        <w:rPr>
          <w:rFonts w:eastAsia="Arial Unicode MS"/>
        </w:rPr>
        <w:tab/>
      </w:r>
      <w:r w:rsidRPr="00FA7632">
        <w:rPr>
          <w:vertAlign w:val="superscript"/>
        </w:rPr>
        <w:footnoteRef/>
      </w:r>
      <w:r w:rsidRPr="00FA7632">
        <w:rPr>
          <w:rFonts w:eastAsia="Arial Unicode MS"/>
          <w:vertAlign w:val="superscript"/>
        </w:rPr>
        <w:t xml:space="preserve"> </w:t>
      </w:r>
      <w:r>
        <w:rPr>
          <w:rFonts w:eastAsia="Arial Unicode MS"/>
        </w:rPr>
        <w:tab/>
      </w:r>
      <w:hyperlink r:id="rId2" w:history="1">
        <w:r w:rsidRPr="00003B15">
          <w:rPr>
            <w:rStyle w:val="Hyperlink"/>
            <w:rFonts w:eastAsia="Arial Unicode MS"/>
          </w:rPr>
          <w:t>https://femicideincanada.ca/sites/default/files/2018-09/CFOJA%20FINAL%20REPORT%20ENG%20V3.pdf</w:t>
        </w:r>
      </w:hyperlink>
      <w:r>
        <w:rPr>
          <w:rStyle w:val="Hyperlink"/>
          <w:rFonts w:eastAsia="Arial Unicode MS"/>
        </w:rPr>
        <w:t>.</w:t>
      </w:r>
    </w:p>
  </w:footnote>
  <w:footnote w:id="25">
    <w:p w:rsidR="002C2558" w:rsidRDefault="002C2558" w:rsidP="002C2558">
      <w:pPr>
        <w:pStyle w:val="FootnoteText"/>
      </w:pPr>
      <w:r>
        <w:tab/>
      </w:r>
      <w:r w:rsidRPr="00FA7632">
        <w:rPr>
          <w:vertAlign w:val="superscript"/>
        </w:rPr>
        <w:footnoteRef/>
      </w:r>
      <w:r w:rsidRPr="00BC266C">
        <w:t xml:space="preserve"> </w:t>
      </w:r>
      <w:r>
        <w:tab/>
        <w:t>https://www150.statcan.gc.ca/n1/pub/85-002-x/2019001/article/00007-eng.htm.</w:t>
      </w:r>
    </w:p>
    <w:p w:rsidR="002C2558" w:rsidRPr="00003B15" w:rsidRDefault="00AD06C8" w:rsidP="002C2558">
      <w:pPr>
        <w:pStyle w:val="FootnoteText"/>
      </w:pPr>
      <w:r>
        <w:rPr>
          <w:rFonts w:eastAsia="Arial Unicode MS"/>
        </w:rPr>
        <w:tab/>
      </w:r>
      <w:r>
        <w:rPr>
          <w:rFonts w:eastAsia="Arial Unicode MS"/>
        </w:rPr>
        <w:tab/>
        <w:t>See</w:t>
      </w:r>
      <w:r w:rsidR="002C2558">
        <w:rPr>
          <w:rFonts w:eastAsia="Arial Unicode MS"/>
        </w:rPr>
        <w:t xml:space="preserve"> </w:t>
      </w:r>
      <w:r w:rsidR="002C2558">
        <w:rPr>
          <w:rFonts w:cs="Arial"/>
          <w:color w:val="333333"/>
          <w:lang w:val="en"/>
        </w:rPr>
        <w:t>Shelter Capacity Report 2016</w:t>
      </w:r>
      <w:r w:rsidR="002C2558">
        <w:rPr>
          <w:rStyle w:val="Hyperlink"/>
          <w:rFonts w:eastAsia="Arial Unicode MS"/>
        </w:rPr>
        <w:t>.</w:t>
      </w:r>
    </w:p>
  </w:footnote>
  <w:footnote w:id="26">
    <w:p w:rsidR="002C2558" w:rsidRPr="00003B15" w:rsidRDefault="002C2558" w:rsidP="002C2558">
      <w:pPr>
        <w:pStyle w:val="FootnoteText"/>
      </w:pPr>
      <w:r>
        <w:tab/>
      </w:r>
      <w:r w:rsidRPr="00FA7632">
        <w:rPr>
          <w:vertAlign w:val="superscript"/>
        </w:rPr>
        <w:footnoteRef/>
      </w:r>
      <w:r w:rsidRPr="00FA7632">
        <w:rPr>
          <w:vertAlign w:val="superscript"/>
        </w:rPr>
        <w:t xml:space="preserve"> </w:t>
      </w:r>
      <w:r>
        <w:tab/>
      </w:r>
      <w:r w:rsidRPr="00003B15">
        <w:t>Runaway Wives and</w:t>
      </w:r>
      <w:r>
        <w:t xml:space="preserve"> Rogue Feminists; sheltersafe.ca.</w:t>
      </w:r>
    </w:p>
  </w:footnote>
  <w:footnote w:id="27">
    <w:p w:rsidR="002C2558" w:rsidRPr="00003B15" w:rsidRDefault="002C2558" w:rsidP="002C2558">
      <w:pPr>
        <w:pStyle w:val="FootnoteText"/>
      </w:pPr>
      <w:r>
        <w:tab/>
      </w:r>
      <w:r w:rsidRPr="00FA7632">
        <w:rPr>
          <w:vertAlign w:val="superscript"/>
        </w:rPr>
        <w:footnoteRef/>
      </w:r>
      <w:r w:rsidRPr="00FA7632">
        <w:rPr>
          <w:vertAlign w:val="superscript"/>
        </w:rPr>
        <w:t xml:space="preserve"> </w:t>
      </w:r>
      <w:r>
        <w:tab/>
      </w:r>
      <w:hyperlink r:id="rId3" w:history="1">
        <w:r w:rsidRPr="00003B15">
          <w:rPr>
            <w:rStyle w:val="Hyperlink"/>
          </w:rPr>
          <w:t>https://endvaw.ca/wp-content/uploads/2018/06/shelterVoices_ENG_2018_WEB.pdf</w:t>
        </w:r>
      </w:hyperlink>
      <w:r>
        <w:rPr>
          <w:rStyle w:val="Hyperlink"/>
        </w:rPr>
        <w:t>.</w:t>
      </w:r>
    </w:p>
  </w:footnote>
  <w:footnote w:id="28">
    <w:p w:rsidR="002C2558" w:rsidRPr="00003B15" w:rsidRDefault="002C2558" w:rsidP="002C2558">
      <w:pPr>
        <w:pStyle w:val="FootnoteText"/>
      </w:pPr>
      <w:r>
        <w:tab/>
      </w:r>
      <w:r w:rsidRPr="00FA7632">
        <w:rPr>
          <w:vertAlign w:val="superscript"/>
        </w:rPr>
        <w:footnoteRef/>
      </w:r>
      <w:r w:rsidRPr="00FA7632">
        <w:rPr>
          <w:vertAlign w:val="superscript"/>
        </w:rPr>
        <w:t xml:space="preserve"> </w:t>
      </w:r>
      <w:r w:rsidRPr="00FA7632">
        <w:rPr>
          <w:vertAlign w:val="superscript"/>
        </w:rPr>
        <w:tab/>
      </w:r>
      <w:r w:rsidRPr="00003B15">
        <w:t xml:space="preserve">Currie, The State of Civil Legal Aid in Canada; Brewin, Legal Aid </w:t>
      </w:r>
      <w:proofErr w:type="spellStart"/>
      <w:r w:rsidRPr="00003B15">
        <w:t>Denied</w:t>
      </w:r>
      <w:proofErr w:type="gramStart"/>
      <w:r w:rsidRPr="00003B15">
        <w:t>:Women</w:t>
      </w:r>
      <w:proofErr w:type="spellEnd"/>
      <w:proofErr w:type="gramEnd"/>
      <w:r w:rsidRPr="00003B15">
        <w:t xml:space="preserve"> and the Cuts to Legal Services in BC,2004</w:t>
      </w:r>
      <w:r>
        <w:t>.</w:t>
      </w:r>
    </w:p>
  </w:footnote>
  <w:footnote w:id="29">
    <w:p w:rsidR="002C2558" w:rsidRPr="00003B15" w:rsidRDefault="002C2558" w:rsidP="002C2558">
      <w:pPr>
        <w:pStyle w:val="FootnoteText"/>
      </w:pPr>
      <w:r>
        <w:tab/>
      </w:r>
      <w:r w:rsidRPr="00FA7632">
        <w:rPr>
          <w:vertAlign w:val="superscript"/>
        </w:rPr>
        <w:footnoteRef/>
      </w:r>
      <w:r w:rsidRPr="00FA7632">
        <w:rPr>
          <w:vertAlign w:val="superscript"/>
        </w:rPr>
        <w:t xml:space="preserve"> </w:t>
      </w:r>
      <w:r>
        <w:tab/>
        <w:t>Statistics Canada 2018. Family violence in Canada: A statistical profile, 2016.</w:t>
      </w:r>
    </w:p>
  </w:footnote>
  <w:footnote w:id="30">
    <w:p w:rsidR="002C2558" w:rsidRPr="00003B15" w:rsidRDefault="002C2558" w:rsidP="002C2558">
      <w:pPr>
        <w:pStyle w:val="FootnoteText"/>
      </w:pPr>
      <w:r>
        <w:tab/>
      </w:r>
      <w:r w:rsidRPr="00FA7632">
        <w:rPr>
          <w:vertAlign w:val="superscript"/>
        </w:rPr>
        <w:footnoteRef/>
      </w:r>
      <w:r w:rsidRPr="00FA7632">
        <w:rPr>
          <w:vertAlign w:val="superscript"/>
        </w:rPr>
        <w:t xml:space="preserve"> </w:t>
      </w:r>
      <w:r>
        <w:tab/>
      </w:r>
      <w:hyperlink r:id="rId4" w:history="1">
        <w:r w:rsidRPr="00003B15">
          <w:rPr>
            <w:rStyle w:val="Hyperlink"/>
          </w:rPr>
          <w:t>https://www150.statcan.gc.ca/n1/pub/85-002-x/2017001/article/14842-eng.htm</w:t>
        </w:r>
      </w:hyperlink>
      <w:proofErr w:type="gramStart"/>
      <w:r w:rsidRPr="00003B15">
        <w:t>;:</w:t>
      </w:r>
      <w:proofErr w:type="gramEnd"/>
      <w:r w:rsidRPr="00003B15">
        <w:t>//www150.statcan.gc.ca/n1/pub/85-002-x/2017001/article/54866-eng.htm</w:t>
      </w:r>
      <w:r>
        <w:t>.</w:t>
      </w:r>
    </w:p>
  </w:footnote>
  <w:footnote w:id="31">
    <w:p w:rsidR="002C2558" w:rsidRDefault="002C2558" w:rsidP="002C2558">
      <w:pPr>
        <w:pStyle w:val="FootnoteText"/>
      </w:pPr>
      <w:r>
        <w:tab/>
      </w:r>
      <w:r>
        <w:rPr>
          <w:rStyle w:val="FootnoteReference"/>
        </w:rPr>
        <w:footnoteRef/>
      </w:r>
      <w:r>
        <w:t xml:space="preserve"> </w:t>
      </w:r>
      <w:r>
        <w:tab/>
      </w:r>
      <w:r>
        <w:tab/>
        <w:t>“2” refers to Indigenous 2-Spirit individuals, and inclusive to queer identities.</w:t>
      </w:r>
    </w:p>
  </w:footnote>
  <w:footnote w:id="32">
    <w:p w:rsidR="002C2558" w:rsidRPr="00003B15" w:rsidRDefault="002C2558" w:rsidP="002C2558">
      <w:pPr>
        <w:pStyle w:val="FootnoteText"/>
      </w:pPr>
      <w:r>
        <w:tab/>
      </w:r>
      <w:r w:rsidRPr="00FA7632">
        <w:rPr>
          <w:vertAlign w:val="superscript"/>
        </w:rPr>
        <w:footnoteRef/>
      </w:r>
      <w:r w:rsidRPr="00FA7632">
        <w:rPr>
          <w:vertAlign w:val="superscript"/>
        </w:rPr>
        <w:t xml:space="preserve"> </w:t>
      </w:r>
      <w:r>
        <w:tab/>
      </w:r>
      <w:r w:rsidR="00AD06C8">
        <w:t xml:space="preserve">See Independent Report </w:t>
      </w:r>
      <w:proofErr w:type="gramStart"/>
      <w:r w:rsidR="00AD06C8">
        <w:t xml:space="preserve">on </w:t>
      </w:r>
      <w:r w:rsidRPr="00003B15">
        <w:t xml:space="preserve"> Incarce</w:t>
      </w:r>
      <w:r>
        <w:t>ration</w:t>
      </w:r>
      <w:proofErr w:type="gramEnd"/>
      <w:r>
        <w:t xml:space="preserve"> of Angela Cardinal, 2018.</w:t>
      </w:r>
    </w:p>
  </w:footnote>
  <w:footnote w:id="33">
    <w:p w:rsidR="002C2558" w:rsidRPr="006814CC" w:rsidRDefault="002C2558" w:rsidP="002C2558">
      <w:pPr>
        <w:pStyle w:val="FootnoteText"/>
        <w:rPr>
          <w:color w:val="000000" w:themeColor="text1"/>
        </w:rPr>
      </w:pPr>
      <w:r>
        <w:tab/>
      </w:r>
      <w:r w:rsidRPr="00CA0D7A">
        <w:rPr>
          <w:vertAlign w:val="superscript"/>
        </w:rPr>
        <w:footnoteRef/>
      </w:r>
      <w:r w:rsidRPr="00CA0D7A">
        <w:rPr>
          <w:vertAlign w:val="superscript"/>
        </w:rPr>
        <w:t xml:space="preserve"> </w:t>
      </w:r>
      <w:r>
        <w:tab/>
        <w:t xml:space="preserve">Statistics Canada. 2017. Self-reported sexual </w:t>
      </w:r>
      <w:r w:rsidRPr="006814CC">
        <w:rPr>
          <w:color w:val="000000" w:themeColor="text1"/>
        </w:rPr>
        <w:t xml:space="preserve">assault in Canada, 2014. </w:t>
      </w:r>
    </w:p>
  </w:footnote>
  <w:footnote w:id="34">
    <w:p w:rsidR="002C2558" w:rsidRPr="006814CC" w:rsidRDefault="002C2558" w:rsidP="002C2558">
      <w:pPr>
        <w:pStyle w:val="FootnoteText"/>
        <w:rPr>
          <w:color w:val="000000" w:themeColor="text1"/>
        </w:rPr>
      </w:pPr>
      <w:r w:rsidRPr="006814CC">
        <w:rPr>
          <w:rFonts w:eastAsia="Arial Unicode MS"/>
          <w:color w:val="000000" w:themeColor="text1"/>
        </w:rPr>
        <w:tab/>
      </w:r>
      <w:r w:rsidRPr="006814CC">
        <w:rPr>
          <w:color w:val="000000" w:themeColor="text1"/>
          <w:vertAlign w:val="superscript"/>
        </w:rPr>
        <w:footnoteRef/>
      </w:r>
      <w:r w:rsidRPr="006814CC">
        <w:rPr>
          <w:rFonts w:eastAsia="Arial Unicode MS"/>
          <w:color w:val="000000" w:themeColor="text1"/>
          <w:vertAlign w:val="superscript"/>
        </w:rPr>
        <w:t xml:space="preserve"> </w:t>
      </w:r>
      <w:r w:rsidRPr="006814CC">
        <w:rPr>
          <w:rFonts w:eastAsia="Arial Unicode MS"/>
          <w:color w:val="000000" w:themeColor="text1"/>
        </w:rPr>
        <w:tab/>
        <w:t>https://www.publicsafety.gc.ca/cnt/rsrcs/pblctns/ntnl-ctn-pln-cmbt/index-en.aspx</w:t>
      </w:r>
      <w:r>
        <w:rPr>
          <w:rFonts w:eastAsia="Arial Unicode MS"/>
          <w:color w:val="000000" w:themeColor="text1"/>
        </w:rPr>
        <w:t>.</w:t>
      </w:r>
    </w:p>
  </w:footnote>
  <w:footnote w:id="35">
    <w:p w:rsidR="002C2558" w:rsidRPr="00F833AB" w:rsidRDefault="002C2558" w:rsidP="002C2558">
      <w:pPr>
        <w:pStyle w:val="FootnoteText"/>
        <w:rPr>
          <w:color w:val="000000" w:themeColor="text1"/>
          <w:spacing w:val="-2"/>
        </w:rPr>
      </w:pPr>
      <w:r w:rsidRPr="00F833AB">
        <w:rPr>
          <w:rFonts w:eastAsia="Arial Unicode MS"/>
          <w:color w:val="000000" w:themeColor="text1"/>
          <w:spacing w:val="-2"/>
        </w:rPr>
        <w:tab/>
      </w:r>
      <w:r w:rsidRPr="00F833AB">
        <w:rPr>
          <w:color w:val="000000" w:themeColor="text1"/>
          <w:spacing w:val="-2"/>
          <w:vertAlign w:val="superscript"/>
        </w:rPr>
        <w:footnoteRef/>
      </w:r>
      <w:r w:rsidRPr="00F833AB">
        <w:rPr>
          <w:rFonts w:eastAsia="Arial Unicode MS"/>
          <w:color w:val="000000" w:themeColor="text1"/>
          <w:spacing w:val="-2"/>
          <w:vertAlign w:val="superscript"/>
        </w:rPr>
        <w:t xml:space="preserve"> </w:t>
      </w:r>
      <w:r w:rsidRPr="00F833AB">
        <w:rPr>
          <w:rFonts w:eastAsia="Arial Unicode MS"/>
          <w:color w:val="000000" w:themeColor="text1"/>
          <w:spacing w:val="-2"/>
        </w:rPr>
        <w:tab/>
      </w:r>
      <w:hyperlink r:id="rId5" w:history="1">
        <w:r w:rsidRPr="00F833AB">
          <w:rPr>
            <w:color w:val="000000" w:themeColor="text1"/>
            <w:spacing w:val="-2"/>
            <w:szCs w:val="18"/>
            <w:lang w:val="en-US"/>
          </w:rPr>
          <w:t>https://www.canadianwomen.org/wp-content/uploads/2017/09/CWF-TraffickingReport-Auto-1_0.pdf</w:t>
        </w:r>
      </w:hyperlink>
      <w:r w:rsidRPr="00F833AB">
        <w:rPr>
          <w:color w:val="000000" w:themeColor="text1"/>
          <w:spacing w:val="-2"/>
          <w:szCs w:val="18"/>
          <w:lang w:val="en-US"/>
        </w:rPr>
        <w:t>.</w:t>
      </w:r>
    </w:p>
  </w:footnote>
  <w:footnote w:id="36">
    <w:p w:rsidR="002C2558" w:rsidRPr="00003B15" w:rsidRDefault="002C2558" w:rsidP="002C2558">
      <w:pPr>
        <w:pStyle w:val="FootnoteText"/>
      </w:pPr>
      <w:r w:rsidRPr="006814CC">
        <w:rPr>
          <w:color w:val="000000" w:themeColor="text1"/>
        </w:rPr>
        <w:tab/>
      </w:r>
      <w:r w:rsidRPr="006814CC">
        <w:rPr>
          <w:color w:val="000000" w:themeColor="text1"/>
          <w:vertAlign w:val="superscript"/>
        </w:rPr>
        <w:footnoteRef/>
      </w:r>
      <w:r w:rsidRPr="006814CC">
        <w:rPr>
          <w:color w:val="000000" w:themeColor="text1"/>
        </w:rPr>
        <w:t xml:space="preserve"> </w:t>
      </w:r>
      <w:r w:rsidRPr="006814CC">
        <w:rPr>
          <w:color w:val="000000" w:themeColor="text1"/>
        </w:rPr>
        <w:tab/>
      </w:r>
      <w:proofErr w:type="spellStart"/>
      <w:r w:rsidRPr="006814CC">
        <w:rPr>
          <w:color w:val="000000" w:themeColor="text1"/>
        </w:rPr>
        <w:t>Ayden“Barriers</w:t>
      </w:r>
      <w:proofErr w:type="spellEnd"/>
      <w:r w:rsidRPr="006814CC">
        <w:rPr>
          <w:color w:val="000000" w:themeColor="text1"/>
        </w:rPr>
        <w:t xml:space="preserve"> to well-being for Aboriginal gender-diverse </w:t>
      </w:r>
      <w:proofErr w:type="spellStart"/>
      <w:r w:rsidRPr="006814CC">
        <w:rPr>
          <w:color w:val="000000" w:themeColor="text1"/>
        </w:rPr>
        <w:t>people</w:t>
      </w:r>
      <w:proofErr w:type="gramStart"/>
      <w:r w:rsidRPr="006814CC">
        <w:rPr>
          <w:color w:val="000000" w:themeColor="text1"/>
        </w:rPr>
        <w:t>;Ristock,Aboriginal</w:t>
      </w:r>
      <w:proofErr w:type="spellEnd"/>
      <w:proofErr w:type="gramEnd"/>
      <w:r w:rsidRPr="006814CC">
        <w:rPr>
          <w:color w:val="000000" w:themeColor="text1"/>
        </w:rPr>
        <w:t xml:space="preserve"> Two-Spirit and LGBTQ Migration, Mobility, and Health Research</w:t>
      </w:r>
      <w:r w:rsidRPr="00003B15">
        <w:t>, 2010Project:Winnipeg Final Report,”; Taylor,2009</w:t>
      </w:r>
      <w:r>
        <w:t>.</w:t>
      </w:r>
    </w:p>
  </w:footnote>
  <w:footnote w:id="37">
    <w:p w:rsidR="002C2558" w:rsidRPr="00003B15" w:rsidRDefault="002C2558" w:rsidP="002C2558">
      <w:pPr>
        <w:pStyle w:val="FootnoteText"/>
      </w:pPr>
      <w:r>
        <w:tab/>
      </w:r>
      <w:r w:rsidRPr="00CA0D7A">
        <w:rPr>
          <w:vertAlign w:val="superscript"/>
        </w:rPr>
        <w:footnoteRef/>
      </w:r>
      <w:r w:rsidRPr="00CA0D7A">
        <w:rPr>
          <w:vertAlign w:val="superscript"/>
        </w:rPr>
        <w:t xml:space="preserve"> </w:t>
      </w:r>
      <w:r>
        <w:tab/>
      </w:r>
      <w:r w:rsidRPr="00003B15">
        <w:t>A/HRC/38/47</w:t>
      </w:r>
      <w:r>
        <w:t>.</w:t>
      </w:r>
    </w:p>
  </w:footnote>
  <w:footnote w:id="38">
    <w:p w:rsidR="002C2558" w:rsidRPr="00003B15" w:rsidRDefault="002C2558" w:rsidP="002C2558">
      <w:pPr>
        <w:pStyle w:val="FootnoteText"/>
      </w:pPr>
      <w:r>
        <w:tab/>
      </w:r>
      <w:r w:rsidRPr="00CA0D7A">
        <w:rPr>
          <w:vertAlign w:val="superscript"/>
        </w:rPr>
        <w:footnoteRef/>
      </w:r>
      <w:r w:rsidRPr="00CA0D7A">
        <w:rPr>
          <w:vertAlign w:val="superscript"/>
        </w:rPr>
        <w:t xml:space="preserve"> </w:t>
      </w:r>
      <w:r>
        <w:tab/>
      </w:r>
      <w:r w:rsidRPr="00003B15">
        <w:t>https://citizenlab.ca/wp-content/uploads/2017/11/Final-UNSRVAG-CitizenLab.pdf</w:t>
      </w:r>
      <w:r>
        <w:t>.</w:t>
      </w:r>
    </w:p>
  </w:footnote>
  <w:footnote w:id="39">
    <w:p w:rsidR="002C2558" w:rsidRPr="00003B15" w:rsidRDefault="002C2558" w:rsidP="002C2558">
      <w:pPr>
        <w:pStyle w:val="FootnoteText"/>
      </w:pPr>
      <w:r>
        <w:rPr>
          <w:rFonts w:eastAsia="Arial Unicode MS"/>
        </w:rPr>
        <w:tab/>
      </w:r>
      <w:r w:rsidRPr="00CA0D7A">
        <w:rPr>
          <w:vertAlign w:val="superscript"/>
        </w:rPr>
        <w:footnoteRef/>
      </w:r>
      <w:r w:rsidRPr="00CA0D7A">
        <w:rPr>
          <w:rFonts w:eastAsia="Arial Unicode MS"/>
          <w:vertAlign w:val="superscript"/>
        </w:rPr>
        <w:t xml:space="preserve"> </w:t>
      </w:r>
      <w:r>
        <w:rPr>
          <w:rFonts w:eastAsia="Arial Unicode MS"/>
        </w:rPr>
        <w:tab/>
      </w:r>
      <w:r w:rsidR="00AD06C8">
        <w:rPr>
          <w:rFonts w:eastAsia="Arial Unicode MS"/>
        </w:rPr>
        <w:t xml:space="preserve">Soon, </w:t>
      </w:r>
      <w:proofErr w:type="spellStart"/>
      <w:r w:rsidRPr="00003B15">
        <w:rPr>
          <w:rFonts w:eastAsia="Arial Unicode MS"/>
        </w:rPr>
        <w:t>Dressler</w:t>
      </w:r>
      <w:proofErr w:type="gramStart"/>
      <w:r w:rsidRPr="00003B15">
        <w:rPr>
          <w:rFonts w:eastAsia="Arial Unicode MS"/>
        </w:rPr>
        <w:t>,Barriers</w:t>
      </w:r>
      <w:proofErr w:type="spellEnd"/>
      <w:proofErr w:type="gramEnd"/>
      <w:r w:rsidRPr="00003B15">
        <w:rPr>
          <w:rFonts w:eastAsia="Arial Unicode MS"/>
        </w:rPr>
        <w:t xml:space="preserve"> to Rural Induced Abortion Services in Canada:, 2013</w:t>
      </w:r>
      <w:r>
        <w:rPr>
          <w:rFonts w:eastAsia="Arial Unicode MS"/>
        </w:rPr>
        <w:t>.</w:t>
      </w:r>
    </w:p>
  </w:footnote>
  <w:footnote w:id="40">
    <w:p w:rsidR="002C2558" w:rsidRPr="00003B15" w:rsidRDefault="002C2558" w:rsidP="002C2558">
      <w:pPr>
        <w:pStyle w:val="FootnoteText"/>
      </w:pPr>
      <w:r>
        <w:tab/>
      </w:r>
      <w:r w:rsidRPr="00CA0D7A">
        <w:rPr>
          <w:vertAlign w:val="superscript"/>
        </w:rPr>
        <w:footnoteRef/>
      </w:r>
      <w:r w:rsidRPr="00CA0D7A">
        <w:rPr>
          <w:vertAlign w:val="superscript"/>
        </w:rPr>
        <w:t xml:space="preserve"> </w:t>
      </w:r>
      <w:r>
        <w:tab/>
      </w:r>
      <w:r w:rsidRPr="00003B15">
        <w:t>Amnesty Internationa</w:t>
      </w:r>
      <w:r w:rsidR="00AD06C8">
        <w:t xml:space="preserve">l, </w:t>
      </w:r>
      <w:r w:rsidRPr="00003B15">
        <w:t>Further Rec</w:t>
      </w:r>
      <w:r w:rsidR="00AD06C8">
        <w:t>ommendations 30th session</w:t>
      </w:r>
      <w:r w:rsidRPr="00003B15">
        <w:t xml:space="preserve"> UPR Canada, 2018;Maurice Law an</w:t>
      </w:r>
      <w:r w:rsidR="00AD06C8">
        <w:t xml:space="preserve">d Barrister, Submission to IACH, </w:t>
      </w:r>
      <w:r w:rsidRPr="00003B15">
        <w:t>Forced Sterilization of Indigenous Women in Canada</w:t>
      </w:r>
      <w:r>
        <w:t>.</w:t>
      </w:r>
    </w:p>
  </w:footnote>
  <w:footnote w:id="41">
    <w:p w:rsidR="002C2558" w:rsidRPr="00003B15" w:rsidRDefault="002C2558" w:rsidP="002C2558">
      <w:pPr>
        <w:pStyle w:val="FootnoteText"/>
      </w:pPr>
      <w:r>
        <w:tab/>
      </w:r>
      <w:r w:rsidRPr="00CA0D7A">
        <w:rPr>
          <w:vertAlign w:val="superscript"/>
        </w:rPr>
        <w:footnoteRef/>
      </w:r>
      <w:r w:rsidRPr="00CA0D7A">
        <w:rPr>
          <w:vertAlign w:val="superscript"/>
        </w:rPr>
        <w:t xml:space="preserve"> </w:t>
      </w:r>
      <w:r>
        <w:tab/>
      </w:r>
      <w:r w:rsidRPr="00003B15">
        <w:t xml:space="preserve">See also </w:t>
      </w:r>
      <w:proofErr w:type="spellStart"/>
      <w:r w:rsidRPr="00003B15">
        <w:t>Bartle</w:t>
      </w:r>
      <w:r w:rsidR="00AD06C8">
        <w:t>tt</w:t>
      </w:r>
      <w:proofErr w:type="gramStart"/>
      <w:r w:rsidR="00AD06C8">
        <w:t>,Boyer</w:t>
      </w:r>
      <w:proofErr w:type="spellEnd"/>
      <w:proofErr w:type="gramEnd"/>
      <w:r w:rsidR="00AD06C8">
        <w:t>, External Review -</w:t>
      </w:r>
      <w:r w:rsidRPr="00003B15">
        <w:t xml:space="preserve"> Tubal Ligation in the Saskatoon Health Region: The Lived Exper</w:t>
      </w:r>
      <w:r w:rsidR="00AD06C8">
        <w:t>ience of Aboriginal Women 2017</w:t>
      </w:r>
      <w:r>
        <w:t>.</w:t>
      </w:r>
    </w:p>
  </w:footnote>
  <w:footnote w:id="42">
    <w:p w:rsidR="002C2558" w:rsidRPr="00003B15" w:rsidRDefault="002C2558" w:rsidP="002C2558">
      <w:pPr>
        <w:pStyle w:val="FootnoteText"/>
      </w:pPr>
      <w:r>
        <w:rPr>
          <w:rFonts w:eastAsia="Arial Unicode MS"/>
        </w:rPr>
        <w:tab/>
      </w:r>
      <w:r w:rsidRPr="00CA0D7A">
        <w:rPr>
          <w:vertAlign w:val="superscript"/>
        </w:rPr>
        <w:footnoteRef/>
      </w:r>
      <w:r w:rsidRPr="00003B15">
        <w:rPr>
          <w:rFonts w:eastAsia="Arial Unicode MS"/>
        </w:rPr>
        <w:t xml:space="preserve"> </w:t>
      </w:r>
      <w:r>
        <w:rPr>
          <w:rFonts w:eastAsia="Arial Unicode MS"/>
        </w:rPr>
        <w:tab/>
      </w:r>
      <w:r w:rsidRPr="002467E3">
        <w:rPr>
          <w:rFonts w:eastAsia="Arial Unicode MS"/>
        </w:rPr>
        <w:t>https://www.csc-scc.gc.ca/research/err-16-23-eng.shtml</w:t>
      </w:r>
      <w:r>
        <w:rPr>
          <w:rFonts w:eastAsia="Arial Unicode MS"/>
        </w:rPr>
        <w:t>;</w:t>
      </w:r>
      <w:r w:rsidRPr="00003B15">
        <w:rPr>
          <w:rFonts w:eastAsia="Arial Unicode MS"/>
        </w:rPr>
        <w:t>See also http://www.caefs.ca/wp-content/uploads/2013/05/csc-revw.pdf</w:t>
      </w:r>
      <w:r>
        <w:rPr>
          <w:rFonts w:eastAsia="Arial Unicode MS"/>
        </w:rPr>
        <w:t>.</w:t>
      </w:r>
    </w:p>
  </w:footnote>
  <w:footnote w:id="43">
    <w:p w:rsidR="002C2558" w:rsidRPr="00003B15" w:rsidRDefault="002C2558" w:rsidP="002C2558">
      <w:pPr>
        <w:pStyle w:val="FootnoteText"/>
      </w:pPr>
      <w:r>
        <w:tab/>
      </w:r>
      <w:r w:rsidRPr="00CA0D7A">
        <w:rPr>
          <w:vertAlign w:val="superscript"/>
        </w:rPr>
        <w:footnoteRef/>
      </w:r>
      <w:r w:rsidRPr="00CA0D7A">
        <w:rPr>
          <w:vertAlign w:val="superscript"/>
        </w:rPr>
        <w:t xml:space="preserve"> </w:t>
      </w:r>
      <w:r>
        <w:tab/>
      </w:r>
      <w:hyperlink r:id="rId6" w:history="1">
        <w:r w:rsidRPr="00003B15">
          <w:rPr>
            <w:rStyle w:val="Hyperlink"/>
          </w:rPr>
          <w:t>http://www.oci-bec.gc.ca/cnt/rpt/pdf/annrpt/annrpt20162017-eng.pdf</w:t>
        </w:r>
      </w:hyperlink>
      <w:proofErr w:type="gramStart"/>
      <w:r w:rsidRPr="00003B15">
        <w:t>;http</w:t>
      </w:r>
      <w:proofErr w:type="gramEnd"/>
      <w:r w:rsidRPr="00003B15">
        <w:t>://www.caefs.ca/wp-content/uploads/2013/05/csc-revw.pdf</w:t>
      </w:r>
      <w:r>
        <w:t>.</w:t>
      </w:r>
    </w:p>
  </w:footnote>
  <w:footnote w:id="44">
    <w:p w:rsidR="002C2558" w:rsidRPr="00003B15" w:rsidRDefault="002C2558" w:rsidP="002C2558">
      <w:pPr>
        <w:pStyle w:val="FootnoteText"/>
      </w:pPr>
      <w:r>
        <w:rPr>
          <w:rFonts w:eastAsia="Arial Unicode MS"/>
        </w:rPr>
        <w:tab/>
      </w:r>
      <w:r w:rsidRPr="00CA0D7A">
        <w:rPr>
          <w:vertAlign w:val="superscript"/>
        </w:rPr>
        <w:footnoteRef/>
      </w:r>
      <w:r w:rsidRPr="00003B15">
        <w:rPr>
          <w:rFonts w:eastAsia="Arial Unicode MS"/>
        </w:rPr>
        <w:t xml:space="preserve"> </w:t>
      </w:r>
      <w:r>
        <w:rPr>
          <w:rFonts w:eastAsia="Arial Unicode MS"/>
        </w:rPr>
        <w:tab/>
      </w:r>
      <w:proofErr w:type="spellStart"/>
      <w:r w:rsidRPr="00003B15">
        <w:rPr>
          <w:rFonts w:eastAsia="Arial Unicode MS"/>
        </w:rPr>
        <w:t>FAFIA</w:t>
      </w:r>
      <w:proofErr w:type="gramStart"/>
      <w:r w:rsidRPr="00003B15">
        <w:rPr>
          <w:rFonts w:eastAsia="Arial Unicode MS"/>
        </w:rPr>
        <w:t>,Discrimination</w:t>
      </w:r>
      <w:proofErr w:type="spellEnd"/>
      <w:proofErr w:type="gramEnd"/>
      <w:r w:rsidRPr="00003B15">
        <w:rPr>
          <w:rFonts w:eastAsia="Arial Unicode MS"/>
        </w:rPr>
        <w:t xml:space="preserve"> against Indigenous and Racialized Women in Canada, 2017;Canadian Association of Elizabeth Fry </w:t>
      </w:r>
      <w:proofErr w:type="spellStart"/>
      <w:r w:rsidRPr="00003B15">
        <w:rPr>
          <w:rFonts w:eastAsia="Arial Unicode MS"/>
        </w:rPr>
        <w:t>Societies,Long</w:t>
      </w:r>
      <w:proofErr w:type="spellEnd"/>
      <w:r w:rsidRPr="00003B15">
        <w:rPr>
          <w:rFonts w:eastAsia="Arial Unicode MS"/>
        </w:rPr>
        <w:t xml:space="preserve"> Term Effects of Abuse and Trauma</w:t>
      </w:r>
      <w:r>
        <w:rPr>
          <w:rFonts w:eastAsia="Arial Unicode MS"/>
        </w:rPr>
        <w:t>.</w:t>
      </w:r>
    </w:p>
  </w:footnote>
  <w:footnote w:id="45">
    <w:p w:rsidR="002C2558" w:rsidRPr="00003B15" w:rsidRDefault="002C2558" w:rsidP="002C2558">
      <w:pPr>
        <w:pStyle w:val="FootnoteText"/>
      </w:pPr>
      <w:r>
        <w:rPr>
          <w:rFonts w:eastAsia="Arial Unicode MS"/>
        </w:rPr>
        <w:tab/>
      </w:r>
      <w:r w:rsidRPr="00CA0D7A">
        <w:rPr>
          <w:vertAlign w:val="superscript"/>
        </w:rPr>
        <w:footnoteRef/>
      </w:r>
      <w:r w:rsidRPr="00CA0D7A">
        <w:rPr>
          <w:rFonts w:eastAsia="Arial Unicode MS"/>
          <w:vertAlign w:val="superscript"/>
        </w:rPr>
        <w:t xml:space="preserve"> </w:t>
      </w:r>
      <w:r>
        <w:rPr>
          <w:rFonts w:eastAsia="Arial Unicode MS"/>
        </w:rPr>
        <w:tab/>
      </w:r>
      <w:r w:rsidRPr="00003B15">
        <w:rPr>
          <w:rFonts w:eastAsia="Arial Unicode MS"/>
        </w:rPr>
        <w:t>http://www.oci-bec.gc.ca/cnt/rpt/pdf/annrpt/annrpt20162017-eng.pdf</w:t>
      </w:r>
      <w:r>
        <w:rPr>
          <w:rFonts w:eastAsia="Arial Unicode MS"/>
        </w:rPr>
        <w:t>.</w:t>
      </w:r>
    </w:p>
  </w:footnote>
  <w:footnote w:id="46">
    <w:p w:rsidR="002C2558" w:rsidRPr="00003B15" w:rsidRDefault="002C2558" w:rsidP="002C2558">
      <w:pPr>
        <w:pStyle w:val="FootnoteText"/>
      </w:pPr>
      <w:r>
        <w:tab/>
      </w:r>
      <w:r w:rsidRPr="00CA0D7A">
        <w:rPr>
          <w:vertAlign w:val="superscript"/>
        </w:rPr>
        <w:footnoteRef/>
      </w:r>
      <w:r w:rsidRPr="00CA0D7A">
        <w:rPr>
          <w:vertAlign w:val="superscript"/>
        </w:rPr>
        <w:t xml:space="preserve"> </w:t>
      </w:r>
      <w:r>
        <w:tab/>
      </w:r>
      <w:hyperlink r:id="rId7" w:history="1">
        <w:r w:rsidRPr="00003B15">
          <w:rPr>
            <w:rStyle w:val="Hyperlink"/>
          </w:rPr>
          <w:t>http://www.chch.com/wp-content/uploads/2013/12/2013-1219-AshleySmithVerdict.pdf</w:t>
        </w:r>
      </w:hyperlink>
      <w:r>
        <w:rPr>
          <w:rStyle w:val="Hyperlink"/>
        </w:rPr>
        <w:t>.</w:t>
      </w:r>
    </w:p>
  </w:footnote>
  <w:footnote w:id="47">
    <w:p w:rsidR="002C2558" w:rsidRPr="00003B15" w:rsidRDefault="002C2558" w:rsidP="002C2558">
      <w:pPr>
        <w:pStyle w:val="FootnoteText"/>
      </w:pPr>
      <w:r>
        <w:rPr>
          <w:rFonts w:eastAsia="Arial Unicode MS"/>
        </w:rPr>
        <w:tab/>
      </w:r>
      <w:r w:rsidRPr="00CA0D7A">
        <w:rPr>
          <w:vertAlign w:val="superscript"/>
        </w:rPr>
        <w:footnoteRef/>
      </w:r>
      <w:r w:rsidRPr="00CA0D7A">
        <w:rPr>
          <w:rFonts w:eastAsia="Arial Unicode MS"/>
          <w:vertAlign w:val="superscript"/>
        </w:rPr>
        <w:t xml:space="preserve"> </w:t>
      </w:r>
      <w:r w:rsidRPr="00CA0D7A">
        <w:rPr>
          <w:rFonts w:eastAsia="Arial Unicode MS"/>
          <w:vertAlign w:val="superscript"/>
        </w:rPr>
        <w:tab/>
      </w:r>
      <w:hyperlink r:id="rId8" w:history="1">
        <w:r w:rsidRPr="00003B15">
          <w:rPr>
            <w:rStyle w:val="Hyperlink"/>
            <w:rFonts w:eastAsia="Arial Unicode MS"/>
          </w:rPr>
          <w:t>http://www.oci-bec.gc.ca/cnt/rpt/annrpt/annrpt20172018-eng.aspx#s6</w:t>
        </w:r>
      </w:hyperlink>
      <w:r>
        <w:rPr>
          <w:rStyle w:val="Hyperlink"/>
          <w:rFonts w:eastAsia="Arial Unicode MS"/>
        </w:rPr>
        <w:t>.</w:t>
      </w:r>
    </w:p>
  </w:footnote>
  <w:footnote w:id="48">
    <w:p w:rsidR="002C2558" w:rsidRPr="00003B15" w:rsidRDefault="002C2558" w:rsidP="002C2558">
      <w:pPr>
        <w:pStyle w:val="FootnoteText"/>
      </w:pPr>
      <w:r>
        <w:tab/>
      </w:r>
      <w:r w:rsidRPr="00CA0D7A">
        <w:rPr>
          <w:vertAlign w:val="superscript"/>
        </w:rPr>
        <w:footnoteRef/>
      </w:r>
      <w:r w:rsidRPr="00CA0D7A">
        <w:rPr>
          <w:vertAlign w:val="superscript"/>
        </w:rPr>
        <w:t xml:space="preserve"> </w:t>
      </w:r>
      <w:r>
        <w:tab/>
      </w:r>
      <w:r w:rsidRPr="00003B15">
        <w:t>https://thetyee.ca/News/2018/11/21/Failing-Indigenous-Offenders/</w:t>
      </w:r>
      <w:r>
        <w:t>.</w:t>
      </w:r>
    </w:p>
  </w:footnote>
  <w:footnote w:id="49">
    <w:p w:rsidR="002C2558" w:rsidRPr="00003B15" w:rsidRDefault="002C2558" w:rsidP="002C2558">
      <w:pPr>
        <w:pStyle w:val="FootnoteText"/>
      </w:pPr>
      <w:r>
        <w:tab/>
      </w:r>
      <w:r w:rsidRPr="00CA0D7A">
        <w:rPr>
          <w:vertAlign w:val="superscript"/>
        </w:rPr>
        <w:footnoteRef/>
      </w:r>
      <w:r w:rsidRPr="00CA0D7A">
        <w:rPr>
          <w:vertAlign w:val="superscript"/>
        </w:rPr>
        <w:t xml:space="preserve"> </w:t>
      </w:r>
      <w:r>
        <w:tab/>
      </w:r>
      <w:proofErr w:type="spellStart"/>
      <w:r w:rsidRPr="00003B15">
        <w:t>Williams</w:t>
      </w:r>
      <w:proofErr w:type="gramStart"/>
      <w:r w:rsidRPr="00003B15">
        <w:t>,Intersectionality</w:t>
      </w:r>
      <w:proofErr w:type="spellEnd"/>
      <w:proofErr w:type="gramEnd"/>
      <w:r w:rsidRPr="00003B15">
        <w:t xml:space="preserve"> analysis in the sentencing of Aboriginal women in Canada,2008</w:t>
      </w:r>
      <w:r>
        <w:t>.</w:t>
      </w:r>
    </w:p>
  </w:footnote>
  <w:footnote w:id="50">
    <w:p w:rsidR="002C2558" w:rsidRPr="00003B15" w:rsidRDefault="002C2558" w:rsidP="002C2558">
      <w:pPr>
        <w:pStyle w:val="FootnoteText"/>
      </w:pPr>
      <w:r>
        <w:tab/>
      </w:r>
      <w:r w:rsidRPr="00CA0D7A">
        <w:rPr>
          <w:vertAlign w:val="superscript"/>
        </w:rPr>
        <w:footnoteRef/>
      </w:r>
      <w:r w:rsidRPr="00CA0D7A">
        <w:rPr>
          <w:vertAlign w:val="superscript"/>
        </w:rPr>
        <w:t xml:space="preserve"> </w:t>
      </w:r>
      <w:r>
        <w:tab/>
        <w:t>Statistics Canada 2018. Homicide in Canada, 2017.</w:t>
      </w:r>
    </w:p>
  </w:footnote>
  <w:footnote w:id="51">
    <w:p w:rsidR="002C2558" w:rsidRDefault="002C2558" w:rsidP="002C2558">
      <w:pPr>
        <w:pStyle w:val="FootnoteText"/>
      </w:pPr>
      <w:r>
        <w:tab/>
      </w:r>
      <w:r>
        <w:rPr>
          <w:rStyle w:val="FootnoteReference"/>
        </w:rPr>
        <w:footnoteRef/>
      </w:r>
      <w:r>
        <w:t xml:space="preserve"> </w:t>
      </w:r>
      <w:r>
        <w:tab/>
      </w:r>
      <w:r>
        <w:tab/>
        <w:t>http://www.rcmp-grc.gc.ca/en/missing-and-murdered-aboriginal-women-national-operational-overview.</w:t>
      </w:r>
    </w:p>
  </w:footnote>
  <w:footnote w:id="52">
    <w:p w:rsidR="002C2558" w:rsidRDefault="002C2558" w:rsidP="002C2558">
      <w:pPr>
        <w:pStyle w:val="FootnoteText"/>
      </w:pPr>
      <w:r>
        <w:rPr>
          <w:rStyle w:val="Hyperlink"/>
        </w:rPr>
        <w:tab/>
      </w:r>
      <w:r>
        <w:rPr>
          <w:rStyle w:val="FootnoteReference"/>
        </w:rPr>
        <w:footnoteRef/>
      </w:r>
      <w:r>
        <w:rPr>
          <w:rStyle w:val="Hyperlink"/>
        </w:rPr>
        <w:tab/>
      </w:r>
      <w:hyperlink r:id="rId9" w:history="1">
        <w:r w:rsidRPr="00E70397">
          <w:rPr>
            <w:rStyle w:val="Hyperlink"/>
          </w:rPr>
          <w:t>https://www.canada.ca/en/indigenous-services-canada/services/first-nations-inuit-health/health-promotion/suicide-prevention.html</w:t>
        </w:r>
      </w:hyperlink>
      <w:r>
        <w:rPr>
          <w:rStyle w:val="Hyperlink"/>
        </w:rPr>
        <w:t>.</w:t>
      </w:r>
    </w:p>
  </w:footnote>
  <w:footnote w:id="53">
    <w:p w:rsidR="002C2558" w:rsidRPr="002C2558" w:rsidRDefault="002C2558" w:rsidP="002C2558">
      <w:pPr>
        <w:pStyle w:val="FootnoteText"/>
        <w:rPr>
          <w:spacing w:val="-2"/>
        </w:rPr>
      </w:pPr>
      <w:r w:rsidRPr="002C2558">
        <w:rPr>
          <w:spacing w:val="-2"/>
        </w:rPr>
        <w:tab/>
      </w:r>
      <w:r w:rsidRPr="002C2558">
        <w:rPr>
          <w:spacing w:val="-2"/>
          <w:vertAlign w:val="superscript"/>
        </w:rPr>
        <w:footnoteRef/>
      </w:r>
      <w:r w:rsidRPr="002C2558">
        <w:rPr>
          <w:spacing w:val="-2"/>
          <w:vertAlign w:val="superscript"/>
        </w:rPr>
        <w:t xml:space="preserve"> </w:t>
      </w:r>
      <w:r w:rsidRPr="002C2558">
        <w:rPr>
          <w:spacing w:val="-2"/>
          <w:vertAlign w:val="superscript"/>
        </w:rPr>
        <w:tab/>
      </w:r>
      <w:hyperlink r:id="rId10" w:history="1">
        <w:r w:rsidRPr="002C2558">
          <w:rPr>
            <w:rStyle w:val="Hyperlink"/>
            <w:spacing w:val="-2"/>
          </w:rPr>
          <w:t>https://www.cbc.ca/news/politics/tasker-ottawa-child-welfare-services-indigenous 1.4927104?fbclid=IwAR0Zp8iWswGIlBZvPL1BJT96DOtwAknGTXOTAwzMYerZg3KfWIKifDT1X1k</w:t>
        </w:r>
      </w:hyperlink>
      <w:r w:rsidRPr="002C2558">
        <w:rPr>
          <w:spacing w:val="-2"/>
        </w:rPr>
        <w:t>,The'Sixties Scoop' refers to the practice in Ca</w:t>
      </w:r>
      <w:r w:rsidR="00AD06C8">
        <w:rPr>
          <w:spacing w:val="-2"/>
        </w:rPr>
        <w:t xml:space="preserve">nada for decades after the </w:t>
      </w:r>
      <w:r w:rsidRPr="002C2558">
        <w:rPr>
          <w:spacing w:val="-2"/>
        </w:rPr>
        <w:t>1950s of indiscriminately removing Indigenous kids from their homes and putting them in foster care or up for adoption.</w:t>
      </w:r>
    </w:p>
  </w:footnote>
  <w:footnote w:id="54">
    <w:p w:rsidR="002C2558" w:rsidRPr="00003B15" w:rsidRDefault="002C2558" w:rsidP="002C2558">
      <w:pPr>
        <w:pStyle w:val="FootnoteText"/>
      </w:pPr>
      <w:r>
        <w:tab/>
      </w:r>
      <w:r w:rsidRPr="00632839">
        <w:rPr>
          <w:vertAlign w:val="superscript"/>
        </w:rPr>
        <w:footnoteRef/>
      </w:r>
      <w:r w:rsidRPr="00632839">
        <w:rPr>
          <w:vertAlign w:val="superscript"/>
        </w:rPr>
        <w:t xml:space="preserve"> </w:t>
      </w:r>
      <w:r>
        <w:tab/>
      </w:r>
      <w:proofErr w:type="spellStart"/>
      <w:r w:rsidRPr="00003B15">
        <w:t>Palmater</w:t>
      </w:r>
      <w:proofErr w:type="gramStart"/>
      <w:r w:rsidRPr="00003B15">
        <w:t>,Sh</w:t>
      </w:r>
      <w:r w:rsidR="00AD06C8">
        <w:t>ining</w:t>
      </w:r>
      <w:proofErr w:type="spellEnd"/>
      <w:proofErr w:type="gramEnd"/>
      <w:r w:rsidR="00AD06C8">
        <w:t xml:space="preserve"> Light on the Dark Places </w:t>
      </w:r>
      <w:r w:rsidRPr="00003B15">
        <w:t>2008</w:t>
      </w:r>
      <w:r>
        <w:t>.</w:t>
      </w:r>
    </w:p>
  </w:footnote>
  <w:footnote w:id="55">
    <w:p w:rsidR="002C2558" w:rsidRPr="00003B15" w:rsidRDefault="002C2558" w:rsidP="002C2558">
      <w:pPr>
        <w:pStyle w:val="FootnoteText"/>
      </w:pPr>
      <w:r>
        <w:tab/>
      </w:r>
      <w:r w:rsidRPr="00632839">
        <w:rPr>
          <w:vertAlign w:val="superscript"/>
        </w:rPr>
        <w:footnoteRef/>
      </w:r>
      <w:r w:rsidRPr="00632839">
        <w:rPr>
          <w:vertAlign w:val="superscript"/>
        </w:rPr>
        <w:t xml:space="preserve"> </w:t>
      </w:r>
      <w:r>
        <w:tab/>
      </w:r>
      <w:r w:rsidRPr="00003B15">
        <w:t>Amnesty International: Stolen Sisters</w:t>
      </w:r>
      <w:proofErr w:type="gramStart"/>
      <w:r w:rsidRPr="00003B15">
        <w:t>,2004</w:t>
      </w:r>
      <w:proofErr w:type="gramEnd"/>
      <w:r w:rsidRPr="00003B15">
        <w:t>;Violence against Indigenous Women and Girls in Canada,2014; Missing and murdered Indigenous w</w:t>
      </w:r>
      <w:r w:rsidR="00AD06C8">
        <w:t>omen and girls,2014.</w:t>
      </w:r>
    </w:p>
  </w:footnote>
  <w:footnote w:id="56">
    <w:p w:rsidR="002C2558" w:rsidRPr="00003B15" w:rsidRDefault="002C2558" w:rsidP="002C2558">
      <w:pPr>
        <w:pStyle w:val="FootnoteText"/>
      </w:pPr>
      <w:r>
        <w:rPr>
          <w:rFonts w:eastAsia="Arial Unicode MS"/>
        </w:rPr>
        <w:tab/>
      </w:r>
      <w:r w:rsidRPr="00632839">
        <w:rPr>
          <w:vertAlign w:val="superscript"/>
        </w:rPr>
        <w:footnoteRef/>
      </w:r>
      <w:r w:rsidRPr="00632839">
        <w:rPr>
          <w:rFonts w:eastAsia="Arial Unicode MS"/>
          <w:vertAlign w:val="superscript"/>
        </w:rPr>
        <w:t xml:space="preserve"> </w:t>
      </w:r>
      <w:r>
        <w:rPr>
          <w:rFonts w:eastAsia="Arial Unicode MS"/>
        </w:rPr>
        <w:tab/>
      </w:r>
      <w:hyperlink r:id="rId11" w:history="1">
        <w:r w:rsidRPr="00003B15">
          <w:rPr>
            <w:rStyle w:val="Hyperlink"/>
            <w:rFonts w:eastAsia="Arial Unicode MS"/>
          </w:rPr>
          <w:t>https://www.dawncanada.net</w:t>
        </w:r>
      </w:hyperlink>
      <w:r w:rsidRPr="00003B15">
        <w:rPr>
          <w:rFonts w:eastAsia="Arial Unicode MS"/>
        </w:rPr>
        <w:t xml:space="preserve"> submission</w:t>
      </w:r>
      <w:r>
        <w:rPr>
          <w:rFonts w:eastAsia="Arial Unicode MS"/>
        </w:rPr>
        <w:t>.</w:t>
      </w:r>
    </w:p>
  </w:footnote>
  <w:footnote w:id="57">
    <w:p w:rsidR="002C2558" w:rsidRDefault="002C2558" w:rsidP="002C2558">
      <w:pPr>
        <w:pStyle w:val="FootnoteText"/>
      </w:pPr>
      <w:r>
        <w:rPr>
          <w:rFonts w:eastAsia="Arial Unicode MS"/>
        </w:rPr>
        <w:tab/>
      </w:r>
      <w:r w:rsidRPr="00632839">
        <w:rPr>
          <w:vertAlign w:val="superscript"/>
        </w:rPr>
        <w:footnoteRef/>
      </w:r>
      <w:r w:rsidRPr="00632839">
        <w:rPr>
          <w:rFonts w:eastAsia="Arial Unicode MS"/>
          <w:vertAlign w:val="superscript"/>
        </w:rPr>
        <w:t xml:space="preserve"> </w:t>
      </w:r>
      <w:r>
        <w:rPr>
          <w:rFonts w:eastAsia="Arial Unicode MS"/>
        </w:rPr>
        <w:tab/>
      </w:r>
      <w:r w:rsidRPr="00003B15">
        <w:rPr>
          <w:rFonts w:eastAsia="Arial Unicode MS"/>
        </w:rPr>
        <w:t>2014 General Social Survey on Victimization</w:t>
      </w:r>
      <w:r>
        <w:rPr>
          <w:rFonts w:eastAsia="Arial Unicode M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558" w:rsidRPr="002C2558" w:rsidRDefault="009D04AE">
    <w:pPr>
      <w:pStyle w:val="Header"/>
    </w:pPr>
    <w:fldSimple w:instr=" TITLE  \* MERGEFORMAT ">
      <w:r w:rsidR="002C2558">
        <w:t>A/HRC/41/42/Add.1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558" w:rsidRPr="002C2558" w:rsidRDefault="009D04AE" w:rsidP="002C2558">
    <w:pPr>
      <w:pStyle w:val="Header"/>
      <w:jc w:val="right"/>
    </w:pPr>
    <w:fldSimple w:instr=" TITLE  \* MERGEFORMAT ">
      <w:r w:rsidR="002C2558">
        <w:t>A/HRC/41/42/Add.1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A57793"/>
    <w:multiLevelType w:val="hybridMultilevel"/>
    <w:tmpl w:val="8006E05A"/>
    <w:lvl w:ilvl="0" w:tplc="44FCDCD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BB5ED5"/>
    <w:multiLevelType w:val="hybridMultilevel"/>
    <w:tmpl w:val="DAAA663A"/>
    <w:lvl w:ilvl="0" w:tplc="BD18C07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8CC32BF"/>
    <w:multiLevelType w:val="hybridMultilevel"/>
    <w:tmpl w:val="2BA6FFAE"/>
    <w:lvl w:ilvl="0" w:tplc="4C722E1A">
      <w:start w:val="1"/>
      <w:numFmt w:val="decimal"/>
      <w:lvlText w:val="%1."/>
      <w:lvlJc w:val="left"/>
      <w:pPr>
        <w:ind w:left="1980" w:hanging="54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CD749C"/>
    <w:multiLevelType w:val="hybridMultilevel"/>
    <w:tmpl w:val="2CA63734"/>
    <w:lvl w:ilvl="0" w:tplc="B408192C">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9E418B"/>
    <w:multiLevelType w:val="hybridMultilevel"/>
    <w:tmpl w:val="6EC4C4D6"/>
    <w:lvl w:ilvl="0" w:tplc="B1A21F1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4BBB7A62"/>
    <w:multiLevelType w:val="hybridMultilevel"/>
    <w:tmpl w:val="E9226AAC"/>
    <w:lvl w:ilvl="0" w:tplc="08090015">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6C33E86"/>
    <w:multiLevelType w:val="hybridMultilevel"/>
    <w:tmpl w:val="DE4820DC"/>
    <w:lvl w:ilvl="0" w:tplc="084818CE">
      <w:start w:val="1"/>
      <w:numFmt w:val="decimal"/>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9"/>
  </w:num>
  <w:num w:numId="2">
    <w:abstractNumId w:val="7"/>
  </w:num>
  <w:num w:numId="3">
    <w:abstractNumId w:val="14"/>
  </w:num>
  <w:num w:numId="4">
    <w:abstractNumId w:val="6"/>
  </w:num>
  <w:num w:numId="5">
    <w:abstractNumId w:val="0"/>
  </w:num>
  <w:num w:numId="6">
    <w:abstractNumId w:val="2"/>
  </w:num>
  <w:num w:numId="7">
    <w:abstractNumId w:val="13"/>
  </w:num>
  <w:num w:numId="8">
    <w:abstractNumId w:val="5"/>
  </w:num>
  <w:num w:numId="9">
    <w:abstractNumId w:val="1"/>
  </w:num>
  <w:num w:numId="10">
    <w:abstractNumId w:val="8"/>
  </w:num>
  <w:num w:numId="11">
    <w:abstractNumId w:val="11"/>
  </w:num>
  <w:num w:numId="12">
    <w:abstractNumId w:val="4"/>
  </w:num>
  <w:num w:numId="13">
    <w:abstractNumId w:val="12"/>
  </w:num>
  <w:num w:numId="14">
    <w:abstractNumId w:val="3"/>
  </w:num>
  <w:num w:numId="15">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558"/>
    <w:rsid w:val="00007F7F"/>
    <w:rsid w:val="00022DB5"/>
    <w:rsid w:val="000403D1"/>
    <w:rsid w:val="000449AA"/>
    <w:rsid w:val="00050F6B"/>
    <w:rsid w:val="0005662A"/>
    <w:rsid w:val="00072C8C"/>
    <w:rsid w:val="00073E70"/>
    <w:rsid w:val="000876EB"/>
    <w:rsid w:val="00091419"/>
    <w:rsid w:val="000931C0"/>
    <w:rsid w:val="000B175B"/>
    <w:rsid w:val="000B2851"/>
    <w:rsid w:val="000B3A0F"/>
    <w:rsid w:val="000B4A3B"/>
    <w:rsid w:val="000C59D8"/>
    <w:rsid w:val="000D1851"/>
    <w:rsid w:val="000E0415"/>
    <w:rsid w:val="000F5126"/>
    <w:rsid w:val="00141AA1"/>
    <w:rsid w:val="00146D32"/>
    <w:rsid w:val="001509BA"/>
    <w:rsid w:val="001B0E8D"/>
    <w:rsid w:val="001B2C7C"/>
    <w:rsid w:val="001B4B04"/>
    <w:rsid w:val="001C6663"/>
    <w:rsid w:val="001C7895"/>
    <w:rsid w:val="001D26DF"/>
    <w:rsid w:val="001E2790"/>
    <w:rsid w:val="00211E0B"/>
    <w:rsid w:val="00211E72"/>
    <w:rsid w:val="00214047"/>
    <w:rsid w:val="0022130F"/>
    <w:rsid w:val="00237785"/>
    <w:rsid w:val="002410DD"/>
    <w:rsid w:val="00241466"/>
    <w:rsid w:val="00253D58"/>
    <w:rsid w:val="00254E2E"/>
    <w:rsid w:val="0027725F"/>
    <w:rsid w:val="002A7BAB"/>
    <w:rsid w:val="002C21F0"/>
    <w:rsid w:val="002C2558"/>
    <w:rsid w:val="002E0398"/>
    <w:rsid w:val="002F0433"/>
    <w:rsid w:val="002F0EF7"/>
    <w:rsid w:val="003107FA"/>
    <w:rsid w:val="003229D8"/>
    <w:rsid w:val="003314D1"/>
    <w:rsid w:val="00335A2F"/>
    <w:rsid w:val="00341937"/>
    <w:rsid w:val="0034568F"/>
    <w:rsid w:val="0039277A"/>
    <w:rsid w:val="003972E0"/>
    <w:rsid w:val="003975ED"/>
    <w:rsid w:val="003C2CC4"/>
    <w:rsid w:val="003D4B23"/>
    <w:rsid w:val="003E7ECD"/>
    <w:rsid w:val="00424C80"/>
    <w:rsid w:val="004325CB"/>
    <w:rsid w:val="0044503A"/>
    <w:rsid w:val="00446DE4"/>
    <w:rsid w:val="00447761"/>
    <w:rsid w:val="00451EC3"/>
    <w:rsid w:val="004721B1"/>
    <w:rsid w:val="004859EC"/>
    <w:rsid w:val="00496A15"/>
    <w:rsid w:val="004978E3"/>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611FC4"/>
    <w:rsid w:val="006176FB"/>
    <w:rsid w:val="00640B26"/>
    <w:rsid w:val="00655B60"/>
    <w:rsid w:val="00670741"/>
    <w:rsid w:val="006804A7"/>
    <w:rsid w:val="00696BD6"/>
    <w:rsid w:val="006A6B9D"/>
    <w:rsid w:val="006A7392"/>
    <w:rsid w:val="006B3189"/>
    <w:rsid w:val="006B7D65"/>
    <w:rsid w:val="006D6DA6"/>
    <w:rsid w:val="006E564B"/>
    <w:rsid w:val="006F13F0"/>
    <w:rsid w:val="006F5035"/>
    <w:rsid w:val="007065EB"/>
    <w:rsid w:val="00720183"/>
    <w:rsid w:val="0072632A"/>
    <w:rsid w:val="0074200B"/>
    <w:rsid w:val="007A6296"/>
    <w:rsid w:val="007A79E4"/>
    <w:rsid w:val="007B6BA5"/>
    <w:rsid w:val="007C1B62"/>
    <w:rsid w:val="007C3390"/>
    <w:rsid w:val="007C4F4B"/>
    <w:rsid w:val="007C7C4D"/>
    <w:rsid w:val="007D2CDC"/>
    <w:rsid w:val="007D5327"/>
    <w:rsid w:val="007F6611"/>
    <w:rsid w:val="008155C3"/>
    <w:rsid w:val="008175E9"/>
    <w:rsid w:val="0082243E"/>
    <w:rsid w:val="008242D7"/>
    <w:rsid w:val="00856CD2"/>
    <w:rsid w:val="00861BC6"/>
    <w:rsid w:val="00871FD5"/>
    <w:rsid w:val="00874085"/>
    <w:rsid w:val="008847BB"/>
    <w:rsid w:val="008979B1"/>
    <w:rsid w:val="008A6B25"/>
    <w:rsid w:val="008A6C4F"/>
    <w:rsid w:val="008B6F4B"/>
    <w:rsid w:val="008C1E4D"/>
    <w:rsid w:val="008C3F61"/>
    <w:rsid w:val="008E0E46"/>
    <w:rsid w:val="0090452C"/>
    <w:rsid w:val="00907C3F"/>
    <w:rsid w:val="0092237C"/>
    <w:rsid w:val="0093707B"/>
    <w:rsid w:val="009400EB"/>
    <w:rsid w:val="009427E3"/>
    <w:rsid w:val="00946575"/>
    <w:rsid w:val="00956D9B"/>
    <w:rsid w:val="00963CBA"/>
    <w:rsid w:val="00963DFC"/>
    <w:rsid w:val="009654B7"/>
    <w:rsid w:val="00991261"/>
    <w:rsid w:val="009A0B83"/>
    <w:rsid w:val="009B3800"/>
    <w:rsid w:val="009D04AE"/>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95B7F"/>
    <w:rsid w:val="00AC5AE2"/>
    <w:rsid w:val="00AD06C8"/>
    <w:rsid w:val="00AD09E9"/>
    <w:rsid w:val="00AF0576"/>
    <w:rsid w:val="00AF3829"/>
    <w:rsid w:val="00B037F0"/>
    <w:rsid w:val="00B2153C"/>
    <w:rsid w:val="00B2327D"/>
    <w:rsid w:val="00B2718F"/>
    <w:rsid w:val="00B30179"/>
    <w:rsid w:val="00B3317B"/>
    <w:rsid w:val="00B334DC"/>
    <w:rsid w:val="00B3631A"/>
    <w:rsid w:val="00B53013"/>
    <w:rsid w:val="00B67F5E"/>
    <w:rsid w:val="00B73E65"/>
    <w:rsid w:val="00B81E12"/>
    <w:rsid w:val="00B87110"/>
    <w:rsid w:val="00B97FA8"/>
    <w:rsid w:val="00BC1385"/>
    <w:rsid w:val="00BC5457"/>
    <w:rsid w:val="00BC74E9"/>
    <w:rsid w:val="00BE618E"/>
    <w:rsid w:val="00BE655C"/>
    <w:rsid w:val="00C217E7"/>
    <w:rsid w:val="00C24693"/>
    <w:rsid w:val="00C35F0B"/>
    <w:rsid w:val="00C463DD"/>
    <w:rsid w:val="00C64458"/>
    <w:rsid w:val="00C745C3"/>
    <w:rsid w:val="00CA2A58"/>
    <w:rsid w:val="00CB4ECE"/>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E3EC0"/>
    <w:rsid w:val="00E11593"/>
    <w:rsid w:val="00E12B6B"/>
    <w:rsid w:val="00E130AB"/>
    <w:rsid w:val="00E438D9"/>
    <w:rsid w:val="00E5644E"/>
    <w:rsid w:val="00E7260F"/>
    <w:rsid w:val="00E806EE"/>
    <w:rsid w:val="00E810CA"/>
    <w:rsid w:val="00E96630"/>
    <w:rsid w:val="00EB0FB9"/>
    <w:rsid w:val="00EB63CF"/>
    <w:rsid w:val="00EB643A"/>
    <w:rsid w:val="00ED0CA9"/>
    <w:rsid w:val="00ED7A2A"/>
    <w:rsid w:val="00EF1D7F"/>
    <w:rsid w:val="00EF5BDB"/>
    <w:rsid w:val="00F07FD9"/>
    <w:rsid w:val="00F23933"/>
    <w:rsid w:val="00F24119"/>
    <w:rsid w:val="00F40E75"/>
    <w:rsid w:val="00F42CD9"/>
    <w:rsid w:val="00F52936"/>
    <w:rsid w:val="00F54083"/>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4E9E00"/>
  <w15:docId w15:val="{B597E330-4D02-4499-A227-B455CAAB9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tref,Char Char,BVI fnr,BVI fnr Car Car,BVI fnr Car,BVI fnr Car Car Car Car,BVI fnr Car Car Car Car Char,Footnote text,Footnotes refss,Texto de nota al pie,Appel note de bas de page,Ref. de nota al pie.,fr,f,16 Point, Char Char"/>
    <w:basedOn w:val="DefaultParagraphFont"/>
    <w:link w:val="Char2"/>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Footnote Text Char1 Char Char,Footnote Text Char Char Char Char,Footnote Text Char1 Char Char Char Char,Footnote Text Char Char Char Char Char Char,Footnote Text Char Char1 Char Char,Footnote Text Char2 Char1,ft"/>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Footnote Text Char Char Char,Footnote Text Char1 Char Char Char,Footnote Text Char Char Char Char Char,Footnote Text Char1 Char Char Char Char Char,Footnote Text Char Char Char Char Char Char Char,ft Char"/>
    <w:basedOn w:val="DefaultParagraphFont"/>
    <w:link w:val="FootnoteText"/>
    <w:locked/>
    <w:rsid w:val="002C2558"/>
    <w:rPr>
      <w:sz w:val="18"/>
      <w:lang w:val="en-GB" w:eastAsia="en-US"/>
    </w:rPr>
  </w:style>
  <w:style w:type="paragraph" w:styleId="ListParagraph">
    <w:name w:val="List Paragraph"/>
    <w:basedOn w:val="Normal"/>
    <w:qFormat/>
    <w:rsid w:val="002C2558"/>
    <w:pPr>
      <w:ind w:left="720"/>
      <w:contextualSpacing/>
    </w:pPr>
  </w:style>
  <w:style w:type="paragraph" w:customStyle="1" w:styleId="Char2">
    <w:name w:val="Char2"/>
    <w:basedOn w:val="Normal"/>
    <w:link w:val="FootnoteReference"/>
    <w:rsid w:val="002C2558"/>
    <w:pPr>
      <w:suppressAutoHyphens w:val="0"/>
      <w:spacing w:after="160" w:line="240" w:lineRule="exact"/>
      <w:jc w:val="both"/>
    </w:pPr>
    <w:rPr>
      <w:sz w:val="18"/>
      <w:vertAlign w:val="superscript"/>
      <w:lang w:val="fr-FR" w:eastAsia="fr-FR"/>
    </w:rPr>
  </w:style>
  <w:style w:type="character" w:customStyle="1" w:styleId="None">
    <w:name w:val="None"/>
    <w:rsid w:val="002C2558"/>
  </w:style>
  <w:style w:type="character" w:customStyle="1" w:styleId="Hyperlink3">
    <w:name w:val="Hyperlink.3"/>
    <w:basedOn w:val="None"/>
    <w:rsid w:val="002C2558"/>
    <w:rPr>
      <w:sz w:val="20"/>
      <w:szCs w:val="20"/>
    </w:rPr>
  </w:style>
  <w:style w:type="character" w:styleId="CommentReference">
    <w:name w:val="annotation reference"/>
    <w:basedOn w:val="DefaultParagraphFont"/>
    <w:semiHidden/>
    <w:unhideWhenUsed/>
    <w:rsid w:val="0034568F"/>
    <w:rPr>
      <w:sz w:val="16"/>
      <w:szCs w:val="16"/>
    </w:rPr>
  </w:style>
  <w:style w:type="paragraph" w:styleId="CommentText">
    <w:name w:val="annotation text"/>
    <w:basedOn w:val="Normal"/>
    <w:link w:val="CommentTextChar"/>
    <w:semiHidden/>
    <w:unhideWhenUsed/>
    <w:rsid w:val="0034568F"/>
    <w:pPr>
      <w:spacing w:line="240" w:lineRule="auto"/>
    </w:pPr>
  </w:style>
  <w:style w:type="character" w:customStyle="1" w:styleId="CommentTextChar">
    <w:name w:val="Comment Text Char"/>
    <w:basedOn w:val="DefaultParagraphFont"/>
    <w:link w:val="CommentText"/>
    <w:semiHidden/>
    <w:rsid w:val="0034568F"/>
    <w:rPr>
      <w:lang w:val="en-GB" w:eastAsia="en-US"/>
    </w:rPr>
  </w:style>
  <w:style w:type="paragraph" w:styleId="CommentSubject">
    <w:name w:val="annotation subject"/>
    <w:basedOn w:val="CommentText"/>
    <w:next w:val="CommentText"/>
    <w:link w:val="CommentSubjectChar"/>
    <w:semiHidden/>
    <w:unhideWhenUsed/>
    <w:rsid w:val="0034568F"/>
    <w:rPr>
      <w:b/>
      <w:bCs/>
    </w:rPr>
  </w:style>
  <w:style w:type="character" w:customStyle="1" w:styleId="CommentSubjectChar">
    <w:name w:val="Comment Subject Char"/>
    <w:basedOn w:val="CommentTextChar"/>
    <w:link w:val="CommentSubject"/>
    <w:semiHidden/>
    <w:rsid w:val="0034568F"/>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s-lois.justice.gc.ca/eng/Const/page-15.html" TargetMode="External"/><Relationship Id="rId13" Type="http://schemas.openxmlformats.org/officeDocument/2006/relationships/hyperlink" Target="http://laws-lois.justice.gc.ca/eng/acts/C-46/page-290.html" TargetMode="External"/><Relationship Id="rId18" Type="http://schemas.openxmlformats.org/officeDocument/2006/relationships/hyperlink" Target="http://laws-lois.justice.gc.ca/eng/acts/I-5/INDEX.HTML"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laws-lois.justice.gc.ca/eng/acts/c-31.5/page-1.html" TargetMode="External"/><Relationship Id="rId17" Type="http://schemas.openxmlformats.org/officeDocument/2006/relationships/hyperlink" Target="https://www.justice.gc.ca/eng/rp-pr/cj-jp/fv-vf/fe-fa/p14.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justice.gc.ca/eng/rp-pr/cj-jp/fv-vf/fe-fa/p14.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ada.ca/en/canadian-heritage/services/human-rights-complaints/about.html%23a2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anlii.org/en/bc/laws/stat/sbc-2011-c-25/latest/sbc-2011-c-25.html" TargetMode="External"/><Relationship Id="rId23" Type="http://schemas.openxmlformats.org/officeDocument/2006/relationships/footer" Target="footer2.xml"/><Relationship Id="rId28" Type="http://schemas.openxmlformats.org/officeDocument/2006/relationships/customXml" Target="../customXml/item4.xml"/><Relationship Id="rId10" Type="http://schemas.openxmlformats.org/officeDocument/2006/relationships/hyperlink" Target="https://chrc-ccdp.gc.ca/eng/content/what-discrimination" TargetMode="External"/><Relationship Id="rId19" Type="http://schemas.openxmlformats.org/officeDocument/2006/relationships/hyperlink" Target="http://laws-lois.justice.gc.ca/eng/const/page-15.html" TargetMode="External"/><Relationship Id="rId4" Type="http://schemas.openxmlformats.org/officeDocument/2006/relationships/settings" Target="settings.xml"/><Relationship Id="rId9" Type="http://schemas.openxmlformats.org/officeDocument/2006/relationships/hyperlink" Target="https://www.chrc-ccdp.gc.ca/eng/content/what-harassment-1" TargetMode="External"/><Relationship Id="rId14" Type="http://schemas.openxmlformats.org/officeDocument/2006/relationships/hyperlink" Target="http://laws-lois.justice.gc.ca/eng/acts/C-46/page-402.html" TargetMode="External"/><Relationship Id="rId22" Type="http://schemas.openxmlformats.org/officeDocument/2006/relationships/footer" Target="footer1.xml"/><Relationship Id="rId27"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www.oci-bec.gc.ca/cnt/rpt/annrpt/annrpt20172018-eng.aspx%2523s6" TargetMode="External"/><Relationship Id="rId3" Type="http://schemas.openxmlformats.org/officeDocument/2006/relationships/hyperlink" Target="https://endvaw.ca/wp-content/uploads/2018/06/shelterVoices_ENG_2018_WEB.pdf" TargetMode="External"/><Relationship Id="rId7" Type="http://schemas.openxmlformats.org/officeDocument/2006/relationships/hyperlink" Target="http://www.chch.com/wp-content/uploads/2013/12/2013-1219-AshleySmithVerdict.pdf" TargetMode="External"/><Relationship Id="rId2" Type="http://schemas.openxmlformats.org/officeDocument/2006/relationships/hyperlink" Target="https://femicideincanada.ca/sites/default/files/2018-09/CFOJA%2520FINAL%2520REPORT%2520ENG%2520V3.pdf" TargetMode="External"/><Relationship Id="rId1" Type="http://schemas.openxmlformats.org/officeDocument/2006/relationships/hyperlink" Target="https://www150.statcan.gc.ca/n1/en/pub/85-002-x/2017001/article/54879-eng.pdf?st=b4CCeKMU" TargetMode="External"/><Relationship Id="rId6" Type="http://schemas.openxmlformats.org/officeDocument/2006/relationships/hyperlink" Target="http://www.oci-bec.gc.ca/cnt/rpt/pdf/annrpt/annrpt20162017-eng.pdf" TargetMode="External"/><Relationship Id="rId11" Type="http://schemas.openxmlformats.org/officeDocument/2006/relationships/hyperlink" Target="https://www.dawncanada.net" TargetMode="External"/><Relationship Id="rId5" Type="http://schemas.openxmlformats.org/officeDocument/2006/relationships/hyperlink" Target="https://www.canadianwomen.org/wp-content/uploads/2017/09/CWF-TraffickingReport-Auto-1_0.pdf" TargetMode="External"/><Relationship Id="rId10" Type="http://schemas.openxmlformats.org/officeDocument/2006/relationships/hyperlink" Target="https://www.cbc.ca/news/politics/tasker-ottawa-child-welfare-services-indigenous%25201.4927104?fbclid=IwAR0Zp8iWswGIlBZvPL1BJT96DOtwAknGTXOTAwzMYerZg3KfWIKifDT1X1k" TargetMode="External"/><Relationship Id="rId4" Type="http://schemas.openxmlformats.org/officeDocument/2006/relationships/hyperlink" Target="https://www150.statcan.gc.ca/n1/pub/85-002-x/2017001/article/14842-eng.htm" TargetMode="External"/><Relationship Id="rId9" Type="http://schemas.openxmlformats.org/officeDocument/2006/relationships/hyperlink" Target="https://www.canada.ca/en/indigenous-services-canada/services/first-nations-inuit-health/health-promotion/suicide-preventio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9293D9D-2462-4906-BE8B-B4EBDF7011DA}">
  <ds:schemaRefs>
    <ds:schemaRef ds:uri="http://schemas.openxmlformats.org/officeDocument/2006/bibliography"/>
  </ds:schemaRefs>
</ds:datastoreItem>
</file>

<file path=customXml/itemProps2.xml><?xml version="1.0" encoding="utf-8"?>
<ds:datastoreItem xmlns:ds="http://schemas.openxmlformats.org/officeDocument/2006/customXml" ds:itemID="{A1A1C937-9F74-4941-B629-F644A78C3165}"/>
</file>

<file path=customXml/itemProps3.xml><?xml version="1.0" encoding="utf-8"?>
<ds:datastoreItem xmlns:ds="http://schemas.openxmlformats.org/officeDocument/2006/customXml" ds:itemID="{F9E66343-3B7C-41D3-811F-CFE7B2DF0468}"/>
</file>

<file path=customXml/itemProps4.xml><?xml version="1.0" encoding="utf-8"?>
<ds:datastoreItem xmlns:ds="http://schemas.openxmlformats.org/officeDocument/2006/customXml" ds:itemID="{EC90AD30-CA53-42E4-BE65-321F5A4EA407}"/>
</file>

<file path=docProps/app.xml><?xml version="1.0" encoding="utf-8"?>
<Properties xmlns="http://schemas.openxmlformats.org/officeDocument/2006/extended-properties" xmlns:vt="http://schemas.openxmlformats.org/officeDocument/2006/docPropsVTypes">
  <Template>A_E.dotm</Template>
  <TotalTime>1</TotalTime>
  <Pages>20</Pages>
  <Words>10378</Words>
  <Characters>59159</Characters>
  <Application>Microsoft Office Word</Application>
  <DocSecurity>0</DocSecurity>
  <Lines>492</Lines>
  <Paragraphs>138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A/HRC/41/42/Add.1</vt:lpstr>
      <vt:lpstr/>
    </vt:vector>
  </TitlesOfParts>
  <Company>CSD</Company>
  <LinksUpToDate>false</LinksUpToDate>
  <CharactersWithSpaces>69399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A/HRC/41/42/Add.1</dc:title>
  <dc:creator>GONZALEZ PEREZ Mareel</dc:creator>
  <cp:lastModifiedBy>LANZ Veronique</cp:lastModifiedBy>
  <cp:revision>3</cp:revision>
  <cp:lastPrinted>2008-01-29T08:30:00Z</cp:lastPrinted>
  <dcterms:created xsi:type="dcterms:W3CDTF">2019-06-03T09:41:00Z</dcterms:created>
  <dcterms:modified xsi:type="dcterms:W3CDTF">2019-06-03T09:42:00Z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