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3EF24" w14:textId="39A8ACBB" w:rsidR="003A3D37" w:rsidRDefault="003A3D37" w:rsidP="2B00A2B0">
      <w:pPr>
        <w:jc w:val="center"/>
        <w:rPr>
          <w:b/>
          <w:bCs/>
          <w:sz w:val="28"/>
          <w:szCs w:val="28"/>
        </w:rPr>
      </w:pPr>
      <w:r>
        <w:rPr>
          <w:b/>
          <w:bCs/>
          <w:noProof/>
          <w:sz w:val="28"/>
          <w:szCs w:val="28"/>
        </w:rPr>
        <w:drawing>
          <wp:inline distT="0" distB="0" distL="0" distR="0" wp14:anchorId="16F749DE" wp14:editId="4490A9A8">
            <wp:extent cx="2352675" cy="88702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tes logo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6937" cy="907487"/>
                    </a:xfrm>
                    <a:prstGeom prst="rect">
                      <a:avLst/>
                    </a:prstGeom>
                  </pic:spPr>
                </pic:pic>
              </a:graphicData>
            </a:graphic>
          </wp:inline>
        </w:drawing>
      </w:r>
    </w:p>
    <w:p w14:paraId="2C078E63" w14:textId="57977302" w:rsidR="00E229EE" w:rsidRPr="003A3D37" w:rsidRDefault="33313E83" w:rsidP="2B00A2B0">
      <w:pPr>
        <w:jc w:val="center"/>
        <w:rPr>
          <w:b/>
          <w:bCs/>
          <w:sz w:val="28"/>
          <w:szCs w:val="28"/>
        </w:rPr>
      </w:pPr>
      <w:r w:rsidRPr="003A3D37">
        <w:rPr>
          <w:b/>
          <w:bCs/>
          <w:sz w:val="28"/>
          <w:szCs w:val="28"/>
        </w:rPr>
        <w:t>The Advocates for Human Rights</w:t>
      </w:r>
    </w:p>
    <w:p w14:paraId="73ED69C2" w14:textId="762231F7" w:rsidR="00533302" w:rsidRDefault="33313E83" w:rsidP="2B00A2B0">
      <w:pPr>
        <w:jc w:val="center"/>
        <w:rPr>
          <w:b/>
          <w:bCs/>
          <w:sz w:val="28"/>
          <w:szCs w:val="28"/>
        </w:rPr>
      </w:pPr>
      <w:r w:rsidRPr="003A3D37">
        <w:rPr>
          <w:b/>
          <w:bCs/>
          <w:sz w:val="28"/>
          <w:szCs w:val="28"/>
        </w:rPr>
        <w:t xml:space="preserve">Presentation </w:t>
      </w:r>
      <w:r w:rsidR="52CDA2F5" w:rsidRPr="003A3D37">
        <w:rPr>
          <w:b/>
          <w:bCs/>
          <w:sz w:val="28"/>
          <w:szCs w:val="28"/>
        </w:rPr>
        <w:t>for the Expert Group Meeting</w:t>
      </w:r>
      <w:r w:rsidR="00533302">
        <w:rPr>
          <w:b/>
          <w:bCs/>
          <w:sz w:val="28"/>
          <w:szCs w:val="28"/>
        </w:rPr>
        <w:t>: Report on rape as a grave and systematic human rights violation and gender-based violence against women</w:t>
      </w:r>
    </w:p>
    <w:p w14:paraId="0F27665C" w14:textId="4061685C" w:rsidR="33313E83" w:rsidRPr="003A3D37" w:rsidRDefault="52CDA2F5" w:rsidP="2B00A2B0">
      <w:pPr>
        <w:jc w:val="center"/>
        <w:rPr>
          <w:b/>
          <w:bCs/>
          <w:sz w:val="28"/>
          <w:szCs w:val="28"/>
        </w:rPr>
      </w:pPr>
      <w:r w:rsidRPr="003A3D37">
        <w:rPr>
          <w:b/>
          <w:bCs/>
          <w:sz w:val="28"/>
          <w:szCs w:val="28"/>
        </w:rPr>
        <w:t>May 27, 2020</w:t>
      </w:r>
    </w:p>
    <w:p w14:paraId="4CAD4CEC" w14:textId="03F15461" w:rsidR="2B00A2B0" w:rsidRPr="003A3D37" w:rsidRDefault="2B00A2B0" w:rsidP="2B00A2B0">
      <w:pPr>
        <w:rPr>
          <w:sz w:val="28"/>
          <w:szCs w:val="28"/>
        </w:rPr>
      </w:pPr>
    </w:p>
    <w:p w14:paraId="7D055BC6" w14:textId="540DF767" w:rsidR="52CDA2F5" w:rsidRPr="003A3D37" w:rsidRDefault="52CDA2F5" w:rsidP="2B00A2B0">
      <w:pPr>
        <w:rPr>
          <w:sz w:val="28"/>
          <w:szCs w:val="28"/>
        </w:rPr>
      </w:pPr>
      <w:r w:rsidRPr="003A3D37">
        <w:rPr>
          <w:sz w:val="28"/>
          <w:szCs w:val="28"/>
        </w:rPr>
        <w:t xml:space="preserve">The Advocates for Human Rights would like to thank the UN Special Rapporteur on Violence against Women for convening this </w:t>
      </w:r>
      <w:r w:rsidR="002A5702" w:rsidRPr="003A3D37">
        <w:rPr>
          <w:sz w:val="28"/>
          <w:szCs w:val="28"/>
        </w:rPr>
        <w:t>meeting</w:t>
      </w:r>
      <w:r w:rsidRPr="003A3D37">
        <w:rPr>
          <w:sz w:val="28"/>
          <w:szCs w:val="28"/>
        </w:rPr>
        <w:t xml:space="preserve"> and for her attention to </w:t>
      </w:r>
      <w:r w:rsidR="00A60BBC" w:rsidRPr="003A3D37">
        <w:rPr>
          <w:sz w:val="28"/>
          <w:szCs w:val="28"/>
        </w:rPr>
        <w:t>th</w:t>
      </w:r>
      <w:r w:rsidR="002A5702" w:rsidRPr="003A3D37">
        <w:rPr>
          <w:sz w:val="28"/>
          <w:szCs w:val="28"/>
        </w:rPr>
        <w:t>is</w:t>
      </w:r>
      <w:r w:rsidR="00A60BBC" w:rsidRPr="003A3D37">
        <w:rPr>
          <w:sz w:val="28"/>
          <w:szCs w:val="28"/>
        </w:rPr>
        <w:t xml:space="preserve"> important</w:t>
      </w:r>
      <w:r w:rsidRPr="003A3D37">
        <w:rPr>
          <w:sz w:val="28"/>
          <w:szCs w:val="28"/>
        </w:rPr>
        <w:t xml:space="preserve"> issue. </w:t>
      </w:r>
      <w:r w:rsidR="77284526" w:rsidRPr="003A3D37">
        <w:rPr>
          <w:sz w:val="28"/>
          <w:szCs w:val="28"/>
        </w:rPr>
        <w:t xml:space="preserve">We also extend our appreciation to Equality Now for its support of this meeting. </w:t>
      </w:r>
    </w:p>
    <w:p w14:paraId="3308B998" w14:textId="11AD3A6A" w:rsidR="77284526" w:rsidRPr="003A3D37" w:rsidRDefault="77284526" w:rsidP="2B00A2B0">
      <w:pPr>
        <w:rPr>
          <w:sz w:val="28"/>
          <w:szCs w:val="28"/>
        </w:rPr>
      </w:pPr>
      <w:r w:rsidRPr="003A3D37">
        <w:rPr>
          <w:sz w:val="28"/>
          <w:szCs w:val="28"/>
        </w:rPr>
        <w:t xml:space="preserve">When examining </w:t>
      </w:r>
      <w:r w:rsidR="2933A782" w:rsidRPr="003A3D37">
        <w:rPr>
          <w:sz w:val="28"/>
          <w:szCs w:val="28"/>
        </w:rPr>
        <w:t xml:space="preserve">standards, challenges and gaps in laws on rape, we submit that two points are essential to an effective criminal justice response: </w:t>
      </w:r>
      <w:r w:rsidR="004503CE" w:rsidRPr="003A3D37">
        <w:rPr>
          <w:sz w:val="28"/>
          <w:szCs w:val="28"/>
        </w:rPr>
        <w:t>First,</w:t>
      </w:r>
      <w:r w:rsidR="2933A782" w:rsidRPr="003A3D37">
        <w:rPr>
          <w:sz w:val="28"/>
          <w:szCs w:val="28"/>
        </w:rPr>
        <w:t xml:space="preserve"> laws </w:t>
      </w:r>
      <w:r w:rsidR="004503CE" w:rsidRPr="003A3D37">
        <w:rPr>
          <w:sz w:val="28"/>
          <w:szCs w:val="28"/>
        </w:rPr>
        <w:t xml:space="preserve">are </w:t>
      </w:r>
      <w:r w:rsidR="00A44B07" w:rsidRPr="003A3D37">
        <w:rPr>
          <w:sz w:val="28"/>
          <w:szCs w:val="28"/>
        </w:rPr>
        <w:t>an initial</w:t>
      </w:r>
      <w:r w:rsidR="004503CE" w:rsidRPr="003A3D37">
        <w:rPr>
          <w:sz w:val="28"/>
          <w:szCs w:val="28"/>
        </w:rPr>
        <w:t xml:space="preserve"> step</w:t>
      </w:r>
      <w:r w:rsidR="009C1B73" w:rsidRPr="003A3D37">
        <w:rPr>
          <w:sz w:val="28"/>
          <w:szCs w:val="28"/>
        </w:rPr>
        <w:t>,</w:t>
      </w:r>
      <w:r w:rsidR="2933A782" w:rsidRPr="003A3D37">
        <w:rPr>
          <w:sz w:val="28"/>
          <w:szCs w:val="28"/>
        </w:rPr>
        <w:t xml:space="preserve"> </w:t>
      </w:r>
      <w:r w:rsidR="00DE3A73" w:rsidRPr="003A3D37">
        <w:rPr>
          <w:sz w:val="28"/>
          <w:szCs w:val="28"/>
        </w:rPr>
        <w:t>but</w:t>
      </w:r>
      <w:r w:rsidR="009C1B73" w:rsidRPr="003A3D37">
        <w:rPr>
          <w:sz w:val="28"/>
          <w:szCs w:val="28"/>
        </w:rPr>
        <w:t xml:space="preserve"> they must</w:t>
      </w:r>
      <w:r w:rsidR="00DE3A73" w:rsidRPr="003A3D37">
        <w:rPr>
          <w:sz w:val="28"/>
          <w:szCs w:val="28"/>
        </w:rPr>
        <w:t xml:space="preserve"> also </w:t>
      </w:r>
      <w:r w:rsidR="2933A782" w:rsidRPr="003A3D37">
        <w:rPr>
          <w:sz w:val="28"/>
          <w:szCs w:val="28"/>
        </w:rPr>
        <w:t xml:space="preserve">be monitored and </w:t>
      </w:r>
      <w:r w:rsidR="00DE3A73" w:rsidRPr="003A3D37">
        <w:rPr>
          <w:sz w:val="28"/>
          <w:szCs w:val="28"/>
        </w:rPr>
        <w:t>reformed</w:t>
      </w:r>
      <w:r w:rsidR="2933A782" w:rsidRPr="003A3D37">
        <w:rPr>
          <w:sz w:val="28"/>
          <w:szCs w:val="28"/>
        </w:rPr>
        <w:t xml:space="preserve"> </w:t>
      </w:r>
      <w:r w:rsidR="002A5702" w:rsidRPr="003A3D37">
        <w:rPr>
          <w:sz w:val="28"/>
          <w:szCs w:val="28"/>
        </w:rPr>
        <w:t>in</w:t>
      </w:r>
      <w:r w:rsidR="2933A782" w:rsidRPr="003A3D37">
        <w:rPr>
          <w:sz w:val="28"/>
          <w:szCs w:val="28"/>
        </w:rPr>
        <w:t xml:space="preserve"> respon</w:t>
      </w:r>
      <w:r w:rsidR="009C1B73" w:rsidRPr="003A3D37">
        <w:rPr>
          <w:sz w:val="28"/>
          <w:szCs w:val="28"/>
        </w:rPr>
        <w:t>se</w:t>
      </w:r>
      <w:r w:rsidR="2933A782" w:rsidRPr="003A3D37">
        <w:rPr>
          <w:sz w:val="28"/>
          <w:szCs w:val="28"/>
        </w:rPr>
        <w:t xml:space="preserve"> to victims’ needs and </w:t>
      </w:r>
      <w:r w:rsidR="7997516E" w:rsidRPr="003A3D37">
        <w:rPr>
          <w:sz w:val="28"/>
          <w:szCs w:val="28"/>
        </w:rPr>
        <w:t>unintended consequences</w:t>
      </w:r>
      <w:r w:rsidR="004503CE" w:rsidRPr="003A3D37">
        <w:rPr>
          <w:sz w:val="28"/>
          <w:szCs w:val="28"/>
        </w:rPr>
        <w:t>. Second,</w:t>
      </w:r>
      <w:r w:rsidR="7997516E" w:rsidRPr="003A3D37">
        <w:rPr>
          <w:sz w:val="28"/>
          <w:szCs w:val="28"/>
        </w:rPr>
        <w:t xml:space="preserve"> effective implementation require</w:t>
      </w:r>
      <w:r w:rsidR="002A5702" w:rsidRPr="003A3D37">
        <w:rPr>
          <w:sz w:val="28"/>
          <w:szCs w:val="28"/>
        </w:rPr>
        <w:t>s</w:t>
      </w:r>
      <w:r w:rsidR="7997516E" w:rsidRPr="003A3D37">
        <w:rPr>
          <w:sz w:val="28"/>
          <w:szCs w:val="28"/>
        </w:rPr>
        <w:t xml:space="preserve"> strong responses by all community actors. </w:t>
      </w:r>
    </w:p>
    <w:p w14:paraId="7AA1F18D" w14:textId="6D3089A9" w:rsidR="2B00A2B0" w:rsidRPr="003A3D37" w:rsidRDefault="003A60DD" w:rsidP="2B00A2B0">
      <w:pPr>
        <w:rPr>
          <w:b/>
          <w:bCs/>
          <w:sz w:val="28"/>
          <w:szCs w:val="28"/>
        </w:rPr>
      </w:pPr>
      <w:r w:rsidRPr="003A3D37">
        <w:rPr>
          <w:b/>
          <w:bCs/>
          <w:sz w:val="28"/>
          <w:szCs w:val="28"/>
        </w:rPr>
        <w:t>Statutes</w:t>
      </w:r>
    </w:p>
    <w:p w14:paraId="1C7DB153" w14:textId="734B049C" w:rsidR="7997516E" w:rsidRPr="003A3D37" w:rsidRDefault="7997516E" w:rsidP="2B00A2B0">
      <w:pPr>
        <w:rPr>
          <w:sz w:val="28"/>
          <w:szCs w:val="28"/>
        </w:rPr>
      </w:pPr>
      <w:proofErr w:type="gramStart"/>
      <w:r w:rsidRPr="003A3D37">
        <w:rPr>
          <w:sz w:val="28"/>
          <w:szCs w:val="28"/>
        </w:rPr>
        <w:t>With regard to</w:t>
      </w:r>
      <w:proofErr w:type="gramEnd"/>
      <w:r w:rsidRPr="003A3D37">
        <w:rPr>
          <w:sz w:val="28"/>
          <w:szCs w:val="28"/>
        </w:rPr>
        <w:t xml:space="preserve"> </w:t>
      </w:r>
      <w:r w:rsidR="003241CE" w:rsidRPr="003A3D37">
        <w:rPr>
          <w:sz w:val="28"/>
          <w:szCs w:val="28"/>
        </w:rPr>
        <w:t>laws</w:t>
      </w:r>
      <w:r w:rsidRPr="003A3D37">
        <w:rPr>
          <w:sz w:val="28"/>
          <w:szCs w:val="28"/>
        </w:rPr>
        <w:t>, The Advocates</w:t>
      </w:r>
      <w:r w:rsidR="004503CE" w:rsidRPr="003A3D37">
        <w:rPr>
          <w:sz w:val="28"/>
          <w:szCs w:val="28"/>
        </w:rPr>
        <w:t>’</w:t>
      </w:r>
      <w:r w:rsidRPr="003A3D37">
        <w:rPr>
          <w:sz w:val="28"/>
          <w:szCs w:val="28"/>
        </w:rPr>
        <w:t xml:space="preserve"> </w:t>
      </w:r>
      <w:r w:rsidR="009C1B73" w:rsidRPr="003A3D37">
        <w:rPr>
          <w:sz w:val="28"/>
          <w:szCs w:val="28"/>
        </w:rPr>
        <w:t xml:space="preserve">written </w:t>
      </w:r>
      <w:r w:rsidRPr="003A3D37">
        <w:rPr>
          <w:sz w:val="28"/>
          <w:szCs w:val="28"/>
        </w:rPr>
        <w:t>submission describes Minnesota</w:t>
      </w:r>
      <w:r w:rsidR="003241CE" w:rsidRPr="003A3D37">
        <w:rPr>
          <w:sz w:val="28"/>
          <w:szCs w:val="28"/>
        </w:rPr>
        <w:t xml:space="preserve"> statutes</w:t>
      </w:r>
      <w:r w:rsidRPr="003A3D37">
        <w:rPr>
          <w:sz w:val="28"/>
          <w:szCs w:val="28"/>
        </w:rPr>
        <w:t xml:space="preserve"> on sexual assault. I would like to highlight a few key points from our law:</w:t>
      </w:r>
    </w:p>
    <w:p w14:paraId="0203B027" w14:textId="14B0C281" w:rsidR="004B53C9" w:rsidRPr="003A3D37" w:rsidRDefault="00C3446E" w:rsidP="73A02D76">
      <w:pPr>
        <w:pStyle w:val="ListParagraph"/>
        <w:numPr>
          <w:ilvl w:val="0"/>
          <w:numId w:val="1"/>
        </w:numPr>
        <w:rPr>
          <w:rFonts w:eastAsiaTheme="minorEastAsia"/>
          <w:sz w:val="28"/>
          <w:szCs w:val="28"/>
        </w:rPr>
      </w:pPr>
      <w:r w:rsidRPr="003A3D37">
        <w:rPr>
          <w:rFonts w:eastAsiaTheme="minorEastAsia"/>
          <w:sz w:val="28"/>
          <w:szCs w:val="28"/>
        </w:rPr>
        <w:t xml:space="preserve">First, </w:t>
      </w:r>
      <w:r w:rsidR="004B53C9" w:rsidRPr="003A3D37">
        <w:rPr>
          <w:rFonts w:eastAsiaTheme="minorEastAsia"/>
          <w:sz w:val="28"/>
          <w:szCs w:val="28"/>
        </w:rPr>
        <w:t xml:space="preserve">the law should criminalize nonconsensual penetration without regard to the use of force or coercion. </w:t>
      </w:r>
      <w:r w:rsidR="00BA6E6D" w:rsidRPr="003A3D37">
        <w:rPr>
          <w:rFonts w:eastAsiaTheme="minorEastAsia"/>
          <w:sz w:val="28"/>
          <w:szCs w:val="28"/>
        </w:rPr>
        <w:t>We are seeing numerous countries amend their laws to comply with</w:t>
      </w:r>
      <w:r w:rsidR="00721B8A" w:rsidRPr="003A3D37">
        <w:rPr>
          <w:rFonts w:eastAsiaTheme="minorEastAsia"/>
          <w:sz w:val="28"/>
          <w:szCs w:val="28"/>
        </w:rPr>
        <w:t xml:space="preserve"> international</w:t>
      </w:r>
      <w:r w:rsidR="00BA6E6D" w:rsidRPr="003A3D37">
        <w:rPr>
          <w:rFonts w:eastAsiaTheme="minorEastAsia"/>
          <w:sz w:val="28"/>
          <w:szCs w:val="28"/>
        </w:rPr>
        <w:t xml:space="preserve"> standards and as they ratify the Istanbul Convention.</w:t>
      </w:r>
      <w:r w:rsidR="004B53C9" w:rsidRPr="003A3D37">
        <w:rPr>
          <w:rFonts w:eastAsiaTheme="minorEastAsia"/>
          <w:sz w:val="28"/>
          <w:szCs w:val="28"/>
        </w:rPr>
        <w:t xml:space="preserve"> Force is </w:t>
      </w:r>
      <w:r w:rsidR="004B53C9" w:rsidRPr="003A3D37">
        <w:rPr>
          <w:rFonts w:eastAsiaTheme="minorEastAsia"/>
          <w:i/>
          <w:iCs/>
          <w:sz w:val="28"/>
          <w:szCs w:val="28"/>
        </w:rPr>
        <w:t>inherent</w:t>
      </w:r>
      <w:r w:rsidR="004B53C9" w:rsidRPr="003A3D37">
        <w:rPr>
          <w:rFonts w:eastAsiaTheme="minorEastAsia"/>
          <w:sz w:val="28"/>
          <w:szCs w:val="28"/>
        </w:rPr>
        <w:t xml:space="preserve"> in imposing unwilling sexual penetration, and any use of additional forcible, threatening, or coercive measures should be considered an </w:t>
      </w:r>
      <w:r w:rsidR="004B53C9" w:rsidRPr="003A3D37">
        <w:rPr>
          <w:rFonts w:eastAsiaTheme="minorEastAsia"/>
          <w:i/>
          <w:iCs/>
          <w:sz w:val="28"/>
          <w:szCs w:val="28"/>
        </w:rPr>
        <w:t>aggravating factor</w:t>
      </w:r>
      <w:r w:rsidR="004B53C9" w:rsidRPr="003A3D37">
        <w:rPr>
          <w:rFonts w:eastAsiaTheme="minorEastAsia"/>
          <w:sz w:val="28"/>
          <w:szCs w:val="28"/>
        </w:rPr>
        <w:t xml:space="preserve"> over and above the nonconsensual act.</w:t>
      </w:r>
    </w:p>
    <w:p w14:paraId="766F80FF" w14:textId="4C68688E" w:rsidR="008C0E51" w:rsidRPr="003A3D37" w:rsidRDefault="00721B8A" w:rsidP="135624A3">
      <w:pPr>
        <w:pStyle w:val="ListParagraph"/>
        <w:numPr>
          <w:ilvl w:val="1"/>
          <w:numId w:val="1"/>
        </w:numPr>
        <w:rPr>
          <w:rFonts w:eastAsiaTheme="minorEastAsia"/>
          <w:sz w:val="28"/>
          <w:szCs w:val="28"/>
        </w:rPr>
      </w:pPr>
      <w:r w:rsidRPr="003A3D37">
        <w:rPr>
          <w:rFonts w:eastAsiaTheme="minorEastAsia"/>
          <w:sz w:val="28"/>
          <w:szCs w:val="28"/>
        </w:rPr>
        <w:t>Our</w:t>
      </w:r>
      <w:r w:rsidR="008C0E51" w:rsidRPr="003A3D37">
        <w:rPr>
          <w:rFonts w:eastAsiaTheme="minorEastAsia"/>
          <w:sz w:val="28"/>
          <w:szCs w:val="28"/>
        </w:rPr>
        <w:t xml:space="preserve"> attorney reviewed hundreds of police reports – she found that 25% of people report</w:t>
      </w:r>
      <w:r w:rsidR="00BA6E6D" w:rsidRPr="003A3D37">
        <w:rPr>
          <w:rFonts w:eastAsiaTheme="minorEastAsia"/>
          <w:sz w:val="28"/>
          <w:szCs w:val="28"/>
        </w:rPr>
        <w:t>ing did not agree to the sexual contact that occurred. But, at the same time</w:t>
      </w:r>
      <w:r w:rsidR="00AE5947" w:rsidRPr="003A3D37">
        <w:rPr>
          <w:rFonts w:eastAsiaTheme="minorEastAsia"/>
          <w:sz w:val="28"/>
          <w:szCs w:val="28"/>
        </w:rPr>
        <w:t xml:space="preserve"> </w:t>
      </w:r>
      <w:r w:rsidRPr="003A3D37">
        <w:rPr>
          <w:rFonts w:eastAsiaTheme="minorEastAsia"/>
          <w:sz w:val="28"/>
          <w:szCs w:val="28"/>
        </w:rPr>
        <w:t>(</w:t>
      </w:r>
      <w:r w:rsidR="00AE5947" w:rsidRPr="003A3D37">
        <w:rPr>
          <w:rFonts w:eastAsiaTheme="minorEastAsia"/>
          <w:sz w:val="28"/>
          <w:szCs w:val="28"/>
        </w:rPr>
        <w:t>in those cases</w:t>
      </w:r>
      <w:r w:rsidRPr="003A3D37">
        <w:rPr>
          <w:rFonts w:eastAsiaTheme="minorEastAsia"/>
          <w:sz w:val="28"/>
          <w:szCs w:val="28"/>
        </w:rPr>
        <w:t>)</w:t>
      </w:r>
      <w:r w:rsidR="00BA6E6D" w:rsidRPr="003A3D37">
        <w:rPr>
          <w:rFonts w:eastAsiaTheme="minorEastAsia"/>
          <w:sz w:val="28"/>
          <w:szCs w:val="28"/>
        </w:rPr>
        <w:t xml:space="preserve">, the offender </w:t>
      </w:r>
      <w:r w:rsidR="00320567" w:rsidRPr="003A3D37">
        <w:rPr>
          <w:rFonts w:eastAsiaTheme="minorEastAsia"/>
          <w:sz w:val="28"/>
          <w:szCs w:val="28"/>
        </w:rPr>
        <w:t>was</w:t>
      </w:r>
      <w:r w:rsidR="00611E1B" w:rsidRPr="003A3D37">
        <w:rPr>
          <w:rFonts w:eastAsiaTheme="minorEastAsia"/>
          <w:sz w:val="28"/>
          <w:szCs w:val="28"/>
        </w:rPr>
        <w:t xml:space="preserve"> </w:t>
      </w:r>
      <w:r w:rsidR="00611E1B" w:rsidRPr="003A3D37">
        <w:rPr>
          <w:rFonts w:eastAsiaTheme="minorEastAsia"/>
          <w:sz w:val="28"/>
          <w:szCs w:val="28"/>
        </w:rPr>
        <w:lastRenderedPageBreak/>
        <w:t>also</w:t>
      </w:r>
      <w:r w:rsidR="00320567" w:rsidRPr="003A3D37">
        <w:rPr>
          <w:rFonts w:eastAsiaTheme="minorEastAsia"/>
          <w:sz w:val="28"/>
          <w:szCs w:val="28"/>
        </w:rPr>
        <w:t xml:space="preserve"> not using</w:t>
      </w:r>
      <w:r w:rsidR="00BA6E6D" w:rsidRPr="003A3D37">
        <w:rPr>
          <w:rFonts w:eastAsiaTheme="minorEastAsia"/>
          <w:sz w:val="28"/>
          <w:szCs w:val="28"/>
        </w:rPr>
        <w:t xml:space="preserve"> actions that would meet a definition of force or coercion. It is crucial </w:t>
      </w:r>
      <w:r w:rsidR="00AE5947" w:rsidRPr="003A3D37">
        <w:rPr>
          <w:rFonts w:eastAsiaTheme="minorEastAsia"/>
          <w:sz w:val="28"/>
          <w:szCs w:val="28"/>
        </w:rPr>
        <w:t>that laws reflect what we know: it</w:t>
      </w:r>
      <w:r w:rsidR="00BA6E6D" w:rsidRPr="003A3D37">
        <w:rPr>
          <w:rFonts w:eastAsiaTheme="minorEastAsia"/>
          <w:sz w:val="28"/>
          <w:szCs w:val="28"/>
        </w:rPr>
        <w:t xml:space="preserve"> does not take </w:t>
      </w:r>
      <w:r w:rsidR="00C770BF" w:rsidRPr="003A3D37">
        <w:rPr>
          <w:rFonts w:eastAsiaTheme="minorEastAsia"/>
          <w:sz w:val="28"/>
          <w:szCs w:val="28"/>
        </w:rPr>
        <w:t xml:space="preserve">physical force to pressure someone into complying with sexual conduct that they </w:t>
      </w:r>
      <w:proofErr w:type="gramStart"/>
      <w:r w:rsidR="00C770BF" w:rsidRPr="003A3D37">
        <w:rPr>
          <w:rFonts w:eastAsiaTheme="minorEastAsia"/>
          <w:sz w:val="28"/>
          <w:szCs w:val="28"/>
        </w:rPr>
        <w:t>don’t</w:t>
      </w:r>
      <w:proofErr w:type="gramEnd"/>
      <w:r w:rsidR="00C770BF" w:rsidRPr="003A3D37">
        <w:rPr>
          <w:rFonts w:eastAsiaTheme="minorEastAsia"/>
          <w:sz w:val="28"/>
          <w:szCs w:val="28"/>
        </w:rPr>
        <w:t xml:space="preserve"> want. </w:t>
      </w:r>
      <w:r w:rsidR="00A63E23" w:rsidRPr="003A3D37">
        <w:rPr>
          <w:rFonts w:eastAsiaTheme="minorEastAsia"/>
          <w:sz w:val="28"/>
          <w:szCs w:val="28"/>
        </w:rPr>
        <w:t>Traumatic freezing is common</w:t>
      </w:r>
      <w:r w:rsidRPr="003A3D37">
        <w:rPr>
          <w:rFonts w:eastAsiaTheme="minorEastAsia"/>
          <w:sz w:val="28"/>
          <w:szCs w:val="28"/>
        </w:rPr>
        <w:t xml:space="preserve"> in these cases</w:t>
      </w:r>
      <w:r w:rsidR="00A63E23" w:rsidRPr="003A3D37">
        <w:rPr>
          <w:rFonts w:eastAsiaTheme="minorEastAsia"/>
          <w:sz w:val="28"/>
          <w:szCs w:val="28"/>
        </w:rPr>
        <w:t xml:space="preserve">. </w:t>
      </w:r>
      <w:r w:rsidR="00C770BF" w:rsidRPr="003A3D37">
        <w:rPr>
          <w:rFonts w:eastAsiaTheme="minorEastAsia"/>
          <w:sz w:val="28"/>
          <w:szCs w:val="28"/>
        </w:rPr>
        <w:t>When someone is surprised by an individual who is</w:t>
      </w:r>
      <w:r w:rsidR="00E438C7" w:rsidRPr="003A3D37">
        <w:rPr>
          <w:rFonts w:eastAsiaTheme="minorEastAsia"/>
          <w:sz w:val="28"/>
          <w:szCs w:val="28"/>
        </w:rPr>
        <w:t xml:space="preserve"> initiating unwanted sexual conduct, intimidating the victim, or </w:t>
      </w:r>
      <w:r w:rsidR="004F625F" w:rsidRPr="003A3D37">
        <w:rPr>
          <w:rFonts w:eastAsiaTheme="minorEastAsia"/>
          <w:sz w:val="28"/>
          <w:szCs w:val="28"/>
        </w:rPr>
        <w:t>removing their clothing</w:t>
      </w:r>
      <w:r w:rsidR="00C770BF" w:rsidRPr="003A3D37">
        <w:rPr>
          <w:rFonts w:eastAsiaTheme="minorEastAsia"/>
          <w:sz w:val="28"/>
          <w:szCs w:val="28"/>
        </w:rPr>
        <w:t xml:space="preserve">, </w:t>
      </w:r>
      <w:r w:rsidR="00270A7A" w:rsidRPr="003A3D37">
        <w:rPr>
          <w:rFonts w:eastAsiaTheme="minorEastAsia"/>
          <w:sz w:val="28"/>
          <w:szCs w:val="28"/>
        </w:rPr>
        <w:t>that person</w:t>
      </w:r>
      <w:r w:rsidR="00C770BF" w:rsidRPr="003A3D37">
        <w:rPr>
          <w:rFonts w:eastAsiaTheme="minorEastAsia"/>
          <w:sz w:val="28"/>
          <w:szCs w:val="28"/>
        </w:rPr>
        <w:t xml:space="preserve"> will</w:t>
      </w:r>
      <w:r w:rsidR="70037723" w:rsidRPr="003A3D37">
        <w:rPr>
          <w:rFonts w:eastAsiaTheme="minorEastAsia"/>
          <w:sz w:val="28"/>
          <w:szCs w:val="28"/>
        </w:rPr>
        <w:t xml:space="preserve"> frequently</w:t>
      </w:r>
      <w:r w:rsidR="00C770BF" w:rsidRPr="003A3D37">
        <w:rPr>
          <w:rFonts w:eastAsiaTheme="minorEastAsia"/>
          <w:sz w:val="28"/>
          <w:szCs w:val="28"/>
        </w:rPr>
        <w:t xml:space="preserve"> freeze. </w:t>
      </w:r>
      <w:proofErr w:type="gramStart"/>
      <w:r w:rsidR="0026023E" w:rsidRPr="003A3D37">
        <w:rPr>
          <w:rFonts w:eastAsiaTheme="minorEastAsia"/>
          <w:sz w:val="28"/>
          <w:szCs w:val="28"/>
        </w:rPr>
        <w:t>So</w:t>
      </w:r>
      <w:proofErr w:type="gramEnd"/>
      <w:r w:rsidR="0026023E" w:rsidRPr="003A3D37">
        <w:rPr>
          <w:rFonts w:eastAsiaTheme="minorEastAsia"/>
          <w:sz w:val="28"/>
          <w:szCs w:val="28"/>
        </w:rPr>
        <w:t xml:space="preserve"> we must reiterate </w:t>
      </w:r>
      <w:r w:rsidR="001226DD" w:rsidRPr="003A3D37">
        <w:rPr>
          <w:rFonts w:eastAsiaTheme="minorEastAsia"/>
          <w:sz w:val="28"/>
          <w:szCs w:val="28"/>
        </w:rPr>
        <w:t xml:space="preserve">through our laws and </w:t>
      </w:r>
      <w:r w:rsidR="0026023E" w:rsidRPr="003A3D37">
        <w:rPr>
          <w:rFonts w:eastAsiaTheme="minorEastAsia"/>
          <w:sz w:val="28"/>
          <w:szCs w:val="28"/>
        </w:rPr>
        <w:t>to justice system personnel that failure to resist is NOT consent</w:t>
      </w:r>
      <w:r w:rsidR="003A60DD" w:rsidRPr="003A3D37">
        <w:rPr>
          <w:rFonts w:eastAsiaTheme="minorEastAsia"/>
          <w:sz w:val="28"/>
          <w:szCs w:val="28"/>
        </w:rPr>
        <w:t xml:space="preserve">. </w:t>
      </w:r>
    </w:p>
    <w:p w14:paraId="755E427F" w14:textId="52157816" w:rsidR="00B0028B" w:rsidRPr="003A3D37" w:rsidRDefault="004B53C9" w:rsidP="73A02D76">
      <w:pPr>
        <w:pStyle w:val="ListParagraph"/>
        <w:numPr>
          <w:ilvl w:val="0"/>
          <w:numId w:val="1"/>
        </w:numPr>
        <w:rPr>
          <w:rFonts w:eastAsiaTheme="minorEastAsia"/>
          <w:sz w:val="28"/>
          <w:szCs w:val="28"/>
        </w:rPr>
      </w:pPr>
      <w:r w:rsidRPr="003A3D37">
        <w:rPr>
          <w:rFonts w:eastAsiaTheme="minorEastAsia"/>
          <w:sz w:val="28"/>
          <w:szCs w:val="28"/>
        </w:rPr>
        <w:t xml:space="preserve">Second, </w:t>
      </w:r>
      <w:r w:rsidR="00145676" w:rsidRPr="003A3D37">
        <w:rPr>
          <w:rFonts w:eastAsiaTheme="minorEastAsia"/>
          <w:sz w:val="28"/>
          <w:szCs w:val="28"/>
        </w:rPr>
        <w:t>I want to highlight that</w:t>
      </w:r>
      <w:r w:rsidR="000B0C85" w:rsidRPr="003A3D37">
        <w:rPr>
          <w:rFonts w:eastAsiaTheme="minorEastAsia"/>
          <w:sz w:val="28"/>
          <w:szCs w:val="28"/>
        </w:rPr>
        <w:t xml:space="preserve"> </w:t>
      </w:r>
      <w:r w:rsidR="000F5AA9" w:rsidRPr="003A3D37">
        <w:rPr>
          <w:rFonts w:eastAsiaTheme="minorEastAsia"/>
          <w:sz w:val="28"/>
          <w:szCs w:val="28"/>
        </w:rPr>
        <w:t>Minnesota law</w:t>
      </w:r>
      <w:r w:rsidR="000B0C85" w:rsidRPr="003A3D37">
        <w:rPr>
          <w:rFonts w:eastAsiaTheme="minorEastAsia"/>
          <w:sz w:val="28"/>
          <w:szCs w:val="28"/>
        </w:rPr>
        <w:t xml:space="preserve"> </w:t>
      </w:r>
      <w:r w:rsidR="000F5AA9" w:rsidRPr="003A3D37">
        <w:rPr>
          <w:rFonts w:eastAsiaTheme="minorEastAsia"/>
          <w:sz w:val="28"/>
          <w:szCs w:val="28"/>
        </w:rPr>
        <w:t>prohibits a number of sexual relationships based on the professional identity of the perpetrator</w:t>
      </w:r>
      <w:r w:rsidR="00B0028B" w:rsidRPr="003A3D37">
        <w:rPr>
          <w:rFonts w:eastAsiaTheme="minorEastAsia"/>
          <w:sz w:val="28"/>
          <w:szCs w:val="28"/>
        </w:rPr>
        <w:t>—these can</w:t>
      </w:r>
      <w:r w:rsidR="000F5AA9" w:rsidRPr="003A3D37">
        <w:rPr>
          <w:rFonts w:eastAsiaTheme="minorEastAsia"/>
          <w:sz w:val="28"/>
          <w:szCs w:val="28"/>
        </w:rPr>
        <w:t xml:space="preserve"> include a psychotherapist, a clergy, a corrections guard, a police officer, a bus driver for individuals </w:t>
      </w:r>
      <w:r w:rsidR="008319B6" w:rsidRPr="003A3D37">
        <w:rPr>
          <w:rFonts w:eastAsiaTheme="minorEastAsia"/>
          <w:sz w:val="28"/>
          <w:szCs w:val="28"/>
        </w:rPr>
        <w:t xml:space="preserve">living </w:t>
      </w:r>
      <w:r w:rsidR="000F5AA9" w:rsidRPr="003A3D37">
        <w:rPr>
          <w:rFonts w:eastAsiaTheme="minorEastAsia"/>
          <w:sz w:val="28"/>
          <w:szCs w:val="28"/>
        </w:rPr>
        <w:t xml:space="preserve">with disabilities, a physician, and a massage therapist. In </w:t>
      </w:r>
      <w:r w:rsidR="00145676" w:rsidRPr="003A3D37">
        <w:rPr>
          <w:rFonts w:eastAsiaTheme="minorEastAsia"/>
          <w:sz w:val="28"/>
          <w:szCs w:val="28"/>
        </w:rPr>
        <w:t>these</w:t>
      </w:r>
      <w:r w:rsidR="000F5AA9" w:rsidRPr="003A3D37">
        <w:rPr>
          <w:rFonts w:eastAsiaTheme="minorEastAsia"/>
          <w:sz w:val="28"/>
          <w:szCs w:val="28"/>
        </w:rPr>
        <w:t xml:space="preserve"> cases, consent by the victim is not relevant.</w:t>
      </w:r>
      <w:r w:rsidR="00100339" w:rsidRPr="003A3D37">
        <w:rPr>
          <w:rFonts w:eastAsiaTheme="minorEastAsia"/>
          <w:sz w:val="28"/>
          <w:szCs w:val="28"/>
        </w:rPr>
        <w:t xml:space="preserve"> </w:t>
      </w:r>
    </w:p>
    <w:p w14:paraId="76B7CF2D" w14:textId="1E21E769" w:rsidR="00591050" w:rsidRPr="003A3D37" w:rsidRDefault="00226C5A" w:rsidP="135624A3">
      <w:pPr>
        <w:pStyle w:val="ListParagraph"/>
        <w:numPr>
          <w:ilvl w:val="1"/>
          <w:numId w:val="1"/>
        </w:numPr>
        <w:rPr>
          <w:rFonts w:eastAsiaTheme="minorEastAsia"/>
          <w:sz w:val="28"/>
          <w:szCs w:val="28"/>
        </w:rPr>
      </w:pPr>
      <w:r w:rsidRPr="003A3D37">
        <w:rPr>
          <w:rFonts w:eastAsiaTheme="minorEastAsia"/>
          <w:sz w:val="28"/>
          <w:szCs w:val="28"/>
        </w:rPr>
        <w:t xml:space="preserve">Currently, teacher-student relations are only prohibited if </w:t>
      </w:r>
      <w:r w:rsidR="00B0028B" w:rsidRPr="003A3D37">
        <w:rPr>
          <w:rFonts w:eastAsiaTheme="minorEastAsia"/>
          <w:sz w:val="28"/>
          <w:szCs w:val="28"/>
        </w:rPr>
        <w:t>•</w:t>
      </w:r>
      <w:r w:rsidRPr="003A3D37">
        <w:rPr>
          <w:rFonts w:eastAsiaTheme="minorEastAsia"/>
          <w:sz w:val="28"/>
          <w:szCs w:val="28"/>
        </w:rPr>
        <w:t>the teacher is in a position of authorit</w:t>
      </w:r>
      <w:r w:rsidR="008319B6" w:rsidRPr="003A3D37">
        <w:rPr>
          <w:rFonts w:eastAsiaTheme="minorEastAsia"/>
          <w:sz w:val="28"/>
          <w:szCs w:val="28"/>
        </w:rPr>
        <w:t>y</w:t>
      </w:r>
      <w:r w:rsidRPr="003A3D37">
        <w:rPr>
          <w:rFonts w:eastAsiaTheme="minorEastAsia"/>
          <w:sz w:val="28"/>
          <w:szCs w:val="28"/>
        </w:rPr>
        <w:t xml:space="preserve"> and </w:t>
      </w:r>
      <w:r w:rsidR="00B0028B" w:rsidRPr="003A3D37">
        <w:rPr>
          <w:rFonts w:eastAsiaTheme="minorEastAsia"/>
          <w:sz w:val="28"/>
          <w:szCs w:val="28"/>
        </w:rPr>
        <w:t>•</w:t>
      </w:r>
      <w:r w:rsidRPr="003A3D37">
        <w:rPr>
          <w:rFonts w:eastAsiaTheme="minorEastAsia"/>
          <w:sz w:val="28"/>
          <w:szCs w:val="28"/>
        </w:rPr>
        <w:t>the teen was 16-17 years of age at the time of relationship</w:t>
      </w:r>
      <w:r w:rsidR="00191587" w:rsidRPr="003A3D37">
        <w:rPr>
          <w:rFonts w:eastAsiaTheme="minorEastAsia"/>
          <w:sz w:val="28"/>
          <w:szCs w:val="28"/>
        </w:rPr>
        <w:t xml:space="preserve"> (age of consent is 16)</w:t>
      </w:r>
      <w:r w:rsidR="005D5AAC" w:rsidRPr="003A3D37">
        <w:rPr>
          <w:rFonts w:eastAsiaTheme="minorEastAsia"/>
          <w:sz w:val="28"/>
          <w:szCs w:val="28"/>
        </w:rPr>
        <w:t>.</w:t>
      </w:r>
      <w:r w:rsidRPr="003A3D37">
        <w:rPr>
          <w:rFonts w:eastAsiaTheme="minorEastAsia"/>
          <w:sz w:val="28"/>
          <w:szCs w:val="28"/>
        </w:rPr>
        <w:t xml:space="preserve"> If the teen is still in secondary school but is 18 or older, the sexual relationship with a teacher is not prohibited. We are currently looking</w:t>
      </w:r>
      <w:r w:rsidR="008D6234" w:rsidRPr="003A3D37">
        <w:rPr>
          <w:rFonts w:eastAsiaTheme="minorEastAsia"/>
          <w:sz w:val="28"/>
          <w:szCs w:val="28"/>
        </w:rPr>
        <w:t>, however,</w:t>
      </w:r>
      <w:r w:rsidRPr="003A3D37">
        <w:rPr>
          <w:rFonts w:eastAsiaTheme="minorEastAsia"/>
          <w:sz w:val="28"/>
          <w:szCs w:val="28"/>
        </w:rPr>
        <w:t xml:space="preserve"> at </w:t>
      </w:r>
      <w:r w:rsidR="00191587" w:rsidRPr="003A3D37">
        <w:rPr>
          <w:rFonts w:eastAsiaTheme="minorEastAsia"/>
          <w:sz w:val="28"/>
          <w:szCs w:val="28"/>
        </w:rPr>
        <w:t xml:space="preserve">prohibiting a licensed educator </w:t>
      </w:r>
      <w:proofErr w:type="gramStart"/>
      <w:r w:rsidR="00191587" w:rsidRPr="003A3D37">
        <w:rPr>
          <w:rFonts w:eastAsiaTheme="minorEastAsia"/>
          <w:sz w:val="28"/>
          <w:szCs w:val="28"/>
        </w:rPr>
        <w:t>at all times</w:t>
      </w:r>
      <w:proofErr w:type="gramEnd"/>
      <w:r w:rsidR="00191587" w:rsidRPr="003A3D37">
        <w:rPr>
          <w:rFonts w:eastAsiaTheme="minorEastAsia"/>
          <w:sz w:val="28"/>
          <w:szCs w:val="28"/>
        </w:rPr>
        <w:t xml:space="preserve"> from a sexual relationship with a 16- or 17-year old</w:t>
      </w:r>
      <w:r w:rsidR="14BF512B" w:rsidRPr="003A3D37">
        <w:rPr>
          <w:rFonts w:eastAsiaTheme="minorEastAsia"/>
          <w:sz w:val="28"/>
          <w:szCs w:val="28"/>
        </w:rPr>
        <w:t>, or</w:t>
      </w:r>
      <w:r w:rsidR="7F1901BF" w:rsidRPr="003A3D37">
        <w:rPr>
          <w:rFonts w:eastAsiaTheme="minorEastAsia"/>
          <w:sz w:val="28"/>
          <w:szCs w:val="28"/>
        </w:rPr>
        <w:t xml:space="preserve"> possibly</w:t>
      </w:r>
      <w:r w:rsidR="14BF512B" w:rsidRPr="003A3D37">
        <w:rPr>
          <w:rFonts w:eastAsiaTheme="minorEastAsia"/>
          <w:sz w:val="28"/>
          <w:szCs w:val="28"/>
        </w:rPr>
        <w:t xml:space="preserve"> over 18 if still in school</w:t>
      </w:r>
      <w:r w:rsidR="00191587" w:rsidRPr="003A3D37">
        <w:rPr>
          <w:rFonts w:eastAsiaTheme="minorEastAsia"/>
          <w:sz w:val="28"/>
          <w:szCs w:val="28"/>
        </w:rPr>
        <w:t xml:space="preserve">. </w:t>
      </w:r>
    </w:p>
    <w:p w14:paraId="10F99531" w14:textId="062197D4" w:rsidR="00AF4A3B" w:rsidRPr="003A3D37" w:rsidRDefault="00AF4A3B" w:rsidP="73A02D76">
      <w:pPr>
        <w:pStyle w:val="ListParagraph"/>
        <w:numPr>
          <w:ilvl w:val="1"/>
          <w:numId w:val="1"/>
        </w:numPr>
        <w:rPr>
          <w:rFonts w:eastAsiaTheme="minorEastAsia"/>
          <w:sz w:val="28"/>
          <w:szCs w:val="28"/>
        </w:rPr>
      </w:pPr>
      <w:r w:rsidRPr="003A3D37">
        <w:rPr>
          <w:rFonts w:eastAsiaTheme="minorEastAsia"/>
          <w:sz w:val="28"/>
          <w:szCs w:val="28"/>
        </w:rPr>
        <w:t xml:space="preserve">Building on that, any sexual assault should be investigated, regardless of the relationship between </w:t>
      </w:r>
      <w:r w:rsidR="008D6234" w:rsidRPr="003A3D37">
        <w:rPr>
          <w:rFonts w:eastAsiaTheme="minorEastAsia"/>
          <w:sz w:val="28"/>
          <w:szCs w:val="28"/>
        </w:rPr>
        <w:t xml:space="preserve">the </w:t>
      </w:r>
      <w:r w:rsidRPr="003A3D37">
        <w:rPr>
          <w:rFonts w:eastAsiaTheme="minorEastAsia"/>
          <w:sz w:val="28"/>
          <w:szCs w:val="28"/>
        </w:rPr>
        <w:t xml:space="preserve">perpetrator and victim. Thus, marriage or partnership should not prevent the state from investigating a report of rape. Indeed, the existence of a relationship between the parties and the violation of trust that rape represents between partners should </w:t>
      </w:r>
      <w:proofErr w:type="gramStart"/>
      <w:r w:rsidRPr="003A3D37">
        <w:rPr>
          <w:rFonts w:eastAsiaTheme="minorEastAsia"/>
          <w:sz w:val="28"/>
          <w:szCs w:val="28"/>
        </w:rPr>
        <w:t>be seen as</w:t>
      </w:r>
      <w:proofErr w:type="gramEnd"/>
      <w:r w:rsidRPr="003A3D37">
        <w:rPr>
          <w:rFonts w:eastAsiaTheme="minorEastAsia"/>
          <w:sz w:val="28"/>
          <w:szCs w:val="28"/>
        </w:rPr>
        <w:t xml:space="preserve"> an aggravating rather than a nullifying factor.</w:t>
      </w:r>
    </w:p>
    <w:p w14:paraId="08ABAAE5" w14:textId="77777777" w:rsidR="00964276" w:rsidRPr="003A3D37" w:rsidRDefault="003A60DD" w:rsidP="73A02D76">
      <w:pPr>
        <w:pStyle w:val="ListParagraph"/>
        <w:numPr>
          <w:ilvl w:val="0"/>
          <w:numId w:val="1"/>
        </w:numPr>
        <w:rPr>
          <w:rFonts w:eastAsiaTheme="minorEastAsia"/>
          <w:sz w:val="28"/>
          <w:szCs w:val="28"/>
        </w:rPr>
      </w:pPr>
      <w:r w:rsidRPr="003A3D37">
        <w:rPr>
          <w:rFonts w:eastAsiaTheme="minorEastAsia"/>
          <w:sz w:val="28"/>
          <w:szCs w:val="28"/>
        </w:rPr>
        <w:t>We would also encourage examining laws to ensure they have “voluntary intoxication statutes</w:t>
      </w:r>
      <w:r w:rsidR="00964276" w:rsidRPr="003A3D37">
        <w:rPr>
          <w:rFonts w:eastAsiaTheme="minorEastAsia"/>
          <w:sz w:val="28"/>
          <w:szCs w:val="28"/>
        </w:rPr>
        <w:t xml:space="preserve">.” States should have a law that says if a victim is incapacitated by intoxication, she cannot consent to sexual activity, and no one should have sex with her. </w:t>
      </w:r>
    </w:p>
    <w:p w14:paraId="5DCA8F96" w14:textId="006614F3" w:rsidR="003A60DD" w:rsidRPr="003A3D37" w:rsidRDefault="00964276" w:rsidP="73A02D76">
      <w:pPr>
        <w:pStyle w:val="ListParagraph"/>
        <w:numPr>
          <w:ilvl w:val="1"/>
          <w:numId w:val="1"/>
        </w:numPr>
        <w:rPr>
          <w:rFonts w:eastAsiaTheme="minorEastAsia"/>
          <w:sz w:val="28"/>
          <w:szCs w:val="28"/>
        </w:rPr>
      </w:pPr>
      <w:r w:rsidRPr="003A3D37">
        <w:rPr>
          <w:rFonts w:eastAsiaTheme="minorEastAsia"/>
          <w:sz w:val="28"/>
          <w:szCs w:val="28"/>
        </w:rPr>
        <w:t xml:space="preserve">But </w:t>
      </w:r>
      <w:r w:rsidR="009A30EC" w:rsidRPr="003A3D37">
        <w:rPr>
          <w:rFonts w:eastAsiaTheme="minorEastAsia"/>
          <w:sz w:val="28"/>
          <w:szCs w:val="28"/>
        </w:rPr>
        <w:t>states</w:t>
      </w:r>
      <w:r w:rsidRPr="003A3D37">
        <w:rPr>
          <w:rFonts w:eastAsiaTheme="minorEastAsia"/>
          <w:sz w:val="28"/>
          <w:szCs w:val="28"/>
        </w:rPr>
        <w:t xml:space="preserve"> must pay attention to how </w:t>
      </w:r>
      <w:r w:rsidR="009A30EC" w:rsidRPr="003A3D37">
        <w:rPr>
          <w:rFonts w:eastAsiaTheme="minorEastAsia"/>
          <w:sz w:val="28"/>
          <w:szCs w:val="28"/>
        </w:rPr>
        <w:t>they</w:t>
      </w:r>
      <w:r w:rsidRPr="003A3D37">
        <w:rPr>
          <w:rFonts w:eastAsiaTheme="minorEastAsia"/>
          <w:sz w:val="28"/>
          <w:szCs w:val="28"/>
        </w:rPr>
        <w:t xml:space="preserve"> define “too intoxicated?</w:t>
      </w:r>
      <w:r w:rsidR="00120113" w:rsidRPr="003A3D37">
        <w:rPr>
          <w:rFonts w:eastAsiaTheme="minorEastAsia"/>
          <w:sz w:val="28"/>
          <w:szCs w:val="28"/>
        </w:rPr>
        <w:t>”</w:t>
      </w:r>
      <w:r w:rsidRPr="003A3D37">
        <w:rPr>
          <w:rFonts w:eastAsiaTheme="minorEastAsia"/>
          <w:sz w:val="28"/>
          <w:szCs w:val="28"/>
        </w:rPr>
        <w:t xml:space="preserve"> </w:t>
      </w:r>
      <w:r w:rsidR="009A30EC" w:rsidRPr="003A3D37">
        <w:rPr>
          <w:rFonts w:eastAsiaTheme="minorEastAsia"/>
          <w:sz w:val="28"/>
          <w:szCs w:val="28"/>
        </w:rPr>
        <w:t xml:space="preserve">To illustrate, </w:t>
      </w:r>
      <w:r w:rsidRPr="003A3D37">
        <w:rPr>
          <w:rFonts w:eastAsiaTheme="minorEastAsia"/>
          <w:sz w:val="28"/>
          <w:szCs w:val="28"/>
        </w:rPr>
        <w:t xml:space="preserve">hitting someone in the face is always a crime. </w:t>
      </w:r>
      <w:proofErr w:type="gramStart"/>
      <w:r w:rsidR="009A30EC" w:rsidRPr="003A3D37">
        <w:rPr>
          <w:rFonts w:eastAsiaTheme="minorEastAsia"/>
          <w:sz w:val="28"/>
          <w:szCs w:val="28"/>
        </w:rPr>
        <w:t>But,</w:t>
      </w:r>
      <w:proofErr w:type="gramEnd"/>
      <w:r w:rsidR="009A30EC" w:rsidRPr="003A3D37">
        <w:rPr>
          <w:rFonts w:eastAsiaTheme="minorEastAsia"/>
          <w:sz w:val="28"/>
          <w:szCs w:val="28"/>
        </w:rPr>
        <w:t xml:space="preserve"> </w:t>
      </w:r>
      <w:r w:rsidR="009A30EC" w:rsidRPr="003A3D37">
        <w:rPr>
          <w:rFonts w:eastAsiaTheme="minorEastAsia"/>
          <w:sz w:val="28"/>
          <w:szCs w:val="28"/>
        </w:rPr>
        <w:lastRenderedPageBreak/>
        <w:t>p</w:t>
      </w:r>
      <w:r w:rsidRPr="003A3D37">
        <w:rPr>
          <w:rFonts w:eastAsiaTheme="minorEastAsia"/>
          <w:sz w:val="28"/>
          <w:szCs w:val="28"/>
        </w:rPr>
        <w:t xml:space="preserve">eople having sex under influence of alcohol is not going to be criminal most of the time. So how do you draw the line where someone is too </w:t>
      </w:r>
      <w:r w:rsidR="00120113" w:rsidRPr="003A3D37">
        <w:rPr>
          <w:rFonts w:eastAsiaTheme="minorEastAsia"/>
          <w:sz w:val="28"/>
          <w:szCs w:val="28"/>
        </w:rPr>
        <w:t>drunk</w:t>
      </w:r>
      <w:r w:rsidR="005866C7" w:rsidRPr="003A3D37">
        <w:rPr>
          <w:rFonts w:eastAsiaTheme="minorEastAsia"/>
          <w:sz w:val="28"/>
          <w:szCs w:val="28"/>
        </w:rPr>
        <w:t xml:space="preserve">? </w:t>
      </w:r>
      <w:r w:rsidR="00011692" w:rsidRPr="003A3D37">
        <w:rPr>
          <w:rFonts w:eastAsiaTheme="minorEastAsia"/>
          <w:sz w:val="28"/>
          <w:szCs w:val="28"/>
        </w:rPr>
        <w:t xml:space="preserve">We are still exploring this </w:t>
      </w:r>
      <w:proofErr w:type="gramStart"/>
      <w:r w:rsidR="00011692" w:rsidRPr="003A3D37">
        <w:rPr>
          <w:rFonts w:eastAsiaTheme="minorEastAsia"/>
          <w:sz w:val="28"/>
          <w:szCs w:val="28"/>
        </w:rPr>
        <w:t>line, but</w:t>
      </w:r>
      <w:proofErr w:type="gramEnd"/>
      <w:r w:rsidR="00011692" w:rsidRPr="003A3D37">
        <w:rPr>
          <w:rFonts w:eastAsiaTheme="minorEastAsia"/>
          <w:sz w:val="28"/>
          <w:szCs w:val="28"/>
        </w:rPr>
        <w:t xml:space="preserve"> are </w:t>
      </w:r>
      <w:r w:rsidR="00590699" w:rsidRPr="003A3D37">
        <w:rPr>
          <w:rFonts w:eastAsiaTheme="minorEastAsia"/>
          <w:sz w:val="28"/>
          <w:szCs w:val="28"/>
        </w:rPr>
        <w:t xml:space="preserve">nearing the standard </w:t>
      </w:r>
      <w:r w:rsidR="00914BFB" w:rsidRPr="003A3D37">
        <w:rPr>
          <w:rFonts w:eastAsiaTheme="minorEastAsia"/>
          <w:sz w:val="28"/>
          <w:szCs w:val="28"/>
        </w:rPr>
        <w:t>of</w:t>
      </w:r>
      <w:r w:rsidRPr="003A3D37">
        <w:rPr>
          <w:rFonts w:eastAsiaTheme="minorEastAsia"/>
          <w:sz w:val="28"/>
          <w:szCs w:val="28"/>
        </w:rPr>
        <w:t xml:space="preserve"> a person</w:t>
      </w:r>
      <w:r w:rsidR="00914BFB" w:rsidRPr="003A3D37">
        <w:rPr>
          <w:rFonts w:eastAsiaTheme="minorEastAsia"/>
          <w:sz w:val="28"/>
          <w:szCs w:val="28"/>
        </w:rPr>
        <w:t xml:space="preserve"> who</w:t>
      </w:r>
      <w:r w:rsidRPr="003A3D37">
        <w:rPr>
          <w:rFonts w:eastAsiaTheme="minorEastAsia"/>
          <w:sz w:val="28"/>
          <w:szCs w:val="28"/>
        </w:rPr>
        <w:t xml:space="preserve"> is so intoxicated</w:t>
      </w:r>
      <w:r w:rsidR="00914BFB" w:rsidRPr="003A3D37">
        <w:rPr>
          <w:rFonts w:eastAsiaTheme="minorEastAsia"/>
          <w:sz w:val="28"/>
          <w:szCs w:val="28"/>
        </w:rPr>
        <w:t>,</w:t>
      </w:r>
      <w:r w:rsidRPr="003A3D37">
        <w:rPr>
          <w:rFonts w:eastAsiaTheme="minorEastAsia"/>
          <w:sz w:val="28"/>
          <w:szCs w:val="28"/>
        </w:rPr>
        <w:t xml:space="preserve"> they don’t understand their own conduct.</w:t>
      </w:r>
    </w:p>
    <w:p w14:paraId="773199ED" w14:textId="06E40981" w:rsidR="002D4FB6" w:rsidRPr="003A3D37" w:rsidRDefault="00861F79" w:rsidP="73A02D76">
      <w:pPr>
        <w:pStyle w:val="ListParagraph"/>
        <w:numPr>
          <w:ilvl w:val="0"/>
          <w:numId w:val="1"/>
        </w:numPr>
        <w:rPr>
          <w:rFonts w:eastAsiaTheme="minorEastAsia"/>
          <w:sz w:val="28"/>
          <w:szCs w:val="28"/>
        </w:rPr>
      </w:pPr>
      <w:r w:rsidRPr="003A3D37">
        <w:rPr>
          <w:rFonts w:eastAsiaTheme="minorEastAsia"/>
          <w:sz w:val="28"/>
          <w:szCs w:val="28"/>
        </w:rPr>
        <w:t>Third</w:t>
      </w:r>
      <w:r w:rsidR="000651A0" w:rsidRPr="003A3D37">
        <w:rPr>
          <w:rFonts w:eastAsiaTheme="minorEastAsia"/>
          <w:sz w:val="28"/>
          <w:szCs w:val="28"/>
        </w:rPr>
        <w:t>, regular</w:t>
      </w:r>
      <w:r w:rsidR="002D4FB6" w:rsidRPr="003A3D37">
        <w:rPr>
          <w:rFonts w:eastAsiaTheme="minorEastAsia"/>
          <w:sz w:val="28"/>
          <w:szCs w:val="28"/>
        </w:rPr>
        <w:t xml:space="preserve"> monitoring </w:t>
      </w:r>
      <w:r w:rsidR="000651A0" w:rsidRPr="003A3D37">
        <w:rPr>
          <w:rFonts w:eastAsiaTheme="minorEastAsia"/>
          <w:sz w:val="28"/>
          <w:szCs w:val="28"/>
        </w:rPr>
        <w:t>will</w:t>
      </w:r>
      <w:r w:rsidR="002D4FB6" w:rsidRPr="003A3D37">
        <w:rPr>
          <w:rFonts w:eastAsiaTheme="minorEastAsia"/>
          <w:sz w:val="28"/>
          <w:szCs w:val="28"/>
        </w:rPr>
        <w:t xml:space="preserve"> evaluate the need for reform. </w:t>
      </w:r>
      <w:r w:rsidR="0037365E" w:rsidRPr="003A3D37">
        <w:rPr>
          <w:rFonts w:eastAsiaTheme="minorEastAsia"/>
          <w:sz w:val="28"/>
          <w:szCs w:val="28"/>
        </w:rPr>
        <w:t>M</w:t>
      </w:r>
      <w:r w:rsidR="002D4FB6" w:rsidRPr="003A3D37">
        <w:rPr>
          <w:rFonts w:eastAsiaTheme="minorEastAsia"/>
          <w:sz w:val="28"/>
          <w:szCs w:val="28"/>
        </w:rPr>
        <w:t xml:space="preserve">onitoring can identify unintended </w:t>
      </w:r>
      <w:r w:rsidR="00D929EB" w:rsidRPr="003A3D37">
        <w:rPr>
          <w:rFonts w:eastAsiaTheme="minorEastAsia"/>
          <w:sz w:val="28"/>
          <w:szCs w:val="28"/>
        </w:rPr>
        <w:t xml:space="preserve">harmful </w:t>
      </w:r>
      <w:r w:rsidR="002D4FB6" w:rsidRPr="003A3D37">
        <w:rPr>
          <w:rFonts w:eastAsiaTheme="minorEastAsia"/>
          <w:sz w:val="28"/>
          <w:szCs w:val="28"/>
        </w:rPr>
        <w:t xml:space="preserve">consequences </w:t>
      </w:r>
      <w:r w:rsidR="003E0EBE" w:rsidRPr="003A3D37">
        <w:rPr>
          <w:rFonts w:eastAsiaTheme="minorEastAsia"/>
          <w:sz w:val="28"/>
          <w:szCs w:val="28"/>
        </w:rPr>
        <w:t>of the law</w:t>
      </w:r>
      <w:r w:rsidR="002D4FB6" w:rsidRPr="003A3D37">
        <w:rPr>
          <w:rFonts w:eastAsiaTheme="minorEastAsia"/>
          <w:sz w:val="28"/>
          <w:szCs w:val="28"/>
        </w:rPr>
        <w:t xml:space="preserve">. </w:t>
      </w:r>
      <w:r w:rsidR="000B0C85" w:rsidRPr="003A3D37">
        <w:rPr>
          <w:rFonts w:eastAsiaTheme="minorEastAsia"/>
          <w:sz w:val="28"/>
          <w:szCs w:val="28"/>
        </w:rPr>
        <w:t xml:space="preserve">For example, </w:t>
      </w:r>
      <w:r w:rsidR="00F607C3" w:rsidRPr="003A3D37">
        <w:rPr>
          <w:rFonts w:eastAsiaTheme="minorEastAsia"/>
          <w:sz w:val="28"/>
          <w:szCs w:val="28"/>
        </w:rPr>
        <w:t xml:space="preserve">Minnesota had a statute that granted an exception to rape in cases of marriage or live-in partnership </w:t>
      </w:r>
      <w:r w:rsidR="003E0EBE" w:rsidRPr="003A3D37">
        <w:rPr>
          <w:rFonts w:eastAsiaTheme="minorEastAsia"/>
          <w:sz w:val="28"/>
          <w:szCs w:val="28"/>
        </w:rPr>
        <w:t>where</w:t>
      </w:r>
      <w:r w:rsidR="00F607C3" w:rsidRPr="003A3D37">
        <w:rPr>
          <w:rFonts w:eastAsiaTheme="minorEastAsia"/>
          <w:sz w:val="28"/>
          <w:szCs w:val="28"/>
        </w:rPr>
        <w:t xml:space="preserve"> one partner was mentally impaired (permanent, congenital condition), or was physically helpless (sleeping or unconscious). The purpose of the </w:t>
      </w:r>
      <w:r w:rsidR="00F2691E" w:rsidRPr="003A3D37">
        <w:rPr>
          <w:rFonts w:eastAsiaTheme="minorEastAsia"/>
          <w:sz w:val="28"/>
          <w:szCs w:val="28"/>
        </w:rPr>
        <w:t>law</w:t>
      </w:r>
      <w:r w:rsidR="00F607C3" w:rsidRPr="003A3D37">
        <w:rPr>
          <w:rFonts w:eastAsiaTheme="minorEastAsia"/>
          <w:sz w:val="28"/>
          <w:szCs w:val="28"/>
        </w:rPr>
        <w:t xml:space="preserve"> </w:t>
      </w:r>
      <w:r w:rsidR="003E0EBE" w:rsidRPr="003A3D37">
        <w:rPr>
          <w:rFonts w:eastAsiaTheme="minorEastAsia"/>
          <w:sz w:val="28"/>
          <w:szCs w:val="28"/>
        </w:rPr>
        <w:t>was</w:t>
      </w:r>
      <w:r w:rsidR="00F607C3" w:rsidRPr="003A3D37">
        <w:rPr>
          <w:rFonts w:eastAsiaTheme="minorEastAsia"/>
          <w:sz w:val="28"/>
          <w:szCs w:val="28"/>
        </w:rPr>
        <w:t xml:space="preserve"> to acknowledge that people with cognitive disabilities </w:t>
      </w:r>
      <w:r w:rsidR="00F2691E" w:rsidRPr="003A3D37">
        <w:rPr>
          <w:rFonts w:eastAsiaTheme="minorEastAsia"/>
          <w:sz w:val="28"/>
          <w:szCs w:val="28"/>
        </w:rPr>
        <w:t>could</w:t>
      </w:r>
      <w:r w:rsidR="00F607C3" w:rsidRPr="003A3D37">
        <w:rPr>
          <w:rFonts w:eastAsiaTheme="minorEastAsia"/>
          <w:sz w:val="28"/>
          <w:szCs w:val="28"/>
        </w:rPr>
        <w:t xml:space="preserve"> form consensual relationships, and the </w:t>
      </w:r>
      <w:r w:rsidRPr="003A3D37">
        <w:rPr>
          <w:rFonts w:eastAsiaTheme="minorEastAsia"/>
          <w:sz w:val="28"/>
          <w:szCs w:val="28"/>
        </w:rPr>
        <w:t>s</w:t>
      </w:r>
      <w:r w:rsidR="00F607C3" w:rsidRPr="003A3D37">
        <w:rPr>
          <w:rFonts w:eastAsiaTheme="minorEastAsia"/>
          <w:sz w:val="28"/>
          <w:szCs w:val="28"/>
        </w:rPr>
        <w:t xml:space="preserve">tate </w:t>
      </w:r>
      <w:r w:rsidR="00F2691E" w:rsidRPr="003A3D37">
        <w:rPr>
          <w:rFonts w:eastAsiaTheme="minorEastAsia"/>
          <w:sz w:val="28"/>
          <w:szCs w:val="28"/>
        </w:rPr>
        <w:t xml:space="preserve">did </w:t>
      </w:r>
      <w:r w:rsidR="00F607C3" w:rsidRPr="003A3D37">
        <w:rPr>
          <w:rFonts w:eastAsiaTheme="minorEastAsia"/>
          <w:sz w:val="28"/>
          <w:szCs w:val="28"/>
        </w:rPr>
        <w:t xml:space="preserve">not </w:t>
      </w:r>
      <w:r w:rsidR="00F2691E" w:rsidRPr="003A3D37">
        <w:rPr>
          <w:rFonts w:eastAsiaTheme="minorEastAsia"/>
          <w:sz w:val="28"/>
          <w:szCs w:val="28"/>
        </w:rPr>
        <w:t xml:space="preserve">want </w:t>
      </w:r>
      <w:r w:rsidR="00F607C3" w:rsidRPr="003A3D37">
        <w:rPr>
          <w:rFonts w:eastAsiaTheme="minorEastAsia"/>
          <w:sz w:val="28"/>
          <w:szCs w:val="28"/>
        </w:rPr>
        <w:t xml:space="preserve">to prohibit that. But the legal exception had the unintended effect of also </w:t>
      </w:r>
      <w:r w:rsidR="00571EE8" w:rsidRPr="003A3D37">
        <w:rPr>
          <w:rFonts w:eastAsiaTheme="minorEastAsia"/>
          <w:sz w:val="28"/>
          <w:szCs w:val="28"/>
        </w:rPr>
        <w:t>barring</w:t>
      </w:r>
      <w:r w:rsidR="00F607C3" w:rsidRPr="003A3D37">
        <w:rPr>
          <w:rFonts w:eastAsiaTheme="minorEastAsia"/>
          <w:sz w:val="28"/>
          <w:szCs w:val="28"/>
        </w:rPr>
        <w:t xml:space="preserve"> criminal charges against husbands who rape their spouses</w:t>
      </w:r>
      <w:r w:rsidR="00C20A62" w:rsidRPr="003A3D37">
        <w:rPr>
          <w:rFonts w:eastAsiaTheme="minorEastAsia"/>
          <w:sz w:val="28"/>
          <w:szCs w:val="28"/>
        </w:rPr>
        <w:t>,</w:t>
      </w:r>
      <w:r w:rsidR="00F607C3" w:rsidRPr="003A3D37">
        <w:rPr>
          <w:rFonts w:eastAsiaTheme="minorEastAsia"/>
          <w:sz w:val="28"/>
          <w:szCs w:val="28"/>
        </w:rPr>
        <w:t xml:space="preserve"> when the spouse was asleep or ingested a substance that made them unconscious (</w:t>
      </w:r>
      <w:r w:rsidR="006C50CD" w:rsidRPr="003A3D37">
        <w:rPr>
          <w:rFonts w:eastAsiaTheme="minorEastAsia"/>
          <w:sz w:val="28"/>
          <w:szCs w:val="28"/>
        </w:rPr>
        <w:t>like</w:t>
      </w:r>
      <w:r w:rsidR="00F607C3" w:rsidRPr="003A3D37">
        <w:rPr>
          <w:rFonts w:eastAsiaTheme="minorEastAsia"/>
          <w:sz w:val="28"/>
          <w:szCs w:val="28"/>
        </w:rPr>
        <w:t xml:space="preserve"> alcohol or sleep </w:t>
      </w:r>
      <w:r w:rsidR="00C20A62" w:rsidRPr="003A3D37">
        <w:rPr>
          <w:rFonts w:eastAsiaTheme="minorEastAsia"/>
          <w:sz w:val="28"/>
          <w:szCs w:val="28"/>
        </w:rPr>
        <w:t>medicine</w:t>
      </w:r>
      <w:r w:rsidR="00F607C3" w:rsidRPr="003A3D37">
        <w:rPr>
          <w:rFonts w:eastAsiaTheme="minorEastAsia"/>
          <w:sz w:val="28"/>
          <w:szCs w:val="28"/>
        </w:rPr>
        <w:t xml:space="preserve">). </w:t>
      </w:r>
      <w:r w:rsidR="00571EE8" w:rsidRPr="003A3D37">
        <w:rPr>
          <w:rFonts w:eastAsiaTheme="minorEastAsia"/>
          <w:sz w:val="28"/>
          <w:szCs w:val="28"/>
        </w:rPr>
        <w:t xml:space="preserve">Our state recognized this loophole, and </w:t>
      </w:r>
      <w:r w:rsidR="00C20A62" w:rsidRPr="003A3D37">
        <w:rPr>
          <w:rFonts w:eastAsiaTheme="minorEastAsia"/>
          <w:sz w:val="28"/>
          <w:szCs w:val="28"/>
        </w:rPr>
        <w:t xml:space="preserve">we </w:t>
      </w:r>
      <w:r w:rsidR="00D929EB" w:rsidRPr="003A3D37">
        <w:rPr>
          <w:rFonts w:eastAsiaTheme="minorEastAsia"/>
          <w:sz w:val="28"/>
          <w:szCs w:val="28"/>
        </w:rPr>
        <w:t>repealed the</w:t>
      </w:r>
      <w:r w:rsidR="00F607C3" w:rsidRPr="003A3D37">
        <w:rPr>
          <w:rFonts w:eastAsiaTheme="minorEastAsia"/>
          <w:sz w:val="28"/>
          <w:szCs w:val="28"/>
        </w:rPr>
        <w:t xml:space="preserve"> statute granting that exception to rape charges </w:t>
      </w:r>
      <w:r w:rsidR="00D929EB" w:rsidRPr="003A3D37">
        <w:rPr>
          <w:rFonts w:eastAsiaTheme="minorEastAsia"/>
          <w:sz w:val="28"/>
          <w:szCs w:val="28"/>
        </w:rPr>
        <w:t>last year</w:t>
      </w:r>
      <w:r w:rsidR="00F607C3" w:rsidRPr="003A3D37">
        <w:rPr>
          <w:rFonts w:eastAsiaTheme="minorEastAsia"/>
          <w:sz w:val="28"/>
          <w:szCs w:val="28"/>
        </w:rPr>
        <w:t>.</w:t>
      </w:r>
    </w:p>
    <w:p w14:paraId="574D30E7" w14:textId="7DD8D89B" w:rsidR="7997516E" w:rsidRPr="003A3D37" w:rsidRDefault="7997516E" w:rsidP="73A02D76">
      <w:pPr>
        <w:pStyle w:val="ListParagraph"/>
        <w:numPr>
          <w:ilvl w:val="0"/>
          <w:numId w:val="1"/>
        </w:numPr>
        <w:rPr>
          <w:rFonts w:eastAsiaTheme="minorEastAsia"/>
          <w:sz w:val="28"/>
          <w:szCs w:val="28"/>
        </w:rPr>
      </w:pPr>
      <w:r w:rsidRPr="003A3D37">
        <w:rPr>
          <w:sz w:val="28"/>
          <w:szCs w:val="28"/>
        </w:rPr>
        <w:t xml:space="preserve">Lastly, I want to mention that Minnesota has a statutory reform group – </w:t>
      </w:r>
      <w:r w:rsidR="000B0C85" w:rsidRPr="003A3D37">
        <w:rPr>
          <w:sz w:val="28"/>
          <w:szCs w:val="28"/>
        </w:rPr>
        <w:t>our</w:t>
      </w:r>
      <w:r w:rsidRPr="003A3D37">
        <w:rPr>
          <w:sz w:val="28"/>
          <w:szCs w:val="28"/>
        </w:rPr>
        <w:t xml:space="preserve"> attorney serves on this committee </w:t>
      </w:r>
      <w:r w:rsidR="00F106E5" w:rsidRPr="003A3D37">
        <w:rPr>
          <w:sz w:val="28"/>
          <w:szCs w:val="28"/>
        </w:rPr>
        <w:t>and is</w:t>
      </w:r>
      <w:r w:rsidR="00DB4739" w:rsidRPr="003A3D37">
        <w:rPr>
          <w:sz w:val="28"/>
          <w:szCs w:val="28"/>
        </w:rPr>
        <w:t xml:space="preserve"> examining how to change our laws on rape. </w:t>
      </w:r>
      <w:r w:rsidR="008642D1" w:rsidRPr="003A3D37">
        <w:rPr>
          <w:sz w:val="28"/>
          <w:szCs w:val="28"/>
        </w:rPr>
        <w:t xml:space="preserve">The issues they are </w:t>
      </w:r>
      <w:r w:rsidR="0041367B" w:rsidRPr="003A3D37">
        <w:rPr>
          <w:sz w:val="28"/>
          <w:szCs w:val="28"/>
        </w:rPr>
        <w:t>looking at include:</w:t>
      </w:r>
      <w:r w:rsidR="008642D1" w:rsidRPr="003A3D37">
        <w:rPr>
          <w:sz w:val="28"/>
          <w:szCs w:val="28"/>
        </w:rPr>
        <w:t xml:space="preserve"> shifting our force and coercion requirements to consent-based provisions, voluntary intoxication, </w:t>
      </w:r>
      <w:r w:rsidR="009F545E" w:rsidRPr="003A3D37">
        <w:rPr>
          <w:sz w:val="28"/>
          <w:szCs w:val="28"/>
        </w:rPr>
        <w:t xml:space="preserve">prohibiting </w:t>
      </w:r>
      <w:r w:rsidR="00C32C58" w:rsidRPr="003A3D37">
        <w:rPr>
          <w:sz w:val="28"/>
          <w:szCs w:val="28"/>
        </w:rPr>
        <w:t xml:space="preserve">relations between </w:t>
      </w:r>
      <w:r w:rsidR="009F545E" w:rsidRPr="003A3D37">
        <w:rPr>
          <w:sz w:val="28"/>
          <w:szCs w:val="28"/>
        </w:rPr>
        <w:t>school employees and student</w:t>
      </w:r>
      <w:r w:rsidR="00C32C58" w:rsidRPr="003A3D37">
        <w:rPr>
          <w:sz w:val="28"/>
          <w:szCs w:val="28"/>
        </w:rPr>
        <w:t>s</w:t>
      </w:r>
      <w:r w:rsidR="009F545E" w:rsidRPr="003A3D37">
        <w:rPr>
          <w:sz w:val="28"/>
          <w:szCs w:val="28"/>
        </w:rPr>
        <w:t>, a review of predatory offender registration,</w:t>
      </w:r>
      <w:r w:rsidR="008B2121" w:rsidRPr="003A3D37">
        <w:rPr>
          <w:sz w:val="28"/>
          <w:szCs w:val="28"/>
        </w:rPr>
        <w:t xml:space="preserve"> and</w:t>
      </w:r>
      <w:r w:rsidR="009F545E" w:rsidRPr="003A3D37">
        <w:rPr>
          <w:sz w:val="28"/>
          <w:szCs w:val="28"/>
        </w:rPr>
        <w:t xml:space="preserve"> addressing persons living with cognitive and physical disabilities </w:t>
      </w:r>
      <w:r w:rsidR="00C32C58" w:rsidRPr="003A3D37">
        <w:rPr>
          <w:sz w:val="28"/>
          <w:szCs w:val="28"/>
        </w:rPr>
        <w:t>to</w:t>
      </w:r>
      <w:r w:rsidR="009F545E" w:rsidRPr="003A3D37">
        <w:rPr>
          <w:sz w:val="28"/>
          <w:szCs w:val="28"/>
        </w:rPr>
        <w:t xml:space="preserve"> balanc</w:t>
      </w:r>
      <w:r w:rsidR="00C32C58" w:rsidRPr="003A3D37">
        <w:rPr>
          <w:sz w:val="28"/>
          <w:szCs w:val="28"/>
        </w:rPr>
        <w:t>e</w:t>
      </w:r>
      <w:r w:rsidR="009F545E" w:rsidRPr="003A3D37">
        <w:rPr>
          <w:sz w:val="28"/>
          <w:szCs w:val="28"/>
        </w:rPr>
        <w:t xml:space="preserve"> their right to have relationships </w:t>
      </w:r>
      <w:r w:rsidR="00C32C58" w:rsidRPr="003A3D37">
        <w:rPr>
          <w:sz w:val="28"/>
          <w:szCs w:val="28"/>
        </w:rPr>
        <w:t>versus</w:t>
      </w:r>
      <w:r w:rsidR="009F545E" w:rsidRPr="003A3D37">
        <w:rPr>
          <w:sz w:val="28"/>
          <w:szCs w:val="28"/>
        </w:rPr>
        <w:t xml:space="preserve"> people who may be trying to exploit them. </w:t>
      </w:r>
    </w:p>
    <w:p w14:paraId="6D862691" w14:textId="4989A8ED" w:rsidR="003A60DD" w:rsidRPr="003A3D37" w:rsidRDefault="003A60DD" w:rsidP="2B00A2B0">
      <w:pPr>
        <w:rPr>
          <w:b/>
          <w:bCs/>
          <w:sz w:val="28"/>
          <w:szCs w:val="28"/>
        </w:rPr>
      </w:pPr>
      <w:r w:rsidRPr="003A3D37">
        <w:rPr>
          <w:b/>
          <w:bCs/>
          <w:sz w:val="28"/>
          <w:szCs w:val="28"/>
        </w:rPr>
        <w:t>Implementation</w:t>
      </w:r>
    </w:p>
    <w:p w14:paraId="0754BFCB" w14:textId="7A1E0A82" w:rsidR="2B00A2B0" w:rsidRPr="003A3D37" w:rsidRDefault="00704351" w:rsidP="2B00A2B0">
      <w:pPr>
        <w:rPr>
          <w:sz w:val="28"/>
          <w:szCs w:val="28"/>
        </w:rPr>
      </w:pPr>
      <w:proofErr w:type="gramStart"/>
      <w:r w:rsidRPr="003A3D37">
        <w:rPr>
          <w:sz w:val="28"/>
          <w:szCs w:val="28"/>
        </w:rPr>
        <w:t>With regard to</w:t>
      </w:r>
      <w:proofErr w:type="gramEnd"/>
      <w:r w:rsidRPr="003A3D37">
        <w:rPr>
          <w:sz w:val="28"/>
          <w:szCs w:val="28"/>
        </w:rPr>
        <w:t xml:space="preserve"> implementation, there are 3 points I’d like to stress today. </w:t>
      </w:r>
    </w:p>
    <w:p w14:paraId="04C61862" w14:textId="345321E9" w:rsidR="009012EC" w:rsidRPr="003A3D37" w:rsidRDefault="00342EDE" w:rsidP="009012EC">
      <w:pPr>
        <w:rPr>
          <w:b/>
          <w:bCs/>
          <w:sz w:val="28"/>
          <w:szCs w:val="28"/>
        </w:rPr>
      </w:pPr>
      <w:r w:rsidRPr="003A3D37">
        <w:rPr>
          <w:sz w:val="28"/>
          <w:szCs w:val="28"/>
        </w:rPr>
        <w:t>First, the state response must be coordinated with a multidisciplinary team</w:t>
      </w:r>
      <w:r w:rsidR="00EB7FC3" w:rsidRPr="003A3D37">
        <w:rPr>
          <w:sz w:val="28"/>
          <w:szCs w:val="28"/>
        </w:rPr>
        <w:t xml:space="preserve"> of NGOs, police, prosecutors, medical providers, and courts.</w:t>
      </w:r>
      <w:r w:rsidRPr="003A3D37">
        <w:rPr>
          <w:sz w:val="28"/>
          <w:szCs w:val="28"/>
        </w:rPr>
        <w:t xml:space="preserve"> </w:t>
      </w:r>
      <w:r w:rsidR="00E4763C" w:rsidRPr="003A3D37">
        <w:rPr>
          <w:sz w:val="28"/>
          <w:szCs w:val="28"/>
        </w:rPr>
        <w:t>C</w:t>
      </w:r>
      <w:r w:rsidR="009012EC" w:rsidRPr="003A3D37">
        <w:rPr>
          <w:sz w:val="28"/>
          <w:szCs w:val="28"/>
        </w:rPr>
        <w:t xml:space="preserve">ommunities must meet and discuss their protocols for the sexual assault response. The response is not individual to each state actor, but rather, is an interconnected system that will work </w:t>
      </w:r>
      <w:r w:rsidR="009012EC" w:rsidRPr="003A3D37">
        <w:rPr>
          <w:i/>
          <w:iCs/>
          <w:sz w:val="28"/>
          <w:szCs w:val="28"/>
        </w:rPr>
        <w:t>only</w:t>
      </w:r>
      <w:r w:rsidR="009012EC" w:rsidRPr="003A3D37">
        <w:rPr>
          <w:sz w:val="28"/>
          <w:szCs w:val="28"/>
        </w:rPr>
        <w:t xml:space="preserve"> with ongoing collaboration. These multi-disciplinary teams should focus </w:t>
      </w:r>
      <w:r w:rsidR="009012EC" w:rsidRPr="003A3D37">
        <w:rPr>
          <w:sz w:val="28"/>
          <w:szCs w:val="28"/>
        </w:rPr>
        <w:lastRenderedPageBreak/>
        <w:t xml:space="preserve">not on individual cases, but on a proactive agreement as to what the response should be for each discipline. </w:t>
      </w:r>
    </w:p>
    <w:p w14:paraId="3EA229C3" w14:textId="13CCBB78" w:rsidR="009012EC" w:rsidRPr="003A3D37" w:rsidRDefault="00E4763C" w:rsidP="009012EC">
      <w:pPr>
        <w:rPr>
          <w:sz w:val="28"/>
          <w:szCs w:val="28"/>
        </w:rPr>
      </w:pPr>
      <w:r w:rsidRPr="003A3D37">
        <w:rPr>
          <w:sz w:val="28"/>
          <w:szCs w:val="28"/>
        </w:rPr>
        <w:t>To illustrate the multidisciplinary approach</w:t>
      </w:r>
      <w:r w:rsidR="009012EC" w:rsidRPr="003A3D37">
        <w:rPr>
          <w:sz w:val="28"/>
          <w:szCs w:val="28"/>
        </w:rPr>
        <w:t>, this team might agree that the first agency contacted by the victim will always connect with the NGO</w:t>
      </w:r>
      <w:r w:rsidRPr="003A3D37">
        <w:rPr>
          <w:sz w:val="28"/>
          <w:szCs w:val="28"/>
        </w:rPr>
        <w:t xml:space="preserve"> to ensure the </w:t>
      </w:r>
      <w:r w:rsidR="009012EC" w:rsidRPr="003A3D37">
        <w:rPr>
          <w:sz w:val="28"/>
          <w:szCs w:val="28"/>
        </w:rPr>
        <w:t>victim has support throughout the process. They might agree that the investigator will contact the victim within 24 hours of the first report to police</w:t>
      </w:r>
      <w:r w:rsidR="00986752" w:rsidRPr="003A3D37">
        <w:rPr>
          <w:sz w:val="28"/>
          <w:szCs w:val="28"/>
        </w:rPr>
        <w:t xml:space="preserve"> and set</w:t>
      </w:r>
      <w:r w:rsidR="009012EC" w:rsidRPr="003A3D37">
        <w:rPr>
          <w:sz w:val="28"/>
          <w:szCs w:val="28"/>
        </w:rPr>
        <w:t xml:space="preserve"> up a full interview as soon as is practical. They might agree that prosecutors will meet with victims early after criminal charges and will keep the victim fully advised as to all phases of the criminal process.  </w:t>
      </w:r>
    </w:p>
    <w:p w14:paraId="5CE0EBF9" w14:textId="3CED24A0" w:rsidR="003F761A" w:rsidRPr="003A3D37" w:rsidRDefault="00986752" w:rsidP="003F761A">
      <w:pPr>
        <w:rPr>
          <w:sz w:val="28"/>
          <w:szCs w:val="28"/>
        </w:rPr>
      </w:pPr>
      <w:r w:rsidRPr="003A3D37">
        <w:rPr>
          <w:sz w:val="28"/>
          <w:szCs w:val="28"/>
        </w:rPr>
        <w:t>Second, response protoc</w:t>
      </w:r>
      <w:r w:rsidR="003F761A" w:rsidRPr="003A3D37">
        <w:rPr>
          <w:sz w:val="28"/>
          <w:szCs w:val="28"/>
        </w:rPr>
        <w:t>o</w:t>
      </w:r>
      <w:r w:rsidRPr="003A3D37">
        <w:rPr>
          <w:sz w:val="28"/>
          <w:szCs w:val="28"/>
        </w:rPr>
        <w:t xml:space="preserve">ls must be </w:t>
      </w:r>
      <w:proofErr w:type="gramStart"/>
      <w:r w:rsidRPr="003A3D37">
        <w:rPr>
          <w:sz w:val="28"/>
          <w:szCs w:val="28"/>
        </w:rPr>
        <w:t>victim-centered</w:t>
      </w:r>
      <w:proofErr w:type="gramEnd"/>
      <w:r w:rsidRPr="003A3D37">
        <w:rPr>
          <w:sz w:val="28"/>
          <w:szCs w:val="28"/>
        </w:rPr>
        <w:t xml:space="preserve">. </w:t>
      </w:r>
      <w:r w:rsidR="004376F2" w:rsidRPr="003A3D37">
        <w:rPr>
          <w:sz w:val="28"/>
          <w:szCs w:val="28"/>
        </w:rPr>
        <w:t>T</w:t>
      </w:r>
      <w:r w:rsidR="003F761A" w:rsidRPr="003A3D37">
        <w:rPr>
          <w:sz w:val="28"/>
          <w:szCs w:val="28"/>
        </w:rPr>
        <w:t>he</w:t>
      </w:r>
      <w:r w:rsidR="00D7542F" w:rsidRPr="003A3D37">
        <w:rPr>
          <w:sz w:val="28"/>
          <w:szCs w:val="28"/>
        </w:rPr>
        <w:t xml:space="preserve"> victim’s</w:t>
      </w:r>
      <w:r w:rsidR="003F761A" w:rsidRPr="003A3D37">
        <w:rPr>
          <w:sz w:val="28"/>
          <w:szCs w:val="28"/>
        </w:rPr>
        <w:t xml:space="preserve"> needs and </w:t>
      </w:r>
      <w:r w:rsidR="00D7542F" w:rsidRPr="003A3D37">
        <w:rPr>
          <w:sz w:val="28"/>
          <w:szCs w:val="28"/>
        </w:rPr>
        <w:t>wishes</w:t>
      </w:r>
      <w:r w:rsidR="003F761A" w:rsidRPr="003A3D37">
        <w:rPr>
          <w:sz w:val="28"/>
          <w:szCs w:val="28"/>
        </w:rPr>
        <w:t xml:space="preserve"> should be </w:t>
      </w:r>
      <w:r w:rsidR="0069336D" w:rsidRPr="003A3D37">
        <w:rPr>
          <w:sz w:val="28"/>
          <w:szCs w:val="28"/>
        </w:rPr>
        <w:t>central to</w:t>
      </w:r>
      <w:r w:rsidR="003F761A" w:rsidRPr="003A3D37">
        <w:rPr>
          <w:sz w:val="28"/>
          <w:szCs w:val="28"/>
        </w:rPr>
        <w:t xml:space="preserve"> decisions that affect </w:t>
      </w:r>
      <w:r w:rsidR="00676A7D" w:rsidRPr="003A3D37">
        <w:rPr>
          <w:sz w:val="28"/>
          <w:szCs w:val="28"/>
        </w:rPr>
        <w:t>her</w:t>
      </w:r>
      <w:r w:rsidR="00F73A1D" w:rsidRPr="003A3D37">
        <w:rPr>
          <w:sz w:val="28"/>
          <w:szCs w:val="28"/>
        </w:rPr>
        <w:t>. The</w:t>
      </w:r>
      <w:r w:rsidR="003F761A" w:rsidRPr="003A3D37">
        <w:rPr>
          <w:sz w:val="28"/>
          <w:szCs w:val="28"/>
        </w:rPr>
        <w:t xml:space="preserve"> victim </w:t>
      </w:r>
      <w:r w:rsidR="00F73A1D" w:rsidRPr="003A3D37">
        <w:rPr>
          <w:sz w:val="28"/>
          <w:szCs w:val="28"/>
        </w:rPr>
        <w:t>should</w:t>
      </w:r>
      <w:r w:rsidR="003F761A" w:rsidRPr="003A3D37">
        <w:rPr>
          <w:sz w:val="28"/>
          <w:szCs w:val="28"/>
        </w:rPr>
        <w:t xml:space="preserve"> have some measure of control over which steps in the process </w:t>
      </w:r>
      <w:r w:rsidR="00F73A1D" w:rsidRPr="003A3D37">
        <w:rPr>
          <w:sz w:val="28"/>
          <w:szCs w:val="28"/>
        </w:rPr>
        <w:t>she</w:t>
      </w:r>
      <w:r w:rsidR="003F761A" w:rsidRPr="003A3D37">
        <w:rPr>
          <w:sz w:val="28"/>
          <w:szCs w:val="28"/>
        </w:rPr>
        <w:t xml:space="preserve"> will engage with, how that engagement would work best for </w:t>
      </w:r>
      <w:r w:rsidR="00F73A1D" w:rsidRPr="003A3D37">
        <w:rPr>
          <w:sz w:val="28"/>
          <w:szCs w:val="28"/>
        </w:rPr>
        <w:t>her</w:t>
      </w:r>
      <w:r w:rsidR="003F761A" w:rsidRPr="003A3D37">
        <w:rPr>
          <w:sz w:val="28"/>
          <w:szCs w:val="28"/>
        </w:rPr>
        <w:t xml:space="preserve">, and for supportive advocacy throughout the process.  For example, a team might agree that a victim has the right to “pause” a criminal investigation, taking time to heal and become better prepared for next steps.  </w:t>
      </w:r>
    </w:p>
    <w:p w14:paraId="5B1D29C7" w14:textId="2434F309" w:rsidR="00986752" w:rsidRPr="003A3D37" w:rsidRDefault="00AF1A6C" w:rsidP="003F761A">
      <w:pPr>
        <w:rPr>
          <w:sz w:val="28"/>
          <w:szCs w:val="28"/>
        </w:rPr>
      </w:pPr>
      <w:r w:rsidRPr="003A3D37">
        <w:rPr>
          <w:sz w:val="28"/>
          <w:szCs w:val="28"/>
        </w:rPr>
        <w:t>When</w:t>
      </w:r>
      <w:r w:rsidR="003F761A" w:rsidRPr="003A3D37">
        <w:rPr>
          <w:sz w:val="28"/>
          <w:szCs w:val="28"/>
        </w:rPr>
        <w:t xml:space="preserve"> </w:t>
      </w:r>
      <w:r w:rsidR="004376F2" w:rsidRPr="003A3D37">
        <w:rPr>
          <w:sz w:val="28"/>
          <w:szCs w:val="28"/>
        </w:rPr>
        <w:t>actors</w:t>
      </w:r>
      <w:r w:rsidR="003F761A" w:rsidRPr="003A3D37">
        <w:rPr>
          <w:sz w:val="28"/>
          <w:szCs w:val="28"/>
        </w:rPr>
        <w:t xml:space="preserve"> ignore the needs of the victim after a sexual assault, it risks the victim </w:t>
      </w:r>
      <w:r w:rsidRPr="003A3D37">
        <w:rPr>
          <w:sz w:val="28"/>
          <w:szCs w:val="28"/>
        </w:rPr>
        <w:t>•</w:t>
      </w:r>
      <w:r w:rsidR="003F761A" w:rsidRPr="003A3D37">
        <w:rPr>
          <w:sz w:val="28"/>
          <w:szCs w:val="28"/>
        </w:rPr>
        <w:t xml:space="preserve">declining to make a report, </w:t>
      </w:r>
      <w:r w:rsidRPr="003A3D37">
        <w:rPr>
          <w:sz w:val="28"/>
          <w:szCs w:val="28"/>
        </w:rPr>
        <w:t>•</w:t>
      </w:r>
      <w:r w:rsidR="003F761A" w:rsidRPr="003A3D37">
        <w:rPr>
          <w:sz w:val="28"/>
          <w:szCs w:val="28"/>
        </w:rPr>
        <w:t xml:space="preserve">disengaging from police or prosecutors, or </w:t>
      </w:r>
      <w:r w:rsidRPr="003A3D37">
        <w:rPr>
          <w:sz w:val="28"/>
          <w:szCs w:val="28"/>
        </w:rPr>
        <w:t>•</w:t>
      </w:r>
      <w:r w:rsidR="003F761A" w:rsidRPr="003A3D37">
        <w:rPr>
          <w:sz w:val="28"/>
          <w:szCs w:val="28"/>
        </w:rPr>
        <w:t xml:space="preserve">feeling unable to be fully honest about their experience. Systems must be restructured to create a “soft place” for victims to land and report their experiences. </w:t>
      </w:r>
    </w:p>
    <w:p w14:paraId="20EA54F7" w14:textId="10193E1A" w:rsidR="008525FA" w:rsidRPr="003A3D37" w:rsidRDefault="009C7BE0" w:rsidP="00C77AD2">
      <w:pPr>
        <w:rPr>
          <w:sz w:val="28"/>
          <w:szCs w:val="28"/>
        </w:rPr>
      </w:pPr>
      <w:r w:rsidRPr="003A3D37">
        <w:rPr>
          <w:sz w:val="28"/>
          <w:szCs w:val="28"/>
        </w:rPr>
        <w:t xml:space="preserve">Third, the criminal investigation </w:t>
      </w:r>
      <w:r w:rsidR="00E06269" w:rsidRPr="003A3D37">
        <w:rPr>
          <w:sz w:val="28"/>
          <w:szCs w:val="28"/>
        </w:rPr>
        <w:t xml:space="preserve">must be thorough and complete. </w:t>
      </w:r>
      <w:r w:rsidR="5ABBC654" w:rsidRPr="003A3D37">
        <w:rPr>
          <w:sz w:val="28"/>
          <w:szCs w:val="28"/>
        </w:rPr>
        <w:t>Often,</w:t>
      </w:r>
      <w:r w:rsidR="1DD8321D" w:rsidRPr="003A3D37">
        <w:rPr>
          <w:sz w:val="28"/>
          <w:szCs w:val="28"/>
        </w:rPr>
        <w:t xml:space="preserve"> l</w:t>
      </w:r>
      <w:r w:rsidR="00E06269" w:rsidRPr="003A3D37">
        <w:rPr>
          <w:sz w:val="28"/>
          <w:szCs w:val="28"/>
        </w:rPr>
        <w:t xml:space="preserve">aw enforcement </w:t>
      </w:r>
      <w:r w:rsidR="00A13CA1" w:rsidRPr="003A3D37">
        <w:rPr>
          <w:sz w:val="28"/>
          <w:szCs w:val="28"/>
        </w:rPr>
        <w:t>may</w:t>
      </w:r>
      <w:r w:rsidR="00E06269" w:rsidRPr="003A3D37">
        <w:rPr>
          <w:sz w:val="28"/>
          <w:szCs w:val="28"/>
        </w:rPr>
        <w:t xml:space="preserve"> not follow through with an investigation </w:t>
      </w:r>
      <w:r w:rsidR="00A13CA1" w:rsidRPr="003A3D37">
        <w:rPr>
          <w:sz w:val="28"/>
          <w:szCs w:val="28"/>
        </w:rPr>
        <w:t>because</w:t>
      </w:r>
      <w:r w:rsidR="00E06269" w:rsidRPr="003A3D37">
        <w:rPr>
          <w:sz w:val="28"/>
          <w:szCs w:val="28"/>
        </w:rPr>
        <w:t xml:space="preserve"> there </w:t>
      </w:r>
      <w:r w:rsidR="003B4109" w:rsidRPr="003A3D37">
        <w:rPr>
          <w:sz w:val="28"/>
          <w:szCs w:val="28"/>
        </w:rPr>
        <w:t>were no</w:t>
      </w:r>
      <w:r w:rsidR="1A5D4081" w:rsidRPr="003A3D37">
        <w:rPr>
          <w:sz w:val="28"/>
          <w:szCs w:val="28"/>
        </w:rPr>
        <w:t xml:space="preserve"> separate</w:t>
      </w:r>
      <w:r w:rsidR="003B4109" w:rsidRPr="003A3D37">
        <w:rPr>
          <w:sz w:val="28"/>
          <w:szCs w:val="28"/>
        </w:rPr>
        <w:t xml:space="preserve"> witnesses</w:t>
      </w:r>
      <w:r w:rsidR="00FA3DF1" w:rsidRPr="003A3D37">
        <w:rPr>
          <w:sz w:val="28"/>
          <w:szCs w:val="28"/>
        </w:rPr>
        <w:t xml:space="preserve">. </w:t>
      </w:r>
      <w:r w:rsidR="008525FA" w:rsidRPr="003A3D37">
        <w:rPr>
          <w:sz w:val="28"/>
          <w:szCs w:val="28"/>
        </w:rPr>
        <w:t>But n</w:t>
      </w:r>
      <w:r w:rsidR="00484E46" w:rsidRPr="003A3D37">
        <w:rPr>
          <w:sz w:val="28"/>
          <w:szCs w:val="28"/>
        </w:rPr>
        <w:t>o matter the apparent obstacles</w:t>
      </w:r>
      <w:r w:rsidR="00813B3C" w:rsidRPr="003A3D37">
        <w:rPr>
          <w:sz w:val="28"/>
          <w:szCs w:val="28"/>
        </w:rPr>
        <w:t>, a thorough investigation</w:t>
      </w:r>
      <w:r w:rsidR="00EE2480" w:rsidRPr="003A3D37">
        <w:rPr>
          <w:sz w:val="28"/>
          <w:szCs w:val="28"/>
        </w:rPr>
        <w:t xml:space="preserve"> – interviewing the first outcry witness, collecting information from the victim’s phone and other surveillance footage</w:t>
      </w:r>
      <w:r w:rsidR="00C77AD2" w:rsidRPr="003A3D37">
        <w:rPr>
          <w:sz w:val="28"/>
          <w:szCs w:val="28"/>
        </w:rPr>
        <w:t>, gathering medical documentation -</w:t>
      </w:r>
      <w:r w:rsidR="00484E46" w:rsidRPr="003A3D37">
        <w:rPr>
          <w:sz w:val="28"/>
          <w:szCs w:val="28"/>
        </w:rPr>
        <w:t xml:space="preserve"> is </w:t>
      </w:r>
      <w:proofErr w:type="gramStart"/>
      <w:r w:rsidR="00484E46" w:rsidRPr="003A3D37">
        <w:rPr>
          <w:sz w:val="28"/>
          <w:szCs w:val="28"/>
        </w:rPr>
        <w:t>absolutely necessary</w:t>
      </w:r>
      <w:proofErr w:type="gramEnd"/>
      <w:r w:rsidR="00813B3C" w:rsidRPr="003A3D37">
        <w:rPr>
          <w:sz w:val="28"/>
          <w:szCs w:val="28"/>
        </w:rPr>
        <w:t xml:space="preserve">. </w:t>
      </w:r>
    </w:p>
    <w:p w14:paraId="48A99319" w14:textId="0F7A23D4" w:rsidR="00C77AD2" w:rsidRPr="003A3D37" w:rsidRDefault="00C77AD2" w:rsidP="00C77AD2">
      <w:pPr>
        <w:rPr>
          <w:sz w:val="28"/>
          <w:szCs w:val="28"/>
        </w:rPr>
      </w:pPr>
      <w:r w:rsidRPr="003A3D37">
        <w:rPr>
          <w:sz w:val="28"/>
          <w:szCs w:val="28"/>
        </w:rPr>
        <w:t xml:space="preserve">I want to expand on medical reports. Laws and policies should not place heavy reliance on a “forensic certificate” and instead direct police to prioritize medical documentation of the </w:t>
      </w:r>
      <w:r w:rsidR="008525FA" w:rsidRPr="003A3D37">
        <w:rPr>
          <w:sz w:val="28"/>
          <w:szCs w:val="28"/>
        </w:rPr>
        <w:t xml:space="preserve">victim’s </w:t>
      </w:r>
      <w:r w:rsidRPr="003A3D37">
        <w:rPr>
          <w:sz w:val="28"/>
          <w:szCs w:val="28"/>
        </w:rPr>
        <w:t>condition of the victim.</w:t>
      </w:r>
    </w:p>
    <w:p w14:paraId="2C7D0039" w14:textId="77777777" w:rsidR="00C77AD2" w:rsidRPr="003A3D37" w:rsidRDefault="00C77AD2" w:rsidP="00C77AD2">
      <w:pPr>
        <w:pStyle w:val="ListParagraph"/>
        <w:numPr>
          <w:ilvl w:val="0"/>
          <w:numId w:val="3"/>
        </w:numPr>
        <w:rPr>
          <w:sz w:val="28"/>
          <w:szCs w:val="28"/>
        </w:rPr>
      </w:pPr>
      <w:r w:rsidRPr="003A3D37">
        <w:rPr>
          <w:sz w:val="28"/>
          <w:szCs w:val="28"/>
        </w:rPr>
        <w:t xml:space="preserve">In Minnesota, we have sexual assault nurse examiners – SANEs – who are trained to interview a traumatized victim and collect evidence. Our </w:t>
      </w:r>
      <w:r w:rsidRPr="003A3D37">
        <w:rPr>
          <w:sz w:val="28"/>
          <w:szCs w:val="28"/>
        </w:rPr>
        <w:lastRenderedPageBreak/>
        <w:t xml:space="preserve">submission describes them in more detail. Our attorney found that, in her prosecution practice, the difference between having a SANE and not having one made an 80% difference in the strength of a case. </w:t>
      </w:r>
    </w:p>
    <w:p w14:paraId="6925E36E" w14:textId="784281BB" w:rsidR="009C7BE0" w:rsidRPr="003A3D37" w:rsidRDefault="008525FA" w:rsidP="003F761A">
      <w:pPr>
        <w:rPr>
          <w:sz w:val="28"/>
          <w:szCs w:val="28"/>
        </w:rPr>
      </w:pPr>
      <w:r w:rsidRPr="003A3D37">
        <w:rPr>
          <w:sz w:val="28"/>
          <w:szCs w:val="28"/>
        </w:rPr>
        <w:t xml:space="preserve">To summarize, </w:t>
      </w:r>
      <w:r w:rsidR="00D641D1" w:rsidRPr="003A3D37">
        <w:rPr>
          <w:sz w:val="28"/>
          <w:szCs w:val="28"/>
        </w:rPr>
        <w:t xml:space="preserve">it takes both strong laws and effective implementation to promote </w:t>
      </w:r>
      <w:proofErr w:type="gramStart"/>
      <w:r w:rsidR="00D641D1" w:rsidRPr="003A3D37">
        <w:rPr>
          <w:sz w:val="28"/>
          <w:szCs w:val="28"/>
        </w:rPr>
        <w:t>an</w:t>
      </w:r>
      <w:proofErr w:type="gramEnd"/>
      <w:r w:rsidR="00D641D1" w:rsidRPr="003A3D37">
        <w:rPr>
          <w:sz w:val="28"/>
          <w:szCs w:val="28"/>
        </w:rPr>
        <w:t xml:space="preserve"> </w:t>
      </w:r>
      <w:r w:rsidR="00FA5A7E" w:rsidRPr="003A3D37">
        <w:rPr>
          <w:sz w:val="28"/>
          <w:szCs w:val="28"/>
        </w:rPr>
        <w:t xml:space="preserve">strong criminal justice response to sexual violence. </w:t>
      </w:r>
    </w:p>
    <w:p w14:paraId="7F573DBF" w14:textId="32BD97CD" w:rsidR="00813B3C" w:rsidRPr="003A3D37" w:rsidRDefault="00813B3C" w:rsidP="003F761A">
      <w:pPr>
        <w:rPr>
          <w:sz w:val="28"/>
          <w:szCs w:val="28"/>
        </w:rPr>
      </w:pPr>
      <w:r w:rsidRPr="003A3D37">
        <w:rPr>
          <w:sz w:val="28"/>
          <w:szCs w:val="28"/>
        </w:rPr>
        <w:t xml:space="preserve">The first step is for police to begin with the attitude that the victim’s report may be true, and there may be additional evidence beyond that first report. </w:t>
      </w:r>
      <w:r w:rsidR="000012BD" w:rsidRPr="003A3D37">
        <w:rPr>
          <w:sz w:val="28"/>
          <w:szCs w:val="28"/>
        </w:rPr>
        <w:t xml:space="preserve">When police begin their investigation with doubt about the victim’s veracity or whether they can </w:t>
      </w:r>
      <w:r w:rsidR="00013DC9" w:rsidRPr="003A3D37">
        <w:rPr>
          <w:sz w:val="28"/>
          <w:szCs w:val="28"/>
        </w:rPr>
        <w:t>find</w:t>
      </w:r>
      <w:r w:rsidR="000012BD" w:rsidRPr="003A3D37">
        <w:rPr>
          <w:sz w:val="28"/>
          <w:szCs w:val="28"/>
        </w:rPr>
        <w:t xml:space="preserve"> the truth, then the “investigation”—and accountability--grinds to a halt.</w:t>
      </w:r>
    </w:p>
    <w:p w14:paraId="033E371D" w14:textId="072E2D06" w:rsidR="002F00C2" w:rsidRPr="003A3D37" w:rsidRDefault="002F00C2" w:rsidP="002F00C2">
      <w:pPr>
        <w:rPr>
          <w:sz w:val="28"/>
          <w:szCs w:val="28"/>
        </w:rPr>
      </w:pPr>
      <w:r w:rsidRPr="003A3D37">
        <w:rPr>
          <w:sz w:val="28"/>
          <w:szCs w:val="28"/>
        </w:rPr>
        <w:t>After taking the victim’s report, police should gather evidence surrounding the report</w:t>
      </w:r>
      <w:r w:rsidR="00A36CE3" w:rsidRPr="003A3D37">
        <w:rPr>
          <w:sz w:val="28"/>
          <w:szCs w:val="28"/>
        </w:rPr>
        <w:t xml:space="preserve"> and take actions to</w:t>
      </w:r>
      <w:r w:rsidRPr="003A3D37">
        <w:rPr>
          <w:sz w:val="28"/>
          <w:szCs w:val="28"/>
        </w:rPr>
        <w:t xml:space="preserve">:  </w:t>
      </w:r>
    </w:p>
    <w:p w14:paraId="04D50597" w14:textId="6B56EAB2" w:rsidR="002F00C2" w:rsidRPr="003A3D37" w:rsidRDefault="002F00C2" w:rsidP="002F00C2">
      <w:pPr>
        <w:pStyle w:val="ListParagraph"/>
        <w:numPr>
          <w:ilvl w:val="0"/>
          <w:numId w:val="3"/>
        </w:numPr>
        <w:rPr>
          <w:sz w:val="28"/>
          <w:szCs w:val="28"/>
        </w:rPr>
      </w:pPr>
      <w:r w:rsidRPr="003A3D37">
        <w:rPr>
          <w:sz w:val="28"/>
          <w:szCs w:val="28"/>
        </w:rPr>
        <w:t>Interview the first “outcry” witness(s</w:t>
      </w:r>
      <w:r w:rsidR="0018776A" w:rsidRPr="003A3D37">
        <w:rPr>
          <w:sz w:val="28"/>
          <w:szCs w:val="28"/>
        </w:rPr>
        <w:t>), usually a</w:t>
      </w:r>
      <w:r w:rsidRPr="003A3D37">
        <w:rPr>
          <w:sz w:val="28"/>
          <w:szCs w:val="28"/>
        </w:rPr>
        <w:t xml:space="preserve"> friend, sister, mother, or neighbor</w:t>
      </w:r>
      <w:r w:rsidR="00DF6CBC" w:rsidRPr="003A3D37">
        <w:rPr>
          <w:sz w:val="28"/>
          <w:szCs w:val="28"/>
        </w:rPr>
        <w:t>, who the victim has called first</w:t>
      </w:r>
      <w:r w:rsidRPr="003A3D37">
        <w:rPr>
          <w:sz w:val="28"/>
          <w:szCs w:val="28"/>
        </w:rPr>
        <w:t xml:space="preserve">.    </w:t>
      </w:r>
    </w:p>
    <w:p w14:paraId="7B443238" w14:textId="62DA7B15" w:rsidR="002F00C2" w:rsidRPr="003A3D37" w:rsidRDefault="002F00C2" w:rsidP="002F00C2">
      <w:pPr>
        <w:pStyle w:val="ListParagraph"/>
        <w:numPr>
          <w:ilvl w:val="0"/>
          <w:numId w:val="3"/>
        </w:numPr>
        <w:rPr>
          <w:sz w:val="28"/>
          <w:szCs w:val="28"/>
        </w:rPr>
      </w:pPr>
      <w:r w:rsidRPr="003A3D37">
        <w:rPr>
          <w:sz w:val="28"/>
          <w:szCs w:val="28"/>
        </w:rPr>
        <w:t>Collect information from the victim’s phone or other device</w:t>
      </w:r>
      <w:r w:rsidR="0018776A" w:rsidRPr="003A3D37">
        <w:rPr>
          <w:sz w:val="28"/>
          <w:szCs w:val="28"/>
        </w:rPr>
        <w:t>, which</w:t>
      </w:r>
      <w:r w:rsidRPr="003A3D37">
        <w:rPr>
          <w:sz w:val="28"/>
          <w:szCs w:val="28"/>
        </w:rPr>
        <w:t xml:space="preserve"> establish</w:t>
      </w:r>
      <w:r w:rsidR="00DF6CBC" w:rsidRPr="003A3D37">
        <w:rPr>
          <w:sz w:val="28"/>
          <w:szCs w:val="28"/>
        </w:rPr>
        <w:t>es</w:t>
      </w:r>
      <w:r w:rsidRPr="003A3D37">
        <w:rPr>
          <w:sz w:val="28"/>
          <w:szCs w:val="28"/>
        </w:rPr>
        <w:t xml:space="preserve"> timelines</w:t>
      </w:r>
      <w:r w:rsidR="0018776A" w:rsidRPr="003A3D37">
        <w:rPr>
          <w:sz w:val="28"/>
          <w:szCs w:val="28"/>
        </w:rPr>
        <w:t xml:space="preserve">, and candid </w:t>
      </w:r>
      <w:r w:rsidRPr="003A3D37">
        <w:rPr>
          <w:sz w:val="28"/>
          <w:szCs w:val="28"/>
        </w:rPr>
        <w:t xml:space="preserve">communication between the victim and the suspect.  </w:t>
      </w:r>
    </w:p>
    <w:p w14:paraId="0247804E" w14:textId="01F38E46" w:rsidR="002F00C2" w:rsidRPr="003A3D37" w:rsidRDefault="002F00C2" w:rsidP="002F00C2">
      <w:pPr>
        <w:pStyle w:val="ListParagraph"/>
        <w:numPr>
          <w:ilvl w:val="0"/>
          <w:numId w:val="3"/>
        </w:numPr>
        <w:rPr>
          <w:sz w:val="28"/>
          <w:szCs w:val="28"/>
        </w:rPr>
      </w:pPr>
      <w:r w:rsidRPr="003A3D37">
        <w:rPr>
          <w:sz w:val="28"/>
          <w:szCs w:val="28"/>
        </w:rPr>
        <w:t xml:space="preserve">Look for other electronic evidence, </w:t>
      </w:r>
      <w:r w:rsidR="00E54284" w:rsidRPr="003A3D37">
        <w:rPr>
          <w:sz w:val="28"/>
          <w:szCs w:val="28"/>
        </w:rPr>
        <w:t>like</w:t>
      </w:r>
      <w:r w:rsidRPr="003A3D37">
        <w:rPr>
          <w:sz w:val="28"/>
          <w:szCs w:val="28"/>
        </w:rPr>
        <w:t xml:space="preserve"> photos or surveillance videos that show the victim and suspect together</w:t>
      </w:r>
      <w:r w:rsidR="00DF6CBC" w:rsidRPr="003A3D37">
        <w:rPr>
          <w:sz w:val="28"/>
          <w:szCs w:val="28"/>
        </w:rPr>
        <w:t xml:space="preserve"> </w:t>
      </w:r>
      <w:r w:rsidR="0018776A" w:rsidRPr="003A3D37">
        <w:rPr>
          <w:sz w:val="28"/>
          <w:szCs w:val="28"/>
        </w:rPr>
        <w:t>--t</w:t>
      </w:r>
      <w:r w:rsidRPr="003A3D37">
        <w:rPr>
          <w:sz w:val="28"/>
          <w:szCs w:val="28"/>
        </w:rPr>
        <w:t>his may come from personal devices or business cameras.</w:t>
      </w:r>
    </w:p>
    <w:p w14:paraId="0C11DF2B" w14:textId="79E34AC4" w:rsidR="002F00C2" w:rsidRPr="003A3D37" w:rsidRDefault="002F00C2" w:rsidP="002F00C2">
      <w:pPr>
        <w:pStyle w:val="ListParagraph"/>
        <w:numPr>
          <w:ilvl w:val="0"/>
          <w:numId w:val="3"/>
        </w:numPr>
        <w:rPr>
          <w:sz w:val="28"/>
          <w:szCs w:val="28"/>
        </w:rPr>
      </w:pPr>
      <w:r w:rsidRPr="003A3D37">
        <w:rPr>
          <w:sz w:val="28"/>
          <w:szCs w:val="28"/>
        </w:rPr>
        <w:t xml:space="preserve">If the victim sought medical </w:t>
      </w:r>
      <w:r w:rsidR="00216588" w:rsidRPr="003A3D37">
        <w:rPr>
          <w:sz w:val="28"/>
          <w:szCs w:val="28"/>
        </w:rPr>
        <w:t>help</w:t>
      </w:r>
      <w:r w:rsidRPr="003A3D37">
        <w:rPr>
          <w:sz w:val="28"/>
          <w:szCs w:val="28"/>
        </w:rPr>
        <w:t>, collect the medical report</w:t>
      </w:r>
      <w:r w:rsidR="00DC6361" w:rsidRPr="003A3D37">
        <w:rPr>
          <w:sz w:val="28"/>
          <w:szCs w:val="28"/>
        </w:rPr>
        <w:t xml:space="preserve">, which </w:t>
      </w:r>
      <w:r w:rsidRPr="003A3D37">
        <w:rPr>
          <w:sz w:val="28"/>
          <w:szCs w:val="28"/>
        </w:rPr>
        <w:t xml:space="preserve">might show bruising, scratches, or other evidence. </w:t>
      </w:r>
      <w:r w:rsidR="00DC6361" w:rsidRPr="003A3D37">
        <w:rPr>
          <w:sz w:val="28"/>
          <w:szCs w:val="28"/>
        </w:rPr>
        <w:t>M</w:t>
      </w:r>
      <w:r w:rsidRPr="003A3D37">
        <w:rPr>
          <w:sz w:val="28"/>
          <w:szCs w:val="28"/>
        </w:rPr>
        <w:t xml:space="preserve">any sexual assaults occur with little to no injury, the medical record, if it exists, is an important component of any investigation. </w:t>
      </w:r>
    </w:p>
    <w:p w14:paraId="4E6CA10C" w14:textId="55967F0F" w:rsidR="00184708" w:rsidRPr="003A3D37" w:rsidRDefault="002F00C2" w:rsidP="00184708">
      <w:pPr>
        <w:pStyle w:val="ListParagraph"/>
        <w:numPr>
          <w:ilvl w:val="0"/>
          <w:numId w:val="3"/>
        </w:numPr>
        <w:rPr>
          <w:sz w:val="28"/>
          <w:szCs w:val="28"/>
        </w:rPr>
      </w:pPr>
      <w:r w:rsidRPr="003A3D37">
        <w:rPr>
          <w:sz w:val="28"/>
          <w:szCs w:val="28"/>
        </w:rPr>
        <w:t xml:space="preserve">After gathering the above information, </w:t>
      </w:r>
      <w:r w:rsidR="00C36481" w:rsidRPr="003A3D37">
        <w:rPr>
          <w:sz w:val="28"/>
          <w:szCs w:val="28"/>
        </w:rPr>
        <w:t xml:space="preserve">then </w:t>
      </w:r>
      <w:r w:rsidR="00733617" w:rsidRPr="003A3D37">
        <w:rPr>
          <w:sz w:val="28"/>
          <w:szCs w:val="28"/>
        </w:rPr>
        <w:t>police should</w:t>
      </w:r>
      <w:r w:rsidRPr="003A3D37">
        <w:rPr>
          <w:sz w:val="28"/>
          <w:szCs w:val="28"/>
        </w:rPr>
        <w:t xml:space="preserve"> interview the suspect </w:t>
      </w:r>
      <w:r w:rsidR="00C36481" w:rsidRPr="003A3D37">
        <w:rPr>
          <w:sz w:val="28"/>
          <w:szCs w:val="28"/>
        </w:rPr>
        <w:t>and</w:t>
      </w:r>
      <w:r w:rsidRPr="003A3D37">
        <w:rPr>
          <w:sz w:val="28"/>
          <w:szCs w:val="28"/>
        </w:rPr>
        <w:t xml:space="preserve"> follow up on information the suspect </w:t>
      </w:r>
      <w:r w:rsidR="00733617" w:rsidRPr="003A3D37">
        <w:rPr>
          <w:sz w:val="28"/>
          <w:szCs w:val="28"/>
        </w:rPr>
        <w:t>provides</w:t>
      </w:r>
      <w:r w:rsidRPr="003A3D37">
        <w:rPr>
          <w:sz w:val="28"/>
          <w:szCs w:val="28"/>
        </w:rPr>
        <w:t xml:space="preserve">.  </w:t>
      </w:r>
    </w:p>
    <w:sectPr w:rsidR="00184708" w:rsidRPr="003A3D3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9C99F" w14:textId="77777777" w:rsidR="00271A7A" w:rsidRDefault="00271A7A" w:rsidP="00A60BBC">
      <w:pPr>
        <w:spacing w:after="0" w:line="240" w:lineRule="auto"/>
      </w:pPr>
      <w:r>
        <w:separator/>
      </w:r>
    </w:p>
  </w:endnote>
  <w:endnote w:type="continuationSeparator" w:id="0">
    <w:p w14:paraId="5114DE3F" w14:textId="77777777" w:rsidR="00271A7A" w:rsidRDefault="00271A7A" w:rsidP="00A6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56361"/>
      <w:docPartObj>
        <w:docPartGallery w:val="Page Numbers (Bottom of Page)"/>
        <w:docPartUnique/>
      </w:docPartObj>
    </w:sdtPr>
    <w:sdtEndPr>
      <w:rPr>
        <w:noProof/>
      </w:rPr>
    </w:sdtEndPr>
    <w:sdtContent>
      <w:p w14:paraId="1214D31F" w14:textId="05220AC1" w:rsidR="00A60BBC" w:rsidRDefault="00A60B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C4936A" w14:textId="77777777" w:rsidR="00A60BBC" w:rsidRDefault="00A60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E73EF" w14:textId="77777777" w:rsidR="00271A7A" w:rsidRDefault="00271A7A" w:rsidP="00A60BBC">
      <w:pPr>
        <w:spacing w:after="0" w:line="240" w:lineRule="auto"/>
      </w:pPr>
      <w:r>
        <w:separator/>
      </w:r>
    </w:p>
  </w:footnote>
  <w:footnote w:type="continuationSeparator" w:id="0">
    <w:p w14:paraId="12B2EA98" w14:textId="77777777" w:rsidR="00271A7A" w:rsidRDefault="00271A7A" w:rsidP="00A60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902CB"/>
    <w:multiLevelType w:val="hybridMultilevel"/>
    <w:tmpl w:val="83D6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34F16"/>
    <w:multiLevelType w:val="hybridMultilevel"/>
    <w:tmpl w:val="919A5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A05BD"/>
    <w:multiLevelType w:val="hybridMultilevel"/>
    <w:tmpl w:val="B2BAF8A0"/>
    <w:lvl w:ilvl="0" w:tplc="9DCE6F02">
      <w:start w:val="1"/>
      <w:numFmt w:val="bullet"/>
      <w:lvlText w:val=""/>
      <w:lvlJc w:val="left"/>
      <w:pPr>
        <w:ind w:left="720" w:hanging="360"/>
      </w:pPr>
      <w:rPr>
        <w:rFonts w:ascii="Symbol" w:hAnsi="Symbol" w:hint="default"/>
      </w:rPr>
    </w:lvl>
    <w:lvl w:ilvl="1" w:tplc="34B42C70">
      <w:start w:val="1"/>
      <w:numFmt w:val="bullet"/>
      <w:lvlText w:val="o"/>
      <w:lvlJc w:val="left"/>
      <w:pPr>
        <w:ind w:left="1440" w:hanging="360"/>
      </w:pPr>
      <w:rPr>
        <w:rFonts w:ascii="Courier New" w:hAnsi="Courier New" w:hint="default"/>
      </w:rPr>
    </w:lvl>
    <w:lvl w:ilvl="2" w:tplc="2FB0D4BE">
      <w:start w:val="1"/>
      <w:numFmt w:val="bullet"/>
      <w:lvlText w:val=""/>
      <w:lvlJc w:val="left"/>
      <w:pPr>
        <w:ind w:left="2160" w:hanging="360"/>
      </w:pPr>
      <w:rPr>
        <w:rFonts w:ascii="Wingdings" w:hAnsi="Wingdings" w:hint="default"/>
      </w:rPr>
    </w:lvl>
    <w:lvl w:ilvl="3" w:tplc="3C7A61D6">
      <w:start w:val="1"/>
      <w:numFmt w:val="bullet"/>
      <w:lvlText w:val=""/>
      <w:lvlJc w:val="left"/>
      <w:pPr>
        <w:ind w:left="2880" w:hanging="360"/>
      </w:pPr>
      <w:rPr>
        <w:rFonts w:ascii="Symbol" w:hAnsi="Symbol" w:hint="default"/>
      </w:rPr>
    </w:lvl>
    <w:lvl w:ilvl="4" w:tplc="D098CE96">
      <w:start w:val="1"/>
      <w:numFmt w:val="bullet"/>
      <w:lvlText w:val="o"/>
      <w:lvlJc w:val="left"/>
      <w:pPr>
        <w:ind w:left="3600" w:hanging="360"/>
      </w:pPr>
      <w:rPr>
        <w:rFonts w:ascii="Courier New" w:hAnsi="Courier New" w:hint="default"/>
      </w:rPr>
    </w:lvl>
    <w:lvl w:ilvl="5" w:tplc="E7F2AE80">
      <w:start w:val="1"/>
      <w:numFmt w:val="bullet"/>
      <w:lvlText w:val=""/>
      <w:lvlJc w:val="left"/>
      <w:pPr>
        <w:ind w:left="4320" w:hanging="360"/>
      </w:pPr>
      <w:rPr>
        <w:rFonts w:ascii="Wingdings" w:hAnsi="Wingdings" w:hint="default"/>
      </w:rPr>
    </w:lvl>
    <w:lvl w:ilvl="6" w:tplc="0A62B88A">
      <w:start w:val="1"/>
      <w:numFmt w:val="bullet"/>
      <w:lvlText w:val=""/>
      <w:lvlJc w:val="left"/>
      <w:pPr>
        <w:ind w:left="5040" w:hanging="360"/>
      </w:pPr>
      <w:rPr>
        <w:rFonts w:ascii="Symbol" w:hAnsi="Symbol" w:hint="default"/>
      </w:rPr>
    </w:lvl>
    <w:lvl w:ilvl="7" w:tplc="F3B63998">
      <w:start w:val="1"/>
      <w:numFmt w:val="bullet"/>
      <w:lvlText w:val="o"/>
      <w:lvlJc w:val="left"/>
      <w:pPr>
        <w:ind w:left="5760" w:hanging="360"/>
      </w:pPr>
      <w:rPr>
        <w:rFonts w:ascii="Courier New" w:hAnsi="Courier New" w:hint="default"/>
      </w:rPr>
    </w:lvl>
    <w:lvl w:ilvl="8" w:tplc="0B18F122">
      <w:start w:val="1"/>
      <w:numFmt w:val="bullet"/>
      <w:lvlText w:val=""/>
      <w:lvlJc w:val="left"/>
      <w:pPr>
        <w:ind w:left="6480" w:hanging="360"/>
      </w:pPr>
      <w:rPr>
        <w:rFonts w:ascii="Wingdings" w:hAnsi="Wingdings" w:hint="default"/>
      </w:rPr>
    </w:lvl>
  </w:abstractNum>
  <w:abstractNum w:abstractNumId="3" w15:restartNumberingAfterBreak="0">
    <w:nsid w:val="66E07F02"/>
    <w:multiLevelType w:val="hybridMultilevel"/>
    <w:tmpl w:val="8BE8AB4C"/>
    <w:lvl w:ilvl="0" w:tplc="06625EFE">
      <w:start w:val="1"/>
      <w:numFmt w:val="bullet"/>
      <w:lvlText w:val=""/>
      <w:lvlJc w:val="left"/>
      <w:pPr>
        <w:ind w:left="720" w:hanging="360"/>
      </w:pPr>
      <w:rPr>
        <w:rFonts w:ascii="Symbol" w:hAnsi="Symbol" w:hint="default"/>
      </w:rPr>
    </w:lvl>
    <w:lvl w:ilvl="1" w:tplc="C854DE48">
      <w:start w:val="1"/>
      <w:numFmt w:val="bullet"/>
      <w:lvlText w:val="o"/>
      <w:lvlJc w:val="left"/>
      <w:pPr>
        <w:ind w:left="1440" w:hanging="360"/>
      </w:pPr>
      <w:rPr>
        <w:rFonts w:ascii="Courier New" w:hAnsi="Courier New" w:hint="default"/>
      </w:rPr>
    </w:lvl>
    <w:lvl w:ilvl="2" w:tplc="0510BB0A">
      <w:start w:val="1"/>
      <w:numFmt w:val="bullet"/>
      <w:lvlText w:val=""/>
      <w:lvlJc w:val="left"/>
      <w:pPr>
        <w:ind w:left="2160" w:hanging="360"/>
      </w:pPr>
      <w:rPr>
        <w:rFonts w:ascii="Wingdings" w:hAnsi="Wingdings" w:hint="default"/>
      </w:rPr>
    </w:lvl>
    <w:lvl w:ilvl="3" w:tplc="23806CC4">
      <w:start w:val="1"/>
      <w:numFmt w:val="bullet"/>
      <w:lvlText w:val=""/>
      <w:lvlJc w:val="left"/>
      <w:pPr>
        <w:ind w:left="2880" w:hanging="360"/>
      </w:pPr>
      <w:rPr>
        <w:rFonts w:ascii="Symbol" w:hAnsi="Symbol" w:hint="default"/>
      </w:rPr>
    </w:lvl>
    <w:lvl w:ilvl="4" w:tplc="0AFCC7C0">
      <w:start w:val="1"/>
      <w:numFmt w:val="bullet"/>
      <w:lvlText w:val="o"/>
      <w:lvlJc w:val="left"/>
      <w:pPr>
        <w:ind w:left="3600" w:hanging="360"/>
      </w:pPr>
      <w:rPr>
        <w:rFonts w:ascii="Courier New" w:hAnsi="Courier New" w:hint="default"/>
      </w:rPr>
    </w:lvl>
    <w:lvl w:ilvl="5" w:tplc="AE34A3DE">
      <w:start w:val="1"/>
      <w:numFmt w:val="bullet"/>
      <w:lvlText w:val=""/>
      <w:lvlJc w:val="left"/>
      <w:pPr>
        <w:ind w:left="4320" w:hanging="360"/>
      </w:pPr>
      <w:rPr>
        <w:rFonts w:ascii="Wingdings" w:hAnsi="Wingdings" w:hint="default"/>
      </w:rPr>
    </w:lvl>
    <w:lvl w:ilvl="6" w:tplc="22A45B7E">
      <w:start w:val="1"/>
      <w:numFmt w:val="bullet"/>
      <w:lvlText w:val=""/>
      <w:lvlJc w:val="left"/>
      <w:pPr>
        <w:ind w:left="5040" w:hanging="360"/>
      </w:pPr>
      <w:rPr>
        <w:rFonts w:ascii="Symbol" w:hAnsi="Symbol" w:hint="default"/>
      </w:rPr>
    </w:lvl>
    <w:lvl w:ilvl="7" w:tplc="71AA2032">
      <w:start w:val="1"/>
      <w:numFmt w:val="bullet"/>
      <w:lvlText w:val="o"/>
      <w:lvlJc w:val="left"/>
      <w:pPr>
        <w:ind w:left="5760" w:hanging="360"/>
      </w:pPr>
      <w:rPr>
        <w:rFonts w:ascii="Courier New" w:hAnsi="Courier New" w:hint="default"/>
      </w:rPr>
    </w:lvl>
    <w:lvl w:ilvl="8" w:tplc="74E00FD4">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9818AE"/>
    <w:rsid w:val="000012BD"/>
    <w:rsid w:val="00011692"/>
    <w:rsid w:val="00013DC9"/>
    <w:rsid w:val="000651A0"/>
    <w:rsid w:val="000777D2"/>
    <w:rsid w:val="00091BA3"/>
    <w:rsid w:val="000974E6"/>
    <w:rsid w:val="000B0C85"/>
    <w:rsid w:val="000F5AA9"/>
    <w:rsid w:val="00100339"/>
    <w:rsid w:val="00120113"/>
    <w:rsid w:val="001226DD"/>
    <w:rsid w:val="00145676"/>
    <w:rsid w:val="00164F68"/>
    <w:rsid w:val="00174EE5"/>
    <w:rsid w:val="00184708"/>
    <w:rsid w:val="0018776A"/>
    <w:rsid w:val="00191587"/>
    <w:rsid w:val="00216588"/>
    <w:rsid w:val="0022496B"/>
    <w:rsid w:val="00226C5A"/>
    <w:rsid w:val="0026023E"/>
    <w:rsid w:val="0026032D"/>
    <w:rsid w:val="00270A7A"/>
    <w:rsid w:val="00271A7A"/>
    <w:rsid w:val="002A5702"/>
    <w:rsid w:val="002D4FB6"/>
    <w:rsid w:val="002F00C2"/>
    <w:rsid w:val="00320567"/>
    <w:rsid w:val="003241CE"/>
    <w:rsid w:val="00342EDE"/>
    <w:rsid w:val="0037365E"/>
    <w:rsid w:val="003A3D37"/>
    <w:rsid w:val="003A60DD"/>
    <w:rsid w:val="003B4109"/>
    <w:rsid w:val="003E0EBE"/>
    <w:rsid w:val="003F581A"/>
    <w:rsid w:val="003F761A"/>
    <w:rsid w:val="0041367B"/>
    <w:rsid w:val="004376F2"/>
    <w:rsid w:val="004503CE"/>
    <w:rsid w:val="00484BB6"/>
    <w:rsid w:val="00484E46"/>
    <w:rsid w:val="004B53C9"/>
    <w:rsid w:val="004F625F"/>
    <w:rsid w:val="00533302"/>
    <w:rsid w:val="00563D11"/>
    <w:rsid w:val="00571EE8"/>
    <w:rsid w:val="005866C7"/>
    <w:rsid w:val="00590699"/>
    <w:rsid w:val="00591050"/>
    <w:rsid w:val="005A3054"/>
    <w:rsid w:val="005D5AAC"/>
    <w:rsid w:val="00611E1B"/>
    <w:rsid w:val="00676A7D"/>
    <w:rsid w:val="0069336D"/>
    <w:rsid w:val="006C50CD"/>
    <w:rsid w:val="00704351"/>
    <w:rsid w:val="00721B8A"/>
    <w:rsid w:val="00733617"/>
    <w:rsid w:val="00781D42"/>
    <w:rsid w:val="00813B3C"/>
    <w:rsid w:val="00820FD6"/>
    <w:rsid w:val="008319B6"/>
    <w:rsid w:val="008525FA"/>
    <w:rsid w:val="00861F79"/>
    <w:rsid w:val="008642D1"/>
    <w:rsid w:val="00896EA0"/>
    <w:rsid w:val="008B2121"/>
    <w:rsid w:val="008C0E51"/>
    <w:rsid w:val="008D6234"/>
    <w:rsid w:val="009012EC"/>
    <w:rsid w:val="00914BFB"/>
    <w:rsid w:val="00964276"/>
    <w:rsid w:val="00986752"/>
    <w:rsid w:val="00990420"/>
    <w:rsid w:val="009A0704"/>
    <w:rsid w:val="009A30EC"/>
    <w:rsid w:val="009C1B73"/>
    <w:rsid w:val="009C7BE0"/>
    <w:rsid w:val="009F545E"/>
    <w:rsid w:val="00A13CA1"/>
    <w:rsid w:val="00A14C96"/>
    <w:rsid w:val="00A36CE3"/>
    <w:rsid w:val="00A44B07"/>
    <w:rsid w:val="00A60BBC"/>
    <w:rsid w:val="00A63E23"/>
    <w:rsid w:val="00AE5947"/>
    <w:rsid w:val="00AF1A6C"/>
    <w:rsid w:val="00AF4A3B"/>
    <w:rsid w:val="00B0028B"/>
    <w:rsid w:val="00B137FD"/>
    <w:rsid w:val="00BA3E87"/>
    <w:rsid w:val="00BA6E6D"/>
    <w:rsid w:val="00C20A62"/>
    <w:rsid w:val="00C32C58"/>
    <w:rsid w:val="00C3446E"/>
    <w:rsid w:val="00C36481"/>
    <w:rsid w:val="00C770BF"/>
    <w:rsid w:val="00C77AD2"/>
    <w:rsid w:val="00C92804"/>
    <w:rsid w:val="00D3366E"/>
    <w:rsid w:val="00D53466"/>
    <w:rsid w:val="00D641D1"/>
    <w:rsid w:val="00D7542F"/>
    <w:rsid w:val="00D758F9"/>
    <w:rsid w:val="00D929EB"/>
    <w:rsid w:val="00DB4739"/>
    <w:rsid w:val="00DC6361"/>
    <w:rsid w:val="00DE3A73"/>
    <w:rsid w:val="00DF6CBC"/>
    <w:rsid w:val="00E06269"/>
    <w:rsid w:val="00E229EE"/>
    <w:rsid w:val="00E438C7"/>
    <w:rsid w:val="00E464DE"/>
    <w:rsid w:val="00E4763C"/>
    <w:rsid w:val="00E54284"/>
    <w:rsid w:val="00EB7FC3"/>
    <w:rsid w:val="00EE2480"/>
    <w:rsid w:val="00F106E5"/>
    <w:rsid w:val="00F21729"/>
    <w:rsid w:val="00F2691E"/>
    <w:rsid w:val="00F607C3"/>
    <w:rsid w:val="00F73A1D"/>
    <w:rsid w:val="00FA3DF1"/>
    <w:rsid w:val="00FA5A7E"/>
    <w:rsid w:val="03DFE6AE"/>
    <w:rsid w:val="11C82DA9"/>
    <w:rsid w:val="135624A3"/>
    <w:rsid w:val="14AFE945"/>
    <w:rsid w:val="14BF512B"/>
    <w:rsid w:val="1A5D4081"/>
    <w:rsid w:val="1DD8321D"/>
    <w:rsid w:val="2933A782"/>
    <w:rsid w:val="2B00A2B0"/>
    <w:rsid w:val="2C4F0105"/>
    <w:rsid w:val="31F1EE0F"/>
    <w:rsid w:val="3210112D"/>
    <w:rsid w:val="33313E83"/>
    <w:rsid w:val="35A4F91D"/>
    <w:rsid w:val="369A2744"/>
    <w:rsid w:val="3FD8E4DC"/>
    <w:rsid w:val="40A703F6"/>
    <w:rsid w:val="431FAB91"/>
    <w:rsid w:val="4D8B2FA3"/>
    <w:rsid w:val="519818AE"/>
    <w:rsid w:val="52CDA2F5"/>
    <w:rsid w:val="596BF5D7"/>
    <w:rsid w:val="5A8DE4A6"/>
    <w:rsid w:val="5ABBC654"/>
    <w:rsid w:val="5B22F640"/>
    <w:rsid w:val="630D6C34"/>
    <w:rsid w:val="70037723"/>
    <w:rsid w:val="73A02D76"/>
    <w:rsid w:val="73F58813"/>
    <w:rsid w:val="77284526"/>
    <w:rsid w:val="78BBD632"/>
    <w:rsid w:val="7997516E"/>
    <w:rsid w:val="7F19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18AE"/>
  <w15:chartTrackingRefBased/>
  <w15:docId w15:val="{860A296D-2F22-4B07-9001-3F61ACB9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01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EC"/>
    <w:rPr>
      <w:rFonts w:ascii="Segoe UI" w:hAnsi="Segoe UI" w:cs="Segoe UI"/>
      <w:sz w:val="18"/>
      <w:szCs w:val="18"/>
    </w:rPr>
  </w:style>
  <w:style w:type="character" w:styleId="CommentReference">
    <w:name w:val="annotation reference"/>
    <w:basedOn w:val="DefaultParagraphFont"/>
    <w:uiPriority w:val="99"/>
    <w:semiHidden/>
    <w:unhideWhenUsed/>
    <w:rsid w:val="009012EC"/>
    <w:rPr>
      <w:sz w:val="16"/>
      <w:szCs w:val="16"/>
    </w:rPr>
  </w:style>
  <w:style w:type="paragraph" w:styleId="CommentText">
    <w:name w:val="annotation text"/>
    <w:basedOn w:val="Normal"/>
    <w:link w:val="CommentTextChar"/>
    <w:uiPriority w:val="99"/>
    <w:semiHidden/>
    <w:unhideWhenUsed/>
    <w:rsid w:val="009012EC"/>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012EC"/>
    <w:rPr>
      <w:rFonts w:eastAsiaTheme="minorEastAsia"/>
      <w:sz w:val="20"/>
      <w:szCs w:val="20"/>
    </w:rPr>
  </w:style>
  <w:style w:type="paragraph" w:styleId="Header">
    <w:name w:val="header"/>
    <w:basedOn w:val="Normal"/>
    <w:link w:val="HeaderChar"/>
    <w:uiPriority w:val="99"/>
    <w:unhideWhenUsed/>
    <w:rsid w:val="00A60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BC"/>
  </w:style>
  <w:style w:type="paragraph" w:styleId="Footer">
    <w:name w:val="footer"/>
    <w:basedOn w:val="Normal"/>
    <w:link w:val="FooterChar"/>
    <w:uiPriority w:val="99"/>
    <w:unhideWhenUsed/>
    <w:rsid w:val="00A60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BA06F-9CF0-4BEF-9B44-46247E311E80}">
  <ds:schemaRefs>
    <ds:schemaRef ds:uri="http://schemas.microsoft.com/sharepoint/v3/contenttype/forms"/>
  </ds:schemaRefs>
</ds:datastoreItem>
</file>

<file path=customXml/itemProps2.xml><?xml version="1.0" encoding="utf-8"?>
<ds:datastoreItem xmlns:ds="http://schemas.openxmlformats.org/officeDocument/2006/customXml" ds:itemID="{6BEC2467-597F-4D4D-BFA8-EEB5D7278A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427ED4-D70F-4A4E-A3C2-65C869F4E0A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8478</Characters>
  <Application>Microsoft Office Word</Application>
  <DocSecurity>0</DocSecurity>
  <Lines>70</Lines>
  <Paragraphs>19</Paragraphs>
  <ScaleCrop>false</ScaleCrop>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Park</dc:creator>
  <cp:keywords/>
  <dc:description/>
  <cp:lastModifiedBy>Rosalyn Park</cp:lastModifiedBy>
  <cp:revision>126</cp:revision>
  <cp:lastPrinted>2020-05-26T23:15:00Z</cp:lastPrinted>
  <dcterms:created xsi:type="dcterms:W3CDTF">2020-05-26T19:55:00Z</dcterms:created>
  <dcterms:modified xsi:type="dcterms:W3CDTF">2020-05-27T17:50:00Z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