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8B1" w:rsidRDefault="00E42A03" w:rsidP="00E42A03">
      <w:pPr>
        <w:jc w:val="center"/>
        <w:rPr>
          <w:rFonts w:ascii="Arial" w:hAnsi="Arial" w:cs="Arial"/>
          <w:b/>
          <w:bCs/>
          <w:sz w:val="24"/>
          <w:szCs w:val="24"/>
        </w:rPr>
      </w:pPr>
      <w:r w:rsidRPr="00E42A03">
        <w:rPr>
          <w:rFonts w:ascii="Arial" w:hAnsi="Arial" w:cs="Arial"/>
          <w:b/>
          <w:bCs/>
          <w:sz w:val="24"/>
          <w:szCs w:val="24"/>
        </w:rPr>
        <w:t>DEFENSORÍA DEL PUEBLO DE LA NACIÓN</w:t>
      </w:r>
    </w:p>
    <w:p w:rsidR="00E42A03" w:rsidRPr="00E42A03" w:rsidRDefault="00E42A03" w:rsidP="00E42A03">
      <w:pPr>
        <w:jc w:val="center"/>
        <w:rPr>
          <w:rFonts w:ascii="Arial" w:hAnsi="Arial" w:cs="Arial"/>
          <w:b/>
          <w:bCs/>
          <w:sz w:val="24"/>
          <w:szCs w:val="24"/>
        </w:rPr>
      </w:pPr>
      <w:r>
        <w:rPr>
          <w:rFonts w:ascii="Arial" w:hAnsi="Arial" w:cs="Arial"/>
          <w:b/>
          <w:bCs/>
          <w:sz w:val="24"/>
          <w:szCs w:val="24"/>
        </w:rPr>
        <w:t>REPÚBLICA ARGENTINA</w:t>
      </w:r>
    </w:p>
    <w:p w:rsidR="00E42A03" w:rsidRDefault="00E42A03" w:rsidP="00E42A03">
      <w:pPr>
        <w:jc w:val="center"/>
        <w:rPr>
          <w:rFonts w:ascii="Arial" w:hAnsi="Arial" w:cs="Arial"/>
          <w:b/>
          <w:bCs/>
          <w:sz w:val="24"/>
          <w:szCs w:val="24"/>
        </w:rPr>
      </w:pPr>
      <w:r w:rsidRPr="00E42A03">
        <w:rPr>
          <w:rFonts w:ascii="Arial" w:hAnsi="Arial" w:cs="Arial"/>
          <w:b/>
          <w:bCs/>
          <w:sz w:val="24"/>
          <w:szCs w:val="24"/>
        </w:rPr>
        <w:t>INSTITUCIÓN NACIONAL DE DERECHOS HUMANOS</w:t>
      </w:r>
    </w:p>
    <w:p w:rsidR="00E42A03" w:rsidRPr="00E42A03" w:rsidRDefault="00E42A03" w:rsidP="00E42A03">
      <w:pPr>
        <w:jc w:val="center"/>
        <w:rPr>
          <w:rFonts w:ascii="Arial" w:hAnsi="Arial" w:cs="Arial"/>
          <w:b/>
          <w:bCs/>
          <w:sz w:val="24"/>
          <w:szCs w:val="24"/>
        </w:rPr>
      </w:pPr>
    </w:p>
    <w:p w:rsidR="00E42A03" w:rsidRPr="00E42A03" w:rsidRDefault="00E42A03" w:rsidP="00E42A03">
      <w:pPr>
        <w:jc w:val="center"/>
        <w:rPr>
          <w:rFonts w:ascii="Arial" w:hAnsi="Arial" w:cs="Arial"/>
          <w:b/>
          <w:bCs/>
          <w:sz w:val="24"/>
          <w:szCs w:val="24"/>
          <w:lang w:val="es-ES"/>
        </w:rPr>
      </w:pPr>
      <w:r w:rsidRPr="00E42A03">
        <w:rPr>
          <w:rFonts w:ascii="Arial" w:hAnsi="Arial" w:cs="Arial"/>
          <w:b/>
          <w:bCs/>
          <w:sz w:val="24"/>
          <w:szCs w:val="24"/>
          <w:lang w:val="es-ES"/>
        </w:rPr>
        <w:t>Convocatoria de presentaciones</w:t>
      </w:r>
    </w:p>
    <w:p w:rsidR="00E42A03" w:rsidRPr="00E42A03" w:rsidRDefault="00E42A03" w:rsidP="00E42A03">
      <w:pPr>
        <w:jc w:val="center"/>
        <w:rPr>
          <w:rFonts w:ascii="Arial" w:hAnsi="Arial" w:cs="Arial"/>
          <w:b/>
          <w:bCs/>
          <w:sz w:val="24"/>
          <w:szCs w:val="24"/>
          <w:lang w:val="es-ES"/>
        </w:rPr>
      </w:pPr>
      <w:r w:rsidRPr="00E42A03">
        <w:rPr>
          <w:rFonts w:ascii="Arial" w:hAnsi="Arial" w:cs="Arial"/>
          <w:b/>
          <w:bCs/>
          <w:sz w:val="24"/>
          <w:szCs w:val="24"/>
          <w:lang w:val="es-ES"/>
        </w:rPr>
        <w:t>Balance de la Iniciativa “Observatorio contra el Feminicidio”</w:t>
      </w:r>
    </w:p>
    <w:p w:rsidR="00025C76" w:rsidRPr="000D74AC" w:rsidRDefault="00025C76">
      <w:pPr>
        <w:rPr>
          <w:rFonts w:ascii="Arial" w:hAnsi="Arial" w:cs="Arial"/>
          <w:sz w:val="24"/>
          <w:szCs w:val="24"/>
        </w:rPr>
      </w:pPr>
    </w:p>
    <w:p w:rsidR="00025C76" w:rsidRPr="005602C6" w:rsidRDefault="00025C76" w:rsidP="00025C76">
      <w:pPr>
        <w:numPr>
          <w:ilvl w:val="0"/>
          <w:numId w:val="2"/>
        </w:numPr>
        <w:spacing w:after="0" w:line="240" w:lineRule="auto"/>
        <w:ind w:left="709"/>
        <w:contextualSpacing/>
        <w:jc w:val="both"/>
        <w:rPr>
          <w:rFonts w:ascii="Arial" w:eastAsia="Calibri" w:hAnsi="Arial" w:cs="Arial"/>
          <w:b/>
          <w:sz w:val="24"/>
          <w:szCs w:val="24"/>
          <w:lang w:val="es-ES"/>
        </w:rPr>
      </w:pPr>
      <w:r w:rsidRPr="00025C76">
        <w:rPr>
          <w:rFonts w:ascii="Arial" w:eastAsia="Calibri" w:hAnsi="Arial" w:cs="Arial"/>
          <w:b/>
          <w:sz w:val="24"/>
          <w:szCs w:val="24"/>
          <w:lang w:val="es-ES"/>
        </w:rPr>
        <w:t>Sobre la existencia, o los avances en la creación, de un observatorio nacional de feminicidios y/o observatorio de violencia contra la mujer con función de vigilancia de feminicidios; observatorios en Defensorías del Pueblo u Organismos de Igualdad; instituciones académicas y/o ONGs, o cualquier plan para crear uno.</w:t>
      </w:r>
    </w:p>
    <w:p w:rsidR="00025C76" w:rsidRPr="000D74AC" w:rsidRDefault="00025C76" w:rsidP="00025C76">
      <w:pPr>
        <w:spacing w:after="0" w:line="240" w:lineRule="auto"/>
        <w:ind w:left="709"/>
        <w:contextualSpacing/>
        <w:jc w:val="both"/>
        <w:rPr>
          <w:rFonts w:ascii="Arial" w:eastAsia="Calibri" w:hAnsi="Arial" w:cs="Arial"/>
          <w:bCs/>
          <w:sz w:val="24"/>
          <w:szCs w:val="24"/>
          <w:lang w:val="es-ES"/>
        </w:rPr>
      </w:pPr>
    </w:p>
    <w:p w:rsidR="00F81CDD" w:rsidRPr="005602C6" w:rsidRDefault="00F81CDD" w:rsidP="00F81CDD">
      <w:pPr>
        <w:spacing w:after="0" w:line="240" w:lineRule="auto"/>
        <w:ind w:left="709"/>
        <w:contextualSpacing/>
        <w:jc w:val="both"/>
        <w:rPr>
          <w:rFonts w:ascii="Arial" w:eastAsia="Calibri" w:hAnsi="Arial" w:cs="Arial"/>
          <w:bCs/>
          <w:sz w:val="24"/>
          <w:szCs w:val="24"/>
          <w:lang/>
        </w:rPr>
      </w:pPr>
      <w:r w:rsidRPr="00F81CDD">
        <w:rPr>
          <w:rFonts w:ascii="Arial" w:eastAsia="Calibri" w:hAnsi="Arial" w:cs="Arial"/>
          <w:bCs/>
          <w:sz w:val="24"/>
          <w:szCs w:val="24"/>
          <w:lang/>
        </w:rPr>
        <w:t>Desde el año 2016, el Observatorio de Femicidios de la Defensoría del Pueblo de la Nación (en adelante OFDPN), elabora un registro de datos estadísticos de los femicidios cometidos en Argentina. Incluye en sus estadísticas los asesinatos de mujeres, niñas y personas trans, por razones asociadas con su género, perpetrados por hombres y caratulados como femicidio o como muerte dudosa bajo sospecha de femicidio. Incluye también los femicidios vinculados y los suicidios feminicidas.</w:t>
      </w:r>
    </w:p>
    <w:p w:rsidR="002531E6" w:rsidRPr="005602C6" w:rsidRDefault="002531E6" w:rsidP="00F81CDD">
      <w:pPr>
        <w:spacing w:after="0" w:line="240" w:lineRule="auto"/>
        <w:ind w:left="709"/>
        <w:contextualSpacing/>
        <w:jc w:val="both"/>
        <w:rPr>
          <w:rFonts w:ascii="Arial" w:eastAsia="Calibri" w:hAnsi="Arial" w:cs="Arial"/>
          <w:bCs/>
          <w:sz w:val="24"/>
          <w:szCs w:val="24"/>
          <w:lang/>
        </w:rPr>
      </w:pPr>
    </w:p>
    <w:p w:rsidR="002531E6" w:rsidRPr="005602C6" w:rsidRDefault="002531E6" w:rsidP="002531E6">
      <w:pPr>
        <w:spacing w:after="0" w:line="240" w:lineRule="auto"/>
        <w:ind w:left="709"/>
        <w:contextualSpacing/>
        <w:jc w:val="both"/>
        <w:rPr>
          <w:rFonts w:ascii="Arial" w:eastAsia="Calibri" w:hAnsi="Arial" w:cs="Arial"/>
          <w:bCs/>
          <w:sz w:val="24"/>
          <w:szCs w:val="24"/>
          <w:lang/>
        </w:rPr>
      </w:pPr>
      <w:r w:rsidRPr="005602C6">
        <w:rPr>
          <w:rFonts w:ascii="Arial" w:eastAsia="Calibri" w:hAnsi="Arial" w:cs="Arial"/>
          <w:bCs/>
          <w:sz w:val="24"/>
          <w:szCs w:val="24"/>
          <w:lang/>
        </w:rPr>
        <w:t>El 12 de abril de 2017, la Relatora Especial, Dubravka Šimonović señaló a esta INDH que “…</w:t>
      </w:r>
      <w:r w:rsidRPr="008E2332">
        <w:rPr>
          <w:rFonts w:ascii="Arial" w:eastAsia="Calibri" w:hAnsi="Arial" w:cs="Arial"/>
          <w:bCs/>
          <w:i/>
          <w:iCs/>
          <w:sz w:val="24"/>
          <w:szCs w:val="24"/>
          <w:lang/>
        </w:rPr>
        <w:t>si queremos datos comparables sería mejor mirar el año calendario… Esto sería desde el 1 de enero hasta el 31 de diciembre del año XXXX, con proclamación el 25 de noviembre del XXXX año. El día 25, el número de femicidios aún no estará cerrado para ese año, [pero] podría ser modificado si hubiera un aumento en números hasta el final del año</w:t>
      </w:r>
      <w:r w:rsidRPr="005602C6">
        <w:rPr>
          <w:rFonts w:ascii="Arial" w:eastAsia="Calibri" w:hAnsi="Arial" w:cs="Arial"/>
          <w:bCs/>
          <w:sz w:val="24"/>
          <w:szCs w:val="24"/>
          <w:lang/>
        </w:rPr>
        <w:t xml:space="preserve">”. </w:t>
      </w:r>
    </w:p>
    <w:p w:rsidR="002531E6" w:rsidRPr="005602C6" w:rsidRDefault="002531E6" w:rsidP="002531E6">
      <w:pPr>
        <w:spacing w:after="0" w:line="240" w:lineRule="auto"/>
        <w:ind w:left="709"/>
        <w:contextualSpacing/>
        <w:jc w:val="both"/>
        <w:rPr>
          <w:rFonts w:ascii="Arial" w:eastAsia="Calibri" w:hAnsi="Arial" w:cs="Arial"/>
          <w:bCs/>
          <w:sz w:val="24"/>
          <w:szCs w:val="24"/>
          <w:lang/>
        </w:rPr>
      </w:pPr>
      <w:r w:rsidRPr="005602C6">
        <w:rPr>
          <w:rFonts w:ascii="Arial" w:eastAsia="Calibri" w:hAnsi="Arial" w:cs="Arial"/>
          <w:bCs/>
          <w:sz w:val="24"/>
          <w:szCs w:val="24"/>
          <w:lang/>
        </w:rPr>
        <w:t xml:space="preserve">Por ello, mediante Resolución DPA Nº 000030/17, del 19 de abril de 2017, se modificó el artículo 3º de </w:t>
      </w:r>
      <w:r w:rsidR="000D74AC" w:rsidRPr="005602C6">
        <w:rPr>
          <w:rFonts w:ascii="Arial" w:eastAsia="Calibri" w:hAnsi="Arial" w:cs="Arial"/>
          <w:bCs/>
          <w:sz w:val="24"/>
          <w:szCs w:val="24"/>
          <w:lang/>
        </w:rPr>
        <w:t>la</w:t>
      </w:r>
      <w:r w:rsidRPr="005602C6">
        <w:rPr>
          <w:rFonts w:ascii="Arial" w:eastAsia="Calibri" w:hAnsi="Arial" w:cs="Arial"/>
          <w:bCs/>
          <w:sz w:val="24"/>
          <w:szCs w:val="24"/>
          <w:lang/>
        </w:rPr>
        <w:t xml:space="preserve"> Resolución DPA N° 00049/16</w:t>
      </w:r>
      <w:r w:rsidR="000D74AC" w:rsidRPr="005602C6">
        <w:rPr>
          <w:rFonts w:ascii="Arial" w:eastAsia="Calibri" w:hAnsi="Arial" w:cs="Arial"/>
          <w:bCs/>
          <w:sz w:val="24"/>
          <w:szCs w:val="24"/>
          <w:lang/>
        </w:rPr>
        <w:t xml:space="preserve"> por la que se creó el Observatorio en 2016</w:t>
      </w:r>
      <w:r w:rsidRPr="005602C6">
        <w:rPr>
          <w:rFonts w:ascii="Arial" w:eastAsia="Calibri" w:hAnsi="Arial" w:cs="Arial"/>
          <w:bCs/>
          <w:sz w:val="24"/>
          <w:szCs w:val="24"/>
          <w:lang/>
        </w:rPr>
        <w:t>, señalándose que: “</w:t>
      </w:r>
      <w:r w:rsidRPr="008E2332">
        <w:rPr>
          <w:rFonts w:ascii="Arial" w:eastAsia="Calibri" w:hAnsi="Arial" w:cs="Arial"/>
          <w:bCs/>
          <w:i/>
          <w:iCs/>
          <w:sz w:val="24"/>
          <w:szCs w:val="24"/>
          <w:lang/>
        </w:rPr>
        <w:t>El Observatorio efectuará el relevamiento de femicidios por períodos anuales que comenzarán el día 1 de enero y finalizarán el día 31 de diciembre de cada año, con publicaciones el 25 de noviembre y los primeros días de enero del año siguiente, a fin de completar los datos y estadísticas de los femicidios, si ocurriere un aumento en números hasta el final del año</w:t>
      </w:r>
      <w:r w:rsidRPr="005602C6">
        <w:rPr>
          <w:rFonts w:ascii="Arial" w:eastAsia="Calibri" w:hAnsi="Arial" w:cs="Arial"/>
          <w:bCs/>
          <w:sz w:val="24"/>
          <w:szCs w:val="24"/>
          <w:lang/>
        </w:rPr>
        <w:t xml:space="preserve">”. </w:t>
      </w:r>
    </w:p>
    <w:p w:rsidR="002531E6" w:rsidRPr="005602C6" w:rsidRDefault="002531E6" w:rsidP="002531E6">
      <w:pPr>
        <w:spacing w:after="0" w:line="240" w:lineRule="auto"/>
        <w:ind w:left="709"/>
        <w:contextualSpacing/>
        <w:jc w:val="both"/>
        <w:rPr>
          <w:rFonts w:ascii="Arial" w:eastAsia="Calibri" w:hAnsi="Arial" w:cs="Arial"/>
          <w:bCs/>
          <w:sz w:val="24"/>
          <w:szCs w:val="24"/>
          <w:lang/>
        </w:rPr>
      </w:pPr>
    </w:p>
    <w:p w:rsidR="00F81CDD" w:rsidRPr="005602C6" w:rsidRDefault="00F81CDD" w:rsidP="002531E6">
      <w:pPr>
        <w:spacing w:after="0" w:line="240" w:lineRule="auto"/>
        <w:ind w:left="709"/>
        <w:contextualSpacing/>
        <w:jc w:val="both"/>
        <w:rPr>
          <w:rFonts w:ascii="Arial" w:eastAsia="Calibri" w:hAnsi="Arial" w:cs="Arial"/>
          <w:bCs/>
          <w:sz w:val="24"/>
          <w:szCs w:val="24"/>
          <w:lang/>
        </w:rPr>
      </w:pPr>
      <w:r w:rsidRPr="00F81CDD">
        <w:rPr>
          <w:rFonts w:ascii="Arial" w:eastAsia="Calibri" w:hAnsi="Arial" w:cs="Arial"/>
          <w:bCs/>
          <w:sz w:val="24"/>
          <w:szCs w:val="24"/>
          <w:lang/>
        </w:rPr>
        <w:t xml:space="preserve">La información a la que accede para registrar </w:t>
      </w:r>
      <w:r w:rsidR="000D74AC" w:rsidRPr="005602C6">
        <w:rPr>
          <w:rFonts w:ascii="Arial" w:eastAsia="Calibri" w:hAnsi="Arial" w:cs="Arial"/>
          <w:bCs/>
          <w:sz w:val="24"/>
          <w:szCs w:val="24"/>
          <w:lang/>
        </w:rPr>
        <w:t>casos</w:t>
      </w:r>
      <w:r w:rsidRPr="00F81CDD">
        <w:rPr>
          <w:rFonts w:ascii="Arial" w:eastAsia="Calibri" w:hAnsi="Arial" w:cs="Arial"/>
          <w:bCs/>
          <w:sz w:val="24"/>
          <w:szCs w:val="24"/>
          <w:lang/>
        </w:rPr>
        <w:t xml:space="preserve"> se obtiene a partir de la revisión y recopilación diaria de periódicos y medios digitales de todo el país. Complementariamente, se realizan consultas a comisarías, fiscalías</w:t>
      </w:r>
      <w:r w:rsidR="008E2332">
        <w:rPr>
          <w:rFonts w:ascii="Arial" w:eastAsia="Calibri" w:hAnsi="Arial" w:cs="Arial"/>
          <w:bCs/>
          <w:sz w:val="24"/>
          <w:szCs w:val="24"/>
          <w:lang/>
        </w:rPr>
        <w:t>, juzgados</w:t>
      </w:r>
      <w:r w:rsidRPr="00F81CDD">
        <w:rPr>
          <w:rFonts w:ascii="Arial" w:eastAsia="Calibri" w:hAnsi="Arial" w:cs="Arial"/>
          <w:bCs/>
          <w:sz w:val="24"/>
          <w:szCs w:val="24"/>
          <w:lang/>
        </w:rPr>
        <w:t xml:space="preserve"> y hospitales.</w:t>
      </w:r>
    </w:p>
    <w:p w:rsidR="002531E6" w:rsidRPr="005602C6" w:rsidRDefault="002531E6" w:rsidP="00F81CDD">
      <w:pPr>
        <w:spacing w:after="0" w:line="240" w:lineRule="auto"/>
        <w:ind w:left="709"/>
        <w:contextualSpacing/>
        <w:jc w:val="both"/>
        <w:rPr>
          <w:rFonts w:ascii="Arial" w:eastAsia="Calibri" w:hAnsi="Arial" w:cs="Arial"/>
          <w:bCs/>
          <w:sz w:val="24"/>
          <w:szCs w:val="24"/>
          <w:lang/>
        </w:rPr>
      </w:pPr>
    </w:p>
    <w:p w:rsidR="000D74AC" w:rsidRPr="005602C6" w:rsidRDefault="005602C6" w:rsidP="00F81CDD">
      <w:pPr>
        <w:spacing w:after="0" w:line="240" w:lineRule="auto"/>
        <w:ind w:left="709"/>
        <w:contextualSpacing/>
        <w:jc w:val="both"/>
        <w:rPr>
          <w:rFonts w:ascii="Arial" w:eastAsia="Calibri" w:hAnsi="Arial" w:cs="Arial"/>
          <w:bCs/>
          <w:sz w:val="24"/>
          <w:szCs w:val="24"/>
          <w:lang/>
        </w:rPr>
      </w:pPr>
      <w:r>
        <w:rPr>
          <w:rFonts w:ascii="Arial" w:eastAsia="Calibri" w:hAnsi="Arial" w:cs="Arial"/>
          <w:bCs/>
          <w:sz w:val="24"/>
          <w:szCs w:val="24"/>
          <w:lang/>
        </w:rPr>
        <w:lastRenderedPageBreak/>
        <w:t xml:space="preserve">Por </w:t>
      </w:r>
      <w:r w:rsidRPr="005602C6">
        <w:rPr>
          <w:rFonts w:ascii="Arial" w:eastAsia="Calibri" w:hAnsi="Arial" w:cs="Arial"/>
          <w:bCs/>
          <w:sz w:val="24"/>
          <w:szCs w:val="24"/>
        </w:rPr>
        <w:t xml:space="preserve">Decreto </w:t>
      </w:r>
      <w:r w:rsidR="008E2332">
        <w:rPr>
          <w:rFonts w:ascii="Arial" w:eastAsia="Calibri" w:hAnsi="Arial" w:cs="Arial"/>
          <w:bCs/>
          <w:sz w:val="24"/>
          <w:szCs w:val="24"/>
        </w:rPr>
        <w:t xml:space="preserve">Nº </w:t>
      </w:r>
      <w:r w:rsidRPr="005602C6">
        <w:rPr>
          <w:rFonts w:ascii="Arial" w:eastAsia="Calibri" w:hAnsi="Arial" w:cs="Arial"/>
          <w:bCs/>
          <w:sz w:val="24"/>
          <w:szCs w:val="24"/>
        </w:rPr>
        <w:t>123/2021</w:t>
      </w:r>
      <w:r w:rsidR="000D0F49">
        <w:rPr>
          <w:rStyle w:val="Refdenotaalpie"/>
          <w:rFonts w:ascii="Arial" w:eastAsia="Calibri" w:hAnsi="Arial" w:cs="Arial"/>
          <w:bCs/>
          <w:sz w:val="24"/>
          <w:szCs w:val="24"/>
        </w:rPr>
        <w:footnoteReference w:id="1"/>
      </w:r>
      <w:r>
        <w:rPr>
          <w:rFonts w:ascii="Arial" w:eastAsia="Calibri" w:hAnsi="Arial" w:cs="Arial"/>
          <w:bCs/>
          <w:sz w:val="24"/>
          <w:szCs w:val="24"/>
        </w:rPr>
        <w:t xml:space="preserve"> del </w:t>
      </w:r>
      <w:r w:rsidRPr="005602C6">
        <w:rPr>
          <w:rFonts w:ascii="Arial" w:eastAsia="Calibri" w:hAnsi="Arial" w:cs="Arial"/>
          <w:bCs/>
          <w:sz w:val="24"/>
          <w:szCs w:val="24"/>
        </w:rPr>
        <w:t>21/02/2021</w:t>
      </w:r>
      <w:r>
        <w:rPr>
          <w:rFonts w:ascii="Arial" w:eastAsia="Calibri" w:hAnsi="Arial" w:cs="Arial"/>
          <w:bCs/>
          <w:sz w:val="24"/>
          <w:szCs w:val="24"/>
        </w:rPr>
        <w:t xml:space="preserve">, el Estado Nacional creó el </w:t>
      </w:r>
      <w:r w:rsidRPr="005602C6">
        <w:rPr>
          <w:rFonts w:ascii="Arial" w:eastAsia="Calibri" w:hAnsi="Arial" w:cs="Arial"/>
          <w:bCs/>
          <w:sz w:val="24"/>
          <w:szCs w:val="24"/>
        </w:rPr>
        <w:t>CONSEJO FEDERAL PARA LA PREVENCIÓN Y EL ABORDAJE DE FEMICIDIOS, TRAVESTICIDIOS Y TRANSFEMICIDIOS</w:t>
      </w:r>
      <w:r>
        <w:rPr>
          <w:rFonts w:ascii="Arial" w:eastAsia="Calibri" w:hAnsi="Arial" w:cs="Arial"/>
          <w:bCs/>
          <w:sz w:val="24"/>
          <w:szCs w:val="24"/>
        </w:rPr>
        <w:t xml:space="preserve">. </w:t>
      </w:r>
      <w:r w:rsidR="000D0F49">
        <w:rPr>
          <w:rFonts w:ascii="Arial" w:eastAsia="Calibri" w:hAnsi="Arial" w:cs="Arial"/>
          <w:bCs/>
          <w:sz w:val="24"/>
          <w:szCs w:val="24"/>
        </w:rPr>
        <w:t>E</w:t>
      </w:r>
      <w:r>
        <w:rPr>
          <w:rFonts w:ascii="Arial" w:eastAsia="Calibri" w:hAnsi="Arial" w:cs="Arial"/>
          <w:bCs/>
          <w:sz w:val="24"/>
          <w:szCs w:val="24"/>
        </w:rPr>
        <w:t xml:space="preserve">ntre sus </w:t>
      </w:r>
      <w:r w:rsidR="000D0F49">
        <w:rPr>
          <w:rFonts w:ascii="Arial" w:eastAsia="Calibri" w:hAnsi="Arial" w:cs="Arial"/>
          <w:bCs/>
          <w:sz w:val="24"/>
          <w:szCs w:val="24"/>
        </w:rPr>
        <w:t>funciones</w:t>
      </w:r>
      <w:r w:rsidR="000D0F49" w:rsidRPr="000D0F49">
        <w:rPr>
          <w:rFonts w:ascii="Arial" w:eastAsia="Calibri" w:hAnsi="Arial" w:cs="Arial"/>
          <w:bCs/>
          <w:sz w:val="24"/>
          <w:szCs w:val="24"/>
        </w:rPr>
        <w:t xml:space="preserve"> </w:t>
      </w:r>
      <w:r w:rsidR="000D0F49">
        <w:rPr>
          <w:rFonts w:ascii="Arial" w:eastAsia="Calibri" w:hAnsi="Arial" w:cs="Arial"/>
          <w:bCs/>
          <w:sz w:val="24"/>
          <w:szCs w:val="24"/>
        </w:rPr>
        <w:t>se establece la de “</w:t>
      </w:r>
      <w:r w:rsidR="000D0F49" w:rsidRPr="008E2332">
        <w:rPr>
          <w:rFonts w:ascii="Arial" w:eastAsia="Calibri" w:hAnsi="Arial" w:cs="Arial"/>
          <w:bCs/>
          <w:i/>
          <w:iCs/>
          <w:sz w:val="24"/>
          <w:szCs w:val="24"/>
        </w:rPr>
        <w:t>unificar los sistemas de registro y gestión de la información</w:t>
      </w:r>
      <w:r w:rsidR="000D0F49">
        <w:rPr>
          <w:rFonts w:ascii="Arial" w:eastAsia="Calibri" w:hAnsi="Arial" w:cs="Arial"/>
          <w:bCs/>
          <w:sz w:val="24"/>
          <w:szCs w:val="24"/>
        </w:rPr>
        <w:t>”</w:t>
      </w:r>
      <w:r w:rsidR="000D0F49" w:rsidRPr="000D0F49">
        <w:rPr>
          <w:rFonts w:ascii="Arial" w:eastAsia="Calibri" w:hAnsi="Arial" w:cs="Arial"/>
          <w:bCs/>
          <w:sz w:val="24"/>
          <w:szCs w:val="24"/>
        </w:rPr>
        <w:t>.</w:t>
      </w:r>
      <w:r w:rsidR="000D0F49">
        <w:rPr>
          <w:rFonts w:ascii="Arial" w:eastAsia="Calibri" w:hAnsi="Arial" w:cs="Arial"/>
          <w:bCs/>
          <w:sz w:val="24"/>
          <w:szCs w:val="24"/>
        </w:rPr>
        <w:t xml:space="preserve"> Hasta la fecha, esta INDH no ha sido convocada a presentar sus datos</w:t>
      </w:r>
      <w:r w:rsidR="008E2332">
        <w:rPr>
          <w:rFonts w:ascii="Arial" w:eastAsia="Calibri" w:hAnsi="Arial" w:cs="Arial"/>
          <w:bCs/>
          <w:sz w:val="24"/>
          <w:szCs w:val="24"/>
        </w:rPr>
        <w:t>, a pesar de la entrevista que se tuvo previamente con la Ministra de Mujeres, Géneros y Diversidad.</w:t>
      </w:r>
    </w:p>
    <w:p w:rsidR="000D74AC" w:rsidRPr="005602C6" w:rsidRDefault="000D74AC" w:rsidP="00F81CDD">
      <w:pPr>
        <w:spacing w:after="0" w:line="240" w:lineRule="auto"/>
        <w:ind w:left="709"/>
        <w:contextualSpacing/>
        <w:jc w:val="both"/>
        <w:rPr>
          <w:rFonts w:ascii="Arial" w:eastAsia="Calibri" w:hAnsi="Arial" w:cs="Arial"/>
          <w:bCs/>
          <w:sz w:val="24"/>
          <w:szCs w:val="24"/>
          <w:lang/>
        </w:rPr>
      </w:pPr>
    </w:p>
    <w:p w:rsidR="002531E6" w:rsidRDefault="000D74AC" w:rsidP="002531E6">
      <w:pPr>
        <w:spacing w:after="0" w:line="240" w:lineRule="auto"/>
        <w:ind w:left="709"/>
        <w:contextualSpacing/>
        <w:jc w:val="both"/>
        <w:rPr>
          <w:rFonts w:ascii="Arial" w:eastAsia="Calibri" w:hAnsi="Arial" w:cs="Arial"/>
          <w:bCs/>
          <w:sz w:val="24"/>
          <w:szCs w:val="24"/>
        </w:rPr>
      </w:pPr>
      <w:r w:rsidRPr="005602C6">
        <w:rPr>
          <w:rFonts w:ascii="Arial" w:eastAsia="Calibri" w:hAnsi="Arial" w:cs="Arial"/>
          <w:bCs/>
          <w:sz w:val="24"/>
          <w:szCs w:val="24"/>
          <w:lang/>
        </w:rPr>
        <w:t>Asimismo</w:t>
      </w:r>
      <w:r w:rsidR="002531E6" w:rsidRPr="005602C6">
        <w:rPr>
          <w:rFonts w:ascii="Arial" w:eastAsia="Calibri" w:hAnsi="Arial" w:cs="Arial"/>
          <w:bCs/>
          <w:sz w:val="24"/>
          <w:szCs w:val="24"/>
          <w:lang/>
        </w:rPr>
        <w:t xml:space="preserve">, </w:t>
      </w:r>
      <w:r w:rsidRPr="005602C6">
        <w:rPr>
          <w:rFonts w:ascii="Arial" w:eastAsia="Calibri" w:hAnsi="Arial" w:cs="Arial"/>
          <w:bCs/>
          <w:sz w:val="24"/>
          <w:szCs w:val="24"/>
          <w:lang/>
        </w:rPr>
        <w:t xml:space="preserve">destacamos que </w:t>
      </w:r>
      <w:r w:rsidR="002531E6" w:rsidRPr="005602C6">
        <w:rPr>
          <w:rFonts w:ascii="Arial" w:eastAsia="Calibri" w:hAnsi="Arial" w:cs="Arial"/>
          <w:bCs/>
          <w:sz w:val="24"/>
          <w:szCs w:val="24"/>
        </w:rPr>
        <w:t>nos encontramos organizando, con</w:t>
      </w:r>
      <w:r w:rsidR="002531E6" w:rsidRPr="002531E6">
        <w:rPr>
          <w:rFonts w:ascii="Arial" w:eastAsia="Calibri" w:hAnsi="Arial" w:cs="Arial"/>
          <w:bCs/>
          <w:sz w:val="24"/>
          <w:szCs w:val="24"/>
        </w:rPr>
        <w:t xml:space="preserve"> </w:t>
      </w:r>
      <w:r w:rsidR="002531E6" w:rsidRPr="005602C6">
        <w:rPr>
          <w:rFonts w:ascii="Arial" w:eastAsia="Calibri" w:hAnsi="Arial" w:cs="Arial"/>
          <w:bCs/>
          <w:sz w:val="24"/>
          <w:szCs w:val="24"/>
        </w:rPr>
        <w:t xml:space="preserve">la Defensoría de Villa María, </w:t>
      </w:r>
      <w:r w:rsidR="008E2332">
        <w:rPr>
          <w:rFonts w:ascii="Arial" w:eastAsia="Calibri" w:hAnsi="Arial" w:cs="Arial"/>
          <w:bCs/>
          <w:sz w:val="24"/>
          <w:szCs w:val="24"/>
        </w:rPr>
        <w:t xml:space="preserve">a cargo de Alicia Peressutti, </w:t>
      </w:r>
      <w:r w:rsidR="002531E6" w:rsidRPr="005602C6">
        <w:rPr>
          <w:rFonts w:ascii="Arial" w:eastAsia="Calibri" w:hAnsi="Arial" w:cs="Arial"/>
          <w:bCs/>
          <w:sz w:val="24"/>
          <w:szCs w:val="24"/>
        </w:rPr>
        <w:t xml:space="preserve">provincia de Córdoba, </w:t>
      </w:r>
      <w:r w:rsidR="008E2332">
        <w:rPr>
          <w:rFonts w:ascii="Arial" w:eastAsia="Calibri" w:hAnsi="Arial" w:cs="Arial"/>
          <w:bCs/>
          <w:sz w:val="24"/>
          <w:szCs w:val="24"/>
        </w:rPr>
        <w:t>la Asociación Vínculos en Red, Casa de Nazareth, entre otras, un Obse</w:t>
      </w:r>
      <w:r w:rsidR="008E2332" w:rsidRPr="005602C6">
        <w:rPr>
          <w:rFonts w:ascii="Arial" w:eastAsia="Calibri" w:hAnsi="Arial" w:cs="Arial"/>
          <w:bCs/>
          <w:sz w:val="24"/>
          <w:szCs w:val="24"/>
        </w:rPr>
        <w:t xml:space="preserve">rvatorio de </w:t>
      </w:r>
      <w:r w:rsidR="008E2332">
        <w:rPr>
          <w:rFonts w:ascii="Arial" w:eastAsia="Calibri" w:hAnsi="Arial" w:cs="Arial"/>
          <w:bCs/>
          <w:sz w:val="24"/>
          <w:szCs w:val="24"/>
        </w:rPr>
        <w:t>V</w:t>
      </w:r>
      <w:r w:rsidR="008E2332" w:rsidRPr="005602C6">
        <w:rPr>
          <w:rFonts w:ascii="Arial" w:eastAsia="Calibri" w:hAnsi="Arial" w:cs="Arial"/>
          <w:bCs/>
          <w:sz w:val="24"/>
          <w:szCs w:val="24"/>
        </w:rPr>
        <w:t xml:space="preserve">iolencias contra la </w:t>
      </w:r>
      <w:r w:rsidR="008E2332">
        <w:rPr>
          <w:rFonts w:ascii="Arial" w:eastAsia="Calibri" w:hAnsi="Arial" w:cs="Arial"/>
          <w:bCs/>
          <w:sz w:val="24"/>
          <w:szCs w:val="24"/>
        </w:rPr>
        <w:t>M</w:t>
      </w:r>
      <w:r w:rsidR="008E2332" w:rsidRPr="005602C6">
        <w:rPr>
          <w:rFonts w:ascii="Arial" w:eastAsia="Calibri" w:hAnsi="Arial" w:cs="Arial"/>
          <w:bCs/>
          <w:sz w:val="24"/>
          <w:szCs w:val="24"/>
        </w:rPr>
        <w:t xml:space="preserve">ujer y </w:t>
      </w:r>
      <w:r w:rsidR="008E2332">
        <w:rPr>
          <w:rFonts w:ascii="Arial" w:eastAsia="Calibri" w:hAnsi="Arial" w:cs="Arial"/>
          <w:bCs/>
          <w:sz w:val="24"/>
          <w:szCs w:val="24"/>
        </w:rPr>
        <w:t>T</w:t>
      </w:r>
      <w:r w:rsidR="008E2332" w:rsidRPr="005602C6">
        <w:rPr>
          <w:rFonts w:ascii="Arial" w:eastAsia="Calibri" w:hAnsi="Arial" w:cs="Arial"/>
          <w:bCs/>
          <w:sz w:val="24"/>
          <w:szCs w:val="24"/>
        </w:rPr>
        <w:t xml:space="preserve">rata de </w:t>
      </w:r>
      <w:r w:rsidR="008E2332">
        <w:rPr>
          <w:rFonts w:ascii="Arial" w:eastAsia="Calibri" w:hAnsi="Arial" w:cs="Arial"/>
          <w:bCs/>
          <w:sz w:val="24"/>
          <w:szCs w:val="24"/>
        </w:rPr>
        <w:t>P</w:t>
      </w:r>
      <w:r w:rsidR="008E2332" w:rsidRPr="005602C6">
        <w:rPr>
          <w:rFonts w:ascii="Arial" w:eastAsia="Calibri" w:hAnsi="Arial" w:cs="Arial"/>
          <w:bCs/>
          <w:sz w:val="24"/>
          <w:szCs w:val="24"/>
        </w:rPr>
        <w:t>ersonas</w:t>
      </w:r>
      <w:r w:rsidR="008E2332">
        <w:rPr>
          <w:rFonts w:ascii="Arial" w:eastAsia="Calibri" w:hAnsi="Arial" w:cs="Arial"/>
          <w:bCs/>
          <w:sz w:val="24"/>
          <w:szCs w:val="24"/>
        </w:rPr>
        <w:t>. En esa Defensoría como en</w:t>
      </w:r>
      <w:r w:rsidR="008E2332" w:rsidRPr="005602C6">
        <w:rPr>
          <w:rFonts w:ascii="Arial" w:eastAsia="Calibri" w:hAnsi="Arial" w:cs="Arial"/>
          <w:bCs/>
          <w:sz w:val="24"/>
          <w:szCs w:val="24"/>
        </w:rPr>
        <w:t xml:space="preserve"> </w:t>
      </w:r>
      <w:r w:rsidR="002531E6" w:rsidRPr="005602C6">
        <w:rPr>
          <w:rFonts w:ascii="Arial" w:eastAsia="Calibri" w:hAnsi="Arial" w:cs="Arial"/>
          <w:bCs/>
          <w:sz w:val="24"/>
          <w:szCs w:val="24"/>
        </w:rPr>
        <w:t>el Refugio Mamá Antula</w:t>
      </w:r>
      <w:r w:rsidR="008F4E98">
        <w:rPr>
          <w:rFonts w:ascii="Arial" w:eastAsia="Calibri" w:hAnsi="Arial" w:cs="Arial"/>
          <w:bCs/>
          <w:sz w:val="24"/>
          <w:szCs w:val="24"/>
        </w:rPr>
        <w:t>, también de Villa María,</w:t>
      </w:r>
      <w:r w:rsidR="002531E6" w:rsidRPr="005602C6">
        <w:rPr>
          <w:rFonts w:ascii="Arial" w:eastAsia="Calibri" w:hAnsi="Arial" w:cs="Arial"/>
          <w:bCs/>
          <w:sz w:val="24"/>
          <w:szCs w:val="24"/>
        </w:rPr>
        <w:t xml:space="preserve"> que alberga mujeres del colectivo LGTBI, labora personal de nuestra institución. </w:t>
      </w:r>
    </w:p>
    <w:p w:rsidR="00D30E81" w:rsidRDefault="00D30E81" w:rsidP="002531E6">
      <w:pPr>
        <w:spacing w:after="0" w:line="240" w:lineRule="auto"/>
        <w:ind w:left="709"/>
        <w:contextualSpacing/>
        <w:jc w:val="both"/>
        <w:rPr>
          <w:rFonts w:ascii="Arial" w:eastAsia="Calibri" w:hAnsi="Arial" w:cs="Arial"/>
          <w:bCs/>
          <w:sz w:val="24"/>
          <w:szCs w:val="24"/>
        </w:rPr>
      </w:pPr>
    </w:p>
    <w:p w:rsidR="00025C76" w:rsidRPr="00777EE5" w:rsidRDefault="00025C76" w:rsidP="00025C76">
      <w:pPr>
        <w:numPr>
          <w:ilvl w:val="0"/>
          <w:numId w:val="2"/>
        </w:numPr>
        <w:spacing w:after="0" w:line="240" w:lineRule="auto"/>
        <w:ind w:left="709"/>
        <w:contextualSpacing/>
        <w:jc w:val="both"/>
        <w:rPr>
          <w:rFonts w:ascii="Arial" w:eastAsia="Calibri" w:hAnsi="Arial" w:cs="Arial"/>
          <w:b/>
          <w:sz w:val="24"/>
          <w:szCs w:val="24"/>
          <w:lang w:val="es-ES"/>
        </w:rPr>
      </w:pPr>
      <w:r w:rsidRPr="00025C76">
        <w:rPr>
          <w:rFonts w:ascii="Arial" w:eastAsia="Calibri" w:hAnsi="Arial" w:cs="Arial"/>
          <w:b/>
          <w:sz w:val="24"/>
          <w:szCs w:val="24"/>
          <w:lang w:val="es-ES"/>
        </w:rPr>
        <w:t>Sobre otras medidas, incluidas las investigaciones y estudios realizados para analizar los feminicidios o los asesinatos de mujeres y niñas por razones de género, o los homicidios de mujeres por parte de sus parejas o familiares y otros feminicidios. Si están disponibles, por favor compartir una copia de tales estudios.</w:t>
      </w:r>
    </w:p>
    <w:p w:rsidR="00025C76" w:rsidRDefault="00025C76" w:rsidP="00025C76">
      <w:pPr>
        <w:pStyle w:val="Prrafodelista"/>
        <w:ind w:left="709"/>
        <w:rPr>
          <w:rFonts w:ascii="Arial" w:eastAsia="Calibri" w:hAnsi="Arial" w:cs="Arial"/>
          <w:bCs/>
          <w:sz w:val="24"/>
          <w:szCs w:val="24"/>
          <w:lang w:val="es-ES"/>
        </w:rPr>
      </w:pPr>
    </w:p>
    <w:p w:rsidR="000D0F49" w:rsidRDefault="000D0F49" w:rsidP="000D0F49">
      <w:pPr>
        <w:pStyle w:val="Prrafodelista"/>
        <w:ind w:left="709"/>
        <w:jc w:val="both"/>
        <w:rPr>
          <w:rFonts w:ascii="Arial" w:eastAsia="Calibri" w:hAnsi="Arial" w:cs="Arial"/>
          <w:i/>
          <w:sz w:val="24"/>
          <w:szCs w:val="24"/>
          <w:lang/>
        </w:rPr>
      </w:pPr>
      <w:r>
        <w:rPr>
          <w:rFonts w:ascii="Arial" w:eastAsia="Calibri" w:hAnsi="Arial" w:cs="Arial"/>
          <w:bCs/>
          <w:sz w:val="24"/>
          <w:szCs w:val="24"/>
          <w:lang w:val="es-ES"/>
        </w:rPr>
        <w:t xml:space="preserve">Compartimos los estudios realizados por el OFDPN que se encuentran el </w:t>
      </w:r>
      <w:r w:rsidRPr="000D0F49">
        <w:rPr>
          <w:rFonts w:ascii="Arial" w:eastAsia="Calibri" w:hAnsi="Arial" w:cs="Arial"/>
          <w:i/>
          <w:sz w:val="24"/>
          <w:szCs w:val="24"/>
          <w:lang/>
        </w:rPr>
        <w:t>Informe Anual del Observatorio de Femicidios de la Defensoría del Pueblo de la Nación del período entre el 01 de enero al 31 de diciembre de 2020</w:t>
      </w:r>
      <w:r w:rsidR="001B63AA">
        <w:rPr>
          <w:rFonts w:ascii="Arial" w:eastAsia="Calibri" w:hAnsi="Arial" w:cs="Arial"/>
          <w:i/>
          <w:sz w:val="24"/>
          <w:szCs w:val="24"/>
          <w:lang/>
        </w:rPr>
        <w:t>:</w:t>
      </w:r>
    </w:p>
    <w:p w:rsidR="00FA2FDB" w:rsidRDefault="00FA2FDB" w:rsidP="000D0F49">
      <w:pPr>
        <w:pStyle w:val="Prrafodelista"/>
        <w:ind w:left="709"/>
        <w:jc w:val="both"/>
        <w:rPr>
          <w:rFonts w:ascii="Arial" w:eastAsia="Calibri" w:hAnsi="Arial" w:cs="Arial"/>
          <w:i/>
          <w:sz w:val="24"/>
          <w:szCs w:val="24"/>
          <w:lang/>
        </w:rPr>
      </w:pPr>
    </w:p>
    <w:p w:rsidR="00A4098B" w:rsidRPr="00A4098B" w:rsidRDefault="00A4098B" w:rsidP="00A4098B">
      <w:pPr>
        <w:ind w:left="709"/>
        <w:jc w:val="both"/>
        <w:rPr>
          <w:rFonts w:ascii="Arial" w:hAnsi="Arial" w:cs="Arial"/>
          <w:sz w:val="24"/>
          <w:szCs w:val="24"/>
        </w:rPr>
      </w:pPr>
      <w:r w:rsidRPr="00A4098B">
        <w:rPr>
          <w:rFonts w:ascii="Arial" w:hAnsi="Arial" w:cs="Arial"/>
          <w:sz w:val="24"/>
          <w:szCs w:val="24"/>
        </w:rPr>
        <w:t xml:space="preserve">Se detectó que durante los 12 meses del año se registraron </w:t>
      </w:r>
      <w:r w:rsidRPr="00A4098B">
        <w:rPr>
          <w:rFonts w:ascii="Arial" w:hAnsi="Arial" w:cs="Arial"/>
          <w:b/>
          <w:sz w:val="24"/>
          <w:szCs w:val="24"/>
        </w:rPr>
        <w:t>295 víctimas de femicidio confirmadas</w:t>
      </w:r>
      <w:r w:rsidRPr="00A4098B">
        <w:rPr>
          <w:rFonts w:ascii="Arial" w:hAnsi="Arial" w:cs="Arial"/>
          <w:sz w:val="24"/>
          <w:szCs w:val="24"/>
        </w:rPr>
        <w:t>, incluyendo 29 femicidios vinculados, 8 personas Trans y 5 suicidios feminicidas.</w:t>
      </w:r>
    </w:p>
    <w:p w:rsidR="00A4098B" w:rsidRDefault="00A4098B" w:rsidP="00A4098B">
      <w:pPr>
        <w:ind w:left="709"/>
        <w:jc w:val="both"/>
        <w:rPr>
          <w:b/>
          <w:sz w:val="24"/>
          <w:szCs w:val="24"/>
          <w:u w:val="single"/>
        </w:rPr>
      </w:pPr>
    </w:p>
    <w:p w:rsidR="00FA2FDB" w:rsidRDefault="00FA2FDB" w:rsidP="00FA2FDB">
      <w:pPr>
        <w:pStyle w:val="Prrafodelista"/>
        <w:ind w:left="709"/>
        <w:jc w:val="center"/>
        <w:rPr>
          <w:rFonts w:ascii="Arial" w:eastAsia="Calibri" w:hAnsi="Arial" w:cs="Arial"/>
          <w:bCs/>
          <w:sz w:val="24"/>
          <w:szCs w:val="24"/>
          <w:lang w:val="es-ES"/>
        </w:rPr>
      </w:pPr>
      <w:r>
        <w:rPr>
          <w:noProof/>
          <w:lang w:eastAsia="es-AR"/>
        </w:rPr>
        <w:lastRenderedPageBreak/>
        <w:drawing>
          <wp:inline distT="0" distB="0" distL="0" distR="0">
            <wp:extent cx="3345854" cy="35433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392458" cy="3592654"/>
                    </a:xfrm>
                    <a:prstGeom prst="rect">
                      <a:avLst/>
                    </a:prstGeom>
                  </pic:spPr>
                </pic:pic>
              </a:graphicData>
            </a:graphic>
          </wp:inline>
        </w:drawing>
      </w:r>
    </w:p>
    <w:p w:rsidR="00FA2FDB" w:rsidRDefault="00FA2FDB" w:rsidP="00FA2FDB">
      <w:pPr>
        <w:pStyle w:val="Prrafodelista"/>
        <w:ind w:left="709"/>
        <w:jc w:val="center"/>
        <w:rPr>
          <w:rFonts w:ascii="Arial" w:eastAsia="Calibri" w:hAnsi="Arial" w:cs="Arial"/>
          <w:bCs/>
          <w:sz w:val="24"/>
          <w:szCs w:val="24"/>
          <w:lang w:val="es-ES"/>
        </w:rPr>
      </w:pPr>
    </w:p>
    <w:p w:rsidR="00FA2FDB" w:rsidRDefault="00FA2FDB" w:rsidP="00FA2FDB">
      <w:pPr>
        <w:pStyle w:val="Prrafodelista"/>
        <w:ind w:left="709"/>
        <w:jc w:val="center"/>
        <w:rPr>
          <w:rFonts w:ascii="Arial" w:eastAsia="Calibri" w:hAnsi="Arial" w:cs="Arial"/>
          <w:bCs/>
          <w:sz w:val="24"/>
          <w:szCs w:val="24"/>
          <w:lang w:val="es-ES"/>
        </w:rPr>
      </w:pPr>
    </w:p>
    <w:p w:rsidR="00393C22" w:rsidRDefault="00393C22" w:rsidP="00FA2FDB">
      <w:pPr>
        <w:pStyle w:val="Prrafodelista"/>
        <w:ind w:left="709"/>
        <w:jc w:val="center"/>
        <w:rPr>
          <w:rFonts w:ascii="Arial" w:eastAsia="Calibri" w:hAnsi="Arial" w:cs="Arial"/>
          <w:bCs/>
          <w:sz w:val="24"/>
          <w:szCs w:val="24"/>
          <w:lang w:val="es-ES"/>
        </w:rPr>
      </w:pPr>
    </w:p>
    <w:p w:rsidR="00393C22" w:rsidRDefault="00393C22" w:rsidP="00FA2FDB">
      <w:pPr>
        <w:pStyle w:val="Prrafodelista"/>
        <w:ind w:left="709"/>
        <w:jc w:val="center"/>
        <w:rPr>
          <w:rFonts w:ascii="Arial" w:eastAsia="Calibri" w:hAnsi="Arial" w:cs="Arial"/>
          <w:bCs/>
          <w:sz w:val="24"/>
          <w:szCs w:val="24"/>
          <w:lang w:val="es-ES"/>
        </w:rPr>
      </w:pPr>
    </w:p>
    <w:p w:rsidR="00A8653F" w:rsidRDefault="00A8653F" w:rsidP="00FA2FDB">
      <w:pPr>
        <w:pStyle w:val="Prrafodelista"/>
        <w:ind w:left="709"/>
        <w:jc w:val="center"/>
        <w:rPr>
          <w:rFonts w:ascii="Arial" w:eastAsia="Arial" w:hAnsi="Arial" w:cs="Arial"/>
          <w:noProof/>
          <w:lang w:eastAsia="es-AR"/>
        </w:rPr>
      </w:pPr>
    </w:p>
    <w:p w:rsidR="00A8653F" w:rsidRDefault="00A8653F" w:rsidP="00FA2FDB">
      <w:pPr>
        <w:pStyle w:val="Prrafodelista"/>
        <w:ind w:left="709"/>
        <w:jc w:val="center"/>
        <w:rPr>
          <w:rFonts w:ascii="Arial" w:eastAsia="Arial" w:hAnsi="Arial" w:cs="Arial"/>
          <w:noProof/>
          <w:lang w:eastAsia="es-AR"/>
        </w:rPr>
      </w:pPr>
    </w:p>
    <w:p w:rsidR="00393C22" w:rsidRDefault="00A4098B" w:rsidP="00FA2FDB">
      <w:pPr>
        <w:pStyle w:val="Prrafodelista"/>
        <w:ind w:left="709"/>
        <w:jc w:val="center"/>
        <w:rPr>
          <w:rFonts w:ascii="Arial" w:eastAsia="Calibri" w:hAnsi="Arial" w:cs="Arial"/>
          <w:bCs/>
          <w:sz w:val="24"/>
          <w:szCs w:val="24"/>
          <w:lang w:val="es-ES"/>
        </w:rPr>
      </w:pPr>
      <w:r w:rsidRPr="00A4098B">
        <w:rPr>
          <w:rFonts w:ascii="Arial" w:eastAsia="Arial" w:hAnsi="Arial" w:cs="Arial"/>
          <w:noProof/>
          <w:lang w:eastAsia="es-AR"/>
        </w:rPr>
        <w:drawing>
          <wp:anchor distT="0" distB="0" distL="114300" distR="114300" simplePos="0" relativeHeight="251661312" behindDoc="0" locked="0" layoutInCell="1" allowOverlap="1">
            <wp:simplePos x="0" y="0"/>
            <wp:positionH relativeFrom="column">
              <wp:posOffset>843915</wp:posOffset>
            </wp:positionH>
            <wp:positionV relativeFrom="paragraph">
              <wp:posOffset>-696595</wp:posOffset>
            </wp:positionV>
            <wp:extent cx="5375910" cy="3067050"/>
            <wp:effectExtent l="0" t="0" r="0" b="0"/>
            <wp:wrapSquare wrapText="bothSides" distT="0" distB="0" distL="114300" distR="114300"/>
            <wp:docPr id="43" name="image19.png" descr="Gráfico"/>
            <wp:cNvGraphicFramePr/>
            <a:graphic xmlns:a="http://schemas.openxmlformats.org/drawingml/2006/main">
              <a:graphicData uri="http://schemas.openxmlformats.org/drawingml/2006/picture">
                <pic:pic xmlns:pic="http://schemas.openxmlformats.org/drawingml/2006/picture">
                  <pic:nvPicPr>
                    <pic:cNvPr id="0" name="image19.png" descr="Gráfico"/>
                    <pic:cNvPicPr preferRelativeResize="0"/>
                  </pic:nvPicPr>
                  <pic:blipFill>
                    <a:blip r:embed="rId9" cstate="print"/>
                    <a:srcRect/>
                    <a:stretch>
                      <a:fillRect/>
                    </a:stretch>
                  </pic:blipFill>
                  <pic:spPr>
                    <a:xfrm>
                      <a:off x="0" y="0"/>
                      <a:ext cx="5375910" cy="3067050"/>
                    </a:xfrm>
                    <a:prstGeom prst="rect">
                      <a:avLst/>
                    </a:prstGeom>
                    <a:ln/>
                  </pic:spPr>
                </pic:pic>
              </a:graphicData>
            </a:graphic>
          </wp:anchor>
        </w:drawing>
      </w:r>
    </w:p>
    <w:p w:rsidR="00393C22" w:rsidRDefault="00A8653F" w:rsidP="00FA2FDB">
      <w:pPr>
        <w:pStyle w:val="Prrafodelista"/>
        <w:ind w:left="709"/>
        <w:jc w:val="center"/>
        <w:rPr>
          <w:noProof/>
        </w:rPr>
      </w:pPr>
      <w:r w:rsidRPr="00A8653F">
        <w:rPr>
          <w:rFonts w:ascii="Arial" w:eastAsia="Arial" w:hAnsi="Arial" w:cs="Arial"/>
          <w:noProof/>
          <w:sz w:val="24"/>
          <w:szCs w:val="24"/>
          <w:lang w:eastAsia="es-AR"/>
        </w:rPr>
        <w:drawing>
          <wp:inline distT="114300" distB="114300" distL="114300" distR="114300">
            <wp:extent cx="4846434" cy="2997200"/>
            <wp:effectExtent l="0" t="0" r="0" b="0"/>
            <wp:docPr id="31" name="image9.png" descr="Gráfico"/>
            <wp:cNvGraphicFramePr/>
            <a:graphic xmlns:a="http://schemas.openxmlformats.org/drawingml/2006/main">
              <a:graphicData uri="http://schemas.openxmlformats.org/drawingml/2006/picture">
                <pic:pic xmlns:pic="http://schemas.openxmlformats.org/drawingml/2006/picture">
                  <pic:nvPicPr>
                    <pic:cNvPr id="0" name="image9.png" descr="Gráfico"/>
                    <pic:cNvPicPr preferRelativeResize="0"/>
                  </pic:nvPicPr>
                  <pic:blipFill>
                    <a:blip r:embed="rId10" cstate="print"/>
                    <a:srcRect/>
                    <a:stretch>
                      <a:fillRect/>
                    </a:stretch>
                  </pic:blipFill>
                  <pic:spPr>
                    <a:xfrm>
                      <a:off x="0" y="0"/>
                      <a:ext cx="4846434" cy="2997200"/>
                    </a:xfrm>
                    <a:prstGeom prst="rect">
                      <a:avLst/>
                    </a:prstGeom>
                    <a:ln/>
                  </pic:spPr>
                </pic:pic>
              </a:graphicData>
            </a:graphic>
          </wp:inline>
        </w:drawing>
      </w:r>
    </w:p>
    <w:p w:rsidR="00A8653F" w:rsidRDefault="00A8653F" w:rsidP="00FA2FDB">
      <w:pPr>
        <w:pStyle w:val="Prrafodelista"/>
        <w:ind w:left="709"/>
        <w:jc w:val="center"/>
        <w:rPr>
          <w:noProof/>
        </w:rPr>
      </w:pPr>
    </w:p>
    <w:p w:rsidR="00A8653F" w:rsidRPr="00A8653F" w:rsidRDefault="00A8653F" w:rsidP="00A8653F">
      <w:pPr>
        <w:pStyle w:val="Prrafodelista"/>
        <w:ind w:left="709"/>
        <w:jc w:val="center"/>
        <w:rPr>
          <w:rFonts w:ascii="Arial" w:eastAsia="Calibri" w:hAnsi="Arial" w:cs="Arial"/>
          <w:bCs/>
          <w:sz w:val="24"/>
          <w:szCs w:val="24"/>
          <w:lang/>
        </w:rPr>
      </w:pPr>
    </w:p>
    <w:p w:rsidR="00A8653F" w:rsidRPr="00A8653F" w:rsidRDefault="00A8653F" w:rsidP="00777EE5">
      <w:pPr>
        <w:pStyle w:val="Prrafodelista"/>
        <w:ind w:left="709"/>
        <w:jc w:val="both"/>
        <w:rPr>
          <w:rFonts w:ascii="Arial" w:eastAsia="Calibri" w:hAnsi="Arial" w:cs="Arial"/>
          <w:bCs/>
          <w:sz w:val="24"/>
          <w:szCs w:val="24"/>
          <w:lang/>
        </w:rPr>
      </w:pPr>
      <w:r w:rsidRPr="00A8653F">
        <w:rPr>
          <w:rFonts w:ascii="Arial" w:eastAsia="Calibri" w:hAnsi="Arial" w:cs="Arial"/>
          <w:bCs/>
          <w:sz w:val="24"/>
          <w:szCs w:val="24"/>
          <w:lang/>
        </w:rPr>
        <w:t>Los datos evidencian el aumento de femicidios en comparación con los registros de los años anteriores: en 2018 se registraron 281 casos y en el 2019, fueron 280 los femicidios.</w:t>
      </w:r>
    </w:p>
    <w:p w:rsidR="00A8653F" w:rsidRDefault="00A8653F" w:rsidP="00FA2FDB">
      <w:pPr>
        <w:pStyle w:val="Prrafodelista"/>
        <w:ind w:left="709"/>
        <w:jc w:val="center"/>
        <w:rPr>
          <w:rFonts w:ascii="Arial" w:eastAsia="Calibri" w:hAnsi="Arial" w:cs="Arial"/>
          <w:bCs/>
          <w:sz w:val="24"/>
          <w:szCs w:val="24"/>
          <w:lang w:val="es-ES"/>
        </w:rPr>
      </w:pPr>
    </w:p>
    <w:p w:rsidR="00777EE5" w:rsidRPr="00777EE5" w:rsidRDefault="00777EE5" w:rsidP="00777EE5">
      <w:pPr>
        <w:pStyle w:val="Prrafodelista"/>
        <w:ind w:left="709"/>
        <w:jc w:val="both"/>
        <w:rPr>
          <w:rFonts w:ascii="Arial" w:eastAsia="Calibri" w:hAnsi="Arial" w:cs="Arial"/>
          <w:b/>
          <w:sz w:val="24"/>
          <w:szCs w:val="24"/>
          <w:lang w:val="es-ES"/>
        </w:rPr>
      </w:pPr>
      <w:r w:rsidRPr="00777EE5">
        <w:rPr>
          <w:rFonts w:ascii="Arial" w:eastAsia="Calibri" w:hAnsi="Arial" w:cs="Arial"/>
          <w:b/>
          <w:sz w:val="24"/>
          <w:szCs w:val="24"/>
          <w:lang w:val="es-ES"/>
        </w:rPr>
        <w:t>Datos relevados</w:t>
      </w:r>
    </w:p>
    <w:p w:rsidR="00777EE5" w:rsidRPr="00777EE5" w:rsidRDefault="00777EE5" w:rsidP="00777EE5">
      <w:pPr>
        <w:pStyle w:val="Prrafodelista"/>
        <w:ind w:left="709"/>
        <w:jc w:val="both"/>
        <w:rPr>
          <w:rFonts w:ascii="Arial" w:eastAsia="Calibri" w:hAnsi="Arial" w:cs="Arial"/>
          <w:b/>
          <w:sz w:val="24"/>
          <w:szCs w:val="24"/>
          <w:lang w:val="es-ES"/>
        </w:rPr>
      </w:pPr>
    </w:p>
    <w:p w:rsidR="00777EE5" w:rsidRPr="00777EE5" w:rsidRDefault="00777EE5" w:rsidP="00777EE5">
      <w:pPr>
        <w:pStyle w:val="Prrafodelista"/>
        <w:ind w:left="709"/>
        <w:jc w:val="both"/>
        <w:rPr>
          <w:rFonts w:ascii="Arial" w:eastAsia="Calibri" w:hAnsi="Arial" w:cs="Arial"/>
          <w:bCs/>
          <w:sz w:val="24"/>
          <w:szCs w:val="24"/>
          <w:lang w:val="es-ES"/>
        </w:rPr>
      </w:pPr>
      <w:r w:rsidRPr="00777EE5">
        <w:rPr>
          <w:rFonts w:ascii="Arial" w:eastAsia="Calibri" w:hAnsi="Arial" w:cs="Arial"/>
          <w:bCs/>
          <w:sz w:val="24"/>
          <w:szCs w:val="24"/>
          <w:lang w:val="es-ES"/>
        </w:rPr>
        <w:t xml:space="preserve">Dentro de las características principales de las víctimas de femicidio, en lo que refiere al rango etario, el dato se pudo recopilar en un 100%. </w:t>
      </w:r>
    </w:p>
    <w:p w:rsidR="00777EE5" w:rsidRPr="00777EE5" w:rsidRDefault="00777EE5" w:rsidP="00777EE5">
      <w:pPr>
        <w:pStyle w:val="Prrafodelista"/>
        <w:ind w:left="709"/>
        <w:jc w:val="both"/>
        <w:rPr>
          <w:rFonts w:ascii="Arial" w:eastAsia="Calibri" w:hAnsi="Arial" w:cs="Arial"/>
          <w:bCs/>
          <w:sz w:val="24"/>
          <w:szCs w:val="24"/>
          <w:lang w:val="es-ES"/>
        </w:rPr>
      </w:pPr>
      <w:r w:rsidRPr="00777EE5">
        <w:rPr>
          <w:rFonts w:ascii="Arial" w:eastAsia="Calibri" w:hAnsi="Arial" w:cs="Arial"/>
          <w:bCs/>
          <w:sz w:val="24"/>
          <w:szCs w:val="24"/>
          <w:lang w:val="es-ES"/>
        </w:rPr>
        <w:t>Se detectaron 41 víctimas menores de 18 años, de las cuales 21 tenían menos de 12 años. Del universo total, la mayoría de las víctimas tenía entre 31 y 50 años, representando el 37,6%.</w:t>
      </w:r>
    </w:p>
    <w:p w:rsidR="00393C22" w:rsidRDefault="00777EE5" w:rsidP="00777EE5">
      <w:pPr>
        <w:pStyle w:val="Prrafodelista"/>
        <w:ind w:left="709"/>
        <w:jc w:val="both"/>
        <w:rPr>
          <w:rFonts w:ascii="Arial" w:eastAsia="Calibri" w:hAnsi="Arial" w:cs="Arial"/>
          <w:bCs/>
          <w:sz w:val="24"/>
          <w:szCs w:val="24"/>
          <w:lang w:val="es-ES"/>
        </w:rPr>
      </w:pPr>
      <w:r w:rsidRPr="00777EE5">
        <w:rPr>
          <w:rFonts w:ascii="Arial" w:eastAsia="Arial" w:hAnsi="Arial" w:cs="Arial"/>
          <w:noProof/>
          <w:sz w:val="24"/>
          <w:szCs w:val="24"/>
          <w:lang w:eastAsia="es-AR"/>
        </w:rPr>
        <w:drawing>
          <wp:inline distT="114300" distB="114300" distL="114300" distR="114300">
            <wp:extent cx="4678183" cy="2895600"/>
            <wp:effectExtent l="0" t="0" r="0" b="0"/>
            <wp:docPr id="16" name="image17.png" descr="Gráfico"/>
            <wp:cNvGraphicFramePr/>
            <a:graphic xmlns:a="http://schemas.openxmlformats.org/drawingml/2006/main">
              <a:graphicData uri="http://schemas.openxmlformats.org/drawingml/2006/picture">
                <pic:pic xmlns:pic="http://schemas.openxmlformats.org/drawingml/2006/picture">
                  <pic:nvPicPr>
                    <pic:cNvPr id="0" name="image17.png" descr="Gráfico"/>
                    <pic:cNvPicPr preferRelativeResize="0"/>
                  </pic:nvPicPr>
                  <pic:blipFill>
                    <a:blip r:embed="rId11" cstate="print"/>
                    <a:srcRect/>
                    <a:stretch>
                      <a:fillRect/>
                    </a:stretch>
                  </pic:blipFill>
                  <pic:spPr>
                    <a:xfrm>
                      <a:off x="0" y="0"/>
                      <a:ext cx="4678183" cy="2895600"/>
                    </a:xfrm>
                    <a:prstGeom prst="rect">
                      <a:avLst/>
                    </a:prstGeom>
                    <a:ln/>
                  </pic:spPr>
                </pic:pic>
              </a:graphicData>
            </a:graphic>
          </wp:inline>
        </w:drawing>
      </w:r>
    </w:p>
    <w:p w:rsidR="00777EE5" w:rsidRPr="00777EE5" w:rsidRDefault="00777EE5" w:rsidP="00777EE5">
      <w:pPr>
        <w:pStyle w:val="Prrafodelista"/>
        <w:ind w:left="709"/>
        <w:jc w:val="both"/>
        <w:rPr>
          <w:rFonts w:ascii="Arial" w:eastAsia="Calibri" w:hAnsi="Arial" w:cs="Arial"/>
          <w:bCs/>
          <w:sz w:val="24"/>
          <w:szCs w:val="24"/>
          <w:lang/>
        </w:rPr>
      </w:pPr>
      <w:r w:rsidRPr="00777EE5">
        <w:rPr>
          <w:rFonts w:ascii="Arial" w:eastAsia="Calibri" w:hAnsi="Arial" w:cs="Arial"/>
          <w:bCs/>
          <w:sz w:val="24"/>
          <w:szCs w:val="24"/>
          <w:lang/>
        </w:rPr>
        <w:t xml:space="preserve">Los perpetradores de los femicidios suman un total de 333. Esta cifra incluye 9 cómplices de sexo femenino y una persona trans. </w:t>
      </w:r>
    </w:p>
    <w:p w:rsidR="00777EE5" w:rsidRPr="00777EE5" w:rsidRDefault="00777EE5" w:rsidP="00777EE5">
      <w:pPr>
        <w:pStyle w:val="Prrafodelista"/>
        <w:ind w:left="709"/>
        <w:jc w:val="both"/>
        <w:rPr>
          <w:rFonts w:ascii="Arial" w:eastAsia="Calibri" w:hAnsi="Arial" w:cs="Arial"/>
          <w:bCs/>
          <w:sz w:val="24"/>
          <w:szCs w:val="24"/>
          <w:lang/>
        </w:rPr>
      </w:pPr>
      <w:r w:rsidRPr="00777EE5">
        <w:rPr>
          <w:rFonts w:ascii="Arial" w:eastAsia="Calibri" w:hAnsi="Arial" w:cs="Arial"/>
          <w:bCs/>
          <w:sz w:val="24"/>
          <w:szCs w:val="24"/>
          <w:lang/>
        </w:rPr>
        <w:t>La cifra es elevada porque en muchos casos los ataques a las mujeres se producen entre 4 o 5 agresores.</w:t>
      </w:r>
    </w:p>
    <w:p w:rsidR="00777EE5" w:rsidRPr="00777EE5" w:rsidRDefault="00777EE5" w:rsidP="00777EE5">
      <w:pPr>
        <w:pStyle w:val="Prrafodelista"/>
        <w:ind w:left="709"/>
        <w:jc w:val="both"/>
        <w:rPr>
          <w:rFonts w:ascii="Arial" w:eastAsia="Calibri" w:hAnsi="Arial" w:cs="Arial"/>
          <w:bCs/>
          <w:sz w:val="24"/>
          <w:szCs w:val="24"/>
          <w:lang/>
        </w:rPr>
      </w:pPr>
    </w:p>
    <w:p w:rsidR="00777EE5" w:rsidRDefault="00777EE5" w:rsidP="00777EE5">
      <w:pPr>
        <w:pStyle w:val="Prrafodelista"/>
        <w:ind w:left="709"/>
        <w:jc w:val="both"/>
        <w:rPr>
          <w:rFonts w:ascii="Arial" w:eastAsia="Calibri" w:hAnsi="Arial" w:cs="Arial"/>
          <w:bCs/>
          <w:sz w:val="24"/>
          <w:szCs w:val="24"/>
          <w:lang/>
        </w:rPr>
      </w:pPr>
      <w:r w:rsidRPr="00777EE5">
        <w:rPr>
          <w:rFonts w:ascii="Arial" w:eastAsia="Calibri" w:hAnsi="Arial" w:cs="Arial"/>
          <w:bCs/>
          <w:sz w:val="24"/>
          <w:szCs w:val="24"/>
          <w:lang/>
        </w:rPr>
        <w:t xml:space="preserve">Se puede confirmar que </w:t>
      </w:r>
      <w:r w:rsidRPr="00777EE5">
        <w:rPr>
          <w:rFonts w:ascii="Arial" w:eastAsia="Calibri" w:hAnsi="Arial" w:cs="Arial"/>
          <w:b/>
          <w:bCs/>
          <w:sz w:val="24"/>
          <w:szCs w:val="24"/>
          <w:lang/>
        </w:rPr>
        <w:t>16 femicidas pertenecen o pertenecieron a las fuerzas de seguridad</w:t>
      </w:r>
      <w:r w:rsidRPr="00777EE5">
        <w:rPr>
          <w:rFonts w:ascii="Arial" w:eastAsia="Calibri" w:hAnsi="Arial" w:cs="Arial"/>
          <w:bCs/>
          <w:sz w:val="24"/>
          <w:szCs w:val="24"/>
          <w:lang/>
        </w:rPr>
        <w:t xml:space="preserve">, aunque se estima que podrían ser más y la información no fue expresada por los medios de comunicación. </w:t>
      </w:r>
    </w:p>
    <w:p w:rsidR="00777EE5" w:rsidRDefault="00777EE5" w:rsidP="00777EE5">
      <w:pPr>
        <w:pStyle w:val="Prrafodelista"/>
        <w:ind w:left="709"/>
        <w:jc w:val="both"/>
        <w:rPr>
          <w:rFonts w:ascii="Arial" w:eastAsia="Calibri" w:hAnsi="Arial" w:cs="Arial"/>
          <w:bCs/>
          <w:sz w:val="24"/>
          <w:szCs w:val="24"/>
          <w:lang/>
        </w:rPr>
      </w:pPr>
    </w:p>
    <w:p w:rsidR="00777EE5" w:rsidRDefault="00777EE5" w:rsidP="00777EE5">
      <w:pPr>
        <w:pStyle w:val="Prrafodelista"/>
        <w:ind w:left="709"/>
        <w:jc w:val="both"/>
        <w:rPr>
          <w:rFonts w:ascii="Arial" w:eastAsia="Calibri" w:hAnsi="Arial" w:cs="Arial"/>
          <w:bCs/>
          <w:sz w:val="24"/>
          <w:szCs w:val="24"/>
          <w:lang w:val="es-ES"/>
        </w:rPr>
      </w:pPr>
      <w:r w:rsidRPr="00777EE5">
        <w:rPr>
          <w:rFonts w:ascii="Arial" w:eastAsia="Arial" w:hAnsi="Arial" w:cs="Arial"/>
          <w:noProof/>
          <w:sz w:val="24"/>
          <w:szCs w:val="24"/>
          <w:lang w:eastAsia="es-AR"/>
        </w:rPr>
        <w:lastRenderedPageBreak/>
        <w:drawing>
          <wp:inline distT="114300" distB="114300" distL="114300" distR="114300">
            <wp:extent cx="4757084" cy="2938463"/>
            <wp:effectExtent l="0" t="0" r="0" b="0"/>
            <wp:docPr id="35" name="image14.png" descr="Gráfico"/>
            <wp:cNvGraphicFramePr/>
            <a:graphic xmlns:a="http://schemas.openxmlformats.org/drawingml/2006/main">
              <a:graphicData uri="http://schemas.openxmlformats.org/drawingml/2006/picture">
                <pic:pic xmlns:pic="http://schemas.openxmlformats.org/drawingml/2006/picture">
                  <pic:nvPicPr>
                    <pic:cNvPr id="0" name="image14.png" descr="Gráfico"/>
                    <pic:cNvPicPr preferRelativeResize="0"/>
                  </pic:nvPicPr>
                  <pic:blipFill>
                    <a:blip r:embed="rId12" cstate="print"/>
                    <a:srcRect/>
                    <a:stretch>
                      <a:fillRect/>
                    </a:stretch>
                  </pic:blipFill>
                  <pic:spPr>
                    <a:xfrm>
                      <a:off x="0" y="0"/>
                      <a:ext cx="4757084" cy="2938463"/>
                    </a:xfrm>
                    <a:prstGeom prst="rect">
                      <a:avLst/>
                    </a:prstGeom>
                    <a:ln/>
                  </pic:spPr>
                </pic:pic>
              </a:graphicData>
            </a:graphic>
          </wp:inline>
        </w:drawing>
      </w:r>
    </w:p>
    <w:p w:rsidR="00393C22" w:rsidRDefault="00393C22" w:rsidP="00FA2FDB">
      <w:pPr>
        <w:pStyle w:val="Prrafodelista"/>
        <w:ind w:left="709"/>
        <w:jc w:val="center"/>
        <w:rPr>
          <w:rFonts w:ascii="Arial" w:eastAsia="Calibri" w:hAnsi="Arial" w:cs="Arial"/>
          <w:bCs/>
          <w:sz w:val="24"/>
          <w:szCs w:val="24"/>
          <w:lang w:val="es-ES"/>
        </w:rPr>
      </w:pPr>
    </w:p>
    <w:p w:rsidR="00777EE5" w:rsidRPr="00777EE5" w:rsidRDefault="00777EE5" w:rsidP="00777EE5">
      <w:pPr>
        <w:spacing w:after="0" w:line="276" w:lineRule="auto"/>
        <w:ind w:left="567"/>
        <w:rPr>
          <w:rFonts w:ascii="Arial" w:eastAsia="Arial" w:hAnsi="Arial" w:cs="Arial"/>
          <w:sz w:val="24"/>
          <w:szCs w:val="24"/>
          <w:lang w:eastAsia="es-AR"/>
        </w:rPr>
      </w:pPr>
      <w:r w:rsidRPr="00777EE5">
        <w:rPr>
          <w:rFonts w:ascii="Arial" w:eastAsia="Arial" w:hAnsi="Arial" w:cs="Arial"/>
          <w:sz w:val="24"/>
          <w:szCs w:val="24"/>
          <w:lang w:eastAsia="es-AR"/>
        </w:rPr>
        <w:t xml:space="preserve">42 de los 333 agresores se suicidaron y 12 intentaron hacerlo. </w:t>
      </w:r>
    </w:p>
    <w:p w:rsidR="00393C22" w:rsidRDefault="00393C22" w:rsidP="00777EE5">
      <w:pPr>
        <w:pStyle w:val="Prrafodelista"/>
        <w:ind w:left="567"/>
        <w:jc w:val="both"/>
        <w:rPr>
          <w:rFonts w:ascii="Arial" w:eastAsia="Calibri" w:hAnsi="Arial" w:cs="Arial"/>
          <w:bCs/>
          <w:sz w:val="24"/>
          <w:szCs w:val="24"/>
          <w:lang w:val="es-ES"/>
        </w:rPr>
      </w:pPr>
    </w:p>
    <w:p w:rsidR="00777EE5" w:rsidRDefault="00777EE5" w:rsidP="00777EE5">
      <w:pPr>
        <w:pStyle w:val="Prrafodelista"/>
        <w:ind w:left="567"/>
        <w:jc w:val="both"/>
        <w:rPr>
          <w:rFonts w:ascii="Arial" w:eastAsia="Calibri" w:hAnsi="Arial" w:cs="Arial"/>
          <w:bCs/>
          <w:sz w:val="24"/>
          <w:szCs w:val="24"/>
          <w:lang w:val="es-ES"/>
        </w:rPr>
      </w:pPr>
    </w:p>
    <w:p w:rsidR="00393C22" w:rsidRDefault="00777EE5" w:rsidP="00FA2FDB">
      <w:pPr>
        <w:pStyle w:val="Prrafodelista"/>
        <w:ind w:left="709"/>
        <w:jc w:val="center"/>
        <w:rPr>
          <w:rFonts w:ascii="Arial" w:eastAsia="Calibri" w:hAnsi="Arial" w:cs="Arial"/>
          <w:bCs/>
          <w:sz w:val="24"/>
          <w:szCs w:val="24"/>
          <w:lang w:val="es-ES"/>
        </w:rPr>
      </w:pPr>
      <w:r w:rsidRPr="00777EE5">
        <w:rPr>
          <w:rFonts w:ascii="Arial" w:eastAsia="Arial" w:hAnsi="Arial" w:cs="Arial"/>
          <w:noProof/>
          <w:sz w:val="24"/>
          <w:szCs w:val="24"/>
          <w:lang w:eastAsia="es-AR"/>
        </w:rPr>
        <w:drawing>
          <wp:inline distT="114300" distB="114300" distL="114300" distR="114300">
            <wp:extent cx="5400040" cy="3338750"/>
            <wp:effectExtent l="0" t="0" r="0" b="0"/>
            <wp:docPr id="34" name="image12.png" descr="Gráfico"/>
            <wp:cNvGraphicFramePr/>
            <a:graphic xmlns:a="http://schemas.openxmlformats.org/drawingml/2006/main">
              <a:graphicData uri="http://schemas.openxmlformats.org/drawingml/2006/picture">
                <pic:pic xmlns:pic="http://schemas.openxmlformats.org/drawingml/2006/picture">
                  <pic:nvPicPr>
                    <pic:cNvPr id="0" name="image12.png" descr="Gráfico"/>
                    <pic:cNvPicPr preferRelativeResize="0"/>
                  </pic:nvPicPr>
                  <pic:blipFill>
                    <a:blip r:embed="rId13" cstate="print"/>
                    <a:srcRect/>
                    <a:stretch>
                      <a:fillRect/>
                    </a:stretch>
                  </pic:blipFill>
                  <pic:spPr>
                    <a:xfrm>
                      <a:off x="0" y="0"/>
                      <a:ext cx="5400040" cy="3338750"/>
                    </a:xfrm>
                    <a:prstGeom prst="rect">
                      <a:avLst/>
                    </a:prstGeom>
                    <a:ln/>
                  </pic:spPr>
                </pic:pic>
              </a:graphicData>
            </a:graphic>
          </wp:inline>
        </w:drawing>
      </w:r>
    </w:p>
    <w:p w:rsidR="00393C22" w:rsidRDefault="00393C22" w:rsidP="00FA2FDB">
      <w:pPr>
        <w:pStyle w:val="Prrafodelista"/>
        <w:ind w:left="709"/>
        <w:jc w:val="center"/>
        <w:rPr>
          <w:rFonts w:ascii="Arial" w:eastAsia="Calibri" w:hAnsi="Arial" w:cs="Arial"/>
          <w:bCs/>
          <w:sz w:val="24"/>
          <w:szCs w:val="24"/>
          <w:lang w:val="es-ES"/>
        </w:rPr>
      </w:pPr>
    </w:p>
    <w:p w:rsidR="00777EE5" w:rsidRPr="00777EE5" w:rsidRDefault="00777EE5" w:rsidP="001B63AA">
      <w:pPr>
        <w:spacing w:after="0" w:line="276" w:lineRule="auto"/>
        <w:ind w:left="426"/>
        <w:jc w:val="both"/>
        <w:rPr>
          <w:rFonts w:ascii="Arial" w:eastAsia="Arial" w:hAnsi="Arial" w:cs="Arial"/>
          <w:sz w:val="24"/>
          <w:szCs w:val="24"/>
          <w:lang w:eastAsia="es-AR"/>
        </w:rPr>
      </w:pPr>
      <w:r w:rsidRPr="00777EE5">
        <w:rPr>
          <w:rFonts w:ascii="Arial" w:eastAsia="Arial" w:hAnsi="Arial" w:cs="Arial"/>
          <w:sz w:val="24"/>
          <w:szCs w:val="24"/>
          <w:lang w:eastAsia="es-AR"/>
        </w:rPr>
        <w:t>En cuanto al vínculo, se pudo determinar que predomin</w:t>
      </w:r>
      <w:r w:rsidR="008F4E98">
        <w:rPr>
          <w:rFonts w:ascii="Arial" w:eastAsia="Arial" w:hAnsi="Arial" w:cs="Arial"/>
          <w:sz w:val="24"/>
          <w:szCs w:val="24"/>
          <w:lang w:eastAsia="es-AR"/>
        </w:rPr>
        <w:t>ó</w:t>
      </w:r>
      <w:r w:rsidRPr="00777EE5">
        <w:rPr>
          <w:rFonts w:ascii="Arial" w:eastAsia="Arial" w:hAnsi="Arial" w:cs="Arial"/>
          <w:sz w:val="24"/>
          <w:szCs w:val="24"/>
          <w:lang w:eastAsia="es-AR"/>
        </w:rPr>
        <w:t xml:space="preserve"> una relación previa entre la víctima y el victimario. La mayoría de los femicidios se producen dentro de un vínculo de pareja o por haber tenido una relación íntima, así como también en el seno familiar. Solo en 42 casos las mujeres fueron atacadas por desconocidos durante 2020. </w:t>
      </w:r>
    </w:p>
    <w:p w:rsidR="00393C22" w:rsidRDefault="00393C22" w:rsidP="00777EE5">
      <w:pPr>
        <w:pStyle w:val="Prrafodelista"/>
        <w:ind w:left="709"/>
        <w:jc w:val="both"/>
        <w:rPr>
          <w:rFonts w:ascii="Arial" w:eastAsia="Calibri" w:hAnsi="Arial" w:cs="Arial"/>
          <w:bCs/>
          <w:sz w:val="24"/>
          <w:szCs w:val="24"/>
          <w:lang w:val="es-ES"/>
        </w:rPr>
      </w:pPr>
    </w:p>
    <w:p w:rsidR="00777EE5" w:rsidRDefault="00777EE5" w:rsidP="00777EE5">
      <w:pPr>
        <w:pStyle w:val="Prrafodelista"/>
        <w:ind w:left="709"/>
        <w:jc w:val="both"/>
        <w:rPr>
          <w:rFonts w:ascii="Arial" w:eastAsia="Calibri" w:hAnsi="Arial" w:cs="Arial"/>
          <w:bCs/>
          <w:sz w:val="24"/>
          <w:szCs w:val="24"/>
          <w:lang w:val="es-ES"/>
        </w:rPr>
      </w:pPr>
      <w:r w:rsidRPr="00777EE5">
        <w:rPr>
          <w:rFonts w:ascii="Arial" w:eastAsia="Arial" w:hAnsi="Arial" w:cs="Arial"/>
          <w:noProof/>
          <w:sz w:val="24"/>
          <w:szCs w:val="24"/>
          <w:lang w:eastAsia="es-AR"/>
        </w:rPr>
        <w:lastRenderedPageBreak/>
        <w:drawing>
          <wp:inline distT="114300" distB="114300" distL="114300" distR="114300">
            <wp:extent cx="5400040" cy="3338750"/>
            <wp:effectExtent l="0" t="0" r="0" b="0"/>
            <wp:docPr id="38" name="image18.png" descr="Gráfico"/>
            <wp:cNvGraphicFramePr/>
            <a:graphic xmlns:a="http://schemas.openxmlformats.org/drawingml/2006/main">
              <a:graphicData uri="http://schemas.openxmlformats.org/drawingml/2006/picture">
                <pic:pic xmlns:pic="http://schemas.openxmlformats.org/drawingml/2006/picture">
                  <pic:nvPicPr>
                    <pic:cNvPr id="0" name="image18.png" descr="Gráfico"/>
                    <pic:cNvPicPr preferRelativeResize="0"/>
                  </pic:nvPicPr>
                  <pic:blipFill>
                    <a:blip r:embed="rId14" cstate="print"/>
                    <a:srcRect/>
                    <a:stretch>
                      <a:fillRect/>
                    </a:stretch>
                  </pic:blipFill>
                  <pic:spPr>
                    <a:xfrm>
                      <a:off x="0" y="0"/>
                      <a:ext cx="5400040" cy="3338750"/>
                    </a:xfrm>
                    <a:prstGeom prst="rect">
                      <a:avLst/>
                    </a:prstGeom>
                    <a:ln/>
                  </pic:spPr>
                </pic:pic>
              </a:graphicData>
            </a:graphic>
          </wp:inline>
        </w:drawing>
      </w:r>
    </w:p>
    <w:p w:rsidR="00777EE5" w:rsidRDefault="00777EE5" w:rsidP="00777EE5">
      <w:pPr>
        <w:pStyle w:val="Prrafodelista"/>
        <w:ind w:left="709"/>
        <w:jc w:val="both"/>
        <w:rPr>
          <w:rFonts w:ascii="Arial" w:eastAsia="Calibri" w:hAnsi="Arial" w:cs="Arial"/>
          <w:bCs/>
          <w:sz w:val="24"/>
          <w:szCs w:val="24"/>
          <w:lang w:val="es-ES"/>
        </w:rPr>
      </w:pPr>
    </w:p>
    <w:p w:rsidR="00777EE5" w:rsidRDefault="00777EE5" w:rsidP="001B63AA">
      <w:pPr>
        <w:spacing w:before="240" w:after="240" w:line="276" w:lineRule="auto"/>
        <w:ind w:left="426"/>
        <w:jc w:val="both"/>
        <w:rPr>
          <w:rFonts w:ascii="Arial" w:eastAsia="Arial" w:hAnsi="Arial" w:cs="Arial"/>
          <w:sz w:val="24"/>
          <w:szCs w:val="24"/>
          <w:lang w:eastAsia="es-AR"/>
        </w:rPr>
      </w:pPr>
      <w:r w:rsidRPr="00777EE5">
        <w:rPr>
          <w:rFonts w:ascii="Arial" w:eastAsia="Arial" w:hAnsi="Arial" w:cs="Arial"/>
          <w:sz w:val="24"/>
          <w:szCs w:val="24"/>
          <w:lang w:eastAsia="es-AR"/>
        </w:rPr>
        <w:t xml:space="preserve">Tal como se menciona anteriormente, los lugares más críticos en los que se producen los asesinatos siguen siendo el domicilio compartido entre la víctima y su agresor, al igual que el domicilio particular de la mujer. </w:t>
      </w:r>
    </w:p>
    <w:p w:rsidR="00D30E81" w:rsidRPr="00777EE5" w:rsidRDefault="00D30E81" w:rsidP="00777EE5">
      <w:pPr>
        <w:spacing w:before="240" w:after="240" w:line="276" w:lineRule="auto"/>
        <w:jc w:val="both"/>
        <w:rPr>
          <w:rFonts w:ascii="Arial" w:eastAsia="Arial" w:hAnsi="Arial" w:cs="Arial"/>
          <w:sz w:val="24"/>
          <w:szCs w:val="24"/>
          <w:lang w:eastAsia="es-AR"/>
        </w:rPr>
      </w:pPr>
    </w:p>
    <w:p w:rsidR="00777EE5" w:rsidRDefault="00777EE5" w:rsidP="00777EE5">
      <w:pPr>
        <w:pStyle w:val="Prrafodelista"/>
        <w:ind w:left="709"/>
        <w:jc w:val="both"/>
        <w:rPr>
          <w:rFonts w:ascii="Arial" w:eastAsia="Calibri" w:hAnsi="Arial" w:cs="Arial"/>
          <w:bCs/>
          <w:sz w:val="24"/>
          <w:szCs w:val="24"/>
          <w:lang w:val="es-ES"/>
        </w:rPr>
      </w:pPr>
      <w:r w:rsidRPr="00777EE5">
        <w:rPr>
          <w:rFonts w:ascii="Arial" w:eastAsia="Arial" w:hAnsi="Arial" w:cs="Arial"/>
          <w:noProof/>
          <w:sz w:val="24"/>
          <w:szCs w:val="24"/>
          <w:lang w:eastAsia="es-AR"/>
        </w:rPr>
        <w:drawing>
          <wp:inline distT="114300" distB="114300" distL="114300" distR="114300">
            <wp:extent cx="5400040" cy="3338750"/>
            <wp:effectExtent l="0" t="0" r="0" b="0"/>
            <wp:docPr id="37"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5" cstate="print"/>
                    <a:srcRect/>
                    <a:stretch>
                      <a:fillRect/>
                    </a:stretch>
                  </pic:blipFill>
                  <pic:spPr>
                    <a:xfrm>
                      <a:off x="0" y="0"/>
                      <a:ext cx="5400040" cy="3338750"/>
                    </a:xfrm>
                    <a:prstGeom prst="rect">
                      <a:avLst/>
                    </a:prstGeom>
                    <a:ln/>
                  </pic:spPr>
                </pic:pic>
              </a:graphicData>
            </a:graphic>
          </wp:inline>
        </w:drawing>
      </w:r>
    </w:p>
    <w:p w:rsidR="00D30E81" w:rsidRDefault="00D30E81" w:rsidP="00777EE5">
      <w:pPr>
        <w:spacing w:before="240" w:after="240" w:line="276" w:lineRule="auto"/>
        <w:jc w:val="both"/>
        <w:rPr>
          <w:rFonts w:ascii="Arial" w:eastAsia="Arial" w:hAnsi="Arial" w:cs="Arial"/>
          <w:sz w:val="24"/>
          <w:szCs w:val="24"/>
          <w:lang w:eastAsia="es-AR"/>
        </w:rPr>
      </w:pPr>
    </w:p>
    <w:p w:rsidR="00777EE5" w:rsidRPr="00777EE5" w:rsidRDefault="00777EE5" w:rsidP="001B63AA">
      <w:pPr>
        <w:spacing w:before="240" w:after="240" w:line="276" w:lineRule="auto"/>
        <w:ind w:left="567"/>
        <w:jc w:val="both"/>
        <w:rPr>
          <w:rFonts w:ascii="Arial" w:eastAsia="Arial" w:hAnsi="Arial" w:cs="Arial"/>
          <w:lang w:eastAsia="es-AR"/>
        </w:rPr>
      </w:pPr>
      <w:r w:rsidRPr="00777EE5">
        <w:rPr>
          <w:rFonts w:ascii="Arial" w:eastAsia="Arial" w:hAnsi="Arial" w:cs="Arial"/>
          <w:sz w:val="24"/>
          <w:szCs w:val="24"/>
          <w:lang w:eastAsia="es-AR"/>
        </w:rPr>
        <w:lastRenderedPageBreak/>
        <w:t>Ambas tendencias se mantienen con respecto a los registros de años anteriores, con el agravante del confinamiento de las víctimas con sus victimarios a partir del 20 de marzo.</w:t>
      </w:r>
    </w:p>
    <w:p w:rsidR="00777EE5" w:rsidRPr="00777EE5" w:rsidRDefault="00777EE5" w:rsidP="001B63AA">
      <w:pPr>
        <w:spacing w:after="0" w:line="276" w:lineRule="auto"/>
        <w:ind w:left="567"/>
        <w:jc w:val="both"/>
        <w:rPr>
          <w:rFonts w:ascii="Arial" w:eastAsia="Arial" w:hAnsi="Arial" w:cs="Arial"/>
          <w:sz w:val="24"/>
          <w:szCs w:val="24"/>
          <w:lang w:eastAsia="es-AR"/>
        </w:rPr>
      </w:pPr>
      <w:r w:rsidRPr="00777EE5">
        <w:rPr>
          <w:rFonts w:ascii="Arial" w:eastAsia="Arial" w:hAnsi="Arial" w:cs="Arial"/>
          <w:sz w:val="24"/>
          <w:szCs w:val="24"/>
          <w:lang w:eastAsia="es-AR"/>
        </w:rPr>
        <w:t xml:space="preserve">Sobre la modalidad: de las 295 víctimas de femicidio, 27 mujeres fueron violadas, y 4 de ellas fueron violadas hasta la muerte como única modalidad. </w:t>
      </w:r>
    </w:p>
    <w:p w:rsidR="00777EE5" w:rsidRPr="00777EE5" w:rsidRDefault="00777EE5" w:rsidP="001B63AA">
      <w:pPr>
        <w:spacing w:after="0" w:line="276" w:lineRule="auto"/>
        <w:ind w:left="567"/>
        <w:jc w:val="both"/>
        <w:rPr>
          <w:rFonts w:ascii="Arial" w:eastAsia="Arial" w:hAnsi="Arial" w:cs="Arial"/>
          <w:sz w:val="24"/>
          <w:szCs w:val="24"/>
          <w:lang w:eastAsia="es-AR"/>
        </w:rPr>
      </w:pPr>
      <w:r w:rsidRPr="00777EE5">
        <w:rPr>
          <w:rFonts w:ascii="Arial" w:eastAsia="Arial" w:hAnsi="Arial" w:cs="Arial"/>
          <w:sz w:val="24"/>
          <w:szCs w:val="24"/>
          <w:lang w:eastAsia="es-AR"/>
        </w:rPr>
        <w:t xml:space="preserve">El apuñalamiento, el uso de armas de fuego y los golpes fueron los métodos más empleados. </w:t>
      </w:r>
    </w:p>
    <w:p w:rsidR="00777EE5" w:rsidRPr="00777EE5" w:rsidRDefault="00777EE5" w:rsidP="001B63AA">
      <w:pPr>
        <w:spacing w:after="0" w:line="276" w:lineRule="auto"/>
        <w:ind w:left="567"/>
        <w:jc w:val="both"/>
        <w:rPr>
          <w:rFonts w:ascii="Arial" w:eastAsia="Arial" w:hAnsi="Arial" w:cs="Arial"/>
          <w:sz w:val="24"/>
          <w:szCs w:val="24"/>
          <w:lang w:eastAsia="es-AR"/>
        </w:rPr>
      </w:pPr>
    </w:p>
    <w:p w:rsidR="00777EE5" w:rsidRPr="00777EE5" w:rsidRDefault="00777EE5" w:rsidP="001B63AA">
      <w:pPr>
        <w:spacing w:after="0" w:line="276" w:lineRule="auto"/>
        <w:ind w:left="567"/>
        <w:jc w:val="both"/>
        <w:rPr>
          <w:rFonts w:ascii="Arial" w:eastAsia="Arial" w:hAnsi="Arial" w:cs="Arial"/>
          <w:sz w:val="24"/>
          <w:szCs w:val="24"/>
          <w:lang w:eastAsia="es-AR"/>
        </w:rPr>
      </w:pPr>
      <w:r w:rsidRPr="00777EE5">
        <w:rPr>
          <w:rFonts w:ascii="Arial" w:eastAsia="Arial" w:hAnsi="Arial" w:cs="Arial"/>
          <w:sz w:val="24"/>
          <w:szCs w:val="24"/>
          <w:lang w:eastAsia="es-AR"/>
        </w:rPr>
        <w:t xml:space="preserve">Todas las modalidades reflejan el ensañamiento en la violencia empleada para asesinar las mujeres por el hecho de ser mujer. </w:t>
      </w:r>
    </w:p>
    <w:p w:rsidR="00777EE5" w:rsidRDefault="00777EE5" w:rsidP="00777EE5">
      <w:pPr>
        <w:pStyle w:val="Prrafodelista"/>
        <w:ind w:left="709"/>
        <w:jc w:val="both"/>
        <w:rPr>
          <w:rFonts w:ascii="Arial" w:eastAsia="Calibri" w:hAnsi="Arial" w:cs="Arial"/>
          <w:bCs/>
          <w:sz w:val="24"/>
          <w:szCs w:val="24"/>
          <w:lang w:val="es-ES"/>
        </w:rPr>
      </w:pPr>
      <w:r w:rsidRPr="00777EE5">
        <w:rPr>
          <w:rFonts w:ascii="Arial" w:eastAsia="Arial" w:hAnsi="Arial" w:cs="Arial"/>
          <w:noProof/>
          <w:lang w:eastAsia="es-AR"/>
        </w:rPr>
        <w:drawing>
          <wp:anchor distT="0" distB="0" distL="114300" distR="114300" simplePos="0" relativeHeight="251665408" behindDoc="0" locked="0" layoutInCell="1" allowOverlap="1">
            <wp:simplePos x="0" y="0"/>
            <wp:positionH relativeFrom="column">
              <wp:posOffset>0</wp:posOffset>
            </wp:positionH>
            <wp:positionV relativeFrom="paragraph">
              <wp:posOffset>190500</wp:posOffset>
            </wp:positionV>
            <wp:extent cx="6130925" cy="3790429"/>
            <wp:effectExtent l="0" t="0" r="0" b="0"/>
            <wp:wrapSquare wrapText="bothSides" distT="0" distB="0" distL="114300" distR="114300"/>
            <wp:docPr id="17" name="image8.png" descr="Gráfico"/>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16" cstate="print"/>
                    <a:srcRect/>
                    <a:stretch>
                      <a:fillRect/>
                    </a:stretch>
                  </pic:blipFill>
                  <pic:spPr>
                    <a:xfrm>
                      <a:off x="0" y="0"/>
                      <a:ext cx="6130925" cy="3790429"/>
                    </a:xfrm>
                    <a:prstGeom prst="rect">
                      <a:avLst/>
                    </a:prstGeom>
                    <a:ln/>
                  </pic:spPr>
                </pic:pic>
              </a:graphicData>
            </a:graphic>
          </wp:anchor>
        </w:drawing>
      </w:r>
    </w:p>
    <w:p w:rsidR="00D30E81" w:rsidRDefault="00D30E81" w:rsidP="00777EE5">
      <w:pPr>
        <w:spacing w:after="0" w:line="276" w:lineRule="auto"/>
        <w:jc w:val="both"/>
        <w:rPr>
          <w:rFonts w:ascii="Arial" w:eastAsia="Arial" w:hAnsi="Arial" w:cs="Arial"/>
          <w:sz w:val="24"/>
          <w:szCs w:val="24"/>
          <w:lang w:eastAsia="es-AR"/>
        </w:rPr>
      </w:pPr>
    </w:p>
    <w:p w:rsidR="00D30E81" w:rsidRDefault="00D30E81" w:rsidP="00777EE5">
      <w:pPr>
        <w:spacing w:after="0" w:line="276" w:lineRule="auto"/>
        <w:jc w:val="both"/>
        <w:rPr>
          <w:rFonts w:ascii="Arial" w:eastAsia="Arial" w:hAnsi="Arial" w:cs="Arial"/>
          <w:sz w:val="24"/>
          <w:szCs w:val="24"/>
          <w:lang w:eastAsia="es-AR"/>
        </w:rPr>
      </w:pPr>
    </w:p>
    <w:p w:rsidR="00777EE5" w:rsidRPr="00777EE5" w:rsidRDefault="00777EE5" w:rsidP="001B63AA">
      <w:pPr>
        <w:spacing w:after="0" w:line="276" w:lineRule="auto"/>
        <w:ind w:left="567"/>
        <w:jc w:val="both"/>
        <w:rPr>
          <w:rFonts w:ascii="Arial" w:eastAsia="Arial" w:hAnsi="Arial" w:cs="Arial"/>
          <w:sz w:val="24"/>
          <w:szCs w:val="24"/>
          <w:lang w:eastAsia="es-AR"/>
        </w:rPr>
      </w:pPr>
      <w:r w:rsidRPr="00777EE5">
        <w:rPr>
          <w:rFonts w:ascii="Arial" w:eastAsia="Arial" w:hAnsi="Arial" w:cs="Arial"/>
          <w:sz w:val="24"/>
          <w:szCs w:val="24"/>
          <w:lang w:eastAsia="es-AR"/>
        </w:rPr>
        <w:t>Si bien durante el año aumentaron significativamente los pedidos de asistencia</w:t>
      </w:r>
      <w:r w:rsidRPr="00777EE5">
        <w:rPr>
          <w:rFonts w:ascii="Arial" w:eastAsia="Arial" w:hAnsi="Arial" w:cs="Arial"/>
          <w:sz w:val="24"/>
          <w:szCs w:val="24"/>
          <w:vertAlign w:val="superscript"/>
          <w:lang w:eastAsia="es-AR"/>
        </w:rPr>
        <w:footnoteReference w:id="2"/>
      </w:r>
      <w:r w:rsidRPr="00777EE5">
        <w:rPr>
          <w:rFonts w:ascii="Arial" w:eastAsia="Arial" w:hAnsi="Arial" w:cs="Arial"/>
          <w:sz w:val="24"/>
          <w:szCs w:val="24"/>
          <w:lang w:eastAsia="es-AR"/>
        </w:rPr>
        <w:t xml:space="preserve"> de las víctimas de violencia de género a las instituciones, el porcentaje de víctimas que denuncian a su agresor previamente a ser asesinadas es bajo. Igualmente, para ellas, los dispositivos de asistencia fueron insuficientes. </w:t>
      </w:r>
    </w:p>
    <w:p w:rsidR="00777EE5" w:rsidRPr="00777EE5" w:rsidRDefault="00777EE5" w:rsidP="00777EE5">
      <w:pPr>
        <w:spacing w:after="0" w:line="276" w:lineRule="auto"/>
        <w:jc w:val="both"/>
        <w:rPr>
          <w:rFonts w:ascii="Arial" w:eastAsia="Arial" w:hAnsi="Arial" w:cs="Arial"/>
          <w:sz w:val="24"/>
          <w:szCs w:val="24"/>
          <w:lang w:eastAsia="es-AR"/>
        </w:rPr>
      </w:pPr>
    </w:p>
    <w:p w:rsidR="00777EE5" w:rsidRPr="00777EE5" w:rsidRDefault="00777EE5" w:rsidP="001B63AA">
      <w:pPr>
        <w:spacing w:after="0" w:line="276" w:lineRule="auto"/>
        <w:ind w:left="567"/>
        <w:jc w:val="both"/>
        <w:rPr>
          <w:rFonts w:ascii="Arial" w:eastAsia="Arial" w:hAnsi="Arial" w:cs="Arial"/>
          <w:sz w:val="24"/>
          <w:szCs w:val="24"/>
          <w:lang w:eastAsia="es-AR"/>
        </w:rPr>
      </w:pPr>
      <w:r w:rsidRPr="00777EE5">
        <w:rPr>
          <w:rFonts w:ascii="Arial" w:eastAsia="Arial" w:hAnsi="Arial" w:cs="Arial"/>
          <w:sz w:val="24"/>
          <w:szCs w:val="24"/>
          <w:lang w:eastAsia="es-AR"/>
        </w:rPr>
        <w:t>Muchas de las familias de las víctimas reclaman que las mujeres fueron ignoradas en múltiples ocasiones al intentar denunciar a sus agresores.</w:t>
      </w:r>
    </w:p>
    <w:p w:rsidR="00777EE5" w:rsidRPr="00777EE5" w:rsidRDefault="00777EE5" w:rsidP="00777EE5">
      <w:pPr>
        <w:spacing w:after="0" w:line="276" w:lineRule="auto"/>
        <w:jc w:val="both"/>
        <w:rPr>
          <w:rFonts w:ascii="Arial" w:eastAsia="Arial" w:hAnsi="Arial" w:cs="Arial"/>
          <w:sz w:val="24"/>
          <w:szCs w:val="24"/>
          <w:lang w:eastAsia="es-AR"/>
        </w:rPr>
      </w:pPr>
    </w:p>
    <w:p w:rsidR="00777EE5" w:rsidRDefault="00777EE5" w:rsidP="00777EE5">
      <w:pPr>
        <w:pStyle w:val="Prrafodelista"/>
        <w:ind w:left="709"/>
        <w:jc w:val="both"/>
        <w:rPr>
          <w:rFonts w:ascii="Arial" w:eastAsia="Calibri" w:hAnsi="Arial" w:cs="Arial"/>
          <w:bCs/>
          <w:sz w:val="24"/>
          <w:szCs w:val="24"/>
          <w:lang w:val="es-ES"/>
        </w:rPr>
      </w:pPr>
      <w:r w:rsidRPr="00777EE5">
        <w:rPr>
          <w:rFonts w:ascii="Arial" w:eastAsia="Arial" w:hAnsi="Arial" w:cs="Arial"/>
          <w:noProof/>
          <w:sz w:val="24"/>
          <w:szCs w:val="24"/>
          <w:lang w:eastAsia="es-AR"/>
        </w:rPr>
        <w:drawing>
          <wp:inline distT="114300" distB="114300" distL="114300" distR="114300">
            <wp:extent cx="4724426" cy="2919413"/>
            <wp:effectExtent l="0" t="0" r="0" b="0"/>
            <wp:docPr id="39"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17" cstate="print"/>
                    <a:srcRect/>
                    <a:stretch>
                      <a:fillRect/>
                    </a:stretch>
                  </pic:blipFill>
                  <pic:spPr>
                    <a:xfrm>
                      <a:off x="0" y="0"/>
                      <a:ext cx="4724426" cy="2919413"/>
                    </a:xfrm>
                    <a:prstGeom prst="rect">
                      <a:avLst/>
                    </a:prstGeom>
                    <a:ln/>
                  </pic:spPr>
                </pic:pic>
              </a:graphicData>
            </a:graphic>
          </wp:inline>
        </w:drawing>
      </w:r>
    </w:p>
    <w:p w:rsidR="00777EE5" w:rsidRDefault="00777EE5" w:rsidP="00777EE5">
      <w:pPr>
        <w:pStyle w:val="Prrafodelista"/>
        <w:ind w:left="709"/>
        <w:jc w:val="both"/>
        <w:rPr>
          <w:rFonts w:ascii="Arial" w:eastAsia="Calibri" w:hAnsi="Arial" w:cs="Arial"/>
          <w:bCs/>
          <w:sz w:val="24"/>
          <w:szCs w:val="24"/>
          <w:lang w:val="es-ES"/>
        </w:rPr>
      </w:pPr>
    </w:p>
    <w:p w:rsidR="00777EE5" w:rsidRPr="00777EE5" w:rsidRDefault="00777EE5" w:rsidP="001B63AA">
      <w:pPr>
        <w:spacing w:after="0" w:line="276" w:lineRule="auto"/>
        <w:ind w:left="567"/>
        <w:jc w:val="both"/>
        <w:rPr>
          <w:rFonts w:ascii="Arial" w:eastAsia="Arial" w:hAnsi="Arial" w:cs="Arial"/>
          <w:sz w:val="24"/>
          <w:szCs w:val="24"/>
          <w:lang w:eastAsia="es-AR"/>
        </w:rPr>
      </w:pPr>
      <w:r w:rsidRPr="00777EE5">
        <w:rPr>
          <w:rFonts w:ascii="Arial" w:eastAsia="Arial" w:hAnsi="Arial" w:cs="Arial"/>
          <w:sz w:val="24"/>
          <w:szCs w:val="24"/>
          <w:lang w:eastAsia="es-AR"/>
        </w:rPr>
        <w:t>Se pudo confirmar que 212 niñas</w:t>
      </w:r>
      <w:r w:rsidR="008F4E98">
        <w:rPr>
          <w:rFonts w:ascii="Arial" w:eastAsia="Arial" w:hAnsi="Arial" w:cs="Arial"/>
          <w:sz w:val="24"/>
          <w:szCs w:val="24"/>
          <w:lang w:eastAsia="es-AR"/>
        </w:rPr>
        <w:t>/</w:t>
      </w:r>
      <w:r w:rsidRPr="00777EE5">
        <w:rPr>
          <w:rFonts w:ascii="Arial" w:eastAsia="Arial" w:hAnsi="Arial" w:cs="Arial"/>
          <w:sz w:val="24"/>
          <w:szCs w:val="24"/>
          <w:lang w:eastAsia="es-AR"/>
        </w:rPr>
        <w:t>os quedaron sin sus madres víctimas de femicidio. Algunos de estos menores estuvieron presentes en el lugar del hecho junto a sus madres.</w:t>
      </w:r>
    </w:p>
    <w:p w:rsidR="00777EE5" w:rsidRPr="00777EE5" w:rsidRDefault="00777EE5" w:rsidP="00777EE5">
      <w:pPr>
        <w:spacing w:after="0" w:line="276" w:lineRule="auto"/>
        <w:jc w:val="both"/>
        <w:rPr>
          <w:rFonts w:ascii="Arial" w:eastAsia="Arial" w:hAnsi="Arial" w:cs="Arial"/>
          <w:sz w:val="24"/>
          <w:szCs w:val="24"/>
          <w:lang w:eastAsia="es-AR"/>
        </w:rPr>
      </w:pPr>
    </w:p>
    <w:p w:rsidR="00D30E81" w:rsidRDefault="00D30E81" w:rsidP="00777EE5">
      <w:pPr>
        <w:pStyle w:val="Prrafodelista"/>
        <w:ind w:left="709"/>
        <w:jc w:val="both"/>
        <w:rPr>
          <w:rFonts w:ascii="Arial" w:eastAsia="Calibri" w:hAnsi="Arial" w:cs="Arial"/>
          <w:bCs/>
          <w:sz w:val="24"/>
          <w:szCs w:val="24"/>
          <w:lang w:val="es-ES"/>
        </w:rPr>
      </w:pPr>
      <w:r w:rsidRPr="00D30E81">
        <w:rPr>
          <w:rFonts w:ascii="Arial" w:eastAsia="Arial" w:hAnsi="Arial" w:cs="Arial"/>
          <w:noProof/>
          <w:sz w:val="24"/>
          <w:szCs w:val="24"/>
          <w:highlight w:val="white"/>
          <w:lang w:eastAsia="es-AR"/>
        </w:rPr>
        <w:drawing>
          <wp:inline distT="114300" distB="114300" distL="114300" distR="114300">
            <wp:extent cx="5117877" cy="3162542"/>
            <wp:effectExtent l="0" t="0" r="0" b="0"/>
            <wp:docPr id="40" name="image15.png" descr="Gráfico"/>
            <wp:cNvGraphicFramePr/>
            <a:graphic xmlns:a="http://schemas.openxmlformats.org/drawingml/2006/main">
              <a:graphicData uri="http://schemas.openxmlformats.org/drawingml/2006/picture">
                <pic:pic xmlns:pic="http://schemas.openxmlformats.org/drawingml/2006/picture">
                  <pic:nvPicPr>
                    <pic:cNvPr id="0" name="image15.png" descr="Gráfico"/>
                    <pic:cNvPicPr preferRelativeResize="0"/>
                  </pic:nvPicPr>
                  <pic:blipFill>
                    <a:blip r:embed="rId18" cstate="print"/>
                    <a:srcRect/>
                    <a:stretch>
                      <a:fillRect/>
                    </a:stretch>
                  </pic:blipFill>
                  <pic:spPr>
                    <a:xfrm>
                      <a:off x="0" y="0"/>
                      <a:ext cx="5117877" cy="3162542"/>
                    </a:xfrm>
                    <a:prstGeom prst="rect">
                      <a:avLst/>
                    </a:prstGeom>
                    <a:ln/>
                  </pic:spPr>
                </pic:pic>
              </a:graphicData>
            </a:graphic>
          </wp:inline>
        </w:drawing>
      </w:r>
    </w:p>
    <w:p w:rsidR="001B63AA" w:rsidRDefault="001B63AA" w:rsidP="00D30E81">
      <w:pPr>
        <w:spacing w:after="0" w:line="276" w:lineRule="auto"/>
        <w:rPr>
          <w:rFonts w:ascii="Arial" w:eastAsia="Arial" w:hAnsi="Arial" w:cs="Arial"/>
          <w:b/>
          <w:sz w:val="24"/>
          <w:szCs w:val="24"/>
          <w:u w:val="single"/>
          <w:lang w:eastAsia="es-AR"/>
        </w:rPr>
      </w:pPr>
    </w:p>
    <w:p w:rsidR="00D30E81" w:rsidRPr="00D30E81" w:rsidRDefault="00D30E81" w:rsidP="001B63AA">
      <w:pPr>
        <w:spacing w:after="0" w:line="276" w:lineRule="auto"/>
        <w:ind w:left="567"/>
        <w:rPr>
          <w:rFonts w:ascii="Arial" w:eastAsia="Arial" w:hAnsi="Arial" w:cs="Arial"/>
          <w:b/>
          <w:sz w:val="24"/>
          <w:szCs w:val="24"/>
          <w:u w:val="single"/>
          <w:lang w:eastAsia="es-AR"/>
        </w:rPr>
      </w:pPr>
      <w:r w:rsidRPr="00D30E81">
        <w:rPr>
          <w:rFonts w:ascii="Arial" w:eastAsia="Arial" w:hAnsi="Arial" w:cs="Arial"/>
          <w:b/>
          <w:sz w:val="24"/>
          <w:szCs w:val="24"/>
          <w:u w:val="single"/>
          <w:lang w:eastAsia="es-AR"/>
        </w:rPr>
        <w:t>Distribución demográfica de los femicidios</w:t>
      </w:r>
    </w:p>
    <w:p w:rsidR="00D30E81" w:rsidRPr="00D30E81" w:rsidRDefault="00D30E81" w:rsidP="00D30E81">
      <w:pPr>
        <w:spacing w:after="0" w:line="276" w:lineRule="auto"/>
        <w:rPr>
          <w:rFonts w:ascii="Arial" w:eastAsia="Arial" w:hAnsi="Arial" w:cs="Arial"/>
          <w:b/>
          <w:sz w:val="24"/>
          <w:szCs w:val="24"/>
          <w:u w:val="single"/>
          <w:lang w:eastAsia="es-AR"/>
        </w:rPr>
      </w:pPr>
    </w:p>
    <w:p w:rsidR="00D30E81" w:rsidRPr="00D30E81" w:rsidRDefault="00D30E81" w:rsidP="001B63AA">
      <w:pPr>
        <w:spacing w:after="0" w:line="276" w:lineRule="auto"/>
        <w:ind w:left="567"/>
        <w:rPr>
          <w:rFonts w:ascii="Arial" w:eastAsia="Arial" w:hAnsi="Arial" w:cs="Arial"/>
          <w:sz w:val="24"/>
          <w:szCs w:val="24"/>
          <w:lang w:eastAsia="es-AR"/>
        </w:rPr>
      </w:pPr>
      <w:r w:rsidRPr="00D30E81">
        <w:rPr>
          <w:rFonts w:ascii="Arial" w:eastAsia="Arial" w:hAnsi="Arial" w:cs="Arial"/>
          <w:sz w:val="24"/>
          <w:szCs w:val="24"/>
          <w:lang w:eastAsia="es-AR"/>
        </w:rPr>
        <w:lastRenderedPageBreak/>
        <w:t xml:space="preserve">Las provincias en donde más femicidios se produjeron son: Buenos Aires con 115 casos, Santa Fe con 37, Tucumán con 21 y Córdoba con 19. </w:t>
      </w:r>
    </w:p>
    <w:p w:rsidR="00D30E81" w:rsidRDefault="00D30E81" w:rsidP="00777EE5">
      <w:pPr>
        <w:pStyle w:val="Prrafodelista"/>
        <w:ind w:left="709"/>
        <w:jc w:val="both"/>
        <w:rPr>
          <w:rFonts w:ascii="Arial" w:eastAsia="Calibri" w:hAnsi="Arial" w:cs="Arial"/>
          <w:bCs/>
          <w:sz w:val="24"/>
          <w:szCs w:val="24"/>
          <w:lang w:val="es-ES"/>
        </w:rPr>
      </w:pPr>
    </w:p>
    <w:p w:rsidR="00D30E81" w:rsidRDefault="00D30E81" w:rsidP="00777EE5">
      <w:pPr>
        <w:pStyle w:val="Prrafodelista"/>
        <w:ind w:left="709"/>
        <w:jc w:val="both"/>
        <w:rPr>
          <w:rFonts w:ascii="Arial" w:eastAsia="Calibri" w:hAnsi="Arial" w:cs="Arial"/>
          <w:bCs/>
          <w:sz w:val="24"/>
          <w:szCs w:val="24"/>
          <w:lang w:val="es-ES"/>
        </w:rPr>
      </w:pPr>
    </w:p>
    <w:p w:rsidR="00777EE5" w:rsidRDefault="00D30E81" w:rsidP="00777EE5">
      <w:pPr>
        <w:pStyle w:val="Prrafodelista"/>
        <w:ind w:left="709"/>
        <w:jc w:val="both"/>
        <w:rPr>
          <w:rFonts w:ascii="Arial" w:eastAsia="Calibri" w:hAnsi="Arial" w:cs="Arial"/>
          <w:bCs/>
          <w:sz w:val="24"/>
          <w:szCs w:val="24"/>
          <w:lang w:val="es-ES"/>
        </w:rPr>
      </w:pPr>
      <w:r w:rsidRPr="00D30E81">
        <w:rPr>
          <w:rFonts w:ascii="Arial" w:eastAsia="Arial" w:hAnsi="Arial" w:cs="Arial"/>
          <w:noProof/>
          <w:lang w:eastAsia="es-AR"/>
        </w:rPr>
        <w:drawing>
          <wp:anchor distT="0" distB="0" distL="114300" distR="114300" simplePos="0" relativeHeight="251667456" behindDoc="0" locked="0" layoutInCell="1" allowOverlap="1">
            <wp:simplePos x="0" y="0"/>
            <wp:positionH relativeFrom="column">
              <wp:posOffset>0</wp:posOffset>
            </wp:positionH>
            <wp:positionV relativeFrom="paragraph">
              <wp:posOffset>190500</wp:posOffset>
            </wp:positionV>
            <wp:extent cx="5762259" cy="3567113"/>
            <wp:effectExtent l="0" t="0" r="0" b="0"/>
            <wp:wrapSquare wrapText="bothSides" distT="0" distB="0" distL="114300" distR="114300"/>
            <wp:docPr id="23" name="image22.png" descr="Gráfico"/>
            <wp:cNvGraphicFramePr/>
            <a:graphic xmlns:a="http://schemas.openxmlformats.org/drawingml/2006/main">
              <a:graphicData uri="http://schemas.openxmlformats.org/drawingml/2006/picture">
                <pic:pic xmlns:pic="http://schemas.openxmlformats.org/drawingml/2006/picture">
                  <pic:nvPicPr>
                    <pic:cNvPr id="0" name="image22.png" descr="Gráfico"/>
                    <pic:cNvPicPr preferRelativeResize="0"/>
                  </pic:nvPicPr>
                  <pic:blipFill>
                    <a:blip r:embed="rId19" cstate="print"/>
                    <a:srcRect/>
                    <a:stretch>
                      <a:fillRect/>
                    </a:stretch>
                  </pic:blipFill>
                  <pic:spPr>
                    <a:xfrm>
                      <a:off x="0" y="0"/>
                      <a:ext cx="5762259" cy="3567113"/>
                    </a:xfrm>
                    <a:prstGeom prst="rect">
                      <a:avLst/>
                    </a:prstGeom>
                    <a:ln/>
                  </pic:spPr>
                </pic:pic>
              </a:graphicData>
            </a:graphic>
          </wp:anchor>
        </w:drawing>
      </w:r>
      <w:r w:rsidR="00777EE5" w:rsidRPr="00777EE5">
        <w:rPr>
          <w:rFonts w:ascii="Arial" w:eastAsia="Arial" w:hAnsi="Arial" w:cs="Arial"/>
          <w:noProof/>
          <w:lang w:eastAsia="es-AR"/>
        </w:rPr>
        <w:drawing>
          <wp:anchor distT="0" distB="0" distL="114300" distR="114300" simplePos="0" relativeHeight="251663360" behindDoc="0" locked="0" layoutInCell="1" allowOverlap="1">
            <wp:simplePos x="0" y="0"/>
            <wp:positionH relativeFrom="column">
              <wp:posOffset>0</wp:posOffset>
            </wp:positionH>
            <wp:positionV relativeFrom="paragraph">
              <wp:posOffset>5099050</wp:posOffset>
            </wp:positionV>
            <wp:extent cx="6130925" cy="3790429"/>
            <wp:effectExtent l="0" t="0" r="0" b="0"/>
            <wp:wrapSquare wrapText="bothSides" distT="0" distB="0" distL="114300" distR="114300"/>
            <wp:docPr id="24" name="image8.png" descr="Gráfico"/>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16" cstate="print"/>
                    <a:srcRect/>
                    <a:stretch>
                      <a:fillRect/>
                    </a:stretch>
                  </pic:blipFill>
                  <pic:spPr>
                    <a:xfrm>
                      <a:off x="0" y="0"/>
                      <a:ext cx="6130925" cy="3790429"/>
                    </a:xfrm>
                    <a:prstGeom prst="rect">
                      <a:avLst/>
                    </a:prstGeom>
                    <a:ln/>
                  </pic:spPr>
                </pic:pic>
              </a:graphicData>
            </a:graphic>
          </wp:anchor>
        </w:drawing>
      </w:r>
    </w:p>
    <w:p w:rsidR="00D30E81" w:rsidRDefault="00D30E81" w:rsidP="00D30E81">
      <w:pPr>
        <w:rPr>
          <w:lang w:val="es-ES"/>
        </w:rPr>
      </w:pPr>
      <w:r w:rsidRPr="00D30E81">
        <w:rPr>
          <w:rFonts w:ascii="Arial" w:eastAsia="Arial" w:hAnsi="Arial" w:cs="Arial"/>
          <w:noProof/>
          <w:lang w:eastAsia="es-AR"/>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290195</wp:posOffset>
            </wp:positionV>
            <wp:extent cx="5086350" cy="5581650"/>
            <wp:effectExtent l="0" t="0" r="0" b="0"/>
            <wp:wrapSquare wrapText="bothSides" distT="0" distB="0" distL="114300" distR="114300"/>
            <wp:docPr id="3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cstate="print"/>
                    <a:srcRect/>
                    <a:stretch>
                      <a:fillRect/>
                    </a:stretch>
                  </pic:blipFill>
                  <pic:spPr>
                    <a:xfrm>
                      <a:off x="0" y="0"/>
                      <a:ext cx="5086350" cy="5581650"/>
                    </a:xfrm>
                    <a:prstGeom prst="rect">
                      <a:avLst/>
                    </a:prstGeom>
                    <a:ln/>
                  </pic:spPr>
                </pic:pic>
              </a:graphicData>
            </a:graphic>
          </wp:anchor>
        </w:drawing>
      </w:r>
    </w:p>
    <w:p w:rsidR="00D30E81" w:rsidRPr="00D30E81" w:rsidRDefault="00D30E81" w:rsidP="00D30E81">
      <w:pPr>
        <w:rPr>
          <w:lang w:val="es-ES"/>
        </w:rPr>
      </w:pPr>
    </w:p>
    <w:p w:rsidR="00D30E81" w:rsidRDefault="00D30E81" w:rsidP="001B63AA">
      <w:pPr>
        <w:spacing w:before="240" w:after="240"/>
        <w:ind w:left="567"/>
        <w:jc w:val="both"/>
        <w:rPr>
          <w:rFonts w:ascii="Arial" w:eastAsia="Arial" w:hAnsi="Arial" w:cs="Arial"/>
          <w:sz w:val="24"/>
          <w:szCs w:val="24"/>
          <w:lang w:eastAsia="es-AR"/>
        </w:rPr>
      </w:pPr>
      <w:r w:rsidRPr="00D30E81">
        <w:rPr>
          <w:rFonts w:ascii="Arial" w:eastAsia="Arial" w:hAnsi="Arial" w:cs="Arial"/>
          <w:sz w:val="24"/>
          <w:szCs w:val="24"/>
          <w:lang w:eastAsia="es-AR"/>
        </w:rPr>
        <w:t xml:space="preserve">A fin de destacar los puntos precisos de Buenos Aires, tanto en la Ciudad como en los partidos donde se produjeron casos de femicidios, la provincia fue distribuida en: CABA, Zona Norte, Zona Oeste y Zona Sur. </w:t>
      </w:r>
    </w:p>
    <w:p w:rsidR="00D30E81" w:rsidRDefault="00D30E81" w:rsidP="00D30E81">
      <w:pPr>
        <w:spacing w:before="240" w:after="240"/>
        <w:jc w:val="both"/>
        <w:rPr>
          <w:rFonts w:ascii="Arial" w:eastAsia="Arial" w:hAnsi="Arial" w:cs="Arial"/>
          <w:sz w:val="24"/>
          <w:szCs w:val="24"/>
          <w:lang w:eastAsia="es-AR"/>
        </w:rPr>
      </w:pPr>
      <w:r w:rsidRPr="00D30E81">
        <w:rPr>
          <w:rFonts w:ascii="Arial" w:eastAsia="Arial" w:hAnsi="Arial" w:cs="Arial"/>
          <w:noProof/>
          <w:sz w:val="24"/>
          <w:szCs w:val="24"/>
          <w:lang w:eastAsia="es-AR"/>
        </w:rPr>
        <w:lastRenderedPageBreak/>
        <w:drawing>
          <wp:inline distT="114300" distB="114300" distL="114300" distR="114300">
            <wp:extent cx="4537387" cy="2795588"/>
            <wp:effectExtent l="0" t="0" r="0" b="0"/>
            <wp:docPr id="41" name="image10.png" descr="Gráfico"/>
            <wp:cNvGraphicFramePr/>
            <a:graphic xmlns:a="http://schemas.openxmlformats.org/drawingml/2006/main">
              <a:graphicData uri="http://schemas.openxmlformats.org/drawingml/2006/picture">
                <pic:pic xmlns:pic="http://schemas.openxmlformats.org/drawingml/2006/picture">
                  <pic:nvPicPr>
                    <pic:cNvPr id="0" name="image10.png" descr="Gráfico"/>
                    <pic:cNvPicPr preferRelativeResize="0"/>
                  </pic:nvPicPr>
                  <pic:blipFill>
                    <a:blip r:embed="rId21" cstate="print"/>
                    <a:srcRect/>
                    <a:stretch>
                      <a:fillRect/>
                    </a:stretch>
                  </pic:blipFill>
                  <pic:spPr>
                    <a:xfrm>
                      <a:off x="0" y="0"/>
                      <a:ext cx="4537387" cy="2795588"/>
                    </a:xfrm>
                    <a:prstGeom prst="rect">
                      <a:avLst/>
                    </a:prstGeom>
                    <a:ln/>
                  </pic:spPr>
                </pic:pic>
              </a:graphicData>
            </a:graphic>
          </wp:inline>
        </w:drawing>
      </w:r>
    </w:p>
    <w:p w:rsidR="00D30E81" w:rsidRDefault="00D30E81" w:rsidP="00D30E81">
      <w:pPr>
        <w:spacing w:before="240" w:after="240"/>
        <w:jc w:val="both"/>
        <w:rPr>
          <w:rFonts w:ascii="Arial" w:eastAsia="Arial" w:hAnsi="Arial" w:cs="Arial"/>
          <w:sz w:val="24"/>
          <w:szCs w:val="24"/>
          <w:lang w:eastAsia="es-AR"/>
        </w:rPr>
      </w:pPr>
    </w:p>
    <w:p w:rsidR="00D30E81" w:rsidRPr="00D30E81" w:rsidRDefault="00D30E81" w:rsidP="001B63AA">
      <w:pPr>
        <w:spacing w:before="240" w:after="240"/>
        <w:ind w:left="567"/>
        <w:jc w:val="both"/>
        <w:rPr>
          <w:rFonts w:ascii="Arial" w:eastAsia="Arial" w:hAnsi="Arial" w:cs="Arial"/>
          <w:sz w:val="24"/>
          <w:szCs w:val="24"/>
          <w:lang w:eastAsia="es-AR"/>
        </w:rPr>
      </w:pPr>
      <w:r w:rsidRPr="00D30E81">
        <w:rPr>
          <w:rFonts w:ascii="Arial" w:eastAsia="Arial" w:hAnsi="Arial" w:cs="Arial"/>
          <w:sz w:val="24"/>
          <w:szCs w:val="24"/>
          <w:lang w:eastAsia="es-AR"/>
        </w:rPr>
        <w:t>La zona con mayor incidencia de casos de femicidio es la Zona Sur, con 48 casos en total, siendo La Plata el partido de Zona Sur con más casos. A nivel general, teniendo en cuenta todas las zonas de la Provincia, los partidos que tuvieron mayor incidencia en el total fueron La Matanza y Moreno, con 8 casos cada uno, y se sitúan en la Zona Oeste.</w:t>
      </w:r>
    </w:p>
    <w:p w:rsidR="00D30E81" w:rsidRPr="00D30E81" w:rsidRDefault="00D30E81" w:rsidP="00D30E81">
      <w:pPr>
        <w:tabs>
          <w:tab w:val="left" w:pos="1410"/>
        </w:tabs>
        <w:rPr>
          <w:lang w:val="es-ES"/>
        </w:rPr>
      </w:pPr>
    </w:p>
    <w:p w:rsidR="00D30E81" w:rsidRPr="00D30E81" w:rsidRDefault="00D30E81" w:rsidP="00D30E81">
      <w:pPr>
        <w:rPr>
          <w:lang w:val="es-ES"/>
        </w:rPr>
      </w:pPr>
      <w:r w:rsidRPr="00D30E81">
        <w:rPr>
          <w:rFonts w:ascii="Arial" w:eastAsia="Arial" w:hAnsi="Arial" w:cs="Arial"/>
          <w:noProof/>
          <w:lang w:eastAsia="es-AR"/>
        </w:rPr>
        <w:drawing>
          <wp:anchor distT="0" distB="0" distL="114300" distR="114300" simplePos="0" relativeHeight="251671552" behindDoc="0" locked="0" layoutInCell="1" allowOverlap="1">
            <wp:simplePos x="0" y="0"/>
            <wp:positionH relativeFrom="column">
              <wp:posOffset>0</wp:posOffset>
            </wp:positionH>
            <wp:positionV relativeFrom="paragraph">
              <wp:posOffset>275590</wp:posOffset>
            </wp:positionV>
            <wp:extent cx="5876290" cy="3638550"/>
            <wp:effectExtent l="0" t="0" r="0" b="0"/>
            <wp:wrapSquare wrapText="bothSides" distT="0" distB="0" distL="114300" distR="114300"/>
            <wp:docPr id="28" name="image13.png" descr="Gráfico"/>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22" cstate="print"/>
                    <a:srcRect/>
                    <a:stretch>
                      <a:fillRect/>
                    </a:stretch>
                  </pic:blipFill>
                  <pic:spPr>
                    <a:xfrm>
                      <a:off x="0" y="0"/>
                      <a:ext cx="5876290" cy="3638550"/>
                    </a:xfrm>
                    <a:prstGeom prst="rect">
                      <a:avLst/>
                    </a:prstGeom>
                    <a:ln/>
                  </pic:spPr>
                </pic:pic>
              </a:graphicData>
            </a:graphic>
          </wp:anchor>
        </w:drawing>
      </w:r>
    </w:p>
    <w:p w:rsidR="00D30E81" w:rsidRDefault="00D30E81" w:rsidP="00D30E81">
      <w:pPr>
        <w:rPr>
          <w:lang w:val="es-ES"/>
        </w:rPr>
      </w:pPr>
    </w:p>
    <w:p w:rsidR="00D30E81" w:rsidRDefault="00D30E81" w:rsidP="00D30E81">
      <w:pPr>
        <w:rPr>
          <w:lang w:val="es-ES"/>
        </w:rPr>
      </w:pPr>
      <w:r w:rsidRPr="00D30E81">
        <w:rPr>
          <w:rFonts w:ascii="Arial" w:eastAsia="Arial" w:hAnsi="Arial" w:cs="Arial"/>
          <w:noProof/>
          <w:sz w:val="24"/>
          <w:szCs w:val="24"/>
          <w:lang w:eastAsia="es-AR"/>
        </w:rPr>
        <w:drawing>
          <wp:inline distT="114300" distB="114300" distL="114300" distR="114300">
            <wp:extent cx="5400040" cy="3350717"/>
            <wp:effectExtent l="0" t="0" r="0" b="2540"/>
            <wp:docPr id="42" name="image7.png" descr="Gráfico"/>
            <wp:cNvGraphicFramePr/>
            <a:graphic xmlns:a="http://schemas.openxmlformats.org/drawingml/2006/main">
              <a:graphicData uri="http://schemas.openxmlformats.org/drawingml/2006/picture">
                <pic:pic xmlns:pic="http://schemas.openxmlformats.org/drawingml/2006/picture">
                  <pic:nvPicPr>
                    <pic:cNvPr id="0" name="image7.png" descr="Gráfico"/>
                    <pic:cNvPicPr preferRelativeResize="0"/>
                  </pic:nvPicPr>
                  <pic:blipFill>
                    <a:blip r:embed="rId23" cstate="print"/>
                    <a:srcRect/>
                    <a:stretch>
                      <a:fillRect/>
                    </a:stretch>
                  </pic:blipFill>
                  <pic:spPr>
                    <a:xfrm>
                      <a:off x="0" y="0"/>
                      <a:ext cx="5400040" cy="3350717"/>
                    </a:xfrm>
                    <a:prstGeom prst="rect">
                      <a:avLst/>
                    </a:prstGeom>
                    <a:ln/>
                  </pic:spPr>
                </pic:pic>
              </a:graphicData>
            </a:graphic>
          </wp:inline>
        </w:drawing>
      </w:r>
    </w:p>
    <w:p w:rsidR="00D30E81" w:rsidRDefault="00D30E81" w:rsidP="00D30E81">
      <w:pPr>
        <w:rPr>
          <w:lang w:val="es-ES"/>
        </w:rPr>
      </w:pPr>
    </w:p>
    <w:p w:rsidR="00D30E81" w:rsidRDefault="00D30E81" w:rsidP="00D30E81">
      <w:pPr>
        <w:rPr>
          <w:lang w:val="es-ES"/>
        </w:rPr>
      </w:pPr>
      <w:r w:rsidRPr="00D30E81">
        <w:rPr>
          <w:rFonts w:ascii="Arial" w:eastAsia="Arial" w:hAnsi="Arial" w:cs="Arial"/>
          <w:noProof/>
          <w:sz w:val="24"/>
          <w:szCs w:val="24"/>
          <w:lang w:eastAsia="es-AR"/>
        </w:rPr>
        <w:drawing>
          <wp:inline distT="114300" distB="114300" distL="114300" distR="114300">
            <wp:extent cx="5400040" cy="3336820"/>
            <wp:effectExtent l="0" t="0" r="0" b="0"/>
            <wp:docPr id="44" name="image21.png" descr="Gráfico"/>
            <wp:cNvGraphicFramePr/>
            <a:graphic xmlns:a="http://schemas.openxmlformats.org/drawingml/2006/main">
              <a:graphicData uri="http://schemas.openxmlformats.org/drawingml/2006/picture">
                <pic:pic xmlns:pic="http://schemas.openxmlformats.org/drawingml/2006/picture">
                  <pic:nvPicPr>
                    <pic:cNvPr id="0" name="image21.png" descr="Gráfico"/>
                    <pic:cNvPicPr preferRelativeResize="0"/>
                  </pic:nvPicPr>
                  <pic:blipFill>
                    <a:blip r:embed="rId24" cstate="print"/>
                    <a:srcRect/>
                    <a:stretch>
                      <a:fillRect/>
                    </a:stretch>
                  </pic:blipFill>
                  <pic:spPr>
                    <a:xfrm>
                      <a:off x="0" y="0"/>
                      <a:ext cx="5400040" cy="3336820"/>
                    </a:xfrm>
                    <a:prstGeom prst="rect">
                      <a:avLst/>
                    </a:prstGeom>
                    <a:ln/>
                  </pic:spPr>
                </pic:pic>
              </a:graphicData>
            </a:graphic>
          </wp:inline>
        </w:drawing>
      </w:r>
    </w:p>
    <w:p w:rsidR="00D30E81" w:rsidRPr="00D30E81" w:rsidRDefault="00D30E81" w:rsidP="00D30E81">
      <w:pPr>
        <w:rPr>
          <w:lang w:val="es-ES"/>
        </w:rPr>
      </w:pPr>
    </w:p>
    <w:p w:rsidR="00D30E81" w:rsidRPr="00D30E81" w:rsidRDefault="00D30E81" w:rsidP="00D30E81">
      <w:pPr>
        <w:rPr>
          <w:lang w:val="es-ES"/>
        </w:rPr>
      </w:pPr>
    </w:p>
    <w:p w:rsidR="00D30E81" w:rsidRPr="00D30E81" w:rsidRDefault="00D30E81" w:rsidP="00D30E81">
      <w:pPr>
        <w:rPr>
          <w:lang w:val="es-ES"/>
        </w:rPr>
      </w:pPr>
    </w:p>
    <w:p w:rsidR="00D30E81" w:rsidRPr="00D30E81" w:rsidRDefault="00D30E81" w:rsidP="00D30E81">
      <w:pPr>
        <w:rPr>
          <w:lang w:val="es-ES"/>
        </w:rPr>
      </w:pPr>
    </w:p>
    <w:p w:rsidR="00D30E81" w:rsidRPr="00D30E81" w:rsidRDefault="00D30E81" w:rsidP="00D30E81">
      <w:pPr>
        <w:rPr>
          <w:lang w:val="es-ES"/>
        </w:rPr>
      </w:pPr>
    </w:p>
    <w:p w:rsidR="00D30E81" w:rsidRPr="00D30E81" w:rsidRDefault="00D30E81" w:rsidP="00D30E81">
      <w:pPr>
        <w:rPr>
          <w:lang w:val="es-ES"/>
        </w:rPr>
      </w:pPr>
    </w:p>
    <w:p w:rsidR="00D30E81" w:rsidRPr="00D30E81" w:rsidRDefault="00D30E81" w:rsidP="00D30E81">
      <w:pPr>
        <w:rPr>
          <w:lang w:val="es-ES"/>
        </w:rPr>
      </w:pPr>
    </w:p>
    <w:p w:rsidR="00025C76" w:rsidRPr="00FA0E15" w:rsidRDefault="00025C76" w:rsidP="00025C76">
      <w:pPr>
        <w:numPr>
          <w:ilvl w:val="0"/>
          <w:numId w:val="2"/>
        </w:numPr>
        <w:spacing w:after="0" w:line="240" w:lineRule="auto"/>
        <w:ind w:left="709"/>
        <w:contextualSpacing/>
        <w:jc w:val="both"/>
        <w:rPr>
          <w:rFonts w:ascii="Arial" w:eastAsia="Calibri" w:hAnsi="Arial" w:cs="Arial"/>
          <w:b/>
          <w:sz w:val="24"/>
          <w:szCs w:val="24"/>
          <w:lang w:val="es-ES"/>
        </w:rPr>
      </w:pPr>
      <w:r w:rsidRPr="00025C76">
        <w:rPr>
          <w:rFonts w:ascii="Arial" w:eastAsia="Calibri" w:hAnsi="Arial" w:cs="Arial"/>
          <w:b/>
          <w:sz w:val="24"/>
          <w:szCs w:val="24"/>
          <w:lang w:val="es-ES"/>
        </w:rPr>
        <w:t>Sobre los resultados del análisis de los casos de feminicidio, incluyendo la revisión de casos judiciales anteriores y las recomendaciones y acciones emprendidas al respecto.</w:t>
      </w:r>
    </w:p>
    <w:p w:rsidR="003B1B0D" w:rsidRPr="000D74AC" w:rsidRDefault="003B1B0D" w:rsidP="003B1B0D">
      <w:pPr>
        <w:pStyle w:val="Prrafodelista"/>
        <w:rPr>
          <w:rFonts w:ascii="Arial" w:eastAsia="Calibri" w:hAnsi="Arial" w:cs="Arial"/>
          <w:bCs/>
          <w:sz w:val="24"/>
          <w:szCs w:val="24"/>
          <w:lang w:val="es-ES"/>
        </w:rPr>
      </w:pPr>
    </w:p>
    <w:p w:rsidR="003B1B0D" w:rsidRDefault="00FA0E15" w:rsidP="003B1B0D">
      <w:pPr>
        <w:spacing w:after="0" w:line="240" w:lineRule="auto"/>
        <w:ind w:left="709"/>
        <w:contextualSpacing/>
        <w:jc w:val="both"/>
        <w:rPr>
          <w:rFonts w:ascii="Arial" w:eastAsia="Calibri" w:hAnsi="Arial" w:cs="Arial"/>
          <w:bCs/>
          <w:sz w:val="24"/>
          <w:szCs w:val="24"/>
          <w:lang w:val="es-ES"/>
        </w:rPr>
      </w:pPr>
      <w:r>
        <w:rPr>
          <w:rFonts w:ascii="Arial" w:eastAsia="Calibri" w:hAnsi="Arial" w:cs="Arial"/>
          <w:bCs/>
          <w:sz w:val="24"/>
          <w:szCs w:val="24"/>
          <w:lang w:val="es-ES"/>
        </w:rPr>
        <w:t>Desde esta INDH h</w:t>
      </w:r>
      <w:r w:rsidR="003B1B0D" w:rsidRPr="00FA0E15">
        <w:rPr>
          <w:rFonts w:ascii="Arial" w:eastAsia="Calibri" w:hAnsi="Arial" w:cs="Arial"/>
          <w:bCs/>
          <w:sz w:val="24"/>
          <w:szCs w:val="24"/>
          <w:lang w:val="es-ES"/>
        </w:rPr>
        <w:t xml:space="preserve">acemos el seguimiento </w:t>
      </w:r>
      <w:r>
        <w:rPr>
          <w:rFonts w:ascii="Arial" w:eastAsia="Calibri" w:hAnsi="Arial" w:cs="Arial"/>
          <w:bCs/>
          <w:sz w:val="24"/>
          <w:szCs w:val="24"/>
          <w:lang w:val="es-ES"/>
        </w:rPr>
        <w:t xml:space="preserve">de los casos </w:t>
      </w:r>
      <w:r w:rsidR="003B1B0D" w:rsidRPr="00FA0E15">
        <w:rPr>
          <w:rFonts w:ascii="Arial" w:eastAsia="Calibri" w:hAnsi="Arial" w:cs="Arial"/>
          <w:bCs/>
          <w:sz w:val="24"/>
          <w:szCs w:val="24"/>
          <w:lang w:val="es-ES"/>
        </w:rPr>
        <w:t>para tener resultados certeros en cada causa</w:t>
      </w:r>
      <w:r>
        <w:rPr>
          <w:rFonts w:ascii="Arial" w:eastAsia="Calibri" w:hAnsi="Arial" w:cs="Arial"/>
          <w:bCs/>
          <w:sz w:val="24"/>
          <w:szCs w:val="24"/>
          <w:lang w:val="es-ES"/>
        </w:rPr>
        <w:t>.</w:t>
      </w:r>
      <w:r w:rsidR="003B1B0D" w:rsidRPr="00FA0E15">
        <w:rPr>
          <w:rFonts w:ascii="Arial" w:eastAsia="Calibri" w:hAnsi="Arial" w:cs="Arial"/>
          <w:bCs/>
          <w:sz w:val="24"/>
          <w:szCs w:val="24"/>
          <w:lang w:val="es-ES"/>
        </w:rPr>
        <w:t xml:space="preserve"> </w:t>
      </w:r>
      <w:r w:rsidR="008F4E98">
        <w:rPr>
          <w:rFonts w:ascii="Arial" w:eastAsia="Calibri" w:hAnsi="Arial" w:cs="Arial"/>
          <w:bCs/>
          <w:sz w:val="24"/>
          <w:szCs w:val="24"/>
          <w:lang w:val="es-ES"/>
        </w:rPr>
        <w:t>En lo jurisdiccional, n</w:t>
      </w:r>
      <w:r w:rsidR="003B1B0D" w:rsidRPr="00FA0E15">
        <w:rPr>
          <w:rFonts w:ascii="Arial" w:eastAsia="Calibri" w:hAnsi="Arial" w:cs="Arial"/>
          <w:bCs/>
          <w:sz w:val="24"/>
          <w:szCs w:val="24"/>
          <w:lang w:val="es-ES"/>
        </w:rPr>
        <w:t xml:space="preserve">uestra </w:t>
      </w:r>
      <w:r w:rsidR="008F4E98">
        <w:rPr>
          <w:rFonts w:ascii="Arial" w:eastAsia="Calibri" w:hAnsi="Arial" w:cs="Arial"/>
          <w:bCs/>
          <w:sz w:val="24"/>
          <w:szCs w:val="24"/>
          <w:lang w:val="es-ES"/>
        </w:rPr>
        <w:t>participación</w:t>
      </w:r>
      <w:r w:rsidR="00D21423">
        <w:rPr>
          <w:rFonts w:ascii="Arial" w:eastAsia="Calibri" w:hAnsi="Arial" w:cs="Arial"/>
          <w:bCs/>
          <w:sz w:val="24"/>
          <w:szCs w:val="24"/>
          <w:lang w:val="es-ES"/>
        </w:rPr>
        <w:t xml:space="preserve"> </w:t>
      </w:r>
      <w:r w:rsidR="003B1B0D" w:rsidRPr="00FA0E15">
        <w:rPr>
          <w:rFonts w:ascii="Arial" w:eastAsia="Calibri" w:hAnsi="Arial" w:cs="Arial"/>
          <w:bCs/>
          <w:sz w:val="24"/>
          <w:szCs w:val="24"/>
          <w:lang w:val="es-ES"/>
        </w:rPr>
        <w:t>se encuentra vedada por el art. 21 inc</w:t>
      </w:r>
      <w:r>
        <w:rPr>
          <w:rFonts w:ascii="Arial" w:eastAsia="Calibri" w:hAnsi="Arial" w:cs="Arial"/>
          <w:bCs/>
          <w:sz w:val="24"/>
          <w:szCs w:val="24"/>
          <w:lang w:val="es-ES"/>
        </w:rPr>
        <w:t>.</w:t>
      </w:r>
      <w:r w:rsidR="003B1B0D" w:rsidRPr="00FA0E15">
        <w:rPr>
          <w:rFonts w:ascii="Arial" w:eastAsia="Calibri" w:hAnsi="Arial" w:cs="Arial"/>
          <w:bCs/>
          <w:sz w:val="24"/>
          <w:szCs w:val="24"/>
          <w:lang w:val="es-ES"/>
        </w:rPr>
        <w:t xml:space="preserve"> </w:t>
      </w:r>
      <w:r>
        <w:rPr>
          <w:rFonts w:ascii="Arial" w:eastAsia="Calibri" w:hAnsi="Arial" w:cs="Arial"/>
          <w:bCs/>
          <w:sz w:val="24"/>
          <w:szCs w:val="24"/>
          <w:lang w:val="es-ES"/>
        </w:rPr>
        <w:t>b) de la Ley N° 24.284; de allí que</w:t>
      </w:r>
      <w:r w:rsidR="003B1B0D" w:rsidRPr="00FA0E15">
        <w:rPr>
          <w:rFonts w:ascii="Arial" w:eastAsia="Calibri" w:hAnsi="Arial" w:cs="Arial"/>
          <w:bCs/>
          <w:sz w:val="24"/>
          <w:szCs w:val="24"/>
          <w:lang w:val="es-ES"/>
        </w:rPr>
        <w:t xml:space="preserve"> nos limitamos a pedir informes sobre el estado y resultado de una causa y así, suele ocurrir</w:t>
      </w:r>
      <w:r>
        <w:rPr>
          <w:rFonts w:ascii="Arial" w:eastAsia="Calibri" w:hAnsi="Arial" w:cs="Arial"/>
          <w:bCs/>
          <w:sz w:val="24"/>
          <w:szCs w:val="24"/>
          <w:lang w:val="es-ES"/>
        </w:rPr>
        <w:t xml:space="preserve">, en </w:t>
      </w:r>
      <w:r w:rsidR="00D21423">
        <w:rPr>
          <w:rFonts w:ascii="Arial" w:eastAsia="Calibri" w:hAnsi="Arial" w:cs="Arial"/>
          <w:bCs/>
          <w:sz w:val="24"/>
          <w:szCs w:val="24"/>
          <w:lang w:val="es-ES"/>
        </w:rPr>
        <w:t>alguno de los casos</w:t>
      </w:r>
      <w:r>
        <w:rPr>
          <w:rFonts w:ascii="Arial" w:eastAsia="Calibri" w:hAnsi="Arial" w:cs="Arial"/>
          <w:bCs/>
          <w:sz w:val="24"/>
          <w:szCs w:val="24"/>
          <w:lang w:val="es-ES"/>
        </w:rPr>
        <w:t>,</w:t>
      </w:r>
      <w:r w:rsidR="003B1B0D" w:rsidRPr="00FA0E15">
        <w:rPr>
          <w:rFonts w:ascii="Arial" w:eastAsia="Calibri" w:hAnsi="Arial" w:cs="Arial"/>
          <w:bCs/>
          <w:sz w:val="24"/>
          <w:szCs w:val="24"/>
          <w:lang w:val="es-ES"/>
        </w:rPr>
        <w:t xml:space="preserve"> que </w:t>
      </w:r>
      <w:r>
        <w:rPr>
          <w:rFonts w:ascii="Arial" w:eastAsia="Calibri" w:hAnsi="Arial" w:cs="Arial"/>
          <w:bCs/>
          <w:sz w:val="24"/>
          <w:szCs w:val="24"/>
          <w:lang w:val="es-ES"/>
        </w:rPr>
        <w:t>debemos modificar</w:t>
      </w:r>
      <w:r w:rsidR="003B1B0D" w:rsidRPr="00FA0E15">
        <w:rPr>
          <w:rFonts w:ascii="Arial" w:eastAsia="Calibri" w:hAnsi="Arial" w:cs="Arial"/>
          <w:bCs/>
          <w:sz w:val="24"/>
          <w:szCs w:val="24"/>
          <w:lang w:val="es-ES"/>
        </w:rPr>
        <w:t xml:space="preserve"> </w:t>
      </w:r>
      <w:r>
        <w:rPr>
          <w:rFonts w:ascii="Arial" w:eastAsia="Calibri" w:hAnsi="Arial" w:cs="Arial"/>
          <w:bCs/>
          <w:sz w:val="24"/>
          <w:szCs w:val="24"/>
          <w:lang w:val="es-ES"/>
        </w:rPr>
        <w:t xml:space="preserve">las cifras </w:t>
      </w:r>
      <w:r w:rsidR="003B1B0D" w:rsidRPr="00FA0E15">
        <w:rPr>
          <w:rFonts w:ascii="Arial" w:eastAsia="Calibri" w:hAnsi="Arial" w:cs="Arial"/>
          <w:bCs/>
          <w:sz w:val="24"/>
          <w:szCs w:val="24"/>
          <w:lang w:val="es-ES"/>
        </w:rPr>
        <w:t>en función del resultado de la causa</w:t>
      </w:r>
      <w:r>
        <w:rPr>
          <w:rFonts w:ascii="Arial" w:eastAsia="Calibri" w:hAnsi="Arial" w:cs="Arial"/>
          <w:bCs/>
          <w:sz w:val="24"/>
          <w:szCs w:val="24"/>
          <w:lang w:val="es-ES"/>
        </w:rPr>
        <w:t xml:space="preserve"> judicial</w:t>
      </w:r>
      <w:r w:rsidR="003B1B0D" w:rsidRPr="00FA0E15">
        <w:rPr>
          <w:rFonts w:ascii="Arial" w:eastAsia="Calibri" w:hAnsi="Arial" w:cs="Arial"/>
          <w:bCs/>
          <w:sz w:val="24"/>
          <w:szCs w:val="24"/>
          <w:lang w:val="es-ES"/>
        </w:rPr>
        <w:t xml:space="preserve">. </w:t>
      </w:r>
    </w:p>
    <w:p w:rsidR="00AE3B43" w:rsidRDefault="00AE3B43" w:rsidP="003B1B0D">
      <w:pPr>
        <w:spacing w:after="0" w:line="240" w:lineRule="auto"/>
        <w:ind w:left="709"/>
        <w:contextualSpacing/>
        <w:jc w:val="both"/>
        <w:rPr>
          <w:rFonts w:ascii="Arial" w:eastAsia="Calibri" w:hAnsi="Arial" w:cs="Arial"/>
          <w:bCs/>
          <w:sz w:val="24"/>
          <w:szCs w:val="24"/>
          <w:lang w:val="es-ES"/>
        </w:rPr>
      </w:pPr>
    </w:p>
    <w:p w:rsidR="00AE3B43" w:rsidRDefault="00AE3B43" w:rsidP="003B1B0D">
      <w:pPr>
        <w:spacing w:after="0" w:line="240" w:lineRule="auto"/>
        <w:ind w:left="709"/>
        <w:contextualSpacing/>
        <w:jc w:val="both"/>
        <w:rPr>
          <w:rFonts w:ascii="Arial" w:eastAsia="Calibri" w:hAnsi="Arial" w:cs="Arial"/>
          <w:bCs/>
          <w:sz w:val="24"/>
          <w:szCs w:val="24"/>
          <w:lang w:val="es-ES"/>
        </w:rPr>
      </w:pPr>
      <w:r>
        <w:rPr>
          <w:rFonts w:ascii="Arial" w:eastAsia="Calibri" w:hAnsi="Arial" w:cs="Arial"/>
          <w:bCs/>
          <w:sz w:val="24"/>
          <w:szCs w:val="24"/>
          <w:lang w:val="es-ES"/>
        </w:rPr>
        <w:t xml:space="preserve">Sobre las </w:t>
      </w:r>
      <w:r w:rsidRPr="001B63AA">
        <w:rPr>
          <w:rFonts w:ascii="Arial" w:eastAsia="Calibri" w:hAnsi="Arial" w:cs="Arial"/>
          <w:b/>
          <w:sz w:val="24"/>
          <w:szCs w:val="24"/>
          <w:lang w:val="es-ES"/>
        </w:rPr>
        <w:t>recomendaciones</w:t>
      </w:r>
      <w:r w:rsidR="00D4628E">
        <w:rPr>
          <w:rFonts w:ascii="Arial" w:eastAsia="Calibri" w:hAnsi="Arial" w:cs="Arial"/>
          <w:bCs/>
          <w:sz w:val="24"/>
          <w:szCs w:val="24"/>
          <w:lang w:val="es-ES"/>
        </w:rPr>
        <w:t xml:space="preserve"> </w:t>
      </w:r>
      <w:r w:rsidR="001B63AA">
        <w:rPr>
          <w:rFonts w:ascii="Arial" w:eastAsia="Calibri" w:hAnsi="Arial" w:cs="Arial"/>
          <w:bCs/>
          <w:sz w:val="24"/>
          <w:szCs w:val="24"/>
          <w:lang w:val="es-ES"/>
        </w:rPr>
        <w:t>de</w:t>
      </w:r>
      <w:r w:rsidR="00D4628E">
        <w:rPr>
          <w:rFonts w:ascii="Arial" w:eastAsia="Calibri" w:hAnsi="Arial" w:cs="Arial"/>
          <w:bCs/>
          <w:sz w:val="24"/>
          <w:szCs w:val="24"/>
          <w:lang w:val="es-ES"/>
        </w:rPr>
        <w:t xml:space="preserve"> nuestra INDH</w:t>
      </w:r>
      <w:r w:rsidR="00D21423">
        <w:rPr>
          <w:rFonts w:ascii="Arial" w:eastAsia="Calibri" w:hAnsi="Arial" w:cs="Arial"/>
          <w:bCs/>
          <w:sz w:val="24"/>
          <w:szCs w:val="24"/>
          <w:lang w:val="es-ES"/>
        </w:rPr>
        <w:t xml:space="preserve">, las </w:t>
      </w:r>
      <w:r w:rsidR="001B63AA">
        <w:rPr>
          <w:rFonts w:ascii="Arial" w:eastAsia="Calibri" w:hAnsi="Arial" w:cs="Arial"/>
          <w:bCs/>
          <w:sz w:val="24"/>
          <w:szCs w:val="24"/>
          <w:lang w:val="es-ES"/>
        </w:rPr>
        <w:t>hemos dividido</w:t>
      </w:r>
      <w:r w:rsidR="00D4628E">
        <w:rPr>
          <w:rFonts w:ascii="Arial" w:eastAsia="Calibri" w:hAnsi="Arial" w:cs="Arial"/>
          <w:bCs/>
          <w:sz w:val="24"/>
          <w:szCs w:val="24"/>
          <w:lang w:val="es-ES"/>
        </w:rPr>
        <w:t xml:space="preserve"> en tres categorías</w:t>
      </w:r>
      <w:r w:rsidR="001B63AA">
        <w:rPr>
          <w:rFonts w:ascii="Arial" w:eastAsia="Calibri" w:hAnsi="Arial" w:cs="Arial"/>
          <w:bCs/>
          <w:sz w:val="24"/>
          <w:szCs w:val="24"/>
          <w:lang w:val="es-ES"/>
        </w:rPr>
        <w:t xml:space="preserve"> y que </w:t>
      </w:r>
      <w:r w:rsidR="009772AF">
        <w:rPr>
          <w:rFonts w:ascii="Arial" w:eastAsia="Calibri" w:hAnsi="Arial" w:cs="Arial"/>
          <w:bCs/>
          <w:sz w:val="24"/>
          <w:szCs w:val="24"/>
          <w:lang w:val="es-ES"/>
        </w:rPr>
        <w:t>están publicadas en el informe del OFDPN</w:t>
      </w:r>
      <w:r w:rsidR="00D4628E">
        <w:rPr>
          <w:rFonts w:ascii="Arial" w:eastAsia="Calibri" w:hAnsi="Arial" w:cs="Arial"/>
          <w:bCs/>
          <w:sz w:val="24"/>
          <w:szCs w:val="24"/>
          <w:lang w:val="es-ES"/>
        </w:rPr>
        <w:t xml:space="preserve">: </w:t>
      </w:r>
    </w:p>
    <w:p w:rsidR="00D4628E" w:rsidRDefault="00D4628E" w:rsidP="003B1B0D">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
          <w:sz w:val="24"/>
          <w:szCs w:val="24"/>
          <w:lang w:val="es-ES"/>
        </w:rPr>
      </w:pPr>
      <w:r w:rsidRPr="00D4628E">
        <w:rPr>
          <w:rFonts w:ascii="Arial" w:eastAsia="Calibri" w:hAnsi="Arial" w:cs="Arial"/>
          <w:b/>
          <w:sz w:val="24"/>
          <w:szCs w:val="24"/>
          <w:lang w:val="es-ES"/>
        </w:rPr>
        <w:t>MEDIDAS DE CARÁCTER PREVENTIVO:</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w:t>
      </w:r>
      <w:r w:rsidRPr="00D4628E">
        <w:rPr>
          <w:rFonts w:ascii="Arial" w:eastAsia="Calibri" w:hAnsi="Arial" w:cs="Arial"/>
          <w:bCs/>
          <w:sz w:val="24"/>
          <w:szCs w:val="24"/>
          <w:lang w:val="es-ES"/>
        </w:rPr>
        <w:tab/>
        <w:t>Proseguir con la ejecución del Plan Nacional de Acción contra las Violencias por motivos de Género (2020-2022).</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2)</w:t>
      </w:r>
      <w:r w:rsidRPr="00D4628E">
        <w:rPr>
          <w:rFonts w:ascii="Arial" w:eastAsia="Calibri" w:hAnsi="Arial" w:cs="Arial"/>
          <w:bCs/>
          <w:sz w:val="24"/>
          <w:szCs w:val="24"/>
          <w:lang w:val="es-ES"/>
        </w:rPr>
        <w:tab/>
        <w:t xml:space="preserve">Profundizar en la aplicación del marco normativo de la ESI </w:t>
      </w:r>
      <w:r w:rsidR="00D21423">
        <w:rPr>
          <w:rFonts w:ascii="Arial" w:eastAsia="Calibri" w:hAnsi="Arial" w:cs="Arial"/>
          <w:bCs/>
          <w:sz w:val="24"/>
          <w:szCs w:val="24"/>
          <w:lang w:val="es-ES"/>
        </w:rPr>
        <w:t>(Educación Sexual Integral) en los programas educativos de</w:t>
      </w:r>
      <w:r w:rsidRPr="00D4628E">
        <w:rPr>
          <w:rFonts w:ascii="Arial" w:eastAsia="Calibri" w:hAnsi="Arial" w:cs="Arial"/>
          <w:bCs/>
          <w:sz w:val="24"/>
          <w:szCs w:val="24"/>
          <w:lang w:val="es-ES"/>
        </w:rPr>
        <w:t xml:space="preserve"> todo el país.</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3)</w:t>
      </w:r>
      <w:r w:rsidRPr="00D4628E">
        <w:rPr>
          <w:rFonts w:ascii="Arial" w:eastAsia="Calibri" w:hAnsi="Arial" w:cs="Arial"/>
          <w:bCs/>
          <w:sz w:val="24"/>
          <w:szCs w:val="24"/>
          <w:lang w:val="es-ES"/>
        </w:rPr>
        <w:tab/>
        <w:t>Promover la detección temprana en el ámbito escolar y/o educativo en todos sus niveles, de situaciones que adviertan violencia intrafamiliar.</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4)</w:t>
      </w:r>
      <w:r w:rsidRPr="00D4628E">
        <w:rPr>
          <w:rFonts w:ascii="Arial" w:eastAsia="Calibri" w:hAnsi="Arial" w:cs="Arial"/>
          <w:bCs/>
          <w:sz w:val="24"/>
          <w:szCs w:val="24"/>
          <w:lang w:val="es-ES"/>
        </w:rPr>
        <w:tab/>
        <w:t>Instar</w:t>
      </w:r>
      <w:r w:rsidR="00D21423">
        <w:rPr>
          <w:rFonts w:ascii="Arial" w:eastAsia="Calibri" w:hAnsi="Arial" w:cs="Arial"/>
          <w:bCs/>
          <w:sz w:val="24"/>
          <w:szCs w:val="24"/>
          <w:lang w:val="es-ES"/>
        </w:rPr>
        <w:t>,</w:t>
      </w:r>
      <w:r w:rsidRPr="00D4628E">
        <w:rPr>
          <w:rFonts w:ascii="Arial" w:eastAsia="Calibri" w:hAnsi="Arial" w:cs="Arial"/>
          <w:bCs/>
          <w:sz w:val="24"/>
          <w:szCs w:val="24"/>
          <w:lang w:val="es-ES"/>
        </w:rPr>
        <w:t xml:space="preserve"> a través del Ministerio de Turismo y Deportes, a generar programas de capacitación en género y violencia de géneros de alcance nacional, en todas las disciplinas y en la totalidad de los rangos etarios, como condición obligatoria para la continuidad de la actividad que desarrolle el o la deportista.</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5)</w:t>
      </w:r>
      <w:r w:rsidRPr="00D4628E">
        <w:rPr>
          <w:rFonts w:ascii="Arial" w:eastAsia="Calibri" w:hAnsi="Arial" w:cs="Arial"/>
          <w:bCs/>
          <w:sz w:val="24"/>
          <w:szCs w:val="24"/>
          <w:lang w:val="es-ES"/>
        </w:rPr>
        <w:tab/>
        <w:t>Instar al Ministerio de las Mujeres, Géneros y Diversidad a la firma de convenios de capacitación con asociaciones del fútbol argentino.</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6)</w:t>
      </w:r>
      <w:r w:rsidRPr="00D4628E">
        <w:rPr>
          <w:rFonts w:ascii="Arial" w:eastAsia="Calibri" w:hAnsi="Arial" w:cs="Arial"/>
          <w:bCs/>
          <w:sz w:val="24"/>
          <w:szCs w:val="24"/>
          <w:lang w:val="es-ES"/>
        </w:rPr>
        <w:tab/>
        <w:t>Evaluar el impacto surgido de las capacitaciones realizadas a partir de la Ley Micaela</w:t>
      </w:r>
      <w:r w:rsidR="00D21423">
        <w:rPr>
          <w:rFonts w:ascii="Arial" w:eastAsia="Calibri" w:hAnsi="Arial" w:cs="Arial"/>
          <w:bCs/>
          <w:sz w:val="24"/>
          <w:szCs w:val="24"/>
          <w:lang w:val="es-ES"/>
        </w:rPr>
        <w:t xml:space="preserve"> (Programa Nacional Permanente de Capacitación Institucional en Género y Violencia contra las Mujeres, con la finalidad de sensibilizar y capacitar a todos los agentes de los tres poderes del Estado)</w:t>
      </w:r>
      <w:r w:rsidRPr="00D4628E">
        <w:rPr>
          <w:rFonts w:ascii="Arial" w:eastAsia="Calibri" w:hAnsi="Arial" w:cs="Arial"/>
          <w:bCs/>
          <w:sz w:val="24"/>
          <w:szCs w:val="24"/>
          <w:lang w:val="es-ES"/>
        </w:rPr>
        <w:t>.</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7)</w:t>
      </w:r>
      <w:r w:rsidRPr="00D4628E">
        <w:rPr>
          <w:rFonts w:ascii="Arial" w:eastAsia="Calibri" w:hAnsi="Arial" w:cs="Arial"/>
          <w:bCs/>
          <w:sz w:val="24"/>
          <w:szCs w:val="24"/>
          <w:lang w:val="es-ES"/>
        </w:rPr>
        <w:tab/>
        <w:t>Promover la ampliación de la Ley N°27.499 (Micaela)</w:t>
      </w:r>
      <w:r w:rsidR="00D21423">
        <w:rPr>
          <w:rFonts w:ascii="Arial" w:eastAsia="Calibri" w:hAnsi="Arial" w:cs="Arial"/>
          <w:bCs/>
          <w:sz w:val="24"/>
          <w:szCs w:val="24"/>
          <w:lang w:val="es-ES"/>
        </w:rPr>
        <w:t xml:space="preserve"> para</w:t>
      </w:r>
      <w:r w:rsidRPr="00D4628E">
        <w:rPr>
          <w:rFonts w:ascii="Arial" w:eastAsia="Calibri" w:hAnsi="Arial" w:cs="Arial"/>
          <w:bCs/>
          <w:sz w:val="24"/>
          <w:szCs w:val="24"/>
          <w:lang w:val="es-ES"/>
        </w:rPr>
        <w:t xml:space="preserve"> que trascienda a las actividades privadas, a través de</w:t>
      </w:r>
      <w:r w:rsidR="00D21423">
        <w:rPr>
          <w:rFonts w:ascii="Arial" w:eastAsia="Calibri" w:hAnsi="Arial" w:cs="Arial"/>
          <w:bCs/>
          <w:sz w:val="24"/>
          <w:szCs w:val="24"/>
          <w:lang w:val="es-ES"/>
        </w:rPr>
        <w:t xml:space="preserve"> ONGs</w:t>
      </w:r>
      <w:r w:rsidRPr="00D4628E">
        <w:rPr>
          <w:rFonts w:ascii="Arial" w:eastAsia="Calibri" w:hAnsi="Arial" w:cs="Arial"/>
          <w:bCs/>
          <w:sz w:val="24"/>
          <w:szCs w:val="24"/>
          <w:lang w:val="es-ES"/>
        </w:rPr>
        <w:t>, sindicatos, organismos gubernamentales</w:t>
      </w:r>
      <w:r w:rsidR="00D21423">
        <w:rPr>
          <w:rFonts w:ascii="Arial" w:eastAsia="Calibri" w:hAnsi="Arial" w:cs="Arial"/>
          <w:bCs/>
          <w:sz w:val="24"/>
          <w:szCs w:val="24"/>
          <w:lang w:val="es-ES"/>
        </w:rPr>
        <w:t>, etc., con</w:t>
      </w:r>
      <w:r w:rsidRPr="00D4628E">
        <w:rPr>
          <w:rFonts w:ascii="Arial" w:eastAsia="Calibri" w:hAnsi="Arial" w:cs="Arial"/>
          <w:bCs/>
          <w:sz w:val="24"/>
          <w:szCs w:val="24"/>
          <w:lang w:val="es-ES"/>
        </w:rPr>
        <w:t xml:space="preserve"> </w:t>
      </w:r>
      <w:r w:rsidR="00D21423">
        <w:rPr>
          <w:rFonts w:ascii="Arial" w:eastAsia="Calibri" w:hAnsi="Arial" w:cs="Arial"/>
          <w:bCs/>
          <w:sz w:val="24"/>
          <w:szCs w:val="24"/>
          <w:lang w:val="es-ES"/>
        </w:rPr>
        <w:t>la participación d</w:t>
      </w:r>
      <w:r w:rsidRPr="00D4628E">
        <w:rPr>
          <w:rFonts w:ascii="Arial" w:eastAsia="Calibri" w:hAnsi="Arial" w:cs="Arial"/>
          <w:bCs/>
          <w:sz w:val="24"/>
          <w:szCs w:val="24"/>
          <w:lang w:val="es-ES"/>
        </w:rPr>
        <w:t xml:space="preserve">el Ministerio de las Mujeres, Géneros y Diversidad. Asimismo, se debería prever la </w:t>
      </w:r>
      <w:r w:rsidRPr="00D4628E">
        <w:rPr>
          <w:rFonts w:ascii="Arial" w:eastAsia="Calibri" w:hAnsi="Arial" w:cs="Arial"/>
          <w:bCs/>
          <w:sz w:val="24"/>
          <w:szCs w:val="24"/>
          <w:lang w:val="es-ES"/>
        </w:rPr>
        <w:lastRenderedPageBreak/>
        <w:t>creación de nuevos mecanismos que incluyan explícitamente las identidades de géneros y diversidades para evitar su invisibilización y su omisión en las capacitaciones.</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8)</w:t>
      </w:r>
      <w:r w:rsidRPr="00D4628E">
        <w:rPr>
          <w:rFonts w:ascii="Arial" w:eastAsia="Calibri" w:hAnsi="Arial" w:cs="Arial"/>
          <w:bCs/>
          <w:sz w:val="24"/>
          <w:szCs w:val="24"/>
          <w:lang w:val="es-ES"/>
        </w:rPr>
        <w:tab/>
        <w:t>Ampliar los mecanismos a favor de la eliminación de la violencia simbólica y mediática.</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9)</w:t>
      </w:r>
      <w:r w:rsidRPr="00D4628E">
        <w:rPr>
          <w:rFonts w:ascii="Arial" w:eastAsia="Calibri" w:hAnsi="Arial" w:cs="Arial"/>
          <w:bCs/>
          <w:sz w:val="24"/>
          <w:szCs w:val="24"/>
          <w:lang w:val="es-ES"/>
        </w:rPr>
        <w:tab/>
        <w:t xml:space="preserve">Facilitar el acceso para que sea verdaderamente inclusivo el Cupo Laboral Trans, no sólo en la Administración Pública Nacional, Provincial y Municipal, sino que se promueva el acceso al empleo privado, a través de la actuación de las </w:t>
      </w:r>
      <w:r w:rsidR="00D21423">
        <w:rPr>
          <w:rFonts w:ascii="Arial" w:eastAsia="Calibri" w:hAnsi="Arial" w:cs="Arial"/>
          <w:bCs/>
          <w:sz w:val="24"/>
          <w:szCs w:val="24"/>
          <w:lang w:val="es-ES"/>
        </w:rPr>
        <w:t>ONGs</w:t>
      </w:r>
      <w:r w:rsidRPr="00D4628E">
        <w:rPr>
          <w:rFonts w:ascii="Arial" w:eastAsia="Calibri" w:hAnsi="Arial" w:cs="Arial"/>
          <w:bCs/>
          <w:sz w:val="24"/>
          <w:szCs w:val="24"/>
          <w:lang w:val="es-ES"/>
        </w:rPr>
        <w:t xml:space="preserve"> y de sindicatos.</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10)</w:t>
      </w:r>
      <w:r w:rsidRPr="00D4628E">
        <w:rPr>
          <w:rFonts w:ascii="Arial" w:eastAsia="Calibri" w:hAnsi="Arial" w:cs="Arial"/>
          <w:bCs/>
          <w:sz w:val="24"/>
          <w:szCs w:val="24"/>
          <w:lang w:val="es-ES"/>
        </w:rPr>
        <w:tab/>
        <w:t xml:space="preserve"> Generar e implementar marcos normativos</w:t>
      </w:r>
      <w:r w:rsidR="00EB2B16">
        <w:rPr>
          <w:rFonts w:ascii="Arial" w:eastAsia="Calibri" w:hAnsi="Arial" w:cs="Arial"/>
          <w:bCs/>
          <w:sz w:val="24"/>
          <w:szCs w:val="24"/>
          <w:lang w:val="es-ES"/>
        </w:rPr>
        <w:t>,</w:t>
      </w:r>
      <w:r w:rsidRPr="00D4628E">
        <w:rPr>
          <w:rFonts w:ascii="Arial" w:eastAsia="Calibri" w:hAnsi="Arial" w:cs="Arial"/>
          <w:bCs/>
          <w:sz w:val="24"/>
          <w:szCs w:val="24"/>
          <w:lang w:val="es-ES"/>
        </w:rPr>
        <w:t xml:space="preserve"> a nivel nacional, de asistencia a varones que hayan ejercido violencia por razones de género.</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11)</w:t>
      </w:r>
      <w:r w:rsidRPr="00D4628E">
        <w:rPr>
          <w:rFonts w:ascii="Arial" w:eastAsia="Calibri" w:hAnsi="Arial" w:cs="Arial"/>
          <w:bCs/>
          <w:sz w:val="24"/>
          <w:szCs w:val="24"/>
          <w:lang w:val="es-ES"/>
        </w:rPr>
        <w:tab/>
        <w:t xml:space="preserve"> Firma de convenios con el Ministerio de Seguridad</w:t>
      </w:r>
      <w:r w:rsidR="00EB2B16">
        <w:rPr>
          <w:rFonts w:ascii="Arial" w:eastAsia="Calibri" w:hAnsi="Arial" w:cs="Arial"/>
          <w:bCs/>
          <w:sz w:val="24"/>
          <w:szCs w:val="24"/>
          <w:lang w:val="es-ES"/>
        </w:rPr>
        <w:t xml:space="preserve"> N</w:t>
      </w:r>
      <w:r w:rsidRPr="00D4628E">
        <w:rPr>
          <w:rFonts w:ascii="Arial" w:eastAsia="Calibri" w:hAnsi="Arial" w:cs="Arial"/>
          <w:bCs/>
          <w:sz w:val="24"/>
          <w:szCs w:val="24"/>
          <w:lang w:val="es-ES"/>
        </w:rPr>
        <w:t xml:space="preserve">acional y </w:t>
      </w:r>
      <w:r w:rsidR="00EB2B16">
        <w:rPr>
          <w:rFonts w:ascii="Arial" w:eastAsia="Calibri" w:hAnsi="Arial" w:cs="Arial"/>
          <w:bCs/>
          <w:sz w:val="24"/>
          <w:szCs w:val="24"/>
          <w:lang w:val="es-ES"/>
        </w:rPr>
        <w:t xml:space="preserve">los </w:t>
      </w:r>
      <w:r w:rsidRPr="00D4628E">
        <w:rPr>
          <w:rFonts w:ascii="Arial" w:eastAsia="Calibri" w:hAnsi="Arial" w:cs="Arial"/>
          <w:bCs/>
          <w:sz w:val="24"/>
          <w:szCs w:val="24"/>
          <w:lang w:val="es-ES"/>
        </w:rPr>
        <w:t>provinciales para la capacitación de todas las fuerzas de seguridad</w:t>
      </w:r>
      <w:r w:rsidR="00EB2B16">
        <w:rPr>
          <w:rFonts w:ascii="Arial" w:eastAsia="Calibri" w:hAnsi="Arial" w:cs="Arial"/>
          <w:bCs/>
          <w:sz w:val="24"/>
          <w:szCs w:val="24"/>
          <w:lang w:val="es-ES"/>
        </w:rPr>
        <w:t xml:space="preserve"> e</w:t>
      </w:r>
      <w:r w:rsidRPr="00D4628E">
        <w:rPr>
          <w:rFonts w:ascii="Arial" w:eastAsia="Calibri" w:hAnsi="Arial" w:cs="Arial"/>
          <w:bCs/>
          <w:sz w:val="24"/>
          <w:szCs w:val="24"/>
          <w:lang w:val="es-ES"/>
        </w:rPr>
        <w:t>n la tramitación y denuncias por violencia de género.</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12)</w:t>
      </w:r>
      <w:r w:rsidRPr="00D4628E">
        <w:rPr>
          <w:rFonts w:ascii="Arial" w:eastAsia="Calibri" w:hAnsi="Arial" w:cs="Arial"/>
          <w:bCs/>
          <w:sz w:val="24"/>
          <w:szCs w:val="24"/>
          <w:lang w:val="es-ES"/>
        </w:rPr>
        <w:tab/>
        <w:t xml:space="preserve"> Intensificar la prosecución y el seguimiento respecto del otorgamiento de libertades condicionales para quienes han sido condenados por delitos de violencia hacia las mujeres y </w:t>
      </w:r>
      <w:r w:rsidR="000214C6">
        <w:rPr>
          <w:rFonts w:ascii="Arial" w:eastAsia="Calibri" w:hAnsi="Arial" w:cs="Arial"/>
          <w:bCs/>
          <w:sz w:val="24"/>
          <w:szCs w:val="24"/>
          <w:lang w:val="es-ES"/>
        </w:rPr>
        <w:t>disi</w:t>
      </w:r>
      <w:r w:rsidRPr="00D4628E">
        <w:rPr>
          <w:rFonts w:ascii="Arial" w:eastAsia="Calibri" w:hAnsi="Arial" w:cs="Arial"/>
          <w:bCs/>
          <w:sz w:val="24"/>
          <w:szCs w:val="24"/>
          <w:lang w:val="es-ES"/>
        </w:rPr>
        <w:t>dencias.</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13)</w:t>
      </w:r>
      <w:r w:rsidRPr="00D4628E">
        <w:rPr>
          <w:rFonts w:ascii="Arial" w:eastAsia="Calibri" w:hAnsi="Arial" w:cs="Arial"/>
          <w:bCs/>
          <w:sz w:val="24"/>
          <w:szCs w:val="24"/>
          <w:lang w:val="es-ES"/>
        </w:rPr>
        <w:tab/>
        <w:t xml:space="preserve"> Intensificar los controles y observar los beneficios de libertad para los procesados por delitos de violencia de género y </w:t>
      </w:r>
      <w:r w:rsidR="000214C6">
        <w:rPr>
          <w:rFonts w:ascii="Arial" w:eastAsia="Calibri" w:hAnsi="Arial" w:cs="Arial"/>
          <w:bCs/>
          <w:sz w:val="24"/>
          <w:szCs w:val="24"/>
          <w:lang w:val="es-ES"/>
        </w:rPr>
        <w:t>disi</w:t>
      </w:r>
      <w:r w:rsidRPr="00D4628E">
        <w:rPr>
          <w:rFonts w:ascii="Arial" w:eastAsia="Calibri" w:hAnsi="Arial" w:cs="Arial"/>
          <w:bCs/>
          <w:sz w:val="24"/>
          <w:szCs w:val="24"/>
          <w:lang w:val="es-ES"/>
        </w:rPr>
        <w:t xml:space="preserve">dencias durante el transcurso del proceso penal. </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14)</w:t>
      </w:r>
      <w:r w:rsidRPr="00D4628E">
        <w:rPr>
          <w:rFonts w:ascii="Arial" w:eastAsia="Calibri" w:hAnsi="Arial" w:cs="Arial"/>
          <w:bCs/>
          <w:sz w:val="24"/>
          <w:szCs w:val="24"/>
          <w:lang w:val="es-ES"/>
        </w:rPr>
        <w:tab/>
        <w:t xml:space="preserve"> La realización del perfil psicológico y/o psiquiátrico riguroso de todo integrante de las Fuerzas Armadas, Fuerzas de Seguridad y del Servicio Penitenciario Federal para la portación de armas reglamentarias de la Institución a la que pertenecen.</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15)</w:t>
      </w:r>
      <w:r w:rsidRPr="00D4628E">
        <w:rPr>
          <w:rFonts w:ascii="Arial" w:eastAsia="Calibri" w:hAnsi="Arial" w:cs="Arial"/>
          <w:bCs/>
          <w:sz w:val="24"/>
          <w:szCs w:val="24"/>
          <w:lang w:val="es-ES"/>
        </w:rPr>
        <w:tab/>
        <w:t xml:space="preserve"> Examinar y ampliar la exigencia por parte de la Agencia Nacional de Materiales Controlados</w:t>
      </w:r>
      <w:r w:rsidR="00EB2B16">
        <w:rPr>
          <w:rFonts w:ascii="Arial" w:eastAsia="Calibri" w:hAnsi="Arial" w:cs="Arial"/>
          <w:bCs/>
          <w:sz w:val="24"/>
          <w:szCs w:val="24"/>
          <w:lang w:val="es-ES"/>
        </w:rPr>
        <w:t>,</w:t>
      </w:r>
      <w:r w:rsidRPr="00D4628E">
        <w:rPr>
          <w:rFonts w:ascii="Arial" w:eastAsia="Calibri" w:hAnsi="Arial" w:cs="Arial"/>
          <w:bCs/>
          <w:sz w:val="24"/>
          <w:szCs w:val="24"/>
          <w:lang w:val="es-ES"/>
        </w:rPr>
        <w:t xml:space="preserve"> ANMaC, de la realización de un perfil psicológico y/o psiquiátrico riguroso de todas las personas solicitantes del trámite de legítimo usuario, portador y/o titular de armas de fuego.</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16)</w:t>
      </w:r>
      <w:r w:rsidRPr="00D4628E">
        <w:rPr>
          <w:rFonts w:ascii="Arial" w:eastAsia="Calibri" w:hAnsi="Arial" w:cs="Arial"/>
          <w:bCs/>
          <w:sz w:val="24"/>
          <w:szCs w:val="24"/>
          <w:lang w:val="es-ES"/>
        </w:rPr>
        <w:tab/>
        <w:t xml:space="preserve"> Propiciar la incorporación al Código Penal de la Nación del tipo penal que prevea que es constitutivo de delito la conducta de toda persona que, habiendo sido condenada por el delito de homicidio hacia una mujer y </w:t>
      </w:r>
      <w:r w:rsidR="000214C6">
        <w:rPr>
          <w:rFonts w:ascii="Arial" w:eastAsia="Calibri" w:hAnsi="Arial" w:cs="Arial"/>
          <w:bCs/>
          <w:sz w:val="24"/>
          <w:szCs w:val="24"/>
          <w:lang w:val="es-ES"/>
        </w:rPr>
        <w:t>disidencias</w:t>
      </w:r>
      <w:r w:rsidRPr="00D4628E">
        <w:rPr>
          <w:rFonts w:ascii="Arial" w:eastAsia="Calibri" w:hAnsi="Arial" w:cs="Arial"/>
          <w:bCs/>
          <w:sz w:val="24"/>
          <w:szCs w:val="24"/>
          <w:lang w:val="es-ES"/>
        </w:rPr>
        <w:t xml:space="preserve"> y/o por femicidio, propiciara intimaciones, amenazas, o amedrentare de modo alguno a los familiares de la víctima que lo hubieran denunciado penal y civilmente, o que violen las medidas perimetrales ordenadas judicialmente respecto de los ascendentes, descendentes, colaterales o por afinidad de la víctima; o sean personas que estén a cargo del cuidado o la guarda de los hijos de la víctima.</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17)</w:t>
      </w:r>
      <w:r w:rsidRPr="00D4628E">
        <w:rPr>
          <w:rFonts w:ascii="Arial" w:eastAsia="Calibri" w:hAnsi="Arial" w:cs="Arial"/>
          <w:bCs/>
          <w:sz w:val="24"/>
          <w:szCs w:val="24"/>
          <w:lang w:val="es-ES"/>
        </w:rPr>
        <w:tab/>
        <w:t xml:space="preserve"> Garantizar el cumplimiento de las medidas cautelares dictadas por el juez interviniente, tales como las órdenes de restricción de </w:t>
      </w:r>
      <w:r w:rsidRPr="00D4628E">
        <w:rPr>
          <w:rFonts w:ascii="Arial" w:eastAsia="Calibri" w:hAnsi="Arial" w:cs="Arial"/>
          <w:bCs/>
          <w:sz w:val="24"/>
          <w:szCs w:val="24"/>
          <w:lang w:val="es-ES"/>
        </w:rPr>
        <w:lastRenderedPageBreak/>
        <w:t>acercamiento, disponibilidad y seguimiento de botones antipánico y cantidad suficiente y adecuado uso de las tobilleras electrónicas.</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9D5244" w:rsidRDefault="009D5244" w:rsidP="00D4628E">
      <w:pPr>
        <w:spacing w:after="0" w:line="240" w:lineRule="auto"/>
        <w:ind w:left="709"/>
        <w:contextualSpacing/>
        <w:jc w:val="both"/>
        <w:rPr>
          <w:rFonts w:ascii="Arial" w:eastAsia="Calibri" w:hAnsi="Arial" w:cs="Arial"/>
          <w:b/>
          <w:sz w:val="24"/>
          <w:szCs w:val="24"/>
          <w:lang w:val="es-ES"/>
        </w:rPr>
      </w:pPr>
    </w:p>
    <w:p w:rsidR="009D5244" w:rsidRDefault="009D5244" w:rsidP="00D4628E">
      <w:pPr>
        <w:spacing w:after="0" w:line="240" w:lineRule="auto"/>
        <w:ind w:left="709"/>
        <w:contextualSpacing/>
        <w:jc w:val="both"/>
        <w:rPr>
          <w:rFonts w:ascii="Arial" w:eastAsia="Calibri" w:hAnsi="Arial" w:cs="Arial"/>
          <w:b/>
          <w:sz w:val="24"/>
          <w:szCs w:val="24"/>
          <w:lang w:val="es-ES"/>
        </w:rPr>
      </w:pPr>
    </w:p>
    <w:p w:rsidR="009D5244" w:rsidRDefault="009D5244" w:rsidP="00D4628E">
      <w:pPr>
        <w:spacing w:after="0" w:line="240" w:lineRule="auto"/>
        <w:ind w:left="709"/>
        <w:contextualSpacing/>
        <w:jc w:val="both"/>
        <w:rPr>
          <w:rFonts w:ascii="Arial" w:eastAsia="Calibri" w:hAnsi="Arial" w:cs="Arial"/>
          <w:b/>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
          <w:sz w:val="24"/>
          <w:szCs w:val="24"/>
          <w:lang w:val="es-ES"/>
        </w:rPr>
      </w:pPr>
      <w:r w:rsidRPr="00D4628E">
        <w:rPr>
          <w:rFonts w:ascii="Arial" w:eastAsia="Calibri" w:hAnsi="Arial" w:cs="Arial"/>
          <w:b/>
          <w:sz w:val="24"/>
          <w:szCs w:val="24"/>
          <w:lang w:val="es-ES"/>
        </w:rPr>
        <w:t>MEDIDAS DE CARÁCTER ASISTENCIAL:</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w:t>
      </w:r>
      <w:r w:rsidRPr="00D4628E">
        <w:rPr>
          <w:rFonts w:ascii="Arial" w:eastAsia="Calibri" w:hAnsi="Arial" w:cs="Arial"/>
          <w:bCs/>
          <w:sz w:val="24"/>
          <w:szCs w:val="24"/>
          <w:lang w:val="es-ES"/>
        </w:rPr>
        <w:tab/>
        <w:t xml:space="preserve">Mejorar y fortalecer las medidas adoptadas que permitan el acceso a la justicia. </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2)</w:t>
      </w:r>
      <w:r w:rsidRPr="00D4628E">
        <w:rPr>
          <w:rFonts w:ascii="Arial" w:eastAsia="Calibri" w:hAnsi="Arial" w:cs="Arial"/>
          <w:bCs/>
          <w:sz w:val="24"/>
          <w:szCs w:val="24"/>
          <w:lang w:val="es-ES"/>
        </w:rPr>
        <w:tab/>
        <w:t xml:space="preserve">Incrementar el número de Hogares de Protección Integral en todas las provincias, así como en las distintas jurisdicciones. </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
          <w:sz w:val="24"/>
          <w:szCs w:val="24"/>
          <w:lang w:val="es-ES"/>
        </w:rPr>
      </w:pPr>
      <w:r w:rsidRPr="00D4628E">
        <w:rPr>
          <w:rFonts w:ascii="Arial" w:eastAsia="Calibri" w:hAnsi="Arial" w:cs="Arial"/>
          <w:b/>
          <w:sz w:val="24"/>
          <w:szCs w:val="24"/>
          <w:lang w:val="es-ES"/>
        </w:rPr>
        <w:t>MEDIDAS DE CARÁCTER REPARATORIO:</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1)</w:t>
      </w:r>
      <w:r w:rsidRPr="00D4628E">
        <w:rPr>
          <w:rFonts w:ascii="Arial" w:eastAsia="Calibri" w:hAnsi="Arial" w:cs="Arial"/>
          <w:bCs/>
          <w:sz w:val="24"/>
          <w:szCs w:val="24"/>
          <w:lang w:val="es-ES"/>
        </w:rPr>
        <w:tab/>
        <w:t xml:space="preserve">Profundizar la implementación de la Ley Brisa, permitiendo el acceso inmediato a ese derecho </w:t>
      </w:r>
      <w:r w:rsidR="00EB2B16">
        <w:rPr>
          <w:rFonts w:ascii="Arial" w:eastAsia="Calibri" w:hAnsi="Arial" w:cs="Arial"/>
          <w:bCs/>
          <w:sz w:val="24"/>
          <w:szCs w:val="24"/>
          <w:lang w:val="es-ES"/>
        </w:rPr>
        <w:t xml:space="preserve">indemnizatorio </w:t>
      </w:r>
      <w:r w:rsidRPr="00D4628E">
        <w:rPr>
          <w:rFonts w:ascii="Arial" w:eastAsia="Calibri" w:hAnsi="Arial" w:cs="Arial"/>
          <w:bCs/>
          <w:sz w:val="24"/>
          <w:szCs w:val="24"/>
          <w:lang w:val="es-ES"/>
        </w:rPr>
        <w:t>que tienen las hijas e hijos menores de víctimas de femicidios.</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2)</w:t>
      </w:r>
      <w:r w:rsidRPr="00D4628E">
        <w:rPr>
          <w:rFonts w:ascii="Arial" w:eastAsia="Calibri" w:hAnsi="Arial" w:cs="Arial"/>
          <w:bCs/>
          <w:sz w:val="24"/>
          <w:szCs w:val="24"/>
          <w:lang w:val="es-ES"/>
        </w:rPr>
        <w:tab/>
        <w:t>Analizar las potencialidades de capacidad del hombre objeto de denuncia respecto de su reeducación y/o rehabilitación con el núcleo familiar con el que ha ejercido violencia, en los casos en que fuere posible.</w:t>
      </w: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p>
    <w:p w:rsidR="00D4628E" w:rsidRPr="00D4628E" w:rsidRDefault="00D4628E" w:rsidP="00D4628E">
      <w:pPr>
        <w:spacing w:after="0" w:line="240" w:lineRule="auto"/>
        <w:ind w:left="709"/>
        <w:contextualSpacing/>
        <w:jc w:val="both"/>
        <w:rPr>
          <w:rFonts w:ascii="Arial" w:eastAsia="Calibri" w:hAnsi="Arial" w:cs="Arial"/>
          <w:bCs/>
          <w:sz w:val="24"/>
          <w:szCs w:val="24"/>
          <w:lang w:val="es-ES"/>
        </w:rPr>
      </w:pPr>
      <w:r w:rsidRPr="00D4628E">
        <w:rPr>
          <w:rFonts w:ascii="Arial" w:eastAsia="Calibri" w:hAnsi="Arial" w:cs="Arial"/>
          <w:bCs/>
          <w:sz w:val="24"/>
          <w:szCs w:val="24"/>
          <w:lang w:val="es-ES"/>
        </w:rPr>
        <w:t>Es imperativo que el Estado en su conjunto</w:t>
      </w:r>
      <w:r w:rsidR="00EB2B16">
        <w:rPr>
          <w:rFonts w:ascii="Arial" w:eastAsia="Calibri" w:hAnsi="Arial" w:cs="Arial"/>
          <w:bCs/>
          <w:sz w:val="24"/>
          <w:szCs w:val="24"/>
          <w:lang w:val="es-ES"/>
        </w:rPr>
        <w:t>,</w:t>
      </w:r>
      <w:r w:rsidRPr="00D4628E">
        <w:rPr>
          <w:rFonts w:ascii="Arial" w:eastAsia="Calibri" w:hAnsi="Arial" w:cs="Arial"/>
          <w:bCs/>
          <w:sz w:val="24"/>
          <w:szCs w:val="24"/>
          <w:lang w:val="es-ES"/>
        </w:rPr>
        <w:t xml:space="preserve"> en los tres ámbitos de sus funciones</w:t>
      </w:r>
      <w:r w:rsidR="00EB2B16">
        <w:rPr>
          <w:rFonts w:ascii="Arial" w:eastAsia="Calibri" w:hAnsi="Arial" w:cs="Arial"/>
          <w:bCs/>
          <w:sz w:val="24"/>
          <w:szCs w:val="24"/>
          <w:lang w:val="es-ES"/>
        </w:rPr>
        <w:t>,</w:t>
      </w:r>
      <w:r w:rsidRPr="00D4628E">
        <w:rPr>
          <w:rFonts w:ascii="Arial" w:eastAsia="Calibri" w:hAnsi="Arial" w:cs="Arial"/>
          <w:bCs/>
          <w:sz w:val="24"/>
          <w:szCs w:val="24"/>
          <w:lang w:val="es-ES"/>
        </w:rPr>
        <w:t xml:space="preserve"> que acoja las demandas formuladas por la sociedad toda en favor de la adopción de medidas progresivas tendientes a disminuir las violencias de género hacia las mujeres y </w:t>
      </w:r>
      <w:r w:rsidR="000214C6">
        <w:rPr>
          <w:rFonts w:ascii="Arial" w:eastAsia="Calibri" w:hAnsi="Arial" w:cs="Arial"/>
          <w:bCs/>
          <w:sz w:val="24"/>
          <w:szCs w:val="24"/>
          <w:lang w:val="es-ES"/>
        </w:rPr>
        <w:t>disi</w:t>
      </w:r>
      <w:r w:rsidRPr="00D4628E">
        <w:rPr>
          <w:rFonts w:ascii="Arial" w:eastAsia="Calibri" w:hAnsi="Arial" w:cs="Arial"/>
          <w:bCs/>
          <w:sz w:val="24"/>
          <w:szCs w:val="24"/>
          <w:lang w:val="es-ES"/>
        </w:rPr>
        <w:t>dencias. La menor conducta que niegue o restrinja los derechos humanos consagrados por nuestra Constitución, leyes y derecho convencional debe ser sancionada.</w:t>
      </w:r>
    </w:p>
    <w:p w:rsidR="00D4628E" w:rsidRPr="00FA0E15" w:rsidRDefault="00D4628E" w:rsidP="003B1B0D">
      <w:pPr>
        <w:spacing w:after="0" w:line="240" w:lineRule="auto"/>
        <w:ind w:left="709"/>
        <w:contextualSpacing/>
        <w:jc w:val="both"/>
        <w:rPr>
          <w:rFonts w:ascii="Arial" w:eastAsia="Calibri" w:hAnsi="Arial" w:cs="Arial"/>
          <w:bCs/>
          <w:sz w:val="24"/>
          <w:szCs w:val="24"/>
          <w:lang w:val="es-ES"/>
        </w:rPr>
      </w:pPr>
    </w:p>
    <w:p w:rsidR="00025C76" w:rsidRPr="00025C76" w:rsidRDefault="00025C76" w:rsidP="00025C76">
      <w:pPr>
        <w:spacing w:after="0" w:line="240" w:lineRule="auto"/>
        <w:ind w:left="709"/>
        <w:contextualSpacing/>
        <w:jc w:val="both"/>
        <w:rPr>
          <w:rFonts w:ascii="Arial" w:eastAsia="Calibri" w:hAnsi="Arial" w:cs="Arial"/>
          <w:bCs/>
          <w:sz w:val="24"/>
          <w:szCs w:val="24"/>
          <w:lang w:val="es-ES"/>
        </w:rPr>
      </w:pPr>
    </w:p>
    <w:p w:rsidR="00025C76" w:rsidRPr="00FA0E15" w:rsidRDefault="00025C76" w:rsidP="00025C76">
      <w:pPr>
        <w:numPr>
          <w:ilvl w:val="0"/>
          <w:numId w:val="2"/>
        </w:numPr>
        <w:spacing w:after="0" w:line="240" w:lineRule="auto"/>
        <w:ind w:left="709"/>
        <w:contextualSpacing/>
        <w:jc w:val="both"/>
        <w:rPr>
          <w:rFonts w:ascii="Arial" w:eastAsia="Calibri" w:hAnsi="Arial" w:cs="Arial"/>
          <w:b/>
          <w:sz w:val="24"/>
          <w:szCs w:val="24"/>
          <w:lang w:val="es-ES"/>
        </w:rPr>
      </w:pPr>
      <w:r w:rsidRPr="00025C76">
        <w:rPr>
          <w:rFonts w:ascii="Arial" w:eastAsia="Calibri" w:hAnsi="Arial" w:cs="Arial"/>
          <w:b/>
          <w:sz w:val="24"/>
          <w:szCs w:val="24"/>
          <w:lang w:val="es-ES"/>
        </w:rPr>
        <w:t>Sobre las medidas concretas adoptadas para mejorar el apoyo a las víctimas de la violencia y para prevenir los feminicidios, (evaluación del riesgo, eficacia de las órdenes de protección), en relación con la información recogida a través de los observatorios de feminicidios.</w:t>
      </w:r>
    </w:p>
    <w:p w:rsidR="003B1B0D" w:rsidRPr="000D74AC" w:rsidRDefault="003B1B0D" w:rsidP="003B1B0D">
      <w:pPr>
        <w:spacing w:after="0" w:line="240" w:lineRule="auto"/>
        <w:ind w:left="709"/>
        <w:contextualSpacing/>
        <w:jc w:val="both"/>
        <w:rPr>
          <w:rFonts w:ascii="Arial" w:eastAsia="Calibri" w:hAnsi="Arial" w:cs="Arial"/>
          <w:bCs/>
          <w:sz w:val="24"/>
          <w:szCs w:val="24"/>
          <w:lang w:val="es-ES"/>
        </w:rPr>
      </w:pPr>
    </w:p>
    <w:p w:rsidR="00025C76" w:rsidRDefault="00676C5A" w:rsidP="00676C5A">
      <w:pPr>
        <w:spacing w:after="0" w:line="240" w:lineRule="auto"/>
        <w:ind w:left="709"/>
        <w:contextualSpacing/>
        <w:jc w:val="both"/>
        <w:rPr>
          <w:rFonts w:ascii="Arial" w:eastAsia="Calibri" w:hAnsi="Arial" w:cs="Arial"/>
          <w:bCs/>
          <w:sz w:val="24"/>
          <w:szCs w:val="24"/>
          <w:lang w:val="es-ES"/>
        </w:rPr>
      </w:pPr>
      <w:r>
        <w:rPr>
          <w:rFonts w:ascii="Arial" w:eastAsia="Calibri" w:hAnsi="Arial" w:cs="Arial"/>
          <w:bCs/>
          <w:sz w:val="24"/>
          <w:szCs w:val="24"/>
          <w:lang w:val="es-ES"/>
        </w:rPr>
        <w:t xml:space="preserve">En el 2019, la Administración anterior creo </w:t>
      </w:r>
      <w:r w:rsidR="00A11F37">
        <w:rPr>
          <w:rFonts w:ascii="Arial" w:eastAsia="Calibri" w:hAnsi="Arial" w:cs="Arial"/>
          <w:bCs/>
          <w:sz w:val="24"/>
          <w:szCs w:val="24"/>
          <w:lang w:val="es-ES"/>
        </w:rPr>
        <w:t>e</w:t>
      </w:r>
      <w:r>
        <w:rPr>
          <w:rFonts w:ascii="Arial" w:eastAsia="Calibri" w:hAnsi="Arial" w:cs="Arial"/>
          <w:bCs/>
          <w:sz w:val="24"/>
          <w:szCs w:val="24"/>
          <w:lang w:val="es-ES"/>
        </w:rPr>
        <w:t xml:space="preserve">l </w:t>
      </w:r>
      <w:r w:rsidRPr="00676C5A">
        <w:rPr>
          <w:rFonts w:ascii="Arial" w:eastAsia="Calibri" w:hAnsi="Arial" w:cs="Arial"/>
          <w:bCs/>
          <w:sz w:val="24"/>
          <w:szCs w:val="24"/>
        </w:rPr>
        <w:t>Plan Nacional de Seguridad para la Reducción de Femicidios</w:t>
      </w:r>
      <w:r w:rsidRPr="00676C5A">
        <w:rPr>
          <w:rFonts w:ascii="Arial" w:eastAsia="Calibri" w:hAnsi="Arial" w:cs="Arial"/>
          <w:bCs/>
          <w:sz w:val="24"/>
          <w:szCs w:val="24"/>
          <w:lang w:val="es-ES"/>
        </w:rPr>
        <w:t xml:space="preserve"> </w:t>
      </w:r>
      <w:r>
        <w:rPr>
          <w:rFonts w:ascii="Arial" w:eastAsia="Calibri" w:hAnsi="Arial" w:cs="Arial"/>
          <w:bCs/>
          <w:sz w:val="24"/>
          <w:szCs w:val="24"/>
          <w:lang w:val="es-ES"/>
        </w:rPr>
        <w:t xml:space="preserve">2019-2023. Al cambiar las autoridades, el Plan quedó reemplazado por las nuevas medidas aquí citadas. Ya en el 2015 el Estado había prometido la creación de 36 refugios para las víctimas de femicidios, de los que se ha alcanzado a realizar sólo 9 de ellos. Esta carencia se cubre muchas veces con el esfuerzo de organizaciones civiles. </w:t>
      </w:r>
    </w:p>
    <w:p w:rsidR="00676C5A" w:rsidRDefault="00676C5A" w:rsidP="00676C5A">
      <w:pPr>
        <w:spacing w:after="0" w:line="240" w:lineRule="auto"/>
        <w:ind w:left="709"/>
        <w:contextualSpacing/>
        <w:jc w:val="both"/>
        <w:rPr>
          <w:rFonts w:ascii="Arial" w:eastAsia="Calibri" w:hAnsi="Arial" w:cs="Arial"/>
          <w:bCs/>
          <w:sz w:val="24"/>
          <w:szCs w:val="24"/>
          <w:lang w:val="es-ES"/>
        </w:rPr>
      </w:pPr>
    </w:p>
    <w:p w:rsidR="00676C5A" w:rsidRDefault="00676C5A" w:rsidP="00676C5A">
      <w:pPr>
        <w:spacing w:after="0" w:line="240" w:lineRule="auto"/>
        <w:ind w:left="709"/>
        <w:contextualSpacing/>
        <w:jc w:val="both"/>
        <w:rPr>
          <w:rFonts w:ascii="Arial" w:eastAsia="Calibri" w:hAnsi="Arial" w:cs="Arial"/>
          <w:bCs/>
          <w:sz w:val="24"/>
          <w:szCs w:val="24"/>
          <w:lang w:val="es-ES"/>
        </w:rPr>
      </w:pPr>
      <w:r>
        <w:rPr>
          <w:rFonts w:ascii="Arial" w:eastAsia="Calibri" w:hAnsi="Arial" w:cs="Arial"/>
          <w:bCs/>
          <w:sz w:val="24"/>
          <w:szCs w:val="24"/>
          <w:lang w:val="es-ES"/>
        </w:rPr>
        <w:t>Esta INDH brega porque se hagan efectivas las medidas de protección a las víctimas, como restricciones perimetrales</w:t>
      </w:r>
      <w:r w:rsidR="009772AF">
        <w:rPr>
          <w:rFonts w:ascii="Arial" w:eastAsia="Calibri" w:hAnsi="Arial" w:cs="Arial"/>
          <w:bCs/>
          <w:sz w:val="24"/>
          <w:szCs w:val="24"/>
          <w:lang w:val="es-ES"/>
        </w:rPr>
        <w:t xml:space="preserve"> dictadas por la justicia a los </w:t>
      </w:r>
      <w:r w:rsidR="009772AF">
        <w:rPr>
          <w:rFonts w:ascii="Arial" w:eastAsia="Calibri" w:hAnsi="Arial" w:cs="Arial"/>
          <w:bCs/>
          <w:sz w:val="24"/>
          <w:szCs w:val="24"/>
          <w:lang w:val="es-ES"/>
        </w:rPr>
        <w:lastRenderedPageBreak/>
        <w:t>victimarios,</w:t>
      </w:r>
      <w:r>
        <w:rPr>
          <w:rFonts w:ascii="Arial" w:eastAsia="Calibri" w:hAnsi="Arial" w:cs="Arial"/>
          <w:bCs/>
          <w:sz w:val="24"/>
          <w:szCs w:val="24"/>
          <w:lang w:val="es-ES"/>
        </w:rPr>
        <w:t xml:space="preserve"> que no son </w:t>
      </w:r>
      <w:r w:rsidR="001B63AA">
        <w:rPr>
          <w:rFonts w:ascii="Arial" w:eastAsia="Calibri" w:hAnsi="Arial" w:cs="Arial"/>
          <w:bCs/>
          <w:sz w:val="24"/>
          <w:szCs w:val="24"/>
          <w:lang w:val="es-ES"/>
        </w:rPr>
        <w:t xml:space="preserve">debidamente </w:t>
      </w:r>
      <w:r>
        <w:rPr>
          <w:rFonts w:ascii="Arial" w:eastAsia="Calibri" w:hAnsi="Arial" w:cs="Arial"/>
          <w:bCs/>
          <w:sz w:val="24"/>
          <w:szCs w:val="24"/>
          <w:lang w:val="es-ES"/>
        </w:rPr>
        <w:t>controladas</w:t>
      </w:r>
      <w:r w:rsidR="001B63AA">
        <w:rPr>
          <w:rFonts w:ascii="Arial" w:eastAsia="Calibri" w:hAnsi="Arial" w:cs="Arial"/>
          <w:bCs/>
          <w:sz w:val="24"/>
          <w:szCs w:val="24"/>
          <w:lang w:val="es-ES"/>
        </w:rPr>
        <w:t xml:space="preserve"> y, por ende, carecen de eficacia.</w:t>
      </w:r>
    </w:p>
    <w:p w:rsidR="00676C5A" w:rsidRPr="000D74AC" w:rsidRDefault="00676C5A" w:rsidP="00676C5A">
      <w:pPr>
        <w:spacing w:after="0" w:line="240" w:lineRule="auto"/>
        <w:ind w:left="709"/>
        <w:contextualSpacing/>
        <w:jc w:val="both"/>
        <w:rPr>
          <w:rFonts w:ascii="Arial" w:eastAsia="Calibri" w:hAnsi="Arial" w:cs="Arial"/>
          <w:bCs/>
          <w:sz w:val="24"/>
          <w:szCs w:val="24"/>
          <w:lang w:val="es-ES"/>
        </w:rPr>
      </w:pPr>
    </w:p>
    <w:p w:rsidR="00025C76" w:rsidRPr="00D4628E" w:rsidRDefault="00025C76" w:rsidP="00025C76">
      <w:pPr>
        <w:numPr>
          <w:ilvl w:val="0"/>
          <w:numId w:val="2"/>
        </w:numPr>
        <w:spacing w:after="0" w:line="240" w:lineRule="auto"/>
        <w:ind w:left="709"/>
        <w:contextualSpacing/>
        <w:jc w:val="both"/>
        <w:rPr>
          <w:rFonts w:ascii="Arial" w:eastAsia="Calibri" w:hAnsi="Arial" w:cs="Arial"/>
          <w:b/>
          <w:sz w:val="24"/>
          <w:szCs w:val="24"/>
          <w:lang w:val="es-ES"/>
        </w:rPr>
      </w:pPr>
      <w:r w:rsidRPr="00025C76">
        <w:rPr>
          <w:rFonts w:ascii="Arial" w:eastAsia="Calibri" w:hAnsi="Arial" w:cs="Arial"/>
          <w:b/>
          <w:sz w:val="24"/>
          <w:szCs w:val="24"/>
          <w:lang w:val="es-ES"/>
        </w:rPr>
        <w:t xml:space="preserve">Sobre las buenas prácticas y desafíos en la implementación de una respuesta basada en la evidencia para la prevención del feminicidio. </w:t>
      </w:r>
    </w:p>
    <w:p w:rsidR="00D4628E" w:rsidRDefault="00D4628E" w:rsidP="00025C76">
      <w:pPr>
        <w:spacing w:after="0" w:line="240" w:lineRule="auto"/>
        <w:ind w:left="709"/>
        <w:contextualSpacing/>
        <w:jc w:val="both"/>
        <w:rPr>
          <w:rFonts w:ascii="Arial" w:eastAsia="Calibri" w:hAnsi="Arial" w:cs="Arial"/>
          <w:bCs/>
          <w:sz w:val="24"/>
          <w:szCs w:val="24"/>
          <w:lang w:val="es-ES"/>
        </w:rPr>
      </w:pPr>
    </w:p>
    <w:p w:rsidR="00025C76" w:rsidRDefault="00D4628E" w:rsidP="00025C76">
      <w:pPr>
        <w:spacing w:after="0" w:line="240" w:lineRule="auto"/>
        <w:ind w:left="709"/>
        <w:contextualSpacing/>
        <w:jc w:val="both"/>
        <w:rPr>
          <w:rFonts w:ascii="Arial" w:eastAsia="Calibri" w:hAnsi="Arial" w:cs="Arial"/>
          <w:bCs/>
          <w:sz w:val="24"/>
          <w:szCs w:val="24"/>
        </w:rPr>
      </w:pPr>
      <w:r>
        <w:rPr>
          <w:rFonts w:ascii="Arial" w:eastAsia="Calibri" w:hAnsi="Arial" w:cs="Arial"/>
          <w:bCs/>
          <w:sz w:val="24"/>
          <w:szCs w:val="24"/>
          <w:lang w:val="es-ES"/>
        </w:rPr>
        <w:t xml:space="preserve">Creación del </w:t>
      </w:r>
      <w:r w:rsidRPr="00D4628E">
        <w:rPr>
          <w:rFonts w:ascii="Arial" w:eastAsia="Calibri" w:hAnsi="Arial" w:cs="Arial"/>
          <w:bCs/>
          <w:sz w:val="24"/>
          <w:szCs w:val="24"/>
        </w:rPr>
        <w:t>M</w:t>
      </w:r>
      <w:r>
        <w:rPr>
          <w:rFonts w:ascii="Arial" w:eastAsia="Calibri" w:hAnsi="Arial" w:cs="Arial"/>
          <w:bCs/>
          <w:sz w:val="24"/>
          <w:szCs w:val="24"/>
        </w:rPr>
        <w:t>inisterio de las Mujeres, Géneros y Diversidad.</w:t>
      </w:r>
      <w:r w:rsidRPr="00D4628E">
        <w:rPr>
          <w:rFonts w:ascii="Arial" w:eastAsia="Calibri" w:hAnsi="Arial" w:cs="Arial"/>
          <w:bCs/>
          <w:sz w:val="24"/>
          <w:szCs w:val="24"/>
        </w:rPr>
        <w:t xml:space="preserve"> </w:t>
      </w:r>
    </w:p>
    <w:p w:rsidR="00E42A03" w:rsidRDefault="00E42A03" w:rsidP="00D4628E">
      <w:pPr>
        <w:spacing w:after="0" w:line="240" w:lineRule="auto"/>
        <w:ind w:left="709"/>
        <w:contextualSpacing/>
        <w:jc w:val="both"/>
        <w:rPr>
          <w:rFonts w:ascii="Arial" w:eastAsia="Calibri" w:hAnsi="Arial" w:cs="Arial"/>
          <w:bCs/>
          <w:sz w:val="24"/>
          <w:szCs w:val="24"/>
        </w:rPr>
      </w:pPr>
    </w:p>
    <w:p w:rsidR="00D4628E" w:rsidRDefault="00D4628E" w:rsidP="00D4628E">
      <w:pPr>
        <w:spacing w:after="0" w:line="240" w:lineRule="auto"/>
        <w:ind w:left="709"/>
        <w:contextualSpacing/>
        <w:jc w:val="both"/>
        <w:rPr>
          <w:rFonts w:ascii="Arial" w:eastAsia="Calibri" w:hAnsi="Arial" w:cs="Arial"/>
          <w:bCs/>
          <w:sz w:val="24"/>
          <w:szCs w:val="24"/>
        </w:rPr>
      </w:pPr>
      <w:r>
        <w:rPr>
          <w:rFonts w:ascii="Arial" w:eastAsia="Calibri" w:hAnsi="Arial" w:cs="Arial"/>
          <w:bCs/>
          <w:sz w:val="24"/>
          <w:szCs w:val="24"/>
        </w:rPr>
        <w:t>Creación del Programa para el apoyo urgente y la asistencia integral inmediata ante casos de femicidio, travesticidio y tran</w:t>
      </w:r>
      <w:r w:rsidR="00E42A03">
        <w:rPr>
          <w:rFonts w:ascii="Arial" w:eastAsia="Calibri" w:hAnsi="Arial" w:cs="Arial"/>
          <w:bCs/>
          <w:sz w:val="24"/>
          <w:szCs w:val="24"/>
        </w:rPr>
        <w:t>s</w:t>
      </w:r>
      <w:r>
        <w:rPr>
          <w:rFonts w:ascii="Arial" w:eastAsia="Calibri" w:hAnsi="Arial" w:cs="Arial"/>
          <w:bCs/>
          <w:sz w:val="24"/>
          <w:szCs w:val="24"/>
        </w:rPr>
        <w:t xml:space="preserve">femicidio, cuyo objeto es </w:t>
      </w:r>
      <w:r w:rsidRPr="00D4628E">
        <w:rPr>
          <w:rFonts w:ascii="Arial" w:eastAsia="Calibri" w:hAnsi="Arial" w:cs="Arial"/>
          <w:bCs/>
          <w:sz w:val="24"/>
          <w:szCs w:val="24"/>
        </w:rPr>
        <w:t>asistir integralmente a aquellas personas del grupo familiar o allegados/as de víctimas de femicidio, travesticidio y transfemicidio, a través de una prestación económica, asesoramiento psicológico y/o legal</w:t>
      </w:r>
      <w:r w:rsidR="00A4098B">
        <w:rPr>
          <w:rStyle w:val="Refdenotaalpie"/>
          <w:rFonts w:ascii="Arial" w:eastAsia="Calibri" w:hAnsi="Arial" w:cs="Arial"/>
          <w:bCs/>
          <w:sz w:val="24"/>
          <w:szCs w:val="24"/>
        </w:rPr>
        <w:footnoteReference w:id="3"/>
      </w:r>
      <w:r w:rsidRPr="00D4628E">
        <w:rPr>
          <w:rFonts w:ascii="Arial" w:eastAsia="Calibri" w:hAnsi="Arial" w:cs="Arial"/>
          <w:bCs/>
          <w:sz w:val="24"/>
          <w:szCs w:val="24"/>
        </w:rPr>
        <w:t>.</w:t>
      </w:r>
    </w:p>
    <w:p w:rsidR="00E42A03" w:rsidRDefault="00E42A03" w:rsidP="00D4628E">
      <w:pPr>
        <w:spacing w:after="0" w:line="240" w:lineRule="auto"/>
        <w:ind w:left="709"/>
        <w:contextualSpacing/>
        <w:jc w:val="both"/>
        <w:rPr>
          <w:rFonts w:ascii="Arial" w:eastAsia="Calibri" w:hAnsi="Arial" w:cs="Arial"/>
          <w:bCs/>
          <w:sz w:val="24"/>
          <w:szCs w:val="24"/>
        </w:rPr>
      </w:pPr>
    </w:p>
    <w:p w:rsidR="00E42A03" w:rsidRPr="00E42A03" w:rsidRDefault="00E42A03" w:rsidP="00E42A03">
      <w:pPr>
        <w:spacing w:after="0" w:line="240" w:lineRule="auto"/>
        <w:ind w:left="709"/>
        <w:contextualSpacing/>
        <w:jc w:val="both"/>
        <w:rPr>
          <w:rFonts w:ascii="Arial" w:eastAsia="Calibri" w:hAnsi="Arial" w:cs="Arial"/>
          <w:bCs/>
          <w:sz w:val="24"/>
          <w:szCs w:val="24"/>
          <w:lang w:val="es-ES"/>
        </w:rPr>
      </w:pPr>
      <w:r w:rsidRPr="00E42A03">
        <w:rPr>
          <w:rFonts w:ascii="Arial" w:eastAsia="Calibri" w:hAnsi="Arial" w:cs="Arial"/>
          <w:bCs/>
          <w:sz w:val="24"/>
          <w:szCs w:val="24"/>
        </w:rPr>
        <w:t>Línea 144 – Atención a mujeres y LGBTI+</w:t>
      </w:r>
      <w:r>
        <w:rPr>
          <w:rFonts w:ascii="Arial" w:eastAsia="Calibri" w:hAnsi="Arial" w:cs="Arial"/>
          <w:bCs/>
          <w:sz w:val="24"/>
          <w:szCs w:val="24"/>
        </w:rPr>
        <w:t xml:space="preserve"> y la </w:t>
      </w:r>
      <w:r w:rsidRPr="00E42A03">
        <w:rPr>
          <w:rFonts w:ascii="Arial" w:eastAsia="Calibri" w:hAnsi="Arial" w:cs="Arial"/>
          <w:bCs/>
          <w:sz w:val="24"/>
          <w:szCs w:val="24"/>
          <w:lang w:val="es-ES"/>
        </w:rPr>
        <w:t>aplicación gratuita, complementaria a la Línea 144, para recibir contención y asesoramiento ante situaciones de violencia por motivos de género</w:t>
      </w:r>
      <w:r>
        <w:rPr>
          <w:rFonts w:ascii="Arial" w:eastAsia="Calibri" w:hAnsi="Arial" w:cs="Arial"/>
          <w:bCs/>
          <w:sz w:val="24"/>
          <w:szCs w:val="24"/>
          <w:lang w:val="es-ES"/>
        </w:rPr>
        <w:t xml:space="preserve"> y que busca en un mapa el centro de atención más cercano.</w:t>
      </w:r>
    </w:p>
    <w:p w:rsidR="00E42A03" w:rsidRPr="00E42A03" w:rsidRDefault="00E42A03" w:rsidP="00E42A03">
      <w:pPr>
        <w:spacing w:after="0" w:line="240" w:lineRule="auto"/>
        <w:ind w:left="709"/>
        <w:contextualSpacing/>
        <w:jc w:val="both"/>
        <w:rPr>
          <w:rFonts w:ascii="Arial" w:eastAsia="Calibri" w:hAnsi="Arial" w:cs="Arial"/>
          <w:bCs/>
          <w:sz w:val="24"/>
          <w:szCs w:val="24"/>
          <w:lang w:val="es-ES"/>
        </w:rPr>
      </w:pPr>
    </w:p>
    <w:p w:rsidR="00D4628E" w:rsidRPr="00025C76" w:rsidRDefault="00D4628E" w:rsidP="00025C76">
      <w:pPr>
        <w:spacing w:after="0" w:line="240" w:lineRule="auto"/>
        <w:ind w:left="709"/>
        <w:contextualSpacing/>
        <w:jc w:val="both"/>
        <w:rPr>
          <w:rFonts w:ascii="Arial" w:eastAsia="Calibri" w:hAnsi="Arial" w:cs="Arial"/>
          <w:bCs/>
          <w:sz w:val="24"/>
          <w:szCs w:val="24"/>
          <w:lang w:val="es-ES"/>
        </w:rPr>
      </w:pPr>
    </w:p>
    <w:p w:rsidR="00025C76" w:rsidRPr="00025C76" w:rsidRDefault="00025C76" w:rsidP="00025C76">
      <w:pPr>
        <w:numPr>
          <w:ilvl w:val="0"/>
          <w:numId w:val="2"/>
        </w:numPr>
        <w:spacing w:after="0" w:line="240" w:lineRule="auto"/>
        <w:ind w:left="709"/>
        <w:contextualSpacing/>
        <w:jc w:val="both"/>
        <w:rPr>
          <w:rFonts w:ascii="Arial" w:eastAsia="Calibri" w:hAnsi="Arial" w:cs="Arial"/>
          <w:b/>
          <w:sz w:val="24"/>
          <w:szCs w:val="24"/>
          <w:lang w:val="es-ES"/>
        </w:rPr>
      </w:pPr>
      <w:r w:rsidRPr="00025C76">
        <w:rPr>
          <w:rFonts w:ascii="Arial" w:eastAsia="Calibri" w:hAnsi="Arial" w:cs="Arial"/>
          <w:b/>
          <w:sz w:val="24"/>
          <w:szCs w:val="24"/>
          <w:lang w:val="es-ES"/>
        </w:rPr>
        <w:t>Sobre los datos, si están disponibles, sobre feminicidios u homicidios de mujeres y hombres relacionados con la pareja y la familia en los últimos 3 años, incluso durante la pandemia de COVID-19 (indicando el período de tiempo, por ejemplo, desde marzo de 2020 hasta finales de diciembre de 2020) y su comparación con dichos datos antes de la pandemia de COVID-19.</w:t>
      </w:r>
    </w:p>
    <w:p w:rsidR="00025C76" w:rsidRDefault="00025C76" w:rsidP="00AE3B43">
      <w:pPr>
        <w:jc w:val="both"/>
        <w:rPr>
          <w:rFonts w:ascii="Arial" w:hAnsi="Arial" w:cs="Arial"/>
          <w:sz w:val="24"/>
          <w:szCs w:val="24"/>
        </w:rPr>
      </w:pPr>
    </w:p>
    <w:p w:rsidR="00AE3B43" w:rsidRPr="00AE3B43" w:rsidRDefault="00AE3B43" w:rsidP="00AE3B43">
      <w:pPr>
        <w:ind w:left="709"/>
        <w:jc w:val="both"/>
        <w:rPr>
          <w:rFonts w:ascii="Arial" w:hAnsi="Arial" w:cs="Arial"/>
          <w:sz w:val="24"/>
          <w:szCs w:val="24"/>
          <w:lang/>
        </w:rPr>
      </w:pPr>
      <w:r w:rsidRPr="00AE3B43">
        <w:rPr>
          <w:rFonts w:ascii="Arial" w:hAnsi="Arial" w:cs="Arial"/>
          <w:sz w:val="24"/>
          <w:szCs w:val="24"/>
          <w:lang/>
        </w:rPr>
        <w:t>La pandemia -con todas sus implicancias socioambientales-, y las medidas de aislamiento para prevenir la propagación de</w:t>
      </w:r>
      <w:r w:rsidR="008F4E98">
        <w:rPr>
          <w:rFonts w:ascii="Arial" w:hAnsi="Arial" w:cs="Arial"/>
          <w:sz w:val="24"/>
          <w:szCs w:val="24"/>
          <w:lang/>
        </w:rPr>
        <w:t xml:space="preserve"> </w:t>
      </w:r>
      <w:r w:rsidRPr="00AE3B43">
        <w:rPr>
          <w:rFonts w:ascii="Arial" w:hAnsi="Arial" w:cs="Arial"/>
          <w:sz w:val="24"/>
          <w:szCs w:val="24"/>
          <w:lang/>
        </w:rPr>
        <w:t>l</w:t>
      </w:r>
      <w:r w:rsidR="008F4E98">
        <w:rPr>
          <w:rFonts w:ascii="Arial" w:hAnsi="Arial" w:cs="Arial"/>
          <w:sz w:val="24"/>
          <w:szCs w:val="24"/>
          <w:lang/>
        </w:rPr>
        <w:t>a</w:t>
      </w:r>
      <w:r w:rsidRPr="00AE3B43">
        <w:rPr>
          <w:rFonts w:ascii="Arial" w:hAnsi="Arial" w:cs="Arial"/>
          <w:sz w:val="24"/>
          <w:szCs w:val="24"/>
          <w:lang/>
        </w:rPr>
        <w:t xml:space="preserve"> COVID-19, han contribuido durante el 2020 al aumento de los casos de violencias hacia las mujeres y niñas y de los femicidios.</w:t>
      </w:r>
    </w:p>
    <w:p w:rsidR="00AE3B43" w:rsidRPr="00AE3B43" w:rsidRDefault="00AE3B43" w:rsidP="00AE3B43">
      <w:pPr>
        <w:ind w:left="709"/>
        <w:jc w:val="both"/>
        <w:rPr>
          <w:rFonts w:ascii="Arial" w:hAnsi="Arial" w:cs="Arial"/>
          <w:sz w:val="24"/>
          <w:szCs w:val="24"/>
          <w:lang/>
        </w:rPr>
      </w:pPr>
      <w:r w:rsidRPr="00AE3B43">
        <w:rPr>
          <w:rFonts w:ascii="Arial" w:hAnsi="Arial" w:cs="Arial"/>
          <w:sz w:val="24"/>
          <w:szCs w:val="24"/>
          <w:lang/>
        </w:rPr>
        <w:t>Desde el 20 de marzo de 2020, en la línea 144 de ayuda por violencia de género y familiar, recibieron un 25% más</w:t>
      </w:r>
      <w:r w:rsidRPr="00AE3B43">
        <w:rPr>
          <w:rFonts w:ascii="Arial" w:hAnsi="Arial" w:cs="Arial"/>
          <w:sz w:val="24"/>
          <w:szCs w:val="24"/>
          <w:vertAlign w:val="superscript"/>
          <w:lang/>
        </w:rPr>
        <w:footnoteReference w:id="4"/>
      </w:r>
      <w:r w:rsidRPr="00AE3B43">
        <w:rPr>
          <w:rFonts w:ascii="Arial" w:hAnsi="Arial" w:cs="Arial"/>
          <w:sz w:val="24"/>
          <w:szCs w:val="24"/>
          <w:lang/>
        </w:rPr>
        <w:t xml:space="preserve"> de llamados y en la 137 subió un 20%. </w:t>
      </w:r>
    </w:p>
    <w:p w:rsidR="00FA0E15" w:rsidRDefault="00AE3B43" w:rsidP="00AE3B43">
      <w:pPr>
        <w:ind w:left="709"/>
        <w:jc w:val="both"/>
        <w:rPr>
          <w:rFonts w:ascii="Arial" w:hAnsi="Arial" w:cs="Arial"/>
          <w:sz w:val="24"/>
          <w:szCs w:val="24"/>
          <w:lang/>
        </w:rPr>
      </w:pPr>
      <w:r w:rsidRPr="00AE3B43">
        <w:rPr>
          <w:rFonts w:ascii="Arial" w:hAnsi="Arial" w:cs="Arial"/>
          <w:sz w:val="24"/>
          <w:szCs w:val="24"/>
          <w:lang/>
        </w:rPr>
        <w:t>Este aumento se ve reflejado también en la cantidad de femicidios. La tendencia sostenida desde hace años indica que el lugar más inseguro para las mujeres es su propio domicilio, y la situación de confinamiento de la víctima con su victimario llevó a las mujeres a quedar atrapadas con su propio agresor.</w:t>
      </w:r>
    </w:p>
    <w:p w:rsidR="00D4628E" w:rsidRDefault="00D4628E" w:rsidP="00AE3B43">
      <w:pPr>
        <w:ind w:left="709"/>
        <w:jc w:val="both"/>
        <w:rPr>
          <w:rFonts w:ascii="Arial" w:hAnsi="Arial" w:cs="Arial"/>
          <w:sz w:val="24"/>
          <w:szCs w:val="24"/>
        </w:rPr>
      </w:pPr>
      <w:r w:rsidRPr="00D4628E">
        <w:rPr>
          <w:rFonts w:ascii="Arial" w:hAnsi="Arial" w:cs="Arial"/>
          <w:sz w:val="24"/>
          <w:szCs w:val="24"/>
        </w:rPr>
        <w:lastRenderedPageBreak/>
        <w:t>Compartimos aquí los resultados de los estudios comparativos realizados por el OFDPN con respecto a la pandemia en el 2020</w:t>
      </w:r>
      <w:r w:rsidR="00E87644">
        <w:rPr>
          <w:rFonts w:ascii="Arial" w:hAnsi="Arial" w:cs="Arial"/>
          <w:sz w:val="24"/>
          <w:szCs w:val="24"/>
        </w:rPr>
        <w:t>, durante e</w:t>
      </w:r>
      <w:r>
        <w:rPr>
          <w:rFonts w:ascii="Arial" w:hAnsi="Arial" w:cs="Arial"/>
          <w:sz w:val="24"/>
          <w:szCs w:val="24"/>
        </w:rPr>
        <w:t>:</w:t>
      </w:r>
    </w:p>
    <w:p w:rsidR="00FA0E15" w:rsidRPr="000D74AC" w:rsidRDefault="00AE3B43" w:rsidP="00FA0E15">
      <w:pPr>
        <w:jc w:val="center"/>
        <w:rPr>
          <w:rFonts w:ascii="Arial" w:hAnsi="Arial" w:cs="Arial"/>
          <w:sz w:val="24"/>
          <w:szCs w:val="24"/>
        </w:rPr>
      </w:pPr>
      <w:r w:rsidRPr="00AE3B43">
        <w:rPr>
          <w:rFonts w:ascii="Arial" w:eastAsia="Arial" w:hAnsi="Arial" w:cs="Arial"/>
          <w:noProof/>
          <w:lang w:eastAsia="es-AR"/>
        </w:rPr>
        <w:drawing>
          <wp:anchor distT="0" distB="0" distL="114300" distR="114300" simplePos="0" relativeHeight="251659264" behindDoc="0" locked="0" layoutInCell="1" allowOverlap="1">
            <wp:simplePos x="0" y="0"/>
            <wp:positionH relativeFrom="column">
              <wp:posOffset>0</wp:posOffset>
            </wp:positionH>
            <wp:positionV relativeFrom="paragraph">
              <wp:posOffset>285750</wp:posOffset>
            </wp:positionV>
            <wp:extent cx="5731200" cy="3543300"/>
            <wp:effectExtent l="0" t="0" r="0" b="0"/>
            <wp:wrapSquare wrapText="bothSides" distT="0" distB="0" distL="114300" distR="114300"/>
            <wp:docPr id="25"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25" cstate="print"/>
                    <a:srcRect/>
                    <a:stretch>
                      <a:fillRect/>
                    </a:stretch>
                  </pic:blipFill>
                  <pic:spPr>
                    <a:xfrm>
                      <a:off x="0" y="0"/>
                      <a:ext cx="5731200" cy="3543300"/>
                    </a:xfrm>
                    <a:prstGeom prst="rect">
                      <a:avLst/>
                    </a:prstGeom>
                    <a:ln/>
                  </pic:spPr>
                </pic:pic>
              </a:graphicData>
            </a:graphic>
          </wp:anchor>
        </w:drawing>
      </w:r>
    </w:p>
    <w:p w:rsidR="003B1B0D" w:rsidRDefault="003B1B0D" w:rsidP="00AE3B43">
      <w:pPr>
        <w:ind w:left="709"/>
        <w:rPr>
          <w:rFonts w:ascii="Arial" w:hAnsi="Arial" w:cs="Arial"/>
          <w:sz w:val="24"/>
          <w:szCs w:val="24"/>
        </w:rPr>
      </w:pPr>
    </w:p>
    <w:p w:rsidR="00E42A03" w:rsidRDefault="00A8653F" w:rsidP="00E42A03">
      <w:pPr>
        <w:ind w:left="709"/>
        <w:jc w:val="both"/>
        <w:rPr>
          <w:rFonts w:ascii="Arial" w:hAnsi="Arial" w:cs="Arial"/>
          <w:sz w:val="24"/>
          <w:szCs w:val="24"/>
        </w:rPr>
      </w:pPr>
      <w:r w:rsidRPr="00A8653F">
        <w:rPr>
          <w:rFonts w:ascii="Arial" w:eastAsia="Arial" w:hAnsi="Arial" w:cs="Arial"/>
          <w:noProof/>
          <w:sz w:val="24"/>
          <w:szCs w:val="24"/>
          <w:highlight w:val="white"/>
          <w:lang w:eastAsia="es-AR"/>
        </w:rPr>
        <w:drawing>
          <wp:inline distT="114300" distB="114300" distL="114300" distR="114300">
            <wp:extent cx="4567148" cy="2814638"/>
            <wp:effectExtent l="0" t="0" r="0" b="0"/>
            <wp:docPr id="15" name="image20.png" descr="Gráfico"/>
            <wp:cNvGraphicFramePr/>
            <a:graphic xmlns:a="http://schemas.openxmlformats.org/drawingml/2006/main">
              <a:graphicData uri="http://schemas.openxmlformats.org/drawingml/2006/picture">
                <pic:pic xmlns:pic="http://schemas.openxmlformats.org/drawingml/2006/picture">
                  <pic:nvPicPr>
                    <pic:cNvPr id="0" name="image20.png" descr="Gráfico"/>
                    <pic:cNvPicPr preferRelativeResize="0"/>
                  </pic:nvPicPr>
                  <pic:blipFill>
                    <a:blip r:embed="rId26" cstate="print"/>
                    <a:srcRect/>
                    <a:stretch>
                      <a:fillRect/>
                    </a:stretch>
                  </pic:blipFill>
                  <pic:spPr>
                    <a:xfrm>
                      <a:off x="0" y="0"/>
                      <a:ext cx="4567148" cy="2814638"/>
                    </a:xfrm>
                    <a:prstGeom prst="rect">
                      <a:avLst/>
                    </a:prstGeom>
                    <a:ln/>
                  </pic:spPr>
                </pic:pic>
              </a:graphicData>
            </a:graphic>
          </wp:inline>
        </w:drawing>
      </w:r>
    </w:p>
    <w:p w:rsidR="00A8653F" w:rsidRDefault="00A8653F" w:rsidP="00E42A03">
      <w:pPr>
        <w:ind w:left="709"/>
        <w:jc w:val="both"/>
        <w:rPr>
          <w:rFonts w:ascii="Arial" w:hAnsi="Arial" w:cs="Arial"/>
          <w:b/>
          <w:bCs/>
          <w:sz w:val="24"/>
          <w:szCs w:val="24"/>
        </w:rPr>
      </w:pPr>
    </w:p>
    <w:p w:rsidR="00E42A03" w:rsidRPr="00E42A03" w:rsidRDefault="00E42A03" w:rsidP="00E42A03">
      <w:pPr>
        <w:ind w:left="709"/>
        <w:jc w:val="both"/>
        <w:rPr>
          <w:rFonts w:ascii="Arial" w:hAnsi="Arial" w:cs="Arial"/>
          <w:b/>
          <w:bCs/>
          <w:sz w:val="24"/>
          <w:szCs w:val="24"/>
          <w:lang/>
        </w:rPr>
      </w:pPr>
      <w:r w:rsidRPr="00E42A03">
        <w:rPr>
          <w:rFonts w:ascii="Arial" w:hAnsi="Arial" w:cs="Arial"/>
          <w:b/>
          <w:bCs/>
          <w:sz w:val="24"/>
          <w:szCs w:val="24"/>
        </w:rPr>
        <w:t>Acompañamos en archivo adjunto el Informe</w:t>
      </w:r>
      <w:r w:rsidRPr="00E42A03">
        <w:rPr>
          <w:rFonts w:ascii="Arial" w:hAnsi="Arial" w:cs="Arial"/>
          <w:b/>
          <w:bCs/>
          <w:sz w:val="24"/>
          <w:szCs w:val="24"/>
          <w:lang/>
        </w:rPr>
        <w:t xml:space="preserve"> Anual del Observatorio de Femicidios de la Defensoría del Pueblo de la Nación del </w:t>
      </w:r>
      <w:bookmarkStart w:id="0" w:name="_Hlk70692313"/>
      <w:r w:rsidRPr="00E42A03">
        <w:rPr>
          <w:rFonts w:ascii="Arial" w:hAnsi="Arial" w:cs="Arial"/>
          <w:b/>
          <w:bCs/>
          <w:sz w:val="24"/>
          <w:szCs w:val="24"/>
          <w:lang/>
        </w:rPr>
        <w:t>01 de enero al 31 de diciembre de 2020</w:t>
      </w:r>
      <w:r>
        <w:rPr>
          <w:rFonts w:ascii="Arial" w:hAnsi="Arial" w:cs="Arial"/>
          <w:b/>
          <w:bCs/>
          <w:sz w:val="24"/>
          <w:szCs w:val="24"/>
          <w:lang/>
        </w:rPr>
        <w:t>.</w:t>
      </w:r>
      <w:r w:rsidRPr="00E42A03">
        <w:rPr>
          <w:rFonts w:ascii="Arial" w:hAnsi="Arial" w:cs="Arial"/>
          <w:b/>
          <w:bCs/>
          <w:sz w:val="24"/>
          <w:szCs w:val="24"/>
          <w:lang/>
        </w:rPr>
        <w:t xml:space="preserve"> </w:t>
      </w:r>
      <w:bookmarkEnd w:id="0"/>
    </w:p>
    <w:p w:rsidR="00E42A03" w:rsidRDefault="00E42A03" w:rsidP="00AE3B43">
      <w:pPr>
        <w:ind w:left="709"/>
        <w:rPr>
          <w:rFonts w:ascii="Arial" w:hAnsi="Arial" w:cs="Arial"/>
          <w:sz w:val="24"/>
          <w:szCs w:val="24"/>
        </w:rPr>
      </w:pPr>
      <w:r>
        <w:rPr>
          <w:rFonts w:ascii="Arial" w:hAnsi="Arial" w:cs="Arial"/>
          <w:b/>
          <w:i/>
          <w:sz w:val="24"/>
          <w:szCs w:val="24"/>
          <w:lang/>
        </w:rPr>
        <w:lastRenderedPageBreak/>
        <w:t xml:space="preserve"> </w:t>
      </w:r>
    </w:p>
    <w:sectPr w:rsidR="00E42A03" w:rsidSect="0020516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E36" w:rsidRDefault="00DD6E36" w:rsidP="000D0F49">
      <w:pPr>
        <w:spacing w:after="0" w:line="240" w:lineRule="auto"/>
      </w:pPr>
      <w:r>
        <w:separator/>
      </w:r>
    </w:p>
  </w:endnote>
  <w:endnote w:type="continuationSeparator" w:id="0">
    <w:p w:rsidR="00DD6E36" w:rsidRDefault="00DD6E36" w:rsidP="000D0F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E36" w:rsidRDefault="00DD6E36" w:rsidP="000D0F49">
      <w:pPr>
        <w:spacing w:after="0" w:line="240" w:lineRule="auto"/>
      </w:pPr>
      <w:r>
        <w:separator/>
      </w:r>
    </w:p>
  </w:footnote>
  <w:footnote w:type="continuationSeparator" w:id="0">
    <w:p w:rsidR="00DD6E36" w:rsidRDefault="00DD6E36" w:rsidP="000D0F49">
      <w:pPr>
        <w:spacing w:after="0" w:line="240" w:lineRule="auto"/>
      </w:pPr>
      <w:r>
        <w:continuationSeparator/>
      </w:r>
    </w:p>
  </w:footnote>
  <w:footnote w:id="1">
    <w:p w:rsidR="000D0F49" w:rsidRDefault="000D0F49">
      <w:pPr>
        <w:pStyle w:val="Textonotapie"/>
      </w:pPr>
      <w:r>
        <w:rPr>
          <w:rStyle w:val="Refdenotaalpie"/>
        </w:rPr>
        <w:footnoteRef/>
      </w:r>
      <w:r>
        <w:t xml:space="preserve"> Disponible en: </w:t>
      </w:r>
      <w:hyperlink r:id="rId1" w:history="1">
        <w:r w:rsidRPr="00524529">
          <w:rPr>
            <w:rStyle w:val="Hipervnculo"/>
          </w:rPr>
          <w:t>http://servicios.infoleg.gob.ar/infolegInternet/verNorma.do?id=347256</w:t>
        </w:r>
      </w:hyperlink>
      <w:r>
        <w:t xml:space="preserve"> </w:t>
      </w:r>
    </w:p>
  </w:footnote>
  <w:footnote w:id="2">
    <w:p w:rsidR="00777EE5" w:rsidRDefault="00777EE5" w:rsidP="00777EE5">
      <w:pPr>
        <w:jc w:val="both"/>
        <w:rPr>
          <w:sz w:val="18"/>
          <w:szCs w:val="18"/>
        </w:rPr>
      </w:pPr>
      <w:r>
        <w:rPr>
          <w:vertAlign w:val="superscript"/>
        </w:rPr>
        <w:footnoteRef/>
      </w:r>
      <w:hyperlink r:id="rId2">
        <w:r>
          <w:rPr>
            <w:color w:val="000000"/>
            <w:sz w:val="18"/>
            <w:szCs w:val="18"/>
            <w:u w:val="single"/>
          </w:rPr>
          <w:t>https://www.infobae.com/sociedad/2020/09/01/las-llamadas-para-denunciar-violencia-de-genero-aumentaron-25-en-la-cuarentena/</w:t>
        </w:r>
      </w:hyperlink>
    </w:p>
    <w:p w:rsidR="00777EE5" w:rsidRDefault="00777EE5" w:rsidP="00777EE5">
      <w:pPr>
        <w:pBdr>
          <w:top w:val="nil"/>
          <w:left w:val="nil"/>
          <w:bottom w:val="nil"/>
          <w:right w:val="nil"/>
          <w:between w:val="nil"/>
        </w:pBdr>
        <w:spacing w:line="240" w:lineRule="auto"/>
        <w:rPr>
          <w:color w:val="000000"/>
          <w:sz w:val="20"/>
          <w:szCs w:val="20"/>
        </w:rPr>
      </w:pPr>
    </w:p>
  </w:footnote>
  <w:footnote w:id="3">
    <w:p w:rsidR="00A4098B" w:rsidRDefault="00A4098B">
      <w:pPr>
        <w:pStyle w:val="Textonotapie"/>
      </w:pPr>
      <w:r>
        <w:rPr>
          <w:rStyle w:val="Refdenotaalpie"/>
        </w:rPr>
        <w:footnoteRef/>
      </w:r>
      <w:r>
        <w:t xml:space="preserve"> Disponible en: </w:t>
      </w:r>
      <w:hyperlink r:id="rId3" w:history="1">
        <w:r w:rsidRPr="00524529">
          <w:rPr>
            <w:rStyle w:val="Hipervnculo"/>
          </w:rPr>
          <w:t>file:///C:/Users/USUARIO/Downloads/res802020mmgyd.pdf</w:t>
        </w:r>
      </w:hyperlink>
      <w:r>
        <w:t xml:space="preserve"> </w:t>
      </w:r>
    </w:p>
  </w:footnote>
  <w:footnote w:id="4">
    <w:p w:rsidR="00AE3B43" w:rsidRDefault="00AE3B43" w:rsidP="00AE3B43">
      <w:pPr>
        <w:pBdr>
          <w:top w:val="nil"/>
          <w:left w:val="nil"/>
          <w:bottom w:val="nil"/>
          <w:right w:val="nil"/>
          <w:between w:val="nil"/>
        </w:pBdr>
        <w:spacing w:line="240" w:lineRule="auto"/>
        <w:rPr>
          <w:color w:val="000000"/>
          <w:sz w:val="20"/>
          <w:szCs w:val="20"/>
        </w:rPr>
      </w:pPr>
      <w:r>
        <w:rPr>
          <w:vertAlign w:val="superscript"/>
        </w:rPr>
        <w:footnoteRef/>
      </w:r>
      <w:r>
        <w:rPr>
          <w:rFonts w:ascii="Arial" w:eastAsia="Arial" w:hAnsi="Arial" w:cs="Arial"/>
          <w:color w:val="000000"/>
          <w:sz w:val="20"/>
          <w:szCs w:val="20"/>
        </w:rPr>
        <w:t xml:space="preserve"> </w:t>
      </w:r>
      <w:hyperlink r:id="rId4">
        <w:r>
          <w:rPr>
            <w:rFonts w:ascii="Arial" w:eastAsia="Arial" w:hAnsi="Arial" w:cs="Arial"/>
            <w:color w:val="000000"/>
            <w:sz w:val="18"/>
            <w:szCs w:val="18"/>
            <w:u w:val="single"/>
          </w:rPr>
          <w:t>https://www.infobae.com/sociedad/2020/09/01/las-llamadas-para-denunciar-violencia-de-genero-aumentaron-25-en-la-cuarentena/</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B7A45"/>
    <w:multiLevelType w:val="hybridMultilevel"/>
    <w:tmpl w:val="F97CD2B8"/>
    <w:lvl w:ilvl="0" w:tplc="7C98367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D955679"/>
    <w:multiLevelType w:val="hybridMultilevel"/>
    <w:tmpl w:val="5854E9C6"/>
    <w:lvl w:ilvl="0" w:tplc="2C0A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025C76"/>
    <w:rsid w:val="000214C6"/>
    <w:rsid w:val="00025C76"/>
    <w:rsid w:val="00043FE5"/>
    <w:rsid w:val="000D0F49"/>
    <w:rsid w:val="000D74AC"/>
    <w:rsid w:val="001B63AA"/>
    <w:rsid w:val="0020516D"/>
    <w:rsid w:val="002531E6"/>
    <w:rsid w:val="002E68B1"/>
    <w:rsid w:val="00393C22"/>
    <w:rsid w:val="003B1B0D"/>
    <w:rsid w:val="003F1744"/>
    <w:rsid w:val="005602C6"/>
    <w:rsid w:val="00676C5A"/>
    <w:rsid w:val="00750CC0"/>
    <w:rsid w:val="00777EE5"/>
    <w:rsid w:val="008E2332"/>
    <w:rsid w:val="008F4E98"/>
    <w:rsid w:val="009772AF"/>
    <w:rsid w:val="009B61EA"/>
    <w:rsid w:val="009D5244"/>
    <w:rsid w:val="00A11F37"/>
    <w:rsid w:val="00A4098B"/>
    <w:rsid w:val="00A8653F"/>
    <w:rsid w:val="00AE3B43"/>
    <w:rsid w:val="00D145B3"/>
    <w:rsid w:val="00D21423"/>
    <w:rsid w:val="00D30E81"/>
    <w:rsid w:val="00D4628E"/>
    <w:rsid w:val="00DD6E36"/>
    <w:rsid w:val="00E42A03"/>
    <w:rsid w:val="00E87644"/>
    <w:rsid w:val="00EB2B16"/>
    <w:rsid w:val="00ED1784"/>
    <w:rsid w:val="00F81CDD"/>
    <w:rsid w:val="00FA0E15"/>
    <w:rsid w:val="00FA2FD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8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5C76"/>
    <w:pPr>
      <w:ind w:left="720"/>
      <w:contextualSpacing/>
    </w:pPr>
  </w:style>
  <w:style w:type="paragraph" w:styleId="Textonotapie">
    <w:name w:val="footnote text"/>
    <w:basedOn w:val="Normal"/>
    <w:link w:val="TextonotapieCar"/>
    <w:uiPriority w:val="99"/>
    <w:semiHidden/>
    <w:unhideWhenUsed/>
    <w:rsid w:val="000D0F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D0F49"/>
    <w:rPr>
      <w:sz w:val="20"/>
      <w:szCs w:val="20"/>
    </w:rPr>
  </w:style>
  <w:style w:type="character" w:styleId="Refdenotaalpie">
    <w:name w:val="footnote reference"/>
    <w:basedOn w:val="Fuentedeprrafopredeter"/>
    <w:uiPriority w:val="99"/>
    <w:semiHidden/>
    <w:unhideWhenUsed/>
    <w:rsid w:val="000D0F49"/>
    <w:rPr>
      <w:vertAlign w:val="superscript"/>
    </w:rPr>
  </w:style>
  <w:style w:type="character" w:styleId="Hipervnculo">
    <w:name w:val="Hyperlink"/>
    <w:basedOn w:val="Fuentedeprrafopredeter"/>
    <w:uiPriority w:val="99"/>
    <w:unhideWhenUsed/>
    <w:rsid w:val="000D0F49"/>
    <w:rPr>
      <w:color w:val="0563C1" w:themeColor="hyperlink"/>
      <w:u w:val="single"/>
    </w:rPr>
  </w:style>
  <w:style w:type="character" w:customStyle="1" w:styleId="UnresolvedMention">
    <w:name w:val="Unresolved Mention"/>
    <w:basedOn w:val="Fuentedeprrafopredeter"/>
    <w:uiPriority w:val="99"/>
    <w:semiHidden/>
    <w:unhideWhenUsed/>
    <w:rsid w:val="000D0F49"/>
    <w:rPr>
      <w:color w:val="605E5C"/>
      <w:shd w:val="clear" w:color="auto" w:fill="E1DFDD"/>
    </w:rPr>
  </w:style>
  <w:style w:type="paragraph" w:styleId="Encabezado">
    <w:name w:val="header"/>
    <w:basedOn w:val="Normal"/>
    <w:link w:val="EncabezadoCar"/>
    <w:uiPriority w:val="99"/>
    <w:unhideWhenUsed/>
    <w:rsid w:val="00A865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653F"/>
  </w:style>
  <w:style w:type="paragraph" w:styleId="Piedepgina">
    <w:name w:val="footer"/>
    <w:basedOn w:val="Normal"/>
    <w:link w:val="PiedepginaCar"/>
    <w:uiPriority w:val="99"/>
    <w:unhideWhenUsed/>
    <w:rsid w:val="00A865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653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file:///C:/Users/USUARIO/Downloads/res802020mmgyd.pdf" TargetMode="External"/><Relationship Id="rId2" Type="http://schemas.openxmlformats.org/officeDocument/2006/relationships/hyperlink" Target="https://www.infobae.com/sociedad/2020/09/01/las-llamadas-para-denunciar-violencia-de-genero-aumentaron-25-en-la-cuarentena/" TargetMode="External"/><Relationship Id="rId1" Type="http://schemas.openxmlformats.org/officeDocument/2006/relationships/hyperlink" Target="http://servicios.infoleg.gob.ar/infolegInternet/verNorma.do?id=347256" TargetMode="External"/><Relationship Id="rId4" Type="http://schemas.openxmlformats.org/officeDocument/2006/relationships/hyperlink" Target="https://www.infobae.com/sociedad/2020/09/01/las-llamadas-para-denunciar-violencia-de-genero-aumentaron-25-en-la-cuarente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E8BBE4-1A98-42F1-8486-62B26948E28B}">
  <ds:schemaRefs>
    <ds:schemaRef ds:uri="http://schemas.openxmlformats.org/officeDocument/2006/bibliography"/>
  </ds:schemaRefs>
</ds:datastoreItem>
</file>

<file path=customXml/itemProps2.xml><?xml version="1.0" encoding="utf-8"?>
<ds:datastoreItem xmlns:ds="http://schemas.openxmlformats.org/officeDocument/2006/customXml" ds:itemID="{7C6C2966-25E6-4277-B50D-7B7C64594C97}"/>
</file>

<file path=customXml/itemProps3.xml><?xml version="1.0" encoding="utf-8"?>
<ds:datastoreItem xmlns:ds="http://schemas.openxmlformats.org/officeDocument/2006/customXml" ds:itemID="{979516DD-6E8F-4AB5-BDF7-A9C510D1CF80}"/>
</file>

<file path=customXml/itemProps4.xml><?xml version="1.0" encoding="utf-8"?>
<ds:datastoreItem xmlns:ds="http://schemas.openxmlformats.org/officeDocument/2006/customXml" ds:itemID="{3209BBB9-BBAB-4A86-AF3B-DDD443F7EF67}"/>
</file>

<file path=docProps/app.xml><?xml version="1.0" encoding="utf-8"?>
<Properties xmlns="http://schemas.openxmlformats.org/officeDocument/2006/extended-properties" xmlns:vt="http://schemas.openxmlformats.org/officeDocument/2006/docPropsVTypes">
  <Template>Normal.dotm</Template>
  <TotalTime>0</TotalTime>
  <Pages>18</Pages>
  <Words>2532</Words>
  <Characters>13932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GARCIA GONZALEZ</dc:creator>
  <cp:lastModifiedBy>jbockel</cp:lastModifiedBy>
  <cp:revision>2</cp:revision>
  <dcterms:created xsi:type="dcterms:W3CDTF">2021-05-01T02:04:00Z</dcterms:created>
  <dcterms:modified xsi:type="dcterms:W3CDTF">2021-05-01T02:04:00Z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