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E8C86" w14:textId="59D65DF7" w:rsidR="0075354E" w:rsidRPr="00BF5CF7" w:rsidRDefault="0075354E" w:rsidP="00387232">
      <w:pPr>
        <w:autoSpaceDE w:val="0"/>
        <w:autoSpaceDN w:val="0"/>
        <w:adjustRightInd w:val="0"/>
        <w:spacing w:after="0" w:line="240" w:lineRule="auto"/>
        <w:jc w:val="both"/>
        <w:rPr>
          <w:rFonts w:ascii="Times New Roman" w:hAnsi="Times New Roman" w:cs="Times New Roman"/>
          <w:b/>
          <w:bCs/>
        </w:rPr>
      </w:pPr>
      <w:r w:rsidRPr="00BF5CF7">
        <w:rPr>
          <w:rFonts w:ascii="Times New Roman" w:hAnsi="Times New Roman" w:cs="Times New Roman"/>
          <w:b/>
          <w:bCs/>
        </w:rPr>
        <w:t xml:space="preserve">The Center for Reproductive Rights (the Center)—an international nonprofit legal advocacy organization headquartered in New York City, with regional offices in Nairobi, Bogotá, Geneva, and Washington, D.C.—uses the law to advance reproductive freedom as a fundamental human right that all governments are legally obligated to respect, protect, and fulfill. Since its inception 27 years ago, the Center has advocated for the realization of women and girls’ human rights on a broad range of issues, including on the right to access sexual and reproductive health services free from coercion, discrimination and violence; on the right to bodily autonomy; preventing and addressing sexual violence;  and the eradication of harmful traditional practices. </w:t>
      </w:r>
    </w:p>
    <w:p w14:paraId="3D53BB0F" w14:textId="3E199542" w:rsidR="006F521F" w:rsidRPr="00BF5CF7" w:rsidRDefault="006F521F" w:rsidP="00387232">
      <w:pPr>
        <w:autoSpaceDE w:val="0"/>
        <w:autoSpaceDN w:val="0"/>
        <w:adjustRightInd w:val="0"/>
        <w:spacing w:after="0" w:line="240" w:lineRule="auto"/>
        <w:jc w:val="both"/>
        <w:rPr>
          <w:rFonts w:ascii="Times New Roman" w:hAnsi="Times New Roman" w:cs="Times New Roman"/>
          <w:lang w:val="en-US"/>
        </w:rPr>
      </w:pPr>
    </w:p>
    <w:p w14:paraId="4152D707" w14:textId="14DD2541" w:rsidR="00027A0D" w:rsidRDefault="009B3896" w:rsidP="00620979">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We are pleased to present this submission to the Special Rapporteur on violence against women, its causes and consequences, for her report on obligations of States to criminalize rape as a </w:t>
      </w:r>
      <w:r w:rsidR="00A871F9">
        <w:rPr>
          <w:rFonts w:ascii="Times New Roman" w:hAnsi="Times New Roman" w:cs="Times New Roman"/>
          <w:lang w:val="en-US"/>
        </w:rPr>
        <w:t>grave and systematic human rights violation and a form of gender-based violence against women.</w:t>
      </w:r>
      <w:r w:rsidR="00620979">
        <w:rPr>
          <w:rFonts w:ascii="Times New Roman" w:hAnsi="Times New Roman" w:cs="Times New Roman"/>
          <w:lang w:val="en-US"/>
        </w:rPr>
        <w:t xml:space="preserve"> The Center urges that the report of the Special Rapporteur </w:t>
      </w:r>
      <w:r w:rsidR="00036DF4">
        <w:rPr>
          <w:rFonts w:ascii="Times New Roman" w:hAnsi="Times New Roman" w:cs="Times New Roman"/>
          <w:lang w:val="en-US"/>
        </w:rPr>
        <w:t xml:space="preserve">include </w:t>
      </w:r>
      <w:r w:rsidR="00546CD6">
        <w:rPr>
          <w:rFonts w:ascii="Times New Roman" w:hAnsi="Times New Roman" w:cs="Times New Roman"/>
          <w:lang w:val="en-US"/>
        </w:rPr>
        <w:t xml:space="preserve">sexual and reproductive rights </w:t>
      </w:r>
      <w:r w:rsidR="00620979">
        <w:rPr>
          <w:rFonts w:ascii="Times New Roman" w:hAnsi="Times New Roman" w:cs="Times New Roman"/>
          <w:lang w:val="en-US"/>
        </w:rPr>
        <w:t xml:space="preserve">as an </w:t>
      </w:r>
      <w:r w:rsidR="00620979" w:rsidRPr="009A0E63">
        <w:rPr>
          <w:rFonts w:ascii="Times New Roman" w:hAnsi="Times New Roman" w:cs="Times New Roman"/>
          <w:lang w:val="en-US"/>
        </w:rPr>
        <w:t>integral part of state obligations to address rape and other forms of sexual and gender</w:t>
      </w:r>
      <w:r w:rsidR="009E4A00" w:rsidRPr="009A0E63">
        <w:rPr>
          <w:rFonts w:ascii="Times New Roman" w:hAnsi="Times New Roman" w:cs="Times New Roman"/>
          <w:lang w:val="en-US"/>
        </w:rPr>
        <w:t>-</w:t>
      </w:r>
      <w:r w:rsidR="00620979" w:rsidRPr="009A0E63">
        <w:rPr>
          <w:rFonts w:ascii="Times New Roman" w:hAnsi="Times New Roman" w:cs="Times New Roman"/>
          <w:lang w:val="en-US"/>
        </w:rPr>
        <w:t xml:space="preserve">based violence. </w:t>
      </w:r>
      <w:r w:rsidR="00036DF4" w:rsidRPr="009A0E63">
        <w:rPr>
          <w:rFonts w:ascii="Times New Roman" w:hAnsi="Times New Roman" w:cs="Times New Roman"/>
          <w:lang w:val="en-US"/>
        </w:rPr>
        <w:t xml:space="preserve"> </w:t>
      </w:r>
      <w:r w:rsidR="00325811" w:rsidRPr="009A0E63">
        <w:rPr>
          <w:rFonts w:ascii="Times New Roman" w:hAnsi="Times New Roman" w:cs="Times New Roman"/>
          <w:lang w:val="en-US"/>
        </w:rPr>
        <w:t xml:space="preserve"> </w:t>
      </w:r>
      <w:r w:rsidR="0004022E" w:rsidRPr="009A0E63">
        <w:rPr>
          <w:rFonts w:ascii="Times New Roman" w:hAnsi="Times New Roman" w:cs="Times New Roman"/>
          <w:lang w:val="en-US"/>
        </w:rPr>
        <w:t>A</w:t>
      </w:r>
      <w:r w:rsidR="00030CD2" w:rsidRPr="009A0E63">
        <w:rPr>
          <w:rFonts w:ascii="Times New Roman" w:hAnsi="Times New Roman" w:cs="Times New Roman"/>
          <w:lang w:val="en-US"/>
        </w:rPr>
        <w:t xml:space="preserve">s </w:t>
      </w:r>
      <w:r w:rsidR="0004022E" w:rsidRPr="009A0E63">
        <w:rPr>
          <w:rFonts w:ascii="Times New Roman" w:hAnsi="Times New Roman" w:cs="Times New Roman"/>
          <w:lang w:val="en-US"/>
        </w:rPr>
        <w:t>recognized</w:t>
      </w:r>
      <w:r w:rsidR="00030CD2" w:rsidRPr="009A0E63">
        <w:rPr>
          <w:rFonts w:ascii="Times New Roman" w:hAnsi="Times New Roman" w:cs="Times New Roman"/>
          <w:lang w:val="en-US"/>
        </w:rPr>
        <w:t xml:space="preserve"> by WHO, </w:t>
      </w:r>
      <w:r w:rsidR="004B2913" w:rsidRPr="009A0E63">
        <w:rPr>
          <w:rFonts w:ascii="Times New Roman" w:hAnsi="Times New Roman" w:cs="Times New Roman"/>
          <w:lang w:val="en-US"/>
        </w:rPr>
        <w:t>‘</w:t>
      </w:r>
      <w:r w:rsidR="00030CD2" w:rsidRPr="00BF5CF7">
        <w:rPr>
          <w:rFonts w:ascii="Times New Roman" w:hAnsi="Times New Roman" w:cs="Times New Roman"/>
          <w:lang w:val="en-US"/>
        </w:rPr>
        <w:t>s</w:t>
      </w:r>
      <w:r w:rsidR="00030CD2" w:rsidRPr="00BF5CF7">
        <w:rPr>
          <w:rFonts w:ascii="Times New Roman" w:hAnsi="Times New Roman" w:cs="Times New Roman"/>
        </w:rPr>
        <w:t>exual violence has a profound impact on physical and mental health. As well as causing physical injury, it is associated with an increased risk of a range of sexual and reproductive health problems, with both immediate and long-term consequences</w:t>
      </w:r>
      <w:r w:rsidR="0004022E" w:rsidRPr="00BF5CF7">
        <w:rPr>
          <w:rFonts w:ascii="Times New Roman" w:hAnsi="Times New Roman" w:cs="Times New Roman"/>
          <w:lang w:val="en-US"/>
        </w:rPr>
        <w:t>.</w:t>
      </w:r>
      <w:r w:rsidR="004B2913" w:rsidRPr="00BF5CF7">
        <w:rPr>
          <w:rFonts w:ascii="Times New Roman" w:hAnsi="Times New Roman" w:cs="Times New Roman"/>
          <w:lang w:val="en-US"/>
        </w:rPr>
        <w:t>’</w:t>
      </w:r>
      <w:r w:rsidR="007B2EC8" w:rsidRPr="00BF5CF7">
        <w:rPr>
          <w:rStyle w:val="EndnoteReference"/>
          <w:rFonts w:ascii="Times New Roman" w:hAnsi="Times New Roman" w:cs="Times New Roman"/>
          <w:lang w:val="en-US"/>
        </w:rPr>
        <w:endnoteReference w:id="1"/>
      </w:r>
      <w:r w:rsidR="00956C59" w:rsidRPr="00BF5CF7">
        <w:rPr>
          <w:rFonts w:ascii="Times New Roman" w:hAnsi="Times New Roman" w:cs="Times New Roman"/>
          <w:lang w:val="en-US"/>
        </w:rPr>
        <w:t xml:space="preserve"> </w:t>
      </w:r>
    </w:p>
    <w:p w14:paraId="59921F80" w14:textId="77777777" w:rsidR="00027A0D" w:rsidRDefault="00027A0D" w:rsidP="00620979">
      <w:pPr>
        <w:autoSpaceDE w:val="0"/>
        <w:autoSpaceDN w:val="0"/>
        <w:adjustRightInd w:val="0"/>
        <w:spacing w:after="0" w:line="240" w:lineRule="auto"/>
        <w:jc w:val="both"/>
        <w:rPr>
          <w:rFonts w:ascii="Times New Roman" w:hAnsi="Times New Roman" w:cs="Times New Roman"/>
          <w:lang w:val="en-US"/>
        </w:rPr>
      </w:pPr>
    </w:p>
    <w:p w14:paraId="685B3C5D" w14:textId="14D72E36" w:rsidR="00030CD2" w:rsidRPr="004D503F" w:rsidRDefault="00956C59" w:rsidP="00620979">
      <w:pPr>
        <w:autoSpaceDE w:val="0"/>
        <w:autoSpaceDN w:val="0"/>
        <w:adjustRightInd w:val="0"/>
        <w:spacing w:after="0" w:line="240" w:lineRule="auto"/>
        <w:jc w:val="both"/>
        <w:rPr>
          <w:rFonts w:ascii="Times New Roman" w:hAnsi="Times New Roman" w:cs="Times New Roman"/>
          <w:lang w:val="en-US"/>
        </w:rPr>
      </w:pPr>
      <w:r w:rsidRPr="009A0E63">
        <w:rPr>
          <w:rFonts w:ascii="Times New Roman" w:hAnsi="Times New Roman" w:cs="Times New Roman"/>
          <w:lang w:val="en-US"/>
        </w:rPr>
        <w:t>A</w:t>
      </w:r>
      <w:r w:rsidRPr="00027A0D">
        <w:rPr>
          <w:rFonts w:ascii="Times New Roman" w:hAnsi="Times New Roman" w:cs="Times New Roman"/>
          <w:lang w:val="en-US"/>
        </w:rPr>
        <w:t xml:space="preserve">n effective approach to the criminalization of rape requires the need </w:t>
      </w:r>
      <w:r w:rsidRPr="00616A64">
        <w:rPr>
          <w:rFonts w:ascii="Times New Roman" w:hAnsi="Times New Roman" w:cs="Times New Roman"/>
          <w:lang w:val="en-US"/>
        </w:rPr>
        <w:t>to address legal, policy and practice barriers</w:t>
      </w:r>
      <w:r w:rsidR="00B52D53">
        <w:rPr>
          <w:rFonts w:ascii="Times New Roman" w:hAnsi="Times New Roman" w:cs="Times New Roman"/>
          <w:lang w:val="en-US"/>
        </w:rPr>
        <w:t xml:space="preserve"> </w:t>
      </w:r>
      <w:r w:rsidRPr="00616A64">
        <w:rPr>
          <w:rFonts w:ascii="Times New Roman" w:hAnsi="Times New Roman" w:cs="Times New Roman"/>
          <w:lang w:val="en-US"/>
        </w:rPr>
        <w:t>that hinder the realization of sexual and reproductive health and rights</w:t>
      </w:r>
      <w:r w:rsidR="0079601D" w:rsidRPr="00616A64">
        <w:rPr>
          <w:rFonts w:ascii="Times New Roman" w:hAnsi="Times New Roman" w:cs="Times New Roman"/>
          <w:lang w:val="en-US"/>
        </w:rPr>
        <w:t xml:space="preserve"> </w:t>
      </w:r>
      <w:r w:rsidR="00616A64">
        <w:rPr>
          <w:rFonts w:ascii="Times New Roman" w:hAnsi="Times New Roman" w:cs="Times New Roman"/>
          <w:lang w:val="en-US"/>
        </w:rPr>
        <w:t xml:space="preserve">for </w:t>
      </w:r>
      <w:r w:rsidRPr="00616A64">
        <w:rPr>
          <w:rFonts w:ascii="Times New Roman" w:hAnsi="Times New Roman" w:cs="Times New Roman"/>
          <w:lang w:val="en-US"/>
        </w:rPr>
        <w:t>survivors of rape</w:t>
      </w:r>
      <w:r w:rsidR="0079601D" w:rsidRPr="00616A64">
        <w:rPr>
          <w:rFonts w:ascii="Times New Roman" w:hAnsi="Times New Roman" w:cs="Times New Roman"/>
          <w:lang w:val="en-US"/>
        </w:rPr>
        <w:t xml:space="preserve"> and other gender</w:t>
      </w:r>
      <w:r w:rsidR="00027A0D">
        <w:rPr>
          <w:rFonts w:ascii="Times New Roman" w:hAnsi="Times New Roman" w:cs="Times New Roman"/>
          <w:lang w:val="en-US"/>
        </w:rPr>
        <w:t>-</w:t>
      </w:r>
      <w:r w:rsidR="0079601D" w:rsidRPr="00027A0D">
        <w:rPr>
          <w:rFonts w:ascii="Times New Roman" w:hAnsi="Times New Roman" w:cs="Times New Roman"/>
          <w:lang w:val="en-US"/>
        </w:rPr>
        <w:t>based violence.</w:t>
      </w:r>
      <w:r w:rsidR="004D503F">
        <w:rPr>
          <w:rFonts w:ascii="Times New Roman" w:hAnsi="Times New Roman" w:cs="Times New Roman"/>
          <w:lang w:val="en-US"/>
        </w:rPr>
        <w:t xml:space="preserve"> </w:t>
      </w:r>
    </w:p>
    <w:p w14:paraId="29B23515" w14:textId="77777777" w:rsidR="006F521F" w:rsidRDefault="006F521F" w:rsidP="00387232">
      <w:pPr>
        <w:autoSpaceDE w:val="0"/>
        <w:autoSpaceDN w:val="0"/>
        <w:adjustRightInd w:val="0"/>
        <w:spacing w:after="0" w:line="240" w:lineRule="auto"/>
        <w:jc w:val="both"/>
        <w:rPr>
          <w:rFonts w:ascii="Times New Roman" w:hAnsi="Times New Roman" w:cs="Times New Roman"/>
          <w:lang w:val="en-US"/>
        </w:rPr>
      </w:pPr>
    </w:p>
    <w:p w14:paraId="7C774461" w14:textId="5F4D0E72" w:rsidR="00A871F9" w:rsidRPr="00A871F9" w:rsidRDefault="00A871F9" w:rsidP="00387232">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This submission will look </w:t>
      </w:r>
      <w:r w:rsidR="000248B1">
        <w:rPr>
          <w:rFonts w:ascii="Times New Roman" w:hAnsi="Times New Roman" w:cs="Times New Roman"/>
          <w:lang w:val="en-US"/>
        </w:rPr>
        <w:t xml:space="preserve">briefly </w:t>
      </w:r>
      <w:r>
        <w:rPr>
          <w:rFonts w:ascii="Times New Roman" w:hAnsi="Times New Roman" w:cs="Times New Roman"/>
          <w:lang w:val="en-US"/>
        </w:rPr>
        <w:t xml:space="preserve">at the legal frameworks on </w:t>
      </w:r>
      <w:r w:rsidRPr="00A871F9">
        <w:rPr>
          <w:rFonts w:ascii="Times New Roman" w:hAnsi="Times New Roman" w:cs="Times New Roman"/>
          <w:lang w:val="en-US"/>
        </w:rPr>
        <w:t xml:space="preserve">rape </w:t>
      </w:r>
      <w:r w:rsidRPr="00A871F9">
        <w:rPr>
          <w:rFonts w:ascii="Times New Roman" w:hAnsi="Times New Roman" w:cs="Times New Roman"/>
        </w:rPr>
        <w:t>as a human rights violation and a form of gender-based violence against women</w:t>
      </w:r>
      <w:r w:rsidR="00B94A7A" w:rsidRPr="00BF5CF7">
        <w:rPr>
          <w:rFonts w:ascii="Times New Roman" w:hAnsi="Times New Roman" w:cs="Times New Roman"/>
          <w:lang w:val="en-US"/>
        </w:rPr>
        <w:t>.</w:t>
      </w:r>
      <w:r w:rsidR="00B94A7A">
        <w:rPr>
          <w:rFonts w:ascii="Times New Roman" w:hAnsi="Times New Roman" w:cs="Times New Roman"/>
          <w:lang w:val="en-US"/>
        </w:rPr>
        <w:t xml:space="preserve">  It will then look more deeply into the issue of</w:t>
      </w:r>
      <w:r w:rsidR="00314DED">
        <w:rPr>
          <w:rFonts w:ascii="Times New Roman" w:hAnsi="Times New Roman" w:cs="Times New Roman"/>
          <w:lang w:val="en-US"/>
        </w:rPr>
        <w:t xml:space="preserve"> state obligations to ensure access </w:t>
      </w:r>
      <w:r w:rsidR="00BF5CF7">
        <w:rPr>
          <w:rFonts w:ascii="Times New Roman" w:hAnsi="Times New Roman" w:cs="Times New Roman"/>
          <w:lang w:val="en-US"/>
        </w:rPr>
        <w:t>to the</w:t>
      </w:r>
      <w:r w:rsidR="00314DED">
        <w:rPr>
          <w:rFonts w:ascii="Times New Roman" w:hAnsi="Times New Roman" w:cs="Times New Roman"/>
          <w:lang w:val="en-US"/>
        </w:rPr>
        <w:t xml:space="preserve"> range of </w:t>
      </w:r>
      <w:r w:rsidRPr="00A871F9">
        <w:rPr>
          <w:rFonts w:ascii="Times New Roman" w:hAnsi="Times New Roman" w:cs="Times New Roman"/>
          <w:lang w:val="en-US"/>
        </w:rPr>
        <w:t>sexual and reproductive health information and services</w:t>
      </w:r>
      <w:r w:rsidR="00813F87">
        <w:rPr>
          <w:rFonts w:ascii="Times New Roman" w:hAnsi="Times New Roman" w:cs="Times New Roman"/>
          <w:lang w:val="en-US"/>
        </w:rPr>
        <w:t xml:space="preserve"> for victims and survivors of rape and sexual and gender-based violence. The submission will then look more closely at the issue of rape and conflict</w:t>
      </w:r>
      <w:r w:rsidR="00B94A7A">
        <w:rPr>
          <w:rFonts w:ascii="Times New Roman" w:hAnsi="Times New Roman" w:cs="Times New Roman"/>
          <w:lang w:val="en-US"/>
        </w:rPr>
        <w:t>-</w:t>
      </w:r>
      <w:r w:rsidR="00813F87">
        <w:rPr>
          <w:rFonts w:ascii="Times New Roman" w:hAnsi="Times New Roman" w:cs="Times New Roman"/>
          <w:lang w:val="en-US"/>
        </w:rPr>
        <w:t>re</w:t>
      </w:r>
      <w:r w:rsidR="00072A49">
        <w:rPr>
          <w:rFonts w:ascii="Times New Roman" w:hAnsi="Times New Roman" w:cs="Times New Roman"/>
          <w:lang w:val="en-US"/>
        </w:rPr>
        <w:t xml:space="preserve">lated sexual violence and provision of sexual and reproductive health information and services in humanitarian </w:t>
      </w:r>
      <w:r w:rsidR="006F521F">
        <w:rPr>
          <w:rFonts w:ascii="Times New Roman" w:hAnsi="Times New Roman" w:cs="Times New Roman"/>
          <w:lang w:val="en-US"/>
        </w:rPr>
        <w:t>settings and</w:t>
      </w:r>
      <w:r w:rsidR="00072A49">
        <w:rPr>
          <w:rFonts w:ascii="Times New Roman" w:hAnsi="Times New Roman" w:cs="Times New Roman"/>
          <w:lang w:val="en-US"/>
        </w:rPr>
        <w:t xml:space="preserve"> study the issue of accountability in these settings for violations. </w:t>
      </w:r>
      <w:r w:rsidR="00B33671">
        <w:rPr>
          <w:rFonts w:ascii="Times New Roman" w:hAnsi="Times New Roman" w:cs="Times New Roman"/>
          <w:lang w:val="en-US"/>
        </w:rPr>
        <w:t>The submission will also briefly look at the impact of the COVID-19 pandemic on women’s and girls’ access to sexual and reproductive health information and services and will then look at some regiona</w:t>
      </w:r>
      <w:r w:rsidR="006F521F">
        <w:rPr>
          <w:rFonts w:ascii="Times New Roman" w:hAnsi="Times New Roman" w:cs="Times New Roman"/>
          <w:lang w:val="en-US"/>
        </w:rPr>
        <w:t xml:space="preserve">l examples before making some recommendations. </w:t>
      </w:r>
      <w:r w:rsidR="005C7AD8">
        <w:rPr>
          <w:rFonts w:ascii="Times New Roman" w:hAnsi="Times New Roman" w:cs="Times New Roman"/>
          <w:lang w:val="en-US"/>
        </w:rPr>
        <w:t xml:space="preserve"> </w:t>
      </w:r>
    </w:p>
    <w:p w14:paraId="139CEA8B" w14:textId="1F2F6036" w:rsidR="0075354E" w:rsidRPr="00387232" w:rsidRDefault="0075354E" w:rsidP="00387232">
      <w:pPr>
        <w:jc w:val="both"/>
        <w:rPr>
          <w:rFonts w:ascii="Times New Roman" w:eastAsia="Times New Roman" w:hAnsi="Times New Roman" w:cs="Times New Roman"/>
        </w:rPr>
      </w:pPr>
    </w:p>
    <w:p w14:paraId="468AC6C6" w14:textId="3D8DF2F4" w:rsidR="00CB23BD" w:rsidRPr="00387232" w:rsidRDefault="00446787" w:rsidP="00387232">
      <w:pPr>
        <w:pStyle w:val="ListParagraph"/>
        <w:numPr>
          <w:ilvl w:val="0"/>
          <w:numId w:val="22"/>
        </w:numPr>
        <w:jc w:val="both"/>
        <w:rPr>
          <w:rFonts w:ascii="Times New Roman" w:hAnsi="Times New Roman" w:cs="Times New Roman"/>
          <w:b/>
          <w:bCs/>
          <w:u w:val="single"/>
        </w:rPr>
      </w:pPr>
      <w:r w:rsidRPr="00387232">
        <w:rPr>
          <w:rFonts w:ascii="Times New Roman" w:hAnsi="Times New Roman" w:cs="Times New Roman"/>
          <w:b/>
          <w:bCs/>
          <w:u w:val="single"/>
          <w:lang w:val="en-US"/>
        </w:rPr>
        <w:t>Legal Framework: r</w:t>
      </w:r>
      <w:r w:rsidR="00E405C2" w:rsidRPr="00387232">
        <w:rPr>
          <w:rFonts w:ascii="Times New Roman" w:hAnsi="Times New Roman" w:cs="Times New Roman"/>
          <w:b/>
          <w:bCs/>
          <w:u w:val="single"/>
        </w:rPr>
        <w:t xml:space="preserve">ape as </w:t>
      </w:r>
      <w:r w:rsidR="000E3EF1" w:rsidRPr="00387232">
        <w:rPr>
          <w:rFonts w:ascii="Times New Roman" w:hAnsi="Times New Roman" w:cs="Times New Roman"/>
          <w:b/>
          <w:bCs/>
          <w:u w:val="single"/>
        </w:rPr>
        <w:t>a human rights violation and a form of gender-based violence against women</w:t>
      </w:r>
      <w:r w:rsidRPr="00387232">
        <w:rPr>
          <w:rFonts w:ascii="Times New Roman" w:hAnsi="Times New Roman" w:cs="Times New Roman"/>
          <w:b/>
          <w:bCs/>
          <w:u w:val="single"/>
          <w:lang w:val="en-US"/>
        </w:rPr>
        <w:t xml:space="preserve"> and provision of sexual and reproductive health information and services</w:t>
      </w:r>
    </w:p>
    <w:p w14:paraId="2E005B06" w14:textId="77777777" w:rsidR="00C3319A" w:rsidRPr="00387232" w:rsidRDefault="00C3319A" w:rsidP="00387232">
      <w:pPr>
        <w:pStyle w:val="ListParagraph"/>
        <w:jc w:val="both"/>
        <w:rPr>
          <w:rFonts w:ascii="Times New Roman" w:hAnsi="Times New Roman" w:cs="Times New Roman"/>
          <w:b/>
          <w:bCs/>
          <w:u w:val="single"/>
        </w:rPr>
      </w:pPr>
    </w:p>
    <w:p w14:paraId="778ACBC2" w14:textId="7CE96703" w:rsidR="006E6B9C" w:rsidRPr="00387232" w:rsidRDefault="00C3319A" w:rsidP="00387232">
      <w:pPr>
        <w:pStyle w:val="ListParagraph"/>
        <w:numPr>
          <w:ilvl w:val="1"/>
          <w:numId w:val="22"/>
        </w:numPr>
        <w:jc w:val="both"/>
        <w:rPr>
          <w:rFonts w:ascii="Times New Roman" w:hAnsi="Times New Roman" w:cs="Times New Roman"/>
          <w:b/>
          <w:bCs/>
          <w:u w:val="single"/>
        </w:rPr>
      </w:pPr>
      <w:r w:rsidRPr="00387232">
        <w:rPr>
          <w:rFonts w:ascii="Times New Roman" w:hAnsi="Times New Roman" w:cs="Times New Roman"/>
          <w:b/>
          <w:bCs/>
          <w:u w:val="single"/>
          <w:lang w:val="en-US"/>
        </w:rPr>
        <w:t xml:space="preserve">Rape and sexual violence as a </w:t>
      </w:r>
      <w:r w:rsidRPr="00387232">
        <w:rPr>
          <w:rFonts w:ascii="Times New Roman" w:hAnsi="Times New Roman" w:cs="Times New Roman"/>
          <w:b/>
          <w:bCs/>
          <w:u w:val="single"/>
        </w:rPr>
        <w:t>human rights violation and a form of gender-based violence against women</w:t>
      </w:r>
    </w:p>
    <w:p w14:paraId="69668D4A" w14:textId="77777777" w:rsidR="00D20EC2" w:rsidRPr="00387232" w:rsidRDefault="00D20EC2" w:rsidP="00387232">
      <w:pPr>
        <w:pStyle w:val="ListParagraph"/>
        <w:ind w:left="0"/>
        <w:jc w:val="both"/>
        <w:rPr>
          <w:rFonts w:ascii="Times New Roman" w:hAnsi="Times New Roman" w:cs="Times New Roman"/>
          <w:u w:val="single"/>
        </w:rPr>
      </w:pPr>
    </w:p>
    <w:p w14:paraId="05785CCE" w14:textId="5A88B9D6" w:rsidR="000E3EF1" w:rsidRPr="00387232" w:rsidRDefault="00777416" w:rsidP="00387232">
      <w:pPr>
        <w:pStyle w:val="ListParagraph"/>
        <w:ind w:left="0"/>
        <w:jc w:val="both"/>
        <w:rPr>
          <w:rFonts w:ascii="Times New Roman" w:hAnsi="Times New Roman" w:cs="Times New Roman"/>
          <w:lang w:val="en-US"/>
        </w:rPr>
      </w:pPr>
      <w:r w:rsidRPr="00387232">
        <w:rPr>
          <w:rFonts w:ascii="Times New Roman" w:hAnsi="Times New Roman" w:cs="Times New Roman"/>
          <w:lang w:val="en-US"/>
        </w:rPr>
        <w:t xml:space="preserve">The Committee on the Elimination of Discrimination Against Women (CEDAW Committee) has stated in its General Recommendation 35 on </w:t>
      </w:r>
      <w:r w:rsidR="00640485" w:rsidRPr="00387232">
        <w:rPr>
          <w:rFonts w:ascii="Times New Roman" w:hAnsi="Times New Roman" w:cs="Times New Roman"/>
          <w:lang w:val="en-US"/>
        </w:rPr>
        <w:t>gender-based violence against women that ‘</w:t>
      </w:r>
      <w:r w:rsidR="00640485" w:rsidRPr="00387232">
        <w:rPr>
          <w:rFonts w:ascii="Times New Roman" w:hAnsi="Times New Roman" w:cs="Times New Roman"/>
          <w:i/>
          <w:iCs/>
          <w:lang w:val="en-US"/>
        </w:rPr>
        <w:t>t</w:t>
      </w:r>
      <w:r w:rsidR="00E84EAB" w:rsidRPr="00387232">
        <w:rPr>
          <w:rFonts w:ascii="Times New Roman" w:hAnsi="Times New Roman" w:cs="Times New Roman"/>
          <w:i/>
          <w:iCs/>
        </w:rPr>
        <w:t>he opinio juris</w:t>
      </w:r>
      <w:r w:rsidR="00E84EAB" w:rsidRPr="00387232">
        <w:rPr>
          <w:rFonts w:ascii="Times New Roman" w:hAnsi="Times New Roman" w:cs="Times New Roman"/>
          <w:i/>
          <w:iCs/>
          <w:lang w:val="en-US"/>
        </w:rPr>
        <w:t xml:space="preserve"> </w:t>
      </w:r>
      <w:r w:rsidR="00E84EAB" w:rsidRPr="00387232">
        <w:rPr>
          <w:rFonts w:ascii="Times New Roman" w:hAnsi="Times New Roman" w:cs="Times New Roman"/>
          <w:i/>
          <w:iCs/>
        </w:rPr>
        <w:t>and State practice suggest that the prohibition of gender-based violence against women has evolved into a principle of customary international la</w:t>
      </w:r>
      <w:r w:rsidR="005D04AD">
        <w:rPr>
          <w:rFonts w:ascii="Times New Roman" w:hAnsi="Times New Roman" w:cs="Times New Roman"/>
          <w:i/>
          <w:iCs/>
          <w:lang w:val="en-US"/>
        </w:rPr>
        <w:t>w</w:t>
      </w:r>
      <w:r w:rsidR="005D04AD">
        <w:rPr>
          <w:rStyle w:val="EndnoteReference"/>
          <w:rFonts w:ascii="Times New Roman" w:hAnsi="Times New Roman" w:cs="Times New Roman"/>
          <w:i/>
          <w:iCs/>
          <w:lang w:val="en-US"/>
        </w:rPr>
        <w:endnoteReference w:id="2"/>
      </w:r>
      <w:r w:rsidR="00640485" w:rsidRPr="00387232">
        <w:rPr>
          <w:rFonts w:ascii="Times New Roman" w:hAnsi="Times New Roman" w:cs="Times New Roman"/>
          <w:lang w:val="en-US"/>
        </w:rPr>
        <w:t>’</w:t>
      </w:r>
      <w:r w:rsidR="005D3626" w:rsidRPr="00387232">
        <w:rPr>
          <w:rFonts w:ascii="Times New Roman" w:hAnsi="Times New Roman" w:cs="Times New Roman"/>
          <w:lang w:val="en-US"/>
        </w:rPr>
        <w:t xml:space="preserve"> thereby </w:t>
      </w:r>
      <w:r w:rsidR="008F412E" w:rsidRPr="00387232">
        <w:rPr>
          <w:rFonts w:ascii="Times New Roman" w:hAnsi="Times New Roman" w:cs="Times New Roman"/>
          <w:lang w:val="en-US"/>
        </w:rPr>
        <w:t xml:space="preserve">strengthening </w:t>
      </w:r>
      <w:r w:rsidR="00F23E87" w:rsidRPr="00387232">
        <w:rPr>
          <w:rFonts w:ascii="Times New Roman" w:hAnsi="Times New Roman" w:cs="Times New Roman"/>
          <w:lang w:val="en-US"/>
        </w:rPr>
        <w:t xml:space="preserve">the legal obligation of States to prohibit and criminalize it as a grave human rights violation. </w:t>
      </w:r>
    </w:p>
    <w:p w14:paraId="5051BC43" w14:textId="6AB03532" w:rsidR="00D7383C" w:rsidRPr="00387232" w:rsidRDefault="00D7383C" w:rsidP="00387232">
      <w:pPr>
        <w:pStyle w:val="ListParagraph"/>
        <w:ind w:left="0"/>
        <w:jc w:val="both"/>
        <w:rPr>
          <w:rFonts w:ascii="Times New Roman" w:hAnsi="Times New Roman" w:cs="Times New Roman"/>
          <w:lang w:val="en-US"/>
        </w:rPr>
      </w:pPr>
    </w:p>
    <w:p w14:paraId="04F5BDB9" w14:textId="33A5B3A7" w:rsidR="00D7383C" w:rsidRPr="00387232" w:rsidRDefault="004A7FCA" w:rsidP="00387232">
      <w:pPr>
        <w:pStyle w:val="ListParagraph"/>
        <w:ind w:left="0"/>
        <w:jc w:val="both"/>
        <w:rPr>
          <w:rFonts w:ascii="Times New Roman" w:hAnsi="Times New Roman" w:cs="Times New Roman"/>
          <w:lang w:val="en-US"/>
        </w:rPr>
      </w:pPr>
      <w:r w:rsidRPr="00387232">
        <w:rPr>
          <w:rFonts w:ascii="Times New Roman" w:hAnsi="Times New Roman" w:cs="Times New Roman"/>
          <w:lang w:val="en-US"/>
        </w:rPr>
        <w:t>The Committee emphasizes the pervasiveness of gender-based violence against women</w:t>
      </w:r>
      <w:r w:rsidR="00B47095" w:rsidRPr="00387232">
        <w:rPr>
          <w:rFonts w:ascii="Times New Roman" w:hAnsi="Times New Roman" w:cs="Times New Roman"/>
          <w:lang w:val="en-US"/>
        </w:rPr>
        <w:t>,</w:t>
      </w:r>
      <w:r w:rsidR="00C843C0" w:rsidRPr="00387232">
        <w:rPr>
          <w:rFonts w:ascii="Times New Roman" w:hAnsi="Times New Roman" w:cs="Times New Roman"/>
          <w:lang w:val="en-US"/>
        </w:rPr>
        <w:t xml:space="preserve"> and highlights that </w:t>
      </w:r>
      <w:r w:rsidR="000672EF" w:rsidRPr="00387232">
        <w:rPr>
          <w:rFonts w:ascii="Times New Roman" w:hAnsi="Times New Roman" w:cs="Times New Roman"/>
          <w:lang w:val="en-US"/>
        </w:rPr>
        <w:t>inadequate, non-existen</w:t>
      </w:r>
      <w:r w:rsidR="009C7609" w:rsidRPr="00387232">
        <w:rPr>
          <w:rFonts w:ascii="Times New Roman" w:hAnsi="Times New Roman" w:cs="Times New Roman"/>
          <w:lang w:val="en-US"/>
        </w:rPr>
        <w:t>t</w:t>
      </w:r>
      <w:r w:rsidR="000672EF" w:rsidRPr="00387232">
        <w:rPr>
          <w:rFonts w:ascii="Times New Roman" w:hAnsi="Times New Roman" w:cs="Times New Roman"/>
          <w:lang w:val="en-US"/>
        </w:rPr>
        <w:t xml:space="preserve"> and/or poorly implement</w:t>
      </w:r>
      <w:r w:rsidR="00CE2041" w:rsidRPr="00387232">
        <w:rPr>
          <w:rFonts w:ascii="Times New Roman" w:hAnsi="Times New Roman" w:cs="Times New Roman"/>
          <w:lang w:val="en-US"/>
        </w:rPr>
        <w:t>ed</w:t>
      </w:r>
      <w:r w:rsidR="000672EF" w:rsidRPr="00387232">
        <w:rPr>
          <w:rFonts w:ascii="Times New Roman" w:hAnsi="Times New Roman" w:cs="Times New Roman"/>
          <w:lang w:val="en-US"/>
        </w:rPr>
        <w:t xml:space="preserve"> legislative frameworks, misuse of </w:t>
      </w:r>
      <w:r w:rsidR="00B47095" w:rsidRPr="00387232">
        <w:rPr>
          <w:rFonts w:ascii="Times New Roman" w:hAnsi="Times New Roman" w:cs="Times New Roman"/>
          <w:lang w:val="en-US"/>
        </w:rPr>
        <w:t xml:space="preserve"> </w:t>
      </w:r>
      <w:r w:rsidR="00C843C0" w:rsidRPr="00387232">
        <w:rPr>
          <w:rFonts w:ascii="Times New Roman" w:hAnsi="Times New Roman" w:cs="Times New Roman"/>
          <w:lang w:val="en-US"/>
        </w:rPr>
        <w:t>tradition, culture, religion or fundamentalist ideologies, and significant reductions in public spending, often as part of “austerity measures” following economic and financial crises, further weaken the state responses</w:t>
      </w:r>
      <w:r w:rsidR="009C7609" w:rsidRPr="00387232">
        <w:rPr>
          <w:rFonts w:ascii="Times New Roman" w:hAnsi="Times New Roman" w:cs="Times New Roman"/>
          <w:lang w:val="en-US"/>
        </w:rPr>
        <w:t xml:space="preserve"> and lead to a culture of impunity.</w:t>
      </w:r>
      <w:r w:rsidR="009C7609" w:rsidRPr="00387232">
        <w:rPr>
          <w:rStyle w:val="EndnoteReference"/>
          <w:rFonts w:ascii="Times New Roman" w:hAnsi="Times New Roman" w:cs="Times New Roman"/>
          <w:lang w:val="en-US"/>
        </w:rPr>
        <w:endnoteReference w:id="3"/>
      </w:r>
      <w:r w:rsidR="009C7609" w:rsidRPr="00387232">
        <w:rPr>
          <w:rFonts w:ascii="Times New Roman" w:hAnsi="Times New Roman" w:cs="Times New Roman"/>
          <w:lang w:val="en-US"/>
        </w:rPr>
        <w:t xml:space="preserve"> </w:t>
      </w:r>
    </w:p>
    <w:p w14:paraId="333DB956" w14:textId="77777777" w:rsidR="00F918B0" w:rsidRPr="00387232" w:rsidRDefault="00F918B0" w:rsidP="00387232">
      <w:pPr>
        <w:pStyle w:val="ListParagraph"/>
        <w:ind w:left="0"/>
        <w:jc w:val="both"/>
        <w:rPr>
          <w:rFonts w:ascii="Times New Roman" w:hAnsi="Times New Roman" w:cs="Times New Roman"/>
        </w:rPr>
      </w:pPr>
    </w:p>
    <w:p w14:paraId="573D0822" w14:textId="5118E249" w:rsidR="0095665C" w:rsidRPr="00387232" w:rsidRDefault="001B3AD7" w:rsidP="00387232">
      <w:pPr>
        <w:pStyle w:val="ListParagraph"/>
        <w:ind w:left="0"/>
        <w:jc w:val="both"/>
        <w:rPr>
          <w:rFonts w:ascii="Times New Roman" w:hAnsi="Times New Roman" w:cs="Times New Roman"/>
          <w:lang w:val="en-US"/>
        </w:rPr>
      </w:pPr>
      <w:r w:rsidRPr="00387232">
        <w:rPr>
          <w:rFonts w:ascii="Times New Roman" w:hAnsi="Times New Roman" w:cs="Times New Roman"/>
          <w:lang w:val="en-US"/>
        </w:rPr>
        <w:lastRenderedPageBreak/>
        <w:t>The</w:t>
      </w:r>
      <w:r w:rsidR="00F918B0" w:rsidRPr="00387232">
        <w:rPr>
          <w:rFonts w:ascii="Times New Roman" w:hAnsi="Times New Roman" w:cs="Times New Roman"/>
          <w:lang w:val="en-US"/>
        </w:rPr>
        <w:t xml:space="preserve"> CEDAW Committee has also state</w:t>
      </w:r>
      <w:r w:rsidR="003A0B4E" w:rsidRPr="00387232">
        <w:rPr>
          <w:rFonts w:ascii="Times New Roman" w:hAnsi="Times New Roman" w:cs="Times New Roman"/>
          <w:lang w:val="en-US"/>
        </w:rPr>
        <w:t>s</w:t>
      </w:r>
      <w:r w:rsidR="00F918B0" w:rsidRPr="00387232">
        <w:rPr>
          <w:rFonts w:ascii="Times New Roman" w:hAnsi="Times New Roman" w:cs="Times New Roman"/>
          <w:lang w:val="en-US"/>
        </w:rPr>
        <w:t xml:space="preserve"> that ‘</w:t>
      </w:r>
      <w:r w:rsidR="00F918B0" w:rsidRPr="00387232">
        <w:rPr>
          <w:rFonts w:ascii="Times New Roman" w:hAnsi="Times New Roman" w:cs="Times New Roman"/>
          <w:i/>
          <w:iCs/>
          <w:lang w:val="en-US"/>
        </w:rPr>
        <w:t xml:space="preserve">gender-based violence against women, may amount to torture or cruel, inhuman or degrading treatment in certain circumstances, including in cases of rape, domestic violence </w:t>
      </w:r>
      <w:r w:rsidR="00B430BF" w:rsidRPr="00387232">
        <w:rPr>
          <w:rFonts w:ascii="Times New Roman" w:hAnsi="Times New Roman" w:cs="Times New Roman"/>
          <w:i/>
          <w:iCs/>
          <w:lang w:val="en-US"/>
        </w:rPr>
        <w:t>or harmful practices, among others</w:t>
      </w:r>
      <w:r w:rsidR="00B430BF" w:rsidRPr="00387232">
        <w:rPr>
          <w:rFonts w:ascii="Times New Roman" w:hAnsi="Times New Roman" w:cs="Times New Roman"/>
          <w:lang w:val="en-US"/>
        </w:rPr>
        <w:t xml:space="preserve">’, and </w:t>
      </w:r>
      <w:r w:rsidR="003A0B4E" w:rsidRPr="00387232">
        <w:rPr>
          <w:rFonts w:ascii="Times New Roman" w:hAnsi="Times New Roman" w:cs="Times New Roman"/>
          <w:lang w:val="en-US"/>
        </w:rPr>
        <w:t>that i</w:t>
      </w:r>
      <w:r w:rsidR="00B430BF" w:rsidRPr="00387232">
        <w:rPr>
          <w:rFonts w:ascii="Times New Roman" w:hAnsi="Times New Roman" w:cs="Times New Roman"/>
          <w:lang w:val="en-US"/>
        </w:rPr>
        <w:t>n some cases, some forms of gender-based violence against women may also constitute international crimes.</w:t>
      </w:r>
      <w:r w:rsidR="003A0B4E" w:rsidRPr="00387232">
        <w:rPr>
          <w:rStyle w:val="EndnoteReference"/>
          <w:rFonts w:ascii="Times New Roman" w:hAnsi="Times New Roman" w:cs="Times New Roman"/>
          <w:lang w:val="en-US"/>
        </w:rPr>
        <w:endnoteReference w:id="4"/>
      </w:r>
    </w:p>
    <w:p w14:paraId="42ADF033" w14:textId="25E49AAA" w:rsidR="006A2BBE" w:rsidRPr="00387232" w:rsidRDefault="006A2BBE" w:rsidP="00387232">
      <w:pPr>
        <w:pStyle w:val="ListParagraph"/>
        <w:ind w:left="0"/>
        <w:jc w:val="both"/>
        <w:rPr>
          <w:rFonts w:ascii="Times New Roman" w:hAnsi="Times New Roman" w:cs="Times New Roman"/>
          <w:lang w:val="en-US"/>
        </w:rPr>
      </w:pPr>
    </w:p>
    <w:p w14:paraId="4E0E1FD5" w14:textId="010402BA" w:rsidR="006A2BBE" w:rsidRPr="00387232" w:rsidRDefault="006A2BBE" w:rsidP="00387232">
      <w:pPr>
        <w:pStyle w:val="ListParagraph"/>
        <w:ind w:left="0"/>
        <w:jc w:val="both"/>
        <w:rPr>
          <w:rFonts w:ascii="Times New Roman" w:hAnsi="Times New Roman" w:cs="Times New Roman"/>
          <w:lang w:val="en-US"/>
        </w:rPr>
      </w:pPr>
      <w:r w:rsidRPr="00387232">
        <w:rPr>
          <w:rFonts w:ascii="Times New Roman" w:hAnsi="Times New Roman" w:cs="Times New Roman"/>
          <w:lang w:val="en-US"/>
        </w:rPr>
        <w:t>The CEDAW Committee has highlighted that</w:t>
      </w:r>
      <w:r w:rsidR="00657079" w:rsidRPr="00387232">
        <w:rPr>
          <w:rFonts w:ascii="Times New Roman" w:hAnsi="Times New Roman" w:cs="Times New Roman"/>
          <w:lang w:val="en-US"/>
        </w:rPr>
        <w:t xml:space="preserve"> States have a legal obligation to ensure that sexual assault, including rape is characteri</w:t>
      </w:r>
      <w:r w:rsidR="00C91AEE">
        <w:rPr>
          <w:rFonts w:ascii="Times New Roman" w:hAnsi="Times New Roman" w:cs="Times New Roman"/>
          <w:lang w:val="en-US"/>
        </w:rPr>
        <w:t>z</w:t>
      </w:r>
      <w:r w:rsidR="00657079" w:rsidRPr="00387232">
        <w:rPr>
          <w:rFonts w:ascii="Times New Roman" w:hAnsi="Times New Roman" w:cs="Times New Roman"/>
          <w:lang w:val="en-US"/>
        </w:rPr>
        <w:t>ed as a crime against women’s right to personal security and their physical, sexual and psychological integrity.</w:t>
      </w:r>
      <w:r w:rsidR="00FF264C" w:rsidRPr="00387232">
        <w:rPr>
          <w:rFonts w:ascii="Times New Roman" w:hAnsi="Times New Roman" w:cs="Times New Roman"/>
          <w:lang w:val="en-US"/>
        </w:rPr>
        <w:t xml:space="preserve"> The Committee has also emphasized </w:t>
      </w:r>
      <w:r w:rsidR="00680D72" w:rsidRPr="00387232">
        <w:rPr>
          <w:rFonts w:ascii="Times New Roman" w:hAnsi="Times New Roman" w:cs="Times New Roman"/>
          <w:lang w:val="en-US"/>
        </w:rPr>
        <w:t>that States need</w:t>
      </w:r>
      <w:r w:rsidR="009F51EA" w:rsidRPr="00387232">
        <w:rPr>
          <w:rFonts w:ascii="Times New Roman" w:hAnsi="Times New Roman" w:cs="Times New Roman"/>
          <w:lang w:val="en-US"/>
        </w:rPr>
        <w:t xml:space="preserve"> to base the definition</w:t>
      </w:r>
      <w:r w:rsidR="00657079" w:rsidRPr="00387232">
        <w:rPr>
          <w:rFonts w:ascii="Times New Roman" w:hAnsi="Times New Roman" w:cs="Times New Roman"/>
          <w:lang w:val="en-US"/>
        </w:rPr>
        <w:t xml:space="preserve"> of sexual crimes, including marital and acquaintance/date rape</w:t>
      </w:r>
      <w:r w:rsidR="009F51EA" w:rsidRPr="00387232">
        <w:rPr>
          <w:rFonts w:ascii="Times New Roman" w:hAnsi="Times New Roman" w:cs="Times New Roman"/>
          <w:lang w:val="en-US"/>
        </w:rPr>
        <w:t>,</w:t>
      </w:r>
      <w:r w:rsidR="00657079" w:rsidRPr="00387232">
        <w:rPr>
          <w:rFonts w:ascii="Times New Roman" w:hAnsi="Times New Roman" w:cs="Times New Roman"/>
          <w:lang w:val="en-US"/>
        </w:rPr>
        <w:t xml:space="preserve"> on lack of freely given consent, and</w:t>
      </w:r>
      <w:r w:rsidR="00FA0CA5" w:rsidRPr="00387232">
        <w:rPr>
          <w:rFonts w:ascii="Times New Roman" w:hAnsi="Times New Roman" w:cs="Times New Roman"/>
          <w:lang w:val="en-US"/>
        </w:rPr>
        <w:t xml:space="preserve"> that this definition should</w:t>
      </w:r>
      <w:r w:rsidR="00657079" w:rsidRPr="00387232">
        <w:rPr>
          <w:rFonts w:ascii="Times New Roman" w:hAnsi="Times New Roman" w:cs="Times New Roman"/>
          <w:lang w:val="en-US"/>
        </w:rPr>
        <w:t xml:space="preserve"> take</w:t>
      </w:r>
      <w:r w:rsidR="00FA0CA5" w:rsidRPr="00387232">
        <w:rPr>
          <w:rFonts w:ascii="Times New Roman" w:hAnsi="Times New Roman" w:cs="Times New Roman"/>
          <w:lang w:val="en-US"/>
        </w:rPr>
        <w:t xml:space="preserve"> into</w:t>
      </w:r>
      <w:r w:rsidR="00657079" w:rsidRPr="00387232">
        <w:rPr>
          <w:rFonts w:ascii="Times New Roman" w:hAnsi="Times New Roman" w:cs="Times New Roman"/>
          <w:lang w:val="en-US"/>
        </w:rPr>
        <w:t xml:space="preserve"> account coercive circumstances.</w:t>
      </w:r>
      <w:r w:rsidR="00006848" w:rsidRPr="00387232">
        <w:rPr>
          <w:rFonts w:ascii="Times New Roman" w:hAnsi="Times New Roman" w:cs="Times New Roman"/>
          <w:lang w:val="en-US"/>
        </w:rPr>
        <w:t xml:space="preserve"> </w:t>
      </w:r>
      <w:r w:rsidR="00FA0CA5" w:rsidRPr="00387232">
        <w:rPr>
          <w:rFonts w:ascii="Times New Roman" w:hAnsi="Times New Roman" w:cs="Times New Roman"/>
          <w:lang w:val="en-US"/>
        </w:rPr>
        <w:t>States also have the obligation to ensure that</w:t>
      </w:r>
      <w:r w:rsidR="00657079" w:rsidRPr="00387232">
        <w:rPr>
          <w:rFonts w:ascii="Times New Roman" w:hAnsi="Times New Roman" w:cs="Times New Roman"/>
          <w:lang w:val="en-US"/>
        </w:rPr>
        <w:t xml:space="preserve"> limitations, where they exist, should prioriti</w:t>
      </w:r>
      <w:r w:rsidR="00C91AEE">
        <w:rPr>
          <w:rFonts w:ascii="Times New Roman" w:hAnsi="Times New Roman" w:cs="Times New Roman"/>
          <w:lang w:val="en-US"/>
        </w:rPr>
        <w:t>z</w:t>
      </w:r>
      <w:r w:rsidR="00657079" w:rsidRPr="00387232">
        <w:rPr>
          <w:rFonts w:ascii="Times New Roman" w:hAnsi="Times New Roman" w:cs="Times New Roman"/>
          <w:lang w:val="en-US"/>
        </w:rPr>
        <w:t>e the interests of the victims/survivors and give consideration to circumstances hindering their capacity to report the violence suffered to competent services/authorities.</w:t>
      </w:r>
      <w:r w:rsidR="00FA0CA5" w:rsidRPr="00387232">
        <w:rPr>
          <w:rStyle w:val="EndnoteReference"/>
          <w:rFonts w:ascii="Times New Roman" w:hAnsi="Times New Roman" w:cs="Times New Roman"/>
          <w:lang w:val="en-US"/>
        </w:rPr>
        <w:endnoteReference w:id="5"/>
      </w:r>
      <w:r w:rsidR="00006848" w:rsidRPr="00387232">
        <w:rPr>
          <w:rFonts w:ascii="Times New Roman" w:hAnsi="Times New Roman" w:cs="Times New Roman"/>
          <w:lang w:val="en-US"/>
        </w:rPr>
        <w:t xml:space="preserve"> </w:t>
      </w:r>
    </w:p>
    <w:p w14:paraId="0A84DEBB" w14:textId="266173A4" w:rsidR="00383635" w:rsidRPr="00387232" w:rsidRDefault="00383635" w:rsidP="00387232">
      <w:pPr>
        <w:pStyle w:val="ListParagraph"/>
        <w:ind w:left="0"/>
        <w:jc w:val="both"/>
        <w:rPr>
          <w:rFonts w:ascii="Times New Roman" w:hAnsi="Times New Roman" w:cs="Times New Roman"/>
          <w:lang w:val="en-US"/>
        </w:rPr>
      </w:pPr>
    </w:p>
    <w:p w14:paraId="039E2DE7" w14:textId="4087FCA6" w:rsidR="00383635" w:rsidRPr="00387232" w:rsidRDefault="00383635" w:rsidP="00387232">
      <w:pPr>
        <w:pStyle w:val="ListParagraph"/>
        <w:ind w:left="0"/>
        <w:jc w:val="both"/>
        <w:rPr>
          <w:rFonts w:ascii="Times New Roman" w:hAnsi="Times New Roman" w:cs="Times New Roman"/>
          <w:lang w:val="en-US"/>
        </w:rPr>
      </w:pPr>
      <w:r w:rsidRPr="00387232">
        <w:rPr>
          <w:rFonts w:ascii="Times New Roman" w:hAnsi="Times New Roman" w:cs="Times New Roman"/>
          <w:lang w:val="en-US"/>
        </w:rPr>
        <w:t>Cr</w:t>
      </w:r>
      <w:r w:rsidR="00325068" w:rsidRPr="00387232">
        <w:rPr>
          <w:rFonts w:ascii="Times New Roman" w:hAnsi="Times New Roman" w:cs="Times New Roman"/>
          <w:lang w:val="en-US"/>
        </w:rPr>
        <w:t xml:space="preserve">ucially, </w:t>
      </w:r>
      <w:r w:rsidR="004729DD" w:rsidRPr="00387232">
        <w:rPr>
          <w:rFonts w:ascii="Times New Roman" w:hAnsi="Times New Roman" w:cs="Times New Roman"/>
          <w:lang w:val="en-US"/>
        </w:rPr>
        <w:t xml:space="preserve">the CEDAW Committee recognizes that violations of sexual and reproductive health and rights </w:t>
      </w:r>
      <w:r w:rsidR="00F014D4" w:rsidRPr="00387232">
        <w:rPr>
          <w:rFonts w:ascii="Times New Roman" w:hAnsi="Times New Roman" w:cs="Times New Roman"/>
          <w:lang w:val="en-US"/>
        </w:rPr>
        <w:t xml:space="preserve"> such as forced sterilizations, forced abortion, forced pregnancy, criminali</w:t>
      </w:r>
      <w:r w:rsidR="00C91AEE">
        <w:rPr>
          <w:rFonts w:ascii="Times New Roman" w:hAnsi="Times New Roman" w:cs="Times New Roman"/>
          <w:lang w:val="en-US"/>
        </w:rPr>
        <w:t>z</w:t>
      </w:r>
      <w:r w:rsidR="00F014D4" w:rsidRPr="00387232">
        <w:rPr>
          <w:rFonts w:ascii="Times New Roman" w:hAnsi="Times New Roman" w:cs="Times New Roman"/>
          <w:lang w:val="en-US"/>
        </w:rPr>
        <w:t xml:space="preserve">ation of abortion, denial or delay of safe abortion and post-abortion care, forced continuation of pregnancy, abuse and mistreatment of women and girls seeking sexual and reproductive health information, goods and services, </w:t>
      </w:r>
      <w:r w:rsidR="004A6980" w:rsidRPr="00387232">
        <w:rPr>
          <w:rFonts w:ascii="Times New Roman" w:hAnsi="Times New Roman" w:cs="Times New Roman"/>
          <w:lang w:val="en-US"/>
        </w:rPr>
        <w:t>also constitute forms of gender-based violence and may amount to torture or cruel, inhuman or degrading treatment.</w:t>
      </w:r>
      <w:r w:rsidR="00F014D4" w:rsidRPr="00387232">
        <w:rPr>
          <w:rStyle w:val="EndnoteReference"/>
          <w:rFonts w:ascii="Times New Roman" w:hAnsi="Times New Roman" w:cs="Times New Roman"/>
          <w:lang w:val="en-US"/>
        </w:rPr>
        <w:endnoteReference w:id="6"/>
      </w:r>
    </w:p>
    <w:p w14:paraId="0459045C" w14:textId="6608FFE2" w:rsidR="00C443C1" w:rsidRPr="00387232" w:rsidRDefault="00C443C1" w:rsidP="00387232">
      <w:pPr>
        <w:pStyle w:val="ListParagraph"/>
        <w:ind w:left="0"/>
        <w:jc w:val="both"/>
        <w:rPr>
          <w:rFonts w:ascii="Times New Roman" w:hAnsi="Times New Roman" w:cs="Times New Roman"/>
          <w:lang w:val="en-US"/>
        </w:rPr>
      </w:pPr>
    </w:p>
    <w:p w14:paraId="024D5F5E" w14:textId="239CDDD8" w:rsidR="00C443C1" w:rsidRPr="00387232" w:rsidRDefault="0063248B" w:rsidP="00387232">
      <w:pPr>
        <w:pStyle w:val="ListParagraph"/>
        <w:ind w:left="0"/>
        <w:jc w:val="both"/>
        <w:rPr>
          <w:rFonts w:ascii="Times New Roman" w:hAnsi="Times New Roman" w:cs="Times New Roman"/>
          <w:lang w:val="en-US"/>
        </w:rPr>
      </w:pPr>
      <w:r>
        <w:rPr>
          <w:rFonts w:ascii="Times New Roman" w:hAnsi="Times New Roman" w:cs="Times New Roman"/>
          <w:lang w:val="en-US"/>
        </w:rPr>
        <w:t>The Human Rights Council, in its resolution on ‘</w:t>
      </w:r>
      <w:r w:rsidRPr="00BF5CF7">
        <w:rPr>
          <w:rFonts w:ascii="Times New Roman" w:hAnsi="Times New Roman" w:cs="Times New Roman"/>
          <w:i/>
          <w:iCs/>
          <w:lang w:val="en-US"/>
        </w:rPr>
        <w:t>Accelerating efforts to eliminate all forms of violence against women: preventing and responding to rape and other forms of sexual violence</w:t>
      </w:r>
      <w:r>
        <w:rPr>
          <w:rFonts w:ascii="Times New Roman" w:hAnsi="Times New Roman" w:cs="Times New Roman"/>
          <w:lang w:val="en-US"/>
        </w:rPr>
        <w:t>’</w:t>
      </w:r>
      <w:r w:rsidR="00A16CE8">
        <w:rPr>
          <w:rStyle w:val="EndnoteReference"/>
          <w:rFonts w:ascii="Times New Roman" w:hAnsi="Times New Roman" w:cs="Times New Roman"/>
          <w:lang w:val="en-US"/>
        </w:rPr>
        <w:endnoteReference w:id="7"/>
      </w:r>
      <w:r w:rsidRPr="0063248B">
        <w:rPr>
          <w:rFonts w:ascii="Times New Roman" w:hAnsi="Times New Roman" w:cs="Times New Roman"/>
          <w:lang w:val="en-US"/>
        </w:rPr>
        <w:t xml:space="preserve"> </w:t>
      </w:r>
      <w:r>
        <w:rPr>
          <w:rFonts w:ascii="Times New Roman" w:hAnsi="Times New Roman" w:cs="Times New Roman"/>
          <w:lang w:val="en-US"/>
        </w:rPr>
        <w:t xml:space="preserve"> has</w:t>
      </w:r>
      <w:r w:rsidR="00C443C1" w:rsidRPr="00387232">
        <w:rPr>
          <w:rFonts w:ascii="Times New Roman" w:hAnsi="Times New Roman" w:cs="Times New Roman"/>
          <w:lang w:val="en-US"/>
        </w:rPr>
        <w:t xml:space="preserve"> also recognized </w:t>
      </w:r>
      <w:r w:rsidR="008709B4" w:rsidRPr="00387232">
        <w:rPr>
          <w:rFonts w:ascii="Times New Roman" w:hAnsi="Times New Roman" w:cs="Times New Roman"/>
          <w:lang w:val="en-US"/>
        </w:rPr>
        <w:t xml:space="preserve"> that </w:t>
      </w:r>
      <w:r w:rsidR="00F13E5B" w:rsidRPr="00387232">
        <w:rPr>
          <w:rFonts w:ascii="Times New Roman" w:hAnsi="Times New Roman" w:cs="Times New Roman"/>
          <w:lang w:val="en-US"/>
        </w:rPr>
        <w:t xml:space="preserve">sexual violence and rape </w:t>
      </w:r>
      <w:r w:rsidR="008709B4" w:rsidRPr="00387232">
        <w:rPr>
          <w:rFonts w:ascii="Times New Roman" w:hAnsi="Times New Roman" w:cs="Times New Roman"/>
        </w:rPr>
        <w:t>disproportionately affect women and girls, occur in all spheres of society, in public and private life, in peace time, during periods of civil unrest or political transition, and in conflict and post-conflict situations</w:t>
      </w:r>
      <w:r w:rsidR="008709B4" w:rsidRPr="00387232">
        <w:rPr>
          <w:rFonts w:ascii="Times New Roman" w:hAnsi="Times New Roman" w:cs="Times New Roman"/>
          <w:lang w:val="en-US"/>
        </w:rPr>
        <w:t>.</w:t>
      </w:r>
      <w:r w:rsidR="00DC6820" w:rsidRPr="00387232">
        <w:rPr>
          <w:rStyle w:val="EndnoteReference"/>
          <w:rFonts w:ascii="Times New Roman" w:hAnsi="Times New Roman" w:cs="Times New Roman"/>
          <w:lang w:val="en-US"/>
        </w:rPr>
        <w:endnoteReference w:id="8"/>
      </w:r>
      <w:r w:rsidR="00DC6820" w:rsidRPr="00387232">
        <w:rPr>
          <w:rFonts w:ascii="Times New Roman" w:hAnsi="Times New Roman" w:cs="Times New Roman"/>
        </w:rPr>
        <w:t xml:space="preserve"> </w:t>
      </w:r>
      <w:r w:rsidR="00DC6820" w:rsidRPr="00387232">
        <w:rPr>
          <w:rFonts w:ascii="Times New Roman" w:hAnsi="Times New Roman" w:cs="Times New Roman"/>
          <w:lang w:val="en-US"/>
        </w:rPr>
        <w:t xml:space="preserve"> The resolution, while failing to clearly articulate rape and </w:t>
      </w:r>
      <w:r w:rsidR="002D5075" w:rsidRPr="00387232">
        <w:rPr>
          <w:rFonts w:ascii="Times New Roman" w:hAnsi="Times New Roman" w:cs="Times New Roman"/>
          <w:lang w:val="en-US"/>
        </w:rPr>
        <w:t>sexual violence as human rights violations, c</w:t>
      </w:r>
      <w:r w:rsidR="00DC6820" w:rsidRPr="00387232">
        <w:rPr>
          <w:rFonts w:ascii="Times New Roman" w:hAnsi="Times New Roman" w:cs="Times New Roman"/>
        </w:rPr>
        <w:t>alls upon States</w:t>
      </w:r>
      <w:r w:rsidR="002D5075" w:rsidRPr="00387232">
        <w:rPr>
          <w:rFonts w:ascii="Times New Roman" w:hAnsi="Times New Roman" w:cs="Times New Roman"/>
          <w:lang w:val="en-US"/>
        </w:rPr>
        <w:t>, inter</w:t>
      </w:r>
      <w:r w:rsidR="00975710" w:rsidRPr="00387232">
        <w:rPr>
          <w:rFonts w:ascii="Times New Roman" w:hAnsi="Times New Roman" w:cs="Times New Roman"/>
          <w:lang w:val="en-US"/>
        </w:rPr>
        <w:t xml:space="preserve"> alia,</w:t>
      </w:r>
      <w:r w:rsidR="00DC6820" w:rsidRPr="00387232">
        <w:rPr>
          <w:rFonts w:ascii="Times New Roman" w:hAnsi="Times New Roman" w:cs="Times New Roman"/>
        </w:rPr>
        <w:t xml:space="preserve"> </w:t>
      </w:r>
      <w:r w:rsidR="00DC6820" w:rsidRPr="00387232">
        <w:rPr>
          <w:rFonts w:ascii="Times New Roman" w:hAnsi="Times New Roman" w:cs="Times New Roman"/>
          <w:i/>
          <w:iCs/>
        </w:rPr>
        <w:t>to ensure that all forms of rape and sexual violence are criminalized in national law and to take appropriate legislative and policy steps to ensure the prompt and adequate investigation, prosecution and accountability of perpetrators, including by strengthening the capacity of the criminal justice system</w:t>
      </w:r>
      <w:r w:rsidR="00975710" w:rsidRPr="00387232">
        <w:rPr>
          <w:rFonts w:ascii="Times New Roman" w:hAnsi="Times New Roman" w:cs="Times New Roman"/>
          <w:i/>
          <w:iCs/>
          <w:lang w:val="en-US"/>
        </w:rPr>
        <w:t>.</w:t>
      </w:r>
      <w:r w:rsidR="00975710" w:rsidRPr="00387232">
        <w:rPr>
          <w:rStyle w:val="EndnoteReference"/>
          <w:rFonts w:ascii="Times New Roman" w:hAnsi="Times New Roman" w:cs="Times New Roman"/>
          <w:i/>
          <w:iCs/>
          <w:lang w:val="en-US"/>
        </w:rPr>
        <w:endnoteReference w:id="9"/>
      </w:r>
      <w:r w:rsidR="00F80CA4" w:rsidRPr="00387232">
        <w:rPr>
          <w:rFonts w:ascii="Times New Roman" w:hAnsi="Times New Roman" w:cs="Times New Roman"/>
          <w:lang w:val="en-US"/>
        </w:rPr>
        <w:t xml:space="preserve"> The resolution also u</w:t>
      </w:r>
      <w:r w:rsidR="00DC6820" w:rsidRPr="00387232">
        <w:rPr>
          <w:rFonts w:ascii="Times New Roman" w:hAnsi="Times New Roman" w:cs="Times New Roman"/>
        </w:rPr>
        <w:t xml:space="preserve">rges </w:t>
      </w:r>
      <w:r w:rsidR="00DC6820" w:rsidRPr="00387232">
        <w:rPr>
          <w:rFonts w:ascii="Times New Roman" w:hAnsi="Times New Roman" w:cs="Times New Roman"/>
          <w:i/>
          <w:iCs/>
        </w:rPr>
        <w:t>States to ensure that national laws and policies are in compliance with their international human rights obligations and are non-discriminatory by, inter alia, permitting prosecution of marital rape and repealing provisions that require corroboration of testimony, enable perpetrators of rape to escape prosecution and punishment by marrying their victim, and subject victims of sexual violence to prosecution for moral crimes or defamation</w:t>
      </w:r>
      <w:r w:rsidR="00F80CA4" w:rsidRPr="00387232">
        <w:rPr>
          <w:rFonts w:ascii="Times New Roman" w:hAnsi="Times New Roman" w:cs="Times New Roman"/>
          <w:lang w:val="en-US"/>
        </w:rPr>
        <w:t>.</w:t>
      </w:r>
      <w:r w:rsidR="00F80CA4" w:rsidRPr="00387232">
        <w:rPr>
          <w:rStyle w:val="EndnoteReference"/>
          <w:rFonts w:ascii="Times New Roman" w:hAnsi="Times New Roman" w:cs="Times New Roman"/>
          <w:lang w:val="en-US"/>
        </w:rPr>
        <w:endnoteReference w:id="10"/>
      </w:r>
    </w:p>
    <w:p w14:paraId="623ACFEB" w14:textId="2CD7802A" w:rsidR="00CD3FBF" w:rsidRPr="00387232" w:rsidRDefault="00CD3FBF" w:rsidP="00387232">
      <w:pPr>
        <w:pStyle w:val="ListParagraph"/>
        <w:ind w:left="0"/>
        <w:jc w:val="both"/>
        <w:rPr>
          <w:rFonts w:ascii="Times New Roman" w:hAnsi="Times New Roman" w:cs="Times New Roman"/>
          <w:lang w:val="en-US"/>
        </w:rPr>
      </w:pPr>
    </w:p>
    <w:p w14:paraId="33120419" w14:textId="77777777" w:rsidR="00267B9E" w:rsidRPr="00387232" w:rsidRDefault="00857F04" w:rsidP="00387232">
      <w:pPr>
        <w:pStyle w:val="ListParagraph"/>
        <w:ind w:left="0"/>
        <w:jc w:val="both"/>
        <w:rPr>
          <w:rFonts w:ascii="Times New Roman" w:hAnsi="Times New Roman" w:cs="Times New Roman"/>
          <w:lang w:val="en-US"/>
        </w:rPr>
      </w:pPr>
      <w:r w:rsidRPr="00387232">
        <w:rPr>
          <w:rFonts w:ascii="Times New Roman" w:hAnsi="Times New Roman" w:cs="Times New Roman"/>
          <w:lang w:val="en-US"/>
        </w:rPr>
        <w:t>The resolution also</w:t>
      </w:r>
      <w:r w:rsidR="00865C4C" w:rsidRPr="00387232">
        <w:rPr>
          <w:rFonts w:ascii="Times New Roman" w:hAnsi="Times New Roman" w:cs="Times New Roman"/>
          <w:lang w:val="en-US"/>
        </w:rPr>
        <w:t xml:space="preserve"> </w:t>
      </w:r>
      <w:r w:rsidR="00760CAE" w:rsidRPr="00387232">
        <w:rPr>
          <w:rFonts w:ascii="Times New Roman" w:hAnsi="Times New Roman" w:cs="Times New Roman"/>
          <w:lang w:val="en-US"/>
        </w:rPr>
        <w:t>crucially underscores ‘</w:t>
      </w:r>
      <w:r w:rsidR="00760CAE" w:rsidRPr="00387232">
        <w:rPr>
          <w:rFonts w:ascii="Times New Roman" w:hAnsi="Times New Roman" w:cs="Times New Roman"/>
          <w:i/>
          <w:iCs/>
        </w:rPr>
        <w:t xml:space="preserve">the importance for States to address all health consequences, including physical, mental and sexual and </w:t>
      </w:r>
      <w:r w:rsidR="00760CAE" w:rsidRPr="00387232">
        <w:rPr>
          <w:rStyle w:val="highlight"/>
          <w:rFonts w:ascii="Times New Roman" w:hAnsi="Times New Roman" w:cs="Times New Roman"/>
          <w:i/>
          <w:iCs/>
        </w:rPr>
        <w:t>reproductiv</w:t>
      </w:r>
      <w:r w:rsidR="00760CAE" w:rsidRPr="00387232">
        <w:rPr>
          <w:rFonts w:ascii="Times New Roman" w:hAnsi="Times New Roman" w:cs="Times New Roman"/>
          <w:i/>
          <w:iCs/>
        </w:rPr>
        <w:t>e health consequences, of rape and other forms of sexual violence against women and girls by providing accessible health-care services that are responsive to trauma and include affordable, safe and effective treatment</w:t>
      </w:r>
      <w:r w:rsidR="00760CAE" w:rsidRPr="00387232">
        <w:rPr>
          <w:rFonts w:ascii="Times New Roman" w:hAnsi="Times New Roman" w:cs="Times New Roman"/>
          <w:i/>
          <w:iCs/>
          <w:lang w:val="en-US"/>
        </w:rPr>
        <w:t>’</w:t>
      </w:r>
      <w:r w:rsidR="00760CAE" w:rsidRPr="00387232">
        <w:rPr>
          <w:rFonts w:ascii="Times New Roman" w:hAnsi="Times New Roman" w:cs="Times New Roman"/>
          <w:lang w:val="en-US"/>
        </w:rPr>
        <w:t>.</w:t>
      </w:r>
      <w:r w:rsidR="00760CAE" w:rsidRPr="00387232">
        <w:rPr>
          <w:rStyle w:val="EndnoteReference"/>
          <w:rFonts w:ascii="Times New Roman" w:hAnsi="Times New Roman" w:cs="Times New Roman"/>
          <w:lang w:val="en-US"/>
        </w:rPr>
        <w:endnoteReference w:id="11"/>
      </w:r>
      <w:r w:rsidR="00267B9E" w:rsidRPr="00387232">
        <w:rPr>
          <w:rFonts w:ascii="Times New Roman" w:hAnsi="Times New Roman" w:cs="Times New Roman"/>
          <w:lang w:val="en-US"/>
        </w:rPr>
        <w:t xml:space="preserve"> </w:t>
      </w:r>
    </w:p>
    <w:p w14:paraId="449F1C6C" w14:textId="77777777" w:rsidR="00267B9E" w:rsidRPr="00387232" w:rsidRDefault="00267B9E" w:rsidP="00387232">
      <w:pPr>
        <w:pStyle w:val="ListParagraph"/>
        <w:ind w:left="0"/>
        <w:jc w:val="both"/>
        <w:rPr>
          <w:rFonts w:ascii="Times New Roman" w:hAnsi="Times New Roman" w:cs="Times New Roman"/>
          <w:lang w:val="en-US"/>
        </w:rPr>
      </w:pPr>
    </w:p>
    <w:p w14:paraId="625C86D3" w14:textId="44E80377" w:rsidR="00857F04" w:rsidRPr="00387232" w:rsidRDefault="00267B9E" w:rsidP="00387232">
      <w:pPr>
        <w:pStyle w:val="ListParagraph"/>
        <w:ind w:left="0"/>
        <w:jc w:val="both"/>
        <w:rPr>
          <w:rFonts w:ascii="Times New Roman" w:hAnsi="Times New Roman" w:cs="Times New Roman"/>
          <w:lang w:val="en-US"/>
        </w:rPr>
      </w:pPr>
      <w:r w:rsidRPr="00387232">
        <w:rPr>
          <w:rFonts w:ascii="Times New Roman" w:hAnsi="Times New Roman" w:cs="Times New Roman"/>
          <w:lang w:val="en-US"/>
        </w:rPr>
        <w:t>This recognition that rape and sexual violence have consequences on women’s and girl’s sexual and reproductive health and rights</w:t>
      </w:r>
      <w:r w:rsidR="00AD478E" w:rsidRPr="00387232">
        <w:rPr>
          <w:rFonts w:ascii="Times New Roman" w:hAnsi="Times New Roman" w:cs="Times New Roman"/>
          <w:lang w:val="en-US"/>
        </w:rPr>
        <w:t>, from which derive an obligation for States to provide sexual and reproductive health information and services</w:t>
      </w:r>
      <w:r w:rsidR="00334BB1" w:rsidRPr="00387232">
        <w:rPr>
          <w:rFonts w:ascii="Times New Roman" w:hAnsi="Times New Roman" w:cs="Times New Roman"/>
          <w:lang w:val="en-US"/>
        </w:rPr>
        <w:t xml:space="preserve">, is core to ensure victims’ and survivors’ access to reparations and justice. </w:t>
      </w:r>
    </w:p>
    <w:p w14:paraId="0024A905" w14:textId="0E81E4D5" w:rsidR="00334BB1" w:rsidRPr="00387232" w:rsidRDefault="00334BB1" w:rsidP="00387232">
      <w:pPr>
        <w:pStyle w:val="ListParagraph"/>
        <w:ind w:left="0"/>
        <w:jc w:val="both"/>
        <w:rPr>
          <w:rFonts w:ascii="Times New Roman" w:hAnsi="Times New Roman" w:cs="Times New Roman"/>
          <w:lang w:val="en-US"/>
        </w:rPr>
      </w:pPr>
    </w:p>
    <w:p w14:paraId="28346DE9" w14:textId="299BE093" w:rsidR="00A329D3" w:rsidRPr="00387232" w:rsidRDefault="00A329D3" w:rsidP="00387232">
      <w:pPr>
        <w:pStyle w:val="ListParagraph"/>
        <w:ind w:left="0"/>
        <w:jc w:val="both"/>
        <w:rPr>
          <w:rFonts w:ascii="Times New Roman" w:hAnsi="Times New Roman" w:cs="Times New Roman"/>
          <w:lang w:val="en-US"/>
        </w:rPr>
      </w:pPr>
      <w:r w:rsidRPr="00387232">
        <w:rPr>
          <w:rFonts w:ascii="Times New Roman" w:hAnsi="Times New Roman" w:cs="Times New Roman"/>
          <w:lang w:val="en-US"/>
        </w:rPr>
        <w:t>However, despite these legal obligations, restrictive legal frameworks on SRHR</w:t>
      </w:r>
      <w:r w:rsidR="00C3319A" w:rsidRPr="00387232">
        <w:rPr>
          <w:rFonts w:ascii="Times New Roman" w:hAnsi="Times New Roman" w:cs="Times New Roman"/>
          <w:lang w:val="en-US"/>
        </w:rPr>
        <w:t xml:space="preserve"> </w:t>
      </w:r>
      <w:r w:rsidR="00625975" w:rsidRPr="00387232">
        <w:rPr>
          <w:rFonts w:ascii="Times New Roman" w:hAnsi="Times New Roman" w:cs="Times New Roman"/>
          <w:lang w:val="en-US"/>
        </w:rPr>
        <w:t xml:space="preserve">prevent women and girls victims and survivors to </w:t>
      </w:r>
      <w:r w:rsidR="000255A1" w:rsidRPr="00387232">
        <w:rPr>
          <w:rFonts w:ascii="Times New Roman" w:hAnsi="Times New Roman" w:cs="Times New Roman"/>
          <w:lang w:val="en-US"/>
        </w:rPr>
        <w:t xml:space="preserve">access rehabilitation services and reparations. </w:t>
      </w:r>
    </w:p>
    <w:p w14:paraId="24C2ECB9" w14:textId="77777777" w:rsidR="00625975" w:rsidRPr="00387232" w:rsidRDefault="00625975" w:rsidP="00387232">
      <w:pPr>
        <w:contextualSpacing/>
        <w:jc w:val="both"/>
        <w:rPr>
          <w:rFonts w:ascii="Times New Roman" w:eastAsia="Calibri" w:hAnsi="Times New Roman" w:cs="Times New Roman"/>
          <w:b/>
          <w:bCs/>
          <w:u w:val="single"/>
        </w:rPr>
      </w:pPr>
    </w:p>
    <w:p w14:paraId="5E109064" w14:textId="77777777" w:rsidR="00082368" w:rsidRPr="00BF5CF7" w:rsidRDefault="001F0023" w:rsidP="00082368">
      <w:pPr>
        <w:pStyle w:val="ListParagraph"/>
        <w:numPr>
          <w:ilvl w:val="1"/>
          <w:numId w:val="22"/>
        </w:numPr>
        <w:contextualSpacing/>
        <w:jc w:val="both"/>
        <w:rPr>
          <w:rFonts w:ascii="Times New Roman" w:eastAsia="Calibri" w:hAnsi="Times New Roman" w:cs="Times New Roman"/>
          <w:u w:val="single"/>
        </w:rPr>
      </w:pPr>
      <w:r w:rsidRPr="00387232">
        <w:rPr>
          <w:rFonts w:ascii="Times New Roman" w:eastAsia="Calibri" w:hAnsi="Times New Roman" w:cs="Times New Roman"/>
          <w:b/>
          <w:bCs/>
          <w:u w:val="single"/>
        </w:rPr>
        <w:t xml:space="preserve">Impact of restrictive legal frameworks on SRHR </w:t>
      </w:r>
      <w:r w:rsidR="0055330D" w:rsidRPr="00387232">
        <w:rPr>
          <w:rFonts w:ascii="Times New Roman" w:eastAsia="Calibri" w:hAnsi="Times New Roman" w:cs="Times New Roman"/>
          <w:b/>
          <w:bCs/>
          <w:u w:val="single"/>
          <w:lang w:val="en-US"/>
        </w:rPr>
        <w:t xml:space="preserve">of victims and survivors of rape and sexual violence </w:t>
      </w:r>
    </w:p>
    <w:p w14:paraId="1DB4D53B" w14:textId="77777777" w:rsidR="00082368" w:rsidRDefault="00082368" w:rsidP="00082368">
      <w:pPr>
        <w:pStyle w:val="ListParagraph"/>
        <w:ind w:left="1440"/>
        <w:contextualSpacing/>
        <w:jc w:val="both"/>
        <w:rPr>
          <w:rFonts w:ascii="Times New Roman" w:eastAsia="Calibri" w:hAnsi="Times New Roman" w:cs="Times New Roman"/>
          <w:b/>
          <w:bCs/>
          <w:u w:val="single"/>
        </w:rPr>
      </w:pPr>
    </w:p>
    <w:p w14:paraId="2ADBB281" w14:textId="26DE5EDF" w:rsidR="00082368" w:rsidRPr="00BF5CF7" w:rsidRDefault="00082368" w:rsidP="00BF5CF7">
      <w:pPr>
        <w:contextualSpacing/>
        <w:jc w:val="both"/>
        <w:rPr>
          <w:rFonts w:ascii="Times New Roman" w:eastAsia="Calibri" w:hAnsi="Times New Roman" w:cs="Times New Roman"/>
          <w:u w:val="single"/>
        </w:rPr>
      </w:pPr>
      <w:r w:rsidRPr="00BF5CF7">
        <w:rPr>
          <w:rFonts w:ascii="Times New Roman" w:hAnsi="Times New Roman" w:cs="Times New Roman"/>
          <w:bCs/>
          <w:lang w:val="en-US"/>
        </w:rPr>
        <w:t>Survivors of rape need access to a comprehensive range of sexual and reproductive health services, including abortion</w:t>
      </w:r>
      <w:r w:rsidR="007D2101" w:rsidRPr="00BF5CF7">
        <w:rPr>
          <w:rFonts w:ascii="Times New Roman" w:hAnsi="Times New Roman" w:cs="Times New Roman"/>
          <w:bCs/>
          <w:lang w:val="en-US"/>
        </w:rPr>
        <w:t xml:space="preserve"> and emergency</w:t>
      </w:r>
      <w:r w:rsidRPr="00BF5CF7">
        <w:rPr>
          <w:rFonts w:ascii="Times New Roman" w:hAnsi="Times New Roman" w:cs="Times New Roman"/>
          <w:bCs/>
          <w:lang w:val="en-US"/>
        </w:rPr>
        <w:t xml:space="preserve"> contraception</w:t>
      </w:r>
      <w:r w:rsidR="007D2101" w:rsidRPr="00BF5CF7">
        <w:rPr>
          <w:rFonts w:ascii="Times New Roman" w:hAnsi="Times New Roman" w:cs="Times New Roman"/>
          <w:bCs/>
          <w:lang w:val="en-US"/>
        </w:rPr>
        <w:t xml:space="preserve">.  Access to such services should be available free from discrimination, coercion and violence. </w:t>
      </w:r>
      <w:r w:rsidR="00CC6E99" w:rsidRPr="00BF5CF7">
        <w:rPr>
          <w:rFonts w:ascii="Times New Roman" w:hAnsi="Times New Roman" w:cs="Times New Roman"/>
          <w:bCs/>
          <w:lang w:val="en-US"/>
        </w:rPr>
        <w:t xml:space="preserve">Addressing the underlying social determinants of health is also central to </w:t>
      </w:r>
      <w:r w:rsidR="00E56DA3" w:rsidRPr="00BF5CF7">
        <w:rPr>
          <w:rFonts w:ascii="Times New Roman" w:hAnsi="Times New Roman" w:cs="Times New Roman"/>
          <w:bCs/>
          <w:lang w:val="en-US"/>
        </w:rPr>
        <w:t>effectively addressing rape and other forms of violence against women a</w:t>
      </w:r>
      <w:r w:rsidR="004672AD" w:rsidRPr="00BF5CF7">
        <w:rPr>
          <w:rFonts w:ascii="Times New Roman" w:hAnsi="Times New Roman" w:cs="Times New Roman"/>
          <w:bCs/>
          <w:lang w:val="en-US"/>
        </w:rPr>
        <w:t>s well as creating an environment where women have</w:t>
      </w:r>
      <w:r w:rsidR="00E56DA3" w:rsidRPr="00BF5CF7">
        <w:rPr>
          <w:rFonts w:ascii="Times New Roman" w:hAnsi="Times New Roman" w:cs="Times New Roman"/>
          <w:bCs/>
          <w:lang w:val="en-US"/>
        </w:rPr>
        <w:t xml:space="preserve"> access to</w:t>
      </w:r>
      <w:r w:rsidR="00C90B15" w:rsidRPr="00BF5CF7">
        <w:rPr>
          <w:rFonts w:ascii="Times New Roman" w:hAnsi="Times New Roman" w:cs="Times New Roman"/>
          <w:bCs/>
          <w:lang w:val="en-US"/>
        </w:rPr>
        <w:t xml:space="preserve"> the full range </w:t>
      </w:r>
      <w:r w:rsidR="00DF41B1" w:rsidRPr="00DF41B1">
        <w:rPr>
          <w:rFonts w:ascii="Times New Roman" w:hAnsi="Times New Roman" w:cs="Times New Roman"/>
          <w:bCs/>
          <w:lang w:val="en-US"/>
        </w:rPr>
        <w:t>of sexual</w:t>
      </w:r>
      <w:r w:rsidR="00E56DA3" w:rsidRPr="00BF5CF7">
        <w:rPr>
          <w:rFonts w:ascii="Times New Roman" w:hAnsi="Times New Roman" w:cs="Times New Roman"/>
          <w:bCs/>
          <w:lang w:val="en-US"/>
        </w:rPr>
        <w:t xml:space="preserve"> and reproductive health services</w:t>
      </w:r>
      <w:r w:rsidR="00383E2C" w:rsidRPr="00BF5CF7">
        <w:rPr>
          <w:rFonts w:ascii="Times New Roman" w:hAnsi="Times New Roman" w:cs="Times New Roman"/>
          <w:bCs/>
          <w:lang w:val="en-US"/>
        </w:rPr>
        <w:t>.</w:t>
      </w:r>
      <w:r w:rsidR="00E56DA3" w:rsidRPr="00BF5CF7">
        <w:rPr>
          <w:rFonts w:ascii="Times New Roman" w:hAnsi="Times New Roman" w:cs="Times New Roman"/>
          <w:bCs/>
          <w:lang w:val="en-US"/>
        </w:rPr>
        <w:t xml:space="preserve"> </w:t>
      </w:r>
    </w:p>
    <w:p w14:paraId="7F539E38" w14:textId="77777777" w:rsidR="001F0023" w:rsidRPr="00387232" w:rsidRDefault="001F0023" w:rsidP="00387232">
      <w:pPr>
        <w:pStyle w:val="ListParagraph"/>
        <w:ind w:left="1440"/>
        <w:jc w:val="both"/>
        <w:rPr>
          <w:rFonts w:ascii="Times New Roman" w:eastAsia="Calibri" w:hAnsi="Times New Roman" w:cs="Times New Roman"/>
        </w:rPr>
      </w:pPr>
    </w:p>
    <w:p w14:paraId="45E9D02A" w14:textId="054745B6" w:rsidR="001F0023" w:rsidRPr="006F521F" w:rsidRDefault="001F0023" w:rsidP="00387232">
      <w:pPr>
        <w:pStyle w:val="ListParagraph"/>
        <w:numPr>
          <w:ilvl w:val="2"/>
          <w:numId w:val="22"/>
        </w:numPr>
        <w:spacing w:after="160"/>
        <w:contextualSpacing/>
        <w:jc w:val="both"/>
        <w:rPr>
          <w:rFonts w:ascii="Times New Roman" w:eastAsia="Calibri" w:hAnsi="Times New Roman" w:cs="Times New Roman"/>
          <w:b/>
          <w:bCs/>
          <w:u w:val="single"/>
        </w:rPr>
      </w:pPr>
      <w:r w:rsidRPr="006F521F">
        <w:rPr>
          <w:rFonts w:ascii="Times New Roman" w:eastAsia="Calibri" w:hAnsi="Times New Roman" w:cs="Times New Roman"/>
          <w:b/>
          <w:bCs/>
          <w:u w:val="single"/>
        </w:rPr>
        <w:t xml:space="preserve">Impact of Restrictive Abortion Laws </w:t>
      </w:r>
    </w:p>
    <w:p w14:paraId="21929A3E" w14:textId="77777777" w:rsidR="00330397" w:rsidRDefault="001F0023" w:rsidP="00387232">
      <w:pPr>
        <w:spacing w:line="240" w:lineRule="auto"/>
        <w:jc w:val="both"/>
        <w:rPr>
          <w:rFonts w:ascii="Times New Roman" w:hAnsi="Times New Roman" w:cs="Times New Roman"/>
          <w:bCs/>
        </w:rPr>
      </w:pPr>
      <w:r w:rsidRPr="00387232">
        <w:rPr>
          <w:rFonts w:ascii="Times New Roman" w:hAnsi="Times New Roman" w:cs="Times New Roman"/>
          <w:bCs/>
        </w:rPr>
        <w:t>Treaty monitoring bodies have long recognized the connection between restrictive abortion laws, high rates of unsafe abortion and maternal mortality</w:t>
      </w:r>
      <w:r w:rsidRPr="00387232">
        <w:rPr>
          <w:rStyle w:val="EndnoteReference"/>
          <w:rFonts w:ascii="Times New Roman" w:hAnsi="Times New Roman" w:cs="Times New Roman"/>
        </w:rPr>
        <w:endnoteReference w:id="12"/>
      </w:r>
      <w:r w:rsidRPr="00387232">
        <w:rPr>
          <w:rFonts w:ascii="Times New Roman" w:hAnsi="Times New Roman" w:cs="Times New Roman"/>
          <w:bCs/>
        </w:rPr>
        <w:t>, and found that restrictive abortion laws violate a range of human rights, including the rights to health, life, privacy, freedom from gender discrimination or gender stereotyping, and freedom from ill-treatment.</w:t>
      </w:r>
      <w:r w:rsidRPr="00387232">
        <w:rPr>
          <w:rStyle w:val="EndnoteReference"/>
          <w:rFonts w:ascii="Times New Roman" w:hAnsi="Times New Roman" w:cs="Times New Roman"/>
        </w:rPr>
        <w:endnoteReference w:id="13"/>
      </w:r>
      <w:r w:rsidRPr="00387232">
        <w:rPr>
          <w:rFonts w:ascii="Times New Roman" w:hAnsi="Times New Roman" w:cs="Times New Roman"/>
          <w:bCs/>
        </w:rPr>
        <w:t xml:space="preserve"> </w:t>
      </w:r>
    </w:p>
    <w:p w14:paraId="1B2C3741" w14:textId="4CF301A3" w:rsidR="00330397" w:rsidRDefault="00330397" w:rsidP="00387232">
      <w:pPr>
        <w:spacing w:line="240" w:lineRule="auto"/>
        <w:jc w:val="both"/>
        <w:rPr>
          <w:rFonts w:ascii="Times New Roman" w:hAnsi="Times New Roman" w:cs="Times New Roman"/>
          <w:bCs/>
          <w:lang w:val="en-US"/>
        </w:rPr>
      </w:pPr>
      <w:r>
        <w:rPr>
          <w:rFonts w:ascii="Times New Roman" w:hAnsi="Times New Roman" w:cs="Times New Roman"/>
          <w:bCs/>
          <w:lang w:val="en-US"/>
        </w:rPr>
        <w:t xml:space="preserve">Exception-based legal frameworks on abortion also hinder and do not guarantee women and girls’ access to abortion services, including for survivors of rape and sexual violence. To ensure access free of discrimination, coercion and violence, States should guarantee access to abortion on request. </w:t>
      </w:r>
    </w:p>
    <w:p w14:paraId="4AD52D7B" w14:textId="5EFADEA8" w:rsidR="007C5B25" w:rsidRPr="00BF5CF7" w:rsidRDefault="004D0F4C" w:rsidP="00387232">
      <w:pPr>
        <w:spacing w:line="240" w:lineRule="auto"/>
        <w:jc w:val="both"/>
        <w:rPr>
          <w:rFonts w:ascii="Times New Roman" w:eastAsia="Calibri" w:hAnsi="Times New Roman" w:cs="Times New Roman"/>
          <w:lang w:val="en-US"/>
        </w:rPr>
      </w:pPr>
      <w:r w:rsidRPr="00BF5CF7">
        <w:rPr>
          <w:rFonts w:ascii="Times New Roman" w:hAnsi="Times New Roman" w:cs="Times New Roman"/>
        </w:rPr>
        <w:t>Systemic sexual violence paired with minimal access to sexual and reproductive health services means that women and girls in Latin America and the Caribbean are frequently forced to carry unwanted pregnancies to term. This has a negative impact on girls’ mental, physical, and social health and leaves them vulnerable to higher risks of maternal mortality, anxiety, depression, post-traumatic stress disorder, and suicide</w:t>
      </w:r>
      <w:r w:rsidR="00D727E9" w:rsidRPr="00BF5CF7">
        <w:rPr>
          <w:rStyle w:val="EndnoteReference"/>
          <w:rFonts w:ascii="Times New Roman" w:hAnsi="Times New Roman" w:cs="Times New Roman"/>
        </w:rPr>
        <w:endnoteReference w:id="14"/>
      </w:r>
      <w:r w:rsidRPr="00BF5CF7">
        <w:rPr>
          <w:rFonts w:ascii="Times New Roman" w:hAnsi="Times New Roman" w:cs="Times New Roman"/>
        </w:rPr>
        <w:t xml:space="preserve">. </w:t>
      </w:r>
      <w:r w:rsidR="004D0463" w:rsidRPr="00BF5CF7">
        <w:rPr>
          <w:rFonts w:ascii="Times New Roman" w:hAnsi="Times New Roman" w:cs="Times New Roman"/>
          <w:lang w:val="en-US"/>
        </w:rPr>
        <w:t>The Center for Reproductive Rights has brought forward</w:t>
      </w:r>
      <w:r w:rsidRPr="00BF5CF7">
        <w:rPr>
          <w:rFonts w:ascii="Times New Roman" w:hAnsi="Times New Roman" w:cs="Times New Roman"/>
        </w:rPr>
        <w:t xml:space="preserve"> cases before the United Nations Human Rights Committee (“the Committee”)</w:t>
      </w:r>
      <w:r w:rsidR="004D0463" w:rsidRPr="00BF5CF7">
        <w:rPr>
          <w:rFonts w:ascii="Times New Roman" w:hAnsi="Times New Roman" w:cs="Times New Roman"/>
          <w:lang w:val="en-US"/>
        </w:rPr>
        <w:t xml:space="preserve">. </w:t>
      </w:r>
      <w:hyperlink r:id="rId11" w:history="1">
        <w:r w:rsidR="004D0463" w:rsidRPr="00BF5CF7">
          <w:rPr>
            <w:rStyle w:val="Hyperlink"/>
            <w:rFonts w:ascii="Times New Roman" w:hAnsi="Times New Roman" w:cs="Times New Roman"/>
            <w:lang w:val="en-US"/>
          </w:rPr>
          <w:t>These cases</w:t>
        </w:r>
      </w:hyperlink>
      <w:r w:rsidR="004D0463" w:rsidRPr="00BF5CF7">
        <w:rPr>
          <w:rFonts w:ascii="Times New Roman" w:hAnsi="Times New Roman" w:cs="Times New Roman"/>
          <w:lang w:val="en-US"/>
        </w:rPr>
        <w:t xml:space="preserve"> </w:t>
      </w:r>
      <w:r w:rsidRPr="00BF5CF7">
        <w:rPr>
          <w:rFonts w:ascii="Times New Roman" w:hAnsi="Times New Roman" w:cs="Times New Roman"/>
        </w:rPr>
        <w:t xml:space="preserve">are emblematic of a regional pattern of sexual and reproductive rights violations against girls and the lack of judicial recourse for victims of sexual abuse. Our petitioners’ stories are uniquely their own because every instance of sexual violence is personal, but the violence, trauma, and human rights abuses they have experienced are not unique. </w:t>
      </w:r>
    </w:p>
    <w:p w14:paraId="7E08B655" w14:textId="77777777" w:rsidR="001F0023" w:rsidRPr="00387232" w:rsidRDefault="001F0023" w:rsidP="00387232">
      <w:pPr>
        <w:pStyle w:val="NormalWeb"/>
        <w:jc w:val="both"/>
        <w:rPr>
          <w:bCs/>
          <w:sz w:val="22"/>
          <w:szCs w:val="22"/>
          <w:lang w:val="en-US"/>
        </w:rPr>
      </w:pPr>
      <w:r w:rsidRPr="00387232">
        <w:rPr>
          <w:bCs/>
          <w:sz w:val="22"/>
          <w:szCs w:val="22"/>
          <w:lang w:val="en-US"/>
        </w:rPr>
        <w:t xml:space="preserve">According to the </w:t>
      </w:r>
      <w:r w:rsidRPr="00387232">
        <w:rPr>
          <w:bCs/>
          <w:sz w:val="22"/>
          <w:szCs w:val="22"/>
        </w:rPr>
        <w:t>The World Health Organization (WHO)</w:t>
      </w:r>
      <w:r w:rsidRPr="00387232">
        <w:rPr>
          <w:bCs/>
          <w:sz w:val="22"/>
          <w:szCs w:val="22"/>
          <w:lang w:val="en-US"/>
        </w:rPr>
        <w:t>, ‘</w:t>
      </w:r>
      <w:r w:rsidRPr="00387232">
        <w:rPr>
          <w:color w:val="333333"/>
          <w:sz w:val="22"/>
          <w:szCs w:val="22"/>
          <w:shd w:val="clear" w:color="auto" w:fill="FFFFFF"/>
        </w:rPr>
        <w:t>20 or 30 others experience acute or chronic morbidity, often with permanent sequelae that undermine their normal functioning</w:t>
      </w:r>
      <w:r w:rsidRPr="00387232">
        <w:rPr>
          <w:color w:val="333333"/>
          <w:sz w:val="22"/>
          <w:szCs w:val="22"/>
          <w:shd w:val="clear" w:color="auto" w:fill="FFFFFF"/>
          <w:lang w:val="en-US"/>
        </w:rPr>
        <w:t>’.</w:t>
      </w:r>
      <w:r w:rsidRPr="00387232">
        <w:rPr>
          <w:rStyle w:val="EndnoteReference"/>
          <w:color w:val="333333"/>
          <w:sz w:val="22"/>
          <w:szCs w:val="22"/>
          <w:shd w:val="clear" w:color="auto" w:fill="FFFFFF"/>
          <w:lang w:val="en-US"/>
        </w:rPr>
        <w:endnoteReference w:id="15"/>
      </w:r>
    </w:p>
    <w:p w14:paraId="2F47E353" w14:textId="77777777" w:rsidR="001F0023" w:rsidRPr="00387232" w:rsidRDefault="001F0023" w:rsidP="00387232">
      <w:pPr>
        <w:pStyle w:val="NormalWeb"/>
        <w:jc w:val="both"/>
        <w:rPr>
          <w:i/>
          <w:iCs/>
          <w:color w:val="3C4245"/>
          <w:sz w:val="22"/>
          <w:szCs w:val="22"/>
        </w:rPr>
      </w:pPr>
      <w:r w:rsidRPr="00387232">
        <w:rPr>
          <w:bCs/>
          <w:sz w:val="22"/>
          <w:szCs w:val="22"/>
          <w:lang w:val="en-US"/>
        </w:rPr>
        <w:t>WHO</w:t>
      </w:r>
      <w:r w:rsidRPr="00387232">
        <w:rPr>
          <w:bCs/>
          <w:sz w:val="22"/>
          <w:szCs w:val="22"/>
        </w:rPr>
        <w:t xml:space="preserve"> has also made the link between unsafe abortion and maternal morbidity</w:t>
      </w:r>
      <w:r w:rsidRPr="00387232">
        <w:rPr>
          <w:bCs/>
          <w:sz w:val="22"/>
          <w:szCs w:val="22"/>
          <w:lang w:val="en-US"/>
        </w:rPr>
        <w:t>, highlighting that women can face a range of harms and complications that affect their quality of life and well-being following unsafe abortion procedures: ‘</w:t>
      </w:r>
      <w:r w:rsidRPr="00387232">
        <w:rPr>
          <w:i/>
          <w:iCs/>
          <w:color w:val="3C4245"/>
          <w:sz w:val="22"/>
          <w:szCs w:val="22"/>
          <w:lang w:val="en-US"/>
        </w:rPr>
        <w:t>t</w:t>
      </w:r>
      <w:r w:rsidRPr="00387232">
        <w:rPr>
          <w:i/>
          <w:iCs/>
          <w:color w:val="3C4245"/>
          <w:sz w:val="22"/>
          <w:szCs w:val="22"/>
        </w:rPr>
        <w:t>he major life-threatening complications resulting from the least safe abortions are haemorrhage, infection, and injury to the genital tract and internal organs. Unsafe abortions when performed under least safe conditions can lead to complications such as:</w:t>
      </w:r>
    </w:p>
    <w:p w14:paraId="73E8B826" w14:textId="77777777" w:rsidR="001F0023" w:rsidRPr="00387232" w:rsidRDefault="001F0023" w:rsidP="00387232">
      <w:pPr>
        <w:numPr>
          <w:ilvl w:val="0"/>
          <w:numId w:val="15"/>
        </w:numPr>
        <w:spacing w:before="100" w:beforeAutospacing="1" w:after="100" w:afterAutospacing="1" w:line="240" w:lineRule="auto"/>
        <w:jc w:val="both"/>
        <w:rPr>
          <w:rFonts w:ascii="Times New Roman" w:eastAsia="Times New Roman" w:hAnsi="Times New Roman" w:cs="Times New Roman"/>
          <w:i/>
          <w:iCs/>
          <w:color w:val="3C4245"/>
          <w:lang w:eastAsia="en-CH"/>
        </w:rPr>
      </w:pPr>
      <w:r w:rsidRPr="00387232">
        <w:rPr>
          <w:rFonts w:ascii="Times New Roman" w:eastAsia="Times New Roman" w:hAnsi="Times New Roman" w:cs="Times New Roman"/>
          <w:i/>
          <w:iCs/>
          <w:color w:val="3C4245"/>
          <w:lang w:eastAsia="en-CH"/>
        </w:rPr>
        <w:t>incomplete abortion (failure to remove or expel all of the pregnancy tissue from the uterus)</w:t>
      </w:r>
    </w:p>
    <w:p w14:paraId="41ED7135" w14:textId="77777777" w:rsidR="001F0023" w:rsidRPr="00387232" w:rsidRDefault="001F0023" w:rsidP="00387232">
      <w:pPr>
        <w:numPr>
          <w:ilvl w:val="0"/>
          <w:numId w:val="15"/>
        </w:numPr>
        <w:spacing w:before="100" w:beforeAutospacing="1" w:after="100" w:afterAutospacing="1" w:line="240" w:lineRule="auto"/>
        <w:jc w:val="both"/>
        <w:rPr>
          <w:rFonts w:ascii="Times New Roman" w:eastAsia="Times New Roman" w:hAnsi="Times New Roman" w:cs="Times New Roman"/>
          <w:i/>
          <w:iCs/>
          <w:color w:val="3C4245"/>
          <w:lang w:eastAsia="en-CH"/>
        </w:rPr>
      </w:pPr>
      <w:r w:rsidRPr="00387232">
        <w:rPr>
          <w:rFonts w:ascii="Times New Roman" w:eastAsia="Times New Roman" w:hAnsi="Times New Roman" w:cs="Times New Roman"/>
          <w:i/>
          <w:iCs/>
          <w:color w:val="3C4245"/>
          <w:lang w:eastAsia="en-CH"/>
        </w:rPr>
        <w:t>haemorrhage (heavy bleeding)</w:t>
      </w:r>
    </w:p>
    <w:p w14:paraId="4D1CCB34" w14:textId="77777777" w:rsidR="001F0023" w:rsidRPr="00387232" w:rsidRDefault="001F0023" w:rsidP="00387232">
      <w:pPr>
        <w:numPr>
          <w:ilvl w:val="0"/>
          <w:numId w:val="15"/>
        </w:numPr>
        <w:spacing w:before="100" w:beforeAutospacing="1" w:after="100" w:afterAutospacing="1" w:line="240" w:lineRule="auto"/>
        <w:jc w:val="both"/>
        <w:rPr>
          <w:rFonts w:ascii="Times New Roman" w:eastAsia="Times New Roman" w:hAnsi="Times New Roman" w:cs="Times New Roman"/>
          <w:i/>
          <w:iCs/>
          <w:color w:val="3C4245"/>
          <w:lang w:eastAsia="en-CH"/>
        </w:rPr>
      </w:pPr>
      <w:r w:rsidRPr="00387232">
        <w:rPr>
          <w:rFonts w:ascii="Times New Roman" w:eastAsia="Times New Roman" w:hAnsi="Times New Roman" w:cs="Times New Roman"/>
          <w:i/>
          <w:iCs/>
          <w:color w:val="3C4245"/>
          <w:lang w:eastAsia="en-CH"/>
        </w:rPr>
        <w:t>infection</w:t>
      </w:r>
    </w:p>
    <w:p w14:paraId="64AC78A2" w14:textId="77777777" w:rsidR="001F0023" w:rsidRPr="00387232" w:rsidRDefault="001F0023" w:rsidP="00387232">
      <w:pPr>
        <w:numPr>
          <w:ilvl w:val="0"/>
          <w:numId w:val="15"/>
        </w:numPr>
        <w:spacing w:before="100" w:beforeAutospacing="1" w:after="100" w:afterAutospacing="1" w:line="240" w:lineRule="auto"/>
        <w:jc w:val="both"/>
        <w:rPr>
          <w:rFonts w:ascii="Times New Roman" w:eastAsia="Times New Roman" w:hAnsi="Times New Roman" w:cs="Times New Roman"/>
          <w:i/>
          <w:iCs/>
          <w:color w:val="3C4245"/>
          <w:lang w:eastAsia="en-CH"/>
        </w:rPr>
      </w:pPr>
      <w:r w:rsidRPr="00387232">
        <w:rPr>
          <w:rFonts w:ascii="Times New Roman" w:eastAsia="Times New Roman" w:hAnsi="Times New Roman" w:cs="Times New Roman"/>
          <w:i/>
          <w:iCs/>
          <w:color w:val="3C4245"/>
          <w:lang w:eastAsia="en-CH"/>
        </w:rPr>
        <w:t>uterine perforation (caused when the uterus is pierced by a sharp object)</w:t>
      </w:r>
    </w:p>
    <w:p w14:paraId="479CCA86" w14:textId="77777777" w:rsidR="001F0023" w:rsidRPr="00387232" w:rsidRDefault="001F0023" w:rsidP="00387232">
      <w:pPr>
        <w:numPr>
          <w:ilvl w:val="0"/>
          <w:numId w:val="15"/>
        </w:numPr>
        <w:spacing w:before="100" w:beforeAutospacing="1" w:after="100" w:afterAutospacing="1" w:line="240" w:lineRule="auto"/>
        <w:jc w:val="both"/>
        <w:rPr>
          <w:rFonts w:ascii="Times New Roman" w:eastAsia="Times New Roman" w:hAnsi="Times New Roman" w:cs="Times New Roman"/>
          <w:i/>
          <w:iCs/>
          <w:color w:val="3C4245"/>
          <w:lang w:eastAsia="en-CH"/>
        </w:rPr>
      </w:pPr>
      <w:r w:rsidRPr="00387232">
        <w:rPr>
          <w:rFonts w:ascii="Times New Roman" w:eastAsia="Times New Roman" w:hAnsi="Times New Roman" w:cs="Times New Roman"/>
          <w:i/>
          <w:iCs/>
          <w:color w:val="3C4245"/>
          <w:lang w:eastAsia="en-CH"/>
        </w:rPr>
        <w:t>damage to the genital tract and internal organs by inserting dangerous objects such as sticks, knitting needles, or broken glass into the vagina or anus.’</w:t>
      </w:r>
      <w:r w:rsidRPr="00387232">
        <w:rPr>
          <w:rStyle w:val="EndnoteReference"/>
          <w:rFonts w:ascii="Times New Roman" w:eastAsia="Times New Roman" w:hAnsi="Times New Roman" w:cs="Times New Roman"/>
          <w:i/>
          <w:iCs/>
          <w:color w:val="3C4245"/>
          <w:lang w:eastAsia="en-CH"/>
        </w:rPr>
        <w:endnoteReference w:id="16"/>
      </w:r>
    </w:p>
    <w:p w14:paraId="65125131" w14:textId="77777777" w:rsidR="001F0023" w:rsidRPr="00387232" w:rsidRDefault="001F0023" w:rsidP="00387232">
      <w:pPr>
        <w:spacing w:line="240" w:lineRule="auto"/>
        <w:jc w:val="both"/>
        <w:rPr>
          <w:rFonts w:ascii="Times New Roman" w:hAnsi="Times New Roman" w:cs="Times New Roman"/>
        </w:rPr>
      </w:pPr>
      <w:r w:rsidRPr="00387232">
        <w:rPr>
          <w:rFonts w:ascii="Times New Roman" w:hAnsi="Times New Roman" w:cs="Times New Roman"/>
        </w:rPr>
        <w:t>In General Comment (General Comment No. 36 on the right to life), the Human Rights Committee</w:t>
      </w:r>
      <w:r w:rsidRPr="00387232" w:rsidDel="000132F5">
        <w:rPr>
          <w:rFonts w:ascii="Times New Roman" w:hAnsi="Times New Roman" w:cs="Times New Roman"/>
        </w:rPr>
        <w:t xml:space="preserve"> </w:t>
      </w:r>
      <w:r w:rsidRPr="00387232">
        <w:rPr>
          <w:rFonts w:ascii="Times New Roman" w:hAnsi="Times New Roman" w:cs="Times New Roman"/>
        </w:rPr>
        <w:t>has reaffirmed that States have a duty to ensure that women and girls do not have to undertake unsafe abortions as part of preventing foreseeable threats to the right to life. Accordingly States must not impose criminal sanctions against women and girls undergoing abortion or against medical service providers assisting them  in doing so, and at a minimum “</w:t>
      </w:r>
      <w:r w:rsidRPr="00387232">
        <w:rPr>
          <w:rFonts w:ascii="Times New Roman" w:hAnsi="Times New Roman" w:cs="Times New Roman"/>
          <w:i/>
          <w:iCs/>
        </w:rPr>
        <w:t>must provide access to safe, legal and effective access to abortion where the life and health of the pregnant woman or girl is at risk, or where carrying a pregnancy to term would cause the pregnant woman or girl substantial pain or suffering, most notably where the pregnancy is the result of rape or incest or is not viable</w:t>
      </w:r>
      <w:r w:rsidRPr="00387232">
        <w:rPr>
          <w:rFonts w:ascii="Times New Roman" w:hAnsi="Times New Roman" w:cs="Times New Roman"/>
        </w:rPr>
        <w:t>”</w:t>
      </w:r>
      <w:r w:rsidRPr="00387232">
        <w:rPr>
          <w:rStyle w:val="EndnoteReference"/>
          <w:rFonts w:ascii="Times New Roman" w:hAnsi="Times New Roman" w:cs="Times New Roman"/>
        </w:rPr>
        <w:endnoteReference w:id="17"/>
      </w:r>
      <w:r w:rsidRPr="00387232">
        <w:rPr>
          <w:rFonts w:ascii="Times New Roman" w:hAnsi="Times New Roman" w:cs="Times New Roman"/>
        </w:rPr>
        <w:t xml:space="preserve">. </w:t>
      </w:r>
      <w:r w:rsidRPr="00387232">
        <w:rPr>
          <w:rFonts w:ascii="Times New Roman" w:eastAsia="Times New Roman" w:hAnsi="Times New Roman" w:cs="Times New Roman"/>
        </w:rPr>
        <w:t xml:space="preserve">This formulation allows for a </w:t>
      </w:r>
      <w:r w:rsidRPr="00387232">
        <w:rPr>
          <w:rFonts w:ascii="Times New Roman" w:eastAsia="Times New Roman" w:hAnsi="Times New Roman" w:cs="Times New Roman"/>
        </w:rPr>
        <w:lastRenderedPageBreak/>
        <w:t>broad interpretation of the minimum grounds under which abortion should be made legal and also calls on states to take affirmative steps to provide access to abortion.</w:t>
      </w:r>
    </w:p>
    <w:p w14:paraId="0AC1AED4" w14:textId="77777777" w:rsidR="001F0023" w:rsidRPr="00387232" w:rsidRDefault="001F0023" w:rsidP="00387232">
      <w:pPr>
        <w:spacing w:line="240" w:lineRule="auto"/>
        <w:jc w:val="both"/>
        <w:rPr>
          <w:rFonts w:ascii="Times New Roman" w:hAnsi="Times New Roman" w:cs="Times New Roman"/>
        </w:rPr>
      </w:pPr>
      <w:r w:rsidRPr="00387232">
        <w:rPr>
          <w:rFonts w:ascii="Times New Roman" w:hAnsi="Times New Roman" w:cs="Times New Roman"/>
        </w:rPr>
        <w:t>Treaty monitoring bodies have found that States should eliminate punitive measures for women who undergo abortions and for health care providers who deliver abortion services,</w:t>
      </w:r>
      <w:r w:rsidRPr="00387232">
        <w:rPr>
          <w:rStyle w:val="EndnoteReference"/>
          <w:rFonts w:ascii="Times New Roman" w:hAnsi="Times New Roman" w:cs="Times New Roman"/>
        </w:rPr>
        <w:endnoteReference w:id="18"/>
      </w:r>
      <w:r w:rsidRPr="00387232">
        <w:rPr>
          <w:rFonts w:ascii="Times New Roman" w:hAnsi="Times New Roman" w:cs="Times New Roman"/>
        </w:rPr>
        <w:t xml:space="preserve"> provide post-abortion care to women and adolescents, regardless of whether or not abortion is legal,</w:t>
      </w:r>
      <w:r w:rsidRPr="00387232">
        <w:rPr>
          <w:rStyle w:val="EndnoteReference"/>
          <w:rFonts w:ascii="Times New Roman" w:hAnsi="Times New Roman" w:cs="Times New Roman"/>
        </w:rPr>
        <w:endnoteReference w:id="19"/>
      </w:r>
      <w:r w:rsidRPr="00387232">
        <w:rPr>
          <w:rFonts w:ascii="Times New Roman" w:hAnsi="Times New Roman" w:cs="Times New Roman"/>
        </w:rPr>
        <w:t>, address the socio-economic needs of women seeking abortion services</w:t>
      </w:r>
      <w:r w:rsidRPr="00387232">
        <w:rPr>
          <w:rStyle w:val="EndnoteReference"/>
          <w:rFonts w:ascii="Times New Roman" w:hAnsi="Times New Roman" w:cs="Times New Roman"/>
        </w:rPr>
        <w:endnoteReference w:id="20"/>
      </w:r>
      <w:r w:rsidRPr="00387232">
        <w:rPr>
          <w:rFonts w:ascii="Times New Roman" w:hAnsi="Times New Roman" w:cs="Times New Roman"/>
        </w:rPr>
        <w:t xml:space="preserve"> and consider establishing a legal presumption stating that adolescents are competent to seek and have access to sexual and reproductive health commodities and services, including abortion.</w:t>
      </w:r>
      <w:r w:rsidRPr="00387232">
        <w:rPr>
          <w:rStyle w:val="EndnoteReference"/>
          <w:rFonts w:ascii="Times New Roman" w:hAnsi="Times New Roman" w:cs="Times New Roman"/>
        </w:rPr>
        <w:endnoteReference w:id="21"/>
      </w:r>
    </w:p>
    <w:p w14:paraId="435CAF51" w14:textId="25E68B9D" w:rsidR="001F0023" w:rsidRPr="006F521F" w:rsidRDefault="001F0023" w:rsidP="00387232">
      <w:pPr>
        <w:pStyle w:val="ListParagraph"/>
        <w:numPr>
          <w:ilvl w:val="2"/>
          <w:numId w:val="22"/>
        </w:numPr>
        <w:jc w:val="both"/>
        <w:rPr>
          <w:rFonts w:ascii="Times New Roman" w:hAnsi="Times New Roman" w:cs="Times New Roman"/>
          <w:b/>
          <w:bCs/>
          <w:u w:val="single"/>
        </w:rPr>
      </w:pPr>
      <w:r w:rsidRPr="006F521F">
        <w:rPr>
          <w:rFonts w:ascii="Times New Roman" w:hAnsi="Times New Roman" w:cs="Times New Roman"/>
          <w:b/>
          <w:bCs/>
          <w:u w:val="single"/>
          <w:lang w:val="en-US"/>
        </w:rPr>
        <w:t xml:space="preserve">Access to </w:t>
      </w:r>
      <w:r w:rsidR="000255A1" w:rsidRPr="006F521F">
        <w:rPr>
          <w:rFonts w:ascii="Times New Roman" w:hAnsi="Times New Roman" w:cs="Times New Roman"/>
          <w:b/>
          <w:bCs/>
          <w:u w:val="single"/>
          <w:lang w:val="en-US"/>
        </w:rPr>
        <w:t xml:space="preserve">emergency </w:t>
      </w:r>
      <w:r w:rsidRPr="006F521F">
        <w:rPr>
          <w:rFonts w:ascii="Times New Roman" w:hAnsi="Times New Roman" w:cs="Times New Roman"/>
          <w:b/>
          <w:bCs/>
          <w:u w:val="single"/>
          <w:lang w:val="en-US"/>
        </w:rPr>
        <w:t>contraception</w:t>
      </w:r>
    </w:p>
    <w:p w14:paraId="7F0C1B97" w14:textId="77777777" w:rsidR="00E85974" w:rsidRPr="00387232" w:rsidRDefault="00E85974" w:rsidP="00387232">
      <w:pPr>
        <w:pStyle w:val="ListParagraph"/>
        <w:jc w:val="both"/>
        <w:rPr>
          <w:rFonts w:ascii="Times New Roman" w:hAnsi="Times New Roman" w:cs="Times New Roman"/>
        </w:rPr>
      </w:pPr>
    </w:p>
    <w:p w14:paraId="55BE8806" w14:textId="1B2AABE4" w:rsidR="001F0023" w:rsidRPr="00387232" w:rsidRDefault="001F0023" w:rsidP="00387232">
      <w:pPr>
        <w:jc w:val="both"/>
        <w:rPr>
          <w:rFonts w:ascii="Times New Roman" w:hAnsi="Times New Roman" w:cs="Times New Roman"/>
        </w:rPr>
      </w:pPr>
      <w:r w:rsidRPr="00387232">
        <w:rPr>
          <w:rFonts w:ascii="Times New Roman" w:hAnsi="Times New Roman" w:cs="Times New Roman"/>
        </w:rPr>
        <w:t>Treaty monitoring bodies have paid particular attention to the issue of access to emergency contraception, which prevents pregnancy following unprotected sexual intercourse. Emergency contraception should be available without a prescription,</w:t>
      </w:r>
      <w:r w:rsidRPr="00387232">
        <w:rPr>
          <w:rStyle w:val="EndnoteReference"/>
          <w:rFonts w:ascii="Times New Roman" w:hAnsi="Times New Roman" w:cs="Times New Roman"/>
        </w:rPr>
        <w:endnoteReference w:id="22"/>
      </w:r>
      <w:r w:rsidRPr="00387232">
        <w:rPr>
          <w:rFonts w:ascii="Times New Roman" w:hAnsi="Times New Roman" w:cs="Times New Roman"/>
        </w:rPr>
        <w:t xml:space="preserve"> should be free for victims of violence including adolescents,</w:t>
      </w:r>
      <w:r w:rsidRPr="00387232">
        <w:rPr>
          <w:rStyle w:val="EndnoteReference"/>
          <w:rFonts w:ascii="Times New Roman" w:hAnsi="Times New Roman" w:cs="Times New Roman"/>
        </w:rPr>
        <w:endnoteReference w:id="23"/>
      </w:r>
      <w:r w:rsidRPr="00387232">
        <w:rPr>
          <w:rFonts w:ascii="Times New Roman" w:hAnsi="Times New Roman" w:cs="Times New Roman"/>
        </w:rPr>
        <w:t xml:space="preserve"> and special measures should be taken to ensure that it is available to women in conflict and post-conflict zones.</w:t>
      </w:r>
      <w:r w:rsidRPr="00387232">
        <w:rPr>
          <w:rStyle w:val="EndnoteReference"/>
          <w:rFonts w:ascii="Times New Roman" w:hAnsi="Times New Roman" w:cs="Times New Roman"/>
        </w:rPr>
        <w:endnoteReference w:id="24"/>
      </w:r>
      <w:r w:rsidRPr="00387232">
        <w:rPr>
          <w:rFonts w:ascii="Times New Roman" w:hAnsi="Times New Roman" w:cs="Times New Roman"/>
        </w:rPr>
        <w:t xml:space="preserve"> Failure to ensure legal and accessible emergency contraception for women who are victims of rape or sexual abuse can result in physical and mental suffering that may amount to ill-treatment.</w:t>
      </w:r>
      <w:r w:rsidRPr="00387232">
        <w:rPr>
          <w:rStyle w:val="EndnoteReference"/>
          <w:rFonts w:ascii="Times New Roman" w:hAnsi="Times New Roman" w:cs="Times New Roman"/>
        </w:rPr>
        <w:endnoteReference w:id="25"/>
      </w:r>
      <w:r w:rsidRPr="00387232">
        <w:rPr>
          <w:rFonts w:ascii="Times New Roman" w:hAnsi="Times New Roman" w:cs="Times New Roman"/>
        </w:rPr>
        <w:t xml:space="preserve"> </w:t>
      </w:r>
    </w:p>
    <w:p w14:paraId="5D9DFF4B" w14:textId="3489E74B" w:rsidR="00720C0D" w:rsidRPr="006F521F" w:rsidRDefault="00720C0D" w:rsidP="00387232">
      <w:pPr>
        <w:pStyle w:val="ListParagraph"/>
        <w:numPr>
          <w:ilvl w:val="2"/>
          <w:numId w:val="22"/>
        </w:numPr>
        <w:spacing w:after="200"/>
        <w:contextualSpacing/>
        <w:jc w:val="both"/>
        <w:rPr>
          <w:rFonts w:ascii="Times New Roman" w:hAnsi="Times New Roman" w:cs="Times New Roman"/>
          <w:b/>
          <w:bCs/>
          <w:i/>
          <w:u w:val="single"/>
        </w:rPr>
      </w:pPr>
      <w:r w:rsidRPr="006F521F">
        <w:rPr>
          <w:rFonts w:ascii="Times New Roman" w:hAnsi="Times New Roman" w:cs="Times New Roman"/>
          <w:b/>
          <w:bCs/>
          <w:iCs/>
          <w:u w:val="single"/>
        </w:rPr>
        <w:t>Stigma and Discrimination and the Realization of SRHR</w:t>
      </w:r>
    </w:p>
    <w:p w14:paraId="1157D42A" w14:textId="45431EB4" w:rsidR="00720C0D" w:rsidRPr="00387232" w:rsidRDefault="007102D7" w:rsidP="00387232">
      <w:pPr>
        <w:spacing w:after="200" w:line="240" w:lineRule="auto"/>
        <w:jc w:val="both"/>
        <w:rPr>
          <w:rFonts w:ascii="Times New Roman" w:hAnsi="Times New Roman" w:cs="Times New Roman"/>
        </w:rPr>
      </w:pPr>
      <w:r w:rsidRPr="00BF5CF7">
        <w:rPr>
          <w:rFonts w:ascii="Times New Roman" w:hAnsi="Times New Roman" w:cs="Times New Roman"/>
          <w:lang w:val="en-US"/>
        </w:rPr>
        <w:t>St</w:t>
      </w:r>
      <w:r>
        <w:rPr>
          <w:rFonts w:ascii="Times New Roman" w:hAnsi="Times New Roman" w:cs="Times New Roman"/>
          <w:lang w:val="en-US"/>
        </w:rPr>
        <w:t xml:space="preserve">igma and stereotypes permeate laws </w:t>
      </w:r>
      <w:r w:rsidR="002A0C7B">
        <w:rPr>
          <w:rFonts w:ascii="Times New Roman" w:hAnsi="Times New Roman" w:cs="Times New Roman"/>
          <w:lang w:val="en-US"/>
        </w:rPr>
        <w:t xml:space="preserve">on rape </w:t>
      </w:r>
      <w:r>
        <w:rPr>
          <w:rFonts w:ascii="Times New Roman" w:hAnsi="Times New Roman" w:cs="Times New Roman"/>
          <w:lang w:val="en-US"/>
        </w:rPr>
        <w:t xml:space="preserve">and </w:t>
      </w:r>
      <w:r w:rsidR="00B3517A">
        <w:rPr>
          <w:rFonts w:ascii="Times New Roman" w:hAnsi="Times New Roman" w:cs="Times New Roman"/>
          <w:lang w:val="en-US"/>
        </w:rPr>
        <w:t xml:space="preserve">its </w:t>
      </w:r>
      <w:r w:rsidR="005046E5">
        <w:rPr>
          <w:rFonts w:ascii="Times New Roman" w:hAnsi="Times New Roman" w:cs="Times New Roman"/>
          <w:lang w:val="en-US"/>
        </w:rPr>
        <w:t>enforcemen</w:t>
      </w:r>
      <w:r w:rsidR="0002423B">
        <w:rPr>
          <w:rFonts w:ascii="Times New Roman" w:hAnsi="Times New Roman" w:cs="Times New Roman"/>
          <w:lang w:val="en-US"/>
        </w:rPr>
        <w:t>t</w:t>
      </w:r>
      <w:r w:rsidR="00E25D4B">
        <w:rPr>
          <w:rFonts w:ascii="Times New Roman" w:hAnsi="Times New Roman" w:cs="Times New Roman"/>
          <w:lang w:val="en-US"/>
        </w:rPr>
        <w:t xml:space="preserve">, they also </w:t>
      </w:r>
      <w:r w:rsidR="003915CC">
        <w:rPr>
          <w:rFonts w:ascii="Times New Roman" w:hAnsi="Times New Roman" w:cs="Times New Roman"/>
          <w:lang w:val="en-US"/>
        </w:rPr>
        <w:t xml:space="preserve">are prevalent in the laws concerning the provision of sexual and reproductive health services, </w:t>
      </w:r>
      <w:r w:rsidR="0043491E">
        <w:rPr>
          <w:rFonts w:ascii="Times New Roman" w:hAnsi="Times New Roman" w:cs="Times New Roman"/>
          <w:lang w:val="en-US"/>
        </w:rPr>
        <w:t>obstructing</w:t>
      </w:r>
      <w:r w:rsidR="003915CC">
        <w:rPr>
          <w:rFonts w:ascii="Times New Roman" w:hAnsi="Times New Roman" w:cs="Times New Roman"/>
          <w:lang w:val="en-US"/>
        </w:rPr>
        <w:t xml:space="preserve"> access</w:t>
      </w:r>
      <w:r w:rsidR="0002423B">
        <w:rPr>
          <w:rFonts w:ascii="Times New Roman" w:hAnsi="Times New Roman" w:cs="Times New Roman"/>
          <w:lang w:val="en-US"/>
        </w:rPr>
        <w:t xml:space="preserve"> to services for survivors of rape. </w:t>
      </w:r>
      <w:r w:rsidR="003915CC">
        <w:rPr>
          <w:rFonts w:ascii="Times New Roman" w:hAnsi="Times New Roman" w:cs="Times New Roman"/>
          <w:lang w:val="en-US"/>
        </w:rPr>
        <w:t xml:space="preserve"> </w:t>
      </w:r>
      <w:r w:rsidR="00720C0D" w:rsidRPr="00387232">
        <w:rPr>
          <w:rFonts w:ascii="Times New Roman" w:hAnsi="Times New Roman" w:cs="Times New Roman"/>
        </w:rPr>
        <w:t>Several of the treaty monitoring bodies, and CEDAW in particular, have regularly called on States to work to eradicate gender stereotypes, noting that patriarchal attitudes, cultural stigma, gender stereotypes about women as mothers and caregivers, prejudices about sexual and reproductive health services, and taboos about sexuality outside of marriage all contribute to the lack of access to reproductive health information, good and services</w:t>
      </w:r>
      <w:r w:rsidR="00720C0D" w:rsidRPr="00387232">
        <w:rPr>
          <w:rStyle w:val="EndnoteReference"/>
          <w:rFonts w:ascii="Times New Roman" w:hAnsi="Times New Roman" w:cs="Times New Roman"/>
        </w:rPr>
        <w:endnoteReference w:id="26"/>
      </w:r>
      <w:r w:rsidR="00720C0D" w:rsidRPr="00387232">
        <w:rPr>
          <w:rFonts w:ascii="Times New Roman" w:hAnsi="Times New Roman" w:cs="Times New Roman"/>
        </w:rPr>
        <w:t>. In General Comment No. 22 the CESCR Committee called on States to eliminate discriminatory stereotypes, assumptions and norms concerning sexuality and reproduction that underlie restrictive laws and undermine the realization of sexual and reproductive health</w:t>
      </w:r>
      <w:r w:rsidR="00720C0D" w:rsidRPr="00387232">
        <w:rPr>
          <w:rStyle w:val="EndnoteReference"/>
          <w:rFonts w:ascii="Times New Roman" w:hAnsi="Times New Roman" w:cs="Times New Roman"/>
        </w:rPr>
        <w:t xml:space="preserve"> </w:t>
      </w:r>
      <w:r w:rsidR="00720C0D" w:rsidRPr="00387232">
        <w:rPr>
          <w:rFonts w:ascii="Times New Roman" w:hAnsi="Times New Roman" w:cs="Times New Roman"/>
        </w:rPr>
        <w:t>.</w:t>
      </w:r>
      <w:r w:rsidR="00720C0D" w:rsidRPr="00387232">
        <w:rPr>
          <w:rStyle w:val="EndnoteReference"/>
          <w:rFonts w:ascii="Times New Roman" w:hAnsi="Times New Roman" w:cs="Times New Roman"/>
        </w:rPr>
        <w:endnoteReference w:id="27"/>
      </w:r>
    </w:p>
    <w:p w14:paraId="717302A8" w14:textId="77777777" w:rsidR="00720C0D" w:rsidRPr="00387232" w:rsidRDefault="00720C0D" w:rsidP="00387232">
      <w:pPr>
        <w:spacing w:line="240" w:lineRule="auto"/>
        <w:jc w:val="both"/>
        <w:rPr>
          <w:rFonts w:ascii="Times New Roman" w:hAnsi="Times New Roman" w:cs="Times New Roman"/>
        </w:rPr>
      </w:pPr>
      <w:r w:rsidRPr="00387232">
        <w:rPr>
          <w:rFonts w:ascii="Times New Roman" w:hAnsi="Times New Roman" w:cs="Times New Roman"/>
        </w:rPr>
        <w:t>The treaty monitoring bodies have noted that denial of access to abortion may be based on gender stereotypes about the traditional roles of women primarily as mothers and caregivers, which may also constitute or exacerbate gender discrimination and undermine gender equality</w:t>
      </w:r>
      <w:r w:rsidRPr="00387232">
        <w:rPr>
          <w:rStyle w:val="EndnoteReference"/>
          <w:rFonts w:ascii="Times New Roman" w:hAnsi="Times New Roman" w:cs="Times New Roman"/>
        </w:rPr>
        <w:endnoteReference w:id="28"/>
      </w:r>
      <w:r w:rsidRPr="00387232">
        <w:rPr>
          <w:rFonts w:ascii="Times New Roman" w:hAnsi="Times New Roman" w:cs="Times New Roman"/>
        </w:rPr>
        <w:t>. They have also expressed concern about situations where abortion is legal but stigmatized, which may lead women to resort to unsafe and clandestine abortions</w:t>
      </w:r>
      <w:r w:rsidRPr="00387232">
        <w:rPr>
          <w:rStyle w:val="EndnoteReference"/>
          <w:rFonts w:ascii="Times New Roman" w:hAnsi="Times New Roman" w:cs="Times New Roman"/>
        </w:rPr>
        <w:endnoteReference w:id="29"/>
      </w:r>
      <w:r w:rsidRPr="00387232">
        <w:rPr>
          <w:rStyle w:val="EndnoteReference"/>
          <w:rFonts w:ascii="Times New Roman" w:hAnsi="Times New Roman" w:cs="Times New Roman"/>
        </w:rPr>
        <w:t xml:space="preserve"> </w:t>
      </w:r>
      <w:r w:rsidRPr="00387232">
        <w:rPr>
          <w:rFonts w:ascii="Times New Roman" w:hAnsi="Times New Roman" w:cs="Times New Roman"/>
          <w:bCs/>
        </w:rPr>
        <w:t xml:space="preserve"> and lead to a higher rate of morbidities.</w:t>
      </w:r>
      <w:r w:rsidRPr="00387232">
        <w:rPr>
          <w:rFonts w:ascii="Times New Roman" w:hAnsi="Times New Roman" w:cs="Times New Roman"/>
        </w:rPr>
        <w:t xml:space="preserve"> </w:t>
      </w:r>
    </w:p>
    <w:p w14:paraId="6439D819" w14:textId="77777777" w:rsidR="00720C0D" w:rsidRPr="00387232" w:rsidRDefault="00720C0D" w:rsidP="00387232">
      <w:pPr>
        <w:spacing w:line="240" w:lineRule="auto"/>
        <w:jc w:val="both"/>
        <w:rPr>
          <w:rFonts w:ascii="Times New Roman" w:hAnsi="Times New Roman" w:cs="Times New Roman"/>
        </w:rPr>
      </w:pPr>
      <w:r w:rsidRPr="00387232">
        <w:rPr>
          <w:rFonts w:ascii="Times New Roman" w:hAnsi="Times New Roman" w:cs="Times New Roman"/>
        </w:rPr>
        <w:t>The Special Rapporteur on Violence Against Women, its causes and consequences (SRVAW) also emphasizes the role of gender stereotypes in preventing women and girls from accessing sexual and reproductive health information and services free of discrimination, coercion and violence: ‘</w:t>
      </w:r>
      <w:r w:rsidRPr="00387232">
        <w:rPr>
          <w:rFonts w:ascii="Times New Roman" w:hAnsi="Times New Roman" w:cs="Times New Roman"/>
          <w:i/>
          <w:iCs/>
        </w:rPr>
        <w:t>Harmful gender stereotypes in reproductive health context on women’s decision-making competence, women’s natural role in society and motherhood limit women’s autonomy and agency. These stereotypes arise from strong religious, social and cultural beliefs and ideas about sexuality, pregnancy and motherhood.</w:t>
      </w:r>
      <w:r w:rsidRPr="00387232">
        <w:rPr>
          <w:rFonts w:ascii="Times New Roman" w:hAnsi="Times New Roman" w:cs="Times New Roman"/>
        </w:rPr>
        <w:t>’</w:t>
      </w:r>
      <w:r w:rsidRPr="00387232">
        <w:rPr>
          <w:rStyle w:val="EndnoteReference"/>
          <w:rFonts w:ascii="Times New Roman" w:hAnsi="Times New Roman" w:cs="Times New Roman"/>
        </w:rPr>
        <w:endnoteReference w:id="30"/>
      </w:r>
    </w:p>
    <w:p w14:paraId="1A2414AC" w14:textId="77777777" w:rsidR="00720C0D" w:rsidRPr="00387232" w:rsidRDefault="00720C0D" w:rsidP="00387232">
      <w:pPr>
        <w:spacing w:line="240" w:lineRule="auto"/>
        <w:jc w:val="both"/>
        <w:rPr>
          <w:rFonts w:ascii="Times New Roman" w:hAnsi="Times New Roman" w:cs="Times New Roman"/>
          <w:shd w:val="clear" w:color="auto" w:fill="FFFFFF"/>
        </w:rPr>
      </w:pPr>
      <w:r w:rsidRPr="00387232">
        <w:rPr>
          <w:rFonts w:ascii="Times New Roman" w:hAnsi="Times New Roman" w:cs="Times New Roman"/>
        </w:rPr>
        <w:t>The rights to equality and non-discrimination are fundamental tenets of international human rights law. Gender equality includes the right to de-facto or substantive equality,</w:t>
      </w:r>
      <w:r w:rsidRPr="00387232">
        <w:rPr>
          <w:rStyle w:val="EndnoteReference"/>
          <w:rFonts w:ascii="Times New Roman" w:hAnsi="Times New Roman" w:cs="Times New Roman"/>
        </w:rPr>
        <w:endnoteReference w:id="31"/>
      </w:r>
      <w:r w:rsidRPr="00387232">
        <w:rPr>
          <w:rFonts w:ascii="Times New Roman" w:hAnsi="Times New Roman" w:cs="Times New Roman"/>
        </w:rPr>
        <w:t xml:space="preserve"> and realizing substantive gender equality requires addressing the historical roots of gender discrimination, gender stereotypes, and traditional understandings of gender roles that perpetuate discrimination and inequality.</w:t>
      </w:r>
      <w:r w:rsidRPr="00387232">
        <w:rPr>
          <w:rStyle w:val="EndnoteReference"/>
          <w:rFonts w:ascii="Times New Roman" w:hAnsi="Times New Roman" w:cs="Times New Roman"/>
        </w:rPr>
        <w:endnoteReference w:id="32"/>
      </w:r>
    </w:p>
    <w:p w14:paraId="7539B8F0" w14:textId="77777777" w:rsidR="00720C0D" w:rsidRPr="00387232" w:rsidRDefault="00720C0D" w:rsidP="00387232">
      <w:pPr>
        <w:spacing w:line="240" w:lineRule="auto"/>
        <w:jc w:val="both"/>
        <w:rPr>
          <w:rFonts w:ascii="Times New Roman" w:hAnsi="Times New Roman" w:cs="Times New Roman"/>
        </w:rPr>
      </w:pPr>
      <w:r w:rsidRPr="00387232">
        <w:rPr>
          <w:rFonts w:ascii="Times New Roman" w:hAnsi="Times New Roman" w:cs="Times New Roman"/>
        </w:rPr>
        <w:t>The CESCR Committee has stated that realizing women’s rights and gender equality requires reforming</w:t>
      </w:r>
      <w:r w:rsidRPr="00387232">
        <w:rPr>
          <w:rFonts w:ascii="Times New Roman" w:hAnsi="Times New Roman" w:cs="Times New Roman"/>
          <w:shd w:val="clear" w:color="auto" w:fill="FFFFFF"/>
        </w:rPr>
        <w:t xml:space="preserve"> the discriminatory laws, policies and practices, and removing all barriers that interfere with women’s </w:t>
      </w:r>
      <w:r w:rsidRPr="00387232">
        <w:rPr>
          <w:rFonts w:ascii="Times New Roman" w:hAnsi="Times New Roman" w:cs="Times New Roman"/>
          <w:shd w:val="clear" w:color="auto" w:fill="FFFFFF"/>
        </w:rPr>
        <w:lastRenderedPageBreak/>
        <w:t>access to comprehensive sexual and reproductive health services, goods, education and information.</w:t>
      </w:r>
      <w:r w:rsidRPr="00387232">
        <w:rPr>
          <w:rStyle w:val="EndnoteReference"/>
          <w:rFonts w:ascii="Times New Roman" w:hAnsi="Times New Roman" w:cs="Times New Roman"/>
        </w:rPr>
        <w:endnoteReference w:id="33"/>
      </w:r>
      <w:r w:rsidRPr="00387232">
        <w:rPr>
          <w:rFonts w:ascii="Times New Roman" w:hAnsi="Times New Roman" w:cs="Times New Roman"/>
          <w:vertAlign w:val="superscript"/>
        </w:rPr>
        <w:t xml:space="preserve"> </w:t>
      </w:r>
      <w:r w:rsidRPr="00387232">
        <w:rPr>
          <w:rFonts w:ascii="Times New Roman" w:hAnsi="Times New Roman" w:cs="Times New Roman"/>
          <w:shd w:val="clear" w:color="auto" w:fill="FFFFFF"/>
        </w:rPr>
        <w:t xml:space="preserve">Both CEDAW and CESCR have suggested that States </w:t>
      </w:r>
      <w:r w:rsidRPr="00387232">
        <w:rPr>
          <w:rFonts w:ascii="Times New Roman" w:hAnsi="Times New Roman" w:cs="Times New Roman"/>
        </w:rPr>
        <w:t>must adopt temporary special measures to eliminate conditions and combat gender-based stereotypes and attitudes that perpetuate inequalities and discrimination, in order to enable all individuals and groups to enjoy sexual and reproductive health on a basis of equality.</w:t>
      </w:r>
      <w:r w:rsidRPr="00387232">
        <w:rPr>
          <w:rStyle w:val="EndnoteReference"/>
          <w:rFonts w:ascii="Times New Roman" w:hAnsi="Times New Roman" w:cs="Times New Roman"/>
        </w:rPr>
        <w:endnoteReference w:id="34"/>
      </w:r>
    </w:p>
    <w:p w14:paraId="4278C0B4" w14:textId="2CB9B83E" w:rsidR="00720C0D" w:rsidRPr="006F521F" w:rsidRDefault="00720C0D" w:rsidP="00387232">
      <w:pPr>
        <w:pStyle w:val="ListParagraph"/>
        <w:numPr>
          <w:ilvl w:val="2"/>
          <w:numId w:val="22"/>
        </w:numPr>
        <w:contextualSpacing/>
        <w:jc w:val="both"/>
        <w:rPr>
          <w:rFonts w:ascii="Times New Roman" w:hAnsi="Times New Roman" w:cs="Times New Roman"/>
          <w:b/>
          <w:bCs/>
          <w:u w:val="single"/>
        </w:rPr>
      </w:pPr>
      <w:r w:rsidRPr="006F521F">
        <w:rPr>
          <w:rFonts w:ascii="Times New Roman" w:hAnsi="Times New Roman" w:cs="Times New Roman"/>
          <w:b/>
          <w:bCs/>
          <w:u w:val="single"/>
        </w:rPr>
        <w:t xml:space="preserve">Addressing social and other determinants of health </w:t>
      </w:r>
    </w:p>
    <w:p w14:paraId="6BDDF252" w14:textId="77777777" w:rsidR="006C33A7" w:rsidRPr="00387232" w:rsidRDefault="006C33A7" w:rsidP="00387232">
      <w:pPr>
        <w:pStyle w:val="ListParagraph"/>
        <w:ind w:left="2160"/>
        <w:contextualSpacing/>
        <w:jc w:val="both"/>
        <w:rPr>
          <w:rFonts w:ascii="Times New Roman" w:hAnsi="Times New Roman" w:cs="Times New Roman"/>
          <w:b/>
          <w:bCs/>
        </w:rPr>
      </w:pPr>
    </w:p>
    <w:p w14:paraId="2D859A6D" w14:textId="7F224201" w:rsidR="00720C0D" w:rsidRPr="00387232" w:rsidRDefault="00720C0D" w:rsidP="00387232">
      <w:pPr>
        <w:jc w:val="both"/>
        <w:rPr>
          <w:rFonts w:ascii="Times New Roman" w:hAnsi="Times New Roman" w:cs="Times New Roman"/>
        </w:rPr>
      </w:pPr>
      <w:r w:rsidRPr="00387232">
        <w:rPr>
          <w:rFonts w:ascii="Times New Roman" w:hAnsi="Times New Roman" w:cs="Times New Roman"/>
        </w:rPr>
        <w:t>Addressing underlying and social determinants of health and general conditions in society that affect the enjoyment of the right to life with dignity can contribute positively to the realization of substantive gender equality and to reproductive rights</w:t>
      </w:r>
      <w:r w:rsidR="004560FA" w:rsidRPr="00BF5CF7">
        <w:rPr>
          <w:rFonts w:ascii="Times New Roman" w:hAnsi="Times New Roman" w:cs="Times New Roman"/>
          <w:lang w:val="en-US"/>
        </w:rPr>
        <w:t xml:space="preserve">, </w:t>
      </w:r>
      <w:r w:rsidR="004560FA">
        <w:rPr>
          <w:rFonts w:ascii="Times New Roman" w:hAnsi="Times New Roman" w:cs="Times New Roman"/>
          <w:lang w:val="en-US"/>
        </w:rPr>
        <w:t xml:space="preserve">and gender based violence, </w:t>
      </w:r>
      <w:r w:rsidRPr="00387232">
        <w:rPr>
          <w:rFonts w:ascii="Times New Roman" w:hAnsi="Times New Roman" w:cs="Times New Roman"/>
        </w:rPr>
        <w:t xml:space="preserve"> and mitigate the compounded effects of restrictive legislative frameworks, discrimination and gender stereotypes. </w:t>
      </w:r>
    </w:p>
    <w:p w14:paraId="798203B0" w14:textId="77777777" w:rsidR="00720C0D" w:rsidRPr="00387232" w:rsidRDefault="00720C0D" w:rsidP="00387232">
      <w:pPr>
        <w:pStyle w:val="ListParagraph"/>
        <w:numPr>
          <w:ilvl w:val="0"/>
          <w:numId w:val="17"/>
        </w:numPr>
        <w:spacing w:after="200"/>
        <w:contextualSpacing/>
        <w:jc w:val="both"/>
        <w:rPr>
          <w:rFonts w:ascii="Times New Roman" w:hAnsi="Times New Roman" w:cs="Times New Roman"/>
        </w:rPr>
      </w:pPr>
      <w:r w:rsidRPr="00387232">
        <w:rPr>
          <w:rFonts w:ascii="Times New Roman" w:hAnsi="Times New Roman" w:cs="Times New Roman"/>
        </w:rPr>
        <w:t>Social determinants of health refer to the conditions in which people are born, grow, live, work and age, which are shaped by unequal power structures and resource distribution at the local, national and global levels, and include poverty and income inequality, systemic discrimination, and marginalization based on prohibited grounds of discrimination.</w:t>
      </w:r>
      <w:r w:rsidRPr="00387232">
        <w:rPr>
          <w:rStyle w:val="EndnoteReference"/>
          <w:rFonts w:ascii="Times New Roman" w:hAnsi="Times New Roman" w:cs="Times New Roman"/>
        </w:rPr>
        <w:endnoteReference w:id="35"/>
      </w:r>
    </w:p>
    <w:p w14:paraId="0BD46AB5" w14:textId="77777777" w:rsidR="00720C0D" w:rsidRPr="00387232" w:rsidRDefault="00720C0D" w:rsidP="00387232">
      <w:pPr>
        <w:pStyle w:val="ListParagraph"/>
        <w:numPr>
          <w:ilvl w:val="0"/>
          <w:numId w:val="17"/>
        </w:numPr>
        <w:spacing w:after="200"/>
        <w:contextualSpacing/>
        <w:jc w:val="both"/>
        <w:rPr>
          <w:rFonts w:ascii="Times New Roman" w:hAnsi="Times New Roman" w:cs="Times New Roman"/>
        </w:rPr>
      </w:pPr>
      <w:r w:rsidRPr="00387232">
        <w:rPr>
          <w:rFonts w:ascii="Times New Roman" w:hAnsi="Times New Roman" w:cs="Times New Roman"/>
        </w:rPr>
        <w:t>Underlying determinants of sexual and reproductive health include access to housing, safe drinking water, and effective sanitation systems, access to justice, and freedom from violence and other rights violations, among other factors.</w:t>
      </w:r>
      <w:r w:rsidRPr="00387232">
        <w:rPr>
          <w:rStyle w:val="EndnoteReference"/>
          <w:rFonts w:ascii="Times New Roman" w:hAnsi="Times New Roman" w:cs="Times New Roman"/>
        </w:rPr>
        <w:endnoteReference w:id="36"/>
      </w:r>
    </w:p>
    <w:p w14:paraId="6F0E474A" w14:textId="77777777" w:rsidR="00720C0D" w:rsidRPr="00387232" w:rsidRDefault="00720C0D" w:rsidP="00387232">
      <w:pPr>
        <w:jc w:val="both"/>
        <w:rPr>
          <w:rFonts w:ascii="Times New Roman" w:hAnsi="Times New Roman" w:cs="Times New Roman"/>
        </w:rPr>
      </w:pPr>
      <w:r w:rsidRPr="00387232">
        <w:rPr>
          <w:rFonts w:ascii="Times New Roman" w:hAnsi="Times New Roman" w:cs="Times New Roman"/>
        </w:rPr>
        <w:t>These determinants impact the choices and meaningful agency that individuals can exercise with respect to their sexual and reproductive health, thus States must address them in laws, institutional arrangements and social practices in order to ensure that they do not prevent individuals from effectively enjoying their reproductive rights in practice</w:t>
      </w:r>
      <w:r w:rsidRPr="00387232">
        <w:rPr>
          <w:rStyle w:val="EndnoteReference"/>
          <w:rFonts w:ascii="Times New Roman" w:hAnsi="Times New Roman" w:cs="Times New Roman"/>
        </w:rPr>
        <w:endnoteReference w:id="37"/>
      </w:r>
      <w:r w:rsidRPr="00387232">
        <w:rPr>
          <w:rFonts w:ascii="Times New Roman" w:hAnsi="Times New Roman" w:cs="Times New Roman"/>
        </w:rPr>
        <w:t>.</w:t>
      </w:r>
    </w:p>
    <w:p w14:paraId="11D1E22A" w14:textId="77777777" w:rsidR="00720C0D" w:rsidRPr="00387232" w:rsidRDefault="00720C0D" w:rsidP="00387232">
      <w:pPr>
        <w:jc w:val="both"/>
        <w:rPr>
          <w:rFonts w:ascii="Times New Roman" w:hAnsi="Times New Roman" w:cs="Times New Roman"/>
        </w:rPr>
      </w:pPr>
      <w:r w:rsidRPr="00387232">
        <w:rPr>
          <w:rFonts w:ascii="Times New Roman" w:hAnsi="Times New Roman" w:cs="Times New Roman"/>
        </w:rPr>
        <w:t>In General Comment No. 36 the Human Rights Committee expressed the view that the duty to protect life also implies that States should take appropriate measures to address the general conditions in society that may prevent individuals from enjoying their right to life with dignity.</w:t>
      </w:r>
      <w:r w:rsidRPr="00387232">
        <w:rPr>
          <w:rStyle w:val="EndnoteReference"/>
          <w:rFonts w:ascii="Times New Roman" w:hAnsi="Times New Roman" w:cs="Times New Roman"/>
        </w:rPr>
        <w:endnoteReference w:id="38"/>
      </w:r>
    </w:p>
    <w:p w14:paraId="188AD5C8" w14:textId="0160D640" w:rsidR="006C33A7" w:rsidRPr="00387232" w:rsidRDefault="00720C0D" w:rsidP="00387232">
      <w:pPr>
        <w:spacing w:after="200" w:line="240" w:lineRule="auto"/>
        <w:jc w:val="both"/>
        <w:rPr>
          <w:rFonts w:ascii="Times New Roman" w:hAnsi="Times New Roman" w:cs="Times New Roman"/>
          <w:lang w:val="en-US"/>
        </w:rPr>
      </w:pPr>
      <w:r w:rsidRPr="00387232">
        <w:rPr>
          <w:rFonts w:ascii="Times New Roman" w:hAnsi="Times New Roman" w:cs="Times New Roman"/>
        </w:rPr>
        <w:t>This obligation includes ensuring access to essential goods and services, including</w:t>
      </w:r>
      <w:r w:rsidRPr="00387232">
        <w:rPr>
          <w:rFonts w:ascii="Times New Roman" w:hAnsi="Times New Roman" w:cs="Times New Roman"/>
          <w:lang w:val="en-US"/>
        </w:rPr>
        <w:t xml:space="preserve">, inter alia, </w:t>
      </w:r>
      <w:r w:rsidRPr="00387232">
        <w:rPr>
          <w:rFonts w:ascii="Times New Roman" w:hAnsi="Times New Roman" w:cs="Times New Roman"/>
        </w:rPr>
        <w:t>health-care, and developing campaigns for raising awareness of gender-based violence and harmful practices</w:t>
      </w:r>
      <w:r w:rsidRPr="00387232">
        <w:rPr>
          <w:rFonts w:ascii="Times New Roman" w:hAnsi="Times New Roman" w:cs="Times New Roman"/>
          <w:lang w:val="en-US"/>
        </w:rPr>
        <w:t xml:space="preserve">. </w:t>
      </w:r>
    </w:p>
    <w:p w14:paraId="3773A6C1" w14:textId="687F8833" w:rsidR="009A49AC" w:rsidRPr="003C2BCB" w:rsidRDefault="006C33A7" w:rsidP="003C2BCB">
      <w:pPr>
        <w:pStyle w:val="ListParagraph"/>
        <w:numPr>
          <w:ilvl w:val="0"/>
          <w:numId w:val="22"/>
        </w:numPr>
        <w:jc w:val="both"/>
        <w:rPr>
          <w:rFonts w:ascii="Times New Roman" w:eastAsia="Times New Roman" w:hAnsi="Times New Roman" w:cs="Times New Roman"/>
          <w:b/>
          <w:bCs/>
          <w:u w:val="single"/>
          <w:lang w:val="en-US"/>
        </w:rPr>
      </w:pPr>
      <w:r w:rsidRPr="00387232">
        <w:rPr>
          <w:rFonts w:ascii="Times New Roman" w:eastAsia="Times New Roman" w:hAnsi="Times New Roman" w:cs="Times New Roman"/>
          <w:b/>
          <w:bCs/>
          <w:u w:val="single"/>
          <w:lang w:val="en-US"/>
        </w:rPr>
        <w:t>Conflict related sexual violence and rape and access to SRH information and services for women and girls in humanitarian settings</w:t>
      </w:r>
      <w:r w:rsidR="003C2BCB">
        <w:rPr>
          <w:rFonts w:ascii="Times New Roman" w:eastAsia="Times New Roman" w:hAnsi="Times New Roman" w:cs="Times New Roman"/>
          <w:b/>
          <w:bCs/>
          <w:u w:val="single"/>
          <w:lang w:val="en-US"/>
        </w:rPr>
        <w:br/>
      </w:r>
    </w:p>
    <w:p w14:paraId="01D65724" w14:textId="5304A58C" w:rsidR="009A49AC" w:rsidRPr="009A49AC" w:rsidRDefault="009A49AC" w:rsidP="009A49AC">
      <w:pPr>
        <w:pStyle w:val="NormalWeb"/>
        <w:numPr>
          <w:ilvl w:val="1"/>
          <w:numId w:val="22"/>
        </w:numPr>
        <w:jc w:val="both"/>
        <w:rPr>
          <w:b/>
          <w:bCs/>
          <w:color w:val="231F20"/>
          <w:sz w:val="22"/>
          <w:szCs w:val="22"/>
          <w:u w:val="single"/>
          <w:shd w:val="clear" w:color="auto" w:fill="FFFFFF"/>
          <w:lang w:val="en-US"/>
        </w:rPr>
      </w:pPr>
      <w:r w:rsidRPr="00387232">
        <w:rPr>
          <w:b/>
          <w:bCs/>
          <w:color w:val="231F20"/>
          <w:sz w:val="22"/>
          <w:szCs w:val="22"/>
          <w:u w:val="single"/>
          <w:shd w:val="clear" w:color="auto" w:fill="FFFFFF"/>
          <w:lang w:val="en-US"/>
        </w:rPr>
        <w:t>International legal framework under International Human</w:t>
      </w:r>
      <w:r>
        <w:rPr>
          <w:b/>
          <w:bCs/>
          <w:color w:val="231F20"/>
          <w:sz w:val="22"/>
          <w:szCs w:val="22"/>
          <w:u w:val="single"/>
          <w:shd w:val="clear" w:color="auto" w:fill="FFFFFF"/>
          <w:lang w:val="en-US"/>
        </w:rPr>
        <w:t xml:space="preserve"> Rights </w:t>
      </w:r>
      <w:r w:rsidRPr="00387232">
        <w:rPr>
          <w:b/>
          <w:bCs/>
          <w:color w:val="231F20"/>
          <w:sz w:val="22"/>
          <w:szCs w:val="22"/>
          <w:u w:val="single"/>
          <w:shd w:val="clear" w:color="auto" w:fill="FFFFFF"/>
          <w:lang w:val="en-US"/>
        </w:rPr>
        <w:t>Law (IHL)</w:t>
      </w:r>
    </w:p>
    <w:p w14:paraId="6E310115" w14:textId="77777777" w:rsidR="00C617A6" w:rsidRPr="00387232" w:rsidRDefault="00C617A6" w:rsidP="00387232">
      <w:pPr>
        <w:pStyle w:val="Body"/>
        <w:spacing w:after="0" w:line="240" w:lineRule="auto"/>
        <w:ind w:left="720"/>
        <w:jc w:val="both"/>
        <w:rPr>
          <w:rFonts w:ascii="Times New Roman" w:hAnsi="Times New Roman" w:cs="Times New Roman"/>
          <w:b/>
          <w:bCs/>
          <w:color w:val="auto"/>
          <w:u w:val="single"/>
          <w:lang w:val="en-US"/>
        </w:rPr>
      </w:pPr>
    </w:p>
    <w:p w14:paraId="09BA7970" w14:textId="5887C477" w:rsidR="00D52441" w:rsidRPr="00387232" w:rsidRDefault="00D52441" w:rsidP="00387232">
      <w:pPr>
        <w:pStyle w:val="Body"/>
        <w:spacing w:after="0" w:line="240" w:lineRule="auto"/>
        <w:jc w:val="both"/>
        <w:rPr>
          <w:rFonts w:ascii="Times New Roman" w:hAnsi="Times New Roman" w:cs="Times New Roman"/>
          <w:color w:val="auto"/>
          <w:lang w:val="en-US"/>
        </w:rPr>
      </w:pPr>
      <w:r w:rsidRPr="00387232">
        <w:rPr>
          <w:rFonts w:ascii="Times New Roman" w:hAnsi="Times New Roman" w:cs="Times New Roman"/>
          <w:color w:val="auto"/>
          <w:lang w:val="en-US"/>
        </w:rPr>
        <w:t>Human rights law and international humanitarian law are complementary and mutually reinforcing, and States must therefore respect, protect, and fulfill SRHR during conflict and humanitarian emergencies, including ensuring access to services for women and girls who are survivors of gender-based violence.</w:t>
      </w:r>
      <w:r w:rsidRPr="00387232">
        <w:rPr>
          <w:rFonts w:ascii="Times New Roman" w:hAnsi="Times New Roman" w:cs="Times New Roman"/>
          <w:color w:val="auto"/>
          <w:vertAlign w:val="superscript"/>
          <w:lang w:val="en-US"/>
        </w:rPr>
        <w:endnoteReference w:id="39"/>
      </w:r>
      <w:r w:rsidRPr="00387232">
        <w:rPr>
          <w:rFonts w:ascii="Times New Roman" w:hAnsi="Times New Roman" w:cs="Times New Roman"/>
          <w:color w:val="auto"/>
          <w:lang w:val="en-US"/>
        </w:rPr>
        <w:t xml:space="preserve"> The treaty monitoring bodies have developed extensive guidance for States which reinforce and complement State’s humanitarian legal obligations. </w:t>
      </w:r>
    </w:p>
    <w:p w14:paraId="51D16254" w14:textId="77777777" w:rsidR="00D52441" w:rsidRPr="00387232" w:rsidRDefault="00D52441" w:rsidP="00387232">
      <w:pPr>
        <w:pStyle w:val="Body"/>
        <w:spacing w:after="0" w:line="240" w:lineRule="auto"/>
        <w:jc w:val="both"/>
        <w:rPr>
          <w:rFonts w:ascii="Times New Roman" w:hAnsi="Times New Roman" w:cs="Times New Roman"/>
          <w:color w:val="auto"/>
          <w:highlight w:val="yellow"/>
          <w:lang w:val="en-US"/>
        </w:rPr>
      </w:pPr>
    </w:p>
    <w:p w14:paraId="68B60389" w14:textId="77777777" w:rsidR="00D52441" w:rsidRPr="00387232" w:rsidRDefault="00D52441" w:rsidP="00387232">
      <w:pPr>
        <w:pStyle w:val="Body"/>
        <w:spacing w:after="0" w:line="240" w:lineRule="auto"/>
        <w:jc w:val="both"/>
        <w:rPr>
          <w:rFonts w:ascii="Times New Roman" w:hAnsi="Times New Roman" w:cs="Times New Roman"/>
          <w:color w:val="auto"/>
          <w:lang w:val="en-US"/>
        </w:rPr>
      </w:pPr>
      <w:r w:rsidRPr="00387232">
        <w:rPr>
          <w:rFonts w:ascii="Times New Roman" w:hAnsi="Times New Roman" w:cs="Times New Roman"/>
          <w:color w:val="auto"/>
          <w:lang w:val="en-US"/>
        </w:rPr>
        <w:t>In conflict-affected settings, the CEDAW Committee has called on States to:</w:t>
      </w:r>
    </w:p>
    <w:p w14:paraId="29B28280" w14:textId="77777777" w:rsidR="00D52441" w:rsidRPr="00387232" w:rsidRDefault="00D52441" w:rsidP="00387232">
      <w:pPr>
        <w:pStyle w:val="Body"/>
        <w:numPr>
          <w:ilvl w:val="0"/>
          <w:numId w:val="21"/>
        </w:numPr>
        <w:spacing w:after="0" w:line="240" w:lineRule="auto"/>
        <w:jc w:val="both"/>
        <w:rPr>
          <w:rFonts w:ascii="Times New Roman" w:hAnsi="Times New Roman" w:cs="Times New Roman"/>
          <w:color w:val="auto"/>
          <w:lang w:val="en-US"/>
        </w:rPr>
      </w:pPr>
      <w:r w:rsidRPr="00387232">
        <w:rPr>
          <w:rFonts w:ascii="Times New Roman" w:hAnsi="Times New Roman" w:cs="Times New Roman"/>
          <w:color w:val="auto"/>
          <w:lang w:val="en-US"/>
        </w:rPr>
        <w:t>Ensure access to maternal health services, including antenatal care, skilled delivery services, prevention of vertical transmission and emergency obstetric care,</w:t>
      </w:r>
      <w:r w:rsidRPr="00387232">
        <w:rPr>
          <w:rStyle w:val="EndnoteReference"/>
          <w:rFonts w:ascii="Times New Roman" w:hAnsi="Times New Roman" w:cs="Times New Roman"/>
          <w:color w:val="auto"/>
        </w:rPr>
        <w:endnoteReference w:id="40"/>
      </w:r>
      <w:r w:rsidRPr="00387232">
        <w:rPr>
          <w:rFonts w:ascii="Times New Roman" w:hAnsi="Times New Roman" w:cs="Times New Roman"/>
          <w:color w:val="auto"/>
          <w:lang w:val="en-US"/>
        </w:rPr>
        <w:t xml:space="preserve"> </w:t>
      </w:r>
    </w:p>
    <w:p w14:paraId="40453946" w14:textId="77777777" w:rsidR="00D52441" w:rsidRPr="00387232" w:rsidRDefault="00D52441" w:rsidP="00387232">
      <w:pPr>
        <w:pStyle w:val="Body"/>
        <w:numPr>
          <w:ilvl w:val="0"/>
          <w:numId w:val="21"/>
        </w:numPr>
        <w:spacing w:after="0" w:line="240" w:lineRule="auto"/>
        <w:jc w:val="both"/>
        <w:rPr>
          <w:rFonts w:ascii="Times New Roman" w:hAnsi="Times New Roman" w:cs="Times New Roman"/>
          <w:color w:val="auto"/>
          <w:lang w:val="en-US"/>
        </w:rPr>
      </w:pPr>
      <w:r w:rsidRPr="00387232">
        <w:rPr>
          <w:rFonts w:ascii="Times New Roman" w:hAnsi="Times New Roman" w:cs="Times New Roman"/>
          <w:color w:val="auto"/>
          <w:lang w:val="en-US"/>
        </w:rPr>
        <w:t>Give priority to the provision of sexual and reproductive health services, including safe abortion services, noting with concern the effects of armed conflict on SRHR and maternal mortality</w:t>
      </w:r>
      <w:r w:rsidRPr="00387232">
        <w:rPr>
          <w:rStyle w:val="EndnoteReference"/>
          <w:rFonts w:ascii="Times New Roman" w:hAnsi="Times New Roman" w:cs="Times New Roman"/>
          <w:color w:val="auto"/>
        </w:rPr>
        <w:endnoteReference w:id="41"/>
      </w:r>
      <w:r w:rsidRPr="00387232">
        <w:rPr>
          <w:rFonts w:ascii="Times New Roman" w:hAnsi="Times New Roman" w:cs="Times New Roman"/>
          <w:color w:val="auto"/>
          <w:lang w:val="en-US"/>
        </w:rPr>
        <w:t>.</w:t>
      </w:r>
    </w:p>
    <w:p w14:paraId="3AB304ED" w14:textId="77777777" w:rsidR="00D52441" w:rsidRPr="00387232" w:rsidRDefault="00D52441" w:rsidP="00387232">
      <w:pPr>
        <w:pStyle w:val="Body"/>
        <w:spacing w:after="0" w:line="240" w:lineRule="auto"/>
        <w:jc w:val="both"/>
        <w:rPr>
          <w:rFonts w:ascii="Times New Roman" w:hAnsi="Times New Roman" w:cs="Times New Roman"/>
          <w:color w:val="auto"/>
          <w:lang w:val="en-US"/>
        </w:rPr>
      </w:pPr>
    </w:p>
    <w:p w14:paraId="00D0D16B" w14:textId="77777777" w:rsidR="00D52441" w:rsidRPr="00387232" w:rsidRDefault="00D52441" w:rsidP="00387232">
      <w:pPr>
        <w:jc w:val="both"/>
        <w:rPr>
          <w:rFonts w:ascii="Times New Roman" w:hAnsi="Times New Roman" w:cs="Times New Roman"/>
        </w:rPr>
      </w:pPr>
      <w:r w:rsidRPr="00387232">
        <w:rPr>
          <w:rFonts w:ascii="Times New Roman" w:eastAsia="Calibri" w:hAnsi="Times New Roman" w:cs="Times New Roman"/>
        </w:rPr>
        <w:lastRenderedPageBreak/>
        <w:t xml:space="preserve">The CEDAW and CESCR Committees have noted that </w:t>
      </w:r>
      <w:r w:rsidRPr="00387232">
        <w:rPr>
          <w:rFonts w:ascii="Times New Roman" w:hAnsi="Times New Roman" w:cs="Times New Roman"/>
        </w:rPr>
        <w:t xml:space="preserve">refugees, stateless persons, asylum seekers and undocumented migrants, are in a situation of vulnerability due to their legal status which requires </w:t>
      </w:r>
      <w:r w:rsidRPr="00387232">
        <w:rPr>
          <w:rFonts w:ascii="Times New Roman" w:eastAsia="Calibri" w:hAnsi="Times New Roman" w:cs="Times New Roman"/>
        </w:rPr>
        <w:t>the State to take additional steps to ensure their access to affordable and quality sexual and reproductive information, goods and healthcare</w:t>
      </w:r>
      <w:r w:rsidRPr="00387232">
        <w:rPr>
          <w:rStyle w:val="EndnoteReference"/>
          <w:rFonts w:ascii="Times New Roman" w:eastAsia="Calibri" w:hAnsi="Times New Roman" w:cs="Times New Roman"/>
        </w:rPr>
        <w:endnoteReference w:id="42"/>
      </w:r>
      <w:r w:rsidRPr="00387232">
        <w:rPr>
          <w:rFonts w:ascii="Times New Roman" w:eastAsia="Calibri" w:hAnsi="Times New Roman" w:cs="Times New Roman"/>
        </w:rPr>
        <w:t xml:space="preserve">. </w:t>
      </w:r>
    </w:p>
    <w:p w14:paraId="65FE96C3" w14:textId="77777777" w:rsidR="00D52441" w:rsidRPr="00387232" w:rsidRDefault="00D52441" w:rsidP="00387232">
      <w:pPr>
        <w:pStyle w:val="Body"/>
        <w:spacing w:after="0" w:line="240" w:lineRule="auto"/>
        <w:jc w:val="both"/>
        <w:rPr>
          <w:rFonts w:ascii="Times New Roman" w:hAnsi="Times New Roman" w:cs="Times New Roman"/>
          <w:color w:val="auto"/>
          <w:lang w:val="en-US"/>
        </w:rPr>
      </w:pPr>
    </w:p>
    <w:p w14:paraId="72EAAD13" w14:textId="77777777" w:rsidR="00D52441" w:rsidRPr="00387232" w:rsidRDefault="00D52441" w:rsidP="00387232">
      <w:pPr>
        <w:pStyle w:val="Body"/>
        <w:spacing w:after="0" w:line="240" w:lineRule="auto"/>
        <w:jc w:val="both"/>
        <w:rPr>
          <w:rFonts w:ascii="Times New Roman" w:hAnsi="Times New Roman" w:cs="Times New Roman"/>
          <w:color w:val="auto"/>
          <w:u w:color="333333"/>
          <w:lang w:val="en-US"/>
        </w:rPr>
      </w:pPr>
      <w:r w:rsidRPr="00387232">
        <w:rPr>
          <w:rFonts w:ascii="Times New Roman" w:hAnsi="Times New Roman" w:cs="Times New Roman"/>
          <w:color w:val="auto"/>
          <w:u w:color="333333"/>
          <w:lang w:val="en-US"/>
        </w:rPr>
        <w:t>Principles of equality and equity, participation, transparency, and accountability are foundational to international human rights law and are necessary to guide and inform all aspects of humanitarian service provision to ensure that it reflects and meets the needs of the individuals and communities most directly affected.</w:t>
      </w:r>
    </w:p>
    <w:p w14:paraId="2FFEAF55" w14:textId="77777777" w:rsidR="00D52441" w:rsidRPr="00387232" w:rsidRDefault="00D52441" w:rsidP="00387232">
      <w:pPr>
        <w:pStyle w:val="Body"/>
        <w:spacing w:after="0" w:line="240" w:lineRule="auto"/>
        <w:jc w:val="both"/>
        <w:rPr>
          <w:rFonts w:ascii="Times New Roman" w:hAnsi="Times New Roman" w:cs="Times New Roman"/>
          <w:color w:val="auto"/>
          <w:u w:color="333333"/>
          <w:lang w:val="en-US"/>
        </w:rPr>
      </w:pPr>
    </w:p>
    <w:p w14:paraId="58992C6A" w14:textId="77777777" w:rsidR="00D52441" w:rsidRPr="00387232" w:rsidRDefault="00D52441" w:rsidP="00387232">
      <w:pPr>
        <w:pStyle w:val="Body"/>
        <w:spacing w:after="0" w:line="240" w:lineRule="auto"/>
        <w:jc w:val="both"/>
        <w:rPr>
          <w:rFonts w:ascii="Times New Roman" w:hAnsi="Times New Roman" w:cs="Times New Roman"/>
          <w:color w:val="auto"/>
          <w:u w:color="333333"/>
          <w:lang w:val="en-US"/>
        </w:rPr>
      </w:pPr>
      <w:r w:rsidRPr="00387232">
        <w:rPr>
          <w:rFonts w:ascii="Times New Roman" w:hAnsi="Times New Roman" w:cs="Times New Roman"/>
          <w:color w:val="auto"/>
          <w:u w:color="333333"/>
          <w:lang w:val="en-US"/>
        </w:rPr>
        <w:t xml:space="preserve">A human rights-based approach to SRHR in humanitarian settings requires, </w:t>
      </w:r>
      <w:r w:rsidRPr="00387232">
        <w:rPr>
          <w:rFonts w:ascii="Times New Roman" w:hAnsi="Times New Roman" w:cs="Times New Roman"/>
          <w:i/>
          <w:color w:val="auto"/>
          <w:u w:color="333333"/>
          <w:lang w:val="en-US"/>
        </w:rPr>
        <w:t>inter alia</w:t>
      </w:r>
      <w:r w:rsidRPr="00387232">
        <w:rPr>
          <w:rFonts w:ascii="Times New Roman" w:hAnsi="Times New Roman" w:cs="Times New Roman"/>
          <w:color w:val="auto"/>
          <w:u w:color="333333"/>
          <w:lang w:val="en-US"/>
        </w:rPr>
        <w:t>:</w:t>
      </w:r>
      <w:r w:rsidRPr="00387232">
        <w:rPr>
          <w:rStyle w:val="EndnoteReference"/>
          <w:rFonts w:ascii="Times New Roman" w:hAnsi="Times New Roman" w:cs="Times New Roman"/>
          <w:color w:val="auto"/>
          <w:u w:color="333333"/>
        </w:rPr>
        <w:endnoteReference w:id="43"/>
      </w:r>
    </w:p>
    <w:p w14:paraId="0749C4DD" w14:textId="77777777" w:rsidR="00D52441" w:rsidRPr="00387232" w:rsidRDefault="00D52441" w:rsidP="00387232">
      <w:pPr>
        <w:pStyle w:val="Body"/>
        <w:numPr>
          <w:ilvl w:val="0"/>
          <w:numId w:val="20"/>
        </w:numPr>
        <w:spacing w:after="0" w:line="240" w:lineRule="auto"/>
        <w:jc w:val="both"/>
        <w:rPr>
          <w:rFonts w:ascii="Times New Roman" w:hAnsi="Times New Roman" w:cs="Times New Roman"/>
          <w:color w:val="auto"/>
          <w:u w:color="333333"/>
          <w:lang w:val="en-US"/>
        </w:rPr>
      </w:pPr>
      <w:r w:rsidRPr="00387232">
        <w:rPr>
          <w:rFonts w:ascii="Times New Roman" w:hAnsi="Times New Roman" w:cs="Times New Roman"/>
          <w:color w:val="auto"/>
          <w:u w:color="333333"/>
          <w:lang w:val="en-US"/>
        </w:rPr>
        <w:t xml:space="preserve">Ensuring available, accessible, adequate, and quality services without discrimination; </w:t>
      </w:r>
    </w:p>
    <w:p w14:paraId="34120A68" w14:textId="77777777" w:rsidR="00D52441" w:rsidRPr="00387232" w:rsidRDefault="00D52441" w:rsidP="00387232">
      <w:pPr>
        <w:pStyle w:val="Body"/>
        <w:numPr>
          <w:ilvl w:val="0"/>
          <w:numId w:val="20"/>
        </w:numPr>
        <w:spacing w:after="0" w:line="240" w:lineRule="auto"/>
        <w:jc w:val="both"/>
        <w:rPr>
          <w:rFonts w:ascii="Times New Roman" w:hAnsi="Times New Roman" w:cs="Times New Roman"/>
          <w:color w:val="auto"/>
          <w:u w:color="333333"/>
          <w:lang w:val="en-US"/>
        </w:rPr>
      </w:pPr>
      <w:r w:rsidRPr="00387232">
        <w:rPr>
          <w:rFonts w:ascii="Times New Roman" w:hAnsi="Times New Roman" w:cs="Times New Roman"/>
          <w:color w:val="auto"/>
          <w:u w:color="333333"/>
          <w:lang w:val="en-US"/>
        </w:rPr>
        <w:t>Ensuring those who seek services are able to make informed and autonomous decisions, without spousal, parental, or third-party consent;</w:t>
      </w:r>
    </w:p>
    <w:p w14:paraId="3326137F" w14:textId="77777777" w:rsidR="00D52441" w:rsidRPr="00387232" w:rsidRDefault="00D52441" w:rsidP="00387232">
      <w:pPr>
        <w:pStyle w:val="Body"/>
        <w:numPr>
          <w:ilvl w:val="0"/>
          <w:numId w:val="20"/>
        </w:numPr>
        <w:spacing w:after="0" w:line="240" w:lineRule="auto"/>
        <w:jc w:val="both"/>
        <w:rPr>
          <w:rFonts w:ascii="Times New Roman" w:hAnsi="Times New Roman" w:cs="Times New Roman"/>
          <w:color w:val="auto"/>
          <w:u w:color="333333"/>
          <w:lang w:val="en-US"/>
        </w:rPr>
      </w:pPr>
      <w:r w:rsidRPr="00387232">
        <w:rPr>
          <w:rFonts w:ascii="Times New Roman" w:hAnsi="Times New Roman" w:cs="Times New Roman"/>
          <w:color w:val="auto"/>
          <w:u w:color="333333"/>
          <w:lang w:val="en-US"/>
        </w:rPr>
        <w:t xml:space="preserve">Establishing systems for maintaining privacy and confidentiality; and </w:t>
      </w:r>
    </w:p>
    <w:p w14:paraId="272A2309" w14:textId="79155379" w:rsidR="005556F4" w:rsidRPr="00387232" w:rsidRDefault="00D52441" w:rsidP="00387232">
      <w:pPr>
        <w:pStyle w:val="Body"/>
        <w:numPr>
          <w:ilvl w:val="0"/>
          <w:numId w:val="20"/>
        </w:numPr>
        <w:spacing w:after="0" w:line="240" w:lineRule="auto"/>
        <w:jc w:val="both"/>
        <w:rPr>
          <w:rFonts w:ascii="Times New Roman" w:hAnsi="Times New Roman" w:cs="Times New Roman"/>
          <w:color w:val="auto"/>
          <w:lang w:val="en-US"/>
        </w:rPr>
      </w:pPr>
      <w:r w:rsidRPr="00387232">
        <w:rPr>
          <w:rFonts w:ascii="Times New Roman" w:hAnsi="Times New Roman" w:cs="Times New Roman"/>
          <w:color w:val="auto"/>
          <w:u w:color="333333"/>
          <w:lang w:val="en-US"/>
        </w:rPr>
        <w:t>Access to justice and effective remedies when individual rights are violated.</w:t>
      </w:r>
    </w:p>
    <w:p w14:paraId="4230403E" w14:textId="77777777" w:rsidR="005730BD" w:rsidRPr="00387232" w:rsidRDefault="005730BD" w:rsidP="00387232">
      <w:pPr>
        <w:pStyle w:val="Body"/>
        <w:spacing w:after="0" w:line="240" w:lineRule="auto"/>
        <w:ind w:left="720"/>
        <w:jc w:val="both"/>
        <w:rPr>
          <w:rFonts w:ascii="Times New Roman" w:hAnsi="Times New Roman" w:cs="Times New Roman"/>
          <w:color w:val="auto"/>
          <w:lang w:val="en-US"/>
        </w:rPr>
      </w:pPr>
    </w:p>
    <w:p w14:paraId="168EC9D1" w14:textId="537F7983" w:rsidR="005556F4" w:rsidRPr="00387232" w:rsidRDefault="005556F4" w:rsidP="00387232">
      <w:pPr>
        <w:autoSpaceDE w:val="0"/>
        <w:autoSpaceDN w:val="0"/>
        <w:adjustRightInd w:val="0"/>
        <w:spacing w:after="0" w:line="240" w:lineRule="auto"/>
        <w:jc w:val="both"/>
        <w:rPr>
          <w:rFonts w:ascii="Times New Roman" w:hAnsi="Times New Roman" w:cs="Times New Roman"/>
        </w:rPr>
      </w:pPr>
      <w:r w:rsidRPr="00387232">
        <w:rPr>
          <w:rFonts w:ascii="Times New Roman" w:hAnsi="Times New Roman" w:cs="Times New Roman"/>
        </w:rPr>
        <w:t>In humanitarian, and conflict-affected settings in particular, the breakdown of state infrastructure and disruption in access to basic services can lead to traditional accountability mechanisms being inaccessible or unavailable. These include access to domestic courts or tribunals, administrative processes within health systems such as maternal death surveillance response, and social accountability processes that prioritize community participation in decision-making</w:t>
      </w:r>
      <w:r w:rsidR="006565FF">
        <w:rPr>
          <w:rFonts w:ascii="Times New Roman" w:hAnsi="Times New Roman" w:cs="Times New Roman"/>
          <w:lang w:val="en-US"/>
        </w:rPr>
        <w:t xml:space="preserve"> and budgeting processes that prioritize </w:t>
      </w:r>
      <w:r w:rsidR="000053AE">
        <w:rPr>
          <w:rFonts w:ascii="Times New Roman" w:hAnsi="Times New Roman" w:cs="Times New Roman"/>
          <w:lang w:val="en-US"/>
        </w:rPr>
        <w:t>women’s and girls’ rights</w:t>
      </w:r>
      <w:r w:rsidRPr="00387232">
        <w:rPr>
          <w:rFonts w:ascii="Times New Roman" w:hAnsi="Times New Roman" w:cs="Times New Roman"/>
        </w:rPr>
        <w:t>. The breakdown of state infrastructure exacerbates pre-existing systemic inequalities and patterns of discrimination that negatively affect women and girls. Indeed, in humanitarian settings women and girls may face discrimination due to their legal status, and are at an increased risk of being subject to discrimination and other human rights violations when seeking health care, such as sexual and gender-based violence (SGBV), exploitation, and forced marriage.</w:t>
      </w:r>
      <w:r w:rsidRPr="00387232">
        <w:rPr>
          <w:rStyle w:val="EndnoteReference"/>
          <w:rFonts w:ascii="Times New Roman" w:hAnsi="Times New Roman" w:cs="Times New Roman"/>
        </w:rPr>
        <w:endnoteReference w:id="44"/>
      </w:r>
      <w:r w:rsidRPr="00387232">
        <w:rPr>
          <w:rFonts w:ascii="Times New Roman" w:hAnsi="Times New Roman" w:cs="Times New Roman"/>
        </w:rPr>
        <w:t xml:space="preserve"> As the Center called for in its 2017 briefing paper, Ensuring Sexual and Reproductive Health and Rights of Women and Girls Affected by Conflict, “</w:t>
      </w:r>
      <w:r w:rsidRPr="00387232">
        <w:rPr>
          <w:rFonts w:ascii="Times New Roman" w:hAnsi="Times New Roman" w:cs="Times New Roman"/>
          <w:i/>
          <w:iCs/>
        </w:rPr>
        <w:t>ensuring the provision of sexual and reproductive health information and services and accountability for sexual violence in these settings is central not only to an effective humanitarian response but also to fulfilling fundamental human rights and humanitarian law obligations</w:t>
      </w:r>
      <w:r w:rsidRPr="00387232">
        <w:rPr>
          <w:rFonts w:ascii="Times New Roman" w:hAnsi="Times New Roman" w:cs="Times New Roman"/>
        </w:rPr>
        <w:t>.”</w:t>
      </w:r>
      <w:r w:rsidR="00995A48" w:rsidRPr="00387232">
        <w:rPr>
          <w:rStyle w:val="EndnoteReference"/>
          <w:rFonts w:ascii="Times New Roman" w:hAnsi="Times New Roman" w:cs="Times New Roman"/>
        </w:rPr>
        <w:endnoteReference w:id="45"/>
      </w:r>
    </w:p>
    <w:p w14:paraId="7EE11D94" w14:textId="77777777" w:rsidR="005556F4" w:rsidRPr="00387232" w:rsidRDefault="005556F4" w:rsidP="00387232">
      <w:pPr>
        <w:autoSpaceDE w:val="0"/>
        <w:autoSpaceDN w:val="0"/>
        <w:adjustRightInd w:val="0"/>
        <w:spacing w:after="0" w:line="240" w:lineRule="auto"/>
        <w:jc w:val="both"/>
        <w:rPr>
          <w:rFonts w:ascii="Times New Roman" w:hAnsi="Times New Roman" w:cs="Times New Roman"/>
        </w:rPr>
      </w:pPr>
    </w:p>
    <w:p w14:paraId="3AD06EAD" w14:textId="77777777" w:rsidR="00F41715" w:rsidRPr="00387232" w:rsidRDefault="005556F4" w:rsidP="00F41715">
      <w:pPr>
        <w:spacing w:line="240" w:lineRule="auto"/>
        <w:jc w:val="both"/>
        <w:rPr>
          <w:rFonts w:ascii="Times New Roman" w:hAnsi="Times New Roman" w:cs="Times New Roman"/>
          <w:lang w:eastAsia="fr-CH"/>
        </w:rPr>
      </w:pPr>
      <w:r w:rsidRPr="00387232">
        <w:rPr>
          <w:rFonts w:ascii="Times New Roman" w:hAnsi="Times New Roman" w:cs="Times New Roman"/>
        </w:rPr>
        <w:t>International human rights bodies, including the CEDAW, CESCR and Human Rights Committees have affirmed that fundamental human rights obligations, continue to apply even in humanitarian settings.</w:t>
      </w:r>
      <w:r w:rsidRPr="00387232">
        <w:rPr>
          <w:rStyle w:val="EndnoteReference"/>
          <w:rFonts w:ascii="Times New Roman" w:hAnsi="Times New Roman" w:cs="Times New Roman"/>
        </w:rPr>
        <w:endnoteReference w:id="46"/>
      </w:r>
      <w:r w:rsidRPr="00387232">
        <w:rPr>
          <w:rFonts w:ascii="Times New Roman" w:hAnsi="Times New Roman" w:cs="Times New Roman"/>
        </w:rPr>
        <w:t xml:space="preserve"> Although international human rights law permits states to derogate from certain civil and political rights in some humanitarian settings and to limit certain obligations with respect to economic, social, and cultural rights depending on resource availability,</w:t>
      </w:r>
      <w:bookmarkStart w:id="2" w:name="_Ref508275360"/>
      <w:r w:rsidRPr="00387232">
        <w:rPr>
          <w:rStyle w:val="EndnoteReference"/>
          <w:rFonts w:ascii="Times New Roman" w:hAnsi="Times New Roman" w:cs="Times New Roman"/>
        </w:rPr>
        <w:endnoteReference w:id="47"/>
      </w:r>
      <w:bookmarkEnd w:id="2"/>
      <w:r w:rsidRPr="00387232">
        <w:rPr>
          <w:rFonts w:ascii="Times New Roman" w:hAnsi="Times New Roman" w:cs="Times New Roman"/>
        </w:rPr>
        <w:t xml:space="preserve"> human rights treaty bodies have emphasized that such derogations are subject to strict conditions and that certain minimum core obligations are non-derogable. </w:t>
      </w:r>
      <w:r w:rsidRPr="00387232">
        <w:rPr>
          <w:rStyle w:val="EndnoteReference"/>
          <w:rFonts w:ascii="Times New Roman" w:hAnsi="Times New Roman" w:cs="Times New Roman"/>
        </w:rPr>
        <w:endnoteReference w:id="48"/>
      </w:r>
      <w:r w:rsidRPr="00387232">
        <w:rPr>
          <w:rFonts w:ascii="Times New Roman" w:hAnsi="Times New Roman" w:cs="Times New Roman"/>
        </w:rPr>
        <w:t xml:space="preserve"> Even where derogations are permitted, the measures taken cannot involve discrimination based solely on prohibited grounds, including sex.</w:t>
      </w:r>
      <w:r w:rsidRPr="00387232">
        <w:rPr>
          <w:rStyle w:val="EndnoteReference"/>
          <w:rFonts w:ascii="Times New Roman" w:hAnsi="Times New Roman" w:cs="Times New Roman"/>
        </w:rPr>
        <w:endnoteReference w:id="49"/>
      </w:r>
      <w:r w:rsidRPr="00387232">
        <w:rPr>
          <w:rFonts w:ascii="Times New Roman" w:hAnsi="Times New Roman" w:cs="Times New Roman"/>
        </w:rPr>
        <w:t xml:space="preserve"> </w:t>
      </w:r>
      <w:r w:rsidR="00F41715" w:rsidRPr="00387232">
        <w:rPr>
          <w:rFonts w:ascii="Times New Roman" w:hAnsi="Times New Roman" w:cs="Times New Roman"/>
        </w:rPr>
        <w:t>Moreover, within the context of humanitarian settings, human rights bodies hold that the right to equality and non-discrimination applies.</w:t>
      </w:r>
      <w:r w:rsidR="00F41715" w:rsidRPr="00387232">
        <w:rPr>
          <w:rStyle w:val="EndnoteAnchor"/>
          <w:rFonts w:ascii="Times New Roman" w:hAnsi="Times New Roman" w:cs="Times New Roman"/>
        </w:rPr>
        <w:endnoteReference w:id="50"/>
      </w:r>
      <w:r w:rsidR="00F41715" w:rsidRPr="00387232">
        <w:rPr>
          <w:rFonts w:ascii="Times New Roman" w:hAnsi="Times New Roman" w:cs="Times New Roman"/>
        </w:rPr>
        <w:t xml:space="preserve"> In its General Recommendation No. 28, the CEDAW Committee affirmed that, even during disasters and public emergencies, women’s rights are not suspended, and states must continue to respect, protect, and fulfill women’s right to equality, which includes their reproductive rights.</w:t>
      </w:r>
      <w:bookmarkStart w:id="3" w:name="_Ref507496815"/>
      <w:bookmarkStart w:id="4" w:name="_Ref508274104"/>
      <w:bookmarkEnd w:id="3"/>
      <w:r w:rsidR="00F41715" w:rsidRPr="00387232">
        <w:rPr>
          <w:rStyle w:val="EndnoteAnchor"/>
          <w:rFonts w:ascii="Times New Roman" w:hAnsi="Times New Roman" w:cs="Times New Roman"/>
        </w:rPr>
        <w:endnoteReference w:id="51"/>
      </w:r>
      <w:bookmarkEnd w:id="4"/>
      <w:r w:rsidR="00F41715" w:rsidRPr="00387232">
        <w:rPr>
          <w:rFonts w:ascii="Times New Roman" w:hAnsi="Times New Roman" w:cs="Times New Roman"/>
        </w:rPr>
        <w:t xml:space="preserve"> The CEDAW Committee has found that “[p]rotecting women’s human rights at all times, advancing substantive gender equality before, during, and after conflict, and ensuring that women’s diverse experiences are fully integrated into all . . . reconstruction processes are important objectives of the Convention.”</w:t>
      </w:r>
      <w:r w:rsidR="00F41715" w:rsidRPr="00387232">
        <w:rPr>
          <w:rStyle w:val="EndnoteAnchor"/>
          <w:rFonts w:ascii="Times New Roman" w:hAnsi="Times New Roman" w:cs="Times New Roman"/>
        </w:rPr>
        <w:endnoteReference w:id="52"/>
      </w:r>
      <w:r w:rsidR="00F41715" w:rsidRPr="00387232">
        <w:rPr>
          <w:rFonts w:ascii="Times New Roman" w:hAnsi="Times New Roman" w:cs="Times New Roman"/>
        </w:rPr>
        <w:t xml:space="preserve"> The CEDAW Committee has noted that, instead of suspending rights protections, states should “adopt strategies and take measures addressed to the particular needs of women in . . . states of emergency.”</w:t>
      </w:r>
      <w:r w:rsidR="00F41715" w:rsidRPr="00387232">
        <w:rPr>
          <w:rStyle w:val="EndnoteReference"/>
          <w:rFonts w:ascii="Times New Roman" w:hAnsi="Times New Roman" w:cs="Times New Roman"/>
        </w:rPr>
        <w:endnoteReference w:id="53"/>
      </w:r>
      <w:r w:rsidR="00F41715" w:rsidRPr="00387232">
        <w:rPr>
          <w:rFonts w:ascii="Times New Roman" w:hAnsi="Times New Roman" w:cs="Times New Roman"/>
          <w:lang w:eastAsia="fr-CH"/>
        </w:rPr>
        <w:t xml:space="preserve"> </w:t>
      </w:r>
    </w:p>
    <w:p w14:paraId="4DD538B7" w14:textId="77777777" w:rsidR="00F458B5" w:rsidRPr="00387232" w:rsidRDefault="00F458B5" w:rsidP="00F458B5">
      <w:pPr>
        <w:pStyle w:val="NoSpacing"/>
        <w:jc w:val="both"/>
        <w:rPr>
          <w:rFonts w:ascii="Times New Roman" w:hAnsi="Times New Roman"/>
        </w:rPr>
      </w:pPr>
      <w:r w:rsidRPr="00387232">
        <w:rPr>
          <w:rFonts w:ascii="Times New Roman" w:hAnsi="Times New Roman"/>
        </w:rPr>
        <w:lastRenderedPageBreak/>
        <w:t>In its General Recommendation No. 30 on women in conflict prevention, conflict and post-conflict situations, the CEDAW Committee urges states to prevent, investigate, and punish all forms of gender-based violence and to ensure survivors’ access to justice, comprehensive medical treatment, and psychosocial support.</w:t>
      </w:r>
      <w:bookmarkStart w:id="5" w:name="_Ref508275090"/>
      <w:r w:rsidRPr="00387232">
        <w:rPr>
          <w:rStyle w:val="EndnoteReference"/>
          <w:rFonts w:ascii="Times New Roman" w:hAnsi="Times New Roman"/>
        </w:rPr>
        <w:endnoteReference w:id="54"/>
      </w:r>
      <w:bookmarkEnd w:id="5"/>
      <w:r w:rsidRPr="00387232">
        <w:rPr>
          <w:rFonts w:ascii="Times New Roman" w:hAnsi="Times New Roman"/>
        </w:rPr>
        <w:t xml:space="preserve"> The Committee also specifically calls on states to safeguard refugees and internally displaced persons (IDPs) from child, early, and forced marriage, to provide them with immediate access to medical services, and to create accountability mechanisms for gender-based violence in all displacement settings.</w:t>
      </w:r>
      <w:r w:rsidRPr="00387232">
        <w:rPr>
          <w:rStyle w:val="EndnoteReference"/>
          <w:rFonts w:ascii="Times New Roman" w:hAnsi="Times New Roman"/>
        </w:rPr>
        <w:endnoteReference w:id="55"/>
      </w:r>
      <w:r w:rsidRPr="00387232">
        <w:rPr>
          <w:rFonts w:ascii="Times New Roman" w:hAnsi="Times New Roman"/>
        </w:rPr>
        <w:t xml:space="preserve"> </w:t>
      </w:r>
    </w:p>
    <w:p w14:paraId="3D33C2D1" w14:textId="77777777" w:rsidR="005556F4" w:rsidRPr="00387232" w:rsidRDefault="005556F4" w:rsidP="00387232">
      <w:pPr>
        <w:pStyle w:val="NoSpacing"/>
        <w:jc w:val="both"/>
        <w:rPr>
          <w:rFonts w:ascii="Times New Roman" w:hAnsi="Times New Roman"/>
        </w:rPr>
      </w:pPr>
    </w:p>
    <w:p w14:paraId="4C16EEE3" w14:textId="23675C88" w:rsidR="000256F8" w:rsidRPr="00387232" w:rsidRDefault="005556F4" w:rsidP="009A49AC">
      <w:pPr>
        <w:pStyle w:val="NoSpacing"/>
        <w:jc w:val="both"/>
        <w:rPr>
          <w:rFonts w:ascii="Times New Roman" w:hAnsi="Times New Roman"/>
        </w:rPr>
      </w:pPr>
      <w:r w:rsidRPr="00387232">
        <w:rPr>
          <w:rFonts w:ascii="Times New Roman" w:hAnsi="Times New Roman"/>
        </w:rPr>
        <w:t xml:space="preserve">Treaty Monitoring Bodies have also reiterated that </w:t>
      </w:r>
      <w:r w:rsidRPr="00387232">
        <w:rPr>
          <w:rFonts w:ascii="Times New Roman" w:hAnsi="Times New Roman"/>
          <w:lang w:val="en-CH"/>
        </w:rPr>
        <w:t>international humanitarian law and international human rights law are complementary and mutually reinforcing</w:t>
      </w:r>
      <w:r w:rsidRPr="00387232">
        <w:rPr>
          <w:rFonts w:ascii="Times New Roman" w:hAnsi="Times New Roman"/>
        </w:rPr>
        <w:t>.</w:t>
      </w:r>
      <w:r w:rsidRPr="00387232">
        <w:rPr>
          <w:rStyle w:val="EndnoteReference"/>
          <w:rFonts w:ascii="Times New Roman" w:hAnsi="Times New Roman"/>
        </w:rPr>
        <w:endnoteReference w:id="56"/>
      </w:r>
    </w:p>
    <w:p w14:paraId="360B2140" w14:textId="77777777" w:rsidR="005556F4" w:rsidRPr="00387232" w:rsidRDefault="005556F4" w:rsidP="00387232">
      <w:pPr>
        <w:pStyle w:val="NormalWeb"/>
        <w:numPr>
          <w:ilvl w:val="1"/>
          <w:numId w:val="14"/>
        </w:numPr>
        <w:jc w:val="both"/>
        <w:rPr>
          <w:b/>
          <w:bCs/>
          <w:color w:val="231F20"/>
          <w:sz w:val="22"/>
          <w:szCs w:val="22"/>
          <w:u w:val="single"/>
          <w:shd w:val="clear" w:color="auto" w:fill="FFFFFF"/>
          <w:lang w:val="en-US"/>
        </w:rPr>
      </w:pPr>
      <w:r w:rsidRPr="00387232">
        <w:rPr>
          <w:b/>
          <w:bCs/>
          <w:color w:val="231F20"/>
          <w:sz w:val="22"/>
          <w:szCs w:val="22"/>
          <w:u w:val="single"/>
          <w:shd w:val="clear" w:color="auto" w:fill="FFFFFF"/>
          <w:lang w:val="en-US"/>
        </w:rPr>
        <w:t>International legal framework under International Humanitarian Law (IHL)</w:t>
      </w:r>
    </w:p>
    <w:p w14:paraId="64077368" w14:textId="4B4402B2" w:rsidR="005556F4" w:rsidRPr="00387232" w:rsidRDefault="005556F4" w:rsidP="00387232">
      <w:pPr>
        <w:pStyle w:val="NormalWeb"/>
        <w:jc w:val="both"/>
        <w:rPr>
          <w:sz w:val="22"/>
          <w:szCs w:val="22"/>
          <w:lang w:val="en-US"/>
        </w:rPr>
      </w:pPr>
      <w:r w:rsidRPr="00387232">
        <w:rPr>
          <w:sz w:val="22"/>
          <w:szCs w:val="22"/>
          <w:lang w:val="en-US"/>
        </w:rPr>
        <w:t>While IHRL and IHL are complementary bodies of international law, IHL also includes protections related to sexual and reproductive health</w:t>
      </w:r>
      <w:r w:rsidR="00221930" w:rsidRPr="00387232">
        <w:rPr>
          <w:sz w:val="22"/>
          <w:szCs w:val="22"/>
          <w:lang w:val="en-US"/>
        </w:rPr>
        <w:t>.</w:t>
      </w:r>
    </w:p>
    <w:p w14:paraId="0CE350D9" w14:textId="77777777" w:rsidR="005556F4" w:rsidRPr="00387232" w:rsidRDefault="005556F4" w:rsidP="00387232">
      <w:pPr>
        <w:pStyle w:val="NormalWeb"/>
        <w:jc w:val="both"/>
        <w:rPr>
          <w:sz w:val="22"/>
          <w:szCs w:val="22"/>
        </w:rPr>
      </w:pPr>
      <w:r w:rsidRPr="00387232">
        <w:rPr>
          <w:sz w:val="22"/>
          <w:szCs w:val="22"/>
        </w:rPr>
        <w:t>Non-discrimination is a core principle of IHL, which prohibits adverse distinction based on sex, among other grounds.</w:t>
      </w:r>
      <w:r w:rsidRPr="00387232">
        <w:rPr>
          <w:rStyle w:val="EndnoteReference"/>
          <w:sz w:val="22"/>
          <w:szCs w:val="22"/>
        </w:rPr>
        <w:endnoteReference w:id="57"/>
      </w:r>
      <w:r w:rsidRPr="00387232">
        <w:rPr>
          <w:sz w:val="22"/>
          <w:szCs w:val="22"/>
        </w:rPr>
        <w:t xml:space="preserve"> As one commentator notes, “[t]his is a prohibition on discrimination and not on differentiation,”</w:t>
      </w:r>
      <w:r w:rsidRPr="00387232">
        <w:rPr>
          <w:rStyle w:val="EndnoteReference"/>
          <w:sz w:val="22"/>
          <w:szCs w:val="22"/>
        </w:rPr>
        <w:endnoteReference w:id="58"/>
      </w:r>
      <w:r w:rsidRPr="00387232">
        <w:rPr>
          <w:sz w:val="22"/>
          <w:szCs w:val="22"/>
        </w:rPr>
        <w:t xml:space="preserve"> as IHL also provides for specific protections for women and imposes obligations on parties to an armed conflict to respect women’s specific needs.</w:t>
      </w:r>
      <w:r w:rsidRPr="00387232">
        <w:rPr>
          <w:rStyle w:val="EndnoteReference"/>
          <w:sz w:val="22"/>
          <w:szCs w:val="22"/>
        </w:rPr>
        <w:endnoteReference w:id="59"/>
      </w:r>
      <w:r w:rsidRPr="00387232">
        <w:rPr>
          <w:sz w:val="22"/>
          <w:szCs w:val="22"/>
        </w:rPr>
        <w:t xml:space="preserve"> Current interpretation of these needs encompasses protection from sexual violence as well as the need to ensure that women in conflict receive medical treatment and adequate health services, including counseling.</w:t>
      </w:r>
      <w:r w:rsidRPr="00387232">
        <w:rPr>
          <w:rStyle w:val="EndnoteReference"/>
          <w:sz w:val="22"/>
          <w:szCs w:val="22"/>
        </w:rPr>
        <w:endnoteReference w:id="60"/>
      </w:r>
    </w:p>
    <w:p w14:paraId="07A1562C" w14:textId="77777777" w:rsidR="005556F4" w:rsidRPr="00387232" w:rsidRDefault="005556F4" w:rsidP="00387232">
      <w:pPr>
        <w:pStyle w:val="NormalWeb"/>
        <w:jc w:val="both"/>
        <w:rPr>
          <w:sz w:val="22"/>
          <w:szCs w:val="22"/>
        </w:rPr>
      </w:pPr>
      <w:r w:rsidRPr="00387232">
        <w:rPr>
          <w:sz w:val="22"/>
          <w:szCs w:val="22"/>
        </w:rPr>
        <w:t>The 2016 commentary of the International Committee of the Red Cross (ICRC) notes that this care must take into account “the distinct set of needs of and particular physical and psychological risks facing women, including those arising from social structures” and requires “equal respect, protection and care based on all the needs of women.”</w:t>
      </w:r>
      <w:r w:rsidRPr="00387232">
        <w:rPr>
          <w:rStyle w:val="EndnoteReference"/>
          <w:sz w:val="22"/>
          <w:szCs w:val="22"/>
        </w:rPr>
        <w:endnoteReference w:id="61"/>
      </w:r>
      <w:r w:rsidRPr="00387232">
        <w:rPr>
          <w:sz w:val="22"/>
          <w:szCs w:val="22"/>
        </w:rPr>
        <w:t xml:space="preserve"> Moreover, the Geneva Conventions and Additional Protocol I require that parties to an armed conflict treat pregnant women and nursing mothers with particular care, including with respect to medical assistance.</w:t>
      </w:r>
      <w:r w:rsidRPr="00387232">
        <w:rPr>
          <w:rStyle w:val="EndnoteReference"/>
          <w:sz w:val="22"/>
          <w:szCs w:val="22"/>
        </w:rPr>
        <w:endnoteReference w:id="62"/>
      </w:r>
      <w:r w:rsidRPr="00387232">
        <w:rPr>
          <w:sz w:val="22"/>
          <w:szCs w:val="22"/>
        </w:rPr>
        <w:t xml:space="preserve"> IHL establishes an affirmative duty to provide medical care for the wounded.</w:t>
      </w:r>
      <w:r w:rsidRPr="00387232">
        <w:rPr>
          <w:rStyle w:val="EndnoteReference"/>
          <w:sz w:val="22"/>
          <w:szCs w:val="22"/>
        </w:rPr>
        <w:endnoteReference w:id="63"/>
      </w:r>
      <w:r w:rsidRPr="00387232">
        <w:rPr>
          <w:sz w:val="22"/>
          <w:szCs w:val="22"/>
        </w:rPr>
        <w:t>Additional Protocol I includes in its definition of the wounded and sick “maternity cases” and “other persons who may be in need of immediate medical assistance or care, such as… expectant mothers.”</w:t>
      </w:r>
      <w:r w:rsidRPr="00387232">
        <w:rPr>
          <w:rStyle w:val="EndnoteReference"/>
          <w:sz w:val="22"/>
          <w:szCs w:val="22"/>
        </w:rPr>
        <w:endnoteReference w:id="64"/>
      </w:r>
      <w:r w:rsidRPr="00387232">
        <w:rPr>
          <w:sz w:val="22"/>
          <w:szCs w:val="22"/>
          <w:lang w:val="en-US"/>
        </w:rPr>
        <w:t xml:space="preserve"> </w:t>
      </w:r>
      <w:r w:rsidRPr="00387232">
        <w:rPr>
          <w:sz w:val="22"/>
          <w:szCs w:val="22"/>
        </w:rPr>
        <w:t>Victims of sexual violence, including rape, also fall within the protections provided for the wounded and sick in armed conflict situations.</w:t>
      </w:r>
      <w:r w:rsidRPr="00387232">
        <w:rPr>
          <w:rStyle w:val="EndnoteReference"/>
          <w:sz w:val="22"/>
          <w:szCs w:val="22"/>
        </w:rPr>
        <w:endnoteReference w:id="65"/>
      </w:r>
      <w:r w:rsidRPr="00387232">
        <w:rPr>
          <w:sz w:val="22"/>
          <w:szCs w:val="22"/>
        </w:rPr>
        <w:t xml:space="preserve"> </w:t>
      </w:r>
    </w:p>
    <w:p w14:paraId="53739872" w14:textId="77777777" w:rsidR="005556F4" w:rsidRPr="00387232" w:rsidRDefault="005556F4" w:rsidP="00387232">
      <w:pPr>
        <w:pStyle w:val="NormalWeb"/>
        <w:jc w:val="both"/>
        <w:rPr>
          <w:sz w:val="22"/>
          <w:szCs w:val="22"/>
        </w:rPr>
      </w:pPr>
      <w:r w:rsidRPr="00387232">
        <w:rPr>
          <w:sz w:val="22"/>
          <w:szCs w:val="22"/>
        </w:rPr>
        <w:t>As such,</w:t>
      </w:r>
      <w:r w:rsidRPr="00387232">
        <w:rPr>
          <w:sz w:val="22"/>
          <w:szCs w:val="22"/>
          <w:lang w:val="en-US"/>
        </w:rPr>
        <w:t xml:space="preserve"> </w:t>
      </w:r>
      <w:r w:rsidRPr="00387232">
        <w:rPr>
          <w:sz w:val="22"/>
          <w:szCs w:val="22"/>
        </w:rPr>
        <w:t>at minimum, IHL establishes an obligation to provide medical care and attention to pregnant women and victims of sexual violence. The ICRC notes that this is an obligation of means, meaning that parties must make “best efforts” to fulfill it, including by permitting humanitarian organizations to assist.</w:t>
      </w:r>
      <w:r w:rsidRPr="00387232">
        <w:rPr>
          <w:rStyle w:val="EndnoteReference"/>
          <w:sz w:val="22"/>
          <w:szCs w:val="22"/>
        </w:rPr>
        <w:endnoteReference w:id="66"/>
      </w:r>
      <w:r w:rsidRPr="00387232">
        <w:rPr>
          <w:sz w:val="22"/>
          <w:szCs w:val="22"/>
        </w:rPr>
        <w:t xml:space="preserve"> With regard to the treatment of the sick and wounded, the prohibition on adverse distinction has been interpreted to permit distinction only on the basis of medical need.</w:t>
      </w:r>
      <w:r w:rsidRPr="00387232">
        <w:rPr>
          <w:rStyle w:val="EndnoteReference"/>
          <w:sz w:val="22"/>
          <w:szCs w:val="22"/>
        </w:rPr>
        <w:endnoteReference w:id="67"/>
      </w:r>
      <w:r w:rsidRPr="00387232">
        <w:rPr>
          <w:sz w:val="22"/>
          <w:szCs w:val="22"/>
        </w:rPr>
        <w:t xml:space="preserve"> The ICRC describes this IHL principle as similar to the human rights principle of non-discrimination,</w:t>
      </w:r>
      <w:r w:rsidRPr="00387232">
        <w:rPr>
          <w:rStyle w:val="EndnoteReference"/>
          <w:sz w:val="22"/>
          <w:szCs w:val="22"/>
        </w:rPr>
        <w:endnoteReference w:id="68"/>
      </w:r>
      <w:r w:rsidRPr="00387232">
        <w:rPr>
          <w:sz w:val="22"/>
          <w:szCs w:val="22"/>
        </w:rPr>
        <w:t xml:space="preserve"> suggesting that human rights law can provide additional guidance as to how this principle should be interpreted with respect to the medical treatment of women in conflict. </w:t>
      </w:r>
    </w:p>
    <w:p w14:paraId="14AC2BAD" w14:textId="77777777" w:rsidR="005556F4" w:rsidRPr="00387232" w:rsidRDefault="005556F4" w:rsidP="00387232">
      <w:pPr>
        <w:pStyle w:val="NormalWeb"/>
        <w:jc w:val="both"/>
        <w:rPr>
          <w:sz w:val="22"/>
          <w:szCs w:val="22"/>
        </w:rPr>
      </w:pPr>
      <w:r w:rsidRPr="00387232">
        <w:rPr>
          <w:sz w:val="22"/>
          <w:szCs w:val="22"/>
        </w:rPr>
        <w:t>IHL also requires civilians and individuals no longer participating in hostilities (persons hors de combat), including the sick and wounded, to be treated humanely in all circumstances.</w:t>
      </w:r>
      <w:r w:rsidRPr="00387232">
        <w:rPr>
          <w:rStyle w:val="EndnoteReference"/>
          <w:sz w:val="22"/>
          <w:szCs w:val="22"/>
        </w:rPr>
        <w:endnoteReference w:id="69"/>
      </w:r>
      <w:r w:rsidRPr="00387232">
        <w:rPr>
          <w:sz w:val="22"/>
          <w:szCs w:val="22"/>
        </w:rPr>
        <w:t xml:space="preserve"> Although humane treatment is not defined in the Geneva Conventions, Common Article 3, which constitutes the minimum yardstick of treatment during armed conflict, specifically prohibits acts of torture and cruel treatment as well as humiliating and degrading treatment.</w:t>
      </w:r>
      <w:r w:rsidRPr="00387232">
        <w:rPr>
          <w:rStyle w:val="EndnoteReference"/>
          <w:sz w:val="22"/>
          <w:szCs w:val="22"/>
        </w:rPr>
        <w:endnoteReference w:id="70"/>
      </w:r>
      <w:r w:rsidRPr="00387232">
        <w:rPr>
          <w:sz w:val="22"/>
          <w:szCs w:val="22"/>
        </w:rPr>
        <w:t xml:space="preserve"> </w:t>
      </w:r>
    </w:p>
    <w:p w14:paraId="2C1452A8" w14:textId="60D3D967" w:rsidR="005556F4" w:rsidRPr="00387232" w:rsidRDefault="00AD5C2D" w:rsidP="00387232">
      <w:pPr>
        <w:pStyle w:val="NormalWeb"/>
        <w:jc w:val="both"/>
        <w:rPr>
          <w:b/>
          <w:bCs/>
          <w:color w:val="231F20"/>
          <w:sz w:val="22"/>
          <w:szCs w:val="22"/>
          <w:u w:val="single"/>
          <w:shd w:val="clear" w:color="auto" w:fill="FFFFFF"/>
          <w:lang w:val="en-US"/>
        </w:rPr>
      </w:pPr>
      <w:r w:rsidRPr="00BF5CF7">
        <w:rPr>
          <w:sz w:val="22"/>
          <w:szCs w:val="22"/>
          <w:lang w:val="en-US"/>
        </w:rPr>
        <w:t>R</w:t>
      </w:r>
      <w:r w:rsidR="005556F4" w:rsidRPr="00387232">
        <w:rPr>
          <w:sz w:val="22"/>
          <w:szCs w:val="22"/>
        </w:rPr>
        <w:t>ape and sexual violence  are prohibited and constitute “violence to life and person” or “outrages upon personal dignity” or both and violate the fundamental guarantees of IHL to humane treatment.</w:t>
      </w:r>
      <w:r w:rsidR="005556F4" w:rsidRPr="00387232">
        <w:rPr>
          <w:rStyle w:val="EndnoteReference"/>
          <w:sz w:val="22"/>
          <w:szCs w:val="22"/>
        </w:rPr>
        <w:endnoteReference w:id="71"/>
      </w:r>
      <w:r w:rsidR="005556F4" w:rsidRPr="00387232">
        <w:rPr>
          <w:sz w:val="22"/>
          <w:szCs w:val="22"/>
        </w:rPr>
        <w:t xml:space="preserve"> In </w:t>
      </w:r>
      <w:r w:rsidR="005556F4" w:rsidRPr="00387232">
        <w:rPr>
          <w:sz w:val="22"/>
          <w:szCs w:val="22"/>
        </w:rPr>
        <w:lastRenderedPageBreak/>
        <w:t>describing the current interpretation of humane treatment, the ICRC explains that “the detailed rules found in international humanitarian law and human rights law give expression to the meaning of ‘humane treatment.’”</w:t>
      </w:r>
      <w:r w:rsidR="005556F4" w:rsidRPr="00387232">
        <w:rPr>
          <w:rStyle w:val="EndnoteReference"/>
          <w:sz w:val="22"/>
          <w:szCs w:val="22"/>
        </w:rPr>
        <w:endnoteReference w:id="72"/>
      </w:r>
      <w:r w:rsidR="005556F4" w:rsidRPr="00387232">
        <w:rPr>
          <w:sz w:val="22"/>
          <w:szCs w:val="22"/>
        </w:rPr>
        <w:t xml:space="preserve"> The 2016 commentary notes that “[s]ensitivity to the individual’s inherent status, capacities and needs, including how these differ among men and women due to social, economic, cultural and political structures in society, contributes to the understanding of humane treatment under common Article 3.”</w:t>
      </w:r>
      <w:r w:rsidR="005556F4" w:rsidRPr="00387232">
        <w:rPr>
          <w:rStyle w:val="EndnoteReference"/>
          <w:sz w:val="22"/>
          <w:szCs w:val="22"/>
        </w:rPr>
        <w:endnoteReference w:id="73"/>
      </w:r>
      <w:r w:rsidR="005556F4" w:rsidRPr="00387232">
        <w:rPr>
          <w:sz w:val="22"/>
          <w:szCs w:val="22"/>
        </w:rPr>
        <w:t xml:space="preserve"> For fundamental IHL guarantees, including humane treatment, human rights law and the interpretation of human rights bodies can clarify analogous IHL principles.</w:t>
      </w:r>
      <w:r w:rsidR="005556F4" w:rsidRPr="00387232">
        <w:rPr>
          <w:rStyle w:val="EndnoteReference"/>
          <w:sz w:val="22"/>
          <w:szCs w:val="22"/>
        </w:rPr>
        <w:endnoteReference w:id="74"/>
      </w:r>
      <w:r w:rsidR="005556F4" w:rsidRPr="00387232">
        <w:rPr>
          <w:sz w:val="22"/>
          <w:szCs w:val="22"/>
        </w:rPr>
        <w:t xml:space="preserve"> As such, interpretation and guidance from human rights bodies regarding torture and cruel, inhuman, or degrading treatment can help define the contours of humane treatment.</w:t>
      </w:r>
      <w:r w:rsidR="005556F4" w:rsidRPr="00387232">
        <w:rPr>
          <w:rStyle w:val="EndnoteReference"/>
          <w:sz w:val="22"/>
          <w:szCs w:val="22"/>
        </w:rPr>
        <w:endnoteReference w:id="75"/>
      </w:r>
    </w:p>
    <w:p w14:paraId="22B3C376" w14:textId="77777777" w:rsidR="005556F4" w:rsidRPr="00387232" w:rsidRDefault="005556F4" w:rsidP="00387232">
      <w:pPr>
        <w:pStyle w:val="NormalWeb"/>
        <w:numPr>
          <w:ilvl w:val="1"/>
          <w:numId w:val="14"/>
        </w:numPr>
        <w:jc w:val="both"/>
        <w:rPr>
          <w:b/>
          <w:bCs/>
          <w:color w:val="231F20"/>
          <w:sz w:val="22"/>
          <w:szCs w:val="22"/>
          <w:u w:val="single"/>
          <w:shd w:val="clear" w:color="auto" w:fill="FFFFFF"/>
          <w:lang w:val="en-US"/>
        </w:rPr>
      </w:pPr>
      <w:r w:rsidRPr="00387232">
        <w:rPr>
          <w:b/>
          <w:bCs/>
          <w:sz w:val="22"/>
          <w:szCs w:val="22"/>
          <w:u w:val="single"/>
          <w:lang w:eastAsia="fr-CH"/>
        </w:rPr>
        <w:t xml:space="preserve">Accountability </w:t>
      </w:r>
      <w:r w:rsidRPr="00387232">
        <w:rPr>
          <w:b/>
          <w:bCs/>
          <w:sz w:val="22"/>
          <w:szCs w:val="22"/>
          <w:u w:val="single"/>
          <w:lang w:val="en-US" w:eastAsia="fr-CH"/>
        </w:rPr>
        <w:t>for sexual and gender-based violence (SGBV) and to SRHR</w:t>
      </w:r>
    </w:p>
    <w:p w14:paraId="655E43D5" w14:textId="77777777" w:rsidR="005556F4" w:rsidRPr="00387232" w:rsidRDefault="005556F4" w:rsidP="00387232">
      <w:pPr>
        <w:pStyle w:val="NoSpacing"/>
        <w:jc w:val="both"/>
        <w:rPr>
          <w:rFonts w:ascii="Times New Roman" w:hAnsi="Times New Roman"/>
        </w:rPr>
      </w:pPr>
      <w:r w:rsidRPr="00387232">
        <w:rPr>
          <w:rFonts w:ascii="Times New Roman" w:hAnsi="Times New Roman"/>
        </w:rPr>
        <w:t xml:space="preserve">In addition to the legal obligations detailed above, human rights and humanitarian principles are critical to ensuring that humanitarian funding, programs, and policies are driven by, benefiting, and accountable to the individuals most directly affected by them.  </w:t>
      </w:r>
    </w:p>
    <w:p w14:paraId="6C5D2488" w14:textId="77777777" w:rsidR="005556F4" w:rsidRPr="00387232" w:rsidRDefault="005556F4" w:rsidP="00387232">
      <w:pPr>
        <w:pStyle w:val="NoSpacing"/>
        <w:jc w:val="both"/>
        <w:rPr>
          <w:rFonts w:ascii="Times New Roman" w:hAnsi="Times New Roman"/>
        </w:rPr>
      </w:pPr>
    </w:p>
    <w:p w14:paraId="4C4F73A9" w14:textId="77777777" w:rsidR="005556F4" w:rsidRPr="00387232" w:rsidRDefault="005556F4" w:rsidP="00387232">
      <w:pPr>
        <w:pStyle w:val="NoSpacing"/>
        <w:jc w:val="both"/>
        <w:rPr>
          <w:rFonts w:ascii="Times New Roman" w:hAnsi="Times New Roman"/>
        </w:rPr>
      </w:pPr>
      <w:r w:rsidRPr="00387232">
        <w:rPr>
          <w:rFonts w:ascii="Times New Roman" w:hAnsi="Times New Roman"/>
        </w:rPr>
        <w:t>Humanitarian principles of humanity, neutrality, impartiality and independence are key to ensure that humanitarian action’s main objective remains to protect life and health and ensure respect for human beings</w:t>
      </w:r>
      <w:r w:rsidRPr="00387232">
        <w:rPr>
          <w:rStyle w:val="EndnoteReference"/>
          <w:rFonts w:ascii="Times New Roman" w:hAnsi="Times New Roman"/>
        </w:rPr>
        <w:endnoteReference w:id="76"/>
      </w:r>
      <w:r w:rsidRPr="00387232">
        <w:rPr>
          <w:rFonts w:ascii="Times New Roman" w:hAnsi="Times New Roman"/>
        </w:rPr>
        <w:t xml:space="preserve"> and is carried out on the basis of need alone, giving priority to the most urgent cases of distress and making no adverse distinction on the basis of nationality, race, gender, religious belief, class or political opinion.</w:t>
      </w:r>
      <w:r w:rsidRPr="00387232">
        <w:rPr>
          <w:rStyle w:val="EndnoteReference"/>
          <w:rFonts w:ascii="Times New Roman" w:hAnsi="Times New Roman"/>
        </w:rPr>
        <w:endnoteReference w:id="77"/>
      </w:r>
      <w:r w:rsidRPr="00387232">
        <w:rPr>
          <w:rFonts w:ascii="Times New Roman" w:hAnsi="Times New Roman"/>
        </w:rPr>
        <w:t xml:space="preserve"> Sphere Handbook Protection Principles also include protection of affected populations’ sexual and reproductive health and rights, calling for guaranteeing access to healthcare and family planning that prevents excessive maternal and newborn morbidity and mortality</w:t>
      </w:r>
      <w:r w:rsidRPr="00387232">
        <w:rPr>
          <w:rStyle w:val="EndnoteReference"/>
          <w:rFonts w:ascii="Times New Roman" w:hAnsi="Times New Roman"/>
        </w:rPr>
        <w:endnoteReference w:id="78"/>
      </w:r>
      <w:r w:rsidRPr="00387232">
        <w:rPr>
          <w:rFonts w:ascii="Times New Roman" w:hAnsi="Times New Roman"/>
        </w:rPr>
        <w:t xml:space="preserve"> and ensuring access to healthcare that is safe and responds to the needs of survivors of sexual violence.</w:t>
      </w:r>
      <w:r w:rsidRPr="00387232">
        <w:rPr>
          <w:rStyle w:val="EndnoteReference"/>
          <w:rFonts w:ascii="Times New Roman" w:hAnsi="Times New Roman"/>
        </w:rPr>
        <w:endnoteReference w:id="79"/>
      </w:r>
    </w:p>
    <w:p w14:paraId="1F14F6C9" w14:textId="77777777" w:rsidR="005556F4" w:rsidRPr="00387232" w:rsidRDefault="005556F4" w:rsidP="00387232">
      <w:pPr>
        <w:pStyle w:val="NoSpacing"/>
        <w:jc w:val="both"/>
        <w:rPr>
          <w:rFonts w:ascii="Times New Roman" w:hAnsi="Times New Roman"/>
        </w:rPr>
      </w:pPr>
    </w:p>
    <w:p w14:paraId="024C2F13" w14:textId="77777777" w:rsidR="005556F4" w:rsidRPr="00387232" w:rsidRDefault="005556F4" w:rsidP="00387232">
      <w:pPr>
        <w:pStyle w:val="NoSpacing"/>
        <w:jc w:val="both"/>
        <w:rPr>
          <w:rFonts w:ascii="Times New Roman" w:hAnsi="Times New Roman"/>
        </w:rPr>
      </w:pPr>
      <w:r w:rsidRPr="00387232">
        <w:rPr>
          <w:rFonts w:ascii="Times New Roman" w:hAnsi="Times New Roman"/>
        </w:rPr>
        <w:t>Human rights principles of equality and non-discrimination, participation, transparency, and accountability are foundational to IHRL and are necessary to guide and inform all aspects of humanitarian service provision to ensure that it reflects and meets the needs of the individuals and communities most directly affected.</w:t>
      </w:r>
      <w:r w:rsidRPr="00387232">
        <w:rPr>
          <w:rStyle w:val="EndnoteReference"/>
          <w:rFonts w:ascii="Times New Roman" w:hAnsi="Times New Roman"/>
        </w:rPr>
        <w:endnoteReference w:id="80"/>
      </w:r>
      <w:r w:rsidRPr="00387232">
        <w:rPr>
          <w:rFonts w:ascii="Times New Roman" w:hAnsi="Times New Roman"/>
        </w:rPr>
        <w:t xml:space="preserve"> </w:t>
      </w:r>
    </w:p>
    <w:p w14:paraId="3FB6AC44" w14:textId="77777777" w:rsidR="005556F4" w:rsidRPr="00387232" w:rsidRDefault="005556F4" w:rsidP="00387232">
      <w:pPr>
        <w:pStyle w:val="NoSpacing"/>
        <w:jc w:val="both"/>
        <w:rPr>
          <w:rFonts w:ascii="Times New Roman" w:hAnsi="Times New Roman"/>
        </w:rPr>
      </w:pPr>
    </w:p>
    <w:p w14:paraId="5DFB87AB" w14:textId="77777777" w:rsidR="005556F4" w:rsidRPr="00387232" w:rsidRDefault="005556F4" w:rsidP="00387232">
      <w:pPr>
        <w:pStyle w:val="NoSpacing"/>
        <w:jc w:val="both"/>
        <w:rPr>
          <w:rFonts w:ascii="Times New Roman" w:hAnsi="Times New Roman"/>
        </w:rPr>
      </w:pPr>
      <w:r w:rsidRPr="00387232">
        <w:rPr>
          <w:rFonts w:ascii="Times New Roman" w:hAnsi="Times New Roman"/>
        </w:rPr>
        <w:t>Principles and rights to non-discrimination and equality are central to ensuring that humanitarian programs and policies recognize and address the root causes of sexual violence and SRHR violations in humanitarian settings to better prevent and eradicate these practices.</w:t>
      </w:r>
      <w:r w:rsidRPr="00387232">
        <w:rPr>
          <w:rStyle w:val="EndnoteReference"/>
          <w:rFonts w:ascii="Times New Roman" w:hAnsi="Times New Roman"/>
        </w:rPr>
        <w:endnoteReference w:id="81"/>
      </w:r>
      <w:r w:rsidRPr="00387232">
        <w:rPr>
          <w:rFonts w:ascii="Times New Roman" w:hAnsi="Times New Roman"/>
        </w:rPr>
        <w:t xml:space="preserve"> Aid efforts guided by the principles of non-discrimination and equality, moreover, prioritize the needs of marginalized or vulnerable groups or individuals.</w:t>
      </w:r>
      <w:r w:rsidRPr="00387232">
        <w:rPr>
          <w:rStyle w:val="EndnoteReference"/>
          <w:rFonts w:ascii="Times New Roman" w:hAnsi="Times New Roman"/>
        </w:rPr>
        <w:endnoteReference w:id="82"/>
      </w:r>
      <w:r w:rsidRPr="00387232">
        <w:rPr>
          <w:rFonts w:ascii="Times New Roman" w:hAnsi="Times New Roman"/>
        </w:rPr>
        <w:t xml:space="preserve"> To ensure that programs are accessible to the most vulnerable requires agencies and donors to monitor and collect data disaggregated on a number of different grounds, including, but not limited to, gender, age, ethnicity, religion, and geographic location.</w:t>
      </w:r>
      <w:r w:rsidRPr="00387232">
        <w:rPr>
          <w:rStyle w:val="EndnoteReference"/>
          <w:rFonts w:ascii="Times New Roman" w:hAnsi="Times New Roman"/>
        </w:rPr>
        <w:endnoteReference w:id="83"/>
      </w:r>
      <w:r w:rsidRPr="00387232">
        <w:rPr>
          <w:rFonts w:ascii="Times New Roman" w:hAnsi="Times New Roman"/>
        </w:rPr>
        <w:t xml:space="preserve"> </w:t>
      </w:r>
    </w:p>
    <w:p w14:paraId="1590893C" w14:textId="77777777" w:rsidR="005556F4" w:rsidRPr="00387232" w:rsidRDefault="005556F4" w:rsidP="00387232">
      <w:pPr>
        <w:pStyle w:val="NoSpacing"/>
        <w:jc w:val="both"/>
        <w:rPr>
          <w:rFonts w:ascii="Times New Roman" w:hAnsi="Times New Roman"/>
        </w:rPr>
      </w:pPr>
    </w:p>
    <w:p w14:paraId="64ED7BAA" w14:textId="77777777" w:rsidR="005556F4" w:rsidRPr="00387232" w:rsidRDefault="005556F4" w:rsidP="00387232">
      <w:pPr>
        <w:jc w:val="both"/>
        <w:rPr>
          <w:rFonts w:ascii="Times New Roman" w:hAnsi="Times New Roman" w:cs="Times New Roman"/>
        </w:rPr>
      </w:pPr>
      <w:r w:rsidRPr="00387232">
        <w:rPr>
          <w:rFonts w:ascii="Times New Roman" w:hAnsi="Times New Roman" w:cs="Times New Roman"/>
        </w:rPr>
        <w:t>Meaningful participation of women and girls in humanitarian settings, particularly those from vulnerable or marginalized groups, is a key priority in all stages of humanitarian response, from the development to the implementation, monitoring, and evaluation of service policies and programs. A human-rights based approach recognizes the agency of affected individuals to participate in, shape, and make decisions regarding programs and policies that are intended to be for their benefit.</w:t>
      </w:r>
      <w:r w:rsidRPr="00387232">
        <w:rPr>
          <w:rStyle w:val="EndnoteReference"/>
          <w:rFonts w:ascii="Times New Roman" w:hAnsi="Times New Roman" w:cs="Times New Roman"/>
        </w:rPr>
        <w:endnoteReference w:id="84"/>
      </w:r>
      <w:r w:rsidRPr="00387232">
        <w:rPr>
          <w:rFonts w:ascii="Times New Roman" w:hAnsi="Times New Roman" w:cs="Times New Roman"/>
        </w:rPr>
        <w:t xml:space="preserve"> As part of the International Conference on Population and Development, states acknowledged that reproductive health programming “must involve women in the leadership, planning, decision-making, management, implementation, organization and evaluation of service,”</w:t>
      </w:r>
      <w:r w:rsidRPr="00387232">
        <w:rPr>
          <w:rStyle w:val="EndnoteReference"/>
          <w:rFonts w:ascii="Times New Roman" w:hAnsi="Times New Roman" w:cs="Times New Roman"/>
        </w:rPr>
        <w:endnoteReference w:id="85"/>
      </w:r>
      <w:r w:rsidRPr="00387232">
        <w:rPr>
          <w:rFonts w:ascii="Times New Roman" w:hAnsi="Times New Roman" w:cs="Times New Roman"/>
        </w:rPr>
        <w:t xml:space="preserve"> which the UN Security Council also has affirmed in the context of humanitarian aid programs.</w:t>
      </w:r>
      <w:r w:rsidRPr="00387232">
        <w:rPr>
          <w:rStyle w:val="EndnoteReference"/>
          <w:rFonts w:ascii="Times New Roman" w:hAnsi="Times New Roman" w:cs="Times New Roman"/>
        </w:rPr>
        <w:endnoteReference w:id="86"/>
      </w:r>
      <w:r w:rsidRPr="00387232">
        <w:rPr>
          <w:rFonts w:ascii="Times New Roman" w:hAnsi="Times New Roman" w:cs="Times New Roman"/>
        </w:rPr>
        <w:t xml:space="preserve"> As noted by the Special Rapporteur on Health, “[</w:t>
      </w:r>
      <w:r w:rsidRPr="00BF5CF7">
        <w:rPr>
          <w:rFonts w:ascii="Times New Roman" w:hAnsi="Times New Roman" w:cs="Times New Roman"/>
          <w:i/>
          <w:iCs/>
        </w:rPr>
        <w:t>i]nvolvement in decision-making processes empowers affected communities and ensures ownership of decisions and resources, which leads to sustainable systems and, potentially, the resolution of conflicts</w:t>
      </w:r>
      <w:r w:rsidRPr="00387232">
        <w:rPr>
          <w:rFonts w:ascii="Times New Roman" w:hAnsi="Times New Roman" w:cs="Times New Roman"/>
        </w:rPr>
        <w:t>.”</w:t>
      </w:r>
      <w:r w:rsidRPr="00387232">
        <w:rPr>
          <w:rStyle w:val="EndnoteReference"/>
          <w:rFonts w:ascii="Times New Roman" w:hAnsi="Times New Roman" w:cs="Times New Roman"/>
        </w:rPr>
        <w:endnoteReference w:id="87"/>
      </w:r>
      <w:r w:rsidRPr="00387232">
        <w:rPr>
          <w:rFonts w:ascii="Times New Roman" w:hAnsi="Times New Roman" w:cs="Times New Roman"/>
        </w:rPr>
        <w:t xml:space="preserve"> Effective and meaningful participation, in turn, rests on the ability of affected individuals </w:t>
      </w:r>
      <w:r w:rsidRPr="00387232">
        <w:rPr>
          <w:rFonts w:ascii="Times New Roman" w:hAnsi="Times New Roman" w:cs="Times New Roman"/>
        </w:rPr>
        <w:lastRenderedPageBreak/>
        <w:t>to have access to reliable SRHR-related information as well as transparency regarding humanitarian funding decisions and structures.</w:t>
      </w:r>
      <w:r w:rsidRPr="00387232">
        <w:rPr>
          <w:rStyle w:val="EndnoteReference"/>
          <w:rFonts w:ascii="Times New Roman" w:hAnsi="Times New Roman" w:cs="Times New Roman"/>
        </w:rPr>
        <w:endnoteReference w:id="88"/>
      </w:r>
      <w:r w:rsidRPr="00387232">
        <w:rPr>
          <w:rFonts w:ascii="Times New Roman" w:hAnsi="Times New Roman" w:cs="Times New Roman"/>
        </w:rPr>
        <w:t xml:space="preserve">  </w:t>
      </w:r>
    </w:p>
    <w:p w14:paraId="0F66D8B6" w14:textId="77777777" w:rsidR="0070272E" w:rsidRDefault="005556F4" w:rsidP="00387232">
      <w:pPr>
        <w:jc w:val="both"/>
        <w:rPr>
          <w:rFonts w:ascii="Times New Roman" w:hAnsi="Times New Roman" w:cs="Times New Roman"/>
        </w:rPr>
      </w:pPr>
      <w:r w:rsidRPr="00387232">
        <w:rPr>
          <w:rFonts w:ascii="Times New Roman" w:hAnsi="Times New Roman" w:cs="Times New Roman"/>
        </w:rPr>
        <w:t xml:space="preserve">A human rights-based approach also prioritizes a broad and robust understanding of accountability to ensure that policymakers, decision-makers, and others who have an impact on affected individuals and communities are held responsible for their actions and decisions and that individuals whose rights have been violated have access to remedies. </w:t>
      </w:r>
    </w:p>
    <w:p w14:paraId="17D9033C" w14:textId="77777777" w:rsidR="0070272E" w:rsidRDefault="005556F4" w:rsidP="00387232">
      <w:pPr>
        <w:jc w:val="both"/>
        <w:rPr>
          <w:rFonts w:ascii="Times New Roman" w:hAnsi="Times New Roman" w:cs="Times New Roman"/>
        </w:rPr>
      </w:pPr>
      <w:r w:rsidRPr="00387232">
        <w:rPr>
          <w:rFonts w:ascii="Times New Roman" w:hAnsi="Times New Roman" w:cs="Times New Roman"/>
        </w:rPr>
        <w:t>Effective accountability mechanisms require participation and transparency as well as the ability to confer meaningful and effective remedies to victims of violations on a basis of non-discrimination.</w:t>
      </w:r>
      <w:r w:rsidRPr="00387232">
        <w:rPr>
          <w:rStyle w:val="EndnoteReference"/>
          <w:rFonts w:ascii="Times New Roman" w:hAnsi="Times New Roman" w:cs="Times New Roman"/>
        </w:rPr>
        <w:endnoteReference w:id="89"/>
      </w:r>
      <w:r w:rsidRPr="00387232">
        <w:rPr>
          <w:rFonts w:ascii="Times New Roman" w:hAnsi="Times New Roman" w:cs="Times New Roman"/>
        </w:rPr>
        <w:t xml:space="preserve"> </w:t>
      </w:r>
    </w:p>
    <w:p w14:paraId="7E581FB2" w14:textId="77777777" w:rsidR="0062721E" w:rsidRDefault="005556F4" w:rsidP="00387232">
      <w:pPr>
        <w:jc w:val="both"/>
        <w:rPr>
          <w:rFonts w:ascii="Times New Roman" w:hAnsi="Times New Roman" w:cs="Times New Roman"/>
        </w:rPr>
      </w:pPr>
      <w:r w:rsidRPr="00387232">
        <w:rPr>
          <w:rFonts w:ascii="Times New Roman" w:hAnsi="Times New Roman" w:cs="Times New Roman"/>
        </w:rPr>
        <w:t>International human rights and political bodies have recognized that accountability requires prompt investigation into violations and punishment of perpetrators as well as legal and policy shifts in order to prevent future violations.</w:t>
      </w:r>
      <w:r w:rsidRPr="00387232">
        <w:rPr>
          <w:rStyle w:val="EndnoteReference"/>
          <w:rFonts w:ascii="Times New Roman" w:hAnsi="Times New Roman" w:cs="Times New Roman"/>
        </w:rPr>
        <w:endnoteReference w:id="90"/>
      </w:r>
      <w:r w:rsidRPr="00387232">
        <w:rPr>
          <w:rFonts w:ascii="Times New Roman" w:hAnsi="Times New Roman" w:cs="Times New Roman"/>
        </w:rPr>
        <w:t xml:space="preserve"> Remedies, moreover, must aim to restore the rights of victims of violations and must include adequate, effective,</w:t>
      </w:r>
      <w:r w:rsidR="0070272E">
        <w:rPr>
          <w:rFonts w:ascii="Times New Roman" w:hAnsi="Times New Roman" w:cs="Times New Roman"/>
          <w:lang w:val="en-US"/>
        </w:rPr>
        <w:t xml:space="preserve"> transformative</w:t>
      </w:r>
      <w:r w:rsidRPr="00387232">
        <w:rPr>
          <w:rFonts w:ascii="Times New Roman" w:hAnsi="Times New Roman" w:cs="Times New Roman"/>
        </w:rPr>
        <w:t xml:space="preserve"> and prompt reparation, forms of which include restitution, compensation, rehabilitation (e.g. medical or psychological services), satisfaction, and guarantees of non-repetition.</w:t>
      </w:r>
      <w:r w:rsidRPr="00387232">
        <w:rPr>
          <w:rStyle w:val="EndnoteReference"/>
          <w:rFonts w:ascii="Times New Roman" w:hAnsi="Times New Roman" w:cs="Times New Roman"/>
        </w:rPr>
        <w:endnoteReference w:id="91"/>
      </w:r>
      <w:r w:rsidRPr="00387232">
        <w:rPr>
          <w:rFonts w:ascii="Times New Roman" w:hAnsi="Times New Roman" w:cs="Times New Roman"/>
        </w:rPr>
        <w:t xml:space="preserve"> </w:t>
      </w:r>
    </w:p>
    <w:p w14:paraId="4DD8037C" w14:textId="63D85C41" w:rsidR="0070272E" w:rsidRPr="00BF5CF7" w:rsidRDefault="00164A5E" w:rsidP="00387232">
      <w:pPr>
        <w:jc w:val="both"/>
        <w:rPr>
          <w:rFonts w:ascii="Times New Roman" w:hAnsi="Times New Roman" w:cs="Times New Roman"/>
          <w:b/>
          <w:bCs/>
          <w:lang w:val="en-US"/>
        </w:rPr>
      </w:pPr>
      <w:r w:rsidRPr="00BF5CF7">
        <w:rPr>
          <w:rFonts w:ascii="Times New Roman" w:hAnsi="Times New Roman" w:cs="Times New Roman"/>
          <w:b/>
          <w:bCs/>
          <w:lang w:val="en-US"/>
        </w:rPr>
        <w:t>The provision of sexual and reproductive health information and services free from discrimination, coercion and violence</w:t>
      </w:r>
      <w:r w:rsidR="00CD6452" w:rsidRPr="00BF5CF7">
        <w:rPr>
          <w:rFonts w:ascii="Times New Roman" w:hAnsi="Times New Roman" w:cs="Times New Roman"/>
          <w:b/>
          <w:bCs/>
          <w:lang w:val="en-US"/>
        </w:rPr>
        <w:t>, as medical services,</w:t>
      </w:r>
      <w:r w:rsidRPr="00BF5CF7">
        <w:rPr>
          <w:rFonts w:ascii="Times New Roman" w:hAnsi="Times New Roman" w:cs="Times New Roman"/>
          <w:b/>
          <w:bCs/>
          <w:lang w:val="en-US"/>
        </w:rPr>
        <w:t xml:space="preserve"> therefore constitutes </w:t>
      </w:r>
      <w:r w:rsidR="00E70ED6" w:rsidRPr="00BF5CF7">
        <w:rPr>
          <w:rFonts w:ascii="Times New Roman" w:hAnsi="Times New Roman" w:cs="Times New Roman"/>
          <w:b/>
          <w:bCs/>
          <w:lang w:val="en-US"/>
        </w:rPr>
        <w:t>an integral part of reparations</w:t>
      </w:r>
      <w:r w:rsidR="0062721E" w:rsidRPr="00BF5CF7">
        <w:rPr>
          <w:rFonts w:ascii="Times New Roman" w:hAnsi="Times New Roman" w:cs="Times New Roman"/>
          <w:b/>
          <w:bCs/>
          <w:lang w:val="en-US"/>
        </w:rPr>
        <w:t xml:space="preserve"> under international humanitarian law. </w:t>
      </w:r>
    </w:p>
    <w:p w14:paraId="05AE23CB" w14:textId="7680FF88" w:rsidR="005556F4" w:rsidRPr="00387232" w:rsidRDefault="005556F4" w:rsidP="00387232">
      <w:pPr>
        <w:jc w:val="both"/>
        <w:rPr>
          <w:rFonts w:ascii="Times New Roman" w:hAnsi="Times New Roman" w:cs="Times New Roman"/>
        </w:rPr>
      </w:pPr>
      <w:r w:rsidRPr="00387232">
        <w:rPr>
          <w:rFonts w:ascii="Times New Roman" w:hAnsi="Times New Roman" w:cs="Times New Roman"/>
        </w:rPr>
        <w:t>As OHCHR has noted in its technical guidance on maternal mortality, human rights accountability entails multiple forms of monitoring, review, and oversight, including administrative, social, political and legal, and accountability for multiple actors within the system.</w:t>
      </w:r>
      <w:r w:rsidRPr="00387232">
        <w:rPr>
          <w:rStyle w:val="EndnoteReference"/>
          <w:rFonts w:ascii="Times New Roman" w:hAnsi="Times New Roman" w:cs="Times New Roman"/>
        </w:rPr>
        <w:endnoteReference w:id="92"/>
      </w:r>
      <w:r w:rsidRPr="00387232">
        <w:rPr>
          <w:rFonts w:ascii="Times New Roman" w:hAnsi="Times New Roman" w:cs="Times New Roman"/>
        </w:rPr>
        <w:t xml:space="preserve"> Examples of social accountability include “community-based oversight of finances and quality of care at points of service provision, including ‘community scorecards.’”</w:t>
      </w:r>
      <w:r w:rsidRPr="00387232">
        <w:rPr>
          <w:rStyle w:val="EndnoteReference"/>
          <w:rFonts w:ascii="Times New Roman" w:hAnsi="Times New Roman" w:cs="Times New Roman"/>
        </w:rPr>
        <w:endnoteReference w:id="93"/>
      </w:r>
    </w:p>
    <w:p w14:paraId="56C6AF33" w14:textId="30682A43" w:rsidR="00D52441" w:rsidRPr="00387232" w:rsidRDefault="00D52441" w:rsidP="00387232">
      <w:pPr>
        <w:pStyle w:val="Body"/>
        <w:spacing w:after="0" w:line="240" w:lineRule="auto"/>
        <w:jc w:val="both"/>
        <w:rPr>
          <w:rFonts w:ascii="Times New Roman" w:hAnsi="Times New Roman" w:cs="Times New Roman"/>
          <w:b/>
          <w:bCs/>
          <w:color w:val="auto"/>
          <w:u w:val="single"/>
          <w:lang w:val="en-US"/>
        </w:rPr>
      </w:pPr>
      <w:r w:rsidRPr="00387232">
        <w:rPr>
          <w:rFonts w:ascii="Times New Roman" w:hAnsi="Times New Roman" w:cs="Times New Roman"/>
          <w:color w:val="auto"/>
          <w:u w:color="333333"/>
          <w:lang w:val="en-US"/>
        </w:rPr>
        <w:t xml:space="preserve"> </w:t>
      </w:r>
    </w:p>
    <w:p w14:paraId="3F394EB9" w14:textId="41C450BD" w:rsidR="00D52441" w:rsidRPr="00387232" w:rsidRDefault="000623AE" w:rsidP="00387232">
      <w:pPr>
        <w:pStyle w:val="ListParagraph"/>
        <w:numPr>
          <w:ilvl w:val="0"/>
          <w:numId w:val="22"/>
        </w:numPr>
        <w:spacing w:after="200"/>
        <w:jc w:val="both"/>
        <w:rPr>
          <w:rFonts w:ascii="Times New Roman" w:hAnsi="Times New Roman" w:cs="Times New Roman"/>
          <w:b/>
          <w:bCs/>
          <w:u w:val="single"/>
          <w:lang w:val="en-US"/>
        </w:rPr>
      </w:pPr>
      <w:r w:rsidRPr="00387232">
        <w:rPr>
          <w:rFonts w:ascii="Times New Roman" w:hAnsi="Times New Roman" w:cs="Times New Roman"/>
          <w:b/>
          <w:bCs/>
          <w:u w:val="single"/>
          <w:lang w:val="en-US"/>
        </w:rPr>
        <w:t xml:space="preserve">Impact of COVID-19 </w:t>
      </w:r>
      <w:r w:rsidR="00C44E1C" w:rsidRPr="00387232">
        <w:rPr>
          <w:rFonts w:ascii="Times New Roman" w:hAnsi="Times New Roman" w:cs="Times New Roman"/>
          <w:b/>
          <w:bCs/>
          <w:u w:val="single"/>
          <w:lang w:val="en-US"/>
        </w:rPr>
        <w:t xml:space="preserve">pandemic on sexual and gender-based violence and access to sexual and reproductive health information and services </w:t>
      </w:r>
    </w:p>
    <w:p w14:paraId="7E39B1E1" w14:textId="77777777" w:rsidR="005027B6" w:rsidRPr="00387232" w:rsidRDefault="00166680" w:rsidP="00387232">
      <w:pPr>
        <w:spacing w:before="100" w:beforeAutospacing="1" w:after="100" w:afterAutospacing="1" w:line="240" w:lineRule="auto"/>
        <w:jc w:val="both"/>
        <w:rPr>
          <w:rFonts w:ascii="Times New Roman" w:eastAsia="Times New Roman" w:hAnsi="Times New Roman" w:cs="Times New Roman"/>
          <w:iCs/>
          <w:lang w:eastAsia="fr-FR"/>
        </w:rPr>
      </w:pPr>
      <w:r w:rsidRPr="00387232">
        <w:rPr>
          <w:rFonts w:ascii="Times New Roman" w:eastAsia="Times New Roman" w:hAnsi="Times New Roman" w:cs="Times New Roman"/>
          <w:color w:val="231F20"/>
        </w:rPr>
        <w:t xml:space="preserve">The COVID-19 pandemic is pushing healthcare systems to their limits and compelling governments and healthcare institutions to make difficult and increasingly urgent decisions about how to deliver care while also curbing virus transmission. Human rights experts have made clear that, in the midst of the crisis, sexual and reproductive health services remain essential, and government responses to the pandemic </w:t>
      </w:r>
      <w:hyperlink r:id="rId12" w:history="1">
        <w:r w:rsidRPr="00387232">
          <w:rPr>
            <w:rStyle w:val="Hyperlink"/>
            <w:rFonts w:ascii="Times New Roman" w:eastAsia="Times New Roman" w:hAnsi="Times New Roman" w:cs="Times New Roman"/>
          </w:rPr>
          <w:t>must respect individuals’ human rights</w:t>
        </w:r>
      </w:hyperlink>
      <w:r w:rsidRPr="00387232">
        <w:rPr>
          <w:rFonts w:ascii="Times New Roman" w:eastAsia="Times New Roman" w:hAnsi="Times New Roman" w:cs="Times New Roman"/>
          <w:color w:val="231F20"/>
        </w:rPr>
        <w:t>, including the rights to life, health, sexual and reproductive health, privacy, bodily integrity, equality and non-discrimination, and freedom from cruel, inhuman, and degrading treatment.</w:t>
      </w:r>
      <w:r w:rsidRPr="00387232">
        <w:rPr>
          <w:rFonts w:ascii="Times New Roman" w:eastAsia="Times New Roman" w:hAnsi="Times New Roman" w:cs="Times New Roman"/>
          <w:lang w:eastAsia="fr-FR"/>
        </w:rPr>
        <w:t xml:space="preserve"> Moreover, human rights experts have stressed that governments must ensure that responses do not exacerbate existing and entrenched structural inequalities and inequities. </w:t>
      </w:r>
    </w:p>
    <w:p w14:paraId="3275AA6B" w14:textId="0F964BAD" w:rsidR="00166680" w:rsidRPr="00387232" w:rsidRDefault="00166680" w:rsidP="00387232">
      <w:pPr>
        <w:spacing w:before="100" w:beforeAutospacing="1" w:after="100" w:afterAutospacing="1" w:line="240" w:lineRule="auto"/>
        <w:jc w:val="both"/>
        <w:rPr>
          <w:rFonts w:ascii="Times New Roman" w:eastAsia="Times New Roman" w:hAnsi="Times New Roman" w:cs="Times New Roman"/>
          <w:iCs/>
          <w:lang w:eastAsia="fr-FR"/>
        </w:rPr>
      </w:pPr>
      <w:r w:rsidRPr="00387232">
        <w:rPr>
          <w:rFonts w:ascii="Times New Roman" w:hAnsi="Times New Roman" w:cs="Times New Roman"/>
          <w:bCs/>
          <w:color w:val="000000" w:themeColor="text1"/>
        </w:rPr>
        <w:t xml:space="preserve">The </w:t>
      </w:r>
      <w:hyperlink r:id="rId13" w:history="1">
        <w:r w:rsidRPr="00387232">
          <w:rPr>
            <w:rStyle w:val="Hyperlink"/>
            <w:rFonts w:ascii="Times New Roman" w:hAnsi="Times New Roman" w:cs="Times New Roman"/>
            <w:bCs/>
          </w:rPr>
          <w:t>Office of the High Commissioner for Human Right</w:t>
        </w:r>
        <w:r w:rsidRPr="00387232">
          <w:rPr>
            <w:rStyle w:val="Hyperlink"/>
            <w:rFonts w:ascii="Times New Roman" w:hAnsi="Times New Roman" w:cs="Times New Roman"/>
          </w:rPr>
          <w:t>s</w:t>
        </w:r>
      </w:hyperlink>
      <w:r w:rsidRPr="00387232">
        <w:rPr>
          <w:rFonts w:ascii="Times New Roman" w:hAnsi="Times New Roman" w:cs="Times New Roman"/>
          <w:color w:val="000000" w:themeColor="text1"/>
        </w:rPr>
        <w:t xml:space="preserve">, many </w:t>
      </w:r>
      <w:hyperlink r:id="rId14" w:history="1">
        <w:r w:rsidRPr="00387232">
          <w:rPr>
            <w:rStyle w:val="Hyperlink"/>
            <w:rFonts w:ascii="Times New Roman" w:hAnsi="Times New Roman" w:cs="Times New Roman"/>
          </w:rPr>
          <w:t>UN independent human rights experts</w:t>
        </w:r>
      </w:hyperlink>
      <w:r w:rsidRPr="00387232">
        <w:rPr>
          <w:rFonts w:ascii="Times New Roman" w:hAnsi="Times New Roman" w:cs="Times New Roman"/>
        </w:rPr>
        <w:t xml:space="preserve"> (</w:t>
      </w:r>
      <w:r w:rsidR="005027B6" w:rsidRPr="00387232">
        <w:rPr>
          <w:rFonts w:ascii="Times New Roman" w:hAnsi="Times New Roman" w:cs="Times New Roman"/>
          <w:lang w:val="en-US"/>
        </w:rPr>
        <w:t>the</w:t>
      </w:r>
      <w:r w:rsidRPr="00387232">
        <w:rPr>
          <w:rFonts w:ascii="Times New Roman" w:hAnsi="Times New Roman" w:cs="Times New Roman"/>
        </w:rPr>
        <w:t xml:space="preserve"> “special procedures”)</w:t>
      </w:r>
      <w:r w:rsidRPr="00387232">
        <w:rPr>
          <w:rFonts w:ascii="Times New Roman" w:hAnsi="Times New Roman" w:cs="Times New Roman"/>
          <w:bCs/>
          <w:color w:val="000000" w:themeColor="text1"/>
        </w:rPr>
        <w:t xml:space="preserve">, </w:t>
      </w:r>
      <w:r w:rsidRPr="00387232">
        <w:rPr>
          <w:rFonts w:ascii="Times New Roman" w:eastAsia="Times New Roman" w:hAnsi="Times New Roman" w:cs="Times New Roman"/>
          <w:color w:val="000000" w:themeColor="text1"/>
        </w:rPr>
        <w:t xml:space="preserve">and </w:t>
      </w:r>
      <w:hyperlink r:id="rId15" w:history="1">
        <w:r w:rsidRPr="00387232">
          <w:rPr>
            <w:rStyle w:val="Hyperlink"/>
            <w:rFonts w:ascii="Times New Roman" w:hAnsi="Times New Roman" w:cs="Times New Roman"/>
          </w:rPr>
          <w:t>the World Health Organization</w:t>
        </w:r>
      </w:hyperlink>
      <w:r w:rsidRPr="00387232">
        <w:rPr>
          <w:rFonts w:ascii="Times New Roman" w:eastAsia="Times New Roman" w:hAnsi="Times New Roman" w:cs="Times New Roman"/>
          <w:color w:val="000000" w:themeColor="text1"/>
        </w:rPr>
        <w:t xml:space="preserve"> have affirmed that human rights must guide the public health response to COVID-19.</w:t>
      </w:r>
      <w:r w:rsidRPr="00387232">
        <w:rPr>
          <w:rStyle w:val="EndnoteReference"/>
          <w:rFonts w:ascii="Times New Roman" w:eastAsia="Times New Roman" w:hAnsi="Times New Roman" w:cs="Times New Roman"/>
          <w:color w:val="000000" w:themeColor="text1"/>
        </w:rPr>
        <w:t xml:space="preserve"> </w:t>
      </w:r>
      <w:r w:rsidRPr="00387232">
        <w:rPr>
          <w:rFonts w:ascii="Times New Roman" w:eastAsia="Times New Roman" w:hAnsi="Times New Roman" w:cs="Times New Roman"/>
          <w:color w:val="000000" w:themeColor="text1"/>
        </w:rPr>
        <w:t xml:space="preserve"> Such responses should ensure that any emergency measures — including states of emergency — are </w:t>
      </w:r>
      <w:r w:rsidRPr="00387232">
        <w:rPr>
          <w:rFonts w:ascii="Times New Roman" w:hAnsi="Times New Roman" w:cs="Times New Roman"/>
          <w:color w:val="000000" w:themeColor="text1"/>
        </w:rPr>
        <w:t>legal, proportionate, necessary and non-discriminatory, have a specific focus and duration, and take the least intrusive approach possible</w:t>
      </w:r>
      <w:r w:rsidRPr="00387232">
        <w:rPr>
          <w:rFonts w:ascii="Times New Roman" w:eastAsia="Times New Roman" w:hAnsi="Times New Roman" w:cs="Times New Roman"/>
          <w:color w:val="000000" w:themeColor="text1"/>
        </w:rPr>
        <w:t xml:space="preserve"> to protect public health, human rights, and the rule of law. Human rights-based responses to the crisis must be </w:t>
      </w:r>
      <w:r w:rsidRPr="00387232">
        <w:rPr>
          <w:rFonts w:ascii="Times New Roman" w:hAnsi="Times New Roman" w:cs="Times New Roman"/>
        </w:rPr>
        <w:t>inclusive, equitable and universal, to ensure that no one is left behind.</w:t>
      </w:r>
    </w:p>
    <w:p w14:paraId="0E9B6860" w14:textId="77758CA5" w:rsidR="00166680" w:rsidRPr="00387232" w:rsidRDefault="00030DC4" w:rsidP="00387232">
      <w:pPr>
        <w:pStyle w:val="CommentText"/>
        <w:spacing w:before="100" w:beforeAutospacing="1"/>
        <w:jc w:val="both"/>
        <w:rPr>
          <w:rFonts w:ascii="Times New Roman" w:eastAsia="Times New Roman" w:hAnsi="Times New Roman" w:cs="Times New Roman"/>
          <w:iCs/>
          <w:color w:val="000000"/>
          <w:sz w:val="22"/>
          <w:szCs w:val="22"/>
          <w:lang w:val="en-GB"/>
        </w:rPr>
      </w:pPr>
      <w:hyperlink r:id="rId16" w:history="1">
        <w:r w:rsidR="00166680" w:rsidRPr="00387232">
          <w:rPr>
            <w:rStyle w:val="Hyperlink"/>
            <w:rFonts w:ascii="Times New Roman" w:hAnsi="Times New Roman" w:cs="Times New Roman"/>
            <w:sz w:val="22"/>
            <w:szCs w:val="22"/>
          </w:rPr>
          <w:t>UN special procedures</w:t>
        </w:r>
      </w:hyperlink>
      <w:r w:rsidR="00166680" w:rsidRPr="00387232">
        <w:rPr>
          <w:rFonts w:ascii="Times New Roman" w:hAnsi="Times New Roman" w:cs="Times New Roman"/>
          <w:sz w:val="22"/>
          <w:szCs w:val="22"/>
        </w:rPr>
        <w:t>,</w:t>
      </w:r>
      <w:r w:rsidR="00166680" w:rsidRPr="00387232">
        <w:rPr>
          <w:rFonts w:ascii="Times New Roman" w:eastAsia="Times New Roman" w:hAnsi="Times New Roman" w:cs="Times New Roman"/>
          <w:color w:val="000000"/>
          <w:sz w:val="22"/>
          <w:szCs w:val="22"/>
        </w:rPr>
        <w:t> </w:t>
      </w:r>
      <w:r w:rsidR="00166680" w:rsidRPr="00387232">
        <w:rPr>
          <w:rFonts w:ascii="Times New Roman" w:hAnsi="Times New Roman" w:cs="Times New Roman"/>
          <w:sz w:val="22"/>
          <w:szCs w:val="22"/>
        </w:rPr>
        <w:t xml:space="preserve">and </w:t>
      </w:r>
      <w:hyperlink r:id="rId17" w:history="1">
        <w:r w:rsidR="00166680" w:rsidRPr="00387232">
          <w:rPr>
            <w:rStyle w:val="Hyperlink"/>
            <w:rFonts w:ascii="Times New Roman" w:hAnsi="Times New Roman" w:cs="Times New Roman"/>
            <w:sz w:val="22"/>
            <w:szCs w:val="22"/>
          </w:rPr>
          <w:t>the World Health Organization</w:t>
        </w:r>
      </w:hyperlink>
      <w:r w:rsidR="00166680" w:rsidRPr="00387232">
        <w:rPr>
          <w:rFonts w:ascii="Times New Roman" w:hAnsi="Times New Roman" w:cs="Times New Roman"/>
          <w:color w:val="000000" w:themeColor="text1"/>
          <w:sz w:val="22"/>
          <w:szCs w:val="22"/>
        </w:rPr>
        <w:t xml:space="preserve"> </w:t>
      </w:r>
      <w:r w:rsidR="00166680" w:rsidRPr="00387232">
        <w:rPr>
          <w:rFonts w:ascii="Times New Roman" w:hAnsi="Times New Roman" w:cs="Times New Roman"/>
          <w:sz w:val="22"/>
          <w:szCs w:val="22"/>
        </w:rPr>
        <w:t xml:space="preserve"> have reiterated that sexual and reproductive health care is essential health care that governments must prioritize and include as part of their COVID-</w:t>
      </w:r>
      <w:r w:rsidR="00166680" w:rsidRPr="00387232">
        <w:rPr>
          <w:rFonts w:ascii="Times New Roman" w:hAnsi="Times New Roman" w:cs="Times New Roman"/>
          <w:sz w:val="22"/>
          <w:szCs w:val="22"/>
        </w:rPr>
        <w:lastRenderedPageBreak/>
        <w:t xml:space="preserve">19 responses. Essential sexual and reproductive health services </w:t>
      </w:r>
      <w:hyperlink r:id="rId18" w:history="1">
        <w:r w:rsidR="00166680" w:rsidRPr="00387232">
          <w:rPr>
            <w:rStyle w:val="Hyperlink"/>
            <w:rFonts w:ascii="Times New Roman" w:hAnsi="Times New Roman" w:cs="Times New Roman"/>
            <w:sz w:val="22"/>
            <w:szCs w:val="22"/>
          </w:rPr>
          <w:t>include</w:t>
        </w:r>
      </w:hyperlink>
      <w:r w:rsidR="00166680" w:rsidRPr="00387232">
        <w:rPr>
          <w:rFonts w:ascii="Times New Roman" w:hAnsi="Times New Roman" w:cs="Times New Roman"/>
          <w:sz w:val="22"/>
          <w:szCs w:val="22"/>
        </w:rPr>
        <w:t xml:space="preserve"> confidential access to contraception, safe abortion and post-abortion services, maternity care, and easy-to-access procedures such as online prescriptions, if necessary free of charge.</w:t>
      </w:r>
      <w:r w:rsidR="00166680" w:rsidRPr="00387232">
        <w:rPr>
          <w:rFonts w:ascii="Times New Roman" w:eastAsia="Times New Roman" w:hAnsi="Times New Roman" w:cs="Times New Roman"/>
          <w:iCs/>
          <w:color w:val="000000"/>
          <w:sz w:val="22"/>
          <w:szCs w:val="22"/>
          <w:lang w:val="en-GB"/>
        </w:rPr>
        <w:t xml:space="preserve"> </w:t>
      </w:r>
    </w:p>
    <w:p w14:paraId="43726658" w14:textId="77777777" w:rsidR="00166680" w:rsidRPr="00387232" w:rsidRDefault="00166680" w:rsidP="00387232">
      <w:pPr>
        <w:spacing w:before="100" w:beforeAutospacing="1" w:line="240" w:lineRule="auto"/>
        <w:jc w:val="both"/>
        <w:rPr>
          <w:rFonts w:ascii="Times New Roman" w:hAnsi="Times New Roman" w:cs="Times New Roman"/>
        </w:rPr>
      </w:pPr>
      <w:r w:rsidRPr="00387232">
        <w:rPr>
          <w:rFonts w:ascii="Times New Roman" w:hAnsi="Times New Roman" w:cs="Times New Roman"/>
        </w:rPr>
        <w:t>International experts have provided guidance on how governments should ensure timely, uninterrupted access to the full range of essential sexual and reproductive health care during the COVID-19 pandemic:</w:t>
      </w:r>
    </w:p>
    <w:p w14:paraId="16CD14D0" w14:textId="77777777" w:rsidR="00166680" w:rsidRPr="00387232" w:rsidRDefault="00030DC4" w:rsidP="00387232">
      <w:pPr>
        <w:spacing w:before="100" w:beforeAutospacing="1" w:line="240" w:lineRule="auto"/>
        <w:jc w:val="both"/>
        <w:rPr>
          <w:rFonts w:ascii="Times New Roman" w:eastAsia="Times New Roman" w:hAnsi="Times New Roman" w:cs="Times New Roman"/>
          <w:lang w:eastAsia="ja-JP"/>
        </w:rPr>
      </w:pPr>
      <w:hyperlink r:id="rId19" w:history="1">
        <w:r w:rsidR="00166680" w:rsidRPr="00387232">
          <w:rPr>
            <w:rStyle w:val="Hyperlink"/>
            <w:rFonts w:ascii="Times New Roman" w:eastAsia="Times New Roman" w:hAnsi="Times New Roman" w:cs="Times New Roman"/>
          </w:rPr>
          <w:t>The</w:t>
        </w:r>
        <w:r w:rsidR="00166680" w:rsidRPr="00387232">
          <w:rPr>
            <w:rStyle w:val="Hyperlink"/>
            <w:rFonts w:ascii="Times New Roman" w:eastAsia="Times New Roman" w:hAnsi="Times New Roman" w:cs="Times New Roman"/>
            <w:b/>
          </w:rPr>
          <w:t xml:space="preserve"> </w:t>
        </w:r>
        <w:r w:rsidR="00166680" w:rsidRPr="00387232">
          <w:rPr>
            <w:rStyle w:val="Hyperlink"/>
            <w:rFonts w:ascii="Times New Roman" w:eastAsia="Times New Roman" w:hAnsi="Times New Roman" w:cs="Times New Roman"/>
          </w:rPr>
          <w:t>Committee on the Elimination of Discrimination Against Women has called on governments</w:t>
        </w:r>
      </w:hyperlink>
      <w:r w:rsidR="00166680" w:rsidRPr="00387232">
        <w:rPr>
          <w:rFonts w:ascii="Times New Roman" w:eastAsia="Times New Roman" w:hAnsi="Times New Roman" w:cs="Times New Roman"/>
        </w:rPr>
        <w:t xml:space="preserve"> to ensure that COVID-19 responses are gender-sensitive, intersectional, and address the disproportionate impact of the pandemic on women’s health. The Committee has urged governments to</w:t>
      </w:r>
      <w:r w:rsidR="00166680" w:rsidRPr="00387232">
        <w:rPr>
          <w:rFonts w:ascii="Times New Roman" w:eastAsia="Times New Roman" w:hAnsi="Times New Roman" w:cs="Times New Roman"/>
          <w:lang w:eastAsia="ja-JP"/>
        </w:rPr>
        <w:t xml:space="preserve"> </w:t>
      </w:r>
      <w:r w:rsidR="00166680" w:rsidRPr="00387232">
        <w:rPr>
          <w:rFonts w:ascii="Times New Roman" w:eastAsia="Times New Roman" w:hAnsi="Times New Roman" w:cs="Times New Roman"/>
        </w:rPr>
        <w:t>ensure uninterrupted access to gender-sensitive essential health services, such as pre and post-natal care, termination of pregnancy, and the availability of contraceptives. The Committee has noted that guaranteeing uninterrupted access requires governments to ensure</w:t>
      </w:r>
      <w:r w:rsidR="00166680" w:rsidRPr="00387232">
        <w:rPr>
          <w:rFonts w:ascii="Times New Roman" w:eastAsia="Times New Roman" w:hAnsi="Times New Roman" w:cs="Times New Roman"/>
          <w:color w:val="000000"/>
        </w:rPr>
        <w:t xml:space="preserve"> there is no disruption in the supply chain of sexual and reproductive health commodities, including production, shipping, and distribution.</w:t>
      </w:r>
      <w:r w:rsidR="00166680" w:rsidRPr="00387232" w:rsidDel="00DA262A">
        <w:rPr>
          <w:rFonts w:ascii="Times New Roman" w:eastAsia="Times New Roman" w:hAnsi="Times New Roman" w:cs="Times New Roman"/>
          <w:color w:val="000000"/>
        </w:rPr>
        <w:t xml:space="preserve"> </w:t>
      </w:r>
    </w:p>
    <w:p w14:paraId="54A4370B" w14:textId="77777777" w:rsidR="00166680" w:rsidRPr="00387232" w:rsidRDefault="00030DC4" w:rsidP="00387232">
      <w:pPr>
        <w:spacing w:before="100" w:beforeAutospacing="1" w:line="240" w:lineRule="auto"/>
        <w:jc w:val="both"/>
        <w:rPr>
          <w:rFonts w:ascii="Times New Roman" w:eastAsia="Times New Roman" w:hAnsi="Times New Roman" w:cs="Times New Roman"/>
          <w:iCs/>
          <w:color w:val="385623" w:themeColor="accent6" w:themeShade="80"/>
          <w:lang w:val="en-GB"/>
        </w:rPr>
      </w:pPr>
      <w:hyperlink r:id="rId20" w:history="1">
        <w:r w:rsidR="00166680" w:rsidRPr="00387232">
          <w:rPr>
            <w:rStyle w:val="Hyperlink"/>
            <w:rFonts w:ascii="Times New Roman" w:eastAsia="Times New Roman" w:hAnsi="Times New Roman" w:cs="Times New Roman"/>
          </w:rPr>
          <w:t>The Office of the High Commissioner for Human Rights (OHCHR) and many special procedures have further recommended</w:t>
        </w:r>
      </w:hyperlink>
      <w:r w:rsidR="00166680" w:rsidRPr="00387232">
        <w:rPr>
          <w:rFonts w:ascii="Times New Roman" w:hAnsi="Times New Roman" w:cs="Times New Roman"/>
          <w:color w:val="000000"/>
        </w:rPr>
        <w:t xml:space="preserve"> that governments mitigate the impact of the COVID-19 crisis on women and girls’ access to sexual and reproductive health and rights</w:t>
      </w:r>
      <w:r w:rsidR="00166680" w:rsidRPr="00387232">
        <w:rPr>
          <w:rFonts w:ascii="Times New Roman" w:eastAsia="Times New Roman" w:hAnsi="Times New Roman" w:cs="Times New Roman"/>
          <w:color w:val="000000" w:themeColor="text1"/>
        </w:rPr>
        <w:t xml:space="preserve"> and ensure their full and equal representation in all decision-making on short-term mitigation and long-term recovery.</w:t>
      </w:r>
      <w:r w:rsidR="00166680" w:rsidRPr="00387232">
        <w:rPr>
          <w:rStyle w:val="EndnoteReference"/>
          <w:rFonts w:ascii="Times New Roman" w:eastAsia="Times New Roman" w:hAnsi="Times New Roman" w:cs="Times New Roman"/>
          <w:color w:val="000000"/>
        </w:rPr>
        <w:t xml:space="preserve"> </w:t>
      </w:r>
    </w:p>
    <w:p w14:paraId="3AE085C6" w14:textId="77777777" w:rsidR="00166680" w:rsidRPr="00387232" w:rsidRDefault="00030DC4" w:rsidP="00387232">
      <w:pPr>
        <w:spacing w:before="100" w:beforeAutospacing="1" w:line="240" w:lineRule="auto"/>
        <w:jc w:val="both"/>
        <w:rPr>
          <w:rFonts w:ascii="Times New Roman" w:eastAsia="Times New Roman" w:hAnsi="Times New Roman" w:cs="Times New Roman"/>
          <w:iCs/>
          <w:color w:val="000000" w:themeColor="text1"/>
          <w:lang w:val="en-GB"/>
        </w:rPr>
      </w:pPr>
      <w:hyperlink r:id="rId21" w:history="1">
        <w:r w:rsidR="00166680" w:rsidRPr="00387232">
          <w:rPr>
            <w:rStyle w:val="Hyperlink"/>
            <w:rFonts w:ascii="Times New Roman" w:eastAsia="Times New Roman" w:hAnsi="Times New Roman" w:cs="Times New Roman"/>
            <w:iCs/>
            <w:color w:val="000000" w:themeColor="text1"/>
            <w:lang w:val="en-GB"/>
          </w:rPr>
          <w:t>The World Health Organization has recognized</w:t>
        </w:r>
      </w:hyperlink>
      <w:r w:rsidR="00166680" w:rsidRPr="00387232">
        <w:rPr>
          <w:rFonts w:ascii="Times New Roman" w:eastAsia="Times New Roman" w:hAnsi="Times New Roman" w:cs="Times New Roman"/>
          <w:iCs/>
          <w:color w:val="000000" w:themeColor="text1"/>
          <w:lang w:val="en-GB"/>
        </w:rPr>
        <w:t xml:space="preserve"> that increased restrictions on mobility affecting access to essential health services, including sexual and reproductive health, violate human rights and has recommended that governments consider and address such impacts when responding to COVID-19.</w:t>
      </w:r>
    </w:p>
    <w:p w14:paraId="029760F0" w14:textId="77777777" w:rsidR="00166680" w:rsidRPr="00387232" w:rsidRDefault="00166680" w:rsidP="00387232">
      <w:pPr>
        <w:spacing w:before="100" w:beforeAutospacing="1" w:line="240" w:lineRule="auto"/>
        <w:jc w:val="both"/>
        <w:rPr>
          <w:rFonts w:ascii="Times New Roman" w:hAnsi="Times New Roman" w:cs="Times New Roman"/>
        </w:rPr>
      </w:pPr>
      <w:r w:rsidRPr="00387232">
        <w:rPr>
          <w:rFonts w:ascii="Times New Roman" w:hAnsi="Times New Roman" w:cs="Times New Roman"/>
        </w:rPr>
        <w:t xml:space="preserve">The </w:t>
      </w:r>
      <w:hyperlink r:id="rId22" w:history="1">
        <w:r w:rsidRPr="00387232">
          <w:rPr>
            <w:rStyle w:val="Hyperlink"/>
            <w:rFonts w:ascii="Times New Roman" w:hAnsi="Times New Roman" w:cs="Times New Roman"/>
          </w:rPr>
          <w:t>UN human rights treaty bodies</w:t>
        </w:r>
      </w:hyperlink>
      <w:r w:rsidRPr="00387232">
        <w:rPr>
          <w:rFonts w:ascii="Times New Roman" w:hAnsi="Times New Roman" w:cs="Times New Roman"/>
        </w:rPr>
        <w:t xml:space="preserve"> have repeatedly and consistently </w:t>
      </w:r>
      <w:hyperlink r:id="rId23" w:history="1">
        <w:r w:rsidRPr="00387232">
          <w:rPr>
            <w:rStyle w:val="Hyperlink"/>
            <w:rFonts w:ascii="Times New Roman" w:hAnsi="Times New Roman" w:cs="Times New Roman"/>
          </w:rPr>
          <w:t>affirmed</w:t>
        </w:r>
      </w:hyperlink>
      <w:r w:rsidRPr="00387232">
        <w:rPr>
          <w:rFonts w:ascii="Times New Roman" w:hAnsi="Times New Roman" w:cs="Times New Roman"/>
        </w:rPr>
        <w:t xml:space="preserve"> that access to abortion care is a human right.</w:t>
      </w:r>
      <w:r w:rsidRPr="00387232">
        <w:rPr>
          <w:rFonts w:ascii="Times New Roman" w:hAnsi="Times New Roman" w:cs="Times New Roman"/>
          <w:b/>
        </w:rPr>
        <w:t xml:space="preserve"> </w:t>
      </w:r>
      <w:hyperlink r:id="rId24" w:history="1">
        <w:r w:rsidRPr="00387232">
          <w:rPr>
            <w:rStyle w:val="Hyperlink"/>
            <w:rFonts w:ascii="Times New Roman" w:hAnsi="Times New Roman" w:cs="Times New Roman"/>
          </w:rPr>
          <w:t>The World Health Organization</w:t>
        </w:r>
      </w:hyperlink>
      <w:r w:rsidRPr="00387232">
        <w:rPr>
          <w:rFonts w:ascii="Times New Roman" w:hAnsi="Times New Roman" w:cs="Times New Roman"/>
        </w:rPr>
        <w:t xml:space="preserve"> and the </w:t>
      </w:r>
      <w:hyperlink r:id="rId25" w:history="1">
        <w:r w:rsidRPr="00387232">
          <w:rPr>
            <w:rStyle w:val="Hyperlink"/>
            <w:rFonts w:ascii="Times New Roman" w:hAnsi="Times New Roman" w:cs="Times New Roman"/>
          </w:rPr>
          <w:t>Inter-Agency Working Group on Reproductive Health in Crises</w:t>
        </w:r>
      </w:hyperlink>
      <w:r w:rsidRPr="00387232">
        <w:rPr>
          <w:rFonts w:ascii="Times New Roman" w:hAnsi="Times New Roman" w:cs="Times New Roman"/>
        </w:rPr>
        <w:t xml:space="preserve"> (IAWG) have made clear that, even in emergencies, abortion care is essential for preventing maternal mortality and morbidity and protecting the right to life with dignity, and thus should remain available. </w:t>
      </w:r>
    </w:p>
    <w:p w14:paraId="046E8F63" w14:textId="77777777" w:rsidR="00166680" w:rsidRPr="00387232" w:rsidRDefault="00166680" w:rsidP="00387232">
      <w:pPr>
        <w:spacing w:before="100" w:beforeAutospacing="1" w:line="240" w:lineRule="auto"/>
        <w:jc w:val="both"/>
        <w:rPr>
          <w:rFonts w:ascii="Times New Roman" w:hAnsi="Times New Roman" w:cs="Times New Roman"/>
          <w:color w:val="333333"/>
        </w:rPr>
      </w:pPr>
      <w:r w:rsidRPr="00387232">
        <w:rPr>
          <w:rFonts w:ascii="Times New Roman" w:hAnsi="Times New Roman" w:cs="Times New Roman"/>
        </w:rPr>
        <w:t xml:space="preserve">In order to sustain accessibility to abortion care during the COVID-19 pandemic, </w:t>
      </w:r>
      <w:hyperlink r:id="rId26" w:history="1">
        <w:r w:rsidRPr="00387232">
          <w:rPr>
            <w:rStyle w:val="Hyperlink"/>
            <w:rFonts w:ascii="Times New Roman" w:hAnsi="Times New Roman" w:cs="Times New Roman"/>
          </w:rPr>
          <w:t>regional human rights experts have recommended</w:t>
        </w:r>
      </w:hyperlink>
      <w:r w:rsidRPr="00387232">
        <w:rPr>
          <w:rFonts w:ascii="Times New Roman" w:hAnsi="Times New Roman" w:cs="Times New Roman"/>
        </w:rPr>
        <w:t xml:space="preserve"> that </w:t>
      </w:r>
      <w:r w:rsidRPr="00387232">
        <w:rPr>
          <w:rFonts w:ascii="Times New Roman" w:hAnsi="Times New Roman" w:cs="Times New Roman"/>
          <w:color w:val="000000" w:themeColor="text1"/>
        </w:rPr>
        <w:t>governments should ensure uninterrupted supplies for all essential sexual and reproductive health services</w:t>
      </w:r>
      <w:r w:rsidRPr="00387232">
        <w:rPr>
          <w:rFonts w:ascii="Times New Roman" w:hAnsi="Times New Roman" w:cs="Times New Roman"/>
          <w:color w:val="333333"/>
        </w:rPr>
        <w:t xml:space="preserve">. </w:t>
      </w:r>
    </w:p>
    <w:p w14:paraId="207F8549" w14:textId="6D00E096" w:rsidR="00166680" w:rsidRDefault="00166680" w:rsidP="00387232">
      <w:pPr>
        <w:tabs>
          <w:tab w:val="left" w:pos="1620"/>
        </w:tabs>
        <w:spacing w:before="100" w:beforeAutospacing="1" w:line="240" w:lineRule="auto"/>
        <w:jc w:val="both"/>
        <w:rPr>
          <w:rFonts w:ascii="Times New Roman" w:hAnsi="Times New Roman" w:cs="Times New Roman"/>
          <w:color w:val="333333"/>
        </w:rPr>
      </w:pPr>
      <w:r w:rsidRPr="00387232">
        <w:rPr>
          <w:rFonts w:ascii="Times New Roman" w:hAnsi="Times New Roman" w:cs="Times New Roman"/>
          <w:color w:val="333333"/>
        </w:rPr>
        <w:t xml:space="preserve">In order to further improve </w:t>
      </w:r>
      <w:r w:rsidRPr="00387232">
        <w:rPr>
          <w:rFonts w:ascii="Times New Roman" w:hAnsi="Times New Roman" w:cs="Times New Roman"/>
        </w:rPr>
        <w:t xml:space="preserve">access to abortion care, </w:t>
      </w:r>
      <w:r w:rsidRPr="00387232">
        <w:rPr>
          <w:rFonts w:ascii="Times New Roman" w:hAnsi="Times New Roman" w:cs="Times New Roman"/>
          <w:color w:val="333333"/>
        </w:rPr>
        <w:t>IAWG has</w:t>
      </w:r>
      <w:r w:rsidRPr="00387232">
        <w:rPr>
          <w:rFonts w:ascii="Times New Roman" w:hAnsi="Times New Roman" w:cs="Times New Roman"/>
          <w:b/>
          <w:color w:val="333333"/>
        </w:rPr>
        <w:t xml:space="preserve"> </w:t>
      </w:r>
      <w:r w:rsidRPr="00387232">
        <w:rPr>
          <w:rFonts w:ascii="Times New Roman" w:hAnsi="Times New Roman" w:cs="Times New Roman"/>
          <w:color w:val="333333"/>
        </w:rPr>
        <w:t xml:space="preserve">noted that governments should </w:t>
      </w:r>
      <w:hyperlink r:id="rId27" w:anchor="asset:30551" w:history="1">
        <w:r w:rsidRPr="00387232">
          <w:rPr>
            <w:rStyle w:val="Hyperlink"/>
            <w:rFonts w:ascii="Times New Roman" w:hAnsi="Times New Roman" w:cs="Times New Roman"/>
          </w:rPr>
          <w:t>ensure support for self-management of medical abortion</w:t>
        </w:r>
      </w:hyperlink>
      <w:r w:rsidRPr="00387232">
        <w:rPr>
          <w:rFonts w:ascii="Times New Roman" w:hAnsi="Times New Roman" w:cs="Times New Roman"/>
        </w:rPr>
        <w:t xml:space="preserve"> care</w:t>
      </w:r>
      <w:r w:rsidRPr="00387232">
        <w:rPr>
          <w:rFonts w:ascii="Times New Roman" w:hAnsi="Times New Roman" w:cs="Times New Roman"/>
          <w:color w:val="333333"/>
        </w:rPr>
        <w:t xml:space="preserve"> for up until 12 weeks of pregnancy and that remote approaches can be considered for counseling on self- management.</w:t>
      </w:r>
      <w:r w:rsidRPr="00387232">
        <w:rPr>
          <w:rStyle w:val="EndnoteReference"/>
          <w:rFonts w:ascii="Times New Roman" w:eastAsia="Times New Roman" w:hAnsi="Times New Roman" w:cs="Times New Roman"/>
        </w:rPr>
        <w:t xml:space="preserve"> </w:t>
      </w:r>
      <w:r w:rsidRPr="00387232">
        <w:rPr>
          <w:rFonts w:ascii="Times New Roman" w:eastAsia="Times New Roman" w:hAnsi="Times New Roman" w:cs="Times New Roman"/>
        </w:rPr>
        <w:t xml:space="preserve"> </w:t>
      </w:r>
      <w:r w:rsidRPr="00387232">
        <w:rPr>
          <w:rFonts w:ascii="Times New Roman" w:hAnsi="Times New Roman" w:cs="Times New Roman"/>
          <w:color w:val="333333"/>
        </w:rPr>
        <w:t xml:space="preserve">Relatedly, the World Health Organization recommends that governments should ensure the availability of all essential medicines covered under </w:t>
      </w:r>
      <w:hyperlink r:id="rId28" w:history="1">
        <w:r w:rsidRPr="00387232">
          <w:rPr>
            <w:rStyle w:val="Hyperlink"/>
            <w:rFonts w:ascii="Times New Roman" w:hAnsi="Times New Roman" w:cs="Times New Roman"/>
          </w:rPr>
          <w:t>the WHO Model List of Essential Medicines</w:t>
        </w:r>
      </w:hyperlink>
      <w:r w:rsidRPr="00387232">
        <w:rPr>
          <w:rFonts w:ascii="Times New Roman" w:hAnsi="Times New Roman" w:cs="Times New Roman"/>
          <w:color w:val="333333"/>
        </w:rPr>
        <w:t xml:space="preserve">, which includes the active drugs for medication abortion, misoprostol and mifepristone. </w:t>
      </w:r>
    </w:p>
    <w:p w14:paraId="13C9CC59" w14:textId="15B02CA0" w:rsidR="00EF2626" w:rsidRPr="00EF2626" w:rsidRDefault="00EF2626" w:rsidP="00EF2626">
      <w:pPr>
        <w:contextualSpacing/>
        <w:jc w:val="both"/>
        <w:rPr>
          <w:rFonts w:ascii="Times New Roman" w:hAnsi="Times New Roman" w:cs="Times New Roman"/>
          <w:lang w:val="en-US"/>
        </w:rPr>
      </w:pPr>
      <w:r>
        <w:rPr>
          <w:rFonts w:ascii="Times New Roman" w:hAnsi="Times New Roman" w:cs="Times New Roman"/>
          <w:lang w:val="en-US"/>
        </w:rPr>
        <w:t xml:space="preserve">It is worth mentioning that </w:t>
      </w:r>
      <w:r w:rsidRPr="00EF2626">
        <w:rPr>
          <w:rFonts w:ascii="Times New Roman" w:hAnsi="Times New Roman" w:cs="Times New Roman"/>
          <w:lang w:val="en-US"/>
        </w:rPr>
        <w:t>a small number of countries have taken steps to address barriers</w:t>
      </w:r>
      <w:r w:rsidRPr="00EF2626">
        <w:rPr>
          <w:rFonts w:ascii="Times New Roman" w:hAnsi="Times New Roman" w:cs="Times New Roman"/>
          <w:b/>
          <w:bCs/>
          <w:lang w:val="en-US"/>
        </w:rPr>
        <w:t xml:space="preserve"> </w:t>
      </w:r>
      <w:r w:rsidRPr="00EF2626">
        <w:rPr>
          <w:rFonts w:ascii="Times New Roman" w:hAnsi="Times New Roman" w:cs="Times New Roman"/>
          <w:lang w:val="en-US"/>
        </w:rPr>
        <w:t>in access to abortion</w:t>
      </w:r>
      <w:r>
        <w:rPr>
          <w:rFonts w:ascii="Times New Roman" w:hAnsi="Times New Roman" w:cs="Times New Roman"/>
          <w:lang w:val="en-US"/>
        </w:rPr>
        <w:t>, thereby highlighting how unnecessary these barriers are</w:t>
      </w:r>
      <w:r w:rsidRPr="00EF2626">
        <w:rPr>
          <w:rFonts w:ascii="Times New Roman" w:hAnsi="Times New Roman" w:cs="Times New Roman"/>
          <w:lang w:val="en-US"/>
        </w:rPr>
        <w:t>. For example, France, Ireland, and parts of the UK have adopted temporary measures to secure access to abortion care during the pandemic, including by legalizing teleconsultations and use of early medical abortion at home.</w:t>
      </w:r>
      <w:r w:rsidRPr="00EF2626">
        <w:rPr>
          <w:rFonts w:ascii="Times New Roman" w:hAnsi="Times New Roman" w:cs="Times New Roman"/>
        </w:rPr>
        <w:t xml:space="preserve"> </w:t>
      </w:r>
      <w:r w:rsidRPr="00EF2626">
        <w:rPr>
          <w:rFonts w:ascii="Times New Roman" w:eastAsia="Times New Roman" w:hAnsi="Times New Roman" w:cs="Times New Roman"/>
          <w:lang w:val="en-US"/>
        </w:rPr>
        <w:t>However, in some of these countries these measures are considered inadequate for meeting the needs of individuals seeking care and advocates are asking governments to adopt additional measures to extend time periods and broaden grounds for abortion.</w:t>
      </w:r>
    </w:p>
    <w:p w14:paraId="55B4CA82" w14:textId="77777777" w:rsidR="00EF2626" w:rsidRPr="00387232" w:rsidRDefault="00EF2626" w:rsidP="00387232">
      <w:pPr>
        <w:tabs>
          <w:tab w:val="left" w:pos="1620"/>
        </w:tabs>
        <w:spacing w:before="100" w:beforeAutospacing="1" w:line="240" w:lineRule="auto"/>
        <w:jc w:val="both"/>
        <w:rPr>
          <w:rFonts w:ascii="Times New Roman" w:hAnsi="Times New Roman" w:cs="Times New Roman"/>
          <w:color w:val="333333"/>
        </w:rPr>
      </w:pPr>
    </w:p>
    <w:p w14:paraId="26531B05" w14:textId="4EE4CEB3" w:rsidR="00F34472" w:rsidRDefault="000F1882" w:rsidP="003E56CB">
      <w:pPr>
        <w:pStyle w:val="ListParagraph"/>
        <w:numPr>
          <w:ilvl w:val="0"/>
          <w:numId w:val="22"/>
        </w:numPr>
        <w:spacing w:after="200"/>
        <w:jc w:val="both"/>
        <w:rPr>
          <w:rFonts w:ascii="Times New Roman" w:hAnsi="Times New Roman" w:cs="Times New Roman"/>
          <w:b/>
          <w:bCs/>
          <w:u w:val="single"/>
          <w:lang w:val="en-US"/>
        </w:rPr>
      </w:pPr>
      <w:r w:rsidRPr="008609B6">
        <w:rPr>
          <w:rFonts w:ascii="Times New Roman" w:hAnsi="Times New Roman" w:cs="Times New Roman"/>
          <w:b/>
          <w:bCs/>
          <w:u w:val="single"/>
          <w:lang w:val="en-US"/>
        </w:rPr>
        <w:t xml:space="preserve">Regional Examples </w:t>
      </w:r>
      <w:r w:rsidR="008609B6" w:rsidRPr="008609B6">
        <w:rPr>
          <w:rFonts w:ascii="Times New Roman" w:hAnsi="Times New Roman" w:cs="Times New Roman"/>
          <w:b/>
          <w:bCs/>
          <w:u w:val="single"/>
          <w:lang w:val="en-US"/>
        </w:rPr>
        <w:t>– See Anne</w:t>
      </w:r>
      <w:r w:rsidR="003E56CB">
        <w:rPr>
          <w:rFonts w:ascii="Times New Roman" w:hAnsi="Times New Roman" w:cs="Times New Roman"/>
          <w:b/>
          <w:bCs/>
          <w:u w:val="single"/>
          <w:lang w:val="en-US"/>
        </w:rPr>
        <w:t>x I</w:t>
      </w:r>
      <w:r w:rsidR="000730B3">
        <w:rPr>
          <w:rFonts w:ascii="Times New Roman" w:hAnsi="Times New Roman" w:cs="Times New Roman"/>
          <w:b/>
          <w:bCs/>
          <w:u w:val="single"/>
          <w:lang w:val="en-US"/>
        </w:rPr>
        <w:t xml:space="preserve"> and II</w:t>
      </w:r>
    </w:p>
    <w:p w14:paraId="52AE6226" w14:textId="77777777" w:rsidR="00F34472" w:rsidRDefault="00F34472" w:rsidP="003E56CB">
      <w:pPr>
        <w:pStyle w:val="ListParagraph"/>
        <w:numPr>
          <w:ilvl w:val="0"/>
          <w:numId w:val="22"/>
        </w:numPr>
        <w:spacing w:after="200"/>
        <w:jc w:val="both"/>
        <w:rPr>
          <w:rFonts w:ascii="Times New Roman" w:hAnsi="Times New Roman" w:cs="Times New Roman"/>
          <w:b/>
          <w:bCs/>
          <w:u w:val="single"/>
          <w:lang w:val="en-US"/>
        </w:rPr>
      </w:pPr>
      <w:r>
        <w:rPr>
          <w:rFonts w:ascii="Times New Roman" w:hAnsi="Times New Roman" w:cs="Times New Roman"/>
          <w:b/>
          <w:bCs/>
          <w:u w:val="single"/>
          <w:lang w:val="en-US"/>
        </w:rPr>
        <w:lastRenderedPageBreak/>
        <w:t>Recommendations</w:t>
      </w:r>
    </w:p>
    <w:p w14:paraId="4621FC72" w14:textId="6CD79599" w:rsidR="00B2186B" w:rsidRDefault="00FF3538" w:rsidP="00F34472">
      <w:pPr>
        <w:pStyle w:val="ListParagraph"/>
        <w:numPr>
          <w:ilvl w:val="1"/>
          <w:numId w:val="22"/>
        </w:numPr>
        <w:spacing w:after="200"/>
        <w:jc w:val="both"/>
        <w:rPr>
          <w:rFonts w:ascii="Times New Roman" w:hAnsi="Times New Roman" w:cs="Times New Roman"/>
          <w:lang w:val="en-US"/>
        </w:rPr>
      </w:pPr>
      <w:r>
        <w:rPr>
          <w:rFonts w:ascii="Times New Roman" w:hAnsi="Times New Roman" w:cs="Times New Roman"/>
          <w:lang w:val="en-US"/>
        </w:rPr>
        <w:t>We respect</w:t>
      </w:r>
      <w:r w:rsidR="00B14614">
        <w:rPr>
          <w:rFonts w:ascii="Times New Roman" w:hAnsi="Times New Roman" w:cs="Times New Roman"/>
          <w:lang w:val="en-US"/>
        </w:rPr>
        <w:t>fully recommend that the report highlight</w:t>
      </w:r>
      <w:r w:rsidR="00266B57">
        <w:rPr>
          <w:rFonts w:ascii="Times New Roman" w:hAnsi="Times New Roman" w:cs="Times New Roman"/>
          <w:lang w:val="en-US"/>
        </w:rPr>
        <w:t>s</w:t>
      </w:r>
      <w:r w:rsidR="00B14614">
        <w:rPr>
          <w:rFonts w:ascii="Times New Roman" w:hAnsi="Times New Roman" w:cs="Times New Roman"/>
          <w:lang w:val="en-US"/>
        </w:rPr>
        <w:t xml:space="preserve"> legal obligations of States</w:t>
      </w:r>
      <w:r w:rsidR="00266B57">
        <w:rPr>
          <w:rFonts w:ascii="Times New Roman" w:hAnsi="Times New Roman" w:cs="Times New Roman"/>
          <w:lang w:val="en-US"/>
        </w:rPr>
        <w:t xml:space="preserve"> to pro</w:t>
      </w:r>
      <w:r w:rsidR="009512C3">
        <w:rPr>
          <w:rFonts w:ascii="Times New Roman" w:hAnsi="Times New Roman" w:cs="Times New Roman"/>
          <w:lang w:val="en-US"/>
        </w:rPr>
        <w:t xml:space="preserve">vide sexual and reproductive health information and services free of coercion, </w:t>
      </w:r>
      <w:r w:rsidR="00C14662">
        <w:rPr>
          <w:rFonts w:ascii="Times New Roman" w:hAnsi="Times New Roman" w:cs="Times New Roman"/>
          <w:lang w:val="en-US"/>
        </w:rPr>
        <w:t>discrimination,</w:t>
      </w:r>
      <w:r w:rsidR="009512C3">
        <w:rPr>
          <w:rFonts w:ascii="Times New Roman" w:hAnsi="Times New Roman" w:cs="Times New Roman"/>
          <w:lang w:val="en-US"/>
        </w:rPr>
        <w:t xml:space="preserve"> and violence, including in humanitarian</w:t>
      </w:r>
      <w:r w:rsidR="00B2186B">
        <w:rPr>
          <w:rFonts w:ascii="Times New Roman" w:hAnsi="Times New Roman" w:cs="Times New Roman"/>
          <w:lang w:val="en-US"/>
        </w:rPr>
        <w:t xml:space="preserve"> settings</w:t>
      </w:r>
      <w:r w:rsidR="00EB253C">
        <w:rPr>
          <w:rFonts w:ascii="Times New Roman" w:hAnsi="Times New Roman" w:cs="Times New Roman"/>
          <w:lang w:val="en-US"/>
        </w:rPr>
        <w:t xml:space="preserve"> and in the context of the COVID-19 pandemic.</w:t>
      </w:r>
    </w:p>
    <w:p w14:paraId="7AB1384B" w14:textId="420B49DE" w:rsidR="00F358B7" w:rsidRDefault="00C07F0C" w:rsidP="00F358B7">
      <w:pPr>
        <w:pStyle w:val="ListParagraph"/>
        <w:numPr>
          <w:ilvl w:val="1"/>
          <w:numId w:val="22"/>
        </w:numPr>
        <w:spacing w:after="200"/>
        <w:jc w:val="both"/>
        <w:rPr>
          <w:rFonts w:ascii="Times New Roman" w:hAnsi="Times New Roman" w:cs="Times New Roman"/>
          <w:lang w:val="en-US"/>
        </w:rPr>
      </w:pPr>
      <w:r>
        <w:rPr>
          <w:rFonts w:ascii="Times New Roman" w:hAnsi="Times New Roman" w:cs="Times New Roman"/>
          <w:lang w:val="en-US"/>
        </w:rPr>
        <w:t>We also recommend that the Special Rapporteur highlights the</w:t>
      </w:r>
      <w:r w:rsidR="00EF2626">
        <w:rPr>
          <w:rFonts w:ascii="Times New Roman" w:hAnsi="Times New Roman" w:cs="Times New Roman"/>
          <w:lang w:val="en-US"/>
        </w:rPr>
        <w:t xml:space="preserve"> harmful impact of restrictive abortion laws and restrictive legal frameworks pertaining to SRHR </w:t>
      </w:r>
      <w:r w:rsidR="00EB253C">
        <w:rPr>
          <w:rFonts w:ascii="Times New Roman" w:hAnsi="Times New Roman" w:cs="Times New Roman"/>
          <w:lang w:val="en-US"/>
        </w:rPr>
        <w:t>on victims and survivors of rape and sexual and gender</w:t>
      </w:r>
      <w:r w:rsidR="00F358B7">
        <w:rPr>
          <w:rFonts w:ascii="Times New Roman" w:hAnsi="Times New Roman" w:cs="Times New Roman"/>
          <w:lang w:val="en-US"/>
        </w:rPr>
        <w:t>-</w:t>
      </w:r>
      <w:r w:rsidR="00EB253C">
        <w:rPr>
          <w:rFonts w:ascii="Times New Roman" w:hAnsi="Times New Roman" w:cs="Times New Roman"/>
          <w:lang w:val="en-US"/>
        </w:rPr>
        <w:t>based</w:t>
      </w:r>
      <w:r w:rsidR="00F358B7">
        <w:rPr>
          <w:rFonts w:ascii="Times New Roman" w:hAnsi="Times New Roman" w:cs="Times New Roman"/>
          <w:lang w:val="en-US"/>
        </w:rPr>
        <w:t xml:space="preserve"> </w:t>
      </w:r>
      <w:r w:rsidR="00EB253C">
        <w:rPr>
          <w:rFonts w:ascii="Times New Roman" w:hAnsi="Times New Roman" w:cs="Times New Roman"/>
          <w:lang w:val="en-US"/>
        </w:rPr>
        <w:t xml:space="preserve">violence, </w:t>
      </w:r>
      <w:r w:rsidR="00F358B7">
        <w:rPr>
          <w:rFonts w:ascii="Times New Roman" w:hAnsi="Times New Roman" w:cs="Times New Roman"/>
          <w:lang w:val="en-US"/>
        </w:rPr>
        <w:t xml:space="preserve">including in humanitarian settings and in the context of the COVID-19 pandemic, and </w:t>
      </w:r>
      <w:r w:rsidR="007C2809">
        <w:rPr>
          <w:rFonts w:ascii="Times New Roman" w:hAnsi="Times New Roman" w:cs="Times New Roman"/>
          <w:lang w:val="en-US"/>
        </w:rPr>
        <w:t>urges States to guarantee access to safe and legal abortion on request.</w:t>
      </w:r>
    </w:p>
    <w:p w14:paraId="7326E015" w14:textId="0EBCB755" w:rsidR="00C14662" w:rsidRDefault="00F358B7" w:rsidP="00C14662">
      <w:pPr>
        <w:pStyle w:val="ListParagraph"/>
        <w:numPr>
          <w:ilvl w:val="1"/>
          <w:numId w:val="22"/>
        </w:numPr>
        <w:spacing w:after="200"/>
        <w:jc w:val="both"/>
        <w:rPr>
          <w:rFonts w:ascii="Times New Roman" w:hAnsi="Times New Roman" w:cs="Times New Roman"/>
          <w:lang w:val="en-US"/>
        </w:rPr>
      </w:pPr>
      <w:r>
        <w:rPr>
          <w:rFonts w:ascii="Times New Roman" w:hAnsi="Times New Roman" w:cs="Times New Roman"/>
          <w:lang w:val="en-US"/>
        </w:rPr>
        <w:t xml:space="preserve"> </w:t>
      </w:r>
      <w:r w:rsidR="007C2809">
        <w:rPr>
          <w:rFonts w:ascii="Times New Roman" w:hAnsi="Times New Roman" w:cs="Times New Roman"/>
          <w:lang w:val="en-US"/>
        </w:rPr>
        <w:t xml:space="preserve">We further recommend that the Special Rapporteur highlights the </w:t>
      </w:r>
      <w:r w:rsidR="007E0C23">
        <w:rPr>
          <w:rFonts w:ascii="Times New Roman" w:hAnsi="Times New Roman" w:cs="Times New Roman"/>
          <w:lang w:val="en-US"/>
        </w:rPr>
        <w:t xml:space="preserve">lifting of barriers with regards to access to abortion in certain countries as a policy recognition of how </w:t>
      </w:r>
      <w:r w:rsidR="00C14662">
        <w:rPr>
          <w:rFonts w:ascii="Times New Roman" w:hAnsi="Times New Roman" w:cs="Times New Roman"/>
          <w:lang w:val="en-US"/>
        </w:rPr>
        <w:t>unnecessary they are and urges States to States to guarantee access to safe and legal abortion on request.</w:t>
      </w:r>
    </w:p>
    <w:p w14:paraId="6982BC87" w14:textId="356F89E1" w:rsidR="008609B6" w:rsidRPr="00F34472" w:rsidRDefault="008609B6" w:rsidP="00F34472">
      <w:pPr>
        <w:pStyle w:val="ListParagraph"/>
        <w:numPr>
          <w:ilvl w:val="1"/>
          <w:numId w:val="22"/>
        </w:numPr>
        <w:spacing w:after="200"/>
        <w:jc w:val="both"/>
        <w:rPr>
          <w:rFonts w:ascii="Times New Roman" w:hAnsi="Times New Roman" w:cs="Times New Roman"/>
          <w:lang w:val="en-US"/>
        </w:rPr>
      </w:pPr>
      <w:r w:rsidRPr="00F34472">
        <w:rPr>
          <w:rFonts w:ascii="Times New Roman" w:eastAsia="Times New Roman" w:hAnsi="Times New Roman" w:cs="Times New Roman"/>
        </w:rPr>
        <w:br w:type="page"/>
      </w:r>
    </w:p>
    <w:p w14:paraId="0983F4CA" w14:textId="004421AC" w:rsidR="0075354E" w:rsidRPr="00FE6EBF" w:rsidRDefault="00FE6EBF" w:rsidP="00387232">
      <w:pPr>
        <w:jc w:val="both"/>
        <w:rPr>
          <w:rFonts w:ascii="Times New Roman" w:eastAsia="Times New Roman" w:hAnsi="Times New Roman" w:cs="Times New Roman"/>
          <w:b/>
          <w:bCs/>
          <w:lang w:val="en-US"/>
        </w:rPr>
      </w:pPr>
      <w:r w:rsidRPr="00FE6EBF">
        <w:rPr>
          <w:rFonts w:ascii="Times New Roman" w:eastAsia="Times New Roman" w:hAnsi="Times New Roman" w:cs="Times New Roman"/>
          <w:b/>
          <w:bCs/>
          <w:lang w:val="en-US"/>
        </w:rPr>
        <w:lastRenderedPageBreak/>
        <w:t>Annex I</w:t>
      </w:r>
    </w:p>
    <w:p w14:paraId="285A445B" w14:textId="77777777" w:rsidR="003931CA" w:rsidRPr="00387232" w:rsidRDefault="003931CA" w:rsidP="00387232">
      <w:pPr>
        <w:pBdr>
          <w:bottom w:val="single" w:sz="6" w:space="1" w:color="auto"/>
        </w:pBdr>
        <w:shd w:val="clear" w:color="auto" w:fill="D9E2F3" w:themeFill="accent1" w:themeFillTint="33"/>
        <w:spacing w:before="100" w:beforeAutospacing="1" w:after="100" w:afterAutospacing="1"/>
        <w:jc w:val="both"/>
        <w:rPr>
          <w:rFonts w:ascii="Times New Roman" w:hAnsi="Times New Roman" w:cs="Times New Roman"/>
          <w:b/>
        </w:rPr>
      </w:pPr>
      <w:r w:rsidRPr="00387232">
        <w:rPr>
          <w:rFonts w:ascii="Times New Roman" w:hAnsi="Times New Roman" w:cs="Times New Roman"/>
          <w:b/>
        </w:rPr>
        <w:t xml:space="preserve">Honduras </w:t>
      </w:r>
    </w:p>
    <w:p w14:paraId="29FD140D" w14:textId="77777777" w:rsidR="003931CA" w:rsidRPr="00387232" w:rsidRDefault="003931CA" w:rsidP="00387232">
      <w:pPr>
        <w:pStyle w:val="ListParagraph"/>
        <w:spacing w:before="100" w:beforeAutospacing="1" w:after="100" w:afterAutospacing="1" w:line="259" w:lineRule="auto"/>
        <w:ind w:left="0"/>
        <w:jc w:val="both"/>
        <w:rPr>
          <w:rFonts w:ascii="Times New Roman" w:hAnsi="Times New Roman" w:cs="Times New Roman"/>
        </w:rPr>
      </w:pPr>
      <w:r w:rsidRPr="00387232">
        <w:rPr>
          <w:rFonts w:ascii="Times New Roman" w:hAnsi="Times New Roman" w:cs="Times New Roman"/>
        </w:rPr>
        <w:t>For women and girls, Honduras is one of the most dangerous countries in the world to live in. The country presents particularly high rates of sexual violence</w:t>
      </w:r>
      <w:r w:rsidRPr="00387232">
        <w:rPr>
          <w:rFonts w:ascii="Times New Roman" w:hAnsi="Times New Roman" w:cs="Times New Roman"/>
          <w:vertAlign w:val="superscript"/>
        </w:rPr>
        <w:endnoteReference w:id="94"/>
      </w:r>
      <w:r w:rsidRPr="00387232">
        <w:rPr>
          <w:rFonts w:ascii="Times New Roman" w:hAnsi="Times New Roman" w:cs="Times New Roman"/>
        </w:rPr>
        <w:t>. In 2017 there were 2,854 criminal complaints of sexual crimes against women, from which 83% were perpetrated against girls and adolescents</w:t>
      </w:r>
      <w:r w:rsidRPr="00387232">
        <w:rPr>
          <w:rStyle w:val="EndnoteReference"/>
          <w:rFonts w:ascii="Times New Roman" w:hAnsi="Times New Roman" w:cs="Times New Roman"/>
        </w:rPr>
        <w:endnoteReference w:id="95"/>
      </w:r>
      <w:r w:rsidRPr="00387232">
        <w:rPr>
          <w:rFonts w:ascii="Times New Roman" w:hAnsi="Times New Roman" w:cs="Times New Roman"/>
        </w:rPr>
        <w:t xml:space="preserve">. Throughout all of 2019, violence against women in Honduras continued this alarming pattern. The </w:t>
      </w:r>
      <w:r w:rsidRPr="00387232">
        <w:rPr>
          <w:rFonts w:ascii="Times New Roman" w:hAnsi="Times New Roman" w:cs="Times New Roman"/>
          <w:i/>
          <w:iCs/>
        </w:rPr>
        <w:t xml:space="preserve">Office of the Special Prosecution for Women </w:t>
      </w:r>
      <w:r w:rsidRPr="00387232">
        <w:rPr>
          <w:rFonts w:ascii="Times New Roman" w:hAnsi="Times New Roman" w:cs="Times New Roman"/>
        </w:rPr>
        <w:t xml:space="preserve">reported that during the first semester of 2019 there were more than 2,500 complaints of violence against women, mostly regarding domestic and sexual violence, which amounts to </w:t>
      </w:r>
      <w:r w:rsidRPr="00387232">
        <w:rPr>
          <w:rFonts w:ascii="Times New Roman" w:hAnsi="Times New Roman" w:cs="Times New Roman"/>
          <w:u w:val="single"/>
        </w:rPr>
        <w:t>13.6 complaints received daily</w:t>
      </w:r>
      <w:r w:rsidRPr="00387232">
        <w:rPr>
          <w:rFonts w:ascii="Times New Roman" w:hAnsi="Times New Roman" w:cs="Times New Roman"/>
          <w:vertAlign w:val="superscript"/>
        </w:rPr>
        <w:endnoteReference w:id="96"/>
      </w:r>
      <w:r w:rsidRPr="00387232">
        <w:rPr>
          <w:rFonts w:ascii="Times New Roman" w:hAnsi="Times New Roman" w:cs="Times New Roman"/>
        </w:rPr>
        <w:t>. These official figures are nonetheless an underrepresentation of the reality of cases as women do not tend to file criminal complaints for fear of retaliation</w:t>
      </w:r>
      <w:r w:rsidRPr="00387232">
        <w:rPr>
          <w:rStyle w:val="EndnoteReference"/>
          <w:rFonts w:ascii="Times New Roman" w:hAnsi="Times New Roman" w:cs="Times New Roman"/>
        </w:rPr>
        <w:endnoteReference w:id="97"/>
      </w:r>
      <w:r w:rsidRPr="00387232">
        <w:rPr>
          <w:rFonts w:ascii="Times New Roman" w:hAnsi="Times New Roman" w:cs="Times New Roman"/>
        </w:rPr>
        <w:t xml:space="preserve">. Moreover, </w:t>
      </w:r>
      <w:r w:rsidRPr="00387232">
        <w:rPr>
          <w:rFonts w:ascii="Times New Roman" w:hAnsi="Times New Roman" w:cs="Times New Roman"/>
          <w:u w:val="single"/>
        </w:rPr>
        <w:t>the rates of impunity are very high</w:t>
      </w:r>
      <w:r w:rsidRPr="00387232">
        <w:rPr>
          <w:rFonts w:ascii="Times New Roman" w:hAnsi="Times New Roman" w:cs="Times New Roman"/>
        </w:rPr>
        <w:t xml:space="preserve"> as most of the reported cases of sexual violence are not prosecuted, leaving these crimes unpunished and thus perpetuating and normalizing the cycle violence against women</w:t>
      </w:r>
      <w:r w:rsidRPr="00387232">
        <w:rPr>
          <w:rStyle w:val="EndnoteReference"/>
          <w:rFonts w:ascii="Times New Roman" w:hAnsi="Times New Roman" w:cs="Times New Roman"/>
        </w:rPr>
        <w:endnoteReference w:id="98"/>
      </w:r>
      <w:r w:rsidRPr="00387232">
        <w:rPr>
          <w:rFonts w:ascii="Times New Roman" w:hAnsi="Times New Roman" w:cs="Times New Roman"/>
        </w:rPr>
        <w:t>.</w:t>
      </w:r>
    </w:p>
    <w:p w14:paraId="6CF70B04" w14:textId="77777777" w:rsidR="003931CA" w:rsidRPr="00387232" w:rsidRDefault="003931CA" w:rsidP="00387232">
      <w:pPr>
        <w:pStyle w:val="ListParagraph"/>
        <w:spacing w:before="100" w:beforeAutospacing="1" w:after="100" w:afterAutospacing="1" w:line="259" w:lineRule="auto"/>
        <w:ind w:left="0"/>
        <w:jc w:val="both"/>
        <w:rPr>
          <w:rFonts w:ascii="Times New Roman" w:hAnsi="Times New Roman" w:cs="Times New Roman"/>
        </w:rPr>
      </w:pPr>
    </w:p>
    <w:p w14:paraId="5C6E7F8E" w14:textId="77777777" w:rsidR="003931CA" w:rsidRPr="00387232" w:rsidRDefault="003931CA" w:rsidP="00387232">
      <w:pPr>
        <w:pStyle w:val="ListParagraph"/>
        <w:spacing w:before="100" w:beforeAutospacing="1" w:after="100" w:afterAutospacing="1" w:line="259" w:lineRule="auto"/>
        <w:ind w:left="0"/>
        <w:jc w:val="both"/>
        <w:rPr>
          <w:rFonts w:ascii="Times New Roman" w:hAnsi="Times New Roman" w:cs="Times New Roman"/>
          <w:bCs/>
        </w:rPr>
      </w:pPr>
      <w:r w:rsidRPr="00387232">
        <w:rPr>
          <w:rFonts w:ascii="Times New Roman" w:hAnsi="Times New Roman" w:cs="Times New Roman"/>
        </w:rPr>
        <w:t xml:space="preserve">To this already distressing situation faced by women and girls in Honduras, we must add Honduras’ regressive policies regarding reproductive health, particularly the absolute lack of access to reproductive health care, </w:t>
      </w:r>
      <w:r w:rsidRPr="00387232">
        <w:rPr>
          <w:rFonts w:ascii="Times New Roman" w:hAnsi="Times New Roman" w:cs="Times New Roman"/>
          <w:u w:val="single"/>
        </w:rPr>
        <w:t>including to the emergency contraceptive pill, even in cases of sexual assault</w:t>
      </w:r>
      <w:r w:rsidRPr="00387232">
        <w:rPr>
          <w:rFonts w:ascii="Times New Roman" w:hAnsi="Times New Roman" w:cs="Times New Roman"/>
        </w:rPr>
        <w:t xml:space="preserve">. In fact, beyond Honduras’ total criminalization of abortion without exceptions, since 2009 Honduras also prohibits the use, distribution, and sale of emergency contraception pills (EPCs), including for women and girls who are victims of sexual violence. </w:t>
      </w:r>
      <w:r w:rsidRPr="00387232">
        <w:rPr>
          <w:rFonts w:ascii="Times New Roman" w:hAnsi="Times New Roman" w:cs="Times New Roman"/>
          <w:bCs/>
        </w:rPr>
        <w:t>Taken together, it means that Honduras maintains the strictest ban on emergency contraception in the world</w:t>
      </w:r>
      <w:r w:rsidRPr="00387232">
        <w:rPr>
          <w:rFonts w:ascii="Times New Roman" w:hAnsi="Times New Roman" w:cs="Times New Roman"/>
          <w:vertAlign w:val="superscript"/>
        </w:rPr>
        <w:endnoteReference w:id="99"/>
      </w:r>
      <w:r w:rsidRPr="00387232">
        <w:rPr>
          <w:rFonts w:ascii="Times New Roman" w:hAnsi="Times New Roman" w:cs="Times New Roman"/>
          <w:b/>
          <w:bCs/>
        </w:rPr>
        <w:t xml:space="preserve">. </w:t>
      </w:r>
      <w:r w:rsidRPr="00387232">
        <w:rPr>
          <w:rFonts w:ascii="Times New Roman" w:hAnsi="Times New Roman" w:cs="Times New Roman"/>
        </w:rPr>
        <w:t>Specifically regarding girls and adolescents, Honduras not only does not protect them from acts of sexual violence</w:t>
      </w:r>
      <w:r w:rsidRPr="00387232">
        <w:rPr>
          <w:rStyle w:val="EndnoteReference"/>
          <w:rFonts w:ascii="Times New Roman" w:hAnsi="Times New Roman" w:cs="Times New Roman"/>
          <w:bCs/>
        </w:rPr>
        <w:endnoteReference w:id="100"/>
      </w:r>
      <w:r w:rsidRPr="00387232">
        <w:rPr>
          <w:rFonts w:ascii="Times New Roman" w:hAnsi="Times New Roman" w:cs="Times New Roman"/>
          <w:bCs/>
        </w:rPr>
        <w:t>,</w:t>
      </w:r>
      <w:r w:rsidRPr="00387232">
        <w:rPr>
          <w:rFonts w:ascii="Times New Roman" w:hAnsi="Times New Roman" w:cs="Times New Roman"/>
        </w:rPr>
        <w:t xml:space="preserve"> </w:t>
      </w:r>
      <w:r w:rsidRPr="00387232">
        <w:rPr>
          <w:rFonts w:ascii="Times New Roman" w:hAnsi="Times New Roman" w:cs="Times New Roman"/>
          <w:bCs/>
        </w:rPr>
        <w:t>but also force them to enter undesired maternities.</w:t>
      </w:r>
      <w:r w:rsidRPr="00387232">
        <w:rPr>
          <w:rStyle w:val="EndnoteReference"/>
          <w:rFonts w:ascii="Times New Roman" w:hAnsi="Times New Roman" w:cs="Times New Roman"/>
          <w:bCs/>
        </w:rPr>
        <w:endnoteReference w:id="101"/>
      </w:r>
      <w:r w:rsidRPr="00387232">
        <w:rPr>
          <w:rFonts w:ascii="Times New Roman" w:hAnsi="Times New Roman" w:cs="Times New Roman"/>
          <w:bCs/>
        </w:rPr>
        <w:t xml:space="preserve"> </w:t>
      </w:r>
      <w:r w:rsidRPr="00387232">
        <w:rPr>
          <w:rFonts w:ascii="Times New Roman" w:hAnsi="Times New Roman" w:cs="Times New Roman"/>
        </w:rPr>
        <w:t>Just between 2015 and 2017 the public hospitals registered 2,426 births to girls aged 10 to 14 years old and 66,481 births of girls and adolescents between 10 and 18 years old</w:t>
      </w:r>
      <w:r w:rsidRPr="00387232">
        <w:rPr>
          <w:rStyle w:val="EndnoteReference"/>
          <w:rFonts w:ascii="Times New Roman" w:hAnsi="Times New Roman" w:cs="Times New Roman"/>
          <w:bCs/>
        </w:rPr>
        <w:endnoteReference w:id="102"/>
      </w:r>
      <w:r w:rsidRPr="00387232">
        <w:rPr>
          <w:rFonts w:ascii="Times New Roman" w:hAnsi="Times New Roman" w:cs="Times New Roman"/>
        </w:rPr>
        <w:t xml:space="preserve">. </w:t>
      </w:r>
    </w:p>
    <w:p w14:paraId="16204208" w14:textId="77777777" w:rsidR="003931CA" w:rsidRPr="00387232" w:rsidRDefault="003931CA" w:rsidP="00387232">
      <w:pPr>
        <w:pBdr>
          <w:bottom w:val="single" w:sz="6" w:space="1" w:color="auto"/>
        </w:pBdr>
        <w:shd w:val="clear" w:color="auto" w:fill="D9E2F3" w:themeFill="accent1" w:themeFillTint="33"/>
        <w:jc w:val="both"/>
        <w:rPr>
          <w:rFonts w:ascii="Times New Roman" w:hAnsi="Times New Roman" w:cs="Times New Roman"/>
          <w:b/>
        </w:rPr>
      </w:pPr>
      <w:r w:rsidRPr="00387232">
        <w:rPr>
          <w:rFonts w:ascii="Times New Roman" w:hAnsi="Times New Roman" w:cs="Times New Roman"/>
          <w:b/>
        </w:rPr>
        <w:t>Nicaragua</w:t>
      </w:r>
    </w:p>
    <w:p w14:paraId="6E91DF68" w14:textId="77777777" w:rsidR="003931CA" w:rsidRPr="00387232" w:rsidRDefault="003931CA" w:rsidP="00387232">
      <w:pPr>
        <w:jc w:val="both"/>
        <w:rPr>
          <w:rFonts w:ascii="Times New Roman" w:hAnsi="Times New Roman" w:cs="Times New Roman"/>
        </w:rPr>
      </w:pPr>
      <w:r w:rsidRPr="00387232">
        <w:rPr>
          <w:rFonts w:ascii="Times New Roman" w:hAnsi="Times New Roman" w:cs="Times New Roman"/>
        </w:rPr>
        <w:t>In Nicaragua, judicial responses to sexual violence has been very deficient. According to statistics from the Institute of Legal Medicine, in 2012, a total of 5,977 forensic reports were produced on sexual violence, amounting to a rate of 98 incidents per 100,000 residents. Of the reports, 51% (3,020) were for sexual violence against children under the age of 13, with 82% of this group being girls.</w:t>
      </w:r>
      <w:r w:rsidRPr="00387232">
        <w:rPr>
          <w:rFonts w:ascii="Times New Roman" w:hAnsi="Times New Roman" w:cs="Times New Roman"/>
          <w:vertAlign w:val="superscript"/>
        </w:rPr>
        <w:endnoteReference w:id="103"/>
      </w:r>
      <w:r w:rsidRPr="00387232">
        <w:rPr>
          <w:rFonts w:ascii="Times New Roman" w:hAnsi="Times New Roman" w:cs="Times New Roman"/>
        </w:rPr>
        <w:t xml:space="preserve"> In 2017, records show that 1,589 girls under the age of 12 were examined for evidence of sexual violence, or 41% of all women examined for evidence of sexual violence.</w:t>
      </w:r>
      <w:r w:rsidRPr="00387232">
        <w:rPr>
          <w:rFonts w:ascii="Times New Roman" w:hAnsi="Times New Roman" w:cs="Times New Roman"/>
          <w:vertAlign w:val="superscript"/>
        </w:rPr>
        <w:endnoteReference w:id="104"/>
      </w:r>
      <w:r w:rsidRPr="00387232">
        <w:rPr>
          <w:rFonts w:ascii="Times New Roman" w:hAnsi="Times New Roman" w:cs="Times New Roman"/>
        </w:rPr>
        <w:t xml:space="preserve"> However, it can be inferred that the numbers are much worse, as many women and girls are afraid to file complaints because, in approximately 90% of cases, the assailant is a relative or acquaintance,</w:t>
      </w:r>
      <w:r w:rsidRPr="00387232">
        <w:rPr>
          <w:rFonts w:ascii="Times New Roman" w:hAnsi="Times New Roman" w:cs="Times New Roman"/>
          <w:vertAlign w:val="superscript"/>
        </w:rPr>
        <w:endnoteReference w:id="105"/>
      </w:r>
      <w:r w:rsidRPr="00387232">
        <w:rPr>
          <w:rFonts w:ascii="Times New Roman" w:hAnsi="Times New Roman" w:cs="Times New Roman"/>
        </w:rPr>
        <w:t xml:space="preserve"> or because services are inaccessible and the victims face stigma.</w:t>
      </w:r>
      <w:r w:rsidRPr="00387232">
        <w:rPr>
          <w:rFonts w:ascii="Times New Roman" w:hAnsi="Times New Roman" w:cs="Times New Roman"/>
          <w:vertAlign w:val="superscript"/>
        </w:rPr>
        <w:endnoteReference w:id="106"/>
      </w:r>
      <w:r w:rsidRPr="00387232">
        <w:rPr>
          <w:rFonts w:ascii="Times New Roman" w:hAnsi="Times New Roman" w:cs="Times New Roman"/>
        </w:rPr>
        <w:t xml:space="preserve"> Moreover, since 2012, a </w:t>
      </w:r>
      <w:r w:rsidRPr="00387232">
        <w:rPr>
          <w:rFonts w:ascii="Times New Roman" w:hAnsi="Times New Roman" w:cs="Times New Roman"/>
          <w:i/>
          <w:iCs/>
        </w:rPr>
        <w:t>Model for Providing Comprehensive Care to Women Victims of Gender-Based Violence</w:t>
      </w:r>
      <w:r w:rsidRPr="00387232">
        <w:rPr>
          <w:rFonts w:ascii="Times New Roman" w:hAnsi="Times New Roman" w:cs="Times New Roman"/>
          <w:vertAlign w:val="superscript"/>
        </w:rPr>
        <w:endnoteReference w:id="107"/>
      </w:r>
      <w:r w:rsidRPr="00387232">
        <w:rPr>
          <w:rFonts w:ascii="Times New Roman" w:hAnsi="Times New Roman" w:cs="Times New Roman"/>
          <w:i/>
          <w:iCs/>
        </w:rPr>
        <w:t xml:space="preserve"> </w:t>
      </w:r>
      <w:r w:rsidRPr="00387232">
        <w:rPr>
          <w:rFonts w:ascii="Times New Roman" w:hAnsi="Times New Roman" w:cs="Times New Roman"/>
        </w:rPr>
        <w:t xml:space="preserve">is in place. Its objective is “to contribute to effective access to justice for women, girls, boys, and adolescents to be able to restore their right to live with dignity and free from violence;” </w:t>
      </w:r>
      <w:r w:rsidRPr="00387232">
        <w:rPr>
          <w:rFonts w:ascii="Times New Roman" w:hAnsi="Times New Roman" w:cs="Times New Roman"/>
          <w:u w:val="single"/>
        </w:rPr>
        <w:t>however, impunity remains high for these crimes</w:t>
      </w:r>
      <w:r w:rsidRPr="00387232">
        <w:rPr>
          <w:rFonts w:ascii="Times New Roman" w:hAnsi="Times New Roman" w:cs="Times New Roman"/>
        </w:rPr>
        <w:t xml:space="preserve">. </w:t>
      </w:r>
      <w:r w:rsidRPr="00387232">
        <w:rPr>
          <w:rFonts w:ascii="Times New Roman" w:hAnsi="Times New Roman" w:cs="Times New Roman"/>
          <w:u w:val="single"/>
        </w:rPr>
        <w:t>Only around 10% of the assailants reported have been criminally prosecuted</w:t>
      </w:r>
      <w:r w:rsidRPr="00387232">
        <w:rPr>
          <w:rFonts w:ascii="Times New Roman" w:hAnsi="Times New Roman" w:cs="Times New Roman"/>
        </w:rPr>
        <w:t>.</w:t>
      </w:r>
      <w:r w:rsidRPr="00387232">
        <w:rPr>
          <w:rFonts w:ascii="Times New Roman" w:hAnsi="Times New Roman" w:cs="Times New Roman"/>
          <w:vertAlign w:val="superscript"/>
        </w:rPr>
        <w:endnoteReference w:id="108"/>
      </w:r>
      <w:r w:rsidRPr="00387232">
        <w:rPr>
          <w:rFonts w:ascii="Times New Roman" w:hAnsi="Times New Roman" w:cs="Times New Roman"/>
        </w:rPr>
        <w:t xml:space="preserve"> Additionally, the model does not outline specific actions, although it does recognize that girls, boys, and adolescents require differential care.</w:t>
      </w:r>
    </w:p>
    <w:p w14:paraId="6D3482F4" w14:textId="77777777" w:rsidR="003931CA" w:rsidRPr="00387232" w:rsidRDefault="003931CA" w:rsidP="00387232">
      <w:pPr>
        <w:jc w:val="both"/>
        <w:rPr>
          <w:rFonts w:ascii="Times New Roman" w:hAnsi="Times New Roman" w:cs="Times New Roman"/>
        </w:rPr>
      </w:pPr>
      <w:r w:rsidRPr="00387232">
        <w:rPr>
          <w:rFonts w:ascii="Times New Roman" w:hAnsi="Times New Roman" w:cs="Times New Roman"/>
        </w:rPr>
        <w:t xml:space="preserve">If these figures are alarming, the situation of sexual and reproductive health for children and adolescents is critical. Nicaragua has the highest proportion of births to girls under the age of 18 in Latin America </w:t>
      </w:r>
      <w:r w:rsidRPr="00387232">
        <w:rPr>
          <w:rFonts w:ascii="Times New Roman" w:hAnsi="Times New Roman" w:cs="Times New Roman"/>
        </w:rPr>
        <w:lastRenderedPageBreak/>
        <w:t>(28.1%).</w:t>
      </w:r>
      <w:r w:rsidRPr="00387232">
        <w:rPr>
          <w:rFonts w:ascii="Times New Roman" w:hAnsi="Times New Roman" w:cs="Times New Roman"/>
          <w:vertAlign w:val="superscript"/>
        </w:rPr>
        <w:endnoteReference w:id="109"/>
      </w:r>
      <w:r w:rsidRPr="00387232">
        <w:rPr>
          <w:rFonts w:ascii="Times New Roman" w:hAnsi="Times New Roman" w:cs="Times New Roman"/>
        </w:rPr>
        <w:t xml:space="preserve"> Between 2000 and 2010, pregnancies of girls between the ages of 10 and 14 increased by 47%.</w:t>
      </w:r>
      <w:r w:rsidRPr="00387232">
        <w:rPr>
          <w:rFonts w:ascii="Times New Roman" w:hAnsi="Times New Roman" w:cs="Times New Roman"/>
          <w:vertAlign w:val="superscript"/>
        </w:rPr>
        <w:endnoteReference w:id="110"/>
      </w:r>
      <w:r w:rsidRPr="00387232">
        <w:rPr>
          <w:rFonts w:ascii="Times New Roman" w:hAnsi="Times New Roman" w:cs="Times New Roman"/>
        </w:rPr>
        <w:t xml:space="preserve"> Between 2010 and 2015, an average of 1,500 girls between the ages of 9 and 14 were impregnated per year, accounting for 5% of all births. A third of these girls (34.6%) were impregnated by a man between the ages of 20 and 24, while 20% were impregnated by a man over the age of 25. </w:t>
      </w:r>
      <w:r w:rsidRPr="00387232">
        <w:rPr>
          <w:rFonts w:ascii="Times New Roman" w:hAnsi="Times New Roman" w:cs="Times New Roman"/>
          <w:b/>
          <w:bCs/>
        </w:rPr>
        <w:t>The healthcare provided to girls who are victims of sexual violence, pregnant girls, and girls who are mothers is inadequate and deficient</w:t>
      </w:r>
      <w:r w:rsidRPr="00387232">
        <w:rPr>
          <w:rFonts w:ascii="Times New Roman" w:hAnsi="Times New Roman" w:cs="Times New Roman"/>
        </w:rPr>
        <w:t>. Since 2007, abortion has been fully criminalized abortion, by a new Criminal Code</w:t>
      </w:r>
      <w:r w:rsidRPr="00387232">
        <w:rPr>
          <w:rFonts w:ascii="Times New Roman" w:hAnsi="Times New Roman" w:cs="Times New Roman"/>
          <w:vertAlign w:val="superscript"/>
        </w:rPr>
        <w:endnoteReference w:id="111"/>
      </w:r>
      <w:r w:rsidRPr="00387232">
        <w:rPr>
          <w:rFonts w:ascii="Times New Roman" w:hAnsi="Times New Roman" w:cs="Times New Roman"/>
        </w:rPr>
        <w:t xml:space="preserve"> that replaced the 1974 provisions </w:t>
      </w:r>
      <w:r w:rsidRPr="00387232">
        <w:rPr>
          <w:rFonts w:ascii="Times New Roman" w:hAnsi="Times New Roman" w:cs="Times New Roman"/>
          <w:vertAlign w:val="superscript"/>
        </w:rPr>
        <w:endnoteReference w:id="112"/>
      </w:r>
      <w:r w:rsidRPr="00387232">
        <w:rPr>
          <w:rFonts w:ascii="Times New Roman" w:hAnsi="Times New Roman" w:cs="Times New Roman"/>
        </w:rPr>
        <w:t xml:space="preserve"> that enabled girls who were victims of sex crimes to terminate their pregnancies based on the high risk to their life and health. Complications during the delivery continue to be three times more frequent in girls under the age of 14 compared to other women,</w:t>
      </w:r>
      <w:r w:rsidRPr="00387232">
        <w:rPr>
          <w:rFonts w:ascii="Times New Roman" w:hAnsi="Times New Roman" w:cs="Times New Roman"/>
          <w:vertAlign w:val="superscript"/>
        </w:rPr>
        <w:endnoteReference w:id="113"/>
      </w:r>
      <w:r w:rsidRPr="00387232">
        <w:rPr>
          <w:rFonts w:ascii="Times New Roman" w:hAnsi="Times New Roman" w:cs="Times New Roman"/>
        </w:rPr>
        <w:t xml:space="preserve"> and the risk of dying is four times greater.</w:t>
      </w:r>
      <w:r w:rsidRPr="00387232">
        <w:rPr>
          <w:rFonts w:ascii="Times New Roman" w:hAnsi="Times New Roman" w:cs="Times New Roman"/>
          <w:vertAlign w:val="superscript"/>
        </w:rPr>
        <w:endnoteReference w:id="114"/>
      </w:r>
      <w:r w:rsidRPr="00387232">
        <w:rPr>
          <w:rFonts w:ascii="Times New Roman" w:hAnsi="Times New Roman" w:cs="Times New Roman"/>
        </w:rPr>
        <w:t xml:space="preserve"> </w:t>
      </w:r>
    </w:p>
    <w:p w14:paraId="1290B352" w14:textId="77777777" w:rsidR="003931CA" w:rsidRPr="00387232" w:rsidRDefault="003931CA" w:rsidP="00387232">
      <w:pPr>
        <w:jc w:val="both"/>
        <w:rPr>
          <w:rFonts w:ascii="Times New Roman" w:hAnsi="Times New Roman" w:cs="Times New Roman"/>
        </w:rPr>
      </w:pPr>
      <w:r w:rsidRPr="00387232">
        <w:rPr>
          <w:rFonts w:ascii="Times New Roman" w:hAnsi="Times New Roman" w:cs="Times New Roman"/>
        </w:rPr>
        <w:t>In this context, it is a serious problem that access to information is not enough to prevent sexual violence against and pregnancies of girls under the age of 14. One clear example of this is that the right to access to secular, scientific, and good-quality sex education is only recognized starting in the fifth grade of elementary school.</w:t>
      </w:r>
      <w:r w:rsidRPr="00387232">
        <w:rPr>
          <w:rFonts w:ascii="Times New Roman" w:hAnsi="Times New Roman" w:cs="Times New Roman"/>
          <w:vertAlign w:val="superscript"/>
        </w:rPr>
        <w:endnoteReference w:id="115"/>
      </w:r>
      <w:r w:rsidRPr="00387232">
        <w:rPr>
          <w:rFonts w:ascii="Times New Roman" w:hAnsi="Times New Roman" w:cs="Times New Roman"/>
        </w:rPr>
        <w:t xml:space="preserve"> That is, girls are not given information enabling them to identify sexual violence or care pathways.</w:t>
      </w:r>
      <w:r w:rsidRPr="00387232">
        <w:rPr>
          <w:rFonts w:ascii="Times New Roman" w:hAnsi="Times New Roman" w:cs="Times New Roman"/>
          <w:vertAlign w:val="superscript"/>
        </w:rPr>
        <w:endnoteReference w:id="116"/>
      </w:r>
      <w:r w:rsidRPr="00387232">
        <w:rPr>
          <w:rFonts w:ascii="Times New Roman" w:hAnsi="Times New Roman" w:cs="Times New Roman"/>
        </w:rPr>
        <w:t xml:space="preserve"> </w:t>
      </w:r>
    </w:p>
    <w:p w14:paraId="543BFAD3" w14:textId="77777777" w:rsidR="003931CA" w:rsidRPr="00387232" w:rsidRDefault="003931CA" w:rsidP="00387232">
      <w:pPr>
        <w:jc w:val="both"/>
        <w:rPr>
          <w:rFonts w:ascii="Times New Roman" w:hAnsi="Times New Roman" w:cs="Times New Roman"/>
        </w:rPr>
      </w:pPr>
    </w:p>
    <w:p w14:paraId="1C1246AC" w14:textId="77777777" w:rsidR="003931CA" w:rsidRPr="00387232" w:rsidRDefault="003931CA" w:rsidP="00387232">
      <w:pPr>
        <w:jc w:val="both"/>
        <w:rPr>
          <w:rFonts w:ascii="Times New Roman" w:hAnsi="Times New Roman" w:cs="Times New Roman"/>
        </w:rPr>
      </w:pPr>
    </w:p>
    <w:p w14:paraId="042DFC0B" w14:textId="77777777" w:rsidR="003931CA" w:rsidRPr="00387232" w:rsidRDefault="003931CA" w:rsidP="00387232">
      <w:pPr>
        <w:shd w:val="clear" w:color="auto" w:fill="8EAADB" w:themeFill="accent1" w:themeFillTint="99"/>
        <w:jc w:val="both"/>
        <w:rPr>
          <w:rFonts w:ascii="Times New Roman" w:hAnsi="Times New Roman" w:cs="Times New Roman"/>
          <w:b/>
          <w:bCs/>
        </w:rPr>
      </w:pPr>
      <w:r w:rsidRPr="00387232">
        <w:rPr>
          <w:rFonts w:ascii="Times New Roman" w:hAnsi="Times New Roman" w:cs="Times New Roman"/>
          <w:b/>
          <w:bCs/>
        </w:rPr>
        <w:t>ISSUE III</w:t>
      </w:r>
    </w:p>
    <w:p w14:paraId="732AF760" w14:textId="77777777" w:rsidR="003931CA" w:rsidRPr="00387232" w:rsidRDefault="003931CA" w:rsidP="00387232">
      <w:pPr>
        <w:jc w:val="both"/>
        <w:rPr>
          <w:rFonts w:ascii="Times New Roman" w:hAnsi="Times New Roman" w:cs="Times New Roman"/>
        </w:rPr>
      </w:pPr>
      <w:r w:rsidRPr="00387232">
        <w:rPr>
          <w:rFonts w:ascii="Times New Roman" w:hAnsi="Times New Roman" w:cs="Times New Roman"/>
        </w:rPr>
        <w:t>The following information seeks to highlight the main impacts that the COVID-19 pandemic has had on women and girls’ rights, in the Latin American region, with particular focus on the increase of sexual violence, the barriers on access to sexual and reproductive health services, and the criminalization of women for reproductive-health related matters during the period of mandatory quarantine and social distancing.</w:t>
      </w:r>
    </w:p>
    <w:p w14:paraId="526125B8" w14:textId="77777777" w:rsidR="003931CA" w:rsidRPr="00387232" w:rsidRDefault="003931CA" w:rsidP="00387232">
      <w:pPr>
        <w:pStyle w:val="ListParagraph"/>
        <w:numPr>
          <w:ilvl w:val="0"/>
          <w:numId w:val="2"/>
        </w:numPr>
        <w:shd w:val="clear" w:color="auto" w:fill="D9E2F3" w:themeFill="accent1" w:themeFillTint="33"/>
        <w:spacing w:after="160" w:line="259" w:lineRule="auto"/>
        <w:ind w:left="0"/>
        <w:contextualSpacing/>
        <w:jc w:val="both"/>
        <w:rPr>
          <w:rFonts w:ascii="Times New Roman" w:hAnsi="Times New Roman" w:cs="Times New Roman"/>
          <w:b/>
          <w:bCs/>
        </w:rPr>
      </w:pPr>
      <w:r w:rsidRPr="00387232">
        <w:rPr>
          <w:rFonts w:ascii="Times New Roman" w:hAnsi="Times New Roman" w:cs="Times New Roman"/>
          <w:b/>
          <w:bCs/>
        </w:rPr>
        <w:t>Increase of sexual violence rates during the public health emergency</w:t>
      </w:r>
    </w:p>
    <w:p w14:paraId="73F0E9D1" w14:textId="77777777" w:rsidR="003931CA" w:rsidRPr="00387232" w:rsidRDefault="003931CA" w:rsidP="00387232">
      <w:pPr>
        <w:pStyle w:val="ListParagraph"/>
        <w:shd w:val="clear" w:color="auto" w:fill="FFFFFF" w:themeFill="background1"/>
        <w:spacing w:after="160" w:line="259" w:lineRule="auto"/>
        <w:ind w:left="360"/>
        <w:jc w:val="both"/>
        <w:rPr>
          <w:rFonts w:ascii="Times New Roman" w:hAnsi="Times New Roman" w:cs="Times New Roman"/>
          <w:b/>
          <w:bCs/>
        </w:rPr>
      </w:pPr>
    </w:p>
    <w:p w14:paraId="7C46FF4B" w14:textId="77777777" w:rsidR="003931CA" w:rsidRPr="00387232" w:rsidRDefault="003931CA" w:rsidP="00387232">
      <w:pPr>
        <w:pStyle w:val="ListParagraph"/>
        <w:numPr>
          <w:ilvl w:val="0"/>
          <w:numId w:val="11"/>
        </w:numPr>
        <w:shd w:val="clear" w:color="auto" w:fill="FFFFFF" w:themeFill="background1"/>
        <w:spacing w:after="160" w:line="259" w:lineRule="auto"/>
        <w:ind w:left="360"/>
        <w:contextualSpacing/>
        <w:jc w:val="both"/>
        <w:rPr>
          <w:rFonts w:ascii="Times New Roman" w:hAnsi="Times New Roman" w:cs="Times New Roman"/>
        </w:rPr>
      </w:pPr>
      <w:r w:rsidRPr="00387232">
        <w:rPr>
          <w:rFonts w:ascii="Times New Roman" w:hAnsi="Times New Roman" w:cs="Times New Roman"/>
        </w:rPr>
        <w:t>In so far as the home can be the most dangerous place for women</w:t>
      </w:r>
      <w:r w:rsidRPr="00387232">
        <w:rPr>
          <w:rStyle w:val="EndnoteReference"/>
          <w:rFonts w:ascii="Times New Roman" w:hAnsi="Times New Roman" w:cs="Times New Roman"/>
        </w:rPr>
        <w:endnoteReference w:id="117"/>
      </w:r>
      <w:r w:rsidRPr="00387232">
        <w:rPr>
          <w:rFonts w:ascii="Times New Roman" w:hAnsi="Times New Roman" w:cs="Times New Roman"/>
        </w:rPr>
        <w:t>, the COVID-19 pandemic has caused women to be locked up with their abusers and therefore confinement increases the risk of violence against women as the length of co-habitation increases</w:t>
      </w:r>
      <w:r w:rsidRPr="00387232">
        <w:rPr>
          <w:rStyle w:val="EndnoteReference"/>
          <w:rFonts w:ascii="Times New Roman" w:hAnsi="Times New Roman" w:cs="Times New Roman"/>
        </w:rPr>
        <w:endnoteReference w:id="118"/>
      </w:r>
      <w:r w:rsidRPr="00387232">
        <w:rPr>
          <w:rFonts w:ascii="Times New Roman" w:hAnsi="Times New Roman" w:cs="Times New Roman"/>
        </w:rPr>
        <w:t>. With respect to girls and adolescents, confinement generates an increase in sexual violence against them</w:t>
      </w:r>
      <w:r w:rsidRPr="00387232">
        <w:rPr>
          <w:rStyle w:val="EndnoteReference"/>
          <w:rFonts w:ascii="Times New Roman" w:hAnsi="Times New Roman" w:cs="Times New Roman"/>
        </w:rPr>
        <w:endnoteReference w:id="119"/>
      </w:r>
      <w:r w:rsidRPr="00387232">
        <w:rPr>
          <w:rFonts w:ascii="Times New Roman" w:hAnsi="Times New Roman" w:cs="Times New Roman"/>
        </w:rPr>
        <w:t xml:space="preserve">. </w:t>
      </w:r>
      <w:r w:rsidRPr="00387232">
        <w:rPr>
          <w:rFonts w:ascii="Times New Roman" w:hAnsi="Times New Roman" w:cs="Times New Roman"/>
          <w:b/>
          <w:bCs/>
        </w:rPr>
        <w:t>UN Women</w:t>
      </w:r>
      <w:r w:rsidRPr="00387232">
        <w:rPr>
          <w:rFonts w:ascii="Times New Roman" w:hAnsi="Times New Roman" w:cs="Times New Roman"/>
        </w:rPr>
        <w:t xml:space="preserve"> has characterized this as the shadow pandemic</w:t>
      </w:r>
      <w:r w:rsidRPr="00387232">
        <w:rPr>
          <w:rStyle w:val="EndnoteReference"/>
          <w:rFonts w:ascii="Times New Roman" w:hAnsi="Times New Roman" w:cs="Times New Roman"/>
        </w:rPr>
        <w:endnoteReference w:id="120"/>
      </w:r>
      <w:r w:rsidRPr="00387232">
        <w:rPr>
          <w:rFonts w:ascii="Times New Roman" w:hAnsi="Times New Roman" w:cs="Times New Roman"/>
        </w:rPr>
        <w:t xml:space="preserve">. </w:t>
      </w:r>
    </w:p>
    <w:p w14:paraId="4ABCD090" w14:textId="77777777" w:rsidR="003931CA" w:rsidRPr="00387232" w:rsidRDefault="003931CA" w:rsidP="00387232">
      <w:pPr>
        <w:pStyle w:val="ListParagraph"/>
        <w:numPr>
          <w:ilvl w:val="0"/>
          <w:numId w:val="11"/>
        </w:numPr>
        <w:shd w:val="clear" w:color="auto" w:fill="FFFFFF" w:themeFill="background1"/>
        <w:spacing w:after="160" w:line="259" w:lineRule="auto"/>
        <w:ind w:left="360"/>
        <w:contextualSpacing/>
        <w:jc w:val="both"/>
        <w:rPr>
          <w:rFonts w:ascii="Times New Roman" w:hAnsi="Times New Roman" w:cs="Times New Roman"/>
        </w:rPr>
      </w:pPr>
      <w:r w:rsidRPr="00387232">
        <w:rPr>
          <w:rFonts w:ascii="Times New Roman" w:hAnsi="Times New Roman" w:cs="Times New Roman"/>
        </w:rPr>
        <w:t xml:space="preserve">This has been a particular worrisome problem in the </w:t>
      </w:r>
      <w:r w:rsidRPr="00387232">
        <w:rPr>
          <w:rFonts w:ascii="Times New Roman" w:hAnsi="Times New Roman" w:cs="Times New Roman"/>
          <w:b/>
          <w:bCs/>
        </w:rPr>
        <w:t>Latin American region</w:t>
      </w:r>
      <w:r w:rsidRPr="00387232">
        <w:rPr>
          <w:rStyle w:val="EndnoteReference"/>
          <w:rFonts w:ascii="Times New Roman" w:hAnsi="Times New Roman" w:cs="Times New Roman"/>
        </w:rPr>
        <w:endnoteReference w:id="121"/>
      </w:r>
      <w:r w:rsidRPr="00387232">
        <w:rPr>
          <w:rFonts w:ascii="Times New Roman" w:hAnsi="Times New Roman" w:cs="Times New Roman"/>
        </w:rPr>
        <w:t xml:space="preserve">, especially in: </w:t>
      </w:r>
      <w:r w:rsidRPr="00387232">
        <w:rPr>
          <w:rFonts w:ascii="Times New Roman" w:hAnsi="Times New Roman" w:cs="Times New Roman"/>
          <w:b/>
          <w:bCs/>
        </w:rPr>
        <w:t>Bolivia, Chile, Colombia, Ecuador, Honduras, México, Nicaragua, Perú</w:t>
      </w:r>
      <w:r w:rsidRPr="00387232">
        <w:rPr>
          <w:rFonts w:ascii="Times New Roman" w:hAnsi="Times New Roman" w:cs="Times New Roman"/>
        </w:rPr>
        <w:t>.</w:t>
      </w:r>
    </w:p>
    <w:p w14:paraId="489A08F1" w14:textId="77777777" w:rsidR="003931CA" w:rsidRPr="00387232" w:rsidRDefault="003931CA" w:rsidP="00387232">
      <w:pPr>
        <w:pStyle w:val="ListParagraph"/>
        <w:shd w:val="clear" w:color="auto" w:fill="FFFFFF" w:themeFill="background1"/>
        <w:spacing w:after="160" w:line="259" w:lineRule="auto"/>
        <w:ind w:left="360"/>
        <w:jc w:val="both"/>
        <w:rPr>
          <w:rFonts w:ascii="Times New Roman" w:hAnsi="Times New Roman" w:cs="Times New Roman"/>
          <w:b/>
          <w:bCs/>
        </w:rPr>
      </w:pPr>
    </w:p>
    <w:p w14:paraId="5855DD37" w14:textId="77777777" w:rsidR="003931CA" w:rsidRPr="00387232" w:rsidRDefault="003931CA" w:rsidP="00387232">
      <w:pPr>
        <w:pStyle w:val="ListParagraph"/>
        <w:numPr>
          <w:ilvl w:val="0"/>
          <w:numId w:val="2"/>
        </w:numPr>
        <w:shd w:val="clear" w:color="auto" w:fill="D9E2F3" w:themeFill="accent1" w:themeFillTint="33"/>
        <w:spacing w:after="160" w:line="259" w:lineRule="auto"/>
        <w:ind w:left="0"/>
        <w:contextualSpacing/>
        <w:jc w:val="both"/>
        <w:rPr>
          <w:rFonts w:ascii="Times New Roman" w:hAnsi="Times New Roman" w:cs="Times New Roman"/>
          <w:b/>
          <w:bCs/>
        </w:rPr>
      </w:pPr>
      <w:r w:rsidRPr="00387232">
        <w:rPr>
          <w:rFonts w:ascii="Times New Roman" w:hAnsi="Times New Roman" w:cs="Times New Roman"/>
          <w:b/>
          <w:bCs/>
        </w:rPr>
        <w:t>Lack of access to contraceptives (including emergency contraceptive pill)</w:t>
      </w:r>
    </w:p>
    <w:p w14:paraId="711474BF" w14:textId="77777777" w:rsidR="003931CA" w:rsidRPr="00387232" w:rsidRDefault="003931CA" w:rsidP="00387232">
      <w:pPr>
        <w:pStyle w:val="ListParagraph"/>
        <w:ind w:left="360"/>
        <w:jc w:val="both"/>
        <w:rPr>
          <w:rFonts w:ascii="Times New Roman" w:hAnsi="Times New Roman" w:cs="Times New Roman"/>
        </w:rPr>
      </w:pPr>
    </w:p>
    <w:p w14:paraId="38CFC790" w14:textId="77777777" w:rsidR="003931CA" w:rsidRPr="00387232" w:rsidRDefault="003931CA" w:rsidP="00387232">
      <w:pPr>
        <w:pStyle w:val="ListParagraph"/>
        <w:numPr>
          <w:ilvl w:val="0"/>
          <w:numId w:val="4"/>
        </w:numPr>
        <w:spacing w:after="160" w:line="259" w:lineRule="auto"/>
        <w:ind w:left="360"/>
        <w:contextualSpacing/>
        <w:jc w:val="both"/>
        <w:rPr>
          <w:rFonts w:ascii="Times New Roman" w:hAnsi="Times New Roman" w:cs="Times New Roman"/>
        </w:rPr>
      </w:pPr>
      <w:r w:rsidRPr="00387232">
        <w:rPr>
          <w:rFonts w:ascii="Times New Roman" w:hAnsi="Times New Roman" w:cs="Times New Roman"/>
        </w:rPr>
        <w:t>According to the Inter-American Commission of Women (CIM for its Spanish acronym), “[i]n Latin America and the Caribbean, an estimated 18 million additional women will lose their access to modern contraceptives, given the current context of the COVID-19 pandemic”</w:t>
      </w:r>
      <w:r w:rsidRPr="00387232">
        <w:rPr>
          <w:rStyle w:val="EndnoteReference"/>
          <w:rFonts w:ascii="Times New Roman" w:hAnsi="Times New Roman" w:cs="Times New Roman"/>
        </w:rPr>
        <w:endnoteReference w:id="122"/>
      </w:r>
      <w:r w:rsidRPr="00387232">
        <w:rPr>
          <w:rFonts w:ascii="Times New Roman" w:hAnsi="Times New Roman" w:cs="Times New Roman"/>
        </w:rPr>
        <w:t xml:space="preserve">. </w:t>
      </w:r>
    </w:p>
    <w:p w14:paraId="1627A2AD" w14:textId="77777777" w:rsidR="003931CA" w:rsidRPr="00387232" w:rsidRDefault="003931CA" w:rsidP="00387232">
      <w:pPr>
        <w:pStyle w:val="ListParagraph"/>
        <w:numPr>
          <w:ilvl w:val="0"/>
          <w:numId w:val="4"/>
        </w:numPr>
        <w:spacing w:after="160" w:line="259" w:lineRule="auto"/>
        <w:ind w:left="360"/>
        <w:contextualSpacing/>
        <w:jc w:val="both"/>
        <w:rPr>
          <w:rFonts w:ascii="Times New Roman" w:hAnsi="Times New Roman" w:cs="Times New Roman"/>
        </w:rPr>
      </w:pPr>
      <w:r w:rsidRPr="00387232">
        <w:rPr>
          <w:rFonts w:ascii="Times New Roman" w:hAnsi="Times New Roman" w:cs="Times New Roman"/>
        </w:rPr>
        <w:t xml:space="preserve">Indeed, in LAC, the COVID-19 pandemic has been greatly affected access to contraceptives in two essential ways: </w:t>
      </w:r>
    </w:p>
    <w:p w14:paraId="099885A4" w14:textId="77777777" w:rsidR="003931CA" w:rsidRPr="00387232" w:rsidRDefault="003931CA" w:rsidP="00387232">
      <w:pPr>
        <w:pStyle w:val="ListParagraph"/>
        <w:numPr>
          <w:ilvl w:val="0"/>
          <w:numId w:val="7"/>
        </w:numPr>
        <w:spacing w:after="160" w:line="259" w:lineRule="auto"/>
        <w:contextualSpacing/>
        <w:jc w:val="both"/>
        <w:rPr>
          <w:rFonts w:ascii="Times New Roman" w:hAnsi="Times New Roman" w:cs="Times New Roman"/>
        </w:rPr>
      </w:pPr>
      <w:r w:rsidRPr="00387232">
        <w:rPr>
          <w:rFonts w:ascii="Times New Roman" w:hAnsi="Times New Roman" w:cs="Times New Roman"/>
        </w:rPr>
        <w:t xml:space="preserve">there has be a worrisome shortage of stock of contraceptives, which means their availability is highly reduced, particularly so in rural, disadvantageous, and impoverished areas; and </w:t>
      </w:r>
    </w:p>
    <w:p w14:paraId="3B4BA04C" w14:textId="77777777" w:rsidR="003931CA" w:rsidRPr="00387232" w:rsidRDefault="003931CA" w:rsidP="00387232">
      <w:pPr>
        <w:pStyle w:val="ListParagraph"/>
        <w:numPr>
          <w:ilvl w:val="0"/>
          <w:numId w:val="7"/>
        </w:numPr>
        <w:spacing w:after="160" w:line="259" w:lineRule="auto"/>
        <w:contextualSpacing/>
        <w:jc w:val="both"/>
        <w:rPr>
          <w:rFonts w:ascii="Times New Roman" w:hAnsi="Times New Roman" w:cs="Times New Roman"/>
        </w:rPr>
      </w:pPr>
      <w:r w:rsidRPr="00387232">
        <w:rPr>
          <w:rFonts w:ascii="Times New Roman" w:hAnsi="Times New Roman" w:cs="Times New Roman"/>
        </w:rPr>
        <w:lastRenderedPageBreak/>
        <w:t>there has been great disinformation regarding the essential character of this</w:t>
      </w:r>
      <w:r w:rsidRPr="00387232">
        <w:rPr>
          <w:rFonts w:ascii="Times New Roman" w:hAnsi="Times New Roman" w:cs="Times New Roman"/>
          <w:i/>
          <w:iCs/>
        </w:rPr>
        <w:t xml:space="preserve"> service</w:t>
      </w:r>
      <w:r w:rsidRPr="00387232">
        <w:rPr>
          <w:rFonts w:ascii="Times New Roman" w:hAnsi="Times New Roman" w:cs="Times New Roman"/>
        </w:rPr>
        <w:t xml:space="preserve"> during the pandemic and where and how can women access this, which leads to uncertainty and further creates barriers. </w:t>
      </w:r>
    </w:p>
    <w:p w14:paraId="5F515488" w14:textId="77777777" w:rsidR="003931CA" w:rsidRPr="00387232" w:rsidRDefault="003931CA" w:rsidP="00387232">
      <w:pPr>
        <w:pStyle w:val="ListParagraph"/>
        <w:numPr>
          <w:ilvl w:val="0"/>
          <w:numId w:val="4"/>
        </w:numPr>
        <w:spacing w:after="160" w:line="259" w:lineRule="auto"/>
        <w:ind w:left="360"/>
        <w:contextualSpacing/>
        <w:jc w:val="both"/>
        <w:rPr>
          <w:rFonts w:ascii="Times New Roman" w:hAnsi="Times New Roman" w:cs="Times New Roman"/>
        </w:rPr>
      </w:pPr>
      <w:r w:rsidRPr="00387232">
        <w:rPr>
          <w:rFonts w:ascii="Times New Roman" w:hAnsi="Times New Roman" w:cs="Times New Roman"/>
        </w:rPr>
        <w:t>We have been able to see this particularly in:</w:t>
      </w:r>
    </w:p>
    <w:p w14:paraId="4E24C5D7" w14:textId="77777777" w:rsidR="003931CA" w:rsidRPr="00387232" w:rsidRDefault="003931CA" w:rsidP="00387232">
      <w:pPr>
        <w:pStyle w:val="ListParagraph"/>
        <w:numPr>
          <w:ilvl w:val="0"/>
          <w:numId w:val="8"/>
        </w:numPr>
        <w:spacing w:after="160" w:line="259" w:lineRule="auto"/>
        <w:ind w:left="810"/>
        <w:contextualSpacing/>
        <w:jc w:val="both"/>
        <w:rPr>
          <w:rFonts w:ascii="Times New Roman" w:hAnsi="Times New Roman" w:cs="Times New Roman"/>
          <w:color w:val="FF0000"/>
        </w:rPr>
      </w:pPr>
      <w:r w:rsidRPr="00387232">
        <w:rPr>
          <w:rFonts w:ascii="Times New Roman" w:hAnsi="Times New Roman" w:cs="Times New Roman"/>
          <w:b/>
          <w:bCs/>
        </w:rPr>
        <w:t>Honduras</w:t>
      </w:r>
      <w:r w:rsidRPr="00387232">
        <w:rPr>
          <w:rFonts w:ascii="Times New Roman" w:hAnsi="Times New Roman" w:cs="Times New Roman"/>
        </w:rPr>
        <w:t>: our partners (</w:t>
      </w:r>
      <w:r w:rsidRPr="00387232">
        <w:rPr>
          <w:rFonts w:ascii="Times New Roman" w:hAnsi="Times New Roman" w:cs="Times New Roman"/>
          <w:i/>
          <w:iCs/>
        </w:rPr>
        <w:t>Centro de Derechos de Mujeres</w:t>
      </w:r>
      <w:r w:rsidRPr="00387232">
        <w:rPr>
          <w:rFonts w:ascii="Times New Roman" w:hAnsi="Times New Roman" w:cs="Times New Roman"/>
        </w:rPr>
        <w:t>) have reported that they are facing major disruption in contraceptive supply chains.</w:t>
      </w:r>
      <w:r w:rsidRPr="00387232">
        <w:rPr>
          <w:rFonts w:ascii="Times New Roman" w:hAnsi="Times New Roman" w:cs="Times New Roman"/>
          <w:color w:val="FF0000"/>
        </w:rPr>
        <w:t xml:space="preserve"> </w:t>
      </w:r>
      <w:r w:rsidRPr="00387232">
        <w:rPr>
          <w:rFonts w:ascii="Times New Roman" w:hAnsi="Times New Roman" w:cs="Times New Roman"/>
          <w:color w:val="000000" w:themeColor="text1"/>
        </w:rPr>
        <w:t xml:space="preserve">In detail, the </w:t>
      </w:r>
      <w:r w:rsidRPr="00387232">
        <w:rPr>
          <w:rFonts w:ascii="Times New Roman" w:hAnsi="Times New Roman" w:cs="Times New Roman"/>
          <w:i/>
          <w:iCs/>
          <w:color w:val="000000" w:themeColor="text1"/>
        </w:rPr>
        <w:t>Grupo Estratégico por las PAE</w:t>
      </w:r>
      <w:r w:rsidRPr="00387232">
        <w:rPr>
          <w:rFonts w:ascii="Times New Roman" w:hAnsi="Times New Roman" w:cs="Times New Roman"/>
          <w:color w:val="000000" w:themeColor="text1"/>
        </w:rPr>
        <w:t xml:space="preserve">, found that from a survey of 11 local Health Offices, two (2) </w:t>
      </w:r>
      <w:r w:rsidRPr="00387232">
        <w:rPr>
          <w:rFonts w:ascii="Times New Roman" w:hAnsi="Times New Roman" w:cs="Times New Roman"/>
          <w:color w:val="000000" w:themeColor="text1"/>
          <w:u w:val="single"/>
        </w:rPr>
        <w:t>did not had supply</w:t>
      </w:r>
      <w:r w:rsidRPr="00387232">
        <w:rPr>
          <w:rFonts w:ascii="Times New Roman" w:hAnsi="Times New Roman" w:cs="Times New Roman"/>
          <w:color w:val="000000" w:themeColor="text1"/>
        </w:rPr>
        <w:t xml:space="preserve"> of any type of contraceptive methods, three (3) of them </w:t>
      </w:r>
      <w:r w:rsidRPr="00387232">
        <w:rPr>
          <w:rFonts w:ascii="Times New Roman" w:hAnsi="Times New Roman" w:cs="Times New Roman"/>
          <w:color w:val="000000" w:themeColor="text1"/>
          <w:u w:val="single"/>
        </w:rPr>
        <w:t>had no availability</w:t>
      </w:r>
      <w:r w:rsidRPr="00387232">
        <w:rPr>
          <w:rFonts w:ascii="Times New Roman" w:hAnsi="Times New Roman" w:cs="Times New Roman"/>
          <w:color w:val="000000" w:themeColor="text1"/>
        </w:rPr>
        <w:t xml:space="preserve"> of condoms, six (6) of them </w:t>
      </w:r>
      <w:r w:rsidRPr="00387232">
        <w:rPr>
          <w:rFonts w:ascii="Times New Roman" w:hAnsi="Times New Roman" w:cs="Times New Roman"/>
          <w:color w:val="000000" w:themeColor="text1"/>
          <w:u w:val="single"/>
        </w:rPr>
        <w:t>had condom’s shortage</w:t>
      </w:r>
      <w:r w:rsidRPr="00387232">
        <w:rPr>
          <w:rFonts w:ascii="Times New Roman" w:hAnsi="Times New Roman" w:cs="Times New Roman"/>
          <w:color w:val="000000" w:themeColor="text1"/>
        </w:rPr>
        <w:t xml:space="preserve"> (provision for only one month), and none had oral or contraceptive implants available</w:t>
      </w:r>
      <w:r w:rsidRPr="00387232">
        <w:rPr>
          <w:rStyle w:val="EndnoteReference"/>
          <w:rFonts w:ascii="Times New Roman" w:hAnsi="Times New Roman" w:cs="Times New Roman"/>
          <w:color w:val="000000" w:themeColor="text1"/>
        </w:rPr>
        <w:endnoteReference w:id="123"/>
      </w:r>
      <w:r w:rsidRPr="00387232">
        <w:rPr>
          <w:rFonts w:ascii="Times New Roman" w:hAnsi="Times New Roman" w:cs="Times New Roman"/>
          <w:color w:val="000000" w:themeColor="text1"/>
        </w:rPr>
        <w:t xml:space="preserve">.  </w:t>
      </w:r>
      <w:r w:rsidRPr="00387232">
        <w:rPr>
          <w:rFonts w:ascii="Times New Roman" w:hAnsi="Times New Roman" w:cs="Times New Roman"/>
          <w:color w:val="FF0000"/>
        </w:rPr>
        <w:t xml:space="preserve"> </w:t>
      </w:r>
    </w:p>
    <w:p w14:paraId="73C69A2D" w14:textId="77777777" w:rsidR="003931CA" w:rsidRPr="00387232" w:rsidRDefault="003931CA" w:rsidP="00387232">
      <w:pPr>
        <w:pStyle w:val="ListParagraph"/>
        <w:numPr>
          <w:ilvl w:val="0"/>
          <w:numId w:val="8"/>
        </w:numPr>
        <w:spacing w:after="160" w:line="259" w:lineRule="auto"/>
        <w:ind w:left="810"/>
        <w:contextualSpacing/>
        <w:jc w:val="both"/>
        <w:rPr>
          <w:rFonts w:ascii="Times New Roman" w:hAnsi="Times New Roman" w:cs="Times New Roman"/>
          <w:color w:val="FF0000"/>
        </w:rPr>
      </w:pPr>
      <w:r w:rsidRPr="00387232">
        <w:rPr>
          <w:rFonts w:ascii="Times New Roman" w:hAnsi="Times New Roman" w:cs="Times New Roman"/>
          <w:b/>
          <w:bCs/>
        </w:rPr>
        <w:t>Ecuador</w:t>
      </w:r>
      <w:r w:rsidRPr="00387232">
        <w:rPr>
          <w:rFonts w:ascii="Times New Roman" w:hAnsi="Times New Roman" w:cs="Times New Roman"/>
        </w:rPr>
        <w:t>: our partners (</w:t>
      </w:r>
      <w:r w:rsidRPr="00387232">
        <w:rPr>
          <w:rFonts w:ascii="Times New Roman" w:hAnsi="Times New Roman" w:cs="Times New Roman"/>
          <w:i/>
          <w:iCs/>
        </w:rPr>
        <w:t>Fundación Desafío</w:t>
      </w:r>
      <w:r w:rsidRPr="00387232">
        <w:rPr>
          <w:rFonts w:ascii="Times New Roman" w:hAnsi="Times New Roman" w:cs="Times New Roman"/>
        </w:rPr>
        <w:t xml:space="preserve"> and </w:t>
      </w:r>
      <w:r w:rsidRPr="00387232">
        <w:rPr>
          <w:rFonts w:ascii="Times New Roman" w:hAnsi="Times New Roman" w:cs="Times New Roman"/>
          <w:i/>
          <w:iCs/>
        </w:rPr>
        <w:t>CEPAM-Guayaquil</w:t>
      </w:r>
      <w:r w:rsidRPr="00387232">
        <w:rPr>
          <w:rFonts w:ascii="Times New Roman" w:hAnsi="Times New Roman" w:cs="Times New Roman"/>
        </w:rPr>
        <w:t xml:space="preserve">) reported stock-outs of contraceptives and lack of access to information in relation to the availability of contraceptives. </w:t>
      </w:r>
    </w:p>
    <w:p w14:paraId="25159EB8" w14:textId="77777777" w:rsidR="003931CA" w:rsidRPr="00387232" w:rsidRDefault="003931CA" w:rsidP="00387232">
      <w:pPr>
        <w:pStyle w:val="ListParagraph"/>
        <w:numPr>
          <w:ilvl w:val="0"/>
          <w:numId w:val="8"/>
        </w:numPr>
        <w:spacing w:after="160" w:line="259" w:lineRule="auto"/>
        <w:ind w:left="810"/>
        <w:contextualSpacing/>
        <w:jc w:val="both"/>
        <w:rPr>
          <w:rFonts w:ascii="Times New Roman" w:hAnsi="Times New Roman" w:cs="Times New Roman"/>
        </w:rPr>
      </w:pPr>
      <w:r w:rsidRPr="00387232">
        <w:rPr>
          <w:rFonts w:ascii="Times New Roman" w:hAnsi="Times New Roman" w:cs="Times New Roman"/>
          <w:b/>
          <w:bCs/>
        </w:rPr>
        <w:t>Chile</w:t>
      </w:r>
      <w:r w:rsidRPr="00387232">
        <w:rPr>
          <w:rFonts w:ascii="Times New Roman" w:hAnsi="Times New Roman" w:cs="Times New Roman"/>
        </w:rPr>
        <w:t>: civil society organizations and our partners (</w:t>
      </w:r>
      <w:r w:rsidRPr="00387232">
        <w:rPr>
          <w:rFonts w:ascii="Times New Roman" w:hAnsi="Times New Roman" w:cs="Times New Roman"/>
          <w:i/>
          <w:iCs/>
        </w:rPr>
        <w:t>Humanas</w:t>
      </w:r>
      <w:r w:rsidRPr="00387232">
        <w:rPr>
          <w:rFonts w:ascii="Times New Roman" w:hAnsi="Times New Roman" w:cs="Times New Roman"/>
        </w:rPr>
        <w:t>) reported that the information regarding contraception methods and its distribution is not clear</w:t>
      </w:r>
      <w:r w:rsidRPr="00387232">
        <w:rPr>
          <w:rStyle w:val="EndnoteReference"/>
          <w:rFonts w:ascii="Times New Roman" w:hAnsi="Times New Roman" w:cs="Times New Roman"/>
        </w:rPr>
        <w:endnoteReference w:id="124"/>
      </w:r>
      <w:r w:rsidRPr="00387232">
        <w:rPr>
          <w:rFonts w:ascii="Times New Roman" w:hAnsi="Times New Roman" w:cs="Times New Roman"/>
        </w:rPr>
        <w:t xml:space="preserve">. </w:t>
      </w:r>
    </w:p>
    <w:p w14:paraId="4976C1C0" w14:textId="77777777" w:rsidR="003931CA" w:rsidRPr="00387232" w:rsidRDefault="003931CA" w:rsidP="00387232">
      <w:pPr>
        <w:pStyle w:val="ListParagraph"/>
        <w:numPr>
          <w:ilvl w:val="0"/>
          <w:numId w:val="8"/>
        </w:numPr>
        <w:spacing w:after="160" w:line="259" w:lineRule="auto"/>
        <w:ind w:left="810"/>
        <w:contextualSpacing/>
        <w:jc w:val="both"/>
        <w:rPr>
          <w:rFonts w:ascii="Times New Roman" w:hAnsi="Times New Roman" w:cs="Times New Roman"/>
        </w:rPr>
      </w:pPr>
      <w:r w:rsidRPr="00387232">
        <w:rPr>
          <w:rFonts w:ascii="Times New Roman" w:hAnsi="Times New Roman" w:cs="Times New Roman"/>
          <w:b/>
          <w:bCs/>
        </w:rPr>
        <w:t xml:space="preserve">Peru: </w:t>
      </w:r>
      <w:r w:rsidRPr="00387232">
        <w:rPr>
          <w:rFonts w:ascii="Times New Roman" w:hAnsi="Times New Roman" w:cs="Times New Roman"/>
        </w:rPr>
        <w:t>our partners (</w:t>
      </w:r>
      <w:r w:rsidRPr="00387232">
        <w:rPr>
          <w:rFonts w:ascii="Times New Roman" w:hAnsi="Times New Roman" w:cs="Times New Roman"/>
          <w:i/>
          <w:iCs/>
        </w:rPr>
        <w:t>Promsex</w:t>
      </w:r>
      <w:r w:rsidRPr="00387232">
        <w:rPr>
          <w:rFonts w:ascii="Times New Roman" w:hAnsi="Times New Roman" w:cs="Times New Roman"/>
        </w:rPr>
        <w:t>) have reported a lack of access and continuity of contraceptive methods and ECPs.</w:t>
      </w:r>
    </w:p>
    <w:p w14:paraId="6BF3B279" w14:textId="77777777" w:rsidR="003931CA" w:rsidRPr="00387232" w:rsidRDefault="003931CA" w:rsidP="00387232">
      <w:pPr>
        <w:pStyle w:val="ListParagraph"/>
        <w:numPr>
          <w:ilvl w:val="0"/>
          <w:numId w:val="8"/>
        </w:numPr>
        <w:spacing w:after="160" w:line="259" w:lineRule="auto"/>
        <w:ind w:left="810"/>
        <w:contextualSpacing/>
        <w:jc w:val="both"/>
        <w:rPr>
          <w:rFonts w:ascii="Times New Roman" w:hAnsi="Times New Roman" w:cs="Times New Roman"/>
        </w:rPr>
      </w:pPr>
      <w:r w:rsidRPr="00387232">
        <w:rPr>
          <w:rFonts w:ascii="Times New Roman" w:hAnsi="Times New Roman" w:cs="Times New Roman"/>
          <w:b/>
          <w:bCs/>
          <w:color w:val="000000" w:themeColor="text1"/>
        </w:rPr>
        <w:t xml:space="preserve">Guatemala: </w:t>
      </w:r>
      <w:r w:rsidRPr="00387232">
        <w:rPr>
          <w:rFonts w:ascii="Times New Roman" w:hAnsi="Times New Roman" w:cs="Times New Roman"/>
          <w:color w:val="000000" w:themeColor="text1"/>
        </w:rPr>
        <w:t>our partners (</w:t>
      </w:r>
      <w:r w:rsidRPr="00387232">
        <w:rPr>
          <w:rFonts w:ascii="Times New Roman" w:hAnsi="Times New Roman" w:cs="Times New Roman"/>
          <w:i/>
          <w:iCs/>
          <w:color w:val="000000" w:themeColor="text1"/>
        </w:rPr>
        <w:t>Mujeres Transformando el Mundo</w:t>
      </w:r>
      <w:r w:rsidRPr="00387232">
        <w:rPr>
          <w:rFonts w:ascii="Times New Roman" w:hAnsi="Times New Roman" w:cs="Times New Roman"/>
          <w:color w:val="000000" w:themeColor="text1"/>
        </w:rPr>
        <w:t xml:space="preserve">) informed that health services unrelated to COVID have been delayed. This caused obstacles for women to access to emergencies kits for survivors of sexual violence. </w:t>
      </w:r>
      <w:r w:rsidRPr="00387232">
        <w:rPr>
          <w:rFonts w:ascii="Times New Roman" w:hAnsi="Times New Roman" w:cs="Times New Roman"/>
          <w:color w:val="FF0000"/>
        </w:rPr>
        <w:t xml:space="preserve"> </w:t>
      </w:r>
    </w:p>
    <w:p w14:paraId="7F12AFFC" w14:textId="77777777" w:rsidR="003931CA" w:rsidRPr="00387232" w:rsidRDefault="003931CA" w:rsidP="00387232">
      <w:pPr>
        <w:pStyle w:val="ListParagraph"/>
        <w:jc w:val="both"/>
        <w:rPr>
          <w:rFonts w:ascii="Times New Roman" w:hAnsi="Times New Roman" w:cs="Times New Roman"/>
        </w:rPr>
      </w:pPr>
    </w:p>
    <w:p w14:paraId="0AF64345" w14:textId="77777777" w:rsidR="003931CA" w:rsidRPr="00387232" w:rsidRDefault="003931CA" w:rsidP="00387232">
      <w:pPr>
        <w:pStyle w:val="ListParagraph"/>
        <w:numPr>
          <w:ilvl w:val="0"/>
          <w:numId w:val="2"/>
        </w:numPr>
        <w:shd w:val="clear" w:color="auto" w:fill="D9E2F3" w:themeFill="accent1" w:themeFillTint="33"/>
        <w:spacing w:after="160" w:line="259" w:lineRule="auto"/>
        <w:ind w:left="0"/>
        <w:contextualSpacing/>
        <w:jc w:val="both"/>
        <w:rPr>
          <w:rFonts w:ascii="Times New Roman" w:hAnsi="Times New Roman" w:cs="Times New Roman"/>
          <w:b/>
          <w:bCs/>
        </w:rPr>
      </w:pPr>
      <w:r w:rsidRPr="00387232">
        <w:rPr>
          <w:rFonts w:ascii="Times New Roman" w:hAnsi="Times New Roman" w:cs="Times New Roman"/>
          <w:b/>
          <w:bCs/>
        </w:rPr>
        <w:t>Lack of access to abortion services</w:t>
      </w:r>
    </w:p>
    <w:p w14:paraId="247F7720" w14:textId="77777777" w:rsidR="003931CA" w:rsidRPr="00387232" w:rsidRDefault="003931CA" w:rsidP="00387232">
      <w:pPr>
        <w:pStyle w:val="ListParagraph"/>
        <w:ind w:left="630"/>
        <w:jc w:val="both"/>
        <w:rPr>
          <w:rFonts w:ascii="Times New Roman" w:hAnsi="Times New Roman" w:cs="Times New Roman"/>
        </w:rPr>
      </w:pPr>
    </w:p>
    <w:p w14:paraId="4909BDEC" w14:textId="77777777" w:rsidR="003931CA" w:rsidRPr="00387232" w:rsidRDefault="003931CA" w:rsidP="00387232">
      <w:pPr>
        <w:pStyle w:val="ListParagraph"/>
        <w:numPr>
          <w:ilvl w:val="0"/>
          <w:numId w:val="4"/>
        </w:numPr>
        <w:spacing w:after="160" w:line="259" w:lineRule="auto"/>
        <w:ind w:left="360"/>
        <w:contextualSpacing/>
        <w:jc w:val="both"/>
        <w:rPr>
          <w:rFonts w:ascii="Times New Roman" w:hAnsi="Times New Roman" w:cs="Times New Roman"/>
        </w:rPr>
      </w:pPr>
      <w:r w:rsidRPr="00387232">
        <w:rPr>
          <w:rFonts w:ascii="Times New Roman" w:hAnsi="Times New Roman" w:cs="Times New Roman"/>
        </w:rPr>
        <w:t>In a region where access to abortion is already very restrictive, the COVID pandemic and the national quarantine measures have</w:t>
      </w:r>
      <w:r w:rsidRPr="00387232">
        <w:rPr>
          <w:rFonts w:ascii="Times New Roman" w:hAnsi="Times New Roman" w:cs="Times New Roman"/>
          <w:b/>
          <w:bCs/>
        </w:rPr>
        <w:t xml:space="preserve"> further curtailed, limited, and imposed barriers for accessing this service. </w:t>
      </w:r>
      <w:r w:rsidRPr="00387232">
        <w:rPr>
          <w:rFonts w:ascii="Times New Roman" w:hAnsi="Times New Roman" w:cs="Times New Roman"/>
        </w:rPr>
        <w:t>The lack of clear State policies and measures guaranteeing the availability and accessibility of abortion services during the pandemic, has led many healthcare providers to prejudicially consider abortion not to be an essential health service and deny the service.</w:t>
      </w:r>
    </w:p>
    <w:p w14:paraId="15C7E286" w14:textId="77777777" w:rsidR="003931CA" w:rsidRPr="00387232" w:rsidRDefault="003931CA" w:rsidP="00387232">
      <w:pPr>
        <w:pStyle w:val="ListParagraph"/>
        <w:numPr>
          <w:ilvl w:val="0"/>
          <w:numId w:val="4"/>
        </w:numPr>
        <w:spacing w:after="160" w:line="259" w:lineRule="auto"/>
        <w:ind w:left="360"/>
        <w:contextualSpacing/>
        <w:jc w:val="both"/>
        <w:rPr>
          <w:rFonts w:ascii="Times New Roman" w:hAnsi="Times New Roman" w:cs="Times New Roman"/>
        </w:rPr>
      </w:pPr>
      <w:r w:rsidRPr="00387232">
        <w:rPr>
          <w:rFonts w:ascii="Times New Roman" w:hAnsi="Times New Roman" w:cs="Times New Roman"/>
        </w:rPr>
        <w:t>We have seen this problem in:</w:t>
      </w:r>
    </w:p>
    <w:p w14:paraId="3049F5B7" w14:textId="77777777" w:rsidR="003931CA" w:rsidRPr="00387232" w:rsidRDefault="003931CA" w:rsidP="00387232">
      <w:pPr>
        <w:pStyle w:val="ListParagraph"/>
        <w:numPr>
          <w:ilvl w:val="0"/>
          <w:numId w:val="6"/>
        </w:numPr>
        <w:spacing w:after="160" w:line="259" w:lineRule="auto"/>
        <w:ind w:left="810"/>
        <w:contextualSpacing/>
        <w:jc w:val="both"/>
        <w:rPr>
          <w:rFonts w:ascii="Times New Roman" w:hAnsi="Times New Roman" w:cs="Times New Roman"/>
        </w:rPr>
      </w:pPr>
      <w:r w:rsidRPr="00387232">
        <w:rPr>
          <w:rFonts w:ascii="Times New Roman" w:hAnsi="Times New Roman" w:cs="Times New Roman"/>
          <w:b/>
          <w:bCs/>
        </w:rPr>
        <w:t xml:space="preserve">Brazil, </w:t>
      </w:r>
      <w:r w:rsidRPr="00387232">
        <w:rPr>
          <w:rFonts w:ascii="Times New Roman" w:hAnsi="Times New Roman" w:cs="Times New Roman"/>
        </w:rPr>
        <w:t xml:space="preserve">where the main hospital that provided legal abortion in Sao Paulo, </w:t>
      </w:r>
      <w:r w:rsidRPr="00387232">
        <w:rPr>
          <w:rFonts w:ascii="Times New Roman" w:hAnsi="Times New Roman" w:cs="Times New Roman"/>
          <w:i/>
          <w:iCs/>
        </w:rPr>
        <w:t>Hospital Pérola Byington</w:t>
      </w:r>
      <w:r w:rsidRPr="00387232">
        <w:rPr>
          <w:rFonts w:ascii="Times New Roman" w:hAnsi="Times New Roman" w:cs="Times New Roman"/>
        </w:rPr>
        <w:t>, suspended access to abortion</w:t>
      </w:r>
      <w:r w:rsidRPr="00387232">
        <w:rPr>
          <w:rFonts w:ascii="Times New Roman" w:hAnsi="Times New Roman" w:cs="Times New Roman"/>
          <w:b/>
          <w:bCs/>
        </w:rPr>
        <w:t xml:space="preserve"> services </w:t>
      </w:r>
      <w:r w:rsidRPr="00387232">
        <w:rPr>
          <w:rFonts w:ascii="Times New Roman" w:hAnsi="Times New Roman" w:cs="Times New Roman"/>
        </w:rPr>
        <w:t>during the pandemic</w:t>
      </w:r>
      <w:r w:rsidRPr="00387232">
        <w:rPr>
          <w:rFonts w:ascii="Times New Roman" w:hAnsi="Times New Roman" w:cs="Times New Roman"/>
          <w:vertAlign w:val="superscript"/>
        </w:rPr>
        <w:endnoteReference w:id="125"/>
      </w:r>
      <w:r w:rsidRPr="00387232">
        <w:rPr>
          <w:rFonts w:ascii="Times New Roman" w:hAnsi="Times New Roman" w:cs="Times New Roman"/>
        </w:rPr>
        <w:t xml:space="preserve">. </w:t>
      </w:r>
      <w:r w:rsidRPr="00387232">
        <w:rPr>
          <w:rFonts w:ascii="Times New Roman" w:hAnsi="Times New Roman" w:cs="Times New Roman"/>
          <w:u w:val="single"/>
        </w:rPr>
        <w:t>Recently</w:t>
      </w:r>
      <w:r w:rsidRPr="00387232">
        <w:rPr>
          <w:rFonts w:ascii="Times New Roman" w:hAnsi="Times New Roman" w:cs="Times New Roman"/>
        </w:rPr>
        <w:t>, it has been reported that the service has been reestablished, after the Public Ministry and the Public Defense Office intervened,</w:t>
      </w:r>
      <w:r w:rsidRPr="00387232">
        <w:rPr>
          <w:rStyle w:val="EndnoteReference"/>
          <w:rFonts w:ascii="Times New Roman" w:hAnsi="Times New Roman" w:cs="Times New Roman"/>
        </w:rPr>
        <w:endnoteReference w:id="126"/>
      </w:r>
      <w:r w:rsidRPr="00387232">
        <w:rPr>
          <w:rFonts w:ascii="Times New Roman" w:hAnsi="Times New Roman" w:cs="Times New Roman"/>
        </w:rPr>
        <w:t xml:space="preserve"> </w:t>
      </w:r>
      <w:r w:rsidRPr="00387232">
        <w:rPr>
          <w:rFonts w:ascii="Times New Roman" w:hAnsi="Times New Roman" w:cs="Times New Roman"/>
          <w:u w:val="single"/>
        </w:rPr>
        <w:t>however</w:t>
      </w:r>
      <w:r w:rsidRPr="00387232">
        <w:rPr>
          <w:rFonts w:ascii="Times New Roman" w:hAnsi="Times New Roman" w:cs="Times New Roman"/>
        </w:rPr>
        <w:t xml:space="preserve"> civil society organizations continue to report uncertainty as to the availability of the service.</w:t>
      </w:r>
    </w:p>
    <w:p w14:paraId="20642874" w14:textId="77777777" w:rsidR="003931CA" w:rsidRPr="00387232" w:rsidRDefault="003931CA" w:rsidP="00387232">
      <w:pPr>
        <w:pStyle w:val="ListParagraph"/>
        <w:numPr>
          <w:ilvl w:val="0"/>
          <w:numId w:val="6"/>
        </w:numPr>
        <w:spacing w:after="160" w:line="259" w:lineRule="auto"/>
        <w:ind w:left="810"/>
        <w:contextualSpacing/>
        <w:jc w:val="both"/>
        <w:rPr>
          <w:rFonts w:ascii="Times New Roman" w:hAnsi="Times New Roman" w:cs="Times New Roman"/>
        </w:rPr>
      </w:pPr>
      <w:r w:rsidRPr="00387232">
        <w:rPr>
          <w:rFonts w:ascii="Times New Roman" w:hAnsi="Times New Roman" w:cs="Times New Roman"/>
          <w:b/>
          <w:bCs/>
        </w:rPr>
        <w:t xml:space="preserve">Ecuador, </w:t>
      </w:r>
      <w:r w:rsidRPr="00387232">
        <w:rPr>
          <w:rFonts w:ascii="Times New Roman" w:hAnsi="Times New Roman" w:cs="Times New Roman"/>
        </w:rPr>
        <w:t>where our partners (Surkuna) reported that women are being denied abortion services and that three women have almost died as they have been denied healthcare services when they arrived at the hospital with obstetric emergencies or complications.</w:t>
      </w:r>
    </w:p>
    <w:p w14:paraId="3D709BBE" w14:textId="77777777" w:rsidR="003931CA" w:rsidRPr="00387232" w:rsidRDefault="003931CA" w:rsidP="00387232">
      <w:pPr>
        <w:pStyle w:val="ListParagraph"/>
        <w:numPr>
          <w:ilvl w:val="0"/>
          <w:numId w:val="6"/>
        </w:numPr>
        <w:spacing w:after="160" w:line="259" w:lineRule="auto"/>
        <w:ind w:left="810"/>
        <w:contextualSpacing/>
        <w:jc w:val="both"/>
        <w:rPr>
          <w:rFonts w:ascii="Times New Roman" w:hAnsi="Times New Roman" w:cs="Times New Roman"/>
        </w:rPr>
      </w:pPr>
      <w:r w:rsidRPr="00387232">
        <w:rPr>
          <w:rFonts w:ascii="Times New Roman" w:hAnsi="Times New Roman" w:cs="Times New Roman"/>
          <w:b/>
          <w:bCs/>
        </w:rPr>
        <w:t>Chile</w:t>
      </w:r>
      <w:r w:rsidRPr="00387232">
        <w:rPr>
          <w:rFonts w:ascii="Times New Roman" w:hAnsi="Times New Roman" w:cs="Times New Roman"/>
        </w:rPr>
        <w:t>, where there are reports of shortages in the supply of Misoprostol and Mifepristone (specifically in San José Hospital, one of the largest public hospitals in Santiago</w:t>
      </w:r>
      <w:r w:rsidRPr="00387232">
        <w:rPr>
          <w:rFonts w:ascii="Times New Roman" w:hAnsi="Times New Roman" w:cs="Times New Roman"/>
          <w:vertAlign w:val="superscript"/>
        </w:rPr>
        <w:endnoteReference w:id="127"/>
      </w:r>
      <w:r w:rsidRPr="00387232">
        <w:rPr>
          <w:rFonts w:ascii="Times New Roman" w:hAnsi="Times New Roman" w:cs="Times New Roman"/>
        </w:rPr>
        <w:t xml:space="preserve">. Furthermore, our partners (Humanas) informed that there is a lack of information of where to access this services and that abortion centers are closed.  </w:t>
      </w:r>
    </w:p>
    <w:p w14:paraId="2413AB4E" w14:textId="77777777" w:rsidR="003931CA" w:rsidRPr="00387232" w:rsidRDefault="003931CA" w:rsidP="00387232">
      <w:pPr>
        <w:pStyle w:val="ListParagraph"/>
        <w:numPr>
          <w:ilvl w:val="0"/>
          <w:numId w:val="6"/>
        </w:numPr>
        <w:spacing w:after="160" w:line="259" w:lineRule="auto"/>
        <w:ind w:left="810"/>
        <w:contextualSpacing/>
        <w:jc w:val="both"/>
        <w:rPr>
          <w:rFonts w:ascii="Times New Roman" w:hAnsi="Times New Roman" w:cs="Times New Roman"/>
        </w:rPr>
      </w:pPr>
      <w:r w:rsidRPr="00387232">
        <w:rPr>
          <w:rFonts w:ascii="Times New Roman" w:hAnsi="Times New Roman" w:cs="Times New Roman"/>
          <w:b/>
          <w:bCs/>
        </w:rPr>
        <w:t>Colombia,</w:t>
      </w:r>
      <w:r w:rsidRPr="00387232">
        <w:rPr>
          <w:rFonts w:ascii="Times New Roman" w:hAnsi="Times New Roman" w:cs="Times New Roman"/>
        </w:rPr>
        <w:t xml:space="preserve"> where civil organizations reported that healthcare providers have delayed abortion services disregarding government guidelines</w:t>
      </w:r>
      <w:r w:rsidRPr="00387232">
        <w:rPr>
          <w:rStyle w:val="EndnoteReference"/>
          <w:rFonts w:ascii="Times New Roman" w:hAnsi="Times New Roman" w:cs="Times New Roman"/>
        </w:rPr>
        <w:endnoteReference w:id="128"/>
      </w:r>
      <w:r w:rsidRPr="00387232">
        <w:rPr>
          <w:rFonts w:ascii="Times New Roman" w:hAnsi="Times New Roman" w:cs="Times New Roman"/>
        </w:rPr>
        <w:t>. As well, there are reports of obstacles for requesting abortion services</w:t>
      </w:r>
      <w:r w:rsidRPr="00387232">
        <w:rPr>
          <w:rStyle w:val="EndnoteReference"/>
          <w:rFonts w:ascii="Times New Roman" w:hAnsi="Times New Roman" w:cs="Times New Roman"/>
        </w:rPr>
        <w:endnoteReference w:id="129"/>
      </w:r>
      <w:r w:rsidRPr="00387232">
        <w:rPr>
          <w:rFonts w:ascii="Times New Roman" w:hAnsi="Times New Roman" w:cs="Times New Roman"/>
        </w:rPr>
        <w:t>.</w:t>
      </w:r>
    </w:p>
    <w:p w14:paraId="219F9CAA" w14:textId="77777777" w:rsidR="003931CA" w:rsidRPr="00387232" w:rsidRDefault="003931CA" w:rsidP="00387232">
      <w:pPr>
        <w:pStyle w:val="ListParagraph"/>
        <w:numPr>
          <w:ilvl w:val="0"/>
          <w:numId w:val="6"/>
        </w:numPr>
        <w:spacing w:after="160" w:line="259" w:lineRule="auto"/>
        <w:ind w:left="810"/>
        <w:contextualSpacing/>
        <w:jc w:val="both"/>
        <w:rPr>
          <w:rFonts w:ascii="Times New Roman" w:hAnsi="Times New Roman" w:cs="Times New Roman"/>
        </w:rPr>
      </w:pPr>
      <w:r w:rsidRPr="00387232">
        <w:rPr>
          <w:rFonts w:ascii="Times New Roman" w:hAnsi="Times New Roman" w:cs="Times New Roman"/>
          <w:b/>
          <w:bCs/>
        </w:rPr>
        <w:t xml:space="preserve">Costa Rica, </w:t>
      </w:r>
      <w:r w:rsidRPr="00387232">
        <w:rPr>
          <w:rFonts w:ascii="Times New Roman" w:hAnsi="Times New Roman" w:cs="Times New Roman"/>
        </w:rPr>
        <w:t xml:space="preserve">where our partners (ACCEDER) have received reports of women whose request for an abortion has been denied. </w:t>
      </w:r>
    </w:p>
    <w:p w14:paraId="0349EA9F" w14:textId="77777777" w:rsidR="003931CA" w:rsidRPr="00387232" w:rsidRDefault="003931CA" w:rsidP="00387232">
      <w:pPr>
        <w:pStyle w:val="ListParagraph"/>
        <w:numPr>
          <w:ilvl w:val="0"/>
          <w:numId w:val="6"/>
        </w:numPr>
        <w:spacing w:after="160" w:line="259" w:lineRule="auto"/>
        <w:ind w:left="810"/>
        <w:contextualSpacing/>
        <w:jc w:val="both"/>
        <w:rPr>
          <w:rFonts w:ascii="Times New Roman" w:hAnsi="Times New Roman" w:cs="Times New Roman"/>
        </w:rPr>
      </w:pPr>
      <w:r w:rsidRPr="00387232">
        <w:rPr>
          <w:rFonts w:ascii="Times New Roman" w:hAnsi="Times New Roman" w:cs="Times New Roman"/>
          <w:b/>
          <w:bCs/>
        </w:rPr>
        <w:lastRenderedPageBreak/>
        <w:t>Argentina</w:t>
      </w:r>
      <w:r w:rsidRPr="00387232">
        <w:rPr>
          <w:rFonts w:ascii="Times New Roman" w:hAnsi="Times New Roman" w:cs="Times New Roman"/>
        </w:rPr>
        <w:t xml:space="preserve">, where, even though at the national level and in the province of Buenos Aires abortion services have been deemed essential, other provinces </w:t>
      </w:r>
      <w:r w:rsidRPr="00387232">
        <w:rPr>
          <w:rFonts w:ascii="Times New Roman" w:eastAsia="Times New Roman" w:hAnsi="Times New Roman" w:cs="Times New Roman"/>
          <w:color w:val="000000"/>
          <w:lang w:eastAsia="es-ES_tradnl"/>
        </w:rPr>
        <w:t>have not implemented or addressed specific procedures for the compliance to the national recommendations</w:t>
      </w:r>
      <w:r w:rsidRPr="00387232">
        <w:rPr>
          <w:rStyle w:val="EndnoteReference"/>
          <w:rFonts w:ascii="Times New Roman" w:eastAsia="Times New Roman" w:hAnsi="Times New Roman" w:cs="Times New Roman"/>
          <w:color w:val="000000"/>
          <w:lang w:eastAsia="es-ES_tradnl"/>
        </w:rPr>
        <w:endnoteReference w:id="130"/>
      </w:r>
      <w:r w:rsidRPr="00387232">
        <w:rPr>
          <w:rFonts w:ascii="Times New Roman" w:eastAsia="Times New Roman" w:hAnsi="Times New Roman" w:cs="Times New Roman"/>
          <w:color w:val="000000"/>
          <w:lang w:eastAsia="es-ES_tradnl"/>
        </w:rPr>
        <w:t>.</w:t>
      </w:r>
    </w:p>
    <w:p w14:paraId="45BA8677" w14:textId="77777777" w:rsidR="003931CA" w:rsidRPr="00387232" w:rsidRDefault="003931CA" w:rsidP="00387232">
      <w:pPr>
        <w:pStyle w:val="ListParagraph"/>
        <w:ind w:left="630"/>
        <w:jc w:val="both"/>
        <w:rPr>
          <w:rFonts w:ascii="Times New Roman" w:hAnsi="Times New Roman" w:cs="Times New Roman"/>
        </w:rPr>
      </w:pPr>
    </w:p>
    <w:p w14:paraId="1FC55F9F" w14:textId="77777777" w:rsidR="003931CA" w:rsidRPr="00387232" w:rsidRDefault="003931CA" w:rsidP="00387232">
      <w:pPr>
        <w:pStyle w:val="ListParagraph"/>
        <w:numPr>
          <w:ilvl w:val="0"/>
          <w:numId w:val="2"/>
        </w:numPr>
        <w:shd w:val="clear" w:color="auto" w:fill="D9E2F3" w:themeFill="accent1" w:themeFillTint="33"/>
        <w:spacing w:after="160" w:line="259" w:lineRule="auto"/>
        <w:ind w:left="0"/>
        <w:contextualSpacing/>
        <w:jc w:val="both"/>
        <w:rPr>
          <w:rFonts w:ascii="Times New Roman" w:hAnsi="Times New Roman" w:cs="Times New Roman"/>
          <w:b/>
          <w:bCs/>
        </w:rPr>
      </w:pPr>
      <w:r w:rsidRPr="00387232">
        <w:rPr>
          <w:rFonts w:ascii="Times New Roman" w:hAnsi="Times New Roman" w:cs="Times New Roman"/>
          <w:b/>
          <w:bCs/>
        </w:rPr>
        <w:t>Lack of access or deficient maternal healthcare</w:t>
      </w:r>
    </w:p>
    <w:p w14:paraId="71F21FD0" w14:textId="77777777" w:rsidR="003931CA" w:rsidRPr="00387232" w:rsidRDefault="003931CA" w:rsidP="00387232">
      <w:pPr>
        <w:pStyle w:val="ListParagraph"/>
        <w:jc w:val="both"/>
        <w:rPr>
          <w:rFonts w:ascii="Times New Roman" w:hAnsi="Times New Roman" w:cs="Times New Roman"/>
        </w:rPr>
      </w:pPr>
    </w:p>
    <w:p w14:paraId="70BB7295" w14:textId="77777777" w:rsidR="003931CA" w:rsidRPr="00387232" w:rsidRDefault="003931CA" w:rsidP="00387232">
      <w:pPr>
        <w:pStyle w:val="ListParagraph"/>
        <w:numPr>
          <w:ilvl w:val="0"/>
          <w:numId w:val="5"/>
        </w:numPr>
        <w:ind w:left="360"/>
        <w:contextualSpacing/>
        <w:jc w:val="both"/>
        <w:rPr>
          <w:rFonts w:ascii="Times New Roman" w:hAnsi="Times New Roman" w:cs="Times New Roman"/>
        </w:rPr>
      </w:pPr>
      <w:r w:rsidRPr="00387232">
        <w:rPr>
          <w:rFonts w:ascii="Times New Roman" w:hAnsi="Times New Roman" w:cs="Times New Roman"/>
        </w:rPr>
        <w:t>In LAC, maternal healthcare has been de-prioritized due to the COVID pandemic, limiting prenatal, delivery and postnatal care and exposing women to the risk of contagion.  The CIM has reported that “[a]s part of the general measures to limit contact, several countries have prohibited the entry of midwives, partners and other family members during childbirth/postpartum, which leaves women in a situation of isolation. Other women are opting for home births, but not necessarily with the appropriate conditions to face them”</w:t>
      </w:r>
      <w:r w:rsidRPr="00387232">
        <w:rPr>
          <w:rStyle w:val="EndnoteReference"/>
          <w:rFonts w:ascii="Times New Roman" w:hAnsi="Times New Roman" w:cs="Times New Roman"/>
        </w:rPr>
        <w:endnoteReference w:id="131"/>
      </w:r>
      <w:r w:rsidRPr="00387232">
        <w:rPr>
          <w:rFonts w:ascii="Times New Roman" w:hAnsi="Times New Roman" w:cs="Times New Roman"/>
        </w:rPr>
        <w:t>.</w:t>
      </w:r>
    </w:p>
    <w:p w14:paraId="6227C06D" w14:textId="77777777" w:rsidR="003931CA" w:rsidRPr="00387232" w:rsidRDefault="003931CA" w:rsidP="00387232">
      <w:pPr>
        <w:pStyle w:val="ListParagraph"/>
        <w:numPr>
          <w:ilvl w:val="0"/>
          <w:numId w:val="5"/>
        </w:numPr>
        <w:ind w:left="360"/>
        <w:contextualSpacing/>
        <w:jc w:val="both"/>
        <w:rPr>
          <w:rFonts w:ascii="Times New Roman" w:hAnsi="Times New Roman" w:cs="Times New Roman"/>
        </w:rPr>
      </w:pPr>
      <w:r w:rsidRPr="00387232">
        <w:rPr>
          <w:rFonts w:ascii="Times New Roman" w:hAnsi="Times New Roman" w:cs="Times New Roman"/>
        </w:rPr>
        <w:t>We have seen this in:</w:t>
      </w:r>
    </w:p>
    <w:p w14:paraId="2A0E1102" w14:textId="77777777" w:rsidR="003931CA" w:rsidRPr="00387232" w:rsidRDefault="003931CA" w:rsidP="00387232">
      <w:pPr>
        <w:pStyle w:val="ListParagraph"/>
        <w:numPr>
          <w:ilvl w:val="0"/>
          <w:numId w:val="9"/>
        </w:numPr>
        <w:ind w:left="810"/>
        <w:contextualSpacing/>
        <w:jc w:val="both"/>
        <w:rPr>
          <w:rFonts w:ascii="Times New Roman" w:hAnsi="Times New Roman" w:cs="Times New Roman"/>
        </w:rPr>
      </w:pPr>
      <w:r w:rsidRPr="00387232">
        <w:rPr>
          <w:rFonts w:ascii="Times New Roman" w:hAnsi="Times New Roman" w:cs="Times New Roman"/>
          <w:b/>
          <w:bCs/>
        </w:rPr>
        <w:t>Chile</w:t>
      </w:r>
      <w:r w:rsidRPr="00387232">
        <w:rPr>
          <w:rFonts w:ascii="Times New Roman" w:hAnsi="Times New Roman" w:cs="Times New Roman"/>
        </w:rPr>
        <w:t>, where midwives’ associations have reported that the official guidelines and protocols for healthcare during COVID-19 ignore maternal healthcare. Especially, they reported that those guidelines do not address the possibility for home visits to provide prenatal and birth care services</w:t>
      </w:r>
      <w:r w:rsidRPr="00387232">
        <w:rPr>
          <w:rStyle w:val="EndnoteReference"/>
          <w:rFonts w:ascii="Times New Roman" w:hAnsi="Times New Roman" w:cs="Times New Roman"/>
        </w:rPr>
        <w:endnoteReference w:id="132"/>
      </w:r>
      <w:r w:rsidRPr="00387232">
        <w:rPr>
          <w:rFonts w:ascii="Times New Roman" w:hAnsi="Times New Roman" w:cs="Times New Roman"/>
        </w:rPr>
        <w:t xml:space="preserve">. </w:t>
      </w:r>
    </w:p>
    <w:p w14:paraId="78AF336B" w14:textId="77777777" w:rsidR="003931CA" w:rsidRPr="00387232" w:rsidRDefault="003931CA" w:rsidP="00387232">
      <w:pPr>
        <w:pStyle w:val="ListParagraph"/>
        <w:numPr>
          <w:ilvl w:val="0"/>
          <w:numId w:val="9"/>
        </w:numPr>
        <w:ind w:left="810"/>
        <w:contextualSpacing/>
        <w:jc w:val="both"/>
        <w:rPr>
          <w:rFonts w:ascii="Times New Roman" w:hAnsi="Times New Roman" w:cs="Times New Roman"/>
        </w:rPr>
      </w:pPr>
      <w:r w:rsidRPr="00387232">
        <w:rPr>
          <w:rFonts w:ascii="Times New Roman" w:hAnsi="Times New Roman" w:cs="Times New Roman"/>
          <w:b/>
          <w:bCs/>
        </w:rPr>
        <w:t>Peru</w:t>
      </w:r>
      <w:r w:rsidRPr="00387232">
        <w:rPr>
          <w:rFonts w:ascii="Times New Roman" w:hAnsi="Times New Roman" w:cs="Times New Roman"/>
        </w:rPr>
        <w:t>, where public hospitals have implemented procedures, intended to prevent COVID-19 transmission, that subdue women to the burden of giving birth alone</w:t>
      </w:r>
      <w:r w:rsidRPr="00387232">
        <w:rPr>
          <w:rStyle w:val="EndnoteReference"/>
          <w:rFonts w:ascii="Times New Roman" w:hAnsi="Times New Roman" w:cs="Times New Roman"/>
        </w:rPr>
        <w:endnoteReference w:id="133"/>
      </w:r>
      <w:r w:rsidRPr="00387232">
        <w:rPr>
          <w:rFonts w:ascii="Times New Roman" w:hAnsi="Times New Roman" w:cs="Times New Roman"/>
        </w:rPr>
        <w:t>. As well, it has been reported that prenatal and postnatal controls have been limited</w:t>
      </w:r>
      <w:r w:rsidRPr="00387232">
        <w:rPr>
          <w:rStyle w:val="EndnoteReference"/>
          <w:rFonts w:ascii="Times New Roman" w:hAnsi="Times New Roman" w:cs="Times New Roman"/>
        </w:rPr>
        <w:endnoteReference w:id="134"/>
      </w:r>
      <w:r w:rsidRPr="00387232">
        <w:rPr>
          <w:rFonts w:ascii="Times New Roman" w:hAnsi="Times New Roman" w:cs="Times New Roman"/>
        </w:rPr>
        <w:t>. Finally, our partners (Promsex) have reported that due to the lack of maternal healthcare measures, pregnant women are exposed to the risk of contagion particularly because there is no other option to access to sexual and reproductive health than going to public hospitals (where the risk of infection is higher).</w:t>
      </w:r>
    </w:p>
    <w:p w14:paraId="74548AD3" w14:textId="77777777" w:rsidR="003931CA" w:rsidRPr="00387232" w:rsidRDefault="003931CA" w:rsidP="00387232">
      <w:pPr>
        <w:pStyle w:val="ListParagraph"/>
        <w:numPr>
          <w:ilvl w:val="0"/>
          <w:numId w:val="9"/>
        </w:numPr>
        <w:ind w:left="810"/>
        <w:contextualSpacing/>
        <w:jc w:val="both"/>
        <w:rPr>
          <w:rFonts w:ascii="Times New Roman" w:hAnsi="Times New Roman" w:cs="Times New Roman"/>
          <w:b/>
          <w:bCs/>
        </w:rPr>
      </w:pPr>
      <w:r w:rsidRPr="00387232">
        <w:rPr>
          <w:rFonts w:ascii="Times New Roman" w:hAnsi="Times New Roman" w:cs="Times New Roman"/>
          <w:b/>
          <w:bCs/>
        </w:rPr>
        <w:t>Honduras</w:t>
      </w:r>
      <w:r w:rsidRPr="00387232">
        <w:rPr>
          <w:rFonts w:ascii="Times New Roman" w:hAnsi="Times New Roman" w:cs="Times New Roman"/>
        </w:rPr>
        <w:t xml:space="preserve">, where our partners (CDM) reported that the access to prenatal care have been denied, even in high-risk pregnancies. </w:t>
      </w:r>
    </w:p>
    <w:p w14:paraId="6A5EC3B3" w14:textId="77777777" w:rsidR="003931CA" w:rsidRPr="00387232" w:rsidRDefault="003931CA" w:rsidP="00387232">
      <w:pPr>
        <w:pStyle w:val="ListParagraph"/>
        <w:ind w:left="0"/>
        <w:jc w:val="both"/>
        <w:rPr>
          <w:rFonts w:ascii="Times New Roman" w:hAnsi="Times New Roman" w:cs="Times New Roman"/>
        </w:rPr>
      </w:pPr>
    </w:p>
    <w:p w14:paraId="50869E64" w14:textId="77777777" w:rsidR="003931CA" w:rsidRPr="00387232" w:rsidRDefault="003931CA" w:rsidP="00387232">
      <w:pPr>
        <w:pStyle w:val="ListParagraph"/>
        <w:numPr>
          <w:ilvl w:val="0"/>
          <w:numId w:val="2"/>
        </w:numPr>
        <w:shd w:val="clear" w:color="auto" w:fill="D9E2F3" w:themeFill="accent1" w:themeFillTint="33"/>
        <w:spacing w:after="160" w:line="259" w:lineRule="auto"/>
        <w:ind w:left="0"/>
        <w:contextualSpacing/>
        <w:jc w:val="both"/>
        <w:rPr>
          <w:rFonts w:ascii="Times New Roman" w:hAnsi="Times New Roman" w:cs="Times New Roman"/>
          <w:b/>
          <w:bCs/>
        </w:rPr>
      </w:pPr>
      <w:r w:rsidRPr="00387232">
        <w:rPr>
          <w:rFonts w:ascii="Times New Roman" w:hAnsi="Times New Roman" w:cs="Times New Roman"/>
          <w:b/>
          <w:bCs/>
        </w:rPr>
        <w:t>Criminalization of women for reproductive health related complications</w:t>
      </w:r>
    </w:p>
    <w:p w14:paraId="57773F8A" w14:textId="77777777" w:rsidR="003931CA" w:rsidRPr="00387232" w:rsidRDefault="003931CA" w:rsidP="00387232">
      <w:pPr>
        <w:pStyle w:val="ListParagraph"/>
        <w:ind w:left="360"/>
        <w:jc w:val="both"/>
        <w:rPr>
          <w:rFonts w:ascii="Times New Roman" w:hAnsi="Times New Roman" w:cs="Times New Roman"/>
        </w:rPr>
      </w:pPr>
    </w:p>
    <w:p w14:paraId="14CD697A" w14:textId="77777777" w:rsidR="003931CA" w:rsidRPr="00387232" w:rsidRDefault="003931CA" w:rsidP="00387232">
      <w:pPr>
        <w:pStyle w:val="ListParagraph"/>
        <w:numPr>
          <w:ilvl w:val="0"/>
          <w:numId w:val="5"/>
        </w:numPr>
        <w:ind w:left="360"/>
        <w:contextualSpacing/>
        <w:jc w:val="both"/>
        <w:rPr>
          <w:rFonts w:ascii="Times New Roman" w:hAnsi="Times New Roman" w:cs="Times New Roman"/>
        </w:rPr>
      </w:pPr>
      <w:r w:rsidRPr="00387232">
        <w:rPr>
          <w:rFonts w:ascii="Times New Roman" w:hAnsi="Times New Roman" w:cs="Times New Roman"/>
        </w:rPr>
        <w:t xml:space="preserve">In LAC countries, were abortion is still totally or partially criminalized, the prosecution of women who suffered obstetric emergencies or pregnancies complications has continued even in the emergency context. This has led to the denial of health treatment and the increase of morbidity rate. </w:t>
      </w:r>
    </w:p>
    <w:p w14:paraId="275426B8" w14:textId="77777777" w:rsidR="003931CA" w:rsidRPr="00387232" w:rsidRDefault="003931CA" w:rsidP="00387232">
      <w:pPr>
        <w:pStyle w:val="ListParagraph"/>
        <w:numPr>
          <w:ilvl w:val="0"/>
          <w:numId w:val="3"/>
        </w:numPr>
        <w:spacing w:line="276" w:lineRule="auto"/>
        <w:contextualSpacing/>
        <w:jc w:val="both"/>
        <w:rPr>
          <w:rFonts w:ascii="Times New Roman" w:hAnsi="Times New Roman" w:cs="Times New Roman"/>
        </w:rPr>
      </w:pPr>
      <w:r w:rsidRPr="00387232">
        <w:rPr>
          <w:rFonts w:ascii="Times New Roman" w:hAnsi="Times New Roman" w:cs="Times New Roman"/>
        </w:rPr>
        <w:t xml:space="preserve">In </w:t>
      </w:r>
      <w:r w:rsidRPr="00387232">
        <w:rPr>
          <w:rFonts w:ascii="Times New Roman" w:hAnsi="Times New Roman" w:cs="Times New Roman"/>
          <w:b/>
          <w:bCs/>
        </w:rPr>
        <w:t>Ecuador</w:t>
      </w:r>
      <w:r w:rsidRPr="00387232">
        <w:rPr>
          <w:rFonts w:ascii="Times New Roman" w:hAnsi="Times New Roman" w:cs="Times New Roman"/>
        </w:rPr>
        <w:t xml:space="preserve">, there are reports that a woman was </w:t>
      </w:r>
      <w:r w:rsidRPr="00387232">
        <w:rPr>
          <w:rFonts w:ascii="Times New Roman" w:hAnsi="Times New Roman" w:cs="Times New Roman"/>
          <w:b/>
          <w:bCs/>
        </w:rPr>
        <w:t>accused and prosecuted for the crime of abortion</w:t>
      </w:r>
      <w:r w:rsidRPr="00387232">
        <w:rPr>
          <w:rFonts w:ascii="Times New Roman" w:hAnsi="Times New Roman" w:cs="Times New Roman"/>
        </w:rPr>
        <w:t xml:space="preserve"> when she arrived at the Hospital with hemorrhages</w:t>
      </w:r>
      <w:r w:rsidRPr="00387232">
        <w:rPr>
          <w:rStyle w:val="EndnoteReference"/>
          <w:rFonts w:ascii="Times New Roman" w:hAnsi="Times New Roman" w:cs="Times New Roman"/>
        </w:rPr>
        <w:endnoteReference w:id="135"/>
      </w:r>
      <w:r w:rsidRPr="00387232">
        <w:rPr>
          <w:rFonts w:ascii="Times New Roman" w:hAnsi="Times New Roman" w:cs="Times New Roman"/>
        </w:rPr>
        <w:t>.</w:t>
      </w:r>
    </w:p>
    <w:p w14:paraId="625E1990" w14:textId="77777777" w:rsidR="003931CA" w:rsidRPr="00387232" w:rsidRDefault="003931CA" w:rsidP="00387232">
      <w:pPr>
        <w:pStyle w:val="ListParagraph"/>
        <w:ind w:left="0"/>
        <w:jc w:val="both"/>
        <w:rPr>
          <w:rFonts w:ascii="Times New Roman" w:hAnsi="Times New Roman" w:cs="Times New Roman"/>
          <w:b/>
          <w:bCs/>
        </w:rPr>
      </w:pPr>
    </w:p>
    <w:p w14:paraId="4F079668" w14:textId="77777777" w:rsidR="003931CA" w:rsidRPr="00387232" w:rsidRDefault="003931CA" w:rsidP="00387232">
      <w:pPr>
        <w:pStyle w:val="ListParagraph"/>
        <w:numPr>
          <w:ilvl w:val="0"/>
          <w:numId w:val="2"/>
        </w:numPr>
        <w:shd w:val="clear" w:color="auto" w:fill="D9E2F3" w:themeFill="accent1" w:themeFillTint="33"/>
        <w:spacing w:after="160" w:line="259" w:lineRule="auto"/>
        <w:ind w:left="0"/>
        <w:contextualSpacing/>
        <w:jc w:val="both"/>
        <w:rPr>
          <w:rFonts w:ascii="Times New Roman" w:hAnsi="Times New Roman" w:cs="Times New Roman"/>
          <w:b/>
          <w:bCs/>
        </w:rPr>
      </w:pPr>
      <w:r w:rsidRPr="00387232">
        <w:rPr>
          <w:rFonts w:ascii="Times New Roman" w:hAnsi="Times New Roman" w:cs="Times New Roman"/>
          <w:b/>
          <w:bCs/>
        </w:rPr>
        <w:t xml:space="preserve">Particular vulnerabilities of certain categories of women </w:t>
      </w:r>
    </w:p>
    <w:p w14:paraId="7121FF9A" w14:textId="77777777" w:rsidR="003931CA" w:rsidRPr="00387232" w:rsidRDefault="003931CA" w:rsidP="00387232">
      <w:pPr>
        <w:pStyle w:val="ListParagraph"/>
        <w:ind w:left="0"/>
        <w:jc w:val="both"/>
        <w:rPr>
          <w:rFonts w:ascii="Times New Roman" w:hAnsi="Times New Roman" w:cs="Times New Roman"/>
        </w:rPr>
      </w:pPr>
    </w:p>
    <w:p w14:paraId="40579F65" w14:textId="77777777" w:rsidR="003931CA" w:rsidRPr="00387232" w:rsidRDefault="003931CA" w:rsidP="00387232">
      <w:pPr>
        <w:pStyle w:val="ListParagraph"/>
        <w:numPr>
          <w:ilvl w:val="0"/>
          <w:numId w:val="5"/>
        </w:numPr>
        <w:spacing w:after="160" w:line="259" w:lineRule="auto"/>
        <w:ind w:left="0"/>
        <w:contextualSpacing/>
        <w:jc w:val="both"/>
        <w:rPr>
          <w:rFonts w:ascii="Times New Roman" w:hAnsi="Times New Roman" w:cs="Times New Roman"/>
        </w:rPr>
      </w:pPr>
      <w:r w:rsidRPr="00387232">
        <w:rPr>
          <w:rFonts w:ascii="Times New Roman" w:hAnsi="Times New Roman" w:cs="Times New Roman"/>
        </w:rPr>
        <w:t>In the region, women who are deprived of liberty and women who are health workers have been uniquely impacted by COVID by being exposed to the virus and not being guaranteed their basic necessities</w:t>
      </w:r>
      <w:r w:rsidRPr="00387232">
        <w:rPr>
          <w:rStyle w:val="EndnoteReference"/>
          <w:rFonts w:ascii="Times New Roman" w:hAnsi="Times New Roman" w:cs="Times New Roman"/>
        </w:rPr>
        <w:endnoteReference w:id="136"/>
      </w:r>
      <w:r w:rsidRPr="00387232">
        <w:rPr>
          <w:rFonts w:ascii="Times New Roman" w:hAnsi="Times New Roman" w:cs="Times New Roman"/>
        </w:rPr>
        <w:t xml:space="preserve">.  </w:t>
      </w:r>
    </w:p>
    <w:p w14:paraId="7C8AC79F" w14:textId="77777777" w:rsidR="003931CA" w:rsidRPr="00387232" w:rsidRDefault="003931CA" w:rsidP="00387232">
      <w:pPr>
        <w:pStyle w:val="ListParagraph"/>
        <w:numPr>
          <w:ilvl w:val="0"/>
          <w:numId w:val="10"/>
        </w:numPr>
        <w:spacing w:after="160" w:line="276" w:lineRule="auto"/>
        <w:contextualSpacing/>
        <w:jc w:val="both"/>
        <w:rPr>
          <w:rFonts w:ascii="Times New Roman" w:hAnsi="Times New Roman" w:cs="Times New Roman"/>
        </w:rPr>
      </w:pPr>
      <w:r w:rsidRPr="00387232">
        <w:rPr>
          <w:rFonts w:ascii="Times New Roman" w:hAnsi="Times New Roman" w:cs="Times New Roman"/>
          <w:color w:val="000000" w:themeColor="text1"/>
        </w:rPr>
        <w:t xml:space="preserve">In </w:t>
      </w:r>
      <w:r w:rsidRPr="00387232">
        <w:rPr>
          <w:rFonts w:ascii="Times New Roman" w:hAnsi="Times New Roman" w:cs="Times New Roman"/>
          <w:b/>
          <w:bCs/>
          <w:color w:val="000000" w:themeColor="text1"/>
        </w:rPr>
        <w:t>Ecuador</w:t>
      </w:r>
      <w:r w:rsidRPr="00387232">
        <w:rPr>
          <w:rFonts w:ascii="Times New Roman" w:hAnsi="Times New Roman" w:cs="Times New Roman"/>
          <w:color w:val="000000" w:themeColor="text1"/>
        </w:rPr>
        <w:t>, our partners (Surkuna) have reported that women who are medical professionals and are pregnant are not allowed to stop working, despite of their vulnerability and the State obligation to guarantee their fundamental rights</w:t>
      </w:r>
      <w:r w:rsidRPr="00387232">
        <w:rPr>
          <w:rStyle w:val="EndnoteReference"/>
          <w:rFonts w:ascii="Times New Roman" w:hAnsi="Times New Roman" w:cs="Times New Roman"/>
          <w:color w:val="000000" w:themeColor="text1"/>
        </w:rPr>
        <w:endnoteReference w:id="137"/>
      </w:r>
      <w:r w:rsidRPr="00387232">
        <w:rPr>
          <w:rFonts w:ascii="Times New Roman" w:hAnsi="Times New Roman" w:cs="Times New Roman"/>
          <w:color w:val="000000" w:themeColor="text1"/>
        </w:rPr>
        <w:t>.</w:t>
      </w:r>
    </w:p>
    <w:p w14:paraId="7319081C" w14:textId="3ADA7CA6" w:rsidR="003931CA" w:rsidRDefault="003931CA" w:rsidP="00387232">
      <w:pPr>
        <w:pStyle w:val="ListParagraph"/>
        <w:numPr>
          <w:ilvl w:val="0"/>
          <w:numId w:val="10"/>
        </w:numPr>
        <w:spacing w:after="160" w:line="276" w:lineRule="auto"/>
        <w:contextualSpacing/>
        <w:jc w:val="both"/>
        <w:rPr>
          <w:rFonts w:ascii="Times New Roman" w:hAnsi="Times New Roman" w:cs="Times New Roman"/>
        </w:rPr>
      </w:pPr>
      <w:r w:rsidRPr="00387232">
        <w:rPr>
          <w:rFonts w:ascii="Times New Roman" w:hAnsi="Times New Roman" w:cs="Times New Roman"/>
        </w:rPr>
        <w:t xml:space="preserve">In </w:t>
      </w:r>
      <w:r w:rsidRPr="00387232">
        <w:rPr>
          <w:rFonts w:ascii="Times New Roman" w:hAnsi="Times New Roman" w:cs="Times New Roman"/>
          <w:b/>
          <w:bCs/>
        </w:rPr>
        <w:t xml:space="preserve">El Salvador, </w:t>
      </w:r>
      <w:r w:rsidRPr="00387232">
        <w:rPr>
          <w:rFonts w:ascii="Times New Roman" w:hAnsi="Times New Roman" w:cs="Times New Roman"/>
        </w:rPr>
        <w:t>women who have been arbitrary imprisoned are facing shortenings in their basic hygiene commodities</w:t>
      </w:r>
      <w:r w:rsidRPr="00387232">
        <w:rPr>
          <w:rStyle w:val="EndnoteReference"/>
          <w:rFonts w:ascii="Times New Roman" w:hAnsi="Times New Roman" w:cs="Times New Roman"/>
        </w:rPr>
        <w:endnoteReference w:id="138"/>
      </w:r>
      <w:r w:rsidRPr="00387232">
        <w:rPr>
          <w:rFonts w:ascii="Times New Roman" w:hAnsi="Times New Roman" w:cs="Times New Roman"/>
        </w:rPr>
        <w:t xml:space="preserve"> and are exposed to a higher risk of contagion due to prison overcrowding.  </w:t>
      </w:r>
    </w:p>
    <w:p w14:paraId="6AECBB0D" w14:textId="1F0B9A1F" w:rsidR="000730B3" w:rsidRDefault="000730B3">
      <w:pPr>
        <w:rPr>
          <w:rFonts w:ascii="Times New Roman" w:hAnsi="Times New Roman" w:cs="Times New Roman"/>
        </w:rPr>
      </w:pPr>
      <w:r>
        <w:rPr>
          <w:rFonts w:ascii="Times New Roman" w:hAnsi="Times New Roman" w:cs="Times New Roman"/>
        </w:rPr>
        <w:br w:type="page"/>
      </w:r>
    </w:p>
    <w:p w14:paraId="1B2455E8" w14:textId="0FEF43C7" w:rsidR="000730B3" w:rsidRDefault="00E55846" w:rsidP="00E55846">
      <w:pPr>
        <w:spacing w:line="276" w:lineRule="auto"/>
        <w:contextualSpacing/>
        <w:jc w:val="both"/>
        <w:rPr>
          <w:rFonts w:ascii="Times New Roman" w:hAnsi="Times New Roman" w:cs="Times New Roman"/>
          <w:lang w:val="en-US"/>
        </w:rPr>
      </w:pPr>
      <w:r>
        <w:rPr>
          <w:rFonts w:ascii="Times New Roman" w:hAnsi="Times New Roman" w:cs="Times New Roman"/>
          <w:lang w:val="en-US"/>
        </w:rPr>
        <w:lastRenderedPageBreak/>
        <w:t>Annex II</w:t>
      </w:r>
    </w:p>
    <w:p w14:paraId="6C0F55DC" w14:textId="77777777" w:rsidR="00E55846" w:rsidRPr="00BF5CF7" w:rsidRDefault="00E55846" w:rsidP="00BF5CF7">
      <w:pPr>
        <w:contextualSpacing/>
        <w:jc w:val="both"/>
        <w:rPr>
          <w:rFonts w:ascii="Times New Roman" w:hAnsi="Times New Roman" w:cs="Times New Roman"/>
          <w:b/>
          <w:bCs/>
          <w:u w:val="single"/>
        </w:rPr>
      </w:pPr>
      <w:r w:rsidRPr="00BF5CF7">
        <w:rPr>
          <w:rFonts w:ascii="Times New Roman" w:hAnsi="Times New Roman" w:cs="Times New Roman"/>
          <w:b/>
          <w:bCs/>
          <w:u w:val="single"/>
          <w:lang w:val="en-US"/>
        </w:rPr>
        <w:t xml:space="preserve">Regional example - </w:t>
      </w:r>
      <w:r w:rsidRPr="00BF5CF7">
        <w:rPr>
          <w:rFonts w:ascii="Times New Roman" w:hAnsi="Times New Roman" w:cs="Times New Roman"/>
          <w:b/>
          <w:bCs/>
          <w:u w:val="single"/>
        </w:rPr>
        <w:t>Kenya: JMM’s Story</w:t>
      </w:r>
    </w:p>
    <w:p w14:paraId="235DC44C" w14:textId="77777777" w:rsidR="00E55846" w:rsidRPr="00387232" w:rsidRDefault="00E55846" w:rsidP="00E55846">
      <w:pPr>
        <w:pStyle w:val="NormalWeb"/>
        <w:shd w:val="clear" w:color="auto" w:fill="FFFFFF"/>
        <w:jc w:val="both"/>
        <w:rPr>
          <w:color w:val="231F20"/>
          <w:sz w:val="22"/>
          <w:szCs w:val="22"/>
        </w:rPr>
      </w:pPr>
      <w:r w:rsidRPr="00387232">
        <w:rPr>
          <w:color w:val="231F20"/>
          <w:sz w:val="22"/>
          <w:szCs w:val="22"/>
        </w:rPr>
        <w:t>In Kenya, abortion is allowed only when the life and health of the</w:t>
      </w:r>
      <w:r w:rsidRPr="00387232">
        <w:rPr>
          <w:color w:val="231F20"/>
          <w:sz w:val="22"/>
          <w:szCs w:val="22"/>
          <w:lang w:val="en-US"/>
        </w:rPr>
        <w:t xml:space="preserve"> pregnant woman or adolescent</w:t>
      </w:r>
      <w:r w:rsidRPr="00387232">
        <w:rPr>
          <w:color w:val="231F20"/>
          <w:sz w:val="22"/>
          <w:szCs w:val="22"/>
        </w:rPr>
        <w:t xml:space="preserve"> is at risk or in when a trained medical professional believes the situation to be an emergency. Due to intense stigma and shame surrounding abortion, women are forced to seek clandestine care from untrained health providers. Approximately a quarter of the estimated 465,000 illegal abortions that women seek out in Kenya each year result in severe complications and hospitalizations. Thousands of women and girls are injured for life—or do not survive. </w:t>
      </w:r>
      <w:r w:rsidRPr="00387232">
        <w:rPr>
          <w:rStyle w:val="EndnoteReference"/>
          <w:color w:val="231F20"/>
          <w:sz w:val="22"/>
          <w:szCs w:val="22"/>
        </w:rPr>
        <w:endnoteReference w:id="139"/>
      </w:r>
    </w:p>
    <w:p w14:paraId="5F405653" w14:textId="77777777" w:rsidR="00E55846" w:rsidRPr="00387232" w:rsidRDefault="00E55846" w:rsidP="00E55846">
      <w:pPr>
        <w:pStyle w:val="NormalWeb"/>
        <w:shd w:val="clear" w:color="auto" w:fill="FFFFFF"/>
        <w:jc w:val="both"/>
        <w:rPr>
          <w:color w:val="231F20"/>
          <w:sz w:val="22"/>
          <w:szCs w:val="22"/>
          <w:lang w:val="en-US"/>
        </w:rPr>
      </w:pPr>
      <w:r w:rsidRPr="00387232">
        <w:rPr>
          <w:color w:val="231F20"/>
          <w:sz w:val="22"/>
          <w:szCs w:val="22"/>
        </w:rPr>
        <w:t xml:space="preserve">When she was just 14, </w:t>
      </w:r>
      <w:r w:rsidRPr="00387232">
        <w:rPr>
          <w:color w:val="231F20"/>
          <w:sz w:val="22"/>
          <w:szCs w:val="22"/>
          <w:lang w:val="en-US"/>
        </w:rPr>
        <w:t>JMM</w:t>
      </w:r>
      <w:r w:rsidRPr="00387232">
        <w:rPr>
          <w:color w:val="231F20"/>
          <w:sz w:val="22"/>
          <w:szCs w:val="22"/>
        </w:rPr>
        <w:t xml:space="preserve"> was coerced into a sexual relationship with an older man in her village and later discovered that she was pregnant. Abortion is stigmatized in Kenya and Wanjiku found herself in a desperate situation</w:t>
      </w:r>
      <w:r w:rsidRPr="00387232">
        <w:rPr>
          <w:color w:val="231F20"/>
          <w:sz w:val="22"/>
          <w:szCs w:val="22"/>
          <w:lang w:val="en-US"/>
        </w:rPr>
        <w:t xml:space="preserve">. </w:t>
      </w:r>
    </w:p>
    <w:p w14:paraId="423C8944" w14:textId="77777777" w:rsidR="00E55846" w:rsidRPr="00387232" w:rsidRDefault="00E55846" w:rsidP="00E55846">
      <w:pPr>
        <w:pStyle w:val="NormalWeb"/>
        <w:shd w:val="clear" w:color="auto" w:fill="FFFFFF"/>
        <w:jc w:val="both"/>
        <w:rPr>
          <w:color w:val="231F20"/>
          <w:sz w:val="22"/>
          <w:szCs w:val="22"/>
          <w:lang w:val="en-US"/>
        </w:rPr>
      </w:pPr>
      <w:r w:rsidRPr="00387232">
        <w:rPr>
          <w:color w:val="231F20"/>
          <w:sz w:val="22"/>
          <w:szCs w:val="22"/>
        </w:rPr>
        <w:t xml:space="preserve">Like many other women and girls who find themselves in this position, </w:t>
      </w:r>
      <w:r w:rsidRPr="00387232">
        <w:rPr>
          <w:color w:val="231F20"/>
          <w:sz w:val="22"/>
          <w:szCs w:val="22"/>
          <w:lang w:val="en-US"/>
        </w:rPr>
        <w:t>JMM</w:t>
      </w:r>
      <w:r w:rsidRPr="00387232">
        <w:rPr>
          <w:color w:val="231F20"/>
          <w:sz w:val="22"/>
          <w:szCs w:val="22"/>
        </w:rPr>
        <w:t xml:space="preserve"> sought abortion care from an unqualified provider. She became ill almost immediately after the procedure and required immediate medical attention. Instead, she had to visit multiple hospitals that could not provide the necessary services. When she finally did find a qualified facility, she was neglected, abused, and forced to sleep on a mattress on the dirty hospital floor during her stay.   </w:t>
      </w:r>
    </w:p>
    <w:p w14:paraId="276ACAC0" w14:textId="77777777" w:rsidR="00E55846" w:rsidRPr="00387232" w:rsidRDefault="00E55846" w:rsidP="00E55846">
      <w:pPr>
        <w:pStyle w:val="NormalWeb"/>
        <w:shd w:val="clear" w:color="auto" w:fill="FFFFFF"/>
        <w:jc w:val="both"/>
        <w:rPr>
          <w:color w:val="231F20"/>
          <w:sz w:val="22"/>
          <w:szCs w:val="22"/>
          <w:lang w:val="en-US"/>
        </w:rPr>
      </w:pPr>
      <w:r w:rsidRPr="00387232">
        <w:rPr>
          <w:color w:val="231F20"/>
          <w:sz w:val="22"/>
          <w:szCs w:val="22"/>
        </w:rPr>
        <w:t xml:space="preserve">In 2015, the Center for Reproductive Rights filed a petition to hold the government accountable </w:t>
      </w:r>
      <w:r w:rsidRPr="00387232">
        <w:rPr>
          <w:color w:val="231F20"/>
          <w:sz w:val="22"/>
          <w:szCs w:val="22"/>
          <w:lang w:val="en-US"/>
        </w:rPr>
        <w:t>for its failure to respect, protect and fulfill JMM’s rights.</w:t>
      </w:r>
      <w:r w:rsidRPr="00387232">
        <w:rPr>
          <w:rStyle w:val="EndnoteReference"/>
          <w:color w:val="231F20"/>
          <w:sz w:val="22"/>
          <w:szCs w:val="22"/>
          <w:lang w:val="en-US"/>
        </w:rPr>
        <w:endnoteReference w:id="140"/>
      </w:r>
      <w:r w:rsidRPr="00387232">
        <w:rPr>
          <w:color w:val="231F20"/>
          <w:sz w:val="22"/>
          <w:szCs w:val="22"/>
        </w:rPr>
        <w:t xml:space="preserve"> The petition challenges the lack of guidelines on abortion that can guide health care providers in cases such as </w:t>
      </w:r>
      <w:r w:rsidRPr="00387232">
        <w:rPr>
          <w:color w:val="231F20"/>
          <w:sz w:val="22"/>
          <w:szCs w:val="22"/>
          <w:lang w:val="en-US"/>
        </w:rPr>
        <w:t>JMM’s</w:t>
      </w:r>
      <w:r w:rsidRPr="00387232">
        <w:rPr>
          <w:color w:val="231F20"/>
          <w:sz w:val="22"/>
          <w:szCs w:val="22"/>
        </w:rPr>
        <w:t xml:space="preserve">. The petition further challenges the government’s directive banning health providers from participating in any abortion training thus limiting their ability to respond in cases where abortion is necessary of where post abortion care is required.  By withdrawing the Standards and Guidelines for reducing morbidity and mortality from unsafe abortions in Kenya, prohibiting trainings on safe abortion care, and banning </w:t>
      </w:r>
      <w:r w:rsidRPr="00387232">
        <w:rPr>
          <w:color w:val="231F20"/>
          <w:sz w:val="22"/>
          <w:szCs w:val="22"/>
          <w:lang w:val="en-US"/>
        </w:rPr>
        <w:t>M</w:t>
      </w:r>
      <w:r w:rsidRPr="00387232">
        <w:rPr>
          <w:color w:val="231F20"/>
          <w:sz w:val="22"/>
          <w:szCs w:val="22"/>
        </w:rPr>
        <w:t xml:space="preserve">edabon, a safe and effective method of medication abortion, the Kenyan government </w:t>
      </w:r>
      <w:r w:rsidRPr="00387232">
        <w:rPr>
          <w:color w:val="231F20"/>
          <w:sz w:val="22"/>
          <w:szCs w:val="22"/>
          <w:lang w:val="en-US"/>
        </w:rPr>
        <w:t xml:space="preserve">violated JMM’s life. </w:t>
      </w:r>
    </w:p>
    <w:p w14:paraId="46F0E172" w14:textId="77777777" w:rsidR="00E55846" w:rsidRPr="00387232" w:rsidRDefault="00E55846" w:rsidP="00E55846">
      <w:pPr>
        <w:pStyle w:val="NormalWeb"/>
        <w:shd w:val="clear" w:color="auto" w:fill="FFFFFF"/>
        <w:jc w:val="both"/>
        <w:rPr>
          <w:color w:val="231F20"/>
          <w:sz w:val="22"/>
          <w:szCs w:val="22"/>
          <w:lang w:val="en-US"/>
        </w:rPr>
      </w:pPr>
      <w:r w:rsidRPr="00387232">
        <w:rPr>
          <w:color w:val="231F20"/>
          <w:sz w:val="22"/>
          <w:szCs w:val="22"/>
          <w:lang w:val="en-US"/>
        </w:rPr>
        <w:t>Over time,</w:t>
      </w:r>
      <w:r w:rsidRPr="00387232">
        <w:rPr>
          <w:color w:val="231F20"/>
          <w:sz w:val="22"/>
          <w:szCs w:val="22"/>
        </w:rPr>
        <w:t xml:space="preserve"> </w:t>
      </w:r>
      <w:r w:rsidRPr="00387232">
        <w:rPr>
          <w:color w:val="231F20"/>
          <w:sz w:val="22"/>
          <w:szCs w:val="22"/>
          <w:lang w:val="en-US"/>
        </w:rPr>
        <w:t>JMM</w:t>
      </w:r>
      <w:r w:rsidRPr="00387232">
        <w:rPr>
          <w:color w:val="231F20"/>
          <w:sz w:val="22"/>
          <w:szCs w:val="22"/>
        </w:rPr>
        <w:t xml:space="preserve"> suffered from a slew of severe health complications that could have been prevented had she received timely care after the botched procedure. Ultimately, this delay in care led to her premature death </w:t>
      </w:r>
      <w:r w:rsidRPr="00387232">
        <w:rPr>
          <w:color w:val="231F20"/>
          <w:sz w:val="22"/>
          <w:szCs w:val="22"/>
          <w:lang w:val="en-US"/>
        </w:rPr>
        <w:t xml:space="preserve">in 2018. </w:t>
      </w:r>
    </w:p>
    <w:p w14:paraId="2205A703" w14:textId="77777777" w:rsidR="00E55846" w:rsidRPr="00387232" w:rsidRDefault="00E55846" w:rsidP="00E55846">
      <w:pPr>
        <w:pStyle w:val="NormalWeb"/>
        <w:shd w:val="clear" w:color="auto" w:fill="FFFFFF"/>
        <w:jc w:val="both"/>
        <w:rPr>
          <w:color w:val="231F20"/>
          <w:sz w:val="22"/>
          <w:szCs w:val="22"/>
          <w:lang w:val="en-US"/>
        </w:rPr>
      </w:pPr>
      <w:r w:rsidRPr="00387232">
        <w:rPr>
          <w:color w:val="231F20"/>
          <w:sz w:val="22"/>
          <w:szCs w:val="22"/>
          <w:lang w:val="en-US"/>
        </w:rPr>
        <w:t>On June 2019, a five-judge bench of the High Court of Kenya delivered a groundbreaking judgement which found that</w:t>
      </w:r>
      <w:r w:rsidRPr="00387232">
        <w:rPr>
          <w:sz w:val="22"/>
          <w:szCs w:val="22"/>
        </w:rPr>
        <w:t xml:space="preserve"> by withdrawing the Standards and Guidelines and the training curriculum and by banning the use of Medabon, the </w:t>
      </w:r>
      <w:r w:rsidRPr="00387232">
        <w:rPr>
          <w:sz w:val="22"/>
          <w:szCs w:val="22"/>
          <w:lang w:val="en-US"/>
        </w:rPr>
        <w:t>Ministry of Health</w:t>
      </w:r>
      <w:r w:rsidRPr="00387232">
        <w:rPr>
          <w:sz w:val="22"/>
          <w:szCs w:val="22"/>
        </w:rPr>
        <w:t xml:space="preserve"> violated and or threatened the right</w:t>
      </w:r>
      <w:r w:rsidRPr="00387232">
        <w:rPr>
          <w:sz w:val="22"/>
          <w:szCs w:val="22"/>
          <w:lang w:val="en-US"/>
        </w:rPr>
        <w:t xml:space="preserve">s </w:t>
      </w:r>
      <w:r w:rsidRPr="00387232">
        <w:rPr>
          <w:sz w:val="22"/>
          <w:szCs w:val="22"/>
        </w:rPr>
        <w:t>of women and adolescent girls of reproductive age to: the highest attainable standard of health, to non-discrimination, to information, consumer rights, and to benefit from scientific progress</w:t>
      </w:r>
      <w:r w:rsidRPr="00387232">
        <w:rPr>
          <w:sz w:val="22"/>
          <w:szCs w:val="22"/>
          <w:lang w:val="en-US"/>
        </w:rPr>
        <w:t xml:space="preserve"> and that the government of Kenya should compensate JMM’s mother for the physical, psychological, emotional and mental anguish, stress, pain, suffering and death of JMM occasioned by the violation of JMM’s constitutional rights.</w:t>
      </w:r>
      <w:r w:rsidRPr="00387232">
        <w:rPr>
          <w:rStyle w:val="EndnoteReference"/>
          <w:sz w:val="22"/>
          <w:szCs w:val="22"/>
          <w:lang w:val="en-US"/>
        </w:rPr>
        <w:endnoteReference w:id="141"/>
      </w:r>
    </w:p>
    <w:p w14:paraId="6907D1FA" w14:textId="77777777" w:rsidR="00E55846" w:rsidRPr="00BF5CF7" w:rsidRDefault="00E55846" w:rsidP="00BF5CF7">
      <w:pPr>
        <w:spacing w:line="276" w:lineRule="auto"/>
        <w:contextualSpacing/>
        <w:jc w:val="both"/>
        <w:rPr>
          <w:rFonts w:ascii="Times New Roman" w:hAnsi="Times New Roman" w:cs="Times New Roman"/>
          <w:lang w:val="en-US"/>
        </w:rPr>
      </w:pPr>
    </w:p>
    <w:p w14:paraId="4370302B" w14:textId="77777777" w:rsidR="0063248B" w:rsidRPr="00387232" w:rsidRDefault="0063248B" w:rsidP="00387232">
      <w:pPr>
        <w:jc w:val="both"/>
        <w:rPr>
          <w:rFonts w:ascii="Times New Roman" w:hAnsi="Times New Roman" w:cs="Times New Roman"/>
        </w:rPr>
      </w:pPr>
    </w:p>
    <w:sectPr w:rsidR="0063248B" w:rsidRPr="00387232">
      <w:headerReference w:type="default" r:id="rId29"/>
      <w:footerReference w:type="default" r:id="rId3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5FA25" w14:textId="77777777" w:rsidR="00890FB1" w:rsidRDefault="00890FB1" w:rsidP="003931CA">
      <w:pPr>
        <w:spacing w:after="0" w:line="240" w:lineRule="auto"/>
      </w:pPr>
      <w:r>
        <w:separator/>
      </w:r>
    </w:p>
  </w:endnote>
  <w:endnote w:type="continuationSeparator" w:id="0">
    <w:p w14:paraId="708DDD59" w14:textId="77777777" w:rsidR="00890FB1" w:rsidRDefault="00890FB1" w:rsidP="003931CA">
      <w:pPr>
        <w:spacing w:after="0" w:line="240" w:lineRule="auto"/>
      </w:pPr>
      <w:r>
        <w:continuationSeparator/>
      </w:r>
    </w:p>
  </w:endnote>
  <w:endnote w:id="1">
    <w:p w14:paraId="4427BE0C" w14:textId="1864E43D" w:rsidR="0063248B" w:rsidRPr="000865DF" w:rsidRDefault="0063248B">
      <w:pPr>
        <w:pStyle w:val="EndnoteText"/>
        <w:rPr>
          <w:sz w:val="18"/>
          <w:szCs w:val="18"/>
        </w:rPr>
      </w:pPr>
      <w:r w:rsidRPr="000865DF">
        <w:rPr>
          <w:rStyle w:val="EndnoteReference"/>
          <w:sz w:val="18"/>
          <w:szCs w:val="18"/>
        </w:rPr>
        <w:endnoteRef/>
      </w:r>
      <w:r w:rsidRPr="000865DF">
        <w:rPr>
          <w:sz w:val="18"/>
          <w:szCs w:val="18"/>
        </w:rPr>
        <w:t xml:space="preserve"> </w:t>
      </w:r>
      <w:hyperlink r:id="rId1" w:history="1">
        <w:r w:rsidRPr="000865DF">
          <w:rPr>
            <w:color w:val="0000FF"/>
            <w:sz w:val="18"/>
            <w:szCs w:val="18"/>
            <w:u w:val="single"/>
            <w:lang w:val="en-CH" w:eastAsia="en-US"/>
          </w:rPr>
          <w:t>https://www.who.int/violence_injury_prevention/violence/global_campaign/en/chap6.pdf</w:t>
        </w:r>
      </w:hyperlink>
    </w:p>
  </w:endnote>
  <w:endnote w:id="2">
    <w:p w14:paraId="4A4E2095" w14:textId="29F74683" w:rsidR="005D04AD" w:rsidRDefault="005D04AD">
      <w:pPr>
        <w:pStyle w:val="EndnoteText"/>
      </w:pPr>
      <w:r>
        <w:rPr>
          <w:rStyle w:val="EndnoteReference"/>
        </w:rPr>
        <w:endnoteRef/>
      </w:r>
      <w:r>
        <w:t xml:space="preserve"> </w:t>
      </w:r>
      <w:r w:rsidRPr="000865DF">
        <w:rPr>
          <w:rStyle w:val="normaltextrun"/>
          <w:rFonts w:eastAsia="Times New Roman"/>
          <w:color w:val="000000"/>
          <w:sz w:val="18"/>
          <w:szCs w:val="18"/>
          <w:shd w:val="clear" w:color="auto" w:fill="FFFFFF"/>
        </w:rPr>
        <w:t>Committee on the Elimination of Discriminationagainst WomenGeneral recommendationNo. 35 on gender-based violence against women,updating general recommendationNo. 19, July 14th 2017, U.N. doc CEDAW/C/GC/35, para. 2 [hereinafter CEDAW General Recommendation 35]</w:t>
      </w:r>
    </w:p>
  </w:endnote>
  <w:endnote w:id="3">
    <w:p w14:paraId="21BF210B" w14:textId="0F8C66D8" w:rsidR="0063248B" w:rsidRPr="000865DF" w:rsidRDefault="0063248B">
      <w:pPr>
        <w:pStyle w:val="EndnoteText"/>
        <w:rPr>
          <w:sz w:val="18"/>
          <w:szCs w:val="18"/>
        </w:rPr>
      </w:pPr>
      <w:r w:rsidRPr="000865DF">
        <w:rPr>
          <w:rStyle w:val="EndnoteReference"/>
          <w:sz w:val="18"/>
          <w:szCs w:val="18"/>
        </w:rPr>
        <w:endnoteRef/>
      </w:r>
      <w:r w:rsidRPr="000865DF">
        <w:rPr>
          <w:sz w:val="18"/>
          <w:szCs w:val="18"/>
        </w:rPr>
        <w:t xml:space="preserve"> CEDAW General Recommendation 35, para. 6-7 </w:t>
      </w:r>
    </w:p>
  </w:endnote>
  <w:endnote w:id="4">
    <w:p w14:paraId="63CD6C99" w14:textId="4C4DD75C" w:rsidR="0063248B" w:rsidRPr="000865DF" w:rsidRDefault="0063248B">
      <w:pPr>
        <w:pStyle w:val="EndnoteText"/>
        <w:rPr>
          <w:sz w:val="18"/>
          <w:szCs w:val="18"/>
        </w:rPr>
      </w:pPr>
      <w:r w:rsidRPr="000865DF">
        <w:rPr>
          <w:rStyle w:val="EndnoteReference"/>
          <w:sz w:val="18"/>
          <w:szCs w:val="18"/>
        </w:rPr>
        <w:endnoteRef/>
      </w:r>
      <w:r w:rsidRPr="000865DF">
        <w:rPr>
          <w:sz w:val="18"/>
          <w:szCs w:val="18"/>
        </w:rPr>
        <w:t xml:space="preserve"> Ibid:, para. 16</w:t>
      </w:r>
    </w:p>
  </w:endnote>
  <w:endnote w:id="5">
    <w:p w14:paraId="7DF3C2EA" w14:textId="2C2E4E47" w:rsidR="0063248B" w:rsidRPr="000865DF" w:rsidRDefault="0063248B">
      <w:pPr>
        <w:pStyle w:val="EndnoteText"/>
        <w:rPr>
          <w:sz w:val="18"/>
          <w:szCs w:val="18"/>
        </w:rPr>
      </w:pPr>
      <w:r w:rsidRPr="000865DF">
        <w:rPr>
          <w:rStyle w:val="EndnoteReference"/>
          <w:sz w:val="18"/>
          <w:szCs w:val="18"/>
        </w:rPr>
        <w:endnoteRef/>
      </w:r>
      <w:r w:rsidRPr="000865DF">
        <w:rPr>
          <w:sz w:val="18"/>
          <w:szCs w:val="18"/>
        </w:rPr>
        <w:t xml:space="preserve"> Ibid.; para. 33</w:t>
      </w:r>
    </w:p>
  </w:endnote>
  <w:endnote w:id="6">
    <w:p w14:paraId="1BB2B9E4" w14:textId="1907D4F2" w:rsidR="0063248B" w:rsidRPr="000865DF" w:rsidRDefault="0063248B">
      <w:pPr>
        <w:pStyle w:val="EndnoteText"/>
        <w:rPr>
          <w:sz w:val="18"/>
          <w:szCs w:val="18"/>
        </w:rPr>
      </w:pPr>
      <w:r w:rsidRPr="000865DF">
        <w:rPr>
          <w:rStyle w:val="EndnoteReference"/>
          <w:sz w:val="18"/>
          <w:szCs w:val="18"/>
        </w:rPr>
        <w:endnoteRef/>
      </w:r>
      <w:r w:rsidRPr="000865DF">
        <w:rPr>
          <w:sz w:val="18"/>
          <w:szCs w:val="18"/>
        </w:rPr>
        <w:t xml:space="preserve"> Ibid.; para. 18 </w:t>
      </w:r>
    </w:p>
  </w:endnote>
  <w:endnote w:id="7">
    <w:p w14:paraId="3A22F174" w14:textId="6BA9C971" w:rsidR="00A16CE8" w:rsidRPr="000865DF" w:rsidRDefault="00A16CE8">
      <w:pPr>
        <w:pStyle w:val="EndnoteText"/>
        <w:rPr>
          <w:sz w:val="18"/>
          <w:szCs w:val="18"/>
        </w:rPr>
      </w:pPr>
      <w:r w:rsidRPr="000865DF">
        <w:rPr>
          <w:rStyle w:val="EndnoteReference"/>
          <w:sz w:val="18"/>
          <w:szCs w:val="18"/>
        </w:rPr>
        <w:endnoteRef/>
      </w:r>
      <w:r w:rsidRPr="000865DF">
        <w:rPr>
          <w:sz w:val="18"/>
          <w:szCs w:val="18"/>
        </w:rPr>
        <w:t xml:space="preserve"> A/HRC/RES/23/25</w:t>
      </w:r>
    </w:p>
  </w:endnote>
  <w:endnote w:id="8">
    <w:p w14:paraId="7EC9119D" w14:textId="3F0637A3" w:rsidR="0063248B" w:rsidRPr="000865DF" w:rsidRDefault="0063248B">
      <w:pPr>
        <w:pStyle w:val="EndnoteText"/>
        <w:rPr>
          <w:sz w:val="18"/>
          <w:szCs w:val="18"/>
        </w:rPr>
      </w:pPr>
      <w:r w:rsidRPr="000865DF">
        <w:rPr>
          <w:rStyle w:val="EndnoteReference"/>
          <w:sz w:val="18"/>
          <w:szCs w:val="18"/>
        </w:rPr>
        <w:endnoteRef/>
      </w:r>
      <w:r w:rsidRPr="000865DF">
        <w:rPr>
          <w:sz w:val="18"/>
          <w:szCs w:val="18"/>
        </w:rPr>
        <w:t xml:space="preserve"> </w:t>
      </w:r>
      <w:r w:rsidR="00A16CE8" w:rsidRPr="000865DF">
        <w:rPr>
          <w:sz w:val="18"/>
          <w:szCs w:val="18"/>
        </w:rPr>
        <w:t>Idem</w:t>
      </w:r>
      <w:r w:rsidRPr="000865DF">
        <w:rPr>
          <w:sz w:val="18"/>
          <w:szCs w:val="18"/>
        </w:rPr>
        <w:t xml:space="preserve"> </w:t>
      </w:r>
    </w:p>
  </w:endnote>
  <w:endnote w:id="9">
    <w:p w14:paraId="0EED0B3B" w14:textId="6ED307FA" w:rsidR="0063248B" w:rsidRPr="000865DF" w:rsidRDefault="0063248B">
      <w:pPr>
        <w:pStyle w:val="EndnoteText"/>
        <w:rPr>
          <w:sz w:val="18"/>
          <w:szCs w:val="18"/>
        </w:rPr>
      </w:pPr>
      <w:r w:rsidRPr="000865DF">
        <w:rPr>
          <w:rStyle w:val="EndnoteReference"/>
          <w:sz w:val="18"/>
          <w:szCs w:val="18"/>
        </w:rPr>
        <w:endnoteRef/>
      </w:r>
      <w:r w:rsidRPr="000865DF">
        <w:rPr>
          <w:sz w:val="18"/>
          <w:szCs w:val="18"/>
        </w:rPr>
        <w:t xml:space="preserve"> Ibid; OP. 7</w:t>
      </w:r>
    </w:p>
  </w:endnote>
  <w:endnote w:id="10">
    <w:p w14:paraId="50A590D5" w14:textId="26F5ADB1" w:rsidR="0063248B" w:rsidRPr="000865DF" w:rsidRDefault="0063248B">
      <w:pPr>
        <w:pStyle w:val="EndnoteText"/>
        <w:rPr>
          <w:sz w:val="18"/>
          <w:szCs w:val="18"/>
        </w:rPr>
      </w:pPr>
      <w:r w:rsidRPr="000865DF">
        <w:rPr>
          <w:rStyle w:val="EndnoteReference"/>
          <w:sz w:val="18"/>
          <w:szCs w:val="18"/>
        </w:rPr>
        <w:endnoteRef/>
      </w:r>
      <w:r w:rsidRPr="000865DF">
        <w:rPr>
          <w:sz w:val="18"/>
          <w:szCs w:val="18"/>
        </w:rPr>
        <w:t xml:space="preserve"> Ibid; OP.8</w:t>
      </w:r>
    </w:p>
  </w:endnote>
  <w:endnote w:id="11">
    <w:p w14:paraId="476D4DFE" w14:textId="0467D0CA" w:rsidR="0063248B" w:rsidRPr="000865DF" w:rsidRDefault="0063248B">
      <w:pPr>
        <w:pStyle w:val="EndnoteText"/>
        <w:rPr>
          <w:sz w:val="18"/>
          <w:szCs w:val="18"/>
        </w:rPr>
      </w:pPr>
      <w:r w:rsidRPr="000865DF">
        <w:rPr>
          <w:rStyle w:val="EndnoteReference"/>
          <w:sz w:val="18"/>
          <w:szCs w:val="18"/>
        </w:rPr>
        <w:endnoteRef/>
      </w:r>
      <w:r w:rsidRPr="000865DF">
        <w:rPr>
          <w:sz w:val="18"/>
          <w:szCs w:val="18"/>
        </w:rPr>
        <w:t xml:space="preserve"> Ibid; OP.10</w:t>
      </w:r>
    </w:p>
  </w:endnote>
  <w:endnote w:id="12">
    <w:p w14:paraId="0975209B" w14:textId="77777777" w:rsidR="0063248B" w:rsidRPr="000865DF" w:rsidRDefault="0063248B" w:rsidP="001F0023">
      <w:pPr>
        <w:pStyle w:val="EndnoteText"/>
        <w:jc w:val="both"/>
        <w:rPr>
          <w:sz w:val="18"/>
          <w:szCs w:val="18"/>
        </w:rPr>
      </w:pPr>
      <w:r w:rsidRPr="000865DF">
        <w:rPr>
          <w:rStyle w:val="EndnoteReference"/>
          <w:sz w:val="18"/>
          <w:szCs w:val="18"/>
        </w:rPr>
        <w:endnoteRef/>
      </w:r>
      <w:r w:rsidRPr="000865DF">
        <w:rPr>
          <w:i/>
          <w:sz w:val="18"/>
          <w:szCs w:val="18"/>
        </w:rPr>
        <w:t xml:space="preserve"> </w:t>
      </w:r>
      <w:r w:rsidRPr="000865DF">
        <w:rPr>
          <w:sz w:val="18"/>
          <w:szCs w:val="18"/>
        </w:rPr>
        <w:t>CESCR Committee</w:t>
      </w:r>
      <w:r w:rsidRPr="000865DF">
        <w:rPr>
          <w:i/>
          <w:sz w:val="18"/>
          <w:szCs w:val="18"/>
        </w:rPr>
        <w:t>, Gen. Comment No. 22</w:t>
      </w:r>
      <w:r w:rsidRPr="000865DF">
        <w:rPr>
          <w:sz w:val="18"/>
          <w:szCs w:val="18"/>
        </w:rPr>
        <w:t>, paras. 10, 28</w:t>
      </w:r>
      <w:r w:rsidRPr="000865DF">
        <w:rPr>
          <w:i/>
          <w:sz w:val="18"/>
          <w:szCs w:val="18"/>
        </w:rPr>
        <w:t xml:space="preserve">; </w:t>
      </w:r>
      <w:r w:rsidRPr="000865DF">
        <w:rPr>
          <w:sz w:val="18"/>
          <w:szCs w:val="18"/>
        </w:rPr>
        <w:t xml:space="preserve">Human Rights Committee, </w:t>
      </w:r>
      <w:r w:rsidRPr="000865DF">
        <w:rPr>
          <w:i/>
          <w:sz w:val="18"/>
          <w:szCs w:val="18"/>
        </w:rPr>
        <w:t xml:space="preserve">Gen. Comment No. 36, </w:t>
      </w:r>
      <w:r w:rsidRPr="000865DF">
        <w:rPr>
          <w:sz w:val="18"/>
          <w:szCs w:val="18"/>
        </w:rPr>
        <w:t xml:space="preserve">para. 8; </w:t>
      </w:r>
      <w:r w:rsidRPr="000865DF">
        <w:rPr>
          <w:i/>
          <w:sz w:val="18"/>
          <w:szCs w:val="18"/>
        </w:rPr>
        <w:t>See, e.g.</w:t>
      </w:r>
      <w:r w:rsidRPr="000865DF">
        <w:rPr>
          <w:sz w:val="18"/>
          <w:szCs w:val="18"/>
        </w:rPr>
        <w:t xml:space="preserve">, Human Rights Committee, </w:t>
      </w:r>
      <w:r w:rsidRPr="000865DF">
        <w:rPr>
          <w:i/>
          <w:sz w:val="18"/>
          <w:szCs w:val="18"/>
        </w:rPr>
        <w:t xml:space="preserve">Concluding Observations: Nigeria, </w:t>
      </w:r>
      <w:r w:rsidRPr="000865DF">
        <w:rPr>
          <w:sz w:val="18"/>
          <w:szCs w:val="18"/>
        </w:rPr>
        <w:t xml:space="preserve">para. 22, U.N. Doc. CCPR/C/NGA/CO/R.2 (2019) CEDAW Committee, </w:t>
      </w:r>
      <w:r w:rsidRPr="000865DF">
        <w:rPr>
          <w:i/>
          <w:sz w:val="18"/>
          <w:szCs w:val="18"/>
        </w:rPr>
        <w:t>Concluding Observations: Paraguay</w:t>
      </w:r>
      <w:r w:rsidRPr="000865DF">
        <w:rPr>
          <w:sz w:val="18"/>
          <w:szCs w:val="18"/>
        </w:rPr>
        <w:t xml:space="preserve">, paras. </w:t>
      </w:r>
      <w:r w:rsidRPr="000865DF">
        <w:rPr>
          <w:sz w:val="18"/>
          <w:szCs w:val="18"/>
          <w:lang w:val="es-CO"/>
        </w:rPr>
        <w:t xml:space="preserve">30, 31, U.N. Doc. CEDAW/C/PRY/CO/6 (2011); </w:t>
      </w:r>
      <w:r w:rsidRPr="000865DF">
        <w:rPr>
          <w:i/>
          <w:sz w:val="18"/>
          <w:szCs w:val="18"/>
          <w:lang w:val="es-CO"/>
        </w:rPr>
        <w:t xml:space="preserve">Sierra Leone, </w:t>
      </w:r>
      <w:r w:rsidRPr="000865DF">
        <w:rPr>
          <w:sz w:val="18"/>
          <w:szCs w:val="18"/>
          <w:lang w:val="es-CO"/>
        </w:rPr>
        <w:t xml:space="preserve">para. </w:t>
      </w:r>
      <w:r w:rsidRPr="000865DF">
        <w:rPr>
          <w:sz w:val="18"/>
          <w:szCs w:val="18"/>
        </w:rPr>
        <w:t>32(d), U.N. Doc. CEDAW/C/SLE/CO/6</w:t>
      </w:r>
      <w:r w:rsidRPr="000865DF">
        <w:rPr>
          <w:i/>
          <w:sz w:val="18"/>
          <w:szCs w:val="18"/>
        </w:rPr>
        <w:t xml:space="preserve"> </w:t>
      </w:r>
      <w:r w:rsidRPr="000865DF">
        <w:rPr>
          <w:sz w:val="18"/>
          <w:szCs w:val="18"/>
        </w:rPr>
        <w:t>(2014)</w:t>
      </w:r>
      <w:r w:rsidRPr="000865DF">
        <w:rPr>
          <w:i/>
          <w:sz w:val="18"/>
          <w:szCs w:val="18"/>
        </w:rPr>
        <w:t xml:space="preserve">; </w:t>
      </w:r>
      <w:r w:rsidRPr="000865DF">
        <w:rPr>
          <w:sz w:val="18"/>
          <w:szCs w:val="18"/>
        </w:rPr>
        <w:t xml:space="preserve">CESCR Committee, </w:t>
      </w:r>
      <w:r w:rsidRPr="000865DF">
        <w:rPr>
          <w:i/>
          <w:sz w:val="18"/>
          <w:szCs w:val="18"/>
        </w:rPr>
        <w:t xml:space="preserve">Concluding Observations: Argentina, </w:t>
      </w:r>
      <w:r w:rsidRPr="000865DF">
        <w:rPr>
          <w:sz w:val="18"/>
          <w:szCs w:val="18"/>
        </w:rPr>
        <w:t>para 55, 56, U.N. Doc E/C.12/ARG/CO/4 (2018);</w:t>
      </w:r>
    </w:p>
  </w:endnote>
  <w:endnote w:id="13">
    <w:p w14:paraId="6D70864A" w14:textId="77777777" w:rsidR="0063248B" w:rsidRPr="000865DF" w:rsidRDefault="0063248B" w:rsidP="001F0023">
      <w:pPr>
        <w:jc w:val="both"/>
        <w:rPr>
          <w:rFonts w:ascii="Times New Roman" w:hAnsi="Times New Roman" w:cs="Times New Roman"/>
          <w:sz w:val="18"/>
          <w:szCs w:val="18"/>
        </w:rPr>
      </w:pPr>
      <w:r w:rsidRPr="000865DF">
        <w:rPr>
          <w:rStyle w:val="EndnoteReference"/>
          <w:rFonts w:ascii="Times New Roman" w:hAnsi="Times New Roman" w:cs="Times New Roman"/>
          <w:sz w:val="18"/>
          <w:szCs w:val="18"/>
        </w:rPr>
        <w:endnoteRef/>
      </w:r>
      <w:r w:rsidRPr="000865DF">
        <w:rPr>
          <w:rFonts w:ascii="Times New Roman" w:hAnsi="Times New Roman" w:cs="Times New Roman"/>
          <w:sz w:val="18"/>
          <w:szCs w:val="18"/>
        </w:rPr>
        <w:t xml:space="preserve"> </w:t>
      </w:r>
      <w:r w:rsidRPr="000865DF">
        <w:rPr>
          <w:rFonts w:ascii="Times New Roman" w:hAnsi="Times New Roman" w:cs="Times New Roman"/>
          <w:iCs/>
          <w:sz w:val="18"/>
          <w:szCs w:val="18"/>
        </w:rPr>
        <w:t>Mellet v. Ireland, Human Rights Committee, Commc’n No. 2324/2013, paras. 7.6, 7.7, 7.8, U.N. Doc. CCPR/C/116/2324/2013 (2016)</w:t>
      </w:r>
      <w:r w:rsidRPr="000865DF">
        <w:rPr>
          <w:rFonts w:ascii="Times New Roman" w:hAnsi="Times New Roman" w:cs="Times New Roman"/>
          <w:sz w:val="18"/>
          <w:szCs w:val="18"/>
        </w:rPr>
        <w:t>; Whelan v. Ireland, Human Rights Committee, Commc’n No. 2425/2014, paras. 7.7 - 7.9, 7.12, U.N. doc. CCPR/C/119/D/2425/2014 (2017); K.L. v. Peru</w:t>
      </w:r>
      <w:r w:rsidRPr="000865DF">
        <w:rPr>
          <w:rFonts w:ascii="Times New Roman" w:hAnsi="Times New Roman" w:cs="Times New Roman"/>
          <w:i/>
          <w:sz w:val="18"/>
          <w:szCs w:val="18"/>
        </w:rPr>
        <w:t xml:space="preserve">, </w:t>
      </w:r>
      <w:r w:rsidRPr="000865DF">
        <w:rPr>
          <w:rFonts w:ascii="Times New Roman" w:hAnsi="Times New Roman" w:cs="Times New Roman"/>
          <w:sz w:val="18"/>
          <w:szCs w:val="18"/>
        </w:rPr>
        <w:t xml:space="preserve">Human Rights Committee, Commc’n No. 1153/2003, U.N. Doc. CCPR/C/85/D/1153/2003 (2005); L.C. v. Peru, CEDAW Committee, Commc’n No. 22/2009, para. 8.15, U.N. Doc. CEDAW/C/50/D/22/2009 (2011). CESCR Committee, </w:t>
      </w:r>
      <w:r w:rsidRPr="000865DF">
        <w:rPr>
          <w:rFonts w:ascii="Times New Roman" w:hAnsi="Times New Roman" w:cs="Times New Roman"/>
          <w:i/>
          <w:sz w:val="18"/>
          <w:szCs w:val="18"/>
        </w:rPr>
        <w:t>General Comment No. 22</w:t>
      </w:r>
      <w:r w:rsidRPr="000865DF">
        <w:rPr>
          <w:rFonts w:ascii="Times New Roman" w:hAnsi="Times New Roman" w:cs="Times New Roman"/>
          <w:sz w:val="18"/>
          <w:szCs w:val="18"/>
        </w:rPr>
        <w:t xml:space="preserve">, para. 10; </w:t>
      </w:r>
      <w:r w:rsidRPr="000865DF">
        <w:rPr>
          <w:rFonts w:ascii="Times New Roman" w:hAnsi="Times New Roman" w:cs="Times New Roman"/>
          <w:color w:val="333333"/>
          <w:sz w:val="18"/>
          <w:szCs w:val="18"/>
          <w:shd w:val="clear" w:color="auto" w:fill="FFFFFF"/>
        </w:rPr>
        <w:t xml:space="preserve">CEDAW Communication No. 17/2008, Alyne da Silva Pimentel v. Brazil; CAT Committee, </w:t>
      </w:r>
      <w:r w:rsidRPr="000865DF">
        <w:rPr>
          <w:rFonts w:ascii="Times New Roman" w:hAnsi="Times New Roman" w:cs="Times New Roman"/>
          <w:i/>
          <w:color w:val="333333"/>
          <w:sz w:val="18"/>
          <w:szCs w:val="18"/>
          <w:shd w:val="clear" w:color="auto" w:fill="FFFFFF"/>
        </w:rPr>
        <w:t>Concluding Observations: El Salvador</w:t>
      </w:r>
      <w:r w:rsidRPr="000865DF">
        <w:rPr>
          <w:rFonts w:ascii="Times New Roman" w:hAnsi="Times New Roman" w:cs="Times New Roman"/>
          <w:color w:val="333333"/>
          <w:sz w:val="18"/>
          <w:szCs w:val="18"/>
          <w:shd w:val="clear" w:color="auto" w:fill="FFFFFF"/>
        </w:rPr>
        <w:t xml:space="preserve">, para. 23, U.N. Doc. CAT/C/SLV/CO/2 (2009); CAT Committee, </w:t>
      </w:r>
      <w:r w:rsidRPr="000865DF">
        <w:rPr>
          <w:rFonts w:ascii="Times New Roman" w:hAnsi="Times New Roman" w:cs="Times New Roman"/>
          <w:i/>
          <w:color w:val="333333"/>
          <w:sz w:val="18"/>
          <w:szCs w:val="18"/>
          <w:shd w:val="clear" w:color="auto" w:fill="FFFFFF"/>
        </w:rPr>
        <w:t>Concluding Observations</w:t>
      </w:r>
      <w:r w:rsidRPr="000865DF">
        <w:rPr>
          <w:rFonts w:ascii="Times New Roman" w:hAnsi="Times New Roman" w:cs="Times New Roman"/>
          <w:color w:val="333333"/>
          <w:sz w:val="18"/>
          <w:szCs w:val="18"/>
          <w:shd w:val="clear" w:color="auto" w:fill="FFFFFF"/>
        </w:rPr>
        <w:t>: Nicaragua, para 16, UN Doc. CAT/C/NIC/CO/1 (2009)</w:t>
      </w:r>
    </w:p>
  </w:endnote>
  <w:endnote w:id="14">
    <w:p w14:paraId="19FC63EC" w14:textId="3E7CCABB" w:rsidR="00D727E9" w:rsidRPr="000865DF" w:rsidRDefault="00D727E9">
      <w:pPr>
        <w:pStyle w:val="EndnoteText"/>
        <w:rPr>
          <w:sz w:val="18"/>
          <w:szCs w:val="18"/>
        </w:rPr>
      </w:pPr>
      <w:r w:rsidRPr="000865DF">
        <w:rPr>
          <w:rStyle w:val="EndnoteReference"/>
          <w:sz w:val="18"/>
          <w:szCs w:val="18"/>
        </w:rPr>
        <w:endnoteRef/>
      </w:r>
      <w:r w:rsidRPr="000865DF">
        <w:rPr>
          <w:sz w:val="18"/>
          <w:szCs w:val="18"/>
        </w:rPr>
        <w:t xml:space="preserve"> </w:t>
      </w:r>
      <w:r w:rsidR="005D04AD">
        <w:rPr>
          <w:sz w:val="18"/>
          <w:szCs w:val="18"/>
        </w:rPr>
        <w:t>P</w:t>
      </w:r>
      <w:r w:rsidR="004D0463" w:rsidRPr="000865DF">
        <w:rPr>
          <w:sz w:val="18"/>
          <w:szCs w:val="18"/>
        </w:rPr>
        <w:t xml:space="preserve">an </w:t>
      </w:r>
      <w:r w:rsidR="005D04AD">
        <w:rPr>
          <w:sz w:val="18"/>
          <w:szCs w:val="18"/>
        </w:rPr>
        <w:t>A</w:t>
      </w:r>
      <w:r w:rsidR="004D0463" w:rsidRPr="000865DF">
        <w:rPr>
          <w:sz w:val="18"/>
          <w:szCs w:val="18"/>
        </w:rPr>
        <w:t>merican Healt</w:t>
      </w:r>
      <w:r w:rsidR="005D04AD">
        <w:rPr>
          <w:sz w:val="18"/>
          <w:szCs w:val="18"/>
        </w:rPr>
        <w:t>h</w:t>
      </w:r>
      <w:r w:rsidR="004D0463" w:rsidRPr="000865DF">
        <w:rPr>
          <w:sz w:val="18"/>
          <w:szCs w:val="18"/>
        </w:rPr>
        <w:t xml:space="preserve"> Organizati</w:t>
      </w:r>
      <w:r w:rsidR="005D04AD">
        <w:rPr>
          <w:sz w:val="18"/>
          <w:szCs w:val="18"/>
        </w:rPr>
        <w:t>on</w:t>
      </w:r>
      <w:r w:rsidR="004D0463" w:rsidRPr="000865DF">
        <w:rPr>
          <w:sz w:val="18"/>
          <w:szCs w:val="18"/>
        </w:rPr>
        <w:t xml:space="preserve"> (PaHO) etal., accelerating</w:t>
      </w:r>
      <w:r w:rsidR="005D04AD">
        <w:rPr>
          <w:sz w:val="18"/>
          <w:szCs w:val="18"/>
        </w:rPr>
        <w:t xml:space="preserve"> </w:t>
      </w:r>
      <w:r w:rsidR="004D0463" w:rsidRPr="000865DF">
        <w:rPr>
          <w:sz w:val="18"/>
          <w:szCs w:val="18"/>
        </w:rPr>
        <w:t>Pr</w:t>
      </w:r>
      <w:r w:rsidR="005D04AD">
        <w:rPr>
          <w:sz w:val="18"/>
          <w:szCs w:val="18"/>
        </w:rPr>
        <w:t>o</w:t>
      </w:r>
      <w:r w:rsidR="004D0463" w:rsidRPr="000865DF">
        <w:rPr>
          <w:sz w:val="18"/>
          <w:szCs w:val="18"/>
        </w:rPr>
        <w:t>gress</w:t>
      </w:r>
      <w:r w:rsidR="00454624">
        <w:rPr>
          <w:sz w:val="18"/>
          <w:szCs w:val="18"/>
        </w:rPr>
        <w:t xml:space="preserve"> </w:t>
      </w:r>
      <w:r w:rsidR="004D0463" w:rsidRPr="000865DF">
        <w:rPr>
          <w:sz w:val="18"/>
          <w:szCs w:val="18"/>
        </w:rPr>
        <w:t>t</w:t>
      </w:r>
      <w:r w:rsidR="00454624">
        <w:rPr>
          <w:sz w:val="18"/>
          <w:szCs w:val="18"/>
        </w:rPr>
        <w:t>o</w:t>
      </w:r>
      <w:r w:rsidR="004D0463" w:rsidRPr="000865DF">
        <w:rPr>
          <w:sz w:val="18"/>
          <w:szCs w:val="18"/>
        </w:rPr>
        <w:t>ward</w:t>
      </w:r>
      <w:r w:rsidR="00454624">
        <w:rPr>
          <w:sz w:val="18"/>
          <w:szCs w:val="18"/>
        </w:rPr>
        <w:t xml:space="preserve"> </w:t>
      </w:r>
      <w:r w:rsidR="004D0463" w:rsidRPr="000865DF">
        <w:rPr>
          <w:sz w:val="18"/>
          <w:szCs w:val="18"/>
        </w:rPr>
        <w:t>t</w:t>
      </w:r>
      <w:r w:rsidR="00454624">
        <w:rPr>
          <w:sz w:val="18"/>
          <w:szCs w:val="18"/>
        </w:rPr>
        <w:t xml:space="preserve">he </w:t>
      </w:r>
      <w:r w:rsidR="004D0463" w:rsidRPr="000865DF">
        <w:rPr>
          <w:sz w:val="18"/>
          <w:szCs w:val="18"/>
        </w:rPr>
        <w:t>reducti</w:t>
      </w:r>
      <w:r w:rsidR="00454624">
        <w:rPr>
          <w:sz w:val="18"/>
          <w:szCs w:val="18"/>
        </w:rPr>
        <w:t>o</w:t>
      </w:r>
      <w:r w:rsidR="004D0463" w:rsidRPr="000865DF">
        <w:rPr>
          <w:sz w:val="18"/>
          <w:szCs w:val="18"/>
        </w:rPr>
        <w:t>n</w:t>
      </w:r>
      <w:r w:rsidR="00454624">
        <w:rPr>
          <w:sz w:val="18"/>
          <w:szCs w:val="18"/>
        </w:rPr>
        <w:t xml:space="preserve"> o</w:t>
      </w:r>
      <w:r w:rsidR="004D0463" w:rsidRPr="000865DF">
        <w:rPr>
          <w:sz w:val="18"/>
          <w:szCs w:val="18"/>
        </w:rPr>
        <w:t>f</w:t>
      </w:r>
      <w:r w:rsidR="00454624">
        <w:rPr>
          <w:sz w:val="18"/>
          <w:szCs w:val="18"/>
        </w:rPr>
        <w:t xml:space="preserve"> </w:t>
      </w:r>
      <w:r w:rsidR="004D0463" w:rsidRPr="000865DF">
        <w:rPr>
          <w:sz w:val="18"/>
          <w:szCs w:val="18"/>
        </w:rPr>
        <w:t>ad</w:t>
      </w:r>
      <w:r w:rsidR="00454624">
        <w:rPr>
          <w:sz w:val="18"/>
          <w:szCs w:val="18"/>
        </w:rPr>
        <w:t>o</w:t>
      </w:r>
      <w:r w:rsidR="004D0463" w:rsidRPr="000865DF">
        <w:rPr>
          <w:sz w:val="18"/>
          <w:szCs w:val="18"/>
        </w:rPr>
        <w:t>lescent</w:t>
      </w:r>
      <w:r w:rsidR="00454624">
        <w:rPr>
          <w:sz w:val="18"/>
          <w:szCs w:val="18"/>
        </w:rPr>
        <w:t xml:space="preserve"> </w:t>
      </w:r>
      <w:r w:rsidR="004D0463" w:rsidRPr="000865DF">
        <w:rPr>
          <w:sz w:val="18"/>
          <w:szCs w:val="18"/>
        </w:rPr>
        <w:t>Pregnancy</w:t>
      </w:r>
      <w:r w:rsidR="00454624">
        <w:rPr>
          <w:sz w:val="18"/>
          <w:szCs w:val="18"/>
        </w:rPr>
        <w:t xml:space="preserve"> </w:t>
      </w:r>
      <w:r w:rsidR="004D0463" w:rsidRPr="000865DF">
        <w:rPr>
          <w:sz w:val="18"/>
          <w:szCs w:val="18"/>
        </w:rPr>
        <w:t xml:space="preserve">in </w:t>
      </w:r>
      <w:r w:rsidR="00454624" w:rsidRPr="000865DF">
        <w:rPr>
          <w:sz w:val="18"/>
          <w:szCs w:val="18"/>
        </w:rPr>
        <w:t>Latin</w:t>
      </w:r>
      <w:r w:rsidR="004D0463" w:rsidRPr="000865DF">
        <w:rPr>
          <w:sz w:val="18"/>
          <w:szCs w:val="18"/>
        </w:rPr>
        <w:t xml:space="preserve"> </w:t>
      </w:r>
      <w:r w:rsidR="00454624">
        <w:rPr>
          <w:sz w:val="18"/>
          <w:szCs w:val="18"/>
        </w:rPr>
        <w:t xml:space="preserve">America </w:t>
      </w:r>
      <w:r w:rsidR="004D0463" w:rsidRPr="000865DF">
        <w:rPr>
          <w:sz w:val="18"/>
          <w:szCs w:val="18"/>
        </w:rPr>
        <w:t>and</w:t>
      </w:r>
      <w:r w:rsidR="00454624">
        <w:rPr>
          <w:sz w:val="18"/>
          <w:szCs w:val="18"/>
        </w:rPr>
        <w:t xml:space="preserve"> </w:t>
      </w:r>
      <w:r w:rsidR="004D0463" w:rsidRPr="000865DF">
        <w:rPr>
          <w:sz w:val="18"/>
          <w:szCs w:val="18"/>
        </w:rPr>
        <w:t>t</w:t>
      </w:r>
      <w:r w:rsidR="00454624">
        <w:rPr>
          <w:sz w:val="18"/>
          <w:szCs w:val="18"/>
        </w:rPr>
        <w:t>h</w:t>
      </w:r>
      <w:r w:rsidR="004D0463" w:rsidRPr="000865DF">
        <w:rPr>
          <w:sz w:val="18"/>
          <w:szCs w:val="18"/>
        </w:rPr>
        <w:t>e</w:t>
      </w:r>
      <w:r w:rsidR="00454624">
        <w:rPr>
          <w:sz w:val="18"/>
          <w:szCs w:val="18"/>
        </w:rPr>
        <w:t xml:space="preserve"> </w:t>
      </w:r>
      <w:r w:rsidR="00454624" w:rsidRPr="000865DF">
        <w:rPr>
          <w:sz w:val="18"/>
          <w:szCs w:val="18"/>
        </w:rPr>
        <w:t>Caribbean</w:t>
      </w:r>
      <w:r w:rsidR="004D0463" w:rsidRPr="000865DF">
        <w:rPr>
          <w:sz w:val="18"/>
          <w:szCs w:val="18"/>
        </w:rPr>
        <w:t xml:space="preserve">, 15 (2017), available athttp://iris.paho.org/xmlui/bitstream/handle/123456789/34493/9789275119761-eng.pdf?sequence=1&amp;isAllowed=y&amp;ua=1; p.24 </w:t>
      </w:r>
    </w:p>
  </w:endnote>
  <w:endnote w:id="15">
    <w:p w14:paraId="10DCB6A1" w14:textId="77777777" w:rsidR="0063248B" w:rsidRPr="000865DF" w:rsidRDefault="0063248B" w:rsidP="001F0023">
      <w:pPr>
        <w:shd w:val="clear" w:color="auto" w:fill="FFFFFF"/>
        <w:spacing w:after="0" w:line="225" w:lineRule="atLeast"/>
        <w:ind w:right="300"/>
        <w:jc w:val="both"/>
        <w:textAlignment w:val="baseline"/>
        <w:rPr>
          <w:rFonts w:ascii="Times New Roman" w:hAnsi="Times New Roman" w:cs="Times New Roman"/>
          <w:color w:val="333333"/>
          <w:sz w:val="18"/>
          <w:szCs w:val="18"/>
        </w:rPr>
      </w:pPr>
      <w:r w:rsidRPr="000865DF">
        <w:rPr>
          <w:rStyle w:val="EndnoteReference"/>
          <w:rFonts w:ascii="Times New Roman" w:hAnsi="Times New Roman" w:cs="Times New Roman"/>
          <w:sz w:val="18"/>
          <w:szCs w:val="18"/>
        </w:rPr>
        <w:endnoteRef/>
      </w:r>
      <w:r w:rsidRPr="000865DF">
        <w:rPr>
          <w:rFonts w:ascii="Times New Roman" w:hAnsi="Times New Roman" w:cs="Times New Roman"/>
          <w:sz w:val="18"/>
          <w:szCs w:val="18"/>
        </w:rPr>
        <w:t xml:space="preserve"> </w:t>
      </w:r>
      <w:bookmarkStart w:id="0" w:name="R1"/>
      <w:r w:rsidRPr="000865DF">
        <w:rPr>
          <w:rFonts w:ascii="Times New Roman" w:hAnsi="Times New Roman" w:cs="Times New Roman"/>
          <w:color w:val="333333"/>
          <w:sz w:val="18"/>
          <w:szCs w:val="18"/>
          <w:bdr w:val="none" w:sz="0" w:space="0" w:color="auto" w:frame="1"/>
        </w:rPr>
        <w:t>Ashford L. </w:t>
      </w:r>
      <w:r w:rsidRPr="000865DF">
        <w:rPr>
          <w:rStyle w:val="Emphasis"/>
          <w:rFonts w:ascii="Times New Roman" w:hAnsi="Times New Roman" w:cs="Times New Roman"/>
          <w:color w:val="333333"/>
          <w:sz w:val="18"/>
          <w:szCs w:val="18"/>
          <w:bdr w:val="none" w:sz="0" w:space="0" w:color="auto" w:frame="1"/>
        </w:rPr>
        <w:t>Hidden suffering: disabilities from pregnancy and childbirth in less developed countries</w:t>
      </w:r>
      <w:r w:rsidRPr="000865DF">
        <w:rPr>
          <w:rFonts w:ascii="Times New Roman" w:hAnsi="Times New Roman" w:cs="Times New Roman"/>
          <w:color w:val="333333"/>
          <w:sz w:val="18"/>
          <w:szCs w:val="18"/>
          <w:bdr w:val="none" w:sz="0" w:space="0" w:color="auto" w:frame="1"/>
        </w:rPr>
        <w:t>. Population Reference Bureau; 2002. Available from: </w:t>
      </w:r>
      <w:bookmarkEnd w:id="0"/>
      <w:r w:rsidRPr="000865DF">
        <w:rPr>
          <w:rFonts w:ascii="Times New Roman" w:hAnsi="Times New Roman" w:cs="Times New Roman"/>
          <w:color w:val="333333"/>
          <w:sz w:val="18"/>
          <w:szCs w:val="18"/>
        </w:rPr>
        <w:fldChar w:fldCharType="begin"/>
      </w:r>
      <w:r w:rsidRPr="000865DF">
        <w:rPr>
          <w:rFonts w:ascii="Times New Roman" w:hAnsi="Times New Roman" w:cs="Times New Roman"/>
          <w:color w:val="333333"/>
          <w:sz w:val="18"/>
          <w:szCs w:val="18"/>
        </w:rPr>
        <w:instrText xml:space="preserve"> HYPERLINK "http://www.prb.org/pdf/hiddensufferingeng.pdf" </w:instrText>
      </w:r>
      <w:r w:rsidRPr="000865DF">
        <w:rPr>
          <w:rFonts w:ascii="Times New Roman" w:hAnsi="Times New Roman" w:cs="Times New Roman"/>
          <w:color w:val="333333"/>
          <w:sz w:val="18"/>
          <w:szCs w:val="18"/>
        </w:rPr>
        <w:fldChar w:fldCharType="separate"/>
      </w:r>
      <w:r w:rsidRPr="000865DF">
        <w:rPr>
          <w:rStyle w:val="Hyperlink"/>
          <w:rFonts w:ascii="Times New Roman" w:hAnsi="Times New Roman" w:cs="Times New Roman"/>
          <w:color w:val="723475"/>
          <w:sz w:val="18"/>
          <w:szCs w:val="18"/>
          <w:bdr w:val="none" w:sz="0" w:space="0" w:color="auto" w:frame="1"/>
        </w:rPr>
        <w:t>http://www.prb.org/pdf/hiddensufferingeng.pdf</w:t>
      </w:r>
      <w:r w:rsidRPr="000865DF">
        <w:rPr>
          <w:rFonts w:ascii="Times New Roman" w:hAnsi="Times New Roman" w:cs="Times New Roman"/>
          <w:color w:val="333333"/>
          <w:sz w:val="18"/>
          <w:szCs w:val="18"/>
        </w:rPr>
        <w:fldChar w:fldCharType="end"/>
      </w:r>
      <w:r w:rsidRPr="000865DF">
        <w:rPr>
          <w:rFonts w:ascii="Times New Roman" w:hAnsi="Times New Roman" w:cs="Times New Roman"/>
          <w:color w:val="333333"/>
          <w:sz w:val="18"/>
          <w:szCs w:val="18"/>
        </w:rPr>
        <w:t> [accessed 24 June 2013]</w:t>
      </w:r>
      <w:bookmarkStart w:id="1" w:name="R2"/>
      <w:r w:rsidRPr="000865DF">
        <w:rPr>
          <w:rFonts w:ascii="Times New Roman" w:hAnsi="Times New Roman" w:cs="Times New Roman"/>
          <w:color w:val="333333"/>
          <w:sz w:val="18"/>
          <w:szCs w:val="18"/>
        </w:rPr>
        <w:t xml:space="preserve">; </w:t>
      </w:r>
      <w:r w:rsidRPr="000865DF">
        <w:rPr>
          <w:rFonts w:ascii="Times New Roman" w:hAnsi="Times New Roman" w:cs="Times New Roman"/>
          <w:color w:val="333333"/>
          <w:sz w:val="18"/>
          <w:szCs w:val="18"/>
          <w:bdr w:val="none" w:sz="0" w:space="0" w:color="auto" w:frame="1"/>
        </w:rPr>
        <w:t>Reichenheim ME, Zylbersztajn F, Moraes CL, Lobato G. Severe acute obstetric morbidity (near-miss): a review of the relative use of its diagnostic indicators. </w:t>
      </w:r>
      <w:r w:rsidRPr="000865DF">
        <w:rPr>
          <w:rStyle w:val="Emphasis"/>
          <w:rFonts w:ascii="Times New Roman" w:hAnsi="Times New Roman" w:cs="Times New Roman"/>
          <w:color w:val="333333"/>
          <w:sz w:val="18"/>
          <w:szCs w:val="18"/>
          <w:bdr w:val="none" w:sz="0" w:space="0" w:color="auto" w:frame="1"/>
        </w:rPr>
        <w:t>Arch Gynecol Obstet</w:t>
      </w:r>
      <w:r w:rsidRPr="000865DF">
        <w:rPr>
          <w:rFonts w:ascii="Times New Roman" w:hAnsi="Times New Roman" w:cs="Times New Roman"/>
          <w:color w:val="333333"/>
          <w:sz w:val="18"/>
          <w:szCs w:val="18"/>
          <w:bdr w:val="none" w:sz="0" w:space="0" w:color="auto" w:frame="1"/>
        </w:rPr>
        <w:t> 2009; 280: 337-43 </w:t>
      </w:r>
      <w:bookmarkEnd w:id="1"/>
      <w:r w:rsidRPr="000865DF">
        <w:rPr>
          <w:rFonts w:ascii="Times New Roman" w:hAnsi="Times New Roman" w:cs="Times New Roman"/>
          <w:color w:val="333333"/>
          <w:sz w:val="18"/>
          <w:szCs w:val="18"/>
        </w:rPr>
        <w:fldChar w:fldCharType="begin"/>
      </w:r>
      <w:r w:rsidRPr="000865DF">
        <w:rPr>
          <w:rFonts w:ascii="Times New Roman" w:hAnsi="Times New Roman" w:cs="Times New Roman"/>
          <w:color w:val="333333"/>
          <w:sz w:val="18"/>
          <w:szCs w:val="18"/>
        </w:rPr>
        <w:instrText xml:space="preserve"> HYPERLINK "http://dx.doi.org/10.1007/s00404-008-0891-1" </w:instrText>
      </w:r>
      <w:r w:rsidRPr="000865DF">
        <w:rPr>
          <w:rFonts w:ascii="Times New Roman" w:hAnsi="Times New Roman" w:cs="Times New Roman"/>
          <w:color w:val="333333"/>
          <w:sz w:val="18"/>
          <w:szCs w:val="18"/>
        </w:rPr>
        <w:fldChar w:fldCharType="separate"/>
      </w:r>
      <w:r w:rsidRPr="000865DF">
        <w:rPr>
          <w:rStyle w:val="Hyperlink"/>
          <w:rFonts w:ascii="Times New Roman" w:hAnsi="Times New Roman" w:cs="Times New Roman"/>
          <w:color w:val="723475"/>
          <w:sz w:val="18"/>
          <w:szCs w:val="18"/>
          <w:bdr w:val="none" w:sz="0" w:space="0" w:color="auto" w:frame="1"/>
        </w:rPr>
        <w:t>http://dx.doi.org/10.1007/s00404-008-0891-1</w:t>
      </w:r>
      <w:r w:rsidRPr="000865DF">
        <w:rPr>
          <w:rFonts w:ascii="Times New Roman" w:hAnsi="Times New Roman" w:cs="Times New Roman"/>
          <w:color w:val="333333"/>
          <w:sz w:val="18"/>
          <w:szCs w:val="18"/>
        </w:rPr>
        <w:fldChar w:fldCharType="end"/>
      </w:r>
      <w:r w:rsidRPr="000865DF">
        <w:rPr>
          <w:rFonts w:ascii="Times New Roman" w:hAnsi="Times New Roman" w:cs="Times New Roman"/>
          <w:color w:val="333333"/>
          <w:sz w:val="18"/>
          <w:szCs w:val="18"/>
        </w:rPr>
        <w:t> pmid: </w:t>
      </w:r>
      <w:hyperlink r:id="rId2" w:history="1">
        <w:r w:rsidRPr="000865DF">
          <w:rPr>
            <w:rStyle w:val="Hyperlink"/>
            <w:rFonts w:ascii="Times New Roman" w:hAnsi="Times New Roman" w:cs="Times New Roman"/>
            <w:color w:val="723475"/>
            <w:sz w:val="18"/>
            <w:szCs w:val="18"/>
            <w:bdr w:val="none" w:sz="0" w:space="0" w:color="auto" w:frame="1"/>
          </w:rPr>
          <w:t>19112576</w:t>
        </w:r>
      </w:hyperlink>
      <w:r w:rsidRPr="000865DF">
        <w:rPr>
          <w:rFonts w:ascii="Times New Roman" w:hAnsi="Times New Roman" w:cs="Times New Roman"/>
          <w:color w:val="333333"/>
          <w:sz w:val="18"/>
          <w:szCs w:val="18"/>
        </w:rPr>
        <w:t>.</w:t>
      </w:r>
    </w:p>
  </w:endnote>
  <w:endnote w:id="16">
    <w:p w14:paraId="7E56E7C5" w14:textId="77777777" w:rsidR="0063248B" w:rsidRPr="000865DF" w:rsidRDefault="0063248B" w:rsidP="001F0023">
      <w:pPr>
        <w:pStyle w:val="EndnoteText"/>
        <w:jc w:val="both"/>
        <w:rPr>
          <w:sz w:val="18"/>
          <w:szCs w:val="18"/>
        </w:rPr>
      </w:pPr>
      <w:r w:rsidRPr="000865DF">
        <w:rPr>
          <w:rStyle w:val="EndnoteReference"/>
          <w:sz w:val="18"/>
          <w:szCs w:val="18"/>
        </w:rPr>
        <w:endnoteRef/>
      </w:r>
      <w:r w:rsidRPr="000865DF">
        <w:rPr>
          <w:sz w:val="18"/>
          <w:szCs w:val="18"/>
        </w:rPr>
        <w:t xml:space="preserve"> WHO, ‘Preventing Unsafe Abortion’, available at </w:t>
      </w:r>
      <w:hyperlink r:id="rId3" w:history="1">
        <w:r w:rsidRPr="000865DF">
          <w:rPr>
            <w:rStyle w:val="Hyperlink"/>
            <w:sz w:val="18"/>
            <w:szCs w:val="18"/>
          </w:rPr>
          <w:t>https://www.who.int/news-room/fact-sheets/detail/preventing-unsafe-abortion</w:t>
        </w:r>
      </w:hyperlink>
    </w:p>
  </w:endnote>
  <w:endnote w:id="17">
    <w:p w14:paraId="670673FD" w14:textId="77777777" w:rsidR="0063248B" w:rsidRPr="000865DF" w:rsidRDefault="0063248B" w:rsidP="001F0023">
      <w:pPr>
        <w:pStyle w:val="EndnoteText"/>
        <w:jc w:val="both"/>
        <w:rPr>
          <w:sz w:val="18"/>
          <w:szCs w:val="18"/>
        </w:rPr>
      </w:pPr>
      <w:r w:rsidRPr="000865DF">
        <w:rPr>
          <w:rStyle w:val="EndnoteReference"/>
          <w:sz w:val="18"/>
          <w:szCs w:val="18"/>
        </w:rPr>
        <w:endnoteRef/>
      </w:r>
      <w:r w:rsidRPr="000865DF">
        <w:rPr>
          <w:sz w:val="18"/>
          <w:szCs w:val="18"/>
        </w:rPr>
        <w:t xml:space="preserve"> Human Rights Committee, </w:t>
      </w:r>
      <w:r w:rsidRPr="000865DF">
        <w:rPr>
          <w:i/>
          <w:sz w:val="18"/>
          <w:szCs w:val="18"/>
        </w:rPr>
        <w:t xml:space="preserve">Gen. Comment No. 36, </w:t>
      </w:r>
      <w:r w:rsidRPr="000865DF">
        <w:rPr>
          <w:sz w:val="18"/>
          <w:szCs w:val="18"/>
        </w:rPr>
        <w:t>para. 8</w:t>
      </w:r>
    </w:p>
  </w:endnote>
  <w:endnote w:id="18">
    <w:p w14:paraId="7D9CA1D3" w14:textId="77777777" w:rsidR="0063248B" w:rsidRPr="000865DF" w:rsidRDefault="0063248B" w:rsidP="001F0023">
      <w:pPr>
        <w:pStyle w:val="EndnoteText"/>
        <w:jc w:val="both"/>
        <w:rPr>
          <w:sz w:val="18"/>
          <w:szCs w:val="18"/>
        </w:rPr>
      </w:pPr>
      <w:r w:rsidRPr="000865DF">
        <w:rPr>
          <w:rStyle w:val="EndnoteReference"/>
          <w:sz w:val="18"/>
          <w:szCs w:val="18"/>
        </w:rPr>
        <w:endnoteRef/>
      </w:r>
      <w:r w:rsidRPr="000865DF">
        <w:rPr>
          <w:sz w:val="18"/>
          <w:szCs w:val="18"/>
        </w:rPr>
        <w:t xml:space="preserve"> Human Rights Committee, </w:t>
      </w:r>
      <w:r w:rsidRPr="000865DF">
        <w:rPr>
          <w:i/>
          <w:sz w:val="18"/>
          <w:szCs w:val="18"/>
        </w:rPr>
        <w:t xml:space="preserve">Gen. Comment No. 36, </w:t>
      </w:r>
      <w:r w:rsidRPr="000865DF">
        <w:rPr>
          <w:sz w:val="18"/>
          <w:szCs w:val="18"/>
        </w:rPr>
        <w:t xml:space="preserve">para. 8; CEDAW Committee, </w:t>
      </w:r>
      <w:r w:rsidRPr="000865DF">
        <w:rPr>
          <w:i/>
          <w:sz w:val="18"/>
          <w:szCs w:val="18"/>
        </w:rPr>
        <w:t>Gen. Recommendation No. 24,</w:t>
      </w:r>
      <w:r w:rsidRPr="000865DF">
        <w:rPr>
          <w:sz w:val="18"/>
          <w:szCs w:val="18"/>
        </w:rPr>
        <w:t xml:space="preserve"> para. 14; CRC Committee, </w:t>
      </w:r>
      <w:r w:rsidRPr="000865DF">
        <w:rPr>
          <w:i/>
          <w:sz w:val="18"/>
          <w:szCs w:val="18"/>
        </w:rPr>
        <w:t>Concluding Observations: Nicaragua</w:t>
      </w:r>
      <w:r w:rsidRPr="000865DF">
        <w:rPr>
          <w:sz w:val="18"/>
          <w:szCs w:val="18"/>
        </w:rPr>
        <w:t xml:space="preserve">, para. 59, U.N. Doc. CRC/C/NIC/CO/4 (2010); CAT Committee, </w:t>
      </w:r>
      <w:r w:rsidRPr="000865DF">
        <w:rPr>
          <w:i/>
          <w:sz w:val="18"/>
          <w:szCs w:val="18"/>
        </w:rPr>
        <w:t>Concluding Observations: Nicaragua</w:t>
      </w:r>
      <w:r w:rsidRPr="000865DF">
        <w:rPr>
          <w:sz w:val="18"/>
          <w:szCs w:val="18"/>
        </w:rPr>
        <w:t>, para. 16, U.N. Doc. CAT/C/NIC/CO/1 (2009); CESCR Committee: Concluding Observations: Pakistan, paras. 77, 78, U.N. Doc. CESCR/C/PAK/CO/1 (2017).</w:t>
      </w:r>
    </w:p>
  </w:endnote>
  <w:endnote w:id="19">
    <w:p w14:paraId="7CF91196" w14:textId="77777777" w:rsidR="0063248B" w:rsidRPr="000865DF" w:rsidRDefault="0063248B" w:rsidP="001F0023">
      <w:pPr>
        <w:pStyle w:val="EndnoteText"/>
        <w:jc w:val="both"/>
        <w:rPr>
          <w:sz w:val="18"/>
          <w:szCs w:val="18"/>
        </w:rPr>
      </w:pPr>
      <w:r w:rsidRPr="000865DF">
        <w:rPr>
          <w:rStyle w:val="EndnoteReference"/>
          <w:sz w:val="18"/>
          <w:szCs w:val="18"/>
        </w:rPr>
        <w:endnoteRef/>
      </w:r>
      <w:r w:rsidRPr="000865DF">
        <w:rPr>
          <w:sz w:val="18"/>
          <w:szCs w:val="18"/>
        </w:rPr>
        <w:t xml:space="preserve"> CRC Committee, </w:t>
      </w:r>
      <w:r w:rsidRPr="000865DF">
        <w:rPr>
          <w:i/>
          <w:sz w:val="18"/>
          <w:szCs w:val="18"/>
        </w:rPr>
        <w:t>General Comment No. 15</w:t>
      </w:r>
      <w:r w:rsidRPr="000865DF">
        <w:rPr>
          <w:sz w:val="18"/>
          <w:szCs w:val="18"/>
        </w:rPr>
        <w:t xml:space="preserve">, para 70; Human Rights Committee, </w:t>
      </w:r>
      <w:r w:rsidRPr="000865DF">
        <w:rPr>
          <w:i/>
          <w:sz w:val="18"/>
          <w:szCs w:val="18"/>
        </w:rPr>
        <w:t xml:space="preserve">Gen. Comment No. 36, </w:t>
      </w:r>
      <w:r w:rsidRPr="000865DF">
        <w:rPr>
          <w:sz w:val="18"/>
          <w:szCs w:val="18"/>
        </w:rPr>
        <w:t xml:space="preserve">para 8; CESCR Committee, </w:t>
      </w:r>
      <w:r w:rsidRPr="000865DF">
        <w:rPr>
          <w:i/>
          <w:sz w:val="18"/>
          <w:szCs w:val="18"/>
        </w:rPr>
        <w:t xml:space="preserve">Gen. Comment No. 22, </w:t>
      </w:r>
      <w:r w:rsidRPr="000865DF">
        <w:rPr>
          <w:sz w:val="18"/>
          <w:szCs w:val="18"/>
        </w:rPr>
        <w:t xml:space="preserve">para 28; CEDAW Committee, </w:t>
      </w:r>
      <w:r w:rsidRPr="000865DF">
        <w:rPr>
          <w:i/>
          <w:sz w:val="18"/>
          <w:szCs w:val="18"/>
        </w:rPr>
        <w:t xml:space="preserve">Gen. Comment No. 35, </w:t>
      </w:r>
      <w:r w:rsidRPr="000865DF">
        <w:rPr>
          <w:sz w:val="18"/>
          <w:szCs w:val="18"/>
        </w:rPr>
        <w:t xml:space="preserve">para 18; CAT Committee, </w:t>
      </w:r>
      <w:r w:rsidRPr="000865DF">
        <w:rPr>
          <w:i/>
          <w:sz w:val="18"/>
          <w:szCs w:val="18"/>
        </w:rPr>
        <w:t>Concluding Observations: Poland</w:t>
      </w:r>
      <w:r w:rsidRPr="000865DF">
        <w:rPr>
          <w:sz w:val="18"/>
          <w:szCs w:val="18"/>
        </w:rPr>
        <w:t>, para 34(e), U.N. Doc. CAT/C/CO/POL/7 (2019)</w:t>
      </w:r>
    </w:p>
  </w:endnote>
  <w:endnote w:id="20">
    <w:p w14:paraId="7A24A418" w14:textId="77777777" w:rsidR="0063248B" w:rsidRPr="000865DF" w:rsidRDefault="0063248B" w:rsidP="001F0023">
      <w:pPr>
        <w:pStyle w:val="EndnoteText"/>
        <w:jc w:val="both"/>
        <w:rPr>
          <w:sz w:val="18"/>
          <w:szCs w:val="18"/>
        </w:rPr>
      </w:pPr>
      <w:r w:rsidRPr="000865DF">
        <w:rPr>
          <w:rStyle w:val="EndnoteReference"/>
          <w:sz w:val="18"/>
          <w:szCs w:val="18"/>
        </w:rPr>
        <w:endnoteRef/>
      </w:r>
      <w:r w:rsidRPr="000865DF">
        <w:rPr>
          <w:sz w:val="18"/>
          <w:szCs w:val="18"/>
        </w:rPr>
        <w:t xml:space="preserve"> Mellet v. Ireland, Human Rights Committee, Communication No. 2324/2013, para. 7.11, U.N. Doc. CCPR/C/116/D/2324/2013 (2016). Whelan v. Ireland, Human Rights Committee, Commc’n No. 2425/2014,</w:t>
      </w:r>
    </w:p>
  </w:endnote>
  <w:endnote w:id="21">
    <w:p w14:paraId="6AB82F9E" w14:textId="77777777" w:rsidR="0063248B" w:rsidRPr="000865DF" w:rsidRDefault="0063248B" w:rsidP="001F0023">
      <w:pPr>
        <w:pStyle w:val="EndnoteText"/>
        <w:jc w:val="both"/>
        <w:rPr>
          <w:sz w:val="18"/>
          <w:szCs w:val="18"/>
        </w:rPr>
      </w:pPr>
      <w:r w:rsidRPr="000865DF">
        <w:rPr>
          <w:rStyle w:val="EndnoteReference"/>
          <w:sz w:val="18"/>
          <w:szCs w:val="18"/>
        </w:rPr>
        <w:endnoteRef/>
      </w:r>
      <w:r w:rsidRPr="000865DF">
        <w:rPr>
          <w:sz w:val="18"/>
          <w:szCs w:val="18"/>
        </w:rPr>
        <w:t xml:space="preserve"> CRC Committee, </w:t>
      </w:r>
      <w:r w:rsidRPr="000865DF">
        <w:rPr>
          <w:i/>
          <w:sz w:val="18"/>
          <w:szCs w:val="18"/>
        </w:rPr>
        <w:t>Gen. Comment No. 20</w:t>
      </w:r>
      <w:r w:rsidRPr="000865DF">
        <w:rPr>
          <w:sz w:val="18"/>
          <w:szCs w:val="18"/>
        </w:rPr>
        <w:t>, para. 39.</w:t>
      </w:r>
    </w:p>
  </w:endnote>
  <w:endnote w:id="22">
    <w:p w14:paraId="3707A6D4" w14:textId="77777777" w:rsidR="0063248B" w:rsidRPr="000865DF" w:rsidRDefault="0063248B" w:rsidP="001F0023">
      <w:pPr>
        <w:pStyle w:val="EndnoteText"/>
        <w:jc w:val="both"/>
        <w:rPr>
          <w:sz w:val="18"/>
          <w:szCs w:val="18"/>
        </w:rPr>
      </w:pPr>
      <w:r w:rsidRPr="000865DF">
        <w:rPr>
          <w:rStyle w:val="EndnoteReference"/>
          <w:sz w:val="18"/>
          <w:szCs w:val="18"/>
        </w:rPr>
        <w:endnoteRef/>
      </w:r>
      <w:r w:rsidRPr="000865DF">
        <w:rPr>
          <w:sz w:val="18"/>
          <w:szCs w:val="18"/>
        </w:rPr>
        <w:t xml:space="preserve"> CEDAW Committee, </w:t>
      </w:r>
      <w:r w:rsidRPr="000865DF">
        <w:rPr>
          <w:i/>
          <w:sz w:val="18"/>
          <w:szCs w:val="18"/>
        </w:rPr>
        <w:t>Concluding Observations: Hungary</w:t>
      </w:r>
      <w:r w:rsidRPr="000865DF">
        <w:rPr>
          <w:sz w:val="18"/>
          <w:szCs w:val="18"/>
        </w:rPr>
        <w:t>, para 31(b), U.N. Doc CEDAW/C/HUN/CO/7-8 (2013).</w:t>
      </w:r>
    </w:p>
  </w:endnote>
  <w:endnote w:id="23">
    <w:p w14:paraId="3B97D21B" w14:textId="77777777" w:rsidR="0063248B" w:rsidRPr="000865DF" w:rsidRDefault="0063248B" w:rsidP="001F0023">
      <w:pPr>
        <w:pStyle w:val="EndnoteText"/>
        <w:jc w:val="both"/>
        <w:rPr>
          <w:sz w:val="18"/>
          <w:szCs w:val="18"/>
        </w:rPr>
      </w:pPr>
      <w:r w:rsidRPr="000865DF">
        <w:rPr>
          <w:rStyle w:val="EndnoteReference"/>
          <w:sz w:val="18"/>
          <w:szCs w:val="18"/>
        </w:rPr>
        <w:endnoteRef/>
      </w:r>
      <w:r w:rsidRPr="000865DF">
        <w:rPr>
          <w:sz w:val="18"/>
          <w:szCs w:val="18"/>
        </w:rPr>
        <w:t xml:space="preserve"> CRC Committee, </w:t>
      </w:r>
      <w:r w:rsidRPr="000865DF">
        <w:rPr>
          <w:i/>
          <w:sz w:val="18"/>
          <w:szCs w:val="18"/>
        </w:rPr>
        <w:t>Gen. Comment No. 15,</w:t>
      </w:r>
      <w:r w:rsidRPr="000865DF">
        <w:rPr>
          <w:sz w:val="18"/>
          <w:szCs w:val="18"/>
        </w:rPr>
        <w:t xml:space="preserve"> para 70; CRC Committee, </w:t>
      </w:r>
      <w:r w:rsidRPr="000865DF">
        <w:rPr>
          <w:i/>
          <w:sz w:val="18"/>
          <w:szCs w:val="18"/>
        </w:rPr>
        <w:t xml:space="preserve">Gen. Comment No. </w:t>
      </w:r>
      <w:r w:rsidRPr="000865DF">
        <w:rPr>
          <w:sz w:val="18"/>
          <w:szCs w:val="18"/>
        </w:rPr>
        <w:t xml:space="preserve">20 para 59; CEDAW Committee General Recommendation No. 35, para 40(c); CESCR Committee, General Comment No. 22, para 13, 45, 57; CEDAW Committee, </w:t>
      </w:r>
      <w:r w:rsidRPr="000865DF">
        <w:rPr>
          <w:i/>
          <w:sz w:val="18"/>
          <w:szCs w:val="18"/>
        </w:rPr>
        <w:t>Concluding Observations: Peru</w:t>
      </w:r>
      <w:r w:rsidRPr="000865DF">
        <w:rPr>
          <w:sz w:val="18"/>
          <w:szCs w:val="18"/>
        </w:rPr>
        <w:t>, paras. 35-36,</w:t>
      </w:r>
      <w:r w:rsidRPr="000865DF">
        <w:rPr>
          <w:i/>
          <w:sz w:val="18"/>
          <w:szCs w:val="18"/>
        </w:rPr>
        <w:t xml:space="preserve"> </w:t>
      </w:r>
      <w:r w:rsidRPr="000865DF">
        <w:rPr>
          <w:sz w:val="18"/>
          <w:szCs w:val="18"/>
        </w:rPr>
        <w:t xml:space="preserve">U.N. Doc. CEDAW/C/PER/CO/7-8 (2014); CRC Committee, </w:t>
      </w:r>
      <w:r w:rsidRPr="000865DF">
        <w:rPr>
          <w:i/>
          <w:sz w:val="18"/>
          <w:szCs w:val="18"/>
        </w:rPr>
        <w:t>Concluding Observations: Costa Rica</w:t>
      </w:r>
      <w:r w:rsidRPr="000865DF">
        <w:rPr>
          <w:sz w:val="18"/>
          <w:szCs w:val="18"/>
        </w:rPr>
        <w:t>, paras. 63-64, U.N. Doc. CRC/C/CRI/CO/4 (2011).</w:t>
      </w:r>
    </w:p>
  </w:endnote>
  <w:endnote w:id="24">
    <w:p w14:paraId="4A642D66" w14:textId="77777777" w:rsidR="0063248B" w:rsidRPr="000865DF" w:rsidRDefault="0063248B" w:rsidP="001F0023">
      <w:pPr>
        <w:pStyle w:val="EndnoteText"/>
        <w:jc w:val="both"/>
        <w:rPr>
          <w:sz w:val="18"/>
          <w:szCs w:val="18"/>
        </w:rPr>
      </w:pPr>
      <w:r w:rsidRPr="000865DF">
        <w:rPr>
          <w:rStyle w:val="EndnoteReference"/>
          <w:sz w:val="18"/>
          <w:szCs w:val="18"/>
        </w:rPr>
        <w:endnoteRef/>
      </w:r>
      <w:r w:rsidRPr="000865DF">
        <w:rPr>
          <w:sz w:val="18"/>
          <w:szCs w:val="18"/>
        </w:rPr>
        <w:t xml:space="preserve"> CEDAW Committee, </w:t>
      </w:r>
      <w:r w:rsidRPr="000865DF">
        <w:rPr>
          <w:i/>
          <w:sz w:val="18"/>
          <w:szCs w:val="18"/>
        </w:rPr>
        <w:t xml:space="preserve">Gen. Recommendation No. 30, </w:t>
      </w:r>
      <w:r w:rsidRPr="000865DF">
        <w:rPr>
          <w:sz w:val="18"/>
          <w:szCs w:val="18"/>
        </w:rPr>
        <w:t xml:space="preserve">para 52(c); CEDAW Committee, </w:t>
      </w:r>
      <w:r w:rsidRPr="000865DF">
        <w:rPr>
          <w:i/>
          <w:sz w:val="18"/>
          <w:szCs w:val="18"/>
        </w:rPr>
        <w:t>Concluding Observations: Central African Republic</w:t>
      </w:r>
      <w:r w:rsidRPr="000865DF">
        <w:rPr>
          <w:sz w:val="18"/>
          <w:szCs w:val="18"/>
        </w:rPr>
        <w:t>, paras. 39-40, U.N. Doc. CEDAW/C/CAF/CO/1-5 (2014).</w:t>
      </w:r>
    </w:p>
  </w:endnote>
  <w:endnote w:id="25">
    <w:p w14:paraId="002E88DC" w14:textId="77777777" w:rsidR="0063248B" w:rsidRPr="000865DF" w:rsidRDefault="0063248B" w:rsidP="001F0023">
      <w:pPr>
        <w:pStyle w:val="EndnoteText"/>
        <w:jc w:val="both"/>
        <w:rPr>
          <w:sz w:val="18"/>
          <w:szCs w:val="18"/>
          <w:highlight w:val="cyan"/>
        </w:rPr>
      </w:pPr>
      <w:r w:rsidRPr="000865DF">
        <w:rPr>
          <w:rStyle w:val="EndnoteReference"/>
          <w:sz w:val="18"/>
          <w:szCs w:val="18"/>
        </w:rPr>
        <w:endnoteRef/>
      </w:r>
      <w:r w:rsidRPr="000865DF">
        <w:rPr>
          <w:sz w:val="18"/>
          <w:szCs w:val="18"/>
        </w:rPr>
        <w:t xml:space="preserve"> CEDAW Committee, </w:t>
      </w:r>
      <w:r w:rsidRPr="000865DF">
        <w:rPr>
          <w:i/>
          <w:sz w:val="18"/>
          <w:szCs w:val="18"/>
        </w:rPr>
        <w:t>Gen. Recommendation No. 35</w:t>
      </w:r>
      <w:r w:rsidRPr="000865DF">
        <w:rPr>
          <w:sz w:val="18"/>
          <w:szCs w:val="18"/>
        </w:rPr>
        <w:t xml:space="preserve">, paras. 18, 40(c); CAT Committee, </w:t>
      </w:r>
      <w:r w:rsidRPr="000865DF">
        <w:rPr>
          <w:i/>
          <w:sz w:val="18"/>
          <w:szCs w:val="18"/>
        </w:rPr>
        <w:t>Concluding Observations: Greece</w:t>
      </w:r>
      <w:r w:rsidRPr="000865DF">
        <w:rPr>
          <w:sz w:val="18"/>
          <w:szCs w:val="18"/>
        </w:rPr>
        <w:t>, paras. 24, 25,</w:t>
      </w:r>
      <w:r w:rsidRPr="000865DF">
        <w:rPr>
          <w:i/>
          <w:sz w:val="18"/>
          <w:szCs w:val="18"/>
        </w:rPr>
        <w:t xml:space="preserve"> </w:t>
      </w:r>
      <w:r w:rsidRPr="000865DF">
        <w:rPr>
          <w:sz w:val="18"/>
          <w:szCs w:val="18"/>
        </w:rPr>
        <w:t>U.N. Doc. CAT/C/GRC/7 (2019)</w:t>
      </w:r>
    </w:p>
  </w:endnote>
  <w:endnote w:id="26">
    <w:p w14:paraId="5239B80A" w14:textId="77777777" w:rsidR="0063248B" w:rsidRPr="000865DF" w:rsidRDefault="0063248B" w:rsidP="00720C0D">
      <w:pPr>
        <w:pStyle w:val="EndnoteText"/>
        <w:jc w:val="both"/>
        <w:rPr>
          <w:sz w:val="18"/>
          <w:szCs w:val="18"/>
        </w:rPr>
      </w:pPr>
      <w:r w:rsidRPr="000865DF">
        <w:rPr>
          <w:rStyle w:val="EndnoteReference"/>
          <w:sz w:val="18"/>
          <w:szCs w:val="18"/>
        </w:rPr>
        <w:endnoteRef/>
      </w:r>
      <w:r w:rsidRPr="000865DF">
        <w:rPr>
          <w:sz w:val="18"/>
          <w:szCs w:val="18"/>
        </w:rPr>
        <w:t xml:space="preserve"> CEDAW Committee, </w:t>
      </w:r>
      <w:r w:rsidRPr="000865DF">
        <w:rPr>
          <w:i/>
          <w:sz w:val="18"/>
          <w:szCs w:val="18"/>
        </w:rPr>
        <w:t>Gen. Recommendation No. 35</w:t>
      </w:r>
      <w:r w:rsidRPr="000865DF">
        <w:rPr>
          <w:sz w:val="18"/>
          <w:szCs w:val="18"/>
        </w:rPr>
        <w:t xml:space="preserve">, at paras. 26(c), 37(a), 38(a); CESCR Committee, </w:t>
      </w:r>
      <w:r w:rsidRPr="000865DF">
        <w:rPr>
          <w:i/>
          <w:sz w:val="18"/>
          <w:szCs w:val="18"/>
        </w:rPr>
        <w:t>General Comment No. 22</w:t>
      </w:r>
      <w:r w:rsidRPr="000865DF">
        <w:rPr>
          <w:sz w:val="18"/>
          <w:szCs w:val="18"/>
        </w:rPr>
        <w:t xml:space="preserve">, paras. 27, 35; CESCR Committee, </w:t>
      </w:r>
      <w:r w:rsidRPr="000865DF">
        <w:rPr>
          <w:i/>
          <w:sz w:val="18"/>
          <w:szCs w:val="18"/>
        </w:rPr>
        <w:t>General Comment No. 16</w:t>
      </w:r>
      <w:r w:rsidRPr="000865DF">
        <w:rPr>
          <w:sz w:val="18"/>
          <w:szCs w:val="18"/>
        </w:rPr>
        <w:t xml:space="preserve">, para. 5; CRC Committee, </w:t>
      </w:r>
      <w:r w:rsidRPr="000865DF">
        <w:rPr>
          <w:i/>
          <w:sz w:val="18"/>
          <w:szCs w:val="18"/>
        </w:rPr>
        <w:t xml:space="preserve">Gen. Comment No. 20, </w:t>
      </w:r>
      <w:r w:rsidRPr="000865DF">
        <w:rPr>
          <w:sz w:val="18"/>
          <w:szCs w:val="18"/>
        </w:rPr>
        <w:t>para. 28</w:t>
      </w:r>
      <w:r w:rsidRPr="000865DF">
        <w:rPr>
          <w:i/>
          <w:sz w:val="18"/>
          <w:szCs w:val="18"/>
        </w:rPr>
        <w:t xml:space="preserve">; </w:t>
      </w:r>
      <w:r w:rsidRPr="000865DF">
        <w:rPr>
          <w:sz w:val="18"/>
          <w:szCs w:val="18"/>
        </w:rPr>
        <w:t xml:space="preserve">CRC Committee, </w:t>
      </w:r>
      <w:r w:rsidRPr="000865DF">
        <w:rPr>
          <w:i/>
          <w:sz w:val="18"/>
          <w:szCs w:val="18"/>
        </w:rPr>
        <w:t xml:space="preserve">Gen. Comment No. 15, </w:t>
      </w:r>
      <w:r w:rsidRPr="000865DF">
        <w:rPr>
          <w:sz w:val="18"/>
          <w:szCs w:val="18"/>
        </w:rPr>
        <w:t xml:space="preserve">para. 9; Human Rights Committee, </w:t>
      </w:r>
      <w:r w:rsidRPr="000865DF">
        <w:rPr>
          <w:i/>
          <w:sz w:val="18"/>
          <w:szCs w:val="18"/>
        </w:rPr>
        <w:t xml:space="preserve">Gen. Comment No.28, </w:t>
      </w:r>
      <w:r w:rsidRPr="000865DF">
        <w:rPr>
          <w:sz w:val="18"/>
          <w:szCs w:val="18"/>
        </w:rPr>
        <w:t xml:space="preserve">para 5; CEDAW Committee, </w:t>
      </w:r>
      <w:r w:rsidRPr="000865DF">
        <w:rPr>
          <w:i/>
          <w:sz w:val="18"/>
          <w:szCs w:val="18"/>
        </w:rPr>
        <w:t xml:space="preserve">Concluding Observations: Iraq, </w:t>
      </w:r>
      <w:r w:rsidRPr="000865DF">
        <w:rPr>
          <w:sz w:val="18"/>
          <w:szCs w:val="18"/>
        </w:rPr>
        <w:t xml:space="preserve">paras. 42-43, U.N. Doc. CEDAW/C/IRQ/CO/4-6 (2014); </w:t>
      </w:r>
      <w:r w:rsidRPr="000865DF">
        <w:rPr>
          <w:i/>
          <w:sz w:val="18"/>
          <w:szCs w:val="18"/>
        </w:rPr>
        <w:t>Bangladesh</w:t>
      </w:r>
      <w:r w:rsidRPr="000865DF">
        <w:rPr>
          <w:sz w:val="18"/>
          <w:szCs w:val="18"/>
        </w:rPr>
        <w:t>, para. 35 (b), U.N. Doc. CEDAW/C/BGD/CO/8 (2016).</w:t>
      </w:r>
    </w:p>
  </w:endnote>
  <w:endnote w:id="27">
    <w:p w14:paraId="0B56263C" w14:textId="77777777" w:rsidR="0063248B" w:rsidRPr="000865DF" w:rsidRDefault="0063248B" w:rsidP="00720C0D">
      <w:pPr>
        <w:pStyle w:val="EndnoteText"/>
        <w:jc w:val="both"/>
        <w:rPr>
          <w:sz w:val="18"/>
          <w:szCs w:val="18"/>
        </w:rPr>
      </w:pPr>
      <w:r w:rsidRPr="000865DF">
        <w:rPr>
          <w:rStyle w:val="EndnoteReference"/>
          <w:sz w:val="18"/>
          <w:szCs w:val="18"/>
        </w:rPr>
        <w:endnoteRef/>
      </w:r>
      <w:r w:rsidRPr="000865DF">
        <w:rPr>
          <w:sz w:val="18"/>
          <w:szCs w:val="18"/>
        </w:rPr>
        <w:t xml:space="preserve"> CESCR Committee, </w:t>
      </w:r>
      <w:r w:rsidRPr="000865DF">
        <w:rPr>
          <w:i/>
          <w:sz w:val="18"/>
          <w:szCs w:val="18"/>
        </w:rPr>
        <w:t>General Comment No. 22</w:t>
      </w:r>
      <w:r w:rsidRPr="000865DF">
        <w:rPr>
          <w:sz w:val="18"/>
          <w:szCs w:val="18"/>
        </w:rPr>
        <w:t>, paras. 27, 35, 36</w:t>
      </w:r>
    </w:p>
  </w:endnote>
  <w:endnote w:id="28">
    <w:p w14:paraId="03059408" w14:textId="77777777" w:rsidR="0063248B" w:rsidRPr="000865DF" w:rsidRDefault="0063248B" w:rsidP="00720C0D">
      <w:pPr>
        <w:pStyle w:val="EndnoteText"/>
        <w:jc w:val="both"/>
        <w:rPr>
          <w:sz w:val="18"/>
          <w:szCs w:val="18"/>
        </w:rPr>
      </w:pPr>
      <w:r w:rsidRPr="000865DF">
        <w:rPr>
          <w:rStyle w:val="EndnoteReference"/>
          <w:sz w:val="18"/>
          <w:szCs w:val="18"/>
        </w:rPr>
        <w:endnoteRef/>
      </w:r>
      <w:r w:rsidRPr="000865DF">
        <w:rPr>
          <w:sz w:val="18"/>
          <w:szCs w:val="18"/>
        </w:rPr>
        <w:t xml:space="preserve"> CEDAW Committee, Inquiry concerning the United Kingdom of Great Britain and Northern Ireland under article 8 of the Optional Protocol, U.N. Doc. CEDAW/C/OP.8/GBR/1, paras. 73, 74; CEDAW Committee, Summary of the inquiry concerning the Philippines under article 8 of the Optional Protocol to the Convention on the Elimination of All Forms of Discrimination against Women CEDAW/C/OP.8/PHL/1 (2014) para. 43; L.C. v. Peru, CEDAW Committee, Commc’n No. 22/2009, para. 8.15, U.N. Doc. CEDAW/C/50/D/22/2009 (2011); CESCR Committee, </w:t>
      </w:r>
      <w:r w:rsidRPr="000865DF">
        <w:rPr>
          <w:i/>
          <w:sz w:val="18"/>
          <w:szCs w:val="18"/>
        </w:rPr>
        <w:t xml:space="preserve">Gen. Comment No. </w:t>
      </w:r>
      <w:r w:rsidRPr="000865DF">
        <w:rPr>
          <w:sz w:val="18"/>
          <w:szCs w:val="18"/>
        </w:rPr>
        <w:t>22, paras. 27, 31, 55.</w:t>
      </w:r>
    </w:p>
    <w:p w14:paraId="080CAE48" w14:textId="77777777" w:rsidR="0063248B" w:rsidRPr="000865DF" w:rsidRDefault="0063248B" w:rsidP="00720C0D">
      <w:pPr>
        <w:pStyle w:val="EndnoteText"/>
        <w:jc w:val="both"/>
        <w:rPr>
          <w:sz w:val="18"/>
          <w:szCs w:val="18"/>
        </w:rPr>
      </w:pPr>
      <w:r w:rsidRPr="000865DF">
        <w:rPr>
          <w:rStyle w:val="CommentReference"/>
          <w:sz w:val="18"/>
          <w:szCs w:val="18"/>
        </w:rPr>
        <w:t>I</w:t>
      </w:r>
      <w:r w:rsidRPr="000865DF">
        <w:rPr>
          <w:sz w:val="18"/>
          <w:szCs w:val="18"/>
        </w:rPr>
        <w:t xml:space="preserve">n </w:t>
      </w:r>
      <w:r w:rsidRPr="000865DF">
        <w:rPr>
          <w:i/>
          <w:sz w:val="18"/>
          <w:szCs w:val="18"/>
        </w:rPr>
        <w:t>L.C v Peru</w:t>
      </w:r>
      <w:r w:rsidRPr="000865DF">
        <w:rPr>
          <w:sz w:val="18"/>
          <w:szCs w:val="18"/>
        </w:rPr>
        <w:t xml:space="preserve">, the CEDAW Committee addressed stereotyped roles of women and considered that decisions regarding health-care were influenced by the stereotype that protection of the foetus should prevail over the health of the pregnant woman, thereby violating the State’s obligation to take measures to achieve the elimination of practices based on stereotyped roles for women.  In </w:t>
      </w:r>
      <w:r w:rsidRPr="000865DF">
        <w:rPr>
          <w:i/>
          <w:sz w:val="18"/>
          <w:szCs w:val="18"/>
        </w:rPr>
        <w:t>Mellet v Ireland</w:t>
      </w:r>
      <w:r w:rsidRPr="000865DF">
        <w:rPr>
          <w:sz w:val="18"/>
          <w:szCs w:val="18"/>
        </w:rPr>
        <w:t xml:space="preserve">, some members of the Human Rights Committee considered that the legislative framework, which prohibited abortion except where the life of the pregnant woman is at risk, was based on a sexist stereotype limiting women to a reproductive role as mothers, and infringed rights to self-determination and to gender equality; </w:t>
      </w:r>
      <w:r w:rsidRPr="000865DF">
        <w:rPr>
          <w:i/>
          <w:sz w:val="18"/>
          <w:szCs w:val="18"/>
        </w:rPr>
        <w:t xml:space="preserve">Mellet v Ireland, Annex I, </w:t>
      </w:r>
      <w:r w:rsidRPr="000865DF">
        <w:rPr>
          <w:sz w:val="18"/>
          <w:szCs w:val="18"/>
        </w:rPr>
        <w:t>individual opinion of Yadh Ben Achour (concurring), para. 4, Annex II individual opinion of Sarah Cleveland (concurring), paras. 14, 15; see also Annex IV individual opinion of Víctor Rodríguez Rescia and Olivier de Frouville and Fabián Salvioli (concurring), paras. 10, 11</w:t>
      </w:r>
    </w:p>
  </w:endnote>
  <w:endnote w:id="29">
    <w:p w14:paraId="6986BC8C" w14:textId="77777777" w:rsidR="0063248B" w:rsidRPr="000865DF" w:rsidRDefault="0063248B" w:rsidP="00720C0D">
      <w:pPr>
        <w:pStyle w:val="EndnoteText"/>
        <w:jc w:val="both"/>
        <w:rPr>
          <w:sz w:val="18"/>
          <w:szCs w:val="18"/>
        </w:rPr>
      </w:pPr>
      <w:r w:rsidRPr="000865DF">
        <w:rPr>
          <w:rStyle w:val="EndnoteReference"/>
          <w:sz w:val="18"/>
          <w:szCs w:val="18"/>
        </w:rPr>
        <w:endnoteRef/>
      </w:r>
      <w:r w:rsidRPr="000865DF">
        <w:rPr>
          <w:sz w:val="18"/>
          <w:szCs w:val="18"/>
        </w:rPr>
        <w:t xml:space="preserve"> CEDAW Committee, </w:t>
      </w:r>
      <w:r w:rsidRPr="000865DF">
        <w:rPr>
          <w:i/>
          <w:sz w:val="18"/>
          <w:szCs w:val="18"/>
        </w:rPr>
        <w:t xml:space="preserve">Concluding Observations: Hungary, </w:t>
      </w:r>
      <w:r w:rsidRPr="000865DF">
        <w:rPr>
          <w:sz w:val="18"/>
          <w:szCs w:val="18"/>
        </w:rPr>
        <w:t xml:space="preserve">para. 30, U.N. Doc. CEDAW/C/HUN/CO/7-8 (2013); Human Rights Committee, </w:t>
      </w:r>
      <w:r w:rsidRPr="000865DF">
        <w:rPr>
          <w:i/>
          <w:sz w:val="18"/>
          <w:szCs w:val="18"/>
        </w:rPr>
        <w:t xml:space="preserve">Gen. Comment No. 36, </w:t>
      </w:r>
      <w:r w:rsidRPr="000865DF">
        <w:rPr>
          <w:sz w:val="18"/>
          <w:szCs w:val="18"/>
        </w:rPr>
        <w:t xml:space="preserve">para. 8; </w:t>
      </w:r>
    </w:p>
  </w:endnote>
  <w:endnote w:id="30">
    <w:p w14:paraId="70FC4720" w14:textId="77777777" w:rsidR="0063248B" w:rsidRPr="000865DF" w:rsidRDefault="0063248B" w:rsidP="00720C0D">
      <w:pPr>
        <w:spacing w:line="240" w:lineRule="auto"/>
        <w:jc w:val="both"/>
        <w:rPr>
          <w:rFonts w:ascii="Times New Roman" w:hAnsi="Times New Roman" w:cs="Times New Roman"/>
          <w:sz w:val="18"/>
          <w:szCs w:val="18"/>
        </w:rPr>
      </w:pPr>
      <w:r w:rsidRPr="000865DF">
        <w:rPr>
          <w:rStyle w:val="EndnoteReference"/>
          <w:rFonts w:ascii="Times New Roman" w:hAnsi="Times New Roman" w:cs="Times New Roman"/>
          <w:sz w:val="18"/>
          <w:szCs w:val="18"/>
        </w:rPr>
        <w:endnoteRef/>
      </w:r>
      <w:r w:rsidRPr="000865DF">
        <w:rPr>
          <w:rFonts w:ascii="Times New Roman" w:hAnsi="Times New Roman" w:cs="Times New Roman"/>
          <w:sz w:val="18"/>
          <w:szCs w:val="18"/>
        </w:rPr>
        <w:t xml:space="preserve"> Rebecca J. Cook and Simone Cusack, Gender Stereotyping: Transnational Legal Perspectives (Philadelphia, University of Pennsylvania Press, 2010), p. 34; The Special Rapporteur on Violence Against Women, Its Causes and Consequences, ‘A human rights-based approach to mistreatment and violence against women in reproductive health services with a focus on childbirth and obstetric violence’ (U.N. Doc </w:t>
      </w:r>
      <w:r w:rsidRPr="000865DF">
        <w:rPr>
          <w:rFonts w:ascii="Times New Roman" w:hAnsi="Times New Roman" w:cs="Times New Roman"/>
          <w:color w:val="1F4E79"/>
          <w:sz w:val="18"/>
          <w:szCs w:val="18"/>
          <w:lang w:val="en-GB"/>
        </w:rPr>
        <w:t xml:space="preserve">A/74/137) paras. 42 à 48 </w:t>
      </w:r>
    </w:p>
  </w:endnote>
  <w:endnote w:id="31">
    <w:p w14:paraId="19418659" w14:textId="77777777" w:rsidR="0063248B" w:rsidRPr="000865DF" w:rsidRDefault="0063248B" w:rsidP="00720C0D">
      <w:pPr>
        <w:pStyle w:val="EndnoteText"/>
        <w:jc w:val="both"/>
        <w:rPr>
          <w:sz w:val="18"/>
          <w:szCs w:val="18"/>
        </w:rPr>
      </w:pPr>
      <w:r w:rsidRPr="000865DF">
        <w:rPr>
          <w:rStyle w:val="EndnoteReference"/>
          <w:sz w:val="18"/>
          <w:szCs w:val="18"/>
        </w:rPr>
        <w:endnoteRef/>
      </w:r>
      <w:r w:rsidRPr="000865DF">
        <w:rPr>
          <w:sz w:val="18"/>
          <w:szCs w:val="18"/>
        </w:rPr>
        <w:t xml:space="preserve"> Human Rights Committee, General Comment No. 28: Equality of Rights between Men and Women, U.N. Doc. CCPR/C/21/Rev.1/Add.10 (2000); Human Rights Committee, General Comment No. 18: Non-discrimination, UN Doc HRI/GEN/1/Rev.1 at 26 (1994); CESCR Committee, General Comment No. 16: The Equal Rights of Men and Women to the Enjoyment of All Economic, Social and Cultural Rights, UN Doc E/C.12/2005/4 (2005); CESCR Committee, General Comment No. 20: Non-Discrimination in Economic, Social and Cultural Rights, UN Doc E/C.12/GC/20 (2009); CEDAW Committee, General Recommendation No. 25: Article 4, Paragraph 1, of the Convention on the Elimination of All Forms of Discrimination against Women, on Temporary Special Measures, UN Doc A/59/38 (2004)</w:t>
      </w:r>
    </w:p>
  </w:endnote>
  <w:endnote w:id="32">
    <w:p w14:paraId="01CBB138" w14:textId="77777777" w:rsidR="0063248B" w:rsidRPr="000865DF" w:rsidRDefault="0063248B" w:rsidP="00720C0D">
      <w:pPr>
        <w:pStyle w:val="EndnoteText"/>
        <w:jc w:val="both"/>
        <w:rPr>
          <w:sz w:val="18"/>
          <w:szCs w:val="18"/>
        </w:rPr>
      </w:pPr>
      <w:r w:rsidRPr="000865DF">
        <w:rPr>
          <w:rStyle w:val="EndnoteReference"/>
          <w:sz w:val="18"/>
          <w:szCs w:val="18"/>
        </w:rPr>
        <w:endnoteRef/>
      </w:r>
      <w:r w:rsidRPr="000865DF">
        <w:rPr>
          <w:sz w:val="18"/>
          <w:szCs w:val="18"/>
        </w:rPr>
        <w:t xml:space="preserve"> CESCR Committee</w:t>
      </w:r>
      <w:r w:rsidRPr="000865DF">
        <w:rPr>
          <w:i/>
          <w:sz w:val="18"/>
          <w:szCs w:val="18"/>
        </w:rPr>
        <w:t>, Gen. Comment No. 22</w:t>
      </w:r>
      <w:r w:rsidRPr="000865DF">
        <w:rPr>
          <w:sz w:val="18"/>
          <w:szCs w:val="18"/>
        </w:rPr>
        <w:t xml:space="preserve">, 1, para. 27 </w:t>
      </w:r>
    </w:p>
  </w:endnote>
  <w:endnote w:id="33">
    <w:p w14:paraId="7E5A5D40" w14:textId="77777777" w:rsidR="0063248B" w:rsidRPr="000865DF" w:rsidRDefault="0063248B" w:rsidP="00720C0D">
      <w:pPr>
        <w:jc w:val="both"/>
        <w:rPr>
          <w:rFonts w:ascii="Times New Roman" w:hAnsi="Times New Roman" w:cs="Times New Roman"/>
          <w:sz w:val="18"/>
          <w:szCs w:val="18"/>
        </w:rPr>
      </w:pPr>
      <w:r w:rsidRPr="000865DF">
        <w:rPr>
          <w:rStyle w:val="EndnoteReference"/>
          <w:rFonts w:ascii="Times New Roman" w:hAnsi="Times New Roman" w:cs="Times New Roman"/>
          <w:sz w:val="18"/>
          <w:szCs w:val="18"/>
        </w:rPr>
        <w:endnoteRef/>
      </w:r>
      <w:r w:rsidRPr="000865DF">
        <w:rPr>
          <w:rFonts w:ascii="Times New Roman" w:hAnsi="Times New Roman" w:cs="Times New Roman"/>
          <w:sz w:val="18"/>
          <w:szCs w:val="18"/>
        </w:rPr>
        <w:t xml:space="preserve"> CESCR Committee</w:t>
      </w:r>
      <w:r w:rsidRPr="000865DF">
        <w:rPr>
          <w:rFonts w:ascii="Times New Roman" w:hAnsi="Times New Roman" w:cs="Times New Roman"/>
          <w:i/>
          <w:sz w:val="18"/>
          <w:szCs w:val="18"/>
        </w:rPr>
        <w:t>, Gen. Comment No. 22</w:t>
      </w:r>
      <w:r w:rsidRPr="000865DF">
        <w:rPr>
          <w:rFonts w:ascii="Times New Roman" w:hAnsi="Times New Roman" w:cs="Times New Roman"/>
          <w:sz w:val="18"/>
          <w:szCs w:val="18"/>
        </w:rPr>
        <w:t>, paras. 22 – 28; CESCR Committee</w:t>
      </w:r>
      <w:r w:rsidRPr="000865DF">
        <w:rPr>
          <w:rFonts w:ascii="Times New Roman" w:hAnsi="Times New Roman" w:cs="Times New Roman"/>
          <w:i/>
          <w:sz w:val="18"/>
          <w:szCs w:val="18"/>
        </w:rPr>
        <w:t>, Gen. Comment No. 16</w:t>
      </w:r>
      <w:r w:rsidRPr="000865DF">
        <w:rPr>
          <w:rFonts w:ascii="Times New Roman" w:hAnsi="Times New Roman" w:cs="Times New Roman"/>
          <w:sz w:val="18"/>
          <w:szCs w:val="18"/>
        </w:rPr>
        <w:t>, para. 29.</w:t>
      </w:r>
    </w:p>
  </w:endnote>
  <w:endnote w:id="34">
    <w:p w14:paraId="6BB84B06" w14:textId="77777777" w:rsidR="0063248B" w:rsidRPr="000865DF" w:rsidRDefault="0063248B" w:rsidP="00720C0D">
      <w:pPr>
        <w:pStyle w:val="EndnoteText"/>
        <w:jc w:val="both"/>
        <w:rPr>
          <w:sz w:val="18"/>
          <w:szCs w:val="18"/>
        </w:rPr>
      </w:pPr>
      <w:r w:rsidRPr="000865DF">
        <w:rPr>
          <w:rStyle w:val="EndnoteReference"/>
          <w:sz w:val="18"/>
          <w:szCs w:val="18"/>
        </w:rPr>
        <w:endnoteRef/>
      </w:r>
      <w:r w:rsidRPr="000865DF">
        <w:rPr>
          <w:sz w:val="18"/>
          <w:szCs w:val="18"/>
        </w:rPr>
        <w:t xml:space="preserve"> CEDAW Committee, </w:t>
      </w:r>
      <w:r w:rsidRPr="000865DF">
        <w:rPr>
          <w:i/>
          <w:sz w:val="18"/>
          <w:szCs w:val="18"/>
        </w:rPr>
        <w:t xml:space="preserve">Gen. Recommendation No. 25, </w:t>
      </w:r>
      <w:r w:rsidRPr="000865DF">
        <w:rPr>
          <w:sz w:val="18"/>
          <w:szCs w:val="18"/>
        </w:rPr>
        <w:t>paras. 7, 8; CESCR Committee</w:t>
      </w:r>
      <w:r w:rsidRPr="000865DF">
        <w:rPr>
          <w:i/>
          <w:sz w:val="18"/>
          <w:szCs w:val="18"/>
        </w:rPr>
        <w:t>, Gen. Comment No. 22</w:t>
      </w:r>
      <w:r w:rsidRPr="000865DF">
        <w:rPr>
          <w:sz w:val="18"/>
          <w:szCs w:val="18"/>
        </w:rPr>
        <w:t>, paras. 35, 36.</w:t>
      </w:r>
    </w:p>
  </w:endnote>
  <w:endnote w:id="35">
    <w:p w14:paraId="18230FCE" w14:textId="77777777" w:rsidR="0063248B" w:rsidRPr="000865DF" w:rsidRDefault="0063248B" w:rsidP="00720C0D">
      <w:pPr>
        <w:pStyle w:val="EndnoteText"/>
        <w:jc w:val="both"/>
        <w:rPr>
          <w:sz w:val="18"/>
          <w:szCs w:val="18"/>
          <w:lang w:val="es-CO"/>
        </w:rPr>
      </w:pPr>
      <w:r w:rsidRPr="000865DF">
        <w:rPr>
          <w:rStyle w:val="EndnoteReference"/>
          <w:sz w:val="18"/>
          <w:szCs w:val="18"/>
        </w:rPr>
        <w:endnoteRef/>
      </w:r>
      <w:r w:rsidRPr="000865DF">
        <w:rPr>
          <w:sz w:val="18"/>
          <w:szCs w:val="18"/>
          <w:lang w:val="es-CO"/>
        </w:rPr>
        <w:t xml:space="preserve"> </w:t>
      </w:r>
      <w:r w:rsidRPr="000865DF">
        <w:rPr>
          <w:sz w:val="18"/>
          <w:szCs w:val="18"/>
        </w:rPr>
        <w:t>CESCR Committee</w:t>
      </w:r>
      <w:r w:rsidRPr="000865DF">
        <w:rPr>
          <w:i/>
          <w:sz w:val="18"/>
          <w:szCs w:val="18"/>
        </w:rPr>
        <w:t xml:space="preserve">, Gen. Comment No. 22, </w:t>
      </w:r>
      <w:r w:rsidRPr="000865DF">
        <w:rPr>
          <w:sz w:val="18"/>
          <w:szCs w:val="18"/>
          <w:lang w:val="es-CO"/>
        </w:rPr>
        <w:t>para 8</w:t>
      </w:r>
    </w:p>
  </w:endnote>
  <w:endnote w:id="36">
    <w:p w14:paraId="14221799" w14:textId="77777777" w:rsidR="0063248B" w:rsidRPr="000865DF" w:rsidRDefault="0063248B" w:rsidP="00720C0D">
      <w:pPr>
        <w:pStyle w:val="EndnoteText"/>
        <w:jc w:val="both"/>
        <w:rPr>
          <w:sz w:val="18"/>
          <w:szCs w:val="18"/>
          <w:lang w:val="es-CO"/>
        </w:rPr>
      </w:pPr>
      <w:r w:rsidRPr="000865DF">
        <w:rPr>
          <w:rStyle w:val="EndnoteReference"/>
          <w:sz w:val="18"/>
          <w:szCs w:val="18"/>
        </w:rPr>
        <w:endnoteRef/>
      </w:r>
      <w:r w:rsidRPr="000865DF">
        <w:rPr>
          <w:sz w:val="18"/>
          <w:szCs w:val="18"/>
          <w:lang w:val="es-CO"/>
        </w:rPr>
        <w:t xml:space="preserve"> </w:t>
      </w:r>
      <w:r w:rsidRPr="000865DF">
        <w:rPr>
          <w:i/>
          <w:sz w:val="18"/>
          <w:szCs w:val="18"/>
          <w:lang w:val="es-CO"/>
        </w:rPr>
        <w:t>Ibid.,</w:t>
      </w:r>
      <w:r w:rsidRPr="000865DF">
        <w:rPr>
          <w:sz w:val="18"/>
          <w:szCs w:val="18"/>
          <w:lang w:val="es-CO"/>
        </w:rPr>
        <w:t xml:space="preserve"> para 7</w:t>
      </w:r>
    </w:p>
  </w:endnote>
  <w:endnote w:id="37">
    <w:p w14:paraId="7AF0002D" w14:textId="77777777" w:rsidR="0063248B" w:rsidRPr="000865DF" w:rsidRDefault="0063248B" w:rsidP="00720C0D">
      <w:pPr>
        <w:pStyle w:val="EndnoteText"/>
        <w:jc w:val="both"/>
        <w:rPr>
          <w:sz w:val="18"/>
          <w:szCs w:val="18"/>
          <w:lang w:val="es-CO"/>
        </w:rPr>
      </w:pPr>
      <w:r w:rsidRPr="000865DF">
        <w:rPr>
          <w:rStyle w:val="EndnoteReference"/>
          <w:sz w:val="18"/>
          <w:szCs w:val="18"/>
        </w:rPr>
        <w:endnoteRef/>
      </w:r>
      <w:r w:rsidRPr="000865DF">
        <w:rPr>
          <w:sz w:val="18"/>
          <w:szCs w:val="18"/>
          <w:lang w:val="es-CO"/>
        </w:rPr>
        <w:t xml:space="preserve"> </w:t>
      </w:r>
      <w:r w:rsidRPr="000865DF">
        <w:rPr>
          <w:i/>
          <w:sz w:val="18"/>
          <w:szCs w:val="18"/>
          <w:lang w:val="es-CO"/>
        </w:rPr>
        <w:t xml:space="preserve">Ibid., </w:t>
      </w:r>
      <w:r w:rsidRPr="000865DF">
        <w:rPr>
          <w:sz w:val="18"/>
          <w:szCs w:val="18"/>
          <w:lang w:val="es-CO"/>
        </w:rPr>
        <w:t>para 8</w:t>
      </w:r>
    </w:p>
  </w:endnote>
  <w:endnote w:id="38">
    <w:p w14:paraId="6443B602" w14:textId="77777777" w:rsidR="0063248B" w:rsidRPr="000865DF" w:rsidRDefault="0063248B" w:rsidP="00720C0D">
      <w:pPr>
        <w:pStyle w:val="EndnoteText"/>
        <w:jc w:val="both"/>
        <w:rPr>
          <w:sz w:val="18"/>
          <w:szCs w:val="18"/>
        </w:rPr>
      </w:pPr>
      <w:r w:rsidRPr="000865DF">
        <w:rPr>
          <w:rStyle w:val="EndnoteReference"/>
          <w:sz w:val="18"/>
          <w:szCs w:val="18"/>
        </w:rPr>
        <w:endnoteRef/>
      </w:r>
      <w:r w:rsidRPr="000865DF">
        <w:rPr>
          <w:sz w:val="18"/>
          <w:szCs w:val="18"/>
        </w:rPr>
        <w:t xml:space="preserve"> Human Rights Committee, </w:t>
      </w:r>
      <w:r w:rsidRPr="000865DF">
        <w:rPr>
          <w:i/>
          <w:sz w:val="18"/>
          <w:szCs w:val="18"/>
        </w:rPr>
        <w:t>General Comment No. 36</w:t>
      </w:r>
      <w:r w:rsidRPr="000865DF">
        <w:rPr>
          <w:sz w:val="18"/>
          <w:szCs w:val="18"/>
        </w:rPr>
        <w:t>, para 26</w:t>
      </w:r>
    </w:p>
  </w:endnote>
  <w:endnote w:id="39">
    <w:p w14:paraId="1F3C1CFC" w14:textId="6761ED73" w:rsidR="0063248B" w:rsidRPr="000865DF" w:rsidRDefault="0063248B" w:rsidP="00D52441">
      <w:pPr>
        <w:pStyle w:val="EndnoteText"/>
        <w:jc w:val="both"/>
        <w:rPr>
          <w:sz w:val="18"/>
          <w:szCs w:val="18"/>
        </w:rPr>
      </w:pPr>
      <w:r w:rsidRPr="000865DF">
        <w:rPr>
          <w:sz w:val="18"/>
          <w:szCs w:val="18"/>
          <w:vertAlign w:val="superscript"/>
        </w:rPr>
        <w:endnoteRef/>
      </w:r>
      <w:r w:rsidRPr="000865DF">
        <w:rPr>
          <w:sz w:val="18"/>
          <w:szCs w:val="18"/>
        </w:rPr>
        <w:t xml:space="preserve"> CEDAW Committee, </w:t>
      </w:r>
      <w:r w:rsidRPr="000865DF">
        <w:rPr>
          <w:i/>
          <w:iCs/>
          <w:sz w:val="18"/>
          <w:szCs w:val="18"/>
        </w:rPr>
        <w:t>General Recommendation No. 30: Women in conflict prevention, conflict and post-conflict situations</w:t>
      </w:r>
      <w:r w:rsidRPr="000865DF">
        <w:rPr>
          <w:sz w:val="18"/>
          <w:szCs w:val="18"/>
        </w:rPr>
        <w:t xml:space="preserve">, para. 2, U.N. Doc. CEDAW/C/GC/30 (2013) [hereinafter CEDAW Committee, </w:t>
      </w:r>
      <w:r w:rsidRPr="000865DF">
        <w:rPr>
          <w:i/>
          <w:sz w:val="18"/>
          <w:szCs w:val="18"/>
        </w:rPr>
        <w:t>Gen. Recommendation No. 30</w:t>
      </w:r>
      <w:r w:rsidRPr="000865DF">
        <w:rPr>
          <w:sz w:val="18"/>
          <w:szCs w:val="18"/>
        </w:rPr>
        <w:t xml:space="preserve">]; CRC Committee, </w:t>
      </w:r>
      <w:r w:rsidRPr="000865DF">
        <w:rPr>
          <w:i/>
          <w:sz w:val="18"/>
          <w:szCs w:val="18"/>
        </w:rPr>
        <w:t>Gen. Comment No. 20</w:t>
      </w:r>
      <w:r w:rsidRPr="000865DF">
        <w:rPr>
          <w:sz w:val="18"/>
          <w:szCs w:val="18"/>
        </w:rPr>
        <w:t xml:space="preserve">, para. 79; CEDAW Committee, </w:t>
      </w:r>
      <w:r w:rsidRPr="000865DF">
        <w:rPr>
          <w:i/>
          <w:sz w:val="18"/>
          <w:szCs w:val="18"/>
        </w:rPr>
        <w:t xml:space="preserve">Concluding Observations: Democratic Republic of the Congo </w:t>
      </w:r>
      <w:r w:rsidRPr="000865DF">
        <w:rPr>
          <w:sz w:val="18"/>
          <w:szCs w:val="18"/>
        </w:rPr>
        <w:t>(advanced unedited version),</w:t>
      </w:r>
      <w:r w:rsidRPr="000865DF">
        <w:rPr>
          <w:i/>
          <w:sz w:val="18"/>
          <w:szCs w:val="18"/>
        </w:rPr>
        <w:t xml:space="preserve"> </w:t>
      </w:r>
      <w:r w:rsidRPr="000865DF">
        <w:rPr>
          <w:sz w:val="18"/>
          <w:szCs w:val="18"/>
        </w:rPr>
        <w:t xml:space="preserve">para. 10(d), U.N. Doc. CEDAW/C/COD/CO/8 (2019); Human Rights Committee, </w:t>
      </w:r>
      <w:r w:rsidRPr="000865DF">
        <w:rPr>
          <w:i/>
          <w:sz w:val="18"/>
          <w:szCs w:val="18"/>
        </w:rPr>
        <w:t xml:space="preserve">Gen. Comment No. 36, </w:t>
      </w:r>
      <w:r w:rsidRPr="000865DF">
        <w:rPr>
          <w:sz w:val="18"/>
          <w:szCs w:val="18"/>
        </w:rPr>
        <w:t xml:space="preserve">paras. 2, 10, 64; CESCR Committee, </w:t>
      </w:r>
      <w:r w:rsidRPr="000865DF">
        <w:rPr>
          <w:i/>
          <w:sz w:val="18"/>
          <w:szCs w:val="18"/>
        </w:rPr>
        <w:t>Gen. Comment No. 14</w:t>
      </w:r>
      <w:r w:rsidRPr="000865DF">
        <w:rPr>
          <w:sz w:val="18"/>
          <w:szCs w:val="18"/>
        </w:rPr>
        <w:t xml:space="preserve">, paras. 40, 65; CESCR Committee, </w:t>
      </w:r>
      <w:r w:rsidRPr="000865DF">
        <w:rPr>
          <w:i/>
          <w:sz w:val="18"/>
          <w:szCs w:val="18"/>
        </w:rPr>
        <w:t xml:space="preserve">Gen. Comment No. 3, </w:t>
      </w:r>
      <w:r w:rsidRPr="000865DF">
        <w:rPr>
          <w:sz w:val="18"/>
          <w:szCs w:val="18"/>
        </w:rPr>
        <w:t xml:space="preserve">para 10; Human Rights Committee, </w:t>
      </w:r>
      <w:r w:rsidRPr="000865DF">
        <w:rPr>
          <w:i/>
          <w:sz w:val="18"/>
          <w:szCs w:val="18"/>
        </w:rPr>
        <w:t>Gen. Comment No. 36</w:t>
      </w:r>
      <w:r w:rsidRPr="000865DF">
        <w:rPr>
          <w:sz w:val="18"/>
          <w:szCs w:val="18"/>
        </w:rPr>
        <w:t xml:space="preserve">, para. 64; Human Rights Committee, </w:t>
      </w:r>
      <w:r w:rsidRPr="000865DF">
        <w:rPr>
          <w:i/>
          <w:sz w:val="18"/>
          <w:szCs w:val="18"/>
        </w:rPr>
        <w:t>General Comment No. 31: The nature of the general legal obligation imposed on States parties to the Covenant</w:t>
      </w:r>
      <w:r w:rsidRPr="000865DF">
        <w:rPr>
          <w:sz w:val="18"/>
          <w:szCs w:val="18"/>
        </w:rPr>
        <w:t>, (80</w:t>
      </w:r>
      <w:r w:rsidRPr="000865DF">
        <w:rPr>
          <w:sz w:val="18"/>
          <w:szCs w:val="18"/>
          <w:vertAlign w:val="superscript"/>
        </w:rPr>
        <w:t>th</w:t>
      </w:r>
      <w:r w:rsidRPr="000865DF">
        <w:rPr>
          <w:sz w:val="18"/>
          <w:szCs w:val="18"/>
        </w:rPr>
        <w:t xml:space="preserve"> Sess., 2004), para. 11, U.N. Doc. CCPR/C/21/Rev.1/Add.13 (2004); Human Rights Committee, </w:t>
      </w:r>
      <w:r w:rsidRPr="000865DF">
        <w:rPr>
          <w:i/>
          <w:sz w:val="18"/>
          <w:szCs w:val="18"/>
        </w:rPr>
        <w:t>General Comment No. 29: States of emergency (Article 4),</w:t>
      </w:r>
      <w:r w:rsidRPr="000865DF">
        <w:rPr>
          <w:sz w:val="18"/>
          <w:szCs w:val="18"/>
        </w:rPr>
        <w:t xml:space="preserve"> (72</w:t>
      </w:r>
      <w:r w:rsidRPr="000865DF">
        <w:rPr>
          <w:sz w:val="18"/>
          <w:szCs w:val="18"/>
          <w:vertAlign w:val="superscript"/>
        </w:rPr>
        <w:t>nd</w:t>
      </w:r>
      <w:r w:rsidRPr="000865DF">
        <w:rPr>
          <w:sz w:val="18"/>
          <w:szCs w:val="18"/>
        </w:rPr>
        <w:t xml:space="preserve"> Sess., 2001), para. 3, U.N. Doc. CCPR/C/21/Rev.1/Add.11 (2001); Legality of the Threat or Use of Nuclear Weapons, Advisory Opinion, 1996 I.C.J., para. 22 (July 8); Legal Consequences of the Construction of a Wall in the Occupied Palestinian Territory, Advisory Opinion, 2004 I.C.J., para. 106 (July 9); Armed Activities on the Territory of the Congo (Democratic Republic of the Congo v. Uganda), Judgment, 2005 I.C.J., para. 216 (Dec. 19); CRPD Article 11, CRC Article 22, 38; CRC Committee Gen. Comment No. 20 paras. 79, 80; </w:t>
      </w:r>
      <w:r w:rsidRPr="000865DF">
        <w:rPr>
          <w:sz w:val="18"/>
          <w:szCs w:val="18"/>
          <w:shd w:val="clear" w:color="auto" w:fill="FFFFFF"/>
        </w:rPr>
        <w:t xml:space="preserve">CESCR Committee, </w:t>
      </w:r>
      <w:r w:rsidRPr="000865DF">
        <w:rPr>
          <w:i/>
          <w:sz w:val="18"/>
          <w:szCs w:val="18"/>
          <w:shd w:val="clear" w:color="auto" w:fill="FFFFFF"/>
        </w:rPr>
        <w:t xml:space="preserve">Gen. Comment No. 22, </w:t>
      </w:r>
      <w:r w:rsidRPr="000865DF">
        <w:rPr>
          <w:sz w:val="18"/>
          <w:szCs w:val="18"/>
        </w:rPr>
        <w:t>paras. 30, 31</w:t>
      </w:r>
    </w:p>
  </w:endnote>
  <w:endnote w:id="40">
    <w:p w14:paraId="6030A0C6" w14:textId="5E77001E" w:rsidR="0063248B" w:rsidRPr="000865DF" w:rsidRDefault="0063248B" w:rsidP="00D52441">
      <w:pPr>
        <w:pStyle w:val="Body"/>
        <w:spacing w:after="0"/>
        <w:jc w:val="both"/>
        <w:rPr>
          <w:rFonts w:ascii="Times New Roman" w:hAnsi="Times New Roman" w:cs="Times New Roman"/>
          <w:color w:val="auto"/>
          <w:sz w:val="18"/>
          <w:szCs w:val="18"/>
          <w:lang w:val="en-US"/>
        </w:rPr>
      </w:pPr>
      <w:r w:rsidRPr="000865DF">
        <w:rPr>
          <w:rStyle w:val="EndnoteReference"/>
          <w:rFonts w:ascii="Times New Roman" w:hAnsi="Times New Roman" w:cs="Times New Roman"/>
          <w:sz w:val="18"/>
          <w:szCs w:val="18"/>
        </w:rPr>
        <w:endnoteRef/>
      </w:r>
      <w:r w:rsidRPr="000865DF">
        <w:rPr>
          <w:rFonts w:ascii="Times New Roman" w:hAnsi="Times New Roman" w:cs="Times New Roman"/>
          <w:sz w:val="18"/>
          <w:szCs w:val="18"/>
          <w:lang w:val="en-US"/>
        </w:rPr>
        <w:t xml:space="preserve"> </w:t>
      </w:r>
      <w:r w:rsidRPr="000865DF">
        <w:rPr>
          <w:rFonts w:ascii="Times New Roman" w:hAnsi="Times New Roman" w:cs="Times New Roman"/>
          <w:color w:val="auto"/>
          <w:sz w:val="18"/>
          <w:szCs w:val="18"/>
          <w:lang w:val="en-US"/>
        </w:rPr>
        <w:t>CEDAW Committee, Gen. Recommendation No. 30, para.52(c)</w:t>
      </w:r>
    </w:p>
  </w:endnote>
  <w:endnote w:id="41">
    <w:p w14:paraId="4494B2BB" w14:textId="77777777" w:rsidR="0063248B" w:rsidRPr="000865DF" w:rsidRDefault="0063248B" w:rsidP="00D52441">
      <w:pPr>
        <w:pStyle w:val="EndnoteText"/>
        <w:jc w:val="both"/>
        <w:rPr>
          <w:sz w:val="18"/>
          <w:szCs w:val="18"/>
        </w:rPr>
      </w:pPr>
      <w:r w:rsidRPr="000865DF">
        <w:rPr>
          <w:rStyle w:val="EndnoteReference"/>
          <w:sz w:val="18"/>
          <w:szCs w:val="18"/>
        </w:rPr>
        <w:endnoteRef/>
      </w:r>
      <w:r w:rsidRPr="000865DF">
        <w:rPr>
          <w:sz w:val="18"/>
          <w:szCs w:val="18"/>
        </w:rPr>
        <w:t xml:space="preserve"> </w:t>
      </w:r>
      <w:r w:rsidRPr="000865DF">
        <w:rPr>
          <w:i/>
          <w:sz w:val="18"/>
          <w:szCs w:val="18"/>
        </w:rPr>
        <w:t>Ibid</w:t>
      </w:r>
      <w:r w:rsidRPr="000865DF">
        <w:rPr>
          <w:sz w:val="18"/>
          <w:szCs w:val="18"/>
        </w:rPr>
        <w:t>; CEDAW Committee, Concluding Observations: Central African Republic, para. 40(b), U.N. Doc. CEDAW/C/CAF/CO/1-5 (2014); see also CEDAW Committee, Concluding Observations: Democratic Republic of the Congo, paras. 35-36, U.N. Doc. CEDAW/C/COD/CO/5 (2006</w:t>
      </w:r>
    </w:p>
  </w:endnote>
  <w:endnote w:id="42">
    <w:p w14:paraId="179991DE" w14:textId="77777777" w:rsidR="0063248B" w:rsidRPr="000865DF" w:rsidRDefault="0063248B" w:rsidP="00D52441">
      <w:pPr>
        <w:pStyle w:val="EndnoteText"/>
        <w:jc w:val="both"/>
        <w:rPr>
          <w:sz w:val="18"/>
          <w:szCs w:val="18"/>
        </w:rPr>
      </w:pPr>
      <w:r w:rsidRPr="000865DF">
        <w:rPr>
          <w:rStyle w:val="EndnoteReference"/>
          <w:sz w:val="18"/>
          <w:szCs w:val="18"/>
        </w:rPr>
        <w:endnoteRef/>
      </w:r>
      <w:r w:rsidRPr="000865DF">
        <w:rPr>
          <w:sz w:val="18"/>
          <w:szCs w:val="18"/>
        </w:rPr>
        <w:t xml:space="preserve"> CESCR Czech, Slovakia, CEDAW Lithuania, CERD</w:t>
      </w:r>
    </w:p>
  </w:endnote>
  <w:endnote w:id="43">
    <w:p w14:paraId="797DB4A2" w14:textId="1B2DA52A" w:rsidR="0063248B" w:rsidRPr="000865DF" w:rsidRDefault="0063248B" w:rsidP="00D52441">
      <w:pPr>
        <w:pStyle w:val="EndnoteText"/>
        <w:jc w:val="both"/>
        <w:rPr>
          <w:sz w:val="18"/>
          <w:szCs w:val="18"/>
        </w:rPr>
      </w:pPr>
      <w:r w:rsidRPr="000865DF">
        <w:rPr>
          <w:rStyle w:val="EndnoteReference"/>
          <w:sz w:val="18"/>
          <w:szCs w:val="18"/>
        </w:rPr>
        <w:endnoteRef/>
      </w:r>
      <w:r w:rsidRPr="000865DF">
        <w:rPr>
          <w:sz w:val="18"/>
          <w:szCs w:val="18"/>
        </w:rPr>
        <w:t xml:space="preserve"> CEDAW Committee, </w:t>
      </w:r>
      <w:r w:rsidRPr="000865DF">
        <w:rPr>
          <w:i/>
          <w:sz w:val="18"/>
          <w:szCs w:val="18"/>
        </w:rPr>
        <w:t>Gen. Recommendation No. 30</w:t>
      </w:r>
      <w:r w:rsidRPr="000865DF">
        <w:rPr>
          <w:sz w:val="18"/>
          <w:szCs w:val="18"/>
        </w:rPr>
        <w:t xml:space="preserve">; CEDAW Committee, </w:t>
      </w:r>
      <w:r w:rsidRPr="000865DF">
        <w:rPr>
          <w:i/>
          <w:sz w:val="18"/>
          <w:szCs w:val="18"/>
        </w:rPr>
        <w:t>Gen. Recommendation No. 33</w:t>
      </w:r>
      <w:r w:rsidRPr="000865DF">
        <w:rPr>
          <w:sz w:val="18"/>
          <w:szCs w:val="18"/>
        </w:rPr>
        <w:t xml:space="preserve">, </w:t>
      </w:r>
    </w:p>
  </w:endnote>
  <w:endnote w:id="44">
    <w:p w14:paraId="049FDFF7"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International Committee of the Red Cross (ICRC), Women and War (June 2015), available at https://www.icrc.org/en/publication/0944-women-and-war; U.N. Secretary-General, Rep. of the Secretary-General on women, peace and security, paras. 5-7, U.N. Doc. S/2002/1154 (Oct. 16, 2002); Therese McGinn &amp; Sara E. Casey, Why don’t humanitarian organizations provide safe abortion services?, 10:8 CONFLICT AND HEALTH (March 2016), available at https://conflictandhealth.biomedcentral.com/articles/10.1186/s13031-016-0075-8.  </w:t>
      </w:r>
    </w:p>
  </w:endnote>
  <w:endnote w:id="45">
    <w:p w14:paraId="678414D3" w14:textId="5C657F7D" w:rsidR="0063248B" w:rsidRPr="000865DF" w:rsidRDefault="0063248B">
      <w:pPr>
        <w:pStyle w:val="EndnoteText"/>
        <w:rPr>
          <w:sz w:val="18"/>
          <w:szCs w:val="18"/>
        </w:rPr>
      </w:pPr>
      <w:r w:rsidRPr="000865DF">
        <w:rPr>
          <w:rStyle w:val="EndnoteReference"/>
          <w:sz w:val="18"/>
          <w:szCs w:val="18"/>
        </w:rPr>
        <w:endnoteRef/>
      </w:r>
      <w:r w:rsidRPr="000865DF">
        <w:rPr>
          <w:sz w:val="18"/>
          <w:szCs w:val="18"/>
        </w:rPr>
        <w:t xml:space="preserve"> </w:t>
      </w:r>
      <w:r w:rsidR="004264F7" w:rsidRPr="000865DF">
        <w:rPr>
          <w:sz w:val="18"/>
          <w:szCs w:val="18"/>
        </w:rPr>
        <w:t xml:space="preserve">CENTER FOR REPRODUCTIVE RIGHTS, ENSURING SEXUAL AND REPRODUCTIVE HEALTH AND RIGHTS OF WOMEN AND GIRLS AFFECTED BY CONFLICT 6 (2017), available at https://www.reproductiverights.org/document/briefingpaper-ensuring-sexual-and-reproductive-health-and-rights.   </w:t>
      </w:r>
    </w:p>
  </w:endnote>
  <w:endnote w:id="46">
    <w:p w14:paraId="69C49A69"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CEDAW Committee, General Recommendation 30, para. 4, Human Rights Committee, General Comment 36, para. 64; Committee on Economic, Social and Cultural Rights, General Comment No. 14: The right to the highest attainable standard of health (Art.12), para. 47, U.N. Doc. E/C.12/2000/4 (2000) [hereinafter CESCR, Gen. Comment No. 14] (confirms that “if resource constraints render it impossible for a State to comply fully with its Covenant obligations, it has the burden of justifying that every effort has nevertheless been made to use all available resources at its disposal in order to satisfy, as a matter of priority, the obligations outlined above… a State party cannot, under any circumstances whatsoever, justify its non-compliance with the core obligations … which are non-derogable.”)</w:t>
      </w:r>
    </w:p>
  </w:endnote>
  <w:endnote w:id="47">
    <w:p w14:paraId="3664AD13" w14:textId="77777777" w:rsidR="0063248B" w:rsidRPr="000865DF" w:rsidRDefault="0063248B" w:rsidP="005556F4">
      <w:pPr>
        <w:autoSpaceDE w:val="0"/>
        <w:autoSpaceDN w:val="0"/>
        <w:adjustRightInd w:val="0"/>
        <w:jc w:val="both"/>
        <w:rPr>
          <w:rFonts w:ascii="Times New Roman" w:eastAsia="Times New Roman" w:hAnsi="Times New Roman" w:cs="Times New Roman"/>
          <w:sz w:val="18"/>
          <w:szCs w:val="18"/>
        </w:rPr>
      </w:pPr>
      <w:r w:rsidRPr="000865DF">
        <w:rPr>
          <w:rStyle w:val="EndnoteReference"/>
          <w:rFonts w:ascii="Times New Roman" w:eastAsia="Times New Roman" w:hAnsi="Times New Roman" w:cs="Times New Roman"/>
          <w:sz w:val="18"/>
          <w:szCs w:val="18"/>
        </w:rPr>
        <w:endnoteRef/>
      </w:r>
      <w:r w:rsidRPr="000865DF">
        <w:rPr>
          <w:rFonts w:ascii="Times New Roman" w:eastAsia="Times New Roman" w:hAnsi="Times New Roman" w:cs="Times New Roman"/>
          <w:sz w:val="18"/>
          <w:szCs w:val="18"/>
        </w:rPr>
        <w:t xml:space="preserve"> Human Rights Committee, </w:t>
      </w:r>
      <w:r w:rsidRPr="000865DF">
        <w:rPr>
          <w:rFonts w:ascii="Times New Roman" w:eastAsia="Times New Roman" w:hAnsi="Times New Roman" w:cs="Times New Roman"/>
          <w:i/>
          <w:iCs/>
          <w:sz w:val="18"/>
          <w:szCs w:val="18"/>
        </w:rPr>
        <w:t>General Comment No. 29: States of Emergency (Article 4)</w:t>
      </w:r>
      <w:r w:rsidRPr="000865DF">
        <w:rPr>
          <w:rFonts w:ascii="Times New Roman" w:eastAsia="Times New Roman" w:hAnsi="Times New Roman" w:cs="Times New Roman"/>
          <w:sz w:val="18"/>
          <w:szCs w:val="18"/>
        </w:rPr>
        <w:t xml:space="preserve">, para. 1, U.N. Doc. CCPR/C/21/Rev.1/Add.11 (2001) [hereinafter Human Rights Committee, </w:t>
      </w:r>
      <w:r w:rsidRPr="000865DF">
        <w:rPr>
          <w:rFonts w:ascii="Times New Roman" w:eastAsia="Times New Roman" w:hAnsi="Times New Roman" w:cs="Times New Roman"/>
          <w:i/>
          <w:iCs/>
          <w:sz w:val="18"/>
          <w:szCs w:val="18"/>
        </w:rPr>
        <w:t>Gen. Comment No. 29</w:t>
      </w:r>
      <w:r w:rsidRPr="000865DF">
        <w:rPr>
          <w:rFonts w:ascii="Times New Roman" w:eastAsia="Times New Roman" w:hAnsi="Times New Roman" w:cs="Times New Roman"/>
          <w:sz w:val="18"/>
          <w:szCs w:val="18"/>
        </w:rPr>
        <w:t xml:space="preserve">]; </w:t>
      </w:r>
      <w:r w:rsidRPr="000865DF">
        <w:rPr>
          <w:rFonts w:ascii="Times New Roman" w:eastAsia="Times New Roman" w:hAnsi="Times New Roman" w:cs="Times New Roman"/>
          <w:smallCaps/>
          <w:sz w:val="18"/>
          <w:szCs w:val="18"/>
        </w:rPr>
        <w:t>OHCHR,</w:t>
      </w:r>
      <w:r w:rsidRPr="000865DF">
        <w:rPr>
          <w:rFonts w:ascii="Times New Roman" w:eastAsia="Times New Roman" w:hAnsi="Times New Roman" w:cs="Times New Roman"/>
          <w:sz w:val="18"/>
          <w:szCs w:val="18"/>
        </w:rPr>
        <w:t xml:space="preserve"> </w:t>
      </w:r>
      <w:r w:rsidRPr="000865DF">
        <w:rPr>
          <w:rFonts w:ascii="Times New Roman" w:eastAsia="Times New Roman" w:hAnsi="Times New Roman" w:cs="Times New Roman"/>
          <w:smallCaps/>
          <w:sz w:val="18"/>
          <w:szCs w:val="18"/>
        </w:rPr>
        <w:t>International Legal Protection of Human Rights in Armed Conflict</w:t>
      </w:r>
      <w:r w:rsidRPr="000865DF">
        <w:rPr>
          <w:rFonts w:ascii="Times New Roman" w:eastAsia="Times New Roman" w:hAnsi="Times New Roman" w:cs="Times New Roman"/>
          <w:sz w:val="18"/>
          <w:szCs w:val="18"/>
        </w:rPr>
        <w:t xml:space="preserve"> 10 (2011), </w:t>
      </w:r>
      <w:r w:rsidRPr="000865DF">
        <w:rPr>
          <w:rFonts w:ascii="Times New Roman" w:eastAsia="Times New Roman" w:hAnsi="Times New Roman" w:cs="Times New Roman"/>
          <w:i/>
          <w:iCs/>
          <w:sz w:val="18"/>
          <w:szCs w:val="18"/>
        </w:rPr>
        <w:t>available at</w:t>
      </w:r>
      <w:r w:rsidRPr="000865DF">
        <w:rPr>
          <w:rFonts w:ascii="Times New Roman" w:eastAsia="Times New Roman" w:hAnsi="Times New Roman" w:cs="Times New Roman"/>
          <w:sz w:val="18"/>
          <w:szCs w:val="18"/>
        </w:rPr>
        <w:t xml:space="preserve"> </w:t>
      </w:r>
      <w:hyperlink r:id="rId4" w:history="1">
        <w:r w:rsidRPr="000865DF">
          <w:rPr>
            <w:rStyle w:val="Hyperlink"/>
            <w:rFonts w:ascii="Times New Roman" w:hAnsi="Times New Roman" w:cs="Times New Roman"/>
            <w:sz w:val="18"/>
            <w:szCs w:val="18"/>
          </w:rPr>
          <w:t>http://www.ohchr.org/Documents/Publications/HR_in_armed_conflict.pdf</w:t>
        </w:r>
      </w:hyperlink>
      <w:r w:rsidRPr="000865DF">
        <w:rPr>
          <w:rFonts w:ascii="Times New Roman" w:eastAsia="Times New Roman" w:hAnsi="Times New Roman" w:cs="Times New Roman"/>
          <w:sz w:val="18"/>
          <w:szCs w:val="18"/>
        </w:rPr>
        <w:t xml:space="preserve">. State obligations with respect to economic, social, and cultural rights, including the right to health, are subject to progressive realization, though states are obligated to take steps to the maximum of available resources to fully realize these rights. ICESCR, art. 2(1); Convention on the Rights of the Child, </w:t>
      </w:r>
      <w:r w:rsidRPr="000865DF">
        <w:rPr>
          <w:rFonts w:ascii="Times New Roman" w:eastAsia="Times New Roman" w:hAnsi="Times New Roman" w:cs="Times New Roman"/>
          <w:i/>
          <w:iCs/>
          <w:sz w:val="18"/>
          <w:szCs w:val="18"/>
        </w:rPr>
        <w:t>adopted</w:t>
      </w:r>
      <w:r w:rsidRPr="000865DF">
        <w:rPr>
          <w:rFonts w:ascii="Times New Roman" w:eastAsia="Times New Roman" w:hAnsi="Times New Roman" w:cs="Times New Roman"/>
          <w:sz w:val="18"/>
          <w:szCs w:val="18"/>
        </w:rPr>
        <w:t xml:space="preserve"> Nov. 20, 1989, art. 4, G.A. Res. 44/25, annex, U.N. GAOR, 44</w:t>
      </w:r>
      <w:r w:rsidRPr="000865DF">
        <w:rPr>
          <w:rFonts w:ascii="Times New Roman" w:eastAsia="Times New Roman" w:hAnsi="Times New Roman" w:cs="Times New Roman"/>
          <w:sz w:val="18"/>
          <w:szCs w:val="18"/>
          <w:vertAlign w:val="superscript"/>
        </w:rPr>
        <w:t>th</w:t>
      </w:r>
      <w:r w:rsidRPr="000865DF">
        <w:rPr>
          <w:rFonts w:ascii="Times New Roman" w:eastAsia="Times New Roman" w:hAnsi="Times New Roman" w:cs="Times New Roman"/>
          <w:sz w:val="18"/>
          <w:szCs w:val="18"/>
        </w:rPr>
        <w:t xml:space="preserve"> Sess., Supp. No. 49, U.N. Doc. A/44/49 (1989), (</w:t>
      </w:r>
      <w:r w:rsidRPr="000865DF">
        <w:rPr>
          <w:rFonts w:ascii="Times New Roman" w:eastAsia="Times New Roman" w:hAnsi="Times New Roman" w:cs="Times New Roman"/>
          <w:i/>
          <w:iCs/>
          <w:sz w:val="18"/>
          <w:szCs w:val="18"/>
        </w:rPr>
        <w:t xml:space="preserve">entered into force </w:t>
      </w:r>
      <w:r w:rsidRPr="000865DF">
        <w:rPr>
          <w:rFonts w:ascii="Times New Roman" w:eastAsia="Times New Roman" w:hAnsi="Times New Roman" w:cs="Times New Roman"/>
          <w:sz w:val="18"/>
          <w:szCs w:val="18"/>
        </w:rPr>
        <w:t xml:space="preserve">Sept. 2, 1990) [hereinafter CRC]; CRPD, art. 4(2); </w:t>
      </w:r>
      <w:r w:rsidRPr="000865DF">
        <w:rPr>
          <w:rFonts w:ascii="Times New Roman" w:eastAsia="Times New Roman" w:hAnsi="Times New Roman" w:cs="Times New Roman"/>
          <w:i/>
          <w:iCs/>
          <w:sz w:val="18"/>
          <w:szCs w:val="18"/>
        </w:rPr>
        <w:t>see also</w:t>
      </w:r>
      <w:r w:rsidRPr="000865DF">
        <w:rPr>
          <w:rFonts w:ascii="Times New Roman" w:eastAsia="Times New Roman" w:hAnsi="Times New Roman" w:cs="Times New Roman"/>
          <w:sz w:val="18"/>
          <w:szCs w:val="18"/>
        </w:rPr>
        <w:t xml:space="preserve"> CESCR Committee, </w:t>
      </w:r>
      <w:r w:rsidRPr="000865DF">
        <w:rPr>
          <w:rFonts w:ascii="Times New Roman" w:eastAsia="Times New Roman" w:hAnsi="Times New Roman" w:cs="Times New Roman"/>
          <w:i/>
          <w:iCs/>
          <w:sz w:val="18"/>
          <w:szCs w:val="18"/>
        </w:rPr>
        <w:t>General Comment No. 3</w:t>
      </w:r>
      <w:r w:rsidRPr="000865DF">
        <w:rPr>
          <w:rFonts w:ascii="Times New Roman" w:eastAsia="Times New Roman" w:hAnsi="Times New Roman" w:cs="Times New Roman"/>
          <w:sz w:val="18"/>
          <w:szCs w:val="18"/>
        </w:rPr>
        <w:t>,</w:t>
      </w:r>
      <w:r w:rsidRPr="000865DF">
        <w:rPr>
          <w:rFonts w:ascii="Times New Roman" w:eastAsia="Times New Roman" w:hAnsi="Times New Roman" w:cs="Times New Roman"/>
          <w:i/>
          <w:iCs/>
          <w:sz w:val="18"/>
          <w:szCs w:val="18"/>
        </w:rPr>
        <w:t xml:space="preserve"> </w:t>
      </w:r>
      <w:r w:rsidRPr="000865DF">
        <w:rPr>
          <w:rFonts w:ascii="Times New Roman" w:eastAsia="Times New Roman" w:hAnsi="Times New Roman" w:cs="Times New Roman"/>
          <w:sz w:val="18"/>
          <w:szCs w:val="18"/>
        </w:rPr>
        <w:t xml:space="preserve">para. 9. </w:t>
      </w:r>
    </w:p>
  </w:endnote>
  <w:endnote w:id="48">
    <w:p w14:paraId="4F508034" w14:textId="77777777" w:rsidR="0063248B" w:rsidRPr="000865DF" w:rsidRDefault="0063248B" w:rsidP="005556F4">
      <w:pPr>
        <w:pStyle w:val="EndnoteText"/>
        <w:jc w:val="both"/>
        <w:rPr>
          <w:i/>
          <w:iCs/>
          <w:sz w:val="18"/>
          <w:szCs w:val="18"/>
        </w:rPr>
      </w:pPr>
      <w:r w:rsidRPr="000865DF">
        <w:rPr>
          <w:rStyle w:val="EndnoteReference"/>
          <w:rFonts w:eastAsia="Times New Roman"/>
          <w:sz w:val="18"/>
          <w:szCs w:val="18"/>
        </w:rPr>
        <w:endnoteRef/>
      </w:r>
      <w:r w:rsidRPr="000865DF">
        <w:rPr>
          <w:rFonts w:eastAsia="Times New Roman"/>
          <w:sz w:val="18"/>
          <w:szCs w:val="18"/>
        </w:rPr>
        <w:t xml:space="preserve"> States cannot derogate from certain </w:t>
      </w:r>
      <w:r w:rsidRPr="000865DF">
        <w:rPr>
          <w:rFonts w:eastAsia="Times New Roman"/>
          <w:i/>
          <w:iCs/>
          <w:sz w:val="18"/>
          <w:szCs w:val="18"/>
        </w:rPr>
        <w:t>jus cogens</w:t>
      </w:r>
      <w:r w:rsidRPr="000865DF">
        <w:rPr>
          <w:rFonts w:eastAsia="Times New Roman"/>
          <w:sz w:val="18"/>
          <w:szCs w:val="18"/>
        </w:rPr>
        <w:t xml:space="preserve"> norms, such as the prohibitions on torture, genocide, and slavery, even during situations of armed conflict. </w:t>
      </w:r>
      <w:r w:rsidRPr="000865DF">
        <w:rPr>
          <w:rFonts w:eastAsia="Times New Roman"/>
          <w:i/>
          <w:iCs/>
          <w:sz w:val="18"/>
          <w:szCs w:val="18"/>
        </w:rPr>
        <w:t>See</w:t>
      </w:r>
      <w:r w:rsidRPr="000865DF">
        <w:rPr>
          <w:rFonts w:eastAsia="Times New Roman"/>
          <w:sz w:val="18"/>
          <w:szCs w:val="18"/>
        </w:rPr>
        <w:t xml:space="preserve"> Human Rights Committee, </w:t>
      </w:r>
      <w:r w:rsidRPr="000865DF">
        <w:rPr>
          <w:rFonts w:eastAsia="Times New Roman"/>
          <w:i/>
          <w:iCs/>
          <w:sz w:val="18"/>
          <w:szCs w:val="18"/>
        </w:rPr>
        <w:t>Gen. Comment No. 29</w:t>
      </w:r>
      <w:r w:rsidRPr="000865DF">
        <w:rPr>
          <w:rFonts w:eastAsia="Times New Roman"/>
          <w:sz w:val="18"/>
          <w:szCs w:val="18"/>
        </w:rPr>
        <w:t xml:space="preserve">, para. 7. Minimum core obligations with respect to economic, social, and cultural rights are not subject to resource availability and are non-derogable. </w:t>
      </w:r>
      <w:r w:rsidRPr="000865DF">
        <w:rPr>
          <w:rFonts w:eastAsia="Times New Roman"/>
          <w:i/>
          <w:iCs/>
          <w:sz w:val="18"/>
          <w:szCs w:val="18"/>
        </w:rPr>
        <w:t>See C</w:t>
      </w:r>
      <w:r w:rsidRPr="000865DF">
        <w:rPr>
          <w:rFonts w:eastAsia="Times New Roman"/>
          <w:sz w:val="18"/>
          <w:szCs w:val="18"/>
        </w:rPr>
        <w:t xml:space="preserve">ESCR Committee, </w:t>
      </w:r>
      <w:r w:rsidRPr="000865DF">
        <w:rPr>
          <w:rFonts w:eastAsia="Times New Roman"/>
          <w:i/>
          <w:iCs/>
          <w:sz w:val="18"/>
          <w:szCs w:val="18"/>
        </w:rPr>
        <w:t>Gen. Comment No. 14</w:t>
      </w:r>
      <w:r w:rsidRPr="000865DF">
        <w:rPr>
          <w:rFonts w:eastAsia="Times New Roman"/>
          <w:sz w:val="18"/>
          <w:szCs w:val="18"/>
        </w:rPr>
        <w:t xml:space="preserve">, para 47; CESCR Committee, </w:t>
      </w:r>
      <w:r w:rsidRPr="000865DF">
        <w:rPr>
          <w:rFonts w:eastAsia="Times New Roman"/>
          <w:i/>
          <w:iCs/>
          <w:sz w:val="18"/>
          <w:szCs w:val="18"/>
        </w:rPr>
        <w:t>General Comment No. 15: The right to water (arts. 11 and 12 of the International Covenant on Economic, Social and Cultural Rights)</w:t>
      </w:r>
      <w:r w:rsidRPr="000865DF">
        <w:rPr>
          <w:rFonts w:eastAsia="Times New Roman"/>
          <w:sz w:val="18"/>
          <w:szCs w:val="18"/>
        </w:rPr>
        <w:t xml:space="preserve">, at 13, para. 40, U.N. Doc. E/C.12/2002/11 (2003); </w:t>
      </w:r>
      <w:r w:rsidRPr="000865DF">
        <w:rPr>
          <w:rFonts w:eastAsia="Times New Roman"/>
          <w:i/>
          <w:iCs/>
          <w:sz w:val="18"/>
          <w:szCs w:val="18"/>
        </w:rPr>
        <w:t>see also</w:t>
      </w:r>
      <w:r w:rsidRPr="000865DF">
        <w:rPr>
          <w:rFonts w:eastAsia="Times New Roman"/>
          <w:sz w:val="18"/>
          <w:szCs w:val="18"/>
        </w:rPr>
        <w:t xml:space="preserve"> </w:t>
      </w:r>
      <w:r w:rsidRPr="000865DF">
        <w:rPr>
          <w:rFonts w:eastAsia="Times New Roman"/>
          <w:smallCaps/>
          <w:sz w:val="18"/>
          <w:szCs w:val="18"/>
        </w:rPr>
        <w:t>OHCHR, Protection of Economic, Social and Cultural Rights in Conflict, Report of the High Commissioner for Human Rights</w:t>
      </w:r>
      <w:r w:rsidRPr="000865DF">
        <w:rPr>
          <w:rFonts w:eastAsia="Times New Roman"/>
          <w:sz w:val="18"/>
          <w:szCs w:val="18"/>
        </w:rPr>
        <w:t xml:space="preserve"> 4-5 (2015), </w:t>
      </w:r>
      <w:r w:rsidRPr="000865DF">
        <w:rPr>
          <w:rFonts w:eastAsia="Times New Roman"/>
          <w:i/>
          <w:iCs/>
          <w:sz w:val="18"/>
          <w:szCs w:val="18"/>
        </w:rPr>
        <w:t xml:space="preserve">available at </w:t>
      </w:r>
      <w:hyperlink r:id="rId5" w:history="1">
        <w:r w:rsidRPr="000865DF">
          <w:rPr>
            <w:rStyle w:val="Hyperlink"/>
            <w:rFonts w:eastAsia="Times New Roman"/>
            <w:sz w:val="18"/>
            <w:szCs w:val="18"/>
          </w:rPr>
          <w:t>http://www.ohchr.org/Documents/Issues/ESCR/E-2015-59.pdf</w:t>
        </w:r>
      </w:hyperlink>
      <w:r w:rsidRPr="000865DF">
        <w:rPr>
          <w:rFonts w:eastAsia="Times New Roman"/>
          <w:sz w:val="18"/>
          <w:szCs w:val="18"/>
        </w:rPr>
        <w:t xml:space="preserve">. At the regional level, the African Charter of Human and Peoples’ Rights does not permit any grounds for derogation. </w:t>
      </w:r>
      <w:r w:rsidRPr="000865DF">
        <w:rPr>
          <w:rFonts w:eastAsia="Times New Roman"/>
          <w:i/>
          <w:iCs/>
          <w:sz w:val="18"/>
          <w:szCs w:val="18"/>
        </w:rPr>
        <w:t xml:space="preserve">See </w:t>
      </w:r>
      <w:r w:rsidRPr="000865DF">
        <w:rPr>
          <w:rFonts w:eastAsia="Times New Roman"/>
          <w:sz w:val="18"/>
          <w:szCs w:val="18"/>
        </w:rPr>
        <w:t xml:space="preserve">African Charter for Human and Peoples’ Rights, </w:t>
      </w:r>
      <w:r w:rsidRPr="000865DF">
        <w:rPr>
          <w:rFonts w:eastAsia="Times New Roman"/>
          <w:i/>
          <w:iCs/>
          <w:sz w:val="18"/>
          <w:szCs w:val="18"/>
        </w:rPr>
        <w:t xml:space="preserve">adopted </w:t>
      </w:r>
      <w:r w:rsidRPr="000865DF">
        <w:rPr>
          <w:rFonts w:eastAsia="Times New Roman"/>
          <w:sz w:val="18"/>
          <w:szCs w:val="18"/>
        </w:rPr>
        <w:t>June 27, 1981, art. 25, O.A.U. Doc. CAB/LEG/67/3, rev. 5, 21 I.L.M. 58 (1982) (</w:t>
      </w:r>
      <w:r w:rsidRPr="000865DF">
        <w:rPr>
          <w:rFonts w:eastAsia="Times New Roman"/>
          <w:i/>
          <w:iCs/>
          <w:sz w:val="18"/>
          <w:szCs w:val="18"/>
        </w:rPr>
        <w:t>entered into force</w:t>
      </w:r>
      <w:r w:rsidRPr="000865DF">
        <w:rPr>
          <w:rFonts w:eastAsia="Times New Roman"/>
          <w:sz w:val="18"/>
          <w:szCs w:val="18"/>
        </w:rPr>
        <w:t xml:space="preserve"> Oct. 21, 1986) (Banjul Charter).</w:t>
      </w:r>
    </w:p>
  </w:endnote>
  <w:endnote w:id="49">
    <w:p w14:paraId="5E531D9C" w14:textId="77777777" w:rsidR="0063248B" w:rsidRPr="000865DF" w:rsidRDefault="0063248B" w:rsidP="005556F4">
      <w:pPr>
        <w:pStyle w:val="EndnoteText"/>
        <w:jc w:val="both"/>
        <w:rPr>
          <w:sz w:val="18"/>
          <w:szCs w:val="18"/>
        </w:rPr>
      </w:pPr>
      <w:r w:rsidRPr="000865DF">
        <w:rPr>
          <w:rStyle w:val="EndnoteReference"/>
          <w:rFonts w:eastAsia="Times New Roman"/>
          <w:sz w:val="18"/>
          <w:szCs w:val="18"/>
        </w:rPr>
        <w:endnoteRef/>
      </w:r>
      <w:r w:rsidRPr="000865DF">
        <w:rPr>
          <w:rFonts w:eastAsia="Times New Roman"/>
          <w:sz w:val="18"/>
          <w:szCs w:val="18"/>
        </w:rPr>
        <w:t xml:space="preserve"> Human Rights Committee, </w:t>
      </w:r>
      <w:r w:rsidRPr="000865DF">
        <w:rPr>
          <w:rFonts w:eastAsia="Times New Roman"/>
          <w:i/>
          <w:iCs/>
          <w:sz w:val="18"/>
          <w:szCs w:val="18"/>
        </w:rPr>
        <w:t>Gen. Comment No. 29</w:t>
      </w:r>
      <w:r w:rsidRPr="000865DF">
        <w:rPr>
          <w:rFonts w:eastAsia="Times New Roman"/>
          <w:sz w:val="18"/>
          <w:szCs w:val="18"/>
        </w:rPr>
        <w:t>, para. 8.</w:t>
      </w:r>
    </w:p>
  </w:endnote>
  <w:endnote w:id="50">
    <w:p w14:paraId="30D0014D" w14:textId="77777777" w:rsidR="00F41715" w:rsidRPr="000865DF" w:rsidRDefault="00F41715" w:rsidP="00F41715">
      <w:pPr>
        <w:pStyle w:val="EndnoteText"/>
        <w:jc w:val="both"/>
        <w:rPr>
          <w:sz w:val="18"/>
          <w:szCs w:val="18"/>
        </w:rPr>
      </w:pPr>
      <w:r w:rsidRPr="000865DF">
        <w:rPr>
          <w:rStyle w:val="EndnoteReference"/>
          <w:rFonts w:eastAsia="Times New Roman"/>
          <w:sz w:val="18"/>
          <w:szCs w:val="18"/>
        </w:rPr>
        <w:endnoteRef/>
      </w:r>
      <w:r w:rsidRPr="000865DF">
        <w:rPr>
          <w:rFonts w:eastAsia="Times New Roman"/>
          <w:i/>
          <w:iCs/>
          <w:sz w:val="18"/>
          <w:szCs w:val="18"/>
        </w:rPr>
        <w:t xml:space="preserve"> See generally</w:t>
      </w:r>
      <w:r w:rsidRPr="000865DF">
        <w:rPr>
          <w:rFonts w:eastAsia="Times New Roman"/>
          <w:sz w:val="18"/>
          <w:szCs w:val="18"/>
        </w:rPr>
        <w:t xml:space="preserve"> </w:t>
      </w:r>
      <w:r w:rsidRPr="000865DF">
        <w:rPr>
          <w:rFonts w:eastAsia="Times New Roman"/>
          <w:smallCaps/>
          <w:sz w:val="18"/>
          <w:szCs w:val="18"/>
        </w:rPr>
        <w:t>Breaking Ground</w:t>
      </w:r>
      <w:r w:rsidRPr="000865DF">
        <w:rPr>
          <w:rFonts w:eastAsia="Times New Roman"/>
          <w:sz w:val="18"/>
          <w:szCs w:val="18"/>
        </w:rPr>
        <w:t xml:space="preserve"> 2018</w:t>
      </w:r>
    </w:p>
  </w:endnote>
  <w:endnote w:id="51">
    <w:p w14:paraId="36CEA96F" w14:textId="77777777" w:rsidR="00F41715" w:rsidRPr="000865DF" w:rsidRDefault="00F41715" w:rsidP="00F41715">
      <w:pPr>
        <w:pStyle w:val="EndnoteText"/>
        <w:jc w:val="both"/>
        <w:rPr>
          <w:sz w:val="18"/>
          <w:szCs w:val="18"/>
        </w:rPr>
      </w:pPr>
      <w:r w:rsidRPr="000865DF">
        <w:rPr>
          <w:rStyle w:val="EndnoteReference"/>
          <w:rFonts w:eastAsia="Times New Roman"/>
          <w:sz w:val="18"/>
          <w:szCs w:val="18"/>
        </w:rPr>
        <w:endnoteRef/>
      </w:r>
      <w:r w:rsidRPr="000865DF">
        <w:rPr>
          <w:rStyle w:val="EndnoteReference"/>
          <w:rFonts w:eastAsia="Times New Roman"/>
          <w:sz w:val="18"/>
          <w:szCs w:val="18"/>
        </w:rPr>
        <w:t xml:space="preserve"> </w:t>
      </w:r>
      <w:r w:rsidRPr="000865DF">
        <w:rPr>
          <w:rFonts w:eastAsia="Times New Roman"/>
          <w:sz w:val="18"/>
          <w:szCs w:val="18"/>
        </w:rPr>
        <w:t xml:space="preserve"> States’ obligations under the treaty “do not cease in periods of armed conflict or in states of emergency resulting from political events or natural disasters.” The CEDAW Committee explained that these situations “have a deep impact on and broad consequences for the equal enjoyment and exercise by women of their fundamental rights” and called upon states to pursue strategies and measures aimed at addressing the particular needs of women during such states of emergency. CEDAW Committee</w:t>
      </w:r>
      <w:r w:rsidRPr="000865DF">
        <w:rPr>
          <w:rFonts w:eastAsia="Times New Roman"/>
          <w:i/>
          <w:iCs/>
          <w:sz w:val="18"/>
          <w:szCs w:val="18"/>
        </w:rPr>
        <w:t>, General Recommendation No. 28 on the core obligations of States parties under article 2 of the Convention on the Elimination of All Forms of Discrimination against Women</w:t>
      </w:r>
      <w:r w:rsidRPr="000865DF">
        <w:rPr>
          <w:rFonts w:eastAsia="Times New Roman"/>
          <w:sz w:val="18"/>
          <w:szCs w:val="18"/>
        </w:rPr>
        <w:t xml:space="preserve">, at 3, para. 11, U.N. Doc. CEDAW/C/GC/28 (2010) [hereinafter CEDAW Committee, </w:t>
      </w:r>
      <w:r w:rsidRPr="000865DF">
        <w:rPr>
          <w:rFonts w:eastAsia="Times New Roman"/>
          <w:i/>
          <w:iCs/>
          <w:sz w:val="18"/>
          <w:szCs w:val="18"/>
        </w:rPr>
        <w:t>Gen. Recommendation No. 28</w:t>
      </w:r>
      <w:r w:rsidRPr="000865DF">
        <w:rPr>
          <w:rFonts w:eastAsia="Times New Roman"/>
          <w:sz w:val="18"/>
          <w:szCs w:val="18"/>
        </w:rPr>
        <w:t xml:space="preserve">]. </w:t>
      </w:r>
      <w:r w:rsidRPr="000865DF">
        <w:rPr>
          <w:rFonts w:eastAsia="Times New Roman"/>
          <w:i/>
          <w:iCs/>
          <w:sz w:val="18"/>
          <w:szCs w:val="18"/>
        </w:rPr>
        <w:t xml:space="preserve">See also </w:t>
      </w:r>
      <w:r w:rsidRPr="000865DF">
        <w:rPr>
          <w:rFonts w:eastAsia="Times New Roman"/>
          <w:sz w:val="18"/>
          <w:szCs w:val="18"/>
        </w:rPr>
        <w:t xml:space="preserve">CEDAW Committee, </w:t>
      </w:r>
      <w:r w:rsidRPr="000865DF">
        <w:rPr>
          <w:rFonts w:eastAsia="Times New Roman"/>
          <w:i/>
          <w:iCs/>
          <w:sz w:val="18"/>
          <w:szCs w:val="18"/>
        </w:rPr>
        <w:t>Gen. Recommendation No. 30</w:t>
      </w:r>
      <w:r w:rsidRPr="000865DF">
        <w:rPr>
          <w:rFonts w:eastAsia="Times New Roman"/>
          <w:sz w:val="18"/>
          <w:szCs w:val="18"/>
        </w:rPr>
        <w:t>, para. 2 (“The Committee reiterates that States parties’ obligations continue to apply during conflict or states of emergency without discrimination between citizens and non-citizens within their territory or effective control, even if not situated within the territory of the State party.”).</w:t>
      </w:r>
    </w:p>
  </w:endnote>
  <w:endnote w:id="52">
    <w:p w14:paraId="3146E596" w14:textId="77777777" w:rsidR="00F41715" w:rsidRPr="000865DF" w:rsidRDefault="00F41715" w:rsidP="00F41715">
      <w:pPr>
        <w:pStyle w:val="EndnoteText"/>
        <w:jc w:val="both"/>
        <w:rPr>
          <w:sz w:val="18"/>
          <w:szCs w:val="18"/>
        </w:rPr>
      </w:pPr>
      <w:r w:rsidRPr="000865DF">
        <w:rPr>
          <w:rStyle w:val="EndnoteReference"/>
          <w:rFonts w:eastAsia="Times New Roman"/>
          <w:sz w:val="18"/>
          <w:szCs w:val="18"/>
        </w:rPr>
        <w:endnoteRef/>
      </w:r>
      <w:r w:rsidRPr="000865DF">
        <w:rPr>
          <w:rFonts w:eastAsia="Times New Roman"/>
          <w:sz w:val="18"/>
          <w:szCs w:val="18"/>
        </w:rPr>
        <w:t xml:space="preserve"> CEDAW Committee, </w:t>
      </w:r>
      <w:r w:rsidRPr="000865DF">
        <w:rPr>
          <w:rFonts w:eastAsia="Times New Roman"/>
          <w:i/>
          <w:iCs/>
          <w:sz w:val="18"/>
          <w:szCs w:val="18"/>
        </w:rPr>
        <w:t>Gen. Recommendation No. 30</w:t>
      </w:r>
      <w:r w:rsidRPr="000865DF">
        <w:rPr>
          <w:rFonts w:eastAsia="Times New Roman"/>
          <w:sz w:val="18"/>
          <w:szCs w:val="18"/>
        </w:rPr>
        <w:t>, para. 2.</w:t>
      </w:r>
    </w:p>
  </w:endnote>
  <w:endnote w:id="53">
    <w:p w14:paraId="07E2724E" w14:textId="77777777" w:rsidR="00F41715" w:rsidRPr="000865DF" w:rsidRDefault="00F41715" w:rsidP="00F41715">
      <w:pPr>
        <w:pStyle w:val="EndnoteText"/>
        <w:jc w:val="both"/>
        <w:rPr>
          <w:sz w:val="18"/>
          <w:szCs w:val="18"/>
        </w:rPr>
      </w:pPr>
      <w:r w:rsidRPr="000865DF">
        <w:rPr>
          <w:rStyle w:val="EndnoteReference"/>
          <w:rFonts w:eastAsia="Times New Roman"/>
          <w:sz w:val="18"/>
          <w:szCs w:val="18"/>
        </w:rPr>
        <w:endnoteRef/>
      </w:r>
      <w:r w:rsidRPr="000865DF">
        <w:rPr>
          <w:rFonts w:eastAsia="Times New Roman"/>
          <w:sz w:val="18"/>
          <w:szCs w:val="18"/>
        </w:rPr>
        <w:t xml:space="preserve"> CEDAW Committee, </w:t>
      </w:r>
      <w:r w:rsidRPr="000865DF">
        <w:rPr>
          <w:rFonts w:eastAsia="Times New Roman"/>
          <w:i/>
          <w:iCs/>
          <w:sz w:val="18"/>
          <w:szCs w:val="18"/>
        </w:rPr>
        <w:t>Gen. Recommendation No. 28</w:t>
      </w:r>
      <w:r w:rsidRPr="000865DF">
        <w:rPr>
          <w:rFonts w:eastAsia="Times New Roman"/>
          <w:sz w:val="18"/>
          <w:szCs w:val="18"/>
        </w:rPr>
        <w:t xml:space="preserve">, para. 11.  </w:t>
      </w:r>
    </w:p>
  </w:endnote>
  <w:endnote w:id="54">
    <w:p w14:paraId="07ED91A9" w14:textId="77777777" w:rsidR="00F458B5" w:rsidRPr="000865DF" w:rsidRDefault="00F458B5" w:rsidP="00F458B5">
      <w:pPr>
        <w:pStyle w:val="EndnoteText"/>
        <w:jc w:val="both"/>
        <w:rPr>
          <w:i/>
          <w:iCs/>
          <w:sz w:val="18"/>
          <w:szCs w:val="18"/>
        </w:rPr>
      </w:pPr>
      <w:r w:rsidRPr="000865DF">
        <w:rPr>
          <w:rStyle w:val="EndnoteReference"/>
          <w:rFonts w:eastAsia="Times New Roman"/>
          <w:sz w:val="18"/>
          <w:szCs w:val="18"/>
        </w:rPr>
        <w:endnoteRef/>
      </w:r>
      <w:r w:rsidRPr="000865DF">
        <w:rPr>
          <w:rFonts w:eastAsia="Times New Roman"/>
          <w:sz w:val="18"/>
          <w:szCs w:val="18"/>
        </w:rPr>
        <w:t xml:space="preserve"> CEDAW Committee, </w:t>
      </w:r>
      <w:r w:rsidRPr="000865DF">
        <w:rPr>
          <w:rFonts w:eastAsia="Times New Roman"/>
          <w:i/>
          <w:iCs/>
          <w:sz w:val="18"/>
          <w:szCs w:val="18"/>
        </w:rPr>
        <w:t>General Recommendation No. 30 on women in conflict prevention, conflict and post-conflict situations</w:t>
      </w:r>
      <w:r w:rsidRPr="000865DF">
        <w:rPr>
          <w:rFonts w:eastAsia="Times New Roman"/>
          <w:sz w:val="18"/>
          <w:szCs w:val="18"/>
        </w:rPr>
        <w:t xml:space="preserve">, para. 38(e), U.N. Doc. CEDAW/C/GC/30 (2013) [hereinafter CEDAW Committee, </w:t>
      </w:r>
      <w:r w:rsidRPr="000865DF">
        <w:rPr>
          <w:rFonts w:eastAsia="Times New Roman"/>
          <w:i/>
          <w:iCs/>
          <w:sz w:val="18"/>
          <w:szCs w:val="18"/>
        </w:rPr>
        <w:t>Gen. Recommendation No. 30</w:t>
      </w:r>
      <w:r w:rsidRPr="000865DF">
        <w:rPr>
          <w:rFonts w:eastAsia="Times New Roman"/>
          <w:sz w:val="18"/>
          <w:szCs w:val="18"/>
        </w:rPr>
        <w:t xml:space="preserve">]; </w:t>
      </w:r>
      <w:r w:rsidRPr="000865DF">
        <w:rPr>
          <w:rFonts w:eastAsia="Times New Roman"/>
          <w:i/>
          <w:iCs/>
          <w:sz w:val="18"/>
          <w:szCs w:val="18"/>
        </w:rPr>
        <w:t>see also</w:t>
      </w:r>
      <w:r w:rsidRPr="000865DF">
        <w:rPr>
          <w:rFonts w:eastAsia="Times New Roman"/>
          <w:sz w:val="18"/>
          <w:szCs w:val="18"/>
        </w:rPr>
        <w:t xml:space="preserve"> CAT Committee, </w:t>
      </w:r>
      <w:r w:rsidRPr="000865DF">
        <w:rPr>
          <w:rFonts w:eastAsia="Times New Roman"/>
          <w:i/>
          <w:iCs/>
          <w:sz w:val="18"/>
          <w:szCs w:val="18"/>
        </w:rPr>
        <w:t>Concluding Observations: Iraq</w:t>
      </w:r>
      <w:r w:rsidRPr="000865DF">
        <w:rPr>
          <w:rFonts w:eastAsia="Times New Roman"/>
          <w:sz w:val="18"/>
          <w:szCs w:val="18"/>
        </w:rPr>
        <w:t>, para. 13, U.N. Doc. CAT/C/IRQ/CO/1 (2015).</w:t>
      </w:r>
    </w:p>
  </w:endnote>
  <w:endnote w:id="55">
    <w:p w14:paraId="3FF9B751" w14:textId="77777777" w:rsidR="00F458B5" w:rsidRPr="000865DF" w:rsidRDefault="00F458B5" w:rsidP="00F458B5">
      <w:pPr>
        <w:pStyle w:val="EndnoteText"/>
        <w:jc w:val="both"/>
        <w:rPr>
          <w:sz w:val="18"/>
          <w:szCs w:val="18"/>
        </w:rPr>
      </w:pPr>
      <w:r w:rsidRPr="000865DF">
        <w:rPr>
          <w:rStyle w:val="EndnoteReference"/>
          <w:rFonts w:eastAsia="Times New Roman"/>
          <w:sz w:val="18"/>
          <w:szCs w:val="18"/>
        </w:rPr>
        <w:endnoteRef/>
      </w:r>
      <w:r w:rsidRPr="000865DF">
        <w:rPr>
          <w:rFonts w:eastAsia="Times New Roman"/>
          <w:sz w:val="18"/>
          <w:szCs w:val="18"/>
        </w:rPr>
        <w:t xml:space="preserve"> CEDAW Committee, </w:t>
      </w:r>
      <w:r w:rsidRPr="000865DF">
        <w:rPr>
          <w:rFonts w:eastAsia="Times New Roman"/>
          <w:i/>
          <w:iCs/>
          <w:sz w:val="18"/>
          <w:szCs w:val="18"/>
        </w:rPr>
        <w:t>Gen. Recommendation No. 30</w:t>
      </w:r>
      <w:r w:rsidRPr="000865DF">
        <w:rPr>
          <w:rFonts w:eastAsia="Times New Roman"/>
          <w:sz w:val="18"/>
          <w:szCs w:val="18"/>
        </w:rPr>
        <w:t>, para. 57.</w:t>
      </w:r>
    </w:p>
  </w:endnote>
  <w:endnote w:id="56">
    <w:p w14:paraId="35A3D7E4"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Human Rights Committee General Comment 36 para. 64, CEDAW Committee General Recommendation 30 paras. 9, 12 and 19 </w:t>
      </w:r>
    </w:p>
  </w:endnote>
  <w:endnote w:id="57">
    <w:p w14:paraId="46DC5F3C"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ICRC, 2016 Commentary on the First Geneva Convention,art. 12, para. 1392; Id. art. 3, para. 578; Jean S. Pictet et al., Commentary: I Geneva Convention for the Amelioration of the Condition of the Wounded and Sick in Armed Forces in the Field, art. 12 (1952) [hereinafter Pictet Commentary, Vol. I]. See also ICRC, Customary IHL Database, Rule 88, https://www.icrc.org/customary-ihl/eng/docs/v1_rul_rule88 (last visited May 31, 2017); Jelena Pejic, Non-discrimination and armed conflict, 841 International Review of the Red Cross (2001), https://www.icrc.org/eng/ resources/documents/article/other/57jqzq.htm.</w:t>
      </w:r>
    </w:p>
  </w:endnote>
  <w:endnote w:id="58">
    <w:p w14:paraId="0F3E6AD3"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Charlotte Lindsey, Women Facing War, at 20</w:t>
      </w:r>
    </w:p>
  </w:endnote>
  <w:endnote w:id="59">
    <w:p w14:paraId="6894D4F3"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Geneva Convention I, art. 12; Geneva Convention II, art. 12; Geneva Convention III, art. 14; Geneva Convention IV, art. 27 (discussing protection of women “against any attack on their honor,” women as the “object of special respect,” and the obligation to protect women “in particular against rape, forced prostitution and any other form of indecent assault”); Additional Protocol I, art. 76(1). ICRC, 2016 Commentary on the First Geneva Convention, art. 12, paras. 1426-37; Id., art. 3, para. 578; Pictet Commentary, Vol. I, art. 12. See also ICRC, Customary IHL Database, Rule 134, https://www.icrc.org/customary-ihl/eng/docs/ v1_rul_rule134 (last visited May 31, 2017) (collecting evidence of this rule from both IAC and NIAC)</w:t>
      </w:r>
    </w:p>
  </w:endnote>
  <w:endnote w:id="60">
    <w:p w14:paraId="30BA663D"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ICRC, 2016 Commentary on the First Geneva Convention, art. 3, paras. 696-707; ICRC, Customary IHL Database, Rule 134, https://www.icrc. org/customary-ihl/eng/docs/v1_rul_rule134 (last visited May 31, 2017).</w:t>
      </w:r>
    </w:p>
  </w:endnote>
  <w:endnote w:id="61">
    <w:p w14:paraId="79F10494"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ICRC, 2016 Commentary on the First Geneva Convention, art. 12, paras. 1429-30 (emphasis added).</w:t>
      </w:r>
    </w:p>
  </w:endnote>
  <w:endnote w:id="62">
    <w:p w14:paraId="2E499A7A"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Geneva Convention I, art. 12; Additional Protocol I, art. 8(a); ICRC, 2016 Commentary on the First Geneva Convention, art. 12, paras. 1432 (2016); ICRC, Customary IHL Database, Rule 134, https://www.icrc. org/customary-ihl/eng/docs/v1_rul_rule134 (last visited May 31, 2017) (citing to CEDAW report).</w:t>
      </w:r>
    </w:p>
  </w:endnote>
  <w:endnote w:id="63">
    <w:p w14:paraId="58B805C6"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ICRC, 2016 Commentary on the First Geneva Convention, art. 12, para. 1365; Pictet Commentary, Vol. I, art. 12; ICRC, Customary IHL Database, Rule 110, https://www.icrc.org/customary-ihl/eng/ docs/v1_rul_rule110 (last visited May 31, 2017)</w:t>
      </w:r>
    </w:p>
  </w:endnote>
  <w:endnote w:id="64">
    <w:p w14:paraId="26C25366"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Additional Protocol I, art. 8(a)</w:t>
      </w:r>
    </w:p>
  </w:endnote>
  <w:endnote w:id="65">
    <w:p w14:paraId="08063B10"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See, e.g., Bellal, Who is Wounded and Sick?, in The 1949 Geneva Conventions: A Commentary 762-64 (Clapham, Gaeta, Sassòli, eds.) (2015) (noting that “rape victims can be qualified as ‘wounded and sick’ within the meaning of the Geneva Conventions”); Stéphane Kolanowski, Protection of Women under International Humanitarian Law, Report of ICRC-EUISS Colloquium on Women and War 21 (Sept. 30, 2014), available at https://www.icrc.org/en/ download/file/8598/icrc_report_women_and_war.pdf</w:t>
      </w:r>
    </w:p>
  </w:endnote>
  <w:endnote w:id="66">
    <w:p w14:paraId="72148178"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ICRC, 2016 Commentary on the First Geneva Convention, art. 12, para. 1379; ICRC, Customary IHL Database, Rule 110, https://www.icrc. org/customary-ihl/eng/docs/v1_rul_rule110 (last visited May 31, 2017).</w:t>
      </w:r>
    </w:p>
  </w:endnote>
  <w:endnote w:id="67">
    <w:p w14:paraId="17B7BC53"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ICRC, 2016 Commentary on the First Geneva Convention, art. 12, paras. 1392-96 (2016); ICRC, Customary IHL Database, Rule 88, https://www.icrc.org/customary-ihl/eng/docs/v1_rul_rule88 (last visited May 31, 2017); Rule 110, https://www.icrc.org/customary-ihl/eng/docs/ v1_rul_rule110 (last visited May 31, 2017).</w:t>
      </w:r>
    </w:p>
  </w:endnote>
  <w:endnote w:id="68">
    <w:p w14:paraId="7EC08CFF"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ICRC, 2016 Commentary on the First Geneva Convention, art. 3, para. 578, n. 339 (“In permitting and in fact requiring distinction that is not adverse but favourable to the persons concerned, so that they fully benefit from humane treatment, humanitarian law is not dissimilar to human rights law in its approach to non-discrimination.”); see also Gabor Rona and Robert McGuire, The Principle of Non-Discrimination, para. 7, in The 1949 Geneva Conventions: A Commentary (Clapham, Gaeta, Sassòli, eds.) (2015).</w:t>
      </w:r>
    </w:p>
  </w:endnote>
  <w:endnote w:id="69">
    <w:p w14:paraId="3BEE1277"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Common Article 3. See also Geneva Convention I, art. 12; Geneva Convention II, art. 12; Geneva Convention III, art. 13; Geneva Convention IV, arts. 5 and 27; Additional Protocol I, art. 75(1); Additional Protocol II, art. 4(1). Persons hors de combat include “(a) anyone who is in the power of an adverse party; (b) anyone who is defenceless because of unconsciousness, shipwreck, wounds or sickness; or (c) anyone who clearly expresses an intention to surrender; provided he or she abstains from any hostile act and does not attempt to escape.” ICRC, Customary IHL Database, Rule 47, https://ihl-databases.icrc.org/customary-ihl/eng/docs/v1_rul_rule47 (last visited May 31, 2017). IHL also includes explicit obligations to treat prisoners of war humanely. ICRC, Customary IHL Database, Rule 87, https://www. icrc.org/customary-ihl/eng/docs/v1_rul_rule87 (last visited May 31, 2017). In general, IHL guarantees women the same protection as men regardless of status, but provides women with some specific protections in recognition of their specific needs. ICRC, Customary IHL Database, Rule 134, https://www.icrc.org/customary-ihl/eng/docs/v1_rul_rule134 (last visited May 31, 2017).</w:t>
      </w:r>
    </w:p>
  </w:endnote>
  <w:endnote w:id="70">
    <w:p w14:paraId="37473493"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Common Article 3. See also ICRC, 2016 Commentary on the First Geneva Convention, art. 3, paras. 202-08; Pictet Commentary, Vol. I, art. 3 (noting that the listing in Common Article 3 was intended to be flexible and not restrictive); Jean S. Pictet et al., Commenatary: IV Geneva Convention Relative to the Protection of Civilian Persons in Time of War, art. 3 (1958); ICRC, Customary IHL Database, Rule 87, https://www. icrc.org/customary-ihl/eng/docs/v1_rul_rule87 (last visited May 31, 2017).</w:t>
      </w:r>
    </w:p>
  </w:endnote>
  <w:endnote w:id="71">
    <w:p w14:paraId="41B8C0F8"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Additional Protocol I, art. 75 (prohibiting “humiliating and degrading treatment, enforced prostitution and any form of indecent assault”); Additional Protocol II, art. 4 (including rape as an outrage upon personal dignity); ICRC, Customary IHL Database, Rule 93, https://www.icrc.org/ customary-ihl/eng/docs/v1_rul_rule93 (last visited May 31, 2017).</w:t>
      </w:r>
    </w:p>
  </w:endnote>
  <w:endnote w:id="72">
    <w:p w14:paraId="67CFD491"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ICRC, Customary IHL Database, Rule 87, https://www.icrc.org/customaryihl/eng/docs/v1_rul_rule87 (last visited May 31, 2017)</w:t>
      </w:r>
    </w:p>
  </w:endnote>
  <w:endnote w:id="73">
    <w:p w14:paraId="2B1A9CCA"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ICRC, 2016 Commentary on the First Geneva Convention, art. 3, para. 203</w:t>
      </w:r>
    </w:p>
  </w:endnote>
  <w:endnote w:id="74">
    <w:p w14:paraId="36FDAA41"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ICRC, Customary IHL Database, Introduction to Fundamental Guarantees, https://www.icrc.org/customary-ihl/eng/docs/v1_rul_intofugu (last visited May 31, 2017); ICRC, Customary IHL Database, Rule 87, https://www.icrc. org/customary-ihl/eng/docs/v1_rul_rule87 (last visited May 31, 2017).</w:t>
      </w:r>
    </w:p>
  </w:endnote>
  <w:endnote w:id="75">
    <w:p w14:paraId="3C795448"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See ICRC, 2016 Commentary on the First Geneva Convention, art. 3 (citing to human rights bodies and standards to interpret the scope of humane treatment); International Criminal Tribunal for the Former Yugoslavia (ICTY), Prosecutor v. Furundzija, Case No. IT-95-17/1 (Trial Chamber), 10 December 1998, para. 159 (citing to the Convention Against Torture to interpret the definition of torture under IHL); see also Cordula Droege, ‘In truth the leitmotiv’: the prohibition of torture and other forms of ill-treatment in international humanitarian law, 89 Int’l Rev. of the Red Cross 515, 517 (2007), https://www.icrc.org/eng/assets/files/other/irrc-867- droege.pdf (noting that “the notions of ill-treatment are so similar” in IHL and IHRL “that the interpretation of one body of law influences the other and vice versa”). Cf. Manfred Nowak and Ralph Janik, Torture, Cruel, Inhuman, or Degrading Treatment or Punishment, in The 1949 Geneva Conventions: A Commentary 320 (Clapham, Gaeta, Sassòli, eds.) (2015) (describing the different types of ill-treatment under IHRL, IHL, and ICL and noting that there are some differences in the definition and interpretation of these terms among different bodies and courts).</w:t>
      </w:r>
    </w:p>
  </w:endnote>
  <w:endnote w:id="76">
    <w:p w14:paraId="15A331BD"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The Fundamental Principles were proclaimed by the 20th International Conference of the Red Cross, Vienna, 1965. The revised text is contained in the Statutes of the International Red Cross and Red Crescent Movement, adopted by the 25th International Conference of the Red Cross, Geneva in 1986, see preamble; see also endorsement in United Nations General Assembly Res. 46/182, Strengthening of the coordination of humanitarian emergency assistance of the United Nations, A/RES/46/182 (19 December 1991) para. 2.</w:t>
      </w:r>
    </w:p>
  </w:endnote>
  <w:endnote w:id="77">
    <w:p w14:paraId="30B7E27F"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Id;</w:t>
      </w:r>
    </w:p>
  </w:endnote>
  <w:endnote w:id="78">
    <w:p w14:paraId="1978FCE1"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Sphere Handbook: Humanitarian Charter and Minimum Standards in Humanitarian Response, 2018 Edition, sexual and reproductive health standard 2.3.1, (Key actions include “… clean and safe delivery, essential newborn care, and emergency obstetric and newborn care services are available at all times; provide all visibly pregnant women with clean delivery packages when access to skilled health providers and healthcare facilities cannot be guaranteed; consult the community to understand local preferences, practices and attitudes towards contraception; make a range of long-acting reversible and short-acting contraceptive methods available at healthcare facilities based on demand, in a private and confidential setting.”)</w:t>
      </w:r>
    </w:p>
  </w:endnote>
  <w:endnote w:id="79">
    <w:p w14:paraId="5189F5F1" w14:textId="77777777" w:rsidR="0063248B" w:rsidRPr="000865DF" w:rsidRDefault="0063248B" w:rsidP="005556F4">
      <w:pPr>
        <w:jc w:val="both"/>
        <w:rPr>
          <w:rFonts w:ascii="Times New Roman" w:hAnsi="Times New Roman" w:cs="Times New Roman"/>
          <w:sz w:val="18"/>
          <w:szCs w:val="18"/>
        </w:rPr>
      </w:pPr>
      <w:r w:rsidRPr="000865DF">
        <w:rPr>
          <w:rStyle w:val="EndnoteReference"/>
          <w:rFonts w:ascii="Times New Roman" w:hAnsi="Times New Roman" w:cs="Times New Roman"/>
          <w:sz w:val="18"/>
          <w:szCs w:val="18"/>
        </w:rPr>
        <w:endnoteRef/>
      </w:r>
      <w:r w:rsidRPr="000865DF">
        <w:rPr>
          <w:rFonts w:ascii="Times New Roman" w:hAnsi="Times New Roman" w:cs="Times New Roman"/>
          <w:sz w:val="18"/>
          <w:szCs w:val="18"/>
        </w:rPr>
        <w:t xml:space="preserve"> Id., sexual and reproductive health standard 2.3.2, (Key actions include “identify a lead organisation to coordinate a multi-sectoral approach to reduce the risk of sexual violence, ensure referrals and provide holistic support to survivors; inform the community of available services and the importance of seeking immediate medical care following sexual violence; establish safe spaces in healthcare facilities to receive survivors of sexual violence and to provide clinical care and referral; make clinical care and referral to other supportive services available for survivors of sexual violence.”) </w:t>
      </w:r>
    </w:p>
  </w:endnote>
  <w:endnote w:id="80">
    <w:p w14:paraId="34ACECDA"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w:t>
      </w:r>
      <w:r w:rsidRPr="000865DF">
        <w:rPr>
          <w:i/>
          <w:sz w:val="18"/>
          <w:szCs w:val="18"/>
        </w:rPr>
        <w:t>See</w:t>
      </w:r>
      <w:r w:rsidRPr="000865DF">
        <w:rPr>
          <w:sz w:val="18"/>
          <w:szCs w:val="18"/>
        </w:rPr>
        <w:t xml:space="preserve"> The Human Rights Based Approach to Development Cooperation: Towards a Common Understanding Among UN Agencies, </w:t>
      </w:r>
      <w:r w:rsidRPr="000865DF">
        <w:rPr>
          <w:smallCaps/>
          <w:sz w:val="18"/>
          <w:szCs w:val="18"/>
        </w:rPr>
        <w:t xml:space="preserve">HRBA Portal </w:t>
      </w:r>
      <w:r w:rsidRPr="000865DF">
        <w:rPr>
          <w:sz w:val="18"/>
          <w:szCs w:val="18"/>
        </w:rPr>
        <w:t xml:space="preserve">(March 2005), </w:t>
      </w:r>
      <w:hyperlink r:id="rId6" w:history="1">
        <w:r w:rsidRPr="000865DF">
          <w:rPr>
            <w:rStyle w:val="Hyperlink"/>
            <w:sz w:val="18"/>
            <w:szCs w:val="18"/>
          </w:rPr>
          <w:t>http://hrbaportal.org/the-human-rights-based-approach-to-development-cooperation-towards-a-common-understanding-among-un-agencies</w:t>
        </w:r>
      </w:hyperlink>
      <w:r w:rsidRPr="000865DF">
        <w:rPr>
          <w:sz w:val="18"/>
          <w:szCs w:val="18"/>
        </w:rPr>
        <w:t xml:space="preserve"> </w:t>
      </w:r>
      <w:r w:rsidRPr="000865DF">
        <w:rPr>
          <w:rStyle w:val="Hyperlink"/>
          <w:sz w:val="18"/>
          <w:szCs w:val="18"/>
        </w:rPr>
        <w:t>[hereinafter Human Rights Based Approach to Development]</w:t>
      </w:r>
      <w:r w:rsidRPr="000865DF">
        <w:rPr>
          <w:sz w:val="18"/>
          <w:szCs w:val="18"/>
        </w:rPr>
        <w:t xml:space="preserve">. </w:t>
      </w:r>
    </w:p>
  </w:endnote>
  <w:endnote w:id="81">
    <w:p w14:paraId="690739EA"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w:t>
      </w:r>
      <w:r w:rsidRPr="000865DF">
        <w:rPr>
          <w:i/>
          <w:sz w:val="18"/>
          <w:szCs w:val="18"/>
        </w:rPr>
        <w:t>Cf.</w:t>
      </w:r>
      <w:r w:rsidRPr="000865DF">
        <w:rPr>
          <w:sz w:val="18"/>
          <w:szCs w:val="18"/>
        </w:rPr>
        <w:t xml:space="preserve"> OHCHR, </w:t>
      </w:r>
      <w:r w:rsidRPr="000865DF">
        <w:rPr>
          <w:smallCaps/>
          <w:sz w:val="18"/>
          <w:szCs w:val="18"/>
        </w:rPr>
        <w:t>Principles and Guidelines for a Human Rights Approach to Poverty Reduction Strategies</w:t>
      </w:r>
      <w:r w:rsidRPr="000865DF">
        <w:rPr>
          <w:sz w:val="18"/>
          <w:szCs w:val="18"/>
        </w:rPr>
        <w:t xml:space="preserve">, para. 21, U.N. Doc. HR/PUB/06/12 (2006) (noting, in the poverty reduction context, that an approach based on these principles shifts focus from “narrow economic issues towards a broader strategy that also addresses the socio-cultural and political-legal institutions which sustain the structures of discrimination”); </w:t>
      </w:r>
      <w:r w:rsidRPr="000865DF">
        <w:rPr>
          <w:i/>
          <w:sz w:val="18"/>
          <w:szCs w:val="18"/>
        </w:rPr>
        <w:t>see also</w:t>
      </w:r>
      <w:r w:rsidRPr="000865DF">
        <w:rPr>
          <w:sz w:val="18"/>
          <w:szCs w:val="18"/>
        </w:rPr>
        <w:t xml:space="preserve"> UNFPA, The Human Rights-Based Approach, </w:t>
      </w:r>
      <w:hyperlink r:id="rId7" w:history="1">
        <w:r w:rsidRPr="000865DF">
          <w:rPr>
            <w:rStyle w:val="Hyperlink"/>
            <w:sz w:val="18"/>
            <w:szCs w:val="18"/>
          </w:rPr>
          <w:t>http://www.unfpa.org/human-rights-based-approach</w:t>
        </w:r>
      </w:hyperlink>
      <w:r w:rsidRPr="000865DF">
        <w:rPr>
          <w:sz w:val="18"/>
          <w:szCs w:val="18"/>
        </w:rPr>
        <w:t xml:space="preserve"> </w:t>
      </w:r>
      <w:r w:rsidRPr="000865DF">
        <w:rPr>
          <w:rStyle w:val="Hyperlink"/>
          <w:sz w:val="18"/>
          <w:szCs w:val="18"/>
        </w:rPr>
        <w:t>(last visited June 9, 2017) [hereinafter UNFPA, The Human Rights-Based Approach]</w:t>
      </w:r>
      <w:r w:rsidRPr="000865DF">
        <w:rPr>
          <w:sz w:val="18"/>
          <w:szCs w:val="18"/>
        </w:rPr>
        <w:t xml:space="preserve">. </w:t>
      </w:r>
    </w:p>
  </w:endnote>
  <w:endnote w:id="82">
    <w:p w14:paraId="5545B43A"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i/>
          <w:sz w:val="18"/>
          <w:szCs w:val="18"/>
        </w:rPr>
        <w:t xml:space="preserve"> See</w:t>
      </w:r>
      <w:r w:rsidRPr="000865DF">
        <w:rPr>
          <w:sz w:val="18"/>
          <w:szCs w:val="18"/>
        </w:rPr>
        <w:t xml:space="preserve"> </w:t>
      </w:r>
      <w:r w:rsidRPr="000865DF">
        <w:rPr>
          <w:rStyle w:val="Hyperlink"/>
          <w:sz w:val="18"/>
          <w:szCs w:val="18"/>
        </w:rPr>
        <w:t>Human Rights Based Approach to Development;</w:t>
      </w:r>
      <w:r w:rsidRPr="000865DF">
        <w:rPr>
          <w:sz w:val="18"/>
          <w:szCs w:val="18"/>
        </w:rPr>
        <w:t xml:space="preserve"> Lena Kähler, Marie Villumsen, Mads Holst Jensen, and Pia Falk Paarup, </w:t>
      </w:r>
      <w:r w:rsidRPr="000865DF">
        <w:rPr>
          <w:i/>
          <w:sz w:val="18"/>
          <w:szCs w:val="18"/>
        </w:rPr>
        <w:t>AAAQ &amp; Sexual and Reproductive Health and Rights: International Indicators for Availability, Accessibility, Acceptability, and Quality</w:t>
      </w:r>
      <w:r w:rsidRPr="000865DF">
        <w:rPr>
          <w:sz w:val="18"/>
          <w:szCs w:val="18"/>
        </w:rPr>
        <w:t xml:space="preserve">, </w:t>
      </w:r>
      <w:r w:rsidRPr="000865DF">
        <w:rPr>
          <w:smallCaps/>
          <w:sz w:val="18"/>
          <w:szCs w:val="18"/>
        </w:rPr>
        <w:t>The Danish Institute for Human Rights</w:t>
      </w:r>
      <w:r w:rsidRPr="000865DF">
        <w:rPr>
          <w:sz w:val="18"/>
          <w:szCs w:val="18"/>
        </w:rPr>
        <w:t xml:space="preserve"> 24-25 (2017), </w:t>
      </w:r>
      <w:r w:rsidRPr="000865DF">
        <w:rPr>
          <w:i/>
          <w:sz w:val="18"/>
          <w:szCs w:val="18"/>
        </w:rPr>
        <w:t xml:space="preserve">available at </w:t>
      </w:r>
      <w:hyperlink r:id="rId8" w:history="1">
        <w:r w:rsidRPr="000865DF">
          <w:rPr>
            <w:rStyle w:val="Hyperlink"/>
            <w:sz w:val="18"/>
            <w:szCs w:val="18"/>
          </w:rPr>
          <w:t>https://www.humanrights.dk/sites/humanrights.dk/files/media/dokumenter/nyheder/aaaq-srhr_issue_paper_dihr_2017_standard.pdf</w:t>
        </w:r>
      </w:hyperlink>
      <w:r w:rsidRPr="000865DF">
        <w:rPr>
          <w:sz w:val="18"/>
          <w:szCs w:val="18"/>
        </w:rPr>
        <w:t xml:space="preserve">. </w:t>
      </w:r>
    </w:p>
  </w:endnote>
  <w:endnote w:id="83">
    <w:p w14:paraId="6E1FF653"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w:t>
      </w:r>
      <w:r w:rsidRPr="000865DF">
        <w:rPr>
          <w:i/>
          <w:sz w:val="18"/>
          <w:szCs w:val="18"/>
        </w:rPr>
        <w:t>See, e.g.</w:t>
      </w:r>
      <w:r w:rsidRPr="000865DF">
        <w:rPr>
          <w:sz w:val="18"/>
          <w:szCs w:val="18"/>
        </w:rPr>
        <w:t xml:space="preserve">, </w:t>
      </w:r>
      <w:r w:rsidRPr="000865DF">
        <w:rPr>
          <w:smallCaps/>
          <w:sz w:val="18"/>
          <w:szCs w:val="18"/>
        </w:rPr>
        <w:t>OHCHR, A Human Rights-Based Approach to Data: Leaving No One Behind in the 2030 Development Agenda</w:t>
      </w:r>
      <w:r w:rsidRPr="000865DF">
        <w:rPr>
          <w:sz w:val="18"/>
          <w:szCs w:val="18"/>
        </w:rPr>
        <w:t xml:space="preserve"> 6-7 (Feb. 19, 2016), </w:t>
      </w:r>
      <w:hyperlink r:id="rId9" w:history="1">
        <w:r w:rsidRPr="000865DF">
          <w:rPr>
            <w:rStyle w:val="Hyperlink"/>
            <w:sz w:val="18"/>
            <w:szCs w:val="18"/>
          </w:rPr>
          <w:t>http://www.ohchr.org/Documents/Issues/HRIndicators/GuidanceNoteonApproachtoData.pdf</w:t>
        </w:r>
      </w:hyperlink>
      <w:r w:rsidRPr="000865DF">
        <w:rPr>
          <w:sz w:val="18"/>
          <w:szCs w:val="18"/>
        </w:rPr>
        <w:t xml:space="preserve">; </w:t>
      </w:r>
      <w:r w:rsidRPr="000865DF">
        <w:rPr>
          <w:smallCaps/>
          <w:sz w:val="18"/>
          <w:szCs w:val="18"/>
        </w:rPr>
        <w:t xml:space="preserve">University of Essex Human Rights Centre Clinic and the European Roma Rights Centre, Disaggregated Data and Human Rights: Law, Policy and Practice 7 </w:t>
      </w:r>
      <w:r w:rsidRPr="000865DF">
        <w:rPr>
          <w:sz w:val="18"/>
          <w:szCs w:val="18"/>
        </w:rPr>
        <w:t xml:space="preserve">(Oct. 2013), </w:t>
      </w:r>
      <w:r w:rsidRPr="000865DF">
        <w:rPr>
          <w:i/>
          <w:sz w:val="18"/>
          <w:szCs w:val="18"/>
        </w:rPr>
        <w:t>available at</w:t>
      </w:r>
      <w:r w:rsidRPr="000865DF">
        <w:rPr>
          <w:sz w:val="18"/>
          <w:szCs w:val="18"/>
        </w:rPr>
        <w:t xml:space="preserve"> </w:t>
      </w:r>
      <w:hyperlink r:id="rId10" w:history="1">
        <w:r w:rsidRPr="000865DF">
          <w:rPr>
            <w:rStyle w:val="Hyperlink"/>
            <w:sz w:val="18"/>
            <w:szCs w:val="18"/>
          </w:rPr>
          <w:t>https://www.essex.ac.uk/hrc/careers/clinic/documents/disaggregated-data-and-human-rights-law-policy-and-practice.pdf</w:t>
        </w:r>
      </w:hyperlink>
      <w:r w:rsidRPr="000865DF">
        <w:rPr>
          <w:sz w:val="18"/>
          <w:szCs w:val="18"/>
        </w:rPr>
        <w:t xml:space="preserve">; </w:t>
      </w:r>
      <w:r w:rsidRPr="000865DF">
        <w:rPr>
          <w:i/>
          <w:sz w:val="18"/>
          <w:szCs w:val="18"/>
        </w:rPr>
        <w:t>see also</w:t>
      </w:r>
      <w:r w:rsidRPr="000865DF">
        <w:rPr>
          <w:sz w:val="18"/>
          <w:szCs w:val="18"/>
        </w:rPr>
        <w:t xml:space="preserve"> CESCR, </w:t>
      </w:r>
      <w:r w:rsidRPr="000865DF">
        <w:rPr>
          <w:i/>
          <w:sz w:val="18"/>
          <w:szCs w:val="18"/>
        </w:rPr>
        <w:t>Gen. Comment No. 22</w:t>
      </w:r>
      <w:r w:rsidRPr="000865DF">
        <w:rPr>
          <w:sz w:val="18"/>
          <w:szCs w:val="18"/>
        </w:rPr>
        <w:t>, para. 15 (noting that “health facilities, goods, information and services related to sexual and reproductive health care should be accessible to all individuals and groups without discrimination and free from barriers”).</w:t>
      </w:r>
    </w:p>
  </w:endnote>
  <w:endnote w:id="84">
    <w:p w14:paraId="5B39C583"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w:t>
      </w:r>
      <w:r w:rsidRPr="000865DF">
        <w:rPr>
          <w:i/>
          <w:sz w:val="18"/>
          <w:szCs w:val="18"/>
        </w:rPr>
        <w:t xml:space="preserve">See </w:t>
      </w:r>
      <w:r w:rsidRPr="000865DF">
        <w:rPr>
          <w:rStyle w:val="Hyperlink"/>
          <w:sz w:val="18"/>
          <w:szCs w:val="18"/>
        </w:rPr>
        <w:t>Human Rights Based Approach to Development</w:t>
      </w:r>
      <w:r w:rsidRPr="000865DF">
        <w:rPr>
          <w:sz w:val="18"/>
          <w:szCs w:val="18"/>
        </w:rPr>
        <w:t xml:space="preserve">; </w:t>
      </w:r>
      <w:r w:rsidRPr="000865DF">
        <w:rPr>
          <w:rStyle w:val="Hyperlink"/>
          <w:sz w:val="18"/>
          <w:szCs w:val="18"/>
        </w:rPr>
        <w:t xml:space="preserve">UNFPA, The Human Rights-Based Approach, </w:t>
      </w:r>
    </w:p>
  </w:endnote>
  <w:endnote w:id="85">
    <w:p w14:paraId="525B1A11"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w:t>
      </w:r>
      <w:r w:rsidRPr="000865DF">
        <w:rPr>
          <w:i/>
          <w:sz w:val="18"/>
          <w:szCs w:val="18"/>
        </w:rPr>
        <w:t>ICPD Programme of Action</w:t>
      </w:r>
      <w:r w:rsidRPr="000865DF">
        <w:rPr>
          <w:sz w:val="18"/>
          <w:szCs w:val="18"/>
        </w:rPr>
        <w:t>,</w:t>
      </w:r>
      <w:r w:rsidRPr="000865DF">
        <w:rPr>
          <w:i/>
          <w:sz w:val="18"/>
          <w:szCs w:val="18"/>
        </w:rPr>
        <w:t xml:space="preserve"> </w:t>
      </w:r>
      <w:r w:rsidRPr="000865DF">
        <w:rPr>
          <w:sz w:val="18"/>
          <w:szCs w:val="18"/>
        </w:rPr>
        <w:t>para. 7.7.</w:t>
      </w:r>
    </w:p>
  </w:endnote>
  <w:endnote w:id="86">
    <w:p w14:paraId="0C03D219"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S.C. Res. 1889 [on women and peace and security], para. 1, U.N. Doc. </w:t>
      </w:r>
      <w:r w:rsidRPr="000865DF">
        <w:rPr>
          <w:sz w:val="18"/>
          <w:szCs w:val="18"/>
          <w:shd w:val="clear" w:color="auto" w:fill="F9F9F9"/>
        </w:rPr>
        <w:t>S/RES/1889 (Oct. 5, 2009)</w:t>
      </w:r>
      <w:r w:rsidRPr="000865DF">
        <w:rPr>
          <w:sz w:val="18"/>
          <w:szCs w:val="18"/>
        </w:rPr>
        <w:t xml:space="preserve">. </w:t>
      </w:r>
    </w:p>
  </w:endnote>
  <w:endnote w:id="87">
    <w:p w14:paraId="099FCD58"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SR Health Report (2013), para. 12.</w:t>
      </w:r>
    </w:p>
  </w:endnote>
  <w:endnote w:id="88">
    <w:p w14:paraId="52956EA7"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w:t>
      </w:r>
      <w:r w:rsidRPr="000865DF">
        <w:rPr>
          <w:i/>
          <w:sz w:val="18"/>
          <w:szCs w:val="18"/>
        </w:rPr>
        <w:t>Id.</w:t>
      </w:r>
      <w:r w:rsidRPr="000865DF">
        <w:rPr>
          <w:sz w:val="18"/>
          <w:szCs w:val="18"/>
        </w:rPr>
        <w:t>, para. 12.</w:t>
      </w:r>
    </w:p>
  </w:endnote>
  <w:endnote w:id="89">
    <w:p w14:paraId="49C2D3A9"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w:t>
      </w:r>
      <w:r w:rsidRPr="000865DF">
        <w:rPr>
          <w:i/>
          <w:sz w:val="18"/>
          <w:szCs w:val="18"/>
        </w:rPr>
        <w:t>See generally</w:t>
      </w:r>
      <w:r w:rsidRPr="000865DF">
        <w:rPr>
          <w:sz w:val="18"/>
          <w:szCs w:val="18"/>
        </w:rPr>
        <w:t xml:space="preserve"> United Nations General Assembly Res. 60/147, </w:t>
      </w:r>
      <w:r w:rsidRPr="000865DF">
        <w:rPr>
          <w:i/>
          <w:sz w:val="18"/>
          <w:szCs w:val="18"/>
        </w:rPr>
        <w:t>Basic Principles and Guidelines on the Right to a Remedy and Reparation for Victims of Gross Violations of International Human Rights Law and Serious Violations of International Humanitarian Law</w:t>
      </w:r>
      <w:r w:rsidRPr="000865DF">
        <w:rPr>
          <w:sz w:val="18"/>
          <w:szCs w:val="18"/>
        </w:rPr>
        <w:t xml:space="preserve">, A/RES/60/147 (21 March 2006) [hereinafter UNGA Res. 60/147]; </w:t>
      </w:r>
      <w:r w:rsidRPr="000865DF">
        <w:rPr>
          <w:i/>
          <w:sz w:val="18"/>
          <w:szCs w:val="18"/>
        </w:rPr>
        <w:t>see also</w:t>
      </w:r>
      <w:r w:rsidRPr="000865DF">
        <w:rPr>
          <w:sz w:val="18"/>
          <w:szCs w:val="18"/>
        </w:rPr>
        <w:t xml:space="preserve"> SR Health Report (2013), , paras. 61-67. </w:t>
      </w:r>
    </w:p>
  </w:endnote>
  <w:endnote w:id="90">
    <w:p w14:paraId="523ECFD0"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UNGA Res. 60/147,para. 3(b). </w:t>
      </w:r>
    </w:p>
  </w:endnote>
  <w:endnote w:id="91">
    <w:p w14:paraId="4EB73B19"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sz w:val="18"/>
          <w:szCs w:val="18"/>
        </w:rPr>
        <w:t xml:space="preserve"> Restitution aims to restore the victim to her original situation before the violation and includes restoration of enjoyment of human rights, return to one’s place of residence, or return of property. Compensation is required as appropriate and proportional to the gravity of the violation and the circumstances of each case. Rehabilitation includes medical and psychological care as well as legal and social services. Satisfaction aims to ensure the cessation of continuing violations and includes verification and public disclosure of facts. Guarantees of non-repetition aim to prevent future violations and include structural and systemic changes, such as legal reform and education. </w:t>
      </w:r>
      <w:r w:rsidRPr="000865DF">
        <w:rPr>
          <w:i/>
          <w:sz w:val="18"/>
          <w:szCs w:val="18"/>
        </w:rPr>
        <w:t xml:space="preserve">Id. </w:t>
      </w:r>
      <w:r w:rsidRPr="000865DF">
        <w:rPr>
          <w:sz w:val="18"/>
          <w:szCs w:val="18"/>
        </w:rPr>
        <w:t xml:space="preserve">paras. 19-23. </w:t>
      </w:r>
      <w:r w:rsidRPr="000865DF">
        <w:rPr>
          <w:i/>
          <w:sz w:val="18"/>
          <w:szCs w:val="18"/>
        </w:rPr>
        <w:t>See also</w:t>
      </w:r>
      <w:r w:rsidRPr="000865DF">
        <w:rPr>
          <w:sz w:val="18"/>
          <w:szCs w:val="18"/>
        </w:rPr>
        <w:t xml:space="preserve"> Human Rights Committee, </w:t>
      </w:r>
      <w:r w:rsidRPr="000865DF">
        <w:rPr>
          <w:i/>
          <w:sz w:val="18"/>
          <w:szCs w:val="18"/>
        </w:rPr>
        <w:t>Gen. Comment No. 31</w:t>
      </w:r>
      <w:r w:rsidRPr="000865DF">
        <w:rPr>
          <w:sz w:val="18"/>
          <w:szCs w:val="18"/>
        </w:rPr>
        <w:t>,</w:t>
      </w:r>
      <w:r w:rsidRPr="000865DF">
        <w:rPr>
          <w:i/>
          <w:sz w:val="18"/>
          <w:szCs w:val="18"/>
        </w:rPr>
        <w:t xml:space="preserve"> </w:t>
      </w:r>
      <w:r w:rsidRPr="000865DF">
        <w:rPr>
          <w:sz w:val="18"/>
          <w:szCs w:val="18"/>
        </w:rPr>
        <w:t xml:space="preserve">para. 16; CAT Committee, </w:t>
      </w:r>
      <w:r w:rsidRPr="000865DF">
        <w:rPr>
          <w:i/>
          <w:sz w:val="18"/>
          <w:szCs w:val="18"/>
        </w:rPr>
        <w:t>General Comment No. 3: Implementation of article 14 by States parties</w:t>
      </w:r>
      <w:r w:rsidRPr="000865DF">
        <w:rPr>
          <w:sz w:val="18"/>
          <w:szCs w:val="18"/>
        </w:rPr>
        <w:t xml:space="preserve">, para. 2, U.N. Doc. CAT/C/GC/3 (2012); CEDAW Committee, </w:t>
      </w:r>
      <w:r w:rsidRPr="000865DF">
        <w:rPr>
          <w:i/>
          <w:sz w:val="18"/>
          <w:szCs w:val="18"/>
        </w:rPr>
        <w:t>General Recommendation No. 33 on women’s access to justice</w:t>
      </w:r>
      <w:r w:rsidRPr="000865DF">
        <w:rPr>
          <w:sz w:val="18"/>
          <w:szCs w:val="18"/>
        </w:rPr>
        <w:t xml:space="preserve">, para. 19(f), U.N. Doc. CEDAW/C/GC/33 (2015). </w:t>
      </w:r>
    </w:p>
  </w:endnote>
  <w:endnote w:id="92">
    <w:p w14:paraId="6663146F" w14:textId="77777777" w:rsidR="0063248B" w:rsidRPr="000865DF" w:rsidRDefault="0063248B" w:rsidP="005556F4">
      <w:pPr>
        <w:pStyle w:val="EndnoteText"/>
        <w:jc w:val="both"/>
        <w:rPr>
          <w:iCs/>
          <w:sz w:val="18"/>
          <w:szCs w:val="18"/>
        </w:rPr>
      </w:pPr>
      <w:r w:rsidRPr="000865DF">
        <w:rPr>
          <w:rStyle w:val="EndnoteReference"/>
          <w:sz w:val="18"/>
          <w:szCs w:val="18"/>
        </w:rPr>
        <w:endnoteRef/>
      </w:r>
      <w:r w:rsidRPr="000865DF">
        <w:rPr>
          <w:sz w:val="18"/>
          <w:szCs w:val="18"/>
        </w:rPr>
        <w:t xml:space="preserve"> OHCHR, </w:t>
      </w:r>
      <w:r w:rsidRPr="000865DF">
        <w:rPr>
          <w:i/>
          <w:sz w:val="18"/>
          <w:szCs w:val="18"/>
        </w:rPr>
        <w:t>Technical guidance on the application of a human-rights based approach to the implementation of policies and programmes to reduce preventable maternal morbidity and mortality</w:t>
      </w:r>
      <w:r w:rsidRPr="000865DF">
        <w:rPr>
          <w:sz w:val="18"/>
          <w:szCs w:val="18"/>
        </w:rPr>
        <w:t xml:space="preserve">, paras. 74-75, U.N. Doc. A/HRC/21/22 (July 2, 2012) and see also OHCHR </w:t>
      </w:r>
      <w:r w:rsidRPr="000865DF">
        <w:rPr>
          <w:i/>
          <w:sz w:val="18"/>
          <w:szCs w:val="18"/>
        </w:rPr>
        <w:t xml:space="preserve">Follow-up on the application of the technical guidance on the application of a human rights-based approach to the implementation of policies and programmes to reduce preventable maternal mortality and morbidity, </w:t>
      </w:r>
      <w:r w:rsidRPr="000865DF">
        <w:rPr>
          <w:iCs/>
          <w:sz w:val="18"/>
          <w:szCs w:val="18"/>
        </w:rPr>
        <w:t>paras 38 and 62 j), U.N. Doc. A/HRC/39/6 (June 29, 2018)</w:t>
      </w:r>
    </w:p>
  </w:endnote>
  <w:endnote w:id="93">
    <w:p w14:paraId="0213C4D0" w14:textId="77777777" w:rsidR="0063248B" w:rsidRPr="000865DF" w:rsidRDefault="0063248B" w:rsidP="005556F4">
      <w:pPr>
        <w:pStyle w:val="EndnoteText"/>
        <w:jc w:val="both"/>
        <w:rPr>
          <w:sz w:val="18"/>
          <w:szCs w:val="18"/>
        </w:rPr>
      </w:pPr>
      <w:r w:rsidRPr="000865DF">
        <w:rPr>
          <w:rStyle w:val="EndnoteReference"/>
          <w:sz w:val="18"/>
          <w:szCs w:val="18"/>
        </w:rPr>
        <w:endnoteRef/>
      </w:r>
      <w:r w:rsidRPr="000865DF">
        <w:rPr>
          <w:i/>
          <w:sz w:val="18"/>
          <w:szCs w:val="18"/>
        </w:rPr>
        <w:t xml:space="preserve"> Id.</w:t>
      </w:r>
      <w:r w:rsidRPr="000865DF">
        <w:rPr>
          <w:sz w:val="18"/>
          <w:szCs w:val="18"/>
        </w:rPr>
        <w:t xml:space="preserve">, para. 74; </w:t>
      </w:r>
      <w:r w:rsidRPr="000865DF">
        <w:rPr>
          <w:i/>
          <w:sz w:val="18"/>
          <w:szCs w:val="18"/>
        </w:rPr>
        <w:t>see also</w:t>
      </w:r>
      <w:r w:rsidRPr="000865DF">
        <w:rPr>
          <w:sz w:val="18"/>
          <w:szCs w:val="18"/>
        </w:rPr>
        <w:t xml:space="preserve"> </w:t>
      </w:r>
      <w:r w:rsidRPr="000865DF">
        <w:rPr>
          <w:i/>
          <w:sz w:val="18"/>
          <w:szCs w:val="18"/>
        </w:rPr>
        <w:t>Social Accountability</w:t>
      </w:r>
      <w:r w:rsidRPr="000865DF">
        <w:rPr>
          <w:sz w:val="18"/>
          <w:szCs w:val="18"/>
        </w:rPr>
        <w:t xml:space="preserve">, </w:t>
      </w:r>
      <w:r w:rsidRPr="000865DF">
        <w:rPr>
          <w:smallCaps/>
          <w:sz w:val="18"/>
          <w:szCs w:val="18"/>
        </w:rPr>
        <w:t>CARE International</w:t>
      </w:r>
      <w:r w:rsidRPr="000865DF">
        <w:rPr>
          <w:sz w:val="18"/>
          <w:szCs w:val="18"/>
        </w:rPr>
        <w:t xml:space="preserve">, </w:t>
      </w:r>
      <w:hyperlink r:id="rId11" w:history="1">
        <w:r w:rsidRPr="000865DF">
          <w:rPr>
            <w:rStyle w:val="Hyperlink"/>
            <w:sz w:val="18"/>
            <w:szCs w:val="18"/>
          </w:rPr>
          <w:t>http://governance.care2share.wikispaces.net/Social+Accountability</w:t>
        </w:r>
      </w:hyperlink>
      <w:r w:rsidRPr="000865DF">
        <w:rPr>
          <w:sz w:val="18"/>
          <w:szCs w:val="18"/>
        </w:rPr>
        <w:t xml:space="preserve"> (last visited June 12, 2017). </w:t>
      </w:r>
    </w:p>
  </w:endnote>
  <w:endnote w:id="94">
    <w:p w14:paraId="74F475C3" w14:textId="77777777" w:rsidR="0063248B" w:rsidRPr="000865DF" w:rsidRDefault="0063248B" w:rsidP="003931CA">
      <w:pPr>
        <w:pStyle w:val="EndnoteText"/>
        <w:shd w:val="clear" w:color="auto" w:fill="FFFFFF" w:themeFill="background1"/>
        <w:jc w:val="both"/>
        <w:rPr>
          <w:sz w:val="18"/>
          <w:szCs w:val="18"/>
          <w:lang w:val="es-CO"/>
        </w:rPr>
      </w:pPr>
      <w:r w:rsidRPr="000865DF">
        <w:rPr>
          <w:rStyle w:val="EndnoteReference"/>
          <w:sz w:val="18"/>
          <w:szCs w:val="18"/>
        </w:rPr>
        <w:endnoteRef/>
      </w:r>
      <w:r w:rsidRPr="000865DF">
        <w:rPr>
          <w:sz w:val="18"/>
          <w:szCs w:val="18"/>
          <w:lang w:val="es-CO"/>
        </w:rPr>
        <w:t xml:space="preserve"> </w:t>
      </w:r>
      <w:r w:rsidRPr="000865DF">
        <w:rPr>
          <w:i/>
          <w:iCs/>
          <w:sz w:val="18"/>
          <w:szCs w:val="18"/>
          <w:lang w:val="es-CO"/>
        </w:rPr>
        <w:t>See for instance</w:t>
      </w:r>
      <w:r w:rsidRPr="000865DF">
        <w:rPr>
          <w:sz w:val="18"/>
          <w:szCs w:val="18"/>
          <w:lang w:val="es-CO"/>
        </w:rPr>
        <w:t xml:space="preserve">, IACHR, Country Reports, Honduras 2019, par. 233; and Asociadas por lo Justo, Centro de Derechos de Mujeres, and Centro de Estudios de la Mujer Honduras, </w:t>
      </w:r>
      <w:r w:rsidRPr="000865DF">
        <w:rPr>
          <w:i/>
          <w:iCs/>
          <w:sz w:val="18"/>
          <w:szCs w:val="18"/>
          <w:lang w:val="es-CO"/>
        </w:rPr>
        <w:t>Informe de Organizaciones Feministas de Honduras: Situación de la Violencia contra las Mujeres en Honduras</w:t>
      </w:r>
      <w:r w:rsidRPr="000865DF">
        <w:rPr>
          <w:sz w:val="18"/>
          <w:szCs w:val="18"/>
          <w:lang w:val="es-CO"/>
        </w:rPr>
        <w:t xml:space="preserve"> (2014), pg. 3 available at: </w:t>
      </w:r>
      <w:hyperlink r:id="rId12" w:history="1">
        <w:r w:rsidRPr="000865DF">
          <w:rPr>
            <w:rStyle w:val="Hyperlink"/>
            <w:sz w:val="18"/>
            <w:szCs w:val="18"/>
            <w:lang w:val="es-CO"/>
          </w:rPr>
          <w:t>https://www.justassociates.org/sites/justassociates.org/files/informe-violencia-mujeres-honduras-relatoraonu-junio2014_0.pdf</w:t>
        </w:r>
      </w:hyperlink>
      <w:r w:rsidRPr="000865DF">
        <w:rPr>
          <w:sz w:val="18"/>
          <w:szCs w:val="18"/>
          <w:lang w:val="es-CO"/>
        </w:rPr>
        <w:t xml:space="preserve">;   </w:t>
      </w:r>
    </w:p>
  </w:endnote>
  <w:endnote w:id="95">
    <w:p w14:paraId="6156C056" w14:textId="77777777" w:rsidR="0063248B" w:rsidRPr="000865DF" w:rsidRDefault="0063248B" w:rsidP="003931CA">
      <w:pPr>
        <w:pStyle w:val="EndnoteText"/>
        <w:jc w:val="both"/>
        <w:rPr>
          <w:sz w:val="18"/>
          <w:szCs w:val="18"/>
          <w:lang w:val="es-HN"/>
        </w:rPr>
      </w:pPr>
      <w:r w:rsidRPr="000865DF">
        <w:rPr>
          <w:rStyle w:val="EndnoteReference"/>
          <w:sz w:val="18"/>
          <w:szCs w:val="18"/>
        </w:rPr>
        <w:endnoteRef/>
      </w:r>
      <w:r w:rsidRPr="000865DF">
        <w:rPr>
          <w:sz w:val="18"/>
          <w:szCs w:val="18"/>
          <w:lang w:val="es-CO"/>
        </w:rPr>
        <w:t xml:space="preserve"> </w:t>
      </w:r>
      <w:r w:rsidRPr="000865DF">
        <w:rPr>
          <w:sz w:val="18"/>
          <w:szCs w:val="18"/>
          <w:lang w:val="es-HN"/>
        </w:rPr>
        <w:t xml:space="preserve">Instituto Universitario en Democracia, Paz y Seguridad de la Universidad Nacional Autónoma de Honduras (UNAH-IUDPAS) &amp; Ministerio Público de Honduras, </w:t>
      </w:r>
      <w:r w:rsidRPr="000865DF">
        <w:rPr>
          <w:i/>
          <w:sz w:val="18"/>
          <w:szCs w:val="18"/>
          <w:lang w:val="es-HN"/>
        </w:rPr>
        <w:t xml:space="preserve">Boletín nacional enero – diciembre 2017, </w:t>
      </w:r>
      <w:r w:rsidRPr="000865DF">
        <w:rPr>
          <w:sz w:val="18"/>
          <w:szCs w:val="18"/>
          <w:lang w:val="es-HN"/>
        </w:rPr>
        <w:t>“</w:t>
      </w:r>
      <w:r w:rsidRPr="000865DF">
        <w:rPr>
          <w:i/>
          <w:sz w:val="18"/>
          <w:szCs w:val="18"/>
          <w:lang w:val="es-HN"/>
        </w:rPr>
        <w:t>Delitos sexuales y lesiones”</w:t>
      </w:r>
      <w:r w:rsidRPr="000865DF">
        <w:rPr>
          <w:sz w:val="18"/>
          <w:szCs w:val="18"/>
          <w:lang w:val="es-HN"/>
        </w:rPr>
        <w:t xml:space="preserve"> pág. 9 (2018), </w:t>
      </w:r>
    </w:p>
    <w:p w14:paraId="581D7EE1" w14:textId="77777777" w:rsidR="0063248B" w:rsidRPr="000865DF" w:rsidRDefault="00030DC4" w:rsidP="003931CA">
      <w:pPr>
        <w:pStyle w:val="EndnoteText"/>
        <w:jc w:val="both"/>
        <w:rPr>
          <w:sz w:val="18"/>
          <w:szCs w:val="18"/>
          <w:lang w:val="es-HN"/>
        </w:rPr>
      </w:pPr>
      <w:hyperlink r:id="rId13" w:history="1">
        <w:r w:rsidR="0063248B" w:rsidRPr="000865DF">
          <w:rPr>
            <w:rStyle w:val="Hyperlink"/>
            <w:sz w:val="18"/>
            <w:szCs w:val="18"/>
            <w:lang w:val="es-HN"/>
          </w:rPr>
          <w:t>https://iudpas.unah.edu.hn/observatorio-de-la-violencia/boletines-del-observatorio-2/boletines-nacionales/</w:t>
        </w:r>
      </w:hyperlink>
    </w:p>
  </w:endnote>
  <w:endnote w:id="96">
    <w:p w14:paraId="7E995D32" w14:textId="77777777" w:rsidR="0063248B" w:rsidRPr="000865DF" w:rsidRDefault="0063248B" w:rsidP="003931CA">
      <w:pPr>
        <w:pStyle w:val="EndnoteText"/>
        <w:jc w:val="both"/>
        <w:rPr>
          <w:sz w:val="18"/>
          <w:szCs w:val="18"/>
          <w:lang w:val="es-CO"/>
        </w:rPr>
      </w:pPr>
      <w:r w:rsidRPr="000865DF">
        <w:rPr>
          <w:rStyle w:val="EndnoteReference"/>
          <w:sz w:val="18"/>
          <w:szCs w:val="18"/>
        </w:rPr>
        <w:endnoteRef/>
      </w:r>
      <w:r w:rsidRPr="000865DF">
        <w:rPr>
          <w:sz w:val="18"/>
          <w:szCs w:val="18"/>
          <w:lang w:val="es-CO"/>
        </w:rPr>
        <w:t xml:space="preserve"> El Heraldo, “Preocupante aumento de la violencia contra las mujeres Honduras”, July 9, 2019, available at: </w:t>
      </w:r>
      <w:hyperlink r:id="rId14" w:history="1">
        <w:r w:rsidRPr="000865DF">
          <w:rPr>
            <w:rStyle w:val="Hyperlink"/>
            <w:sz w:val="18"/>
            <w:szCs w:val="18"/>
            <w:lang w:val="es-CO"/>
          </w:rPr>
          <w:t>https://www.elheraldo.hn/pais/1300410-466/preocupante-aumento-de-la-violencia-contra-las-mujeres-en-honduras</w:t>
        </w:r>
      </w:hyperlink>
      <w:r w:rsidRPr="000865DF">
        <w:rPr>
          <w:sz w:val="18"/>
          <w:szCs w:val="18"/>
          <w:lang w:val="es-CO"/>
        </w:rPr>
        <w:t xml:space="preserve">; Tiempo Digital, “Incremento de violencia contra la mujer pone en alerta al país”, July 11, 2019, available at: </w:t>
      </w:r>
      <w:hyperlink r:id="rId15" w:history="1">
        <w:r w:rsidRPr="000865DF">
          <w:rPr>
            <w:rStyle w:val="Hyperlink"/>
            <w:sz w:val="18"/>
            <w:szCs w:val="18"/>
            <w:lang w:val="es-CO"/>
          </w:rPr>
          <w:t>https://tiempo.hn/incremento-de-violencia-contra-la-mujer-pone-en-alerta-al-pais1/</w:t>
        </w:r>
      </w:hyperlink>
      <w:r w:rsidRPr="000865DF">
        <w:rPr>
          <w:rStyle w:val="Hyperlink"/>
          <w:sz w:val="18"/>
          <w:szCs w:val="18"/>
          <w:lang w:val="es-CO"/>
        </w:rPr>
        <w:t>.</w:t>
      </w:r>
    </w:p>
  </w:endnote>
  <w:endnote w:id="97">
    <w:p w14:paraId="5C9930BD"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IACHR, Country Reports, Honduras 2019, par. 233. Available at: </w:t>
      </w:r>
      <w:hyperlink r:id="rId16" w:history="1">
        <w:r w:rsidRPr="000865DF">
          <w:rPr>
            <w:rStyle w:val="Hyperlink"/>
            <w:sz w:val="18"/>
            <w:szCs w:val="18"/>
          </w:rPr>
          <w:t>https://www.oas.org/es/cidh/informes/pdfs/Honduras2019.pdf</w:t>
        </w:r>
      </w:hyperlink>
    </w:p>
  </w:endnote>
  <w:endnote w:id="98">
    <w:p w14:paraId="7BEF99F3"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IACHR, Country Reports, Honduras 2019, par. 255; See also,</w:t>
      </w:r>
      <w:r w:rsidRPr="000865DF">
        <w:rPr>
          <w:color w:val="000000" w:themeColor="text1"/>
          <w:sz w:val="18"/>
          <w:szCs w:val="18"/>
        </w:rPr>
        <w:t xml:space="preserve"> </w:t>
      </w:r>
      <w:r w:rsidRPr="000865DF">
        <w:rPr>
          <w:sz w:val="18"/>
          <w:szCs w:val="18"/>
        </w:rPr>
        <w:t xml:space="preserve">Centro de Derechos de Mujeres, CDM </w:t>
      </w:r>
      <w:r w:rsidRPr="000865DF">
        <w:rPr>
          <w:i/>
          <w:sz w:val="18"/>
          <w:szCs w:val="18"/>
        </w:rPr>
        <w:t xml:space="preserve"> Observatorio de Derechos Humanos de las Mujeres</w:t>
      </w:r>
      <w:r w:rsidRPr="000865DF">
        <w:rPr>
          <w:sz w:val="18"/>
          <w:szCs w:val="18"/>
        </w:rPr>
        <w:t xml:space="preserve"> (July, 2015), the rate of impunity between 2010 and 2014 was of 94%, pg. 9, available at: </w:t>
      </w:r>
      <w:hyperlink r:id="rId17" w:history="1">
        <w:r w:rsidRPr="000865DF">
          <w:rPr>
            <w:rStyle w:val="Hyperlink"/>
            <w:sz w:val="18"/>
            <w:szCs w:val="18"/>
          </w:rPr>
          <w:t>http://derechosdelamujer.org/wp-content/uploads/2016/02/Observatorio-Violencia-sexual.pdf</w:t>
        </w:r>
      </w:hyperlink>
      <w:r w:rsidRPr="000865DF">
        <w:rPr>
          <w:sz w:val="18"/>
          <w:szCs w:val="18"/>
        </w:rPr>
        <w:t>.</w:t>
      </w:r>
    </w:p>
  </w:endnote>
  <w:endnote w:id="99">
    <w:p w14:paraId="31F1F092"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Jodi Jacobson, </w:t>
      </w:r>
      <w:r w:rsidRPr="000865DF">
        <w:rPr>
          <w:i/>
          <w:sz w:val="18"/>
          <w:szCs w:val="18"/>
        </w:rPr>
        <w:t>Honduran Supreme Court Upholds Most Sweeping Ban on Emergency Contraception Anywhere, RH Reality Check</w:t>
      </w:r>
      <w:r w:rsidRPr="000865DF">
        <w:rPr>
          <w:sz w:val="18"/>
          <w:szCs w:val="18"/>
        </w:rPr>
        <w:t xml:space="preserve"> (Feb. 14, 2012), </w:t>
      </w:r>
      <w:r w:rsidRPr="000865DF">
        <w:rPr>
          <w:i/>
          <w:sz w:val="18"/>
          <w:szCs w:val="18"/>
        </w:rPr>
        <w:t xml:space="preserve">available at </w:t>
      </w:r>
      <w:hyperlink r:id="rId18" w:history="1">
        <w:r w:rsidRPr="000865DF">
          <w:rPr>
            <w:rStyle w:val="Hyperlink"/>
            <w:sz w:val="18"/>
            <w:szCs w:val="18"/>
          </w:rPr>
          <w:t>http://rhrealitycheck.org/article/2012/02/14/honduran-supreme-court-upholds-complete-ban-on-emergency-contraception-0/</w:t>
        </w:r>
      </w:hyperlink>
      <w:r w:rsidRPr="000865DF">
        <w:rPr>
          <w:sz w:val="18"/>
          <w:szCs w:val="18"/>
        </w:rPr>
        <w:t xml:space="preserve"> . </w:t>
      </w:r>
    </w:p>
  </w:endnote>
  <w:endnote w:id="100">
    <w:p w14:paraId="29A6DD18"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w:t>
      </w:r>
      <w:r w:rsidRPr="000865DF">
        <w:rPr>
          <w:bCs/>
          <w:sz w:val="18"/>
          <w:szCs w:val="18"/>
        </w:rPr>
        <w:t>Under the current Honduran legislation a pregnancy of a girl 14 and under would imply that a sexual violation occurred.</w:t>
      </w:r>
      <w:r w:rsidRPr="000865DF">
        <w:rPr>
          <w:sz w:val="18"/>
          <w:szCs w:val="18"/>
        </w:rPr>
        <w:t xml:space="preserve"> Criminal Code, art. 140, numeral 1.</w:t>
      </w:r>
    </w:p>
  </w:endnote>
  <w:endnote w:id="101">
    <w:p w14:paraId="017CA336" w14:textId="77777777" w:rsidR="0063248B" w:rsidRPr="000865DF" w:rsidRDefault="0063248B" w:rsidP="003931CA">
      <w:pPr>
        <w:pStyle w:val="EndnoteText"/>
        <w:jc w:val="both"/>
        <w:rPr>
          <w:sz w:val="18"/>
          <w:szCs w:val="18"/>
          <w:lang w:val="es-CO"/>
        </w:rPr>
      </w:pPr>
      <w:r w:rsidRPr="000865DF">
        <w:rPr>
          <w:rStyle w:val="EndnoteReference"/>
          <w:sz w:val="18"/>
          <w:szCs w:val="18"/>
        </w:rPr>
        <w:endnoteRef/>
      </w:r>
      <w:r w:rsidRPr="000865DF">
        <w:rPr>
          <w:sz w:val="18"/>
          <w:szCs w:val="18"/>
        </w:rPr>
        <w:t xml:space="preserve"> Report prepared by the Special Rapporteur on the right to health, UN Doc. </w:t>
      </w:r>
      <w:r w:rsidRPr="000865DF">
        <w:rPr>
          <w:sz w:val="18"/>
          <w:szCs w:val="18"/>
          <w:lang w:val="es-CO"/>
        </w:rPr>
        <w:t>A/66/254 at para 27.</w:t>
      </w:r>
    </w:p>
  </w:endnote>
  <w:endnote w:id="102">
    <w:p w14:paraId="258DF8A7" w14:textId="77777777" w:rsidR="0063248B" w:rsidRPr="000865DF" w:rsidRDefault="0063248B" w:rsidP="003931CA">
      <w:pPr>
        <w:pStyle w:val="EndnoteText"/>
        <w:jc w:val="both"/>
        <w:rPr>
          <w:sz w:val="18"/>
          <w:szCs w:val="18"/>
          <w:lang w:val="es-CO"/>
        </w:rPr>
      </w:pPr>
      <w:r w:rsidRPr="000865DF">
        <w:rPr>
          <w:rStyle w:val="EndnoteReference"/>
          <w:sz w:val="18"/>
          <w:szCs w:val="18"/>
        </w:rPr>
        <w:endnoteRef/>
      </w:r>
      <w:r w:rsidRPr="000865DF">
        <w:rPr>
          <w:sz w:val="18"/>
          <w:szCs w:val="18"/>
          <w:lang w:val="es-CO"/>
        </w:rPr>
        <w:t xml:space="preserve"> </w:t>
      </w:r>
      <w:r w:rsidRPr="000865DF">
        <w:rPr>
          <w:sz w:val="18"/>
          <w:szCs w:val="18"/>
          <w:lang w:val="es-HN"/>
        </w:rPr>
        <w:t xml:space="preserve">Somos muchas, por la vida y la libertad de las Mujeres; Abogados sin Fronteras Canadá, </w:t>
      </w:r>
      <w:r w:rsidRPr="000865DF">
        <w:rPr>
          <w:i/>
          <w:sz w:val="18"/>
          <w:szCs w:val="18"/>
          <w:lang w:val="es-HN"/>
        </w:rPr>
        <w:t xml:space="preserve">Informe alternativo de seguimiento ante el Comité de Derechos Humanos por Observaciones Finales al Estado de Honduras, </w:t>
      </w:r>
      <w:r w:rsidRPr="000865DF">
        <w:rPr>
          <w:sz w:val="18"/>
          <w:szCs w:val="18"/>
          <w:lang w:val="es-HN"/>
        </w:rPr>
        <w:t>Sep. 14, 2018 https://www.asfcanada.ca/site/assets/files/7187/informe_alternativo_cdm-asfc_para_el_comite_de_dd_hh__de_la_onu_sobre_honduras_17_09_2018.pdf</w:t>
      </w:r>
    </w:p>
  </w:endnote>
  <w:endnote w:id="103">
    <w:p w14:paraId="5288F4B0"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Coordinating Federation of Nicaraguan NGOs that Work on Childhood and Adolescence (CODENI), Sexual Violence. Available at </w:t>
      </w:r>
      <w:hyperlink r:id="rId19" w:history="1">
        <w:r w:rsidRPr="000865DF">
          <w:rPr>
            <w:rStyle w:val="Hyperlink"/>
            <w:sz w:val="18"/>
            <w:szCs w:val="18"/>
          </w:rPr>
          <w:t>http://www.codeni.org.ni/proteccion-especial/violencia-intrafamiliar/violencia-sexual/</w:t>
        </w:r>
      </w:hyperlink>
    </w:p>
  </w:endnote>
  <w:endnote w:id="104">
    <w:p w14:paraId="6B1FD6FE"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Institute of Legal Medicine, 2017 Annual Report, available at: </w:t>
      </w:r>
      <w:hyperlink r:id="rId20" w:history="1">
        <w:r w:rsidRPr="000865DF">
          <w:rPr>
            <w:rStyle w:val="Hyperlink"/>
            <w:sz w:val="18"/>
            <w:szCs w:val="18"/>
          </w:rPr>
          <w:t>https://www.poderjudicial.gob.ni/pjupload/iml/pdf/Anuario_2017.pdf</w:t>
        </w:r>
      </w:hyperlink>
      <w:r w:rsidRPr="000865DF">
        <w:rPr>
          <w:sz w:val="18"/>
          <w:szCs w:val="18"/>
        </w:rPr>
        <w:t xml:space="preserve"> </w:t>
      </w:r>
    </w:p>
  </w:endnote>
  <w:endnote w:id="105">
    <w:p w14:paraId="3F87C8B5"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Idem</w:t>
      </w:r>
    </w:p>
  </w:endnote>
  <w:endnote w:id="106">
    <w:p w14:paraId="572B9A19"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Amnesty International, Hear their voices and take action, 2011, available at </w:t>
      </w:r>
      <w:hyperlink r:id="rId21" w:history="1">
        <w:r w:rsidRPr="000865DF">
          <w:rPr>
            <w:rStyle w:val="Hyperlink"/>
            <w:sz w:val="18"/>
            <w:szCs w:val="18"/>
          </w:rPr>
          <w:t>http://www.movimientoautonomodemujeres.org/archivos/92.pdf</w:t>
        </w:r>
      </w:hyperlink>
      <w:r w:rsidRPr="000865DF">
        <w:rPr>
          <w:sz w:val="18"/>
          <w:szCs w:val="18"/>
        </w:rPr>
        <w:t xml:space="preserve"> </w:t>
      </w:r>
    </w:p>
  </w:endnote>
  <w:endnote w:id="107">
    <w:p w14:paraId="3EC3A2D3"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Judicial Branch, Republic of Nicaragua, Model for Providing Comprehensive Care to Women Victims of Gender-based Violence, available at: </w:t>
      </w:r>
      <w:hyperlink r:id="rId22" w:history="1">
        <w:r w:rsidRPr="000865DF">
          <w:rPr>
            <w:rStyle w:val="Hyperlink"/>
            <w:sz w:val="18"/>
            <w:szCs w:val="18"/>
          </w:rPr>
          <w:t>https://www.poderjudicial.gob.ni/genero/pdf/MAI2012.pdf</w:t>
        </w:r>
      </w:hyperlink>
      <w:r w:rsidRPr="000865DF">
        <w:rPr>
          <w:rStyle w:val="Hyperlink"/>
          <w:sz w:val="18"/>
          <w:szCs w:val="18"/>
        </w:rPr>
        <w:t>.</w:t>
      </w:r>
    </w:p>
  </w:endnote>
  <w:endnote w:id="108">
    <w:p w14:paraId="724A4826"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lang w:val="es-CO"/>
        </w:rPr>
        <w:t xml:space="preserve"> Stolen Lives and Periodismo Humano. Impunidad para la violencia sexual infantil en Nicaragua. </w:t>
      </w:r>
      <w:r w:rsidRPr="000865DF">
        <w:rPr>
          <w:sz w:val="18"/>
          <w:szCs w:val="18"/>
        </w:rPr>
        <w:t xml:space="preserve">Available at: </w:t>
      </w:r>
      <w:hyperlink r:id="rId23" w:history="1">
        <w:r w:rsidRPr="000865DF">
          <w:rPr>
            <w:rStyle w:val="Hyperlink"/>
            <w:sz w:val="18"/>
            <w:szCs w:val="18"/>
          </w:rPr>
          <w:t>http://periodismohumano.com/sociedad/infancia/impunidad-para-la-violencia-sexual-infantil-en-nicaragua.html</w:t>
        </w:r>
      </w:hyperlink>
      <w:r w:rsidRPr="000865DF">
        <w:rPr>
          <w:sz w:val="18"/>
          <w:szCs w:val="18"/>
        </w:rPr>
        <w:t xml:space="preserve"> </w:t>
      </w:r>
    </w:p>
  </w:endnote>
  <w:endnote w:id="109">
    <w:p w14:paraId="26BECF4B" w14:textId="77777777" w:rsidR="0063248B" w:rsidRPr="000865DF" w:rsidRDefault="0063248B" w:rsidP="003931CA">
      <w:pPr>
        <w:pStyle w:val="Heading1"/>
        <w:spacing w:before="0"/>
        <w:jc w:val="both"/>
        <w:rPr>
          <w:rFonts w:ascii="Times New Roman" w:hAnsi="Times New Roman" w:cs="Times New Roman"/>
          <w:sz w:val="18"/>
          <w:szCs w:val="18"/>
          <w:lang w:val="es-CO"/>
        </w:rPr>
      </w:pPr>
      <w:r w:rsidRPr="000865DF">
        <w:rPr>
          <w:rStyle w:val="EndnoteReference"/>
          <w:rFonts w:ascii="Times New Roman" w:hAnsi="Times New Roman" w:cs="Times New Roman"/>
          <w:sz w:val="18"/>
          <w:szCs w:val="18"/>
        </w:rPr>
        <w:endnoteRef/>
      </w:r>
      <w:r w:rsidRPr="000865DF">
        <w:rPr>
          <w:rFonts w:ascii="Times New Roman" w:hAnsi="Times New Roman" w:cs="Times New Roman"/>
          <w:sz w:val="18"/>
          <w:szCs w:val="18"/>
          <w:lang w:val="es-CO"/>
        </w:rPr>
        <w:t xml:space="preserve"> Economic Commission for Latin America and the Caribbean (ECLAC), </w:t>
      </w:r>
      <w:r w:rsidRPr="000865DF">
        <w:rPr>
          <w:rFonts w:ascii="Times New Roman" w:hAnsi="Times New Roman" w:cs="Times New Roman"/>
          <w:i/>
          <w:iCs/>
          <w:sz w:val="18"/>
          <w:szCs w:val="18"/>
          <w:lang w:val="es-CO"/>
        </w:rPr>
        <w:t>Fecundidad no deseada entre las adolescentes latinoamericanas: un aumento que desafía la salud sexual y reproductiva y el ejercicio de derechos</w:t>
      </w:r>
      <w:r w:rsidRPr="000865DF">
        <w:rPr>
          <w:rFonts w:ascii="Times New Roman" w:hAnsi="Times New Roman" w:cs="Times New Roman"/>
          <w:sz w:val="18"/>
          <w:szCs w:val="18"/>
          <w:lang w:val="es-CO"/>
        </w:rPr>
        <w:t xml:space="preserve">, 2017, available at </w:t>
      </w:r>
      <w:hyperlink r:id="rId24" w:history="1">
        <w:r w:rsidRPr="000865DF">
          <w:rPr>
            <w:rStyle w:val="Hyperlink"/>
            <w:rFonts w:ascii="Times New Roman" w:eastAsia="Times New Roman" w:hAnsi="Times New Roman" w:cs="Times New Roman"/>
            <w:color w:val="auto"/>
            <w:sz w:val="18"/>
            <w:szCs w:val="18"/>
            <w:lang w:val="es-CO"/>
          </w:rPr>
          <w:t>https://www.cepal.org/es/publicaciones/42511-fecundidad-deseada-adolescentes-latinoamericanas-un-aumento-que-desafia-la-salud</w:t>
        </w:r>
      </w:hyperlink>
      <w:r w:rsidRPr="000865DF">
        <w:rPr>
          <w:rFonts w:ascii="Times New Roman" w:hAnsi="Times New Roman" w:cs="Times New Roman"/>
          <w:bCs/>
          <w:sz w:val="18"/>
          <w:szCs w:val="18"/>
          <w:lang w:val="es-CO"/>
        </w:rPr>
        <w:t>.</w:t>
      </w:r>
    </w:p>
  </w:endnote>
  <w:endnote w:id="110">
    <w:p w14:paraId="012342E5"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Plan Parenthood Global, </w:t>
      </w:r>
      <w:r w:rsidRPr="000865DF">
        <w:rPr>
          <w:i/>
          <w:iCs/>
          <w:sz w:val="18"/>
          <w:szCs w:val="18"/>
        </w:rPr>
        <w:t>Stolen Lives</w:t>
      </w:r>
      <w:r w:rsidRPr="000865DF">
        <w:rPr>
          <w:sz w:val="18"/>
          <w:szCs w:val="18"/>
        </w:rPr>
        <w:t xml:space="preserve">, 2015, available at </w:t>
      </w:r>
      <w:hyperlink r:id="rId25" w:history="1">
        <w:r w:rsidRPr="000865DF">
          <w:rPr>
            <w:rStyle w:val="Hyperlink"/>
            <w:sz w:val="18"/>
            <w:szCs w:val="18"/>
          </w:rPr>
          <w:t>https://www.plannedparenthoodaction.org/uploads/filer_public/db/6d/db6d56cb-e854-44bb-9ab7-15bb7fc147c5/ppfa-stolen-lives-english.pdf</w:t>
        </w:r>
      </w:hyperlink>
      <w:r w:rsidRPr="000865DF">
        <w:rPr>
          <w:sz w:val="18"/>
          <w:szCs w:val="18"/>
        </w:rPr>
        <w:t xml:space="preserve">. </w:t>
      </w:r>
    </w:p>
  </w:endnote>
  <w:endnote w:id="111">
    <w:p w14:paraId="40CA0C14" w14:textId="77777777" w:rsidR="0063248B" w:rsidRPr="000865DF" w:rsidRDefault="0063248B" w:rsidP="003931CA">
      <w:pPr>
        <w:jc w:val="both"/>
        <w:rPr>
          <w:rFonts w:ascii="Times New Roman" w:eastAsia="Times New Roman" w:hAnsi="Times New Roman" w:cs="Times New Roman"/>
          <w:bCs/>
          <w:color w:val="000000"/>
          <w:sz w:val="18"/>
          <w:szCs w:val="18"/>
        </w:rPr>
      </w:pPr>
      <w:r w:rsidRPr="000865DF">
        <w:rPr>
          <w:rStyle w:val="EndnoteReference"/>
          <w:rFonts w:ascii="Times New Roman" w:hAnsi="Times New Roman" w:cs="Times New Roman"/>
          <w:sz w:val="18"/>
          <w:szCs w:val="18"/>
        </w:rPr>
        <w:endnoteRef/>
      </w:r>
      <w:r w:rsidRPr="000865DF">
        <w:rPr>
          <w:rFonts w:ascii="Times New Roman" w:eastAsia="Times New Roman" w:hAnsi="Times New Roman" w:cs="Times New Roman"/>
          <w:color w:val="000000"/>
          <w:sz w:val="18"/>
          <w:szCs w:val="18"/>
        </w:rPr>
        <w:t xml:space="preserve"> </w:t>
      </w:r>
      <w:r w:rsidRPr="000865DF">
        <w:rPr>
          <w:rFonts w:ascii="Times New Roman" w:hAnsi="Times New Roman" w:cs="Times New Roman"/>
          <w:sz w:val="18"/>
          <w:szCs w:val="18"/>
        </w:rPr>
        <w:t xml:space="preserve">Criminal code of the Republic of Nicaragua, Bill No. 641, National Assembly of the Republic of Nicaragua, approved on November 13, 2007, </w:t>
      </w:r>
      <w:r w:rsidRPr="000865DF">
        <w:rPr>
          <w:rFonts w:ascii="Times New Roman" w:eastAsia="Times New Roman" w:hAnsi="Times New Roman" w:cs="Times New Roman"/>
          <w:color w:val="000000"/>
          <w:sz w:val="18"/>
          <w:szCs w:val="18"/>
        </w:rPr>
        <w:t xml:space="preserve">available at: </w:t>
      </w:r>
      <w:hyperlink r:id="rId26" w:history="1">
        <w:r w:rsidRPr="000865DF">
          <w:rPr>
            <w:rStyle w:val="Hyperlink"/>
            <w:rFonts w:ascii="Times New Roman" w:eastAsia="Times New Roman" w:hAnsi="Times New Roman" w:cs="Times New Roman"/>
            <w:sz w:val="18"/>
            <w:szCs w:val="18"/>
          </w:rPr>
          <w:t>https://www.poderjudicial.gob.ni/pjupload/noticia_reciente/CP_641.pdf</w:t>
        </w:r>
      </w:hyperlink>
    </w:p>
  </w:endnote>
  <w:endnote w:id="112">
    <w:p w14:paraId="223E40A6" w14:textId="77777777" w:rsidR="0063248B" w:rsidRPr="000865DF" w:rsidRDefault="0063248B" w:rsidP="003931CA">
      <w:pPr>
        <w:jc w:val="both"/>
        <w:rPr>
          <w:rFonts w:ascii="Times New Roman" w:eastAsia="Times New Roman" w:hAnsi="Times New Roman" w:cs="Times New Roman"/>
          <w:bCs/>
          <w:color w:val="000000"/>
          <w:sz w:val="18"/>
          <w:szCs w:val="18"/>
        </w:rPr>
      </w:pPr>
      <w:r w:rsidRPr="000865DF">
        <w:rPr>
          <w:rStyle w:val="EndnoteReference"/>
          <w:rFonts w:ascii="Times New Roman" w:hAnsi="Times New Roman" w:cs="Times New Roman"/>
          <w:sz w:val="18"/>
          <w:szCs w:val="18"/>
        </w:rPr>
        <w:endnoteRef/>
      </w:r>
      <w:r w:rsidRPr="000865DF">
        <w:rPr>
          <w:rFonts w:ascii="Times New Roman" w:eastAsia="Times New Roman" w:hAnsi="Times New Roman" w:cs="Times New Roman"/>
          <w:color w:val="000000"/>
          <w:sz w:val="18"/>
          <w:szCs w:val="18"/>
        </w:rPr>
        <w:t xml:space="preserve"> Art. 165: “Therapeutic abortion shall be determined scientifically, with the involvement of at least three physicians and the consent of the woman’s partner or closest relative, for legal purposes.” Amended by Law 603. Amendment of Article 165 of Decree 297. Criminal Code. </w:t>
      </w:r>
      <w:hyperlink r:id="rId27" w:history="1">
        <w:r w:rsidRPr="000865DF">
          <w:rPr>
            <w:rStyle w:val="Hyperlink"/>
            <w:rFonts w:ascii="Times New Roman" w:eastAsia="Times New Roman" w:hAnsi="Times New Roman" w:cs="Times New Roman"/>
            <w:sz w:val="18"/>
            <w:szCs w:val="18"/>
          </w:rPr>
          <w:t>http://legislacion.asamblea.gob.ni/SILEG/Gacetas.nsf/5eea6480fc3d3d90062576e300504635/c3cf093a3826bae706257d700078e7f1/$FILE/2006-10-26-%20G-%20Ley%20No.%20603,%20Ley%20de%20derogaci%C3%B3n%20al%20art%C3%ADculo%20165%20del%20C%C3%B3digo%20Penal%20vigente.pdf</w:t>
        </w:r>
      </w:hyperlink>
      <w:r w:rsidRPr="000865DF">
        <w:rPr>
          <w:rFonts w:ascii="Times New Roman" w:eastAsia="Times New Roman" w:hAnsi="Times New Roman" w:cs="Times New Roman"/>
          <w:color w:val="000000"/>
          <w:sz w:val="18"/>
          <w:szCs w:val="18"/>
        </w:rPr>
        <w:t xml:space="preserve">. </w:t>
      </w:r>
    </w:p>
  </w:endnote>
  <w:endnote w:id="113">
    <w:p w14:paraId="4942D607"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UNFPA, Motherhood in Childhood. 2013. Available at: </w:t>
      </w:r>
      <w:hyperlink r:id="rId28" w:history="1">
        <w:r w:rsidRPr="000865DF">
          <w:rPr>
            <w:rStyle w:val="Hyperlink"/>
            <w:sz w:val="18"/>
            <w:szCs w:val="18"/>
          </w:rPr>
          <w:t>https://www.unfpa.org/sites/default/files/pub-pdf/EN-SWOP2013.pdf</w:t>
        </w:r>
      </w:hyperlink>
      <w:r w:rsidRPr="000865DF">
        <w:rPr>
          <w:rStyle w:val="Hyperlink"/>
          <w:sz w:val="18"/>
          <w:szCs w:val="18"/>
        </w:rPr>
        <w:t xml:space="preserve"> </w:t>
      </w:r>
    </w:p>
  </w:endnote>
  <w:endnote w:id="114">
    <w:p w14:paraId="2419AD73"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See Stolen Lives. </w:t>
      </w:r>
    </w:p>
  </w:endnote>
  <w:endnote w:id="115">
    <w:p w14:paraId="081FE5A1"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rStyle w:val="Hyperlink"/>
          <w:sz w:val="18"/>
          <w:szCs w:val="18"/>
        </w:rPr>
        <w:t xml:space="preserve"> </w:t>
      </w:r>
      <w:r w:rsidRPr="000865DF">
        <w:rPr>
          <w:sz w:val="18"/>
          <w:szCs w:val="18"/>
        </w:rPr>
        <w:t>See the provisions of the General Health Law (Law 434) and related,</w:t>
      </w:r>
    </w:p>
  </w:endnote>
  <w:endnote w:id="116">
    <w:p w14:paraId="4AB90497"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Bliss, Katherine E. “Overcoming Barriers to Reducing Adolescent Pregnancy and Improving Maternal Health in Nicaragua.” Maternal Death and Pregnancy-Related Morbidity Among Indigenous Women of Mexico and Central America. Springer, Cham, 2018. 711-718.</w:t>
      </w:r>
    </w:p>
  </w:endnote>
  <w:endnote w:id="117">
    <w:p w14:paraId="36F1EA0D"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UNODC (2018). Global Study on Homicide: Gender-related killing of women and girls. Available at: </w:t>
      </w:r>
      <w:hyperlink r:id="rId29" w:history="1">
        <w:r w:rsidRPr="000865DF">
          <w:rPr>
            <w:rStyle w:val="Hyperlink"/>
            <w:sz w:val="18"/>
            <w:szCs w:val="18"/>
          </w:rPr>
          <w:t>https://www.unodc.org/documents/data-and-analysis/GSH2018/GSH18_Gender-related_killing_of_women_and_girls.pdf</w:t>
        </w:r>
      </w:hyperlink>
      <w:r w:rsidRPr="000865DF">
        <w:rPr>
          <w:sz w:val="18"/>
          <w:szCs w:val="18"/>
        </w:rPr>
        <w:t xml:space="preserve">; Dialogo CIM (2020). COVID-19: A Global Pandemic that Differentially Impacts Women. </w:t>
      </w:r>
      <w:hyperlink r:id="rId30" w:history="1">
        <w:r w:rsidRPr="000865DF">
          <w:rPr>
            <w:rStyle w:val="Hyperlink"/>
            <w:sz w:val="18"/>
            <w:szCs w:val="18"/>
          </w:rPr>
          <w:t>https://dialogocim.wordpress.com/2020/03/18/coronavirus-una-pandemia-mundial-que-afecta-diferenciadamente-a-las-mujeres/</w:t>
        </w:r>
      </w:hyperlink>
      <w:r w:rsidRPr="000865DF">
        <w:rPr>
          <w:sz w:val="18"/>
          <w:szCs w:val="18"/>
        </w:rPr>
        <w:t xml:space="preserve"> (available only in Spanish) </w:t>
      </w:r>
    </w:p>
  </w:endnote>
  <w:endnote w:id="118">
    <w:p w14:paraId="79ACBC5A" w14:textId="77777777" w:rsidR="0063248B" w:rsidRPr="000865DF" w:rsidRDefault="0063248B" w:rsidP="003931CA">
      <w:pPr>
        <w:pStyle w:val="EndnoteText"/>
        <w:rPr>
          <w:sz w:val="18"/>
          <w:szCs w:val="18"/>
        </w:rPr>
      </w:pPr>
      <w:r w:rsidRPr="000865DF">
        <w:rPr>
          <w:rStyle w:val="EndnoteReference"/>
          <w:sz w:val="18"/>
          <w:szCs w:val="18"/>
        </w:rPr>
        <w:endnoteRef/>
      </w:r>
      <w:r w:rsidRPr="000865DF">
        <w:rPr>
          <w:sz w:val="18"/>
          <w:szCs w:val="18"/>
        </w:rPr>
        <w:t xml:space="preserve"> Inter-American Commission of Women (CIM), </w:t>
      </w:r>
      <w:r w:rsidRPr="000865DF">
        <w:rPr>
          <w:i/>
          <w:iCs/>
          <w:sz w:val="18"/>
          <w:szCs w:val="18"/>
        </w:rPr>
        <w:t>COVID-19 in Women’s Lives: Reasons to Recognize the Differential Impacts</w:t>
      </w:r>
      <w:r w:rsidRPr="000865DF">
        <w:rPr>
          <w:sz w:val="18"/>
          <w:szCs w:val="18"/>
        </w:rPr>
        <w:t xml:space="preserve">, 2020, available at: </w:t>
      </w:r>
      <w:hyperlink r:id="rId31" w:history="1">
        <w:r w:rsidRPr="000865DF">
          <w:rPr>
            <w:rStyle w:val="Hyperlink"/>
            <w:sz w:val="18"/>
            <w:szCs w:val="18"/>
          </w:rPr>
          <w:t>http://www.oas.org/es/cim/docs/ArgumentarioCOVID19-EN.pdf</w:t>
        </w:r>
      </w:hyperlink>
      <w:r w:rsidRPr="000865DF">
        <w:rPr>
          <w:sz w:val="18"/>
          <w:szCs w:val="18"/>
        </w:rPr>
        <w:t xml:space="preserve"> </w:t>
      </w:r>
    </w:p>
  </w:endnote>
  <w:endnote w:id="119">
    <w:p w14:paraId="72C2BB68"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Ibid. </w:t>
      </w:r>
    </w:p>
  </w:endnote>
  <w:endnote w:id="120">
    <w:p w14:paraId="339C8895"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UN Women, </w:t>
      </w:r>
      <w:r w:rsidRPr="000865DF">
        <w:rPr>
          <w:i/>
          <w:iCs/>
          <w:sz w:val="18"/>
          <w:szCs w:val="18"/>
        </w:rPr>
        <w:t>Violence against women and girls: the shadow pandemic</w:t>
      </w:r>
      <w:r w:rsidRPr="000865DF">
        <w:rPr>
          <w:sz w:val="18"/>
          <w:szCs w:val="18"/>
        </w:rPr>
        <w:t xml:space="preserve">. Statement by Phumzile Mlambo-Ngcuka, Executive Director of UN Women. April 6, 2020. Retrieved from: </w:t>
      </w:r>
      <w:hyperlink r:id="rId32" w:history="1">
        <w:r w:rsidRPr="000865DF">
          <w:rPr>
            <w:rStyle w:val="Hyperlink"/>
            <w:sz w:val="18"/>
            <w:szCs w:val="18"/>
          </w:rPr>
          <w:t>https://www.unwomen.org/en/news/stories/2020/4/statement-ed-phumzile-violence-against-women-during-pandemic</w:t>
        </w:r>
      </w:hyperlink>
      <w:r w:rsidRPr="000865DF">
        <w:rPr>
          <w:sz w:val="18"/>
          <w:szCs w:val="18"/>
        </w:rPr>
        <w:t>.</w:t>
      </w:r>
    </w:p>
  </w:endnote>
  <w:endnote w:id="121">
    <w:p w14:paraId="17308317"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lang w:val="es-CO"/>
        </w:rPr>
        <w:t xml:space="preserve"> Deutsche Welle, </w:t>
      </w:r>
      <w:r w:rsidRPr="000865DF">
        <w:rPr>
          <w:i/>
          <w:iCs/>
          <w:sz w:val="18"/>
          <w:szCs w:val="18"/>
          <w:lang w:val="es-CO"/>
        </w:rPr>
        <w:t>Cuarentena por Coronavirus dispara Violencia contra las mujeres en América Latina</w:t>
      </w:r>
      <w:r w:rsidRPr="000865DF">
        <w:rPr>
          <w:sz w:val="18"/>
          <w:szCs w:val="18"/>
          <w:lang w:val="es-CO"/>
        </w:rPr>
        <w:t>. April 27, 2020. Retrieved from:</w:t>
      </w:r>
      <w:r w:rsidRPr="000865DF">
        <w:rPr>
          <w:b/>
          <w:bCs/>
          <w:sz w:val="18"/>
          <w:szCs w:val="18"/>
          <w:lang w:val="es-CO"/>
        </w:rPr>
        <w:t xml:space="preserve"> </w:t>
      </w:r>
      <w:hyperlink r:id="rId33" w:history="1">
        <w:r w:rsidRPr="000865DF">
          <w:rPr>
            <w:rStyle w:val="Hyperlink"/>
            <w:sz w:val="18"/>
            <w:szCs w:val="18"/>
            <w:lang w:val="es-CO"/>
          </w:rPr>
          <w:t>https://www.dw.com/es/cuarentena-por-coronavirus-dispara-violencia-contra-las-mujeres-en-am%C3%A9rica-latina/a-53261868</w:t>
        </w:r>
      </w:hyperlink>
      <w:r w:rsidRPr="000865DF">
        <w:rPr>
          <w:sz w:val="18"/>
          <w:szCs w:val="18"/>
          <w:lang w:val="es-CO"/>
        </w:rPr>
        <w:t xml:space="preserve">; Deutsche Welle, </w:t>
      </w:r>
      <w:r w:rsidRPr="000865DF">
        <w:rPr>
          <w:i/>
          <w:iCs/>
          <w:sz w:val="18"/>
          <w:szCs w:val="18"/>
          <w:lang w:val="es-CO"/>
        </w:rPr>
        <w:t>América Latina lucha contra la violencia de género en tiempos del coronavirus</w:t>
      </w:r>
      <w:r w:rsidRPr="000865DF">
        <w:rPr>
          <w:sz w:val="18"/>
          <w:szCs w:val="18"/>
          <w:lang w:val="es-CO"/>
        </w:rPr>
        <w:t xml:space="preserve">. </w:t>
      </w:r>
      <w:r w:rsidRPr="000865DF">
        <w:rPr>
          <w:sz w:val="18"/>
          <w:szCs w:val="18"/>
        </w:rPr>
        <w:t xml:space="preserve">March 31, 2020. Retrieved from: </w:t>
      </w:r>
      <w:hyperlink r:id="rId34" w:history="1">
        <w:r w:rsidRPr="000865DF">
          <w:rPr>
            <w:rStyle w:val="Hyperlink"/>
            <w:sz w:val="18"/>
            <w:szCs w:val="18"/>
          </w:rPr>
          <w:t>https://www.dw.com/es/am%C3%A9rica-latina-lucha-contra-la-violencia-de-g%C3%A9nero-en-tiempos-del-coronavirus/a-52971832</w:t>
        </w:r>
      </w:hyperlink>
      <w:r w:rsidRPr="000865DF">
        <w:rPr>
          <w:sz w:val="18"/>
          <w:szCs w:val="18"/>
        </w:rPr>
        <w:t>.</w:t>
      </w:r>
    </w:p>
  </w:endnote>
  <w:endnote w:id="122">
    <w:p w14:paraId="3B21BD5B"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Inter-American Commission of Women (CIM), </w:t>
      </w:r>
      <w:r w:rsidRPr="000865DF">
        <w:rPr>
          <w:i/>
          <w:iCs/>
          <w:sz w:val="18"/>
          <w:szCs w:val="18"/>
        </w:rPr>
        <w:t>COVID-19 in Women’s Lives: Reasons to Recognize the Differential Impacts</w:t>
      </w:r>
      <w:r w:rsidRPr="000865DF">
        <w:rPr>
          <w:sz w:val="18"/>
          <w:szCs w:val="18"/>
        </w:rPr>
        <w:t xml:space="preserve">, 2020, available at: </w:t>
      </w:r>
      <w:hyperlink r:id="rId35" w:history="1">
        <w:r w:rsidRPr="000865DF">
          <w:rPr>
            <w:rStyle w:val="Hyperlink"/>
            <w:sz w:val="18"/>
            <w:szCs w:val="18"/>
          </w:rPr>
          <w:t>http://www.oas.org/es/cim/docs/ArgumentarioCOVID19-EN.pdf</w:t>
        </w:r>
      </w:hyperlink>
    </w:p>
  </w:endnote>
  <w:endnote w:id="123">
    <w:p w14:paraId="186A2826"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Health Ministry. Only the regional offices provided information to </w:t>
      </w:r>
      <w:r w:rsidRPr="000865DF">
        <w:rPr>
          <w:i/>
          <w:iCs/>
          <w:sz w:val="18"/>
          <w:szCs w:val="18"/>
        </w:rPr>
        <w:t>Centro de Derechos de Mujeres</w:t>
      </w:r>
      <w:r w:rsidRPr="000865DF">
        <w:rPr>
          <w:sz w:val="18"/>
          <w:szCs w:val="18"/>
        </w:rPr>
        <w:t xml:space="preserve">’ survery. </w:t>
      </w:r>
    </w:p>
  </w:endnote>
  <w:endnote w:id="124">
    <w:p w14:paraId="3B92F659"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lang w:val="es-CO"/>
        </w:rPr>
        <w:t xml:space="preserve"> Agricultura. 2020. “Matronas exigen que Minsal no se olvide de embarazadas en emergencia por Covid-19”. </w:t>
      </w:r>
      <w:r w:rsidRPr="000865DF">
        <w:rPr>
          <w:sz w:val="18"/>
          <w:szCs w:val="18"/>
        </w:rPr>
        <w:t xml:space="preserve">Retrieved from: </w:t>
      </w:r>
      <w:hyperlink r:id="rId36" w:history="1">
        <w:r w:rsidRPr="000865DF">
          <w:rPr>
            <w:rStyle w:val="Hyperlink"/>
            <w:sz w:val="18"/>
            <w:szCs w:val="18"/>
          </w:rPr>
          <w:t>https://www.radioagricultura.cl/nacional/2020/04/10/matronas-exigen-que-minsal-no-se-olvide-de-embarazadas-en-emergencia-por-covid-19.html</w:t>
        </w:r>
      </w:hyperlink>
      <w:r w:rsidRPr="000865DF">
        <w:rPr>
          <w:sz w:val="18"/>
          <w:szCs w:val="18"/>
        </w:rPr>
        <w:tab/>
      </w:r>
    </w:p>
  </w:endnote>
  <w:endnote w:id="125">
    <w:p w14:paraId="1001852F" w14:textId="77777777" w:rsidR="0063248B" w:rsidRPr="000865DF" w:rsidRDefault="0063248B" w:rsidP="003931CA">
      <w:pPr>
        <w:pStyle w:val="EndnoteText"/>
        <w:jc w:val="both"/>
        <w:rPr>
          <w:sz w:val="18"/>
          <w:szCs w:val="18"/>
          <w:u w:val="single"/>
        </w:rPr>
      </w:pPr>
      <w:r w:rsidRPr="000865DF">
        <w:rPr>
          <w:rStyle w:val="EndnoteReference"/>
          <w:sz w:val="18"/>
          <w:szCs w:val="18"/>
        </w:rPr>
        <w:endnoteRef/>
      </w:r>
      <w:r w:rsidRPr="000865DF">
        <w:rPr>
          <w:sz w:val="18"/>
          <w:szCs w:val="18"/>
          <w:lang w:val="es-CO"/>
        </w:rPr>
        <w:t xml:space="preserve"> Folha de S. Paulo. 2020. “Principal hospital de aborto legal de SP interrompe o serviço na crise do coronavírus”. </w:t>
      </w:r>
      <w:r w:rsidRPr="000865DF">
        <w:rPr>
          <w:sz w:val="18"/>
          <w:szCs w:val="18"/>
        </w:rPr>
        <w:t xml:space="preserve">Retrieved from: </w:t>
      </w:r>
      <w:hyperlink r:id="rId37" w:history="1">
        <w:r w:rsidRPr="000865DF">
          <w:rPr>
            <w:rStyle w:val="Hyperlink"/>
            <w:sz w:val="18"/>
            <w:szCs w:val="18"/>
          </w:rPr>
          <w:t>https://www1.folha.uol.com.br/cotidiano/2020/03/principal-hospital-de-aborto-legal-de-sp-interrompe-o-servico-na-crise-do-coronavirus.shtml</w:t>
        </w:r>
      </w:hyperlink>
    </w:p>
  </w:endnote>
  <w:endnote w:id="126">
    <w:p w14:paraId="255F0F2D" w14:textId="77777777" w:rsidR="0063248B" w:rsidRPr="000865DF" w:rsidRDefault="0063248B" w:rsidP="003931CA">
      <w:pPr>
        <w:pStyle w:val="EndnoteText"/>
        <w:spacing w:line="276" w:lineRule="auto"/>
        <w:jc w:val="both"/>
        <w:rPr>
          <w:sz w:val="18"/>
          <w:szCs w:val="18"/>
        </w:rPr>
      </w:pPr>
      <w:r w:rsidRPr="000865DF">
        <w:rPr>
          <w:rStyle w:val="EndnoteReference"/>
          <w:sz w:val="18"/>
          <w:szCs w:val="18"/>
        </w:rPr>
        <w:endnoteRef/>
      </w:r>
      <w:r w:rsidRPr="000865DF">
        <w:rPr>
          <w:sz w:val="18"/>
          <w:szCs w:val="18"/>
          <w:lang w:val="es-CO"/>
        </w:rPr>
        <w:t xml:space="preserve"> Revista Azmi. 2020. Hospital Pérola Byington reabre serviço de aborto legal. </w:t>
      </w:r>
      <w:r w:rsidRPr="000865DF">
        <w:rPr>
          <w:sz w:val="18"/>
          <w:szCs w:val="18"/>
        </w:rPr>
        <w:t xml:space="preserve">Retrieved from: </w:t>
      </w:r>
      <w:hyperlink r:id="rId38" w:history="1">
        <w:r w:rsidRPr="000865DF">
          <w:rPr>
            <w:rStyle w:val="Hyperlink"/>
            <w:sz w:val="18"/>
            <w:szCs w:val="18"/>
          </w:rPr>
          <w:t>https://revistamarieclaire.globo.com/Mulheres-do-Mundo/noticia/2020/03/hospital-perola-byington-reabre-servico-de-aborto-legal.html</w:t>
        </w:r>
      </w:hyperlink>
      <w:r w:rsidRPr="000865DF">
        <w:rPr>
          <w:sz w:val="18"/>
          <w:szCs w:val="18"/>
        </w:rPr>
        <w:t xml:space="preserve"> </w:t>
      </w:r>
    </w:p>
  </w:endnote>
  <w:endnote w:id="127">
    <w:p w14:paraId="4AD6068A" w14:textId="77777777" w:rsidR="0063248B" w:rsidRPr="000865DF" w:rsidRDefault="0063248B" w:rsidP="003931CA">
      <w:pPr>
        <w:jc w:val="both"/>
        <w:rPr>
          <w:rFonts w:ascii="Times New Roman" w:hAnsi="Times New Roman" w:cs="Times New Roman"/>
          <w:sz w:val="18"/>
          <w:szCs w:val="18"/>
        </w:rPr>
      </w:pPr>
      <w:r w:rsidRPr="000865DF">
        <w:rPr>
          <w:rStyle w:val="EndnoteReference"/>
          <w:rFonts w:ascii="Times New Roman" w:hAnsi="Times New Roman" w:cs="Times New Roman"/>
          <w:sz w:val="18"/>
          <w:szCs w:val="18"/>
        </w:rPr>
        <w:endnoteRef/>
      </w:r>
      <w:r w:rsidRPr="000865DF">
        <w:rPr>
          <w:rFonts w:ascii="Times New Roman" w:hAnsi="Times New Roman" w:cs="Times New Roman"/>
          <w:sz w:val="18"/>
          <w:szCs w:val="18"/>
          <w:lang w:val="es-CO"/>
        </w:rPr>
        <w:t xml:space="preserve"> El Mostrador. 2020. Salud sexual y reproductiva y acceso al aborto legal en tiempos de Coronavirus. </w:t>
      </w:r>
      <w:r w:rsidRPr="000865DF">
        <w:rPr>
          <w:rFonts w:ascii="Times New Roman" w:hAnsi="Times New Roman" w:cs="Times New Roman"/>
          <w:sz w:val="18"/>
          <w:szCs w:val="18"/>
        </w:rPr>
        <w:t xml:space="preserve">Retrieved from:  </w:t>
      </w:r>
      <w:hyperlink r:id="rId39" w:history="1">
        <w:r w:rsidRPr="000865DF">
          <w:rPr>
            <w:rStyle w:val="Hyperlink"/>
            <w:rFonts w:ascii="Times New Roman" w:hAnsi="Times New Roman" w:cs="Times New Roman"/>
            <w:sz w:val="18"/>
            <w:szCs w:val="18"/>
          </w:rPr>
          <w:t>https://www.elmostrador.cl/braga/2020/04/18/salud-sexual-y-reproductiva-y-acceso-al-aborto-legal-en-tiempos-de-coronavirus/</w:t>
        </w:r>
      </w:hyperlink>
    </w:p>
  </w:endnote>
  <w:endnote w:id="128">
    <w:p w14:paraId="0FC5CA21"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lang w:val="es-CO"/>
        </w:rPr>
        <w:t xml:space="preserve"> El Espectador. 2020. Los dilemas alrededor del aborto en Colombia durante la pandemia. </w:t>
      </w:r>
      <w:r w:rsidRPr="000865DF">
        <w:rPr>
          <w:sz w:val="18"/>
          <w:szCs w:val="18"/>
        </w:rPr>
        <w:t>Retrieved from: https://www.elespectador.com/coronavirus/los-dilemas-alrededor-del-aborto-en-colombia-durante-la-pandemia-articulo-915825</w:t>
      </w:r>
    </w:p>
  </w:endnote>
  <w:endnote w:id="129">
    <w:p w14:paraId="31E82057" w14:textId="77777777" w:rsidR="0063248B" w:rsidRPr="000865DF" w:rsidRDefault="0063248B" w:rsidP="003931CA">
      <w:pPr>
        <w:pStyle w:val="EndnoteText"/>
        <w:jc w:val="both"/>
        <w:rPr>
          <w:sz w:val="18"/>
          <w:szCs w:val="18"/>
          <w:lang w:val="es-CO"/>
        </w:rPr>
      </w:pPr>
      <w:r w:rsidRPr="000865DF">
        <w:rPr>
          <w:rStyle w:val="EndnoteReference"/>
          <w:sz w:val="18"/>
          <w:szCs w:val="18"/>
        </w:rPr>
        <w:endnoteRef/>
      </w:r>
      <w:r w:rsidRPr="000865DF">
        <w:rPr>
          <w:sz w:val="18"/>
          <w:szCs w:val="18"/>
          <w:lang w:val="es-CO"/>
        </w:rPr>
        <w:t xml:space="preserve"> Id. </w:t>
      </w:r>
    </w:p>
  </w:endnote>
  <w:endnote w:id="130">
    <w:p w14:paraId="312D86F8"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lang w:val="es-CO"/>
        </w:rPr>
        <w:t xml:space="preserve"> La Izquierda Diario. 2020. “¿Por qué es importante el aborto legal en medio del COVID-19?”. </w:t>
      </w:r>
      <w:r w:rsidRPr="000865DF">
        <w:rPr>
          <w:sz w:val="18"/>
          <w:szCs w:val="18"/>
        </w:rPr>
        <w:t xml:space="preserve">Retrieved from:  </w:t>
      </w:r>
      <w:hyperlink r:id="rId40" w:history="1">
        <w:r w:rsidRPr="000865DF">
          <w:rPr>
            <w:rStyle w:val="Hyperlink"/>
            <w:sz w:val="18"/>
            <w:szCs w:val="18"/>
          </w:rPr>
          <w:t>http://www.laizquierdadiario.com/Por-que-es-importante-el-aborto-legal-en-medio-del-COVID-19</w:t>
        </w:r>
      </w:hyperlink>
      <w:r w:rsidRPr="000865DF">
        <w:rPr>
          <w:sz w:val="18"/>
          <w:szCs w:val="18"/>
        </w:rPr>
        <w:t xml:space="preserve"> </w:t>
      </w:r>
    </w:p>
  </w:endnote>
  <w:endnote w:id="131">
    <w:p w14:paraId="3A9F9802" w14:textId="77777777" w:rsidR="0063248B" w:rsidRPr="000865DF" w:rsidRDefault="0063248B" w:rsidP="003931CA">
      <w:pPr>
        <w:pStyle w:val="EndnoteText"/>
        <w:jc w:val="both"/>
        <w:rPr>
          <w:sz w:val="18"/>
          <w:szCs w:val="18"/>
        </w:rPr>
      </w:pPr>
      <w:r w:rsidRPr="000865DF">
        <w:rPr>
          <w:rStyle w:val="EndnoteReference"/>
          <w:sz w:val="18"/>
          <w:szCs w:val="18"/>
        </w:rPr>
        <w:endnoteRef/>
      </w:r>
      <w:r w:rsidRPr="000865DF">
        <w:rPr>
          <w:sz w:val="18"/>
          <w:szCs w:val="18"/>
        </w:rPr>
        <w:t xml:space="preserve"> Inter-American Commission of Women (CIM), </w:t>
      </w:r>
      <w:r w:rsidRPr="000865DF">
        <w:rPr>
          <w:i/>
          <w:iCs/>
          <w:sz w:val="18"/>
          <w:szCs w:val="18"/>
        </w:rPr>
        <w:t>COVID-19 in Women’s Lives: Reasons to Recognize the Differential Impacts</w:t>
      </w:r>
      <w:r w:rsidRPr="000865DF">
        <w:rPr>
          <w:sz w:val="18"/>
          <w:szCs w:val="18"/>
        </w:rPr>
        <w:t xml:space="preserve">, 2020, available at: </w:t>
      </w:r>
      <w:hyperlink r:id="rId41" w:history="1">
        <w:r w:rsidRPr="000865DF">
          <w:rPr>
            <w:rStyle w:val="Hyperlink"/>
            <w:sz w:val="18"/>
            <w:szCs w:val="18"/>
          </w:rPr>
          <w:t>http://www.oas.org/es/cim/docs/ArgumentarioCOVID19-EN.pdf</w:t>
        </w:r>
      </w:hyperlink>
    </w:p>
  </w:endnote>
  <w:endnote w:id="132">
    <w:p w14:paraId="17975C3F" w14:textId="77777777" w:rsidR="0063248B" w:rsidRPr="000865DF" w:rsidRDefault="0063248B" w:rsidP="003931CA">
      <w:pPr>
        <w:jc w:val="both"/>
        <w:rPr>
          <w:rFonts w:ascii="Times New Roman" w:eastAsia="Times New Roman" w:hAnsi="Times New Roman" w:cs="Times New Roman"/>
          <w:color w:val="000000"/>
          <w:sz w:val="18"/>
          <w:szCs w:val="18"/>
          <w:lang w:eastAsia="es-ES_tradnl"/>
        </w:rPr>
      </w:pPr>
      <w:r w:rsidRPr="000865DF">
        <w:rPr>
          <w:rStyle w:val="EndnoteReference"/>
          <w:rFonts w:ascii="Times New Roman" w:hAnsi="Times New Roman" w:cs="Times New Roman"/>
          <w:sz w:val="18"/>
          <w:szCs w:val="18"/>
        </w:rPr>
        <w:endnoteRef/>
      </w:r>
      <w:r w:rsidRPr="000865DF">
        <w:rPr>
          <w:rFonts w:ascii="Times New Roman" w:hAnsi="Times New Roman" w:cs="Times New Roman"/>
          <w:sz w:val="18"/>
          <w:szCs w:val="18"/>
          <w:lang w:val="es-CO"/>
        </w:rPr>
        <w:t xml:space="preserve"> </w:t>
      </w:r>
      <w:r w:rsidRPr="000865DF">
        <w:rPr>
          <w:rFonts w:ascii="Times New Roman" w:hAnsi="Times New Roman" w:cs="Times New Roman"/>
          <w:color w:val="000000"/>
          <w:sz w:val="18"/>
          <w:szCs w:val="18"/>
          <w:lang w:val="es-CO"/>
        </w:rPr>
        <w:t xml:space="preserve"> Agricultura. 2020. “</w:t>
      </w:r>
      <w:r w:rsidRPr="000865DF">
        <w:rPr>
          <w:rFonts w:ascii="Times New Roman" w:eastAsia="Times New Roman" w:hAnsi="Times New Roman" w:cs="Times New Roman"/>
          <w:color w:val="000000"/>
          <w:sz w:val="18"/>
          <w:szCs w:val="18"/>
          <w:lang w:val="es-CO" w:eastAsia="es-ES_tradnl"/>
        </w:rPr>
        <w:t xml:space="preserve">Matronas exigen que Minsal no se olvide de embarazadas en emergencia por Covid-19”. </w:t>
      </w:r>
      <w:r w:rsidRPr="000865DF">
        <w:rPr>
          <w:rFonts w:ascii="Times New Roman" w:eastAsia="Times New Roman" w:hAnsi="Times New Roman" w:cs="Times New Roman"/>
          <w:color w:val="000000"/>
          <w:sz w:val="18"/>
          <w:szCs w:val="18"/>
          <w:lang w:eastAsia="es-ES_tradnl"/>
        </w:rPr>
        <w:t xml:space="preserve">Retrieved from: </w:t>
      </w:r>
      <w:hyperlink r:id="rId42" w:history="1">
        <w:r w:rsidRPr="000865DF">
          <w:rPr>
            <w:rStyle w:val="Hyperlink"/>
            <w:rFonts w:ascii="Times New Roman" w:hAnsi="Times New Roman" w:cs="Times New Roman"/>
            <w:sz w:val="18"/>
            <w:szCs w:val="18"/>
          </w:rPr>
          <w:t>https://www.radioagricultura.cl/nacional/2020/04/10/matronas-exigen-que-minsal-no-se-olvide-de-embarazadas-en-emergencia-por-covid-19.html</w:t>
        </w:r>
      </w:hyperlink>
      <w:r w:rsidRPr="000865DF">
        <w:rPr>
          <w:rFonts w:ascii="Times New Roman" w:hAnsi="Times New Roman" w:cs="Times New Roman"/>
          <w:color w:val="000000"/>
          <w:sz w:val="18"/>
          <w:szCs w:val="18"/>
        </w:rPr>
        <w:t xml:space="preserve"> </w:t>
      </w:r>
    </w:p>
  </w:endnote>
  <w:endnote w:id="133">
    <w:p w14:paraId="24BA965C" w14:textId="77777777" w:rsidR="0063248B" w:rsidRPr="000865DF" w:rsidRDefault="0063248B" w:rsidP="003931CA">
      <w:pPr>
        <w:jc w:val="both"/>
        <w:rPr>
          <w:rFonts w:ascii="Times New Roman" w:hAnsi="Times New Roman" w:cs="Times New Roman"/>
          <w:sz w:val="18"/>
          <w:szCs w:val="18"/>
        </w:rPr>
      </w:pPr>
      <w:r w:rsidRPr="000865DF">
        <w:rPr>
          <w:rStyle w:val="EndnoteReference"/>
          <w:rFonts w:ascii="Times New Roman" w:hAnsi="Times New Roman" w:cs="Times New Roman"/>
          <w:sz w:val="18"/>
          <w:szCs w:val="18"/>
        </w:rPr>
        <w:endnoteRef/>
      </w:r>
      <w:r w:rsidRPr="000865DF">
        <w:rPr>
          <w:rFonts w:ascii="Times New Roman" w:hAnsi="Times New Roman" w:cs="Times New Roman"/>
          <w:sz w:val="18"/>
          <w:szCs w:val="18"/>
          <w:lang w:val="es-CO"/>
        </w:rPr>
        <w:t xml:space="preserve"> El Comercio. 2020 Coronavirus en Perú: Tiempos difíciles para convertirse en padres. </w:t>
      </w:r>
      <w:r w:rsidRPr="000865DF">
        <w:rPr>
          <w:rFonts w:ascii="Times New Roman" w:hAnsi="Times New Roman" w:cs="Times New Roman"/>
          <w:sz w:val="18"/>
          <w:szCs w:val="18"/>
        </w:rPr>
        <w:t xml:space="preserve">Retrieved from: </w:t>
      </w:r>
      <w:hyperlink r:id="rId43" w:history="1">
        <w:r w:rsidRPr="000865DF">
          <w:rPr>
            <w:rStyle w:val="Hyperlink"/>
            <w:rFonts w:ascii="Times New Roman" w:hAnsi="Times New Roman" w:cs="Times New Roman"/>
            <w:sz w:val="18"/>
            <w:szCs w:val="18"/>
          </w:rPr>
          <w:t>https://elcomercio.pe/lima/sucesos/coronavirus-en-peru-tiempos-dificiles-para-convertirse-en-padres-cronica-covid-19-noticia/?ref=ecr</w:t>
        </w:r>
      </w:hyperlink>
    </w:p>
  </w:endnote>
  <w:endnote w:id="134">
    <w:p w14:paraId="2527071D" w14:textId="77777777" w:rsidR="0063248B" w:rsidRPr="000865DF" w:rsidRDefault="0063248B" w:rsidP="003931CA">
      <w:pPr>
        <w:pStyle w:val="EndnoteText"/>
        <w:jc w:val="both"/>
        <w:rPr>
          <w:sz w:val="18"/>
          <w:szCs w:val="18"/>
          <w:lang w:val="es-CO"/>
        </w:rPr>
      </w:pPr>
      <w:r w:rsidRPr="000865DF">
        <w:rPr>
          <w:rStyle w:val="EndnoteReference"/>
          <w:sz w:val="18"/>
          <w:szCs w:val="18"/>
        </w:rPr>
        <w:endnoteRef/>
      </w:r>
      <w:r w:rsidRPr="000865DF">
        <w:rPr>
          <w:sz w:val="18"/>
          <w:szCs w:val="18"/>
          <w:lang w:val="es-CO"/>
        </w:rPr>
        <w:t xml:space="preserve"> Id.</w:t>
      </w:r>
    </w:p>
  </w:endnote>
  <w:endnote w:id="135">
    <w:p w14:paraId="6548A625" w14:textId="77777777" w:rsidR="0063248B" w:rsidRPr="000865DF" w:rsidRDefault="0063248B" w:rsidP="003931CA">
      <w:pPr>
        <w:pStyle w:val="EndnoteText"/>
        <w:jc w:val="both"/>
        <w:rPr>
          <w:sz w:val="18"/>
          <w:szCs w:val="18"/>
          <w:lang w:val="en-CH"/>
        </w:rPr>
      </w:pPr>
      <w:r w:rsidRPr="000865DF">
        <w:rPr>
          <w:rStyle w:val="EndnoteReference"/>
          <w:sz w:val="18"/>
          <w:szCs w:val="18"/>
        </w:rPr>
        <w:endnoteRef/>
      </w:r>
      <w:r w:rsidRPr="000865DF">
        <w:rPr>
          <w:sz w:val="18"/>
          <w:szCs w:val="18"/>
          <w:lang w:val="es-CO"/>
        </w:rPr>
        <w:t xml:space="preserve"> El Comercio. 2020. “Mujer es procesada por 'aborto consentido'; la denuncia salió de un hospital”. </w:t>
      </w:r>
      <w:r w:rsidRPr="000865DF">
        <w:rPr>
          <w:sz w:val="18"/>
          <w:szCs w:val="18"/>
          <w:lang w:val="en-CH"/>
        </w:rPr>
        <w:t>Retrieved from:</w:t>
      </w:r>
      <w:r w:rsidRPr="000865DF">
        <w:rPr>
          <w:b/>
          <w:bCs/>
          <w:sz w:val="18"/>
          <w:szCs w:val="18"/>
          <w:lang w:val="en-CH"/>
        </w:rPr>
        <w:t> </w:t>
      </w:r>
      <w:hyperlink r:id="rId44" w:history="1">
        <w:r w:rsidRPr="000865DF">
          <w:rPr>
            <w:rStyle w:val="Hyperlink"/>
            <w:sz w:val="18"/>
            <w:szCs w:val="18"/>
            <w:lang w:val="en-CH"/>
          </w:rPr>
          <w:t>https://www.elcomercio.com/actualidad/mujer-procesada-aborto-denuncia-bolivar.html</w:t>
        </w:r>
      </w:hyperlink>
      <w:r w:rsidRPr="000865DF">
        <w:rPr>
          <w:sz w:val="18"/>
          <w:szCs w:val="18"/>
          <w:lang w:val="en-CH"/>
        </w:rPr>
        <w:t xml:space="preserve"> </w:t>
      </w:r>
    </w:p>
  </w:endnote>
  <w:endnote w:id="136">
    <w:p w14:paraId="2F1AC5A4" w14:textId="77777777" w:rsidR="0063248B" w:rsidRPr="000865DF" w:rsidRDefault="0063248B" w:rsidP="003931CA">
      <w:pPr>
        <w:pStyle w:val="ListParagraph"/>
        <w:spacing w:line="259" w:lineRule="auto"/>
        <w:ind w:left="0"/>
        <w:jc w:val="both"/>
        <w:rPr>
          <w:rFonts w:ascii="Times New Roman" w:hAnsi="Times New Roman" w:cs="Times New Roman"/>
          <w:sz w:val="18"/>
          <w:szCs w:val="18"/>
        </w:rPr>
      </w:pPr>
      <w:r w:rsidRPr="000865DF">
        <w:rPr>
          <w:rStyle w:val="EndnoteReference"/>
          <w:rFonts w:ascii="Times New Roman" w:hAnsi="Times New Roman" w:cs="Times New Roman"/>
          <w:sz w:val="18"/>
          <w:szCs w:val="18"/>
        </w:rPr>
        <w:endnoteRef/>
      </w:r>
      <w:r w:rsidRPr="000865DF">
        <w:rPr>
          <w:rFonts w:ascii="Times New Roman" w:hAnsi="Times New Roman" w:cs="Times New Roman"/>
          <w:sz w:val="18"/>
          <w:szCs w:val="18"/>
        </w:rPr>
        <w:t xml:space="preserve"> CIM has said that: “[w]omen are more exposed in health services. In the region, half of medical personnel and more than 80% of nursing personnel are women, the highest percentage in the world” and that “[w]omen deprived of liberty face an especially serious threat. Extreme overcrowding, inadequate basic infrastructure, and poor access to health services increase both the risk of contagion and the severity of the impact of the virus”. Inter-American Commission of Women (CIM), </w:t>
      </w:r>
      <w:r w:rsidRPr="000865DF">
        <w:rPr>
          <w:rFonts w:ascii="Times New Roman" w:hAnsi="Times New Roman" w:cs="Times New Roman"/>
          <w:i/>
          <w:iCs/>
          <w:sz w:val="18"/>
          <w:szCs w:val="18"/>
        </w:rPr>
        <w:t>COVID-19 in Women’s Lives: Reasons to Recognize the Differential Impacts</w:t>
      </w:r>
      <w:r w:rsidRPr="000865DF">
        <w:rPr>
          <w:rFonts w:ascii="Times New Roman" w:hAnsi="Times New Roman" w:cs="Times New Roman"/>
          <w:sz w:val="18"/>
          <w:szCs w:val="18"/>
        </w:rPr>
        <w:t xml:space="preserve">, 2020, available at: </w:t>
      </w:r>
      <w:hyperlink r:id="rId45" w:history="1">
        <w:r w:rsidRPr="000865DF">
          <w:rPr>
            <w:rStyle w:val="Hyperlink"/>
            <w:rFonts w:ascii="Times New Roman" w:hAnsi="Times New Roman" w:cs="Times New Roman"/>
            <w:sz w:val="18"/>
            <w:szCs w:val="18"/>
          </w:rPr>
          <w:t>http://www.oas.org/es/cim/docs/ArgumentarioCOVID19-EN.pdf</w:t>
        </w:r>
      </w:hyperlink>
      <w:r w:rsidRPr="000865DF">
        <w:rPr>
          <w:rFonts w:ascii="Times New Roman" w:hAnsi="Times New Roman" w:cs="Times New Roman"/>
          <w:sz w:val="18"/>
          <w:szCs w:val="18"/>
        </w:rPr>
        <w:t>.</w:t>
      </w:r>
    </w:p>
  </w:endnote>
  <w:endnote w:id="137">
    <w:p w14:paraId="311CE325" w14:textId="77777777" w:rsidR="0063248B" w:rsidRPr="000865DF" w:rsidRDefault="0063248B" w:rsidP="003931CA">
      <w:pPr>
        <w:pStyle w:val="EndnoteText"/>
        <w:rPr>
          <w:sz w:val="18"/>
          <w:szCs w:val="18"/>
        </w:rPr>
      </w:pPr>
      <w:r w:rsidRPr="000865DF">
        <w:rPr>
          <w:rStyle w:val="EndnoteReference"/>
          <w:sz w:val="18"/>
          <w:szCs w:val="18"/>
        </w:rPr>
        <w:endnoteRef/>
      </w:r>
      <w:r w:rsidRPr="000865DF">
        <w:rPr>
          <w:sz w:val="18"/>
          <w:szCs w:val="18"/>
        </w:rPr>
        <w:t xml:space="preserve"> Surkuna, Twitter: </w:t>
      </w:r>
      <w:hyperlink r:id="rId46" w:history="1">
        <w:r w:rsidRPr="000865DF">
          <w:rPr>
            <w:rStyle w:val="Hyperlink"/>
            <w:sz w:val="18"/>
            <w:szCs w:val="18"/>
          </w:rPr>
          <w:t>https://twitter.com/SurkunaEc/status/1257758478355116032</w:t>
        </w:r>
      </w:hyperlink>
      <w:r w:rsidRPr="000865DF">
        <w:rPr>
          <w:sz w:val="18"/>
          <w:szCs w:val="18"/>
        </w:rPr>
        <w:t>.</w:t>
      </w:r>
    </w:p>
  </w:endnote>
  <w:endnote w:id="138">
    <w:p w14:paraId="7830C1E1" w14:textId="6D13F5D5" w:rsidR="0063248B" w:rsidRPr="000865DF" w:rsidRDefault="0063248B" w:rsidP="00454624">
      <w:pPr>
        <w:jc w:val="both"/>
        <w:rPr>
          <w:rFonts w:ascii="Times New Roman" w:hAnsi="Times New Roman" w:cs="Times New Roman"/>
          <w:sz w:val="18"/>
          <w:szCs w:val="18"/>
        </w:rPr>
      </w:pPr>
      <w:r w:rsidRPr="000865DF">
        <w:rPr>
          <w:rStyle w:val="EndnoteReference"/>
          <w:rFonts w:ascii="Times New Roman" w:hAnsi="Times New Roman" w:cs="Times New Roman"/>
          <w:sz w:val="18"/>
          <w:szCs w:val="18"/>
        </w:rPr>
        <w:endnoteRef/>
      </w:r>
      <w:r w:rsidRPr="000865DF">
        <w:rPr>
          <w:rFonts w:ascii="Times New Roman" w:hAnsi="Times New Roman" w:cs="Times New Roman"/>
          <w:sz w:val="18"/>
          <w:szCs w:val="18"/>
          <w:lang w:val="es-CO"/>
        </w:rPr>
        <w:t xml:space="preserve"> UNFPA. 2020. “Las mujeres encarceladas y en cuarentena necesitan suministros de higiene en El Salvador”. </w:t>
      </w:r>
      <w:r w:rsidRPr="000865DF">
        <w:rPr>
          <w:rFonts w:ascii="Times New Roman" w:hAnsi="Times New Roman" w:cs="Times New Roman"/>
          <w:sz w:val="18"/>
          <w:szCs w:val="18"/>
        </w:rPr>
        <w:t xml:space="preserve">Retrieved from: </w:t>
      </w:r>
      <w:hyperlink r:id="rId47" w:history="1">
        <w:r w:rsidRPr="000865DF">
          <w:rPr>
            <w:rStyle w:val="Hyperlink"/>
            <w:rFonts w:ascii="Times New Roman" w:hAnsi="Times New Roman" w:cs="Times New Roman"/>
            <w:sz w:val="18"/>
            <w:szCs w:val="18"/>
          </w:rPr>
          <w:t>https://www.unfpa.org/es/news/las-mujeres-encarceladas-y-en-cuarentena-necesitan-suministros-de-higiene-en-el-salvador</w:t>
        </w:r>
      </w:hyperlink>
    </w:p>
  </w:endnote>
  <w:endnote w:id="139">
    <w:p w14:paraId="5EB2D490" w14:textId="77777777" w:rsidR="00E55846" w:rsidRPr="000865DF" w:rsidRDefault="00E55846" w:rsidP="00E55846">
      <w:pPr>
        <w:pStyle w:val="EndnoteText"/>
        <w:jc w:val="both"/>
        <w:rPr>
          <w:sz w:val="18"/>
          <w:szCs w:val="18"/>
        </w:rPr>
      </w:pPr>
      <w:r w:rsidRPr="000865DF">
        <w:rPr>
          <w:rStyle w:val="EndnoteReference"/>
          <w:sz w:val="18"/>
          <w:szCs w:val="18"/>
        </w:rPr>
        <w:endnoteRef/>
      </w:r>
      <w:r w:rsidRPr="000865DF">
        <w:rPr>
          <w:sz w:val="18"/>
          <w:szCs w:val="18"/>
          <w:lang w:val="fr-FR"/>
        </w:rPr>
        <w:t xml:space="preserve"> Ziraba AK, Izugbara C, Levandowski BA, et al. </w:t>
      </w:r>
      <w:r w:rsidRPr="000865DF">
        <w:rPr>
          <w:sz w:val="18"/>
          <w:szCs w:val="18"/>
        </w:rPr>
        <w:t>Unsafe abortion in Kenya: a cross-sectional study of abortion complication severity and associated factors. </w:t>
      </w:r>
      <w:r w:rsidRPr="000865DF">
        <w:rPr>
          <w:i/>
          <w:iCs/>
          <w:sz w:val="18"/>
          <w:szCs w:val="18"/>
        </w:rPr>
        <w:t>BMC Pregnancy Childbirth</w:t>
      </w:r>
      <w:r w:rsidRPr="000865DF">
        <w:rPr>
          <w:sz w:val="18"/>
          <w:szCs w:val="18"/>
        </w:rPr>
        <w:t>. 2015;15:34. Published 2015 Feb 15. doi:10.1186/s12884-015-0459-6</w:t>
      </w:r>
    </w:p>
  </w:endnote>
  <w:endnote w:id="140">
    <w:p w14:paraId="0D9172AE" w14:textId="77777777" w:rsidR="00E55846" w:rsidRPr="000865DF" w:rsidRDefault="00E55846" w:rsidP="00E55846">
      <w:pPr>
        <w:pStyle w:val="Heading1"/>
        <w:shd w:val="clear" w:color="auto" w:fill="FFFFFF"/>
        <w:spacing w:before="120" w:after="120" w:line="240" w:lineRule="atLeast"/>
        <w:jc w:val="both"/>
        <w:rPr>
          <w:rFonts w:ascii="Times New Roman" w:hAnsi="Times New Roman" w:cs="Times New Roman"/>
          <w:b/>
          <w:bCs/>
          <w:color w:val="DF6606"/>
          <w:sz w:val="18"/>
          <w:szCs w:val="18"/>
        </w:rPr>
      </w:pPr>
      <w:r w:rsidRPr="000865DF">
        <w:rPr>
          <w:rStyle w:val="EndnoteReference"/>
          <w:rFonts w:ascii="Times New Roman" w:hAnsi="Times New Roman" w:cs="Times New Roman"/>
          <w:sz w:val="18"/>
          <w:szCs w:val="18"/>
        </w:rPr>
        <w:endnoteRef/>
      </w:r>
      <w:r w:rsidRPr="000865DF">
        <w:rPr>
          <w:rFonts w:ascii="Times New Roman" w:hAnsi="Times New Roman" w:cs="Times New Roman"/>
          <w:sz w:val="18"/>
          <w:szCs w:val="18"/>
        </w:rPr>
        <w:t xml:space="preserve"> Fact Sheet: Enforcing Kenya's obligation to provide legal abortion services, </w:t>
      </w:r>
      <w:hyperlink r:id="rId48" w:tooltip="CFHR101-Cover.pdf" w:history="1">
        <w:r w:rsidRPr="000865DF">
          <w:rPr>
            <w:rStyle w:val="Hyperlink"/>
            <w:rFonts w:ascii="Times New Roman" w:hAnsi="Times New Roman" w:cs="Times New Roman"/>
            <w:color w:val="auto"/>
            <w:sz w:val="18"/>
            <w:szCs w:val="18"/>
          </w:rPr>
          <w:t>FIDA KENYA &amp; 3 OTHERS Vs. ATTORNEY GENERAL &amp; 2 OTHERS CONSTITUTIONAL PETITION NO 266 OF 2015</w:t>
        </w:r>
      </w:hyperlink>
      <w:r w:rsidRPr="000865DF">
        <w:rPr>
          <w:rStyle w:val="file"/>
          <w:rFonts w:ascii="Times New Roman" w:hAnsi="Times New Roman" w:cs="Times New Roman"/>
          <w:color w:val="231F20"/>
          <w:sz w:val="18"/>
          <w:szCs w:val="18"/>
        </w:rPr>
        <w:t>¸September 10</w:t>
      </w:r>
      <w:r w:rsidRPr="000865DF">
        <w:rPr>
          <w:rStyle w:val="file"/>
          <w:rFonts w:ascii="Times New Roman" w:hAnsi="Times New Roman" w:cs="Times New Roman"/>
          <w:color w:val="231F20"/>
          <w:sz w:val="18"/>
          <w:szCs w:val="18"/>
          <w:vertAlign w:val="superscript"/>
        </w:rPr>
        <w:t>th</w:t>
      </w:r>
      <w:r w:rsidRPr="000865DF">
        <w:rPr>
          <w:rStyle w:val="file"/>
          <w:rFonts w:ascii="Times New Roman" w:hAnsi="Times New Roman" w:cs="Times New Roman"/>
          <w:color w:val="231F20"/>
          <w:sz w:val="18"/>
          <w:szCs w:val="18"/>
        </w:rPr>
        <w:t xml:space="preserve"> 2019 available at </w:t>
      </w:r>
      <w:hyperlink r:id="rId49" w:history="1">
        <w:r w:rsidRPr="000865DF">
          <w:rPr>
            <w:rStyle w:val="Hyperlink"/>
            <w:rFonts w:ascii="Times New Roman" w:hAnsi="Times New Roman" w:cs="Times New Roman"/>
            <w:sz w:val="18"/>
            <w:szCs w:val="18"/>
          </w:rPr>
          <w:t>https://reproductiverights.org/document/fact-sheet-enforcing-kenyas-obligation-provide-legal-abortion-services</w:t>
        </w:r>
      </w:hyperlink>
    </w:p>
  </w:endnote>
  <w:endnote w:id="141">
    <w:p w14:paraId="1FE932F0" w14:textId="77777777" w:rsidR="00E55846" w:rsidRPr="000865DF" w:rsidRDefault="00E55846" w:rsidP="00E55846">
      <w:pPr>
        <w:pStyle w:val="EndnoteText"/>
        <w:jc w:val="both"/>
        <w:rPr>
          <w:sz w:val="18"/>
          <w:szCs w:val="18"/>
        </w:rPr>
      </w:pPr>
      <w:r w:rsidRPr="000865DF">
        <w:rPr>
          <w:rStyle w:val="EndnoteReference"/>
          <w:sz w:val="18"/>
          <w:szCs w:val="18"/>
        </w:rPr>
        <w:endnoteRef/>
      </w:r>
      <w:r w:rsidRPr="000865DF">
        <w:rPr>
          <w:sz w:val="18"/>
          <w:szCs w:val="18"/>
        </w:rPr>
        <w:t xml:space="preserve"> Republic of Kenya, High Court of Kenya at Nairobi Constitutional and human rights division, Petition no 266 of 2015, Federation of women lawyers (FIDA Kenya) and 3 others vs AG and 2 others, Judgment-Petition No. 266 of 2015, paras. 379 and 411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377295642"/>
      <w:docPartObj>
        <w:docPartGallery w:val="Page Numbers (Bottom of Page)"/>
        <w:docPartUnique/>
      </w:docPartObj>
    </w:sdtPr>
    <w:sdtEndPr>
      <w:rPr>
        <w:noProof/>
      </w:rPr>
    </w:sdtEndPr>
    <w:sdtContent>
      <w:p w14:paraId="6962C649" w14:textId="60BB447A" w:rsidR="0063248B" w:rsidRPr="006F521F" w:rsidRDefault="0063248B">
        <w:pPr>
          <w:pStyle w:val="Footer"/>
          <w:jc w:val="right"/>
          <w:rPr>
            <w:rFonts w:ascii="Times New Roman" w:hAnsi="Times New Roman" w:cs="Times New Roman"/>
          </w:rPr>
        </w:pPr>
        <w:r w:rsidRPr="006F521F">
          <w:rPr>
            <w:rFonts w:ascii="Times New Roman" w:hAnsi="Times New Roman" w:cs="Times New Roman"/>
          </w:rPr>
          <w:fldChar w:fldCharType="begin"/>
        </w:r>
        <w:r w:rsidRPr="006F521F">
          <w:rPr>
            <w:rFonts w:ascii="Times New Roman" w:hAnsi="Times New Roman" w:cs="Times New Roman"/>
          </w:rPr>
          <w:instrText xml:space="preserve"> PAGE   \* MERGEFORMAT </w:instrText>
        </w:r>
        <w:r w:rsidRPr="006F521F">
          <w:rPr>
            <w:rFonts w:ascii="Times New Roman" w:hAnsi="Times New Roman" w:cs="Times New Roman"/>
          </w:rPr>
          <w:fldChar w:fldCharType="separate"/>
        </w:r>
        <w:r w:rsidRPr="006F521F">
          <w:rPr>
            <w:rFonts w:ascii="Times New Roman" w:hAnsi="Times New Roman" w:cs="Times New Roman"/>
            <w:noProof/>
          </w:rPr>
          <w:t>2</w:t>
        </w:r>
        <w:r w:rsidRPr="006F521F">
          <w:rPr>
            <w:rFonts w:ascii="Times New Roman" w:hAnsi="Times New Roman" w:cs="Times New Roman"/>
            <w:noProof/>
          </w:rPr>
          <w:fldChar w:fldCharType="end"/>
        </w:r>
      </w:p>
    </w:sdtContent>
  </w:sdt>
  <w:p w14:paraId="31425CF1" w14:textId="77777777" w:rsidR="0063248B" w:rsidRPr="006F521F" w:rsidRDefault="0063248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85C66" w14:textId="77777777" w:rsidR="00890FB1" w:rsidRDefault="00890FB1" w:rsidP="003931CA">
      <w:pPr>
        <w:spacing w:after="0" w:line="240" w:lineRule="auto"/>
      </w:pPr>
      <w:r>
        <w:separator/>
      </w:r>
    </w:p>
  </w:footnote>
  <w:footnote w:type="continuationSeparator" w:id="0">
    <w:p w14:paraId="144CC431" w14:textId="77777777" w:rsidR="00890FB1" w:rsidRDefault="00890FB1" w:rsidP="00393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EC776" w14:textId="602BD89F" w:rsidR="0063248B" w:rsidRDefault="0063248B">
    <w:pPr>
      <w:pStyle w:val="Header"/>
    </w:pPr>
    <w:r>
      <w:rPr>
        <w:noProof/>
      </w:rPr>
      <w:drawing>
        <wp:inline distT="0" distB="0" distL="0" distR="0" wp14:anchorId="0D224560" wp14:editId="21FD4D5A">
          <wp:extent cx="1378870" cy="91757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png"/>
                  <pic:cNvPicPr/>
                </pic:nvPicPr>
                <pic:blipFill>
                  <a:blip r:embed="rId1">
                    <a:extLst>
                      <a:ext uri="{28A0092B-C50C-407E-A947-70E740481C1C}">
                        <a14:useLocalDpi xmlns:a14="http://schemas.microsoft.com/office/drawing/2010/main" val="0"/>
                      </a:ext>
                    </a:extLst>
                  </a:blip>
                  <a:stretch>
                    <a:fillRect/>
                  </a:stretch>
                </pic:blipFill>
                <pic:spPr>
                  <a:xfrm>
                    <a:off x="0" y="0"/>
                    <a:ext cx="1383263" cy="9204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964"/>
    <w:multiLevelType w:val="hybridMultilevel"/>
    <w:tmpl w:val="F3C08CF6"/>
    <w:lvl w:ilvl="0" w:tplc="8B3282AE">
      <w:start w:val="1"/>
      <w:numFmt w:val="decimal"/>
      <w:lvlText w:val="%1)"/>
      <w:lvlJc w:val="left"/>
      <w:pPr>
        <w:ind w:left="720" w:hanging="360"/>
      </w:pPr>
      <w:rPr>
        <w:rFonts w:ascii="Calibri" w:hAnsi="Calibri" w:cs="Calibri"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D831718"/>
    <w:multiLevelType w:val="hybridMultilevel"/>
    <w:tmpl w:val="58A0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184E"/>
    <w:multiLevelType w:val="hybridMultilevel"/>
    <w:tmpl w:val="E258F7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34993"/>
    <w:multiLevelType w:val="hybridMultilevel"/>
    <w:tmpl w:val="C686B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3785E"/>
    <w:multiLevelType w:val="hybridMultilevel"/>
    <w:tmpl w:val="285EEE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05935D5"/>
    <w:multiLevelType w:val="hybridMultilevel"/>
    <w:tmpl w:val="F6C6AF74"/>
    <w:lvl w:ilvl="0" w:tplc="100C000F">
      <w:start w:val="1"/>
      <w:numFmt w:val="decimal"/>
      <w:lvlText w:val="%1."/>
      <w:lvlJc w:val="left"/>
      <w:pPr>
        <w:ind w:left="720" w:hanging="360"/>
      </w:pPr>
      <w:rPr>
        <w:rFonts w:hint="default"/>
      </w:rPr>
    </w:lvl>
    <w:lvl w:ilvl="1" w:tplc="20000001">
      <w:start w:val="1"/>
      <w:numFmt w:val="bullet"/>
      <w:lvlText w:val=""/>
      <w:lvlJc w:val="left"/>
      <w:pPr>
        <w:ind w:left="1440" w:hanging="360"/>
      </w:pPr>
      <w:rPr>
        <w:rFonts w:ascii="Symbol" w:hAnsi="Symbol" w:hint="default"/>
      </w:rPr>
    </w:lvl>
    <w:lvl w:ilvl="2" w:tplc="100C0001">
      <w:start w:val="1"/>
      <w:numFmt w:val="bullet"/>
      <w:lvlText w:val=""/>
      <w:lvlJc w:val="left"/>
      <w:pPr>
        <w:ind w:left="2160" w:hanging="180"/>
      </w:pPr>
      <w:rPr>
        <w:rFonts w:ascii="Symbol" w:hAnsi="Symbol" w:hint="default"/>
        <w:b/>
      </w:r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2E30667"/>
    <w:multiLevelType w:val="hybridMultilevel"/>
    <w:tmpl w:val="52585EBE"/>
    <w:lvl w:ilvl="0" w:tplc="1EE6A578">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A71F3A"/>
    <w:multiLevelType w:val="hybridMultilevel"/>
    <w:tmpl w:val="F3C08CF6"/>
    <w:lvl w:ilvl="0" w:tplc="8B3282AE">
      <w:start w:val="1"/>
      <w:numFmt w:val="decimal"/>
      <w:lvlText w:val="%1)"/>
      <w:lvlJc w:val="left"/>
      <w:pPr>
        <w:ind w:left="720" w:hanging="360"/>
      </w:pPr>
      <w:rPr>
        <w:rFonts w:ascii="Calibri" w:hAnsi="Calibri" w:cs="Calibri"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26B06CF0"/>
    <w:multiLevelType w:val="hybridMultilevel"/>
    <w:tmpl w:val="2D487A24"/>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264D56C">
      <w:start w:val="1"/>
      <w:numFmt w:val="lowerRoman"/>
      <w:lvlText w:val="%3."/>
      <w:lvlJc w:val="right"/>
      <w:pPr>
        <w:ind w:left="2160" w:hanging="180"/>
      </w:pPr>
      <w:rPr>
        <w:i w:val="0"/>
        <w:iCs/>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EA646F8"/>
    <w:multiLevelType w:val="hybridMultilevel"/>
    <w:tmpl w:val="8C949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F0138"/>
    <w:multiLevelType w:val="hybridMultilevel"/>
    <w:tmpl w:val="D55A6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D715B"/>
    <w:multiLevelType w:val="hybridMultilevel"/>
    <w:tmpl w:val="1798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D2441"/>
    <w:multiLevelType w:val="hybridMultilevel"/>
    <w:tmpl w:val="FE58F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8D021D"/>
    <w:multiLevelType w:val="hybridMultilevel"/>
    <w:tmpl w:val="7D4A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6165C"/>
    <w:multiLevelType w:val="hybridMultilevel"/>
    <w:tmpl w:val="DE388B58"/>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5" w15:restartNumberingAfterBreak="0">
    <w:nsid w:val="4FE67228"/>
    <w:multiLevelType w:val="hybridMultilevel"/>
    <w:tmpl w:val="4EBE5826"/>
    <w:lvl w:ilvl="0" w:tplc="100C0001">
      <w:start w:val="1"/>
      <w:numFmt w:val="bullet"/>
      <w:lvlText w:val=""/>
      <w:lvlJc w:val="left"/>
      <w:pPr>
        <w:ind w:left="720" w:hanging="360"/>
      </w:pPr>
      <w:rPr>
        <w:rFonts w:ascii="Symbol" w:hAnsi="Symbol" w:hint="default"/>
      </w:rPr>
    </w:lvl>
    <w:lvl w:ilvl="1" w:tplc="100C0019">
      <w:start w:val="1"/>
      <w:numFmt w:val="lowerLetter"/>
      <w:lvlText w:val="%2."/>
      <w:lvlJc w:val="left"/>
      <w:pPr>
        <w:ind w:left="1440" w:hanging="360"/>
      </w:pPr>
    </w:lvl>
    <w:lvl w:ilvl="2" w:tplc="100C0001">
      <w:start w:val="1"/>
      <w:numFmt w:val="bullet"/>
      <w:lvlText w:val=""/>
      <w:lvlJc w:val="left"/>
      <w:pPr>
        <w:ind w:left="2160" w:hanging="180"/>
      </w:pPr>
      <w:rPr>
        <w:rFonts w:ascii="Symbol" w:hAnsi="Symbol" w:hint="default"/>
        <w:b/>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0C135C8"/>
    <w:multiLevelType w:val="hybridMultilevel"/>
    <w:tmpl w:val="2EA2576C"/>
    <w:lvl w:ilvl="0" w:tplc="04090013">
      <w:start w:val="1"/>
      <w:numFmt w:val="upperRoman"/>
      <w:lvlText w:val="%1."/>
      <w:lvlJc w:val="right"/>
      <w:pPr>
        <w:ind w:left="720" w:hanging="360"/>
      </w:pPr>
    </w:lvl>
    <w:lvl w:ilvl="1" w:tplc="2EF0F5F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66272"/>
    <w:multiLevelType w:val="hybridMultilevel"/>
    <w:tmpl w:val="E50C7E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5F831AB"/>
    <w:multiLevelType w:val="hybridMultilevel"/>
    <w:tmpl w:val="44BEA3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DF80A09"/>
    <w:multiLevelType w:val="hybridMultilevel"/>
    <w:tmpl w:val="97202C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1DD748E"/>
    <w:multiLevelType w:val="hybridMultilevel"/>
    <w:tmpl w:val="1440478E"/>
    <w:lvl w:ilvl="0" w:tplc="388CBD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FD013B"/>
    <w:multiLevelType w:val="hybridMultilevel"/>
    <w:tmpl w:val="C2A85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102B86"/>
    <w:multiLevelType w:val="hybridMultilevel"/>
    <w:tmpl w:val="F02EC048"/>
    <w:lvl w:ilvl="0" w:tplc="6046D84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C08022D"/>
    <w:multiLevelType w:val="multilevel"/>
    <w:tmpl w:val="35E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2"/>
  </w:num>
  <w:num w:numId="5">
    <w:abstractNumId w:val="9"/>
  </w:num>
  <w:num w:numId="6">
    <w:abstractNumId w:val="21"/>
  </w:num>
  <w:num w:numId="7">
    <w:abstractNumId w:val="20"/>
  </w:num>
  <w:num w:numId="8">
    <w:abstractNumId w:val="6"/>
  </w:num>
  <w:num w:numId="9">
    <w:abstractNumId w:val="12"/>
  </w:num>
  <w:num w:numId="10">
    <w:abstractNumId w:val="18"/>
  </w:num>
  <w:num w:numId="11">
    <w:abstractNumId w:val="3"/>
  </w:num>
  <w:num w:numId="12">
    <w:abstractNumId w:val="22"/>
  </w:num>
  <w:num w:numId="13">
    <w:abstractNumId w:val="5"/>
  </w:num>
  <w:num w:numId="14">
    <w:abstractNumId w:val="15"/>
  </w:num>
  <w:num w:numId="15">
    <w:abstractNumId w:val="23"/>
  </w:num>
  <w:num w:numId="16">
    <w:abstractNumId w:val="19"/>
  </w:num>
  <w:num w:numId="17">
    <w:abstractNumId w:val="14"/>
  </w:num>
  <w:num w:numId="18">
    <w:abstractNumId w:val="0"/>
  </w:num>
  <w:num w:numId="19">
    <w:abstractNumId w:val="17"/>
  </w:num>
  <w:num w:numId="20">
    <w:abstractNumId w:val="11"/>
  </w:num>
  <w:num w:numId="21">
    <w:abstractNumId w:val="4"/>
  </w:num>
  <w:num w:numId="22">
    <w:abstractNumId w:val="8"/>
  </w:num>
  <w:num w:numId="23">
    <w:abstractNumId w:val="7"/>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CA"/>
    <w:rsid w:val="000053AE"/>
    <w:rsid w:val="00006549"/>
    <w:rsid w:val="00006848"/>
    <w:rsid w:val="00023777"/>
    <w:rsid w:val="0002423B"/>
    <w:rsid w:val="000248B1"/>
    <w:rsid w:val="000255A1"/>
    <w:rsid w:val="000256F8"/>
    <w:rsid w:val="00027A0D"/>
    <w:rsid w:val="00030CD2"/>
    <w:rsid w:val="00030DC4"/>
    <w:rsid w:val="00036DF4"/>
    <w:rsid w:val="0004022E"/>
    <w:rsid w:val="000623AE"/>
    <w:rsid w:val="00065D7B"/>
    <w:rsid w:val="000672EF"/>
    <w:rsid w:val="00072A49"/>
    <w:rsid w:val="000730B3"/>
    <w:rsid w:val="00082368"/>
    <w:rsid w:val="000865DF"/>
    <w:rsid w:val="00087409"/>
    <w:rsid w:val="00095F57"/>
    <w:rsid w:val="000E3EF1"/>
    <w:rsid w:val="000F03B4"/>
    <w:rsid w:val="000F1882"/>
    <w:rsid w:val="00113291"/>
    <w:rsid w:val="0011495A"/>
    <w:rsid w:val="00116314"/>
    <w:rsid w:val="00164A5E"/>
    <w:rsid w:val="00166680"/>
    <w:rsid w:val="00176080"/>
    <w:rsid w:val="00186C3B"/>
    <w:rsid w:val="001B0687"/>
    <w:rsid w:val="001B3AD7"/>
    <w:rsid w:val="001F0023"/>
    <w:rsid w:val="001F2AB0"/>
    <w:rsid w:val="00221930"/>
    <w:rsid w:val="00234C87"/>
    <w:rsid w:val="00262670"/>
    <w:rsid w:val="00266B57"/>
    <w:rsid w:val="00267B9E"/>
    <w:rsid w:val="002A0C7B"/>
    <w:rsid w:val="002D5075"/>
    <w:rsid w:val="0030010A"/>
    <w:rsid w:val="00314DED"/>
    <w:rsid w:val="00325068"/>
    <w:rsid w:val="00325811"/>
    <w:rsid w:val="00327752"/>
    <w:rsid w:val="00330397"/>
    <w:rsid w:val="00334BB1"/>
    <w:rsid w:val="003600AF"/>
    <w:rsid w:val="003661A4"/>
    <w:rsid w:val="00383635"/>
    <w:rsid w:val="00383E2C"/>
    <w:rsid w:val="00387232"/>
    <w:rsid w:val="003915CC"/>
    <w:rsid w:val="003931CA"/>
    <w:rsid w:val="003A0B4E"/>
    <w:rsid w:val="003A3D99"/>
    <w:rsid w:val="003B0956"/>
    <w:rsid w:val="003C2BCB"/>
    <w:rsid w:val="003E56CB"/>
    <w:rsid w:val="00400807"/>
    <w:rsid w:val="004264F7"/>
    <w:rsid w:val="004306FD"/>
    <w:rsid w:val="0043491E"/>
    <w:rsid w:val="00446787"/>
    <w:rsid w:val="00454624"/>
    <w:rsid w:val="004560FA"/>
    <w:rsid w:val="004672AD"/>
    <w:rsid w:val="004729DD"/>
    <w:rsid w:val="004A6980"/>
    <w:rsid w:val="004A7FCA"/>
    <w:rsid w:val="004B1FBF"/>
    <w:rsid w:val="004B2913"/>
    <w:rsid w:val="004C1AFB"/>
    <w:rsid w:val="004C7FF6"/>
    <w:rsid w:val="004D0463"/>
    <w:rsid w:val="004D0F4C"/>
    <w:rsid w:val="004D503F"/>
    <w:rsid w:val="005027B6"/>
    <w:rsid w:val="005046E5"/>
    <w:rsid w:val="00531369"/>
    <w:rsid w:val="00546CD6"/>
    <w:rsid w:val="0055330D"/>
    <w:rsid w:val="005556F4"/>
    <w:rsid w:val="005730BD"/>
    <w:rsid w:val="0059750C"/>
    <w:rsid w:val="005C7AD8"/>
    <w:rsid w:val="005D04AD"/>
    <w:rsid w:val="005D3626"/>
    <w:rsid w:val="005F52AF"/>
    <w:rsid w:val="00616A64"/>
    <w:rsid w:val="00620979"/>
    <w:rsid w:val="00625975"/>
    <w:rsid w:val="0062721E"/>
    <w:rsid w:val="0063248B"/>
    <w:rsid w:val="00640485"/>
    <w:rsid w:val="006565FF"/>
    <w:rsid w:val="00657079"/>
    <w:rsid w:val="00680D72"/>
    <w:rsid w:val="006A0B45"/>
    <w:rsid w:val="006A2BBE"/>
    <w:rsid w:val="006C33A7"/>
    <w:rsid w:val="006C68A6"/>
    <w:rsid w:val="006E6B9C"/>
    <w:rsid w:val="006F521F"/>
    <w:rsid w:val="0070272E"/>
    <w:rsid w:val="00703339"/>
    <w:rsid w:val="007102D7"/>
    <w:rsid w:val="00720C0D"/>
    <w:rsid w:val="00722348"/>
    <w:rsid w:val="0075354E"/>
    <w:rsid w:val="00760CAE"/>
    <w:rsid w:val="00764D28"/>
    <w:rsid w:val="007721A1"/>
    <w:rsid w:val="00777416"/>
    <w:rsid w:val="0079601D"/>
    <w:rsid w:val="007B2EC8"/>
    <w:rsid w:val="007C2809"/>
    <w:rsid w:val="007C5B25"/>
    <w:rsid w:val="007D2101"/>
    <w:rsid w:val="007E0C23"/>
    <w:rsid w:val="00813F87"/>
    <w:rsid w:val="008216AF"/>
    <w:rsid w:val="00824575"/>
    <w:rsid w:val="008364E2"/>
    <w:rsid w:val="00857F04"/>
    <w:rsid w:val="008609B6"/>
    <w:rsid w:val="00865C4C"/>
    <w:rsid w:val="008702D7"/>
    <w:rsid w:val="008709B4"/>
    <w:rsid w:val="00890FB1"/>
    <w:rsid w:val="008C7E26"/>
    <w:rsid w:val="008D322B"/>
    <w:rsid w:val="008F412E"/>
    <w:rsid w:val="00900FBE"/>
    <w:rsid w:val="009049CF"/>
    <w:rsid w:val="00915001"/>
    <w:rsid w:val="009259AD"/>
    <w:rsid w:val="00926F22"/>
    <w:rsid w:val="009344E4"/>
    <w:rsid w:val="009512C3"/>
    <w:rsid w:val="00953FB6"/>
    <w:rsid w:val="0095665C"/>
    <w:rsid w:val="00956C59"/>
    <w:rsid w:val="00975710"/>
    <w:rsid w:val="00985714"/>
    <w:rsid w:val="00995A48"/>
    <w:rsid w:val="009A0E63"/>
    <w:rsid w:val="009A49AC"/>
    <w:rsid w:val="009B3896"/>
    <w:rsid w:val="009C649A"/>
    <w:rsid w:val="009C75CA"/>
    <w:rsid w:val="009C7609"/>
    <w:rsid w:val="009E4A00"/>
    <w:rsid w:val="009F1A9B"/>
    <w:rsid w:val="009F51EA"/>
    <w:rsid w:val="00A15E09"/>
    <w:rsid w:val="00A16CE8"/>
    <w:rsid w:val="00A329D3"/>
    <w:rsid w:val="00A456C5"/>
    <w:rsid w:val="00A564B6"/>
    <w:rsid w:val="00A81560"/>
    <w:rsid w:val="00A871F9"/>
    <w:rsid w:val="00A92F65"/>
    <w:rsid w:val="00AA39B9"/>
    <w:rsid w:val="00AC2A11"/>
    <w:rsid w:val="00AD11BB"/>
    <w:rsid w:val="00AD478E"/>
    <w:rsid w:val="00AD5C2D"/>
    <w:rsid w:val="00B14614"/>
    <w:rsid w:val="00B205DF"/>
    <w:rsid w:val="00B2186B"/>
    <w:rsid w:val="00B32C4F"/>
    <w:rsid w:val="00B33671"/>
    <w:rsid w:val="00B3517A"/>
    <w:rsid w:val="00B430BF"/>
    <w:rsid w:val="00B47095"/>
    <w:rsid w:val="00B52D53"/>
    <w:rsid w:val="00B750B5"/>
    <w:rsid w:val="00B94A7A"/>
    <w:rsid w:val="00BD3CC9"/>
    <w:rsid w:val="00BD5CE0"/>
    <w:rsid w:val="00BF5CF7"/>
    <w:rsid w:val="00C07F0C"/>
    <w:rsid w:val="00C14662"/>
    <w:rsid w:val="00C3319A"/>
    <w:rsid w:val="00C443C1"/>
    <w:rsid w:val="00C44E1C"/>
    <w:rsid w:val="00C5368B"/>
    <w:rsid w:val="00C617A6"/>
    <w:rsid w:val="00C81E2B"/>
    <w:rsid w:val="00C843C0"/>
    <w:rsid w:val="00C90B15"/>
    <w:rsid w:val="00C91AEE"/>
    <w:rsid w:val="00CB23BD"/>
    <w:rsid w:val="00CC6E99"/>
    <w:rsid w:val="00CD3FBF"/>
    <w:rsid w:val="00CD6452"/>
    <w:rsid w:val="00CE2041"/>
    <w:rsid w:val="00D20EC2"/>
    <w:rsid w:val="00D42FC2"/>
    <w:rsid w:val="00D52441"/>
    <w:rsid w:val="00D70573"/>
    <w:rsid w:val="00D727E9"/>
    <w:rsid w:val="00D7383C"/>
    <w:rsid w:val="00D95779"/>
    <w:rsid w:val="00DC6820"/>
    <w:rsid w:val="00DF06D0"/>
    <w:rsid w:val="00DF41B1"/>
    <w:rsid w:val="00E10445"/>
    <w:rsid w:val="00E2008A"/>
    <w:rsid w:val="00E25D4B"/>
    <w:rsid w:val="00E405C2"/>
    <w:rsid w:val="00E53806"/>
    <w:rsid w:val="00E55846"/>
    <w:rsid w:val="00E56DA3"/>
    <w:rsid w:val="00E66D7D"/>
    <w:rsid w:val="00E70ED6"/>
    <w:rsid w:val="00E77040"/>
    <w:rsid w:val="00E84D66"/>
    <w:rsid w:val="00E84EAB"/>
    <w:rsid w:val="00E85085"/>
    <w:rsid w:val="00E85974"/>
    <w:rsid w:val="00EB253C"/>
    <w:rsid w:val="00EB4C7D"/>
    <w:rsid w:val="00EC60D8"/>
    <w:rsid w:val="00EF2626"/>
    <w:rsid w:val="00F014D4"/>
    <w:rsid w:val="00F07CCE"/>
    <w:rsid w:val="00F13E5B"/>
    <w:rsid w:val="00F23E87"/>
    <w:rsid w:val="00F26F62"/>
    <w:rsid w:val="00F34472"/>
    <w:rsid w:val="00F358B7"/>
    <w:rsid w:val="00F41715"/>
    <w:rsid w:val="00F458B5"/>
    <w:rsid w:val="00F80CA4"/>
    <w:rsid w:val="00F918B0"/>
    <w:rsid w:val="00F968E1"/>
    <w:rsid w:val="00FA0CA5"/>
    <w:rsid w:val="00FA3819"/>
    <w:rsid w:val="00FB3CB2"/>
    <w:rsid w:val="00FB4216"/>
    <w:rsid w:val="00FE6EBF"/>
    <w:rsid w:val="00FF06B7"/>
    <w:rsid w:val="00FF264C"/>
    <w:rsid w:val="00FF2E24"/>
    <w:rsid w:val="00FF353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C631F"/>
  <w15:chartTrackingRefBased/>
  <w15:docId w15:val="{B098F3C9-96C6-4DB0-AE3E-D74C6241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1C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31CA"/>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3931CA"/>
    <w:rPr>
      <w:rFonts w:asciiTheme="majorHAnsi" w:eastAsiaTheme="majorEastAsia" w:hAnsiTheme="majorHAnsi" w:cstheme="majorBidi"/>
      <w:color w:val="2F5496" w:themeColor="accent1" w:themeShade="BF"/>
      <w:sz w:val="32"/>
      <w:szCs w:val="32"/>
      <w:lang w:val="en-US"/>
    </w:rPr>
  </w:style>
  <w:style w:type="paragraph" w:styleId="EndnoteText">
    <w:name w:val="endnote text"/>
    <w:aliases w:val="en"/>
    <w:basedOn w:val="Normal"/>
    <w:link w:val="EndnoteTextChar"/>
    <w:uiPriority w:val="99"/>
    <w:unhideWhenUsed/>
    <w:rsid w:val="003931CA"/>
    <w:pPr>
      <w:spacing w:after="0" w:line="240" w:lineRule="auto"/>
    </w:pPr>
    <w:rPr>
      <w:rFonts w:ascii="Times New Roman" w:hAnsi="Times New Roman" w:cs="Times New Roman"/>
      <w:sz w:val="20"/>
      <w:szCs w:val="20"/>
      <w:lang w:val="en-US" w:eastAsia="es-CO"/>
    </w:rPr>
  </w:style>
  <w:style w:type="character" w:customStyle="1" w:styleId="EndnoteTextChar">
    <w:name w:val="Endnote Text Char"/>
    <w:aliases w:val="en Char"/>
    <w:basedOn w:val="DefaultParagraphFont"/>
    <w:link w:val="EndnoteText"/>
    <w:uiPriority w:val="99"/>
    <w:qFormat/>
    <w:rsid w:val="003931CA"/>
    <w:rPr>
      <w:rFonts w:ascii="Times New Roman" w:hAnsi="Times New Roman" w:cs="Times New Roman"/>
      <w:sz w:val="20"/>
      <w:szCs w:val="20"/>
      <w:lang w:val="en-US" w:eastAsia="es-CO"/>
    </w:rPr>
  </w:style>
  <w:style w:type="character" w:styleId="Hyperlink">
    <w:name w:val="Hyperlink"/>
    <w:basedOn w:val="DefaultParagraphFont"/>
    <w:uiPriority w:val="99"/>
    <w:unhideWhenUsed/>
    <w:rsid w:val="003931CA"/>
    <w:rPr>
      <w:color w:val="0563C1" w:themeColor="hyperlink"/>
      <w:u w:val="single"/>
    </w:rPr>
  </w:style>
  <w:style w:type="character" w:styleId="EndnoteReference">
    <w:name w:val="endnote reference"/>
    <w:basedOn w:val="DefaultParagraphFont"/>
    <w:uiPriority w:val="99"/>
    <w:unhideWhenUsed/>
    <w:qFormat/>
    <w:rsid w:val="003931CA"/>
    <w:rPr>
      <w:vertAlign w:val="superscript"/>
    </w:rPr>
  </w:style>
  <w:style w:type="character" w:customStyle="1" w:styleId="normaltextrun">
    <w:name w:val="normaltextrun"/>
    <w:basedOn w:val="DefaultParagraphFont"/>
    <w:rsid w:val="009344E4"/>
  </w:style>
  <w:style w:type="character" w:customStyle="1" w:styleId="eop">
    <w:name w:val="eop"/>
    <w:basedOn w:val="DefaultParagraphFont"/>
    <w:rsid w:val="009344E4"/>
  </w:style>
  <w:style w:type="character" w:customStyle="1" w:styleId="spellingerror">
    <w:name w:val="spellingerror"/>
    <w:basedOn w:val="DefaultParagraphFont"/>
    <w:rsid w:val="009344E4"/>
  </w:style>
  <w:style w:type="character" w:styleId="CommentReference">
    <w:name w:val="annotation reference"/>
    <w:basedOn w:val="DefaultParagraphFont"/>
    <w:uiPriority w:val="99"/>
    <w:semiHidden/>
    <w:unhideWhenUsed/>
    <w:rsid w:val="009344E4"/>
    <w:rPr>
      <w:sz w:val="16"/>
      <w:szCs w:val="16"/>
    </w:rPr>
  </w:style>
  <w:style w:type="character" w:customStyle="1" w:styleId="ListParagraphChar">
    <w:name w:val="List Paragraph Char"/>
    <w:link w:val="ListParagraph"/>
    <w:uiPriority w:val="34"/>
    <w:rsid w:val="009344E4"/>
    <w:rPr>
      <w:rFonts w:ascii="Calibri" w:hAnsi="Calibri" w:cs="Calibri"/>
      <w:lang w:val="en-CH"/>
    </w:rPr>
  </w:style>
  <w:style w:type="paragraph" w:styleId="NormalWeb">
    <w:name w:val="Normal (Web)"/>
    <w:basedOn w:val="Normal"/>
    <w:uiPriority w:val="99"/>
    <w:unhideWhenUsed/>
    <w:rsid w:val="009344E4"/>
    <w:pPr>
      <w:spacing w:before="100" w:beforeAutospacing="1" w:after="100" w:afterAutospacing="1" w:line="240" w:lineRule="auto"/>
    </w:pPr>
    <w:rPr>
      <w:rFonts w:ascii="Times New Roman" w:eastAsia="Times New Roman" w:hAnsi="Times New Roman" w:cs="Times New Roman"/>
      <w:sz w:val="24"/>
      <w:szCs w:val="24"/>
      <w:lang w:eastAsia="en-CH"/>
    </w:rPr>
  </w:style>
  <w:style w:type="character" w:styleId="Emphasis">
    <w:name w:val="Emphasis"/>
    <w:basedOn w:val="DefaultParagraphFont"/>
    <w:uiPriority w:val="20"/>
    <w:qFormat/>
    <w:rsid w:val="009344E4"/>
    <w:rPr>
      <w:i/>
      <w:iCs/>
    </w:rPr>
  </w:style>
  <w:style w:type="character" w:customStyle="1" w:styleId="file">
    <w:name w:val="file"/>
    <w:basedOn w:val="DefaultParagraphFont"/>
    <w:rsid w:val="009344E4"/>
  </w:style>
  <w:style w:type="paragraph" w:customStyle="1" w:styleId="Body">
    <w:name w:val="Body"/>
    <w:rsid w:val="00D52441"/>
    <w:pPr>
      <w:pBdr>
        <w:top w:val="nil"/>
        <w:left w:val="nil"/>
        <w:bottom w:val="nil"/>
        <w:right w:val="nil"/>
        <w:between w:val="nil"/>
        <w:bar w:val="nil"/>
      </w:pBdr>
    </w:pPr>
    <w:rPr>
      <w:rFonts w:ascii="Calibri" w:eastAsia="Calibri" w:hAnsi="Calibri" w:cs="Calibri"/>
      <w:color w:val="000000"/>
      <w:u w:color="000000"/>
      <w:bdr w:val="nil"/>
      <w:lang w:val="fr-CH" w:eastAsia="fr-CH"/>
    </w:rPr>
  </w:style>
  <w:style w:type="paragraph" w:styleId="BalloonText">
    <w:name w:val="Balloon Text"/>
    <w:basedOn w:val="Normal"/>
    <w:link w:val="BalloonTextChar"/>
    <w:uiPriority w:val="99"/>
    <w:semiHidden/>
    <w:unhideWhenUsed/>
    <w:rsid w:val="00D20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C2"/>
    <w:rPr>
      <w:rFonts w:ascii="Segoe UI" w:hAnsi="Segoe UI" w:cs="Segoe UI"/>
      <w:sz w:val="18"/>
      <w:szCs w:val="18"/>
    </w:rPr>
  </w:style>
  <w:style w:type="character" w:customStyle="1" w:styleId="highlight">
    <w:name w:val="highlight"/>
    <w:basedOn w:val="DefaultParagraphFont"/>
    <w:rsid w:val="00F918B0"/>
  </w:style>
  <w:style w:type="paragraph" w:styleId="CommentText">
    <w:name w:val="annotation text"/>
    <w:basedOn w:val="Normal"/>
    <w:link w:val="CommentTextChar"/>
    <w:uiPriority w:val="99"/>
    <w:unhideWhenUsed/>
    <w:rsid w:val="00CD3FBF"/>
    <w:pPr>
      <w:spacing w:line="240" w:lineRule="auto"/>
    </w:pPr>
    <w:rPr>
      <w:sz w:val="20"/>
      <w:szCs w:val="20"/>
    </w:rPr>
  </w:style>
  <w:style w:type="character" w:customStyle="1" w:styleId="CommentTextChar">
    <w:name w:val="Comment Text Char"/>
    <w:basedOn w:val="DefaultParagraphFont"/>
    <w:link w:val="CommentText"/>
    <w:uiPriority w:val="99"/>
    <w:rsid w:val="00CD3FBF"/>
    <w:rPr>
      <w:sz w:val="20"/>
      <w:szCs w:val="20"/>
    </w:rPr>
  </w:style>
  <w:style w:type="paragraph" w:styleId="CommentSubject">
    <w:name w:val="annotation subject"/>
    <w:basedOn w:val="CommentText"/>
    <w:next w:val="CommentText"/>
    <w:link w:val="CommentSubjectChar"/>
    <w:uiPriority w:val="99"/>
    <w:semiHidden/>
    <w:unhideWhenUsed/>
    <w:rsid w:val="00CD3FBF"/>
    <w:rPr>
      <w:b/>
      <w:bCs/>
    </w:rPr>
  </w:style>
  <w:style w:type="character" w:customStyle="1" w:styleId="CommentSubjectChar">
    <w:name w:val="Comment Subject Char"/>
    <w:basedOn w:val="CommentTextChar"/>
    <w:link w:val="CommentSubject"/>
    <w:uiPriority w:val="99"/>
    <w:semiHidden/>
    <w:rsid w:val="00CD3FBF"/>
    <w:rPr>
      <w:b/>
      <w:bCs/>
      <w:sz w:val="20"/>
      <w:szCs w:val="20"/>
    </w:rPr>
  </w:style>
  <w:style w:type="paragraph" w:styleId="NoSpacing">
    <w:name w:val="No Spacing"/>
    <w:uiPriority w:val="1"/>
    <w:qFormat/>
    <w:rsid w:val="005556F4"/>
    <w:pPr>
      <w:spacing w:after="0" w:line="240" w:lineRule="auto"/>
    </w:pPr>
    <w:rPr>
      <w:rFonts w:cs="Times New Roman"/>
      <w:lang w:val="en-US"/>
    </w:rPr>
  </w:style>
  <w:style w:type="character" w:customStyle="1" w:styleId="EndnoteAnchor">
    <w:name w:val="Endnote Anchor"/>
    <w:rsid w:val="005556F4"/>
    <w:rPr>
      <w:vertAlign w:val="superscript"/>
    </w:rPr>
  </w:style>
  <w:style w:type="paragraph" w:styleId="Header">
    <w:name w:val="header"/>
    <w:basedOn w:val="Normal"/>
    <w:link w:val="HeaderChar"/>
    <w:uiPriority w:val="99"/>
    <w:unhideWhenUsed/>
    <w:rsid w:val="00C14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662"/>
  </w:style>
  <w:style w:type="paragraph" w:styleId="Footer">
    <w:name w:val="footer"/>
    <w:basedOn w:val="Normal"/>
    <w:link w:val="FooterChar"/>
    <w:uiPriority w:val="99"/>
    <w:unhideWhenUsed/>
    <w:rsid w:val="00C14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662"/>
  </w:style>
  <w:style w:type="character" w:styleId="UnresolvedMention">
    <w:name w:val="Unresolved Mention"/>
    <w:basedOn w:val="DefaultParagraphFont"/>
    <w:uiPriority w:val="99"/>
    <w:semiHidden/>
    <w:unhideWhenUsed/>
    <w:rsid w:val="00234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64562">
      <w:bodyDiv w:val="1"/>
      <w:marLeft w:val="0"/>
      <w:marRight w:val="0"/>
      <w:marTop w:val="0"/>
      <w:marBottom w:val="0"/>
      <w:divBdr>
        <w:top w:val="none" w:sz="0" w:space="0" w:color="auto"/>
        <w:left w:val="none" w:sz="0" w:space="0" w:color="auto"/>
        <w:bottom w:val="none" w:sz="0" w:space="0" w:color="auto"/>
        <w:right w:val="none" w:sz="0" w:space="0" w:color="auto"/>
      </w:divBdr>
    </w:div>
    <w:div w:id="16878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NewsEvents/Pages/COVID19Guidance.aspx" TargetMode="External"/><Relationship Id="rId18" Type="http://schemas.openxmlformats.org/officeDocument/2006/relationships/hyperlink" Target="https://www.ohchr.org/Documents/HRBodies/CEDAW/Statements/CEDAW_Guidance_note_COVID-19.docx" TargetMode="External"/><Relationship Id="rId26" Type="http://schemas.openxmlformats.org/officeDocument/2006/relationships/hyperlink" Target="https://reliefweb.int/sites/reliefweb.int/files/resources/Regional%20Operative%20Guidance-SRMNCAH%20services_final_170420..pdf" TargetMode="External"/><Relationship Id="rId3" Type="http://schemas.openxmlformats.org/officeDocument/2006/relationships/customXml" Target="../customXml/item3.xml"/><Relationship Id="rId21" Type="http://schemas.openxmlformats.org/officeDocument/2006/relationships/hyperlink" Target="https://www.who.int/publications-detail/addressing-human-rights-as-key-to-the-covid-19-response" TargetMode="External"/><Relationship Id="rId7" Type="http://schemas.openxmlformats.org/officeDocument/2006/relationships/settings" Target="settings.xml"/><Relationship Id="rId12" Type="http://schemas.openxmlformats.org/officeDocument/2006/relationships/hyperlink" Target="https://reproductiverights.org/sites/default/files/documents/Breaking-Ground-2020.pdf." TargetMode="External"/><Relationship Id="rId17" Type="http://schemas.openxmlformats.org/officeDocument/2006/relationships/hyperlink" Target="https://www.who.int/news-room/detail/30-03-2020-who-releases-guidelines-to-help-countries-maintain-essential-health-services-during-the-covid-19-pandemic" TargetMode="External"/><Relationship Id="rId25" Type="http://schemas.openxmlformats.org/officeDocument/2006/relationships/hyperlink" Target="https://iawg.net/resources/safe-abortion-care-in-the-minimum-initial-service-package-misp-for-sexual-and-reproductive-health-in-humanitarian-settings" TargetMode="External"/><Relationship Id="rId2" Type="http://schemas.openxmlformats.org/officeDocument/2006/relationships/customXml" Target="../customXml/item2.xml"/><Relationship Id="rId16" Type="http://schemas.openxmlformats.org/officeDocument/2006/relationships/hyperlink" Target="https://www.ohchr.org/EN/NewsEvents/Pages/DisplayNews.aspx?NewsID=25808&amp;LangID=E." TargetMode="External"/><Relationship Id="rId20" Type="http://schemas.openxmlformats.org/officeDocument/2006/relationships/hyperlink" Target="https://www.un.org/sites/un2.un.org/files/un_policy_brief_on_human_rights_and_covid_23_april_2020.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roductiverights.org/sites/default/files/documents/20190523-GLP-LAC-ElGolpe-FS-A4.pdf" TargetMode="External"/><Relationship Id="rId24" Type="http://schemas.openxmlformats.org/officeDocument/2006/relationships/hyperlink" Target="https://www.who.int/hac/events/drm_fact_sheet_sexual_and_reproductive_health.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ho.int/publications-detail/addressing-human-rights-as-key-to-the-covid-19-response" TargetMode="External"/><Relationship Id="rId23" Type="http://schemas.openxmlformats.org/officeDocument/2006/relationships/hyperlink" Target="https://reproductiverights.org/sites/default/files/documents/Breaking-Ground-2020.pdf" TargetMode="External"/><Relationship Id="rId28" Type="http://schemas.openxmlformats.org/officeDocument/2006/relationships/hyperlink" Target="https://apps.who.int/iris/bitstream/handle/10665/325771/WHO-MVP-EMP-IAU-2019.06-eng.pdf?ua=1" TargetMode="External"/><Relationship Id="rId10" Type="http://schemas.openxmlformats.org/officeDocument/2006/relationships/endnotes" Target="endnotes.xml"/><Relationship Id="rId19" Type="http://schemas.openxmlformats.org/officeDocument/2006/relationships/hyperlink" Target="https://www.ohchr.org/Documents/HRBodies/CEDAW/Statements/CEDAW_Guidance_note_COVID-19.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SP/Pages/COVID-19-and-Special-Procedures.aspx" TargetMode="External"/><Relationship Id="rId22" Type="http://schemas.openxmlformats.org/officeDocument/2006/relationships/hyperlink" Target="https://reproductiverights.org/sites/default/files/documents/Breaking-Ground-2020.pdf" TargetMode="External"/><Relationship Id="rId27" Type="http://schemas.openxmlformats.org/officeDocument/2006/relationships/hyperlink" Target="https://cdn.iawg.rygn.io/documents/IAWG-Full-Programmatic-Guidelines.pdf?mtime=20200410142450&amp;focal=none" TargetMode="External"/><Relationship Id="rId30"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s://iudpas.unah.edu.hn/observatorio-de-la-violencia/boletines-del-observatorio-2/boletines-nacionales/" TargetMode="External"/><Relationship Id="rId18" Type="http://schemas.openxmlformats.org/officeDocument/2006/relationships/hyperlink" Target="http://rhrealitycheck.org/article/2012/02/14/honduran-supreme-court-upholds-complete-ban-on-emergency-contraception-0/" TargetMode="External"/><Relationship Id="rId26" Type="http://schemas.openxmlformats.org/officeDocument/2006/relationships/hyperlink" Target="https://www.poderjudicial.gob.ni/pjupload/noticia_reciente/CP_641.pdf" TargetMode="External"/><Relationship Id="rId39" Type="http://schemas.openxmlformats.org/officeDocument/2006/relationships/hyperlink" Target="https://www.elmostrador.cl/braga/2020/04/18/salud-sexual-y-reproductiva-y-acceso-al-aborto-legal-en-tiempos-de-coronavirus/" TargetMode="External"/><Relationship Id="rId21" Type="http://schemas.openxmlformats.org/officeDocument/2006/relationships/hyperlink" Target="http://www.movimientoautonomodemujeres.org/archivos/92.pdf" TargetMode="External"/><Relationship Id="rId34" Type="http://schemas.openxmlformats.org/officeDocument/2006/relationships/hyperlink" Target="https://www.dw.com/es/am%C3%A9rica-latina-lucha-contra-la-violencia-de-g%C3%A9nero-en-tiempos-del-coronavirus/a-52971832" TargetMode="External"/><Relationship Id="rId42" Type="http://schemas.openxmlformats.org/officeDocument/2006/relationships/hyperlink" Target="https://www.radioagricultura.cl/nacional/2020/04/10/matronas-exigen-que-minsal-no-se-olvide-de-embarazadas-en-emergencia-por-covid-19.html" TargetMode="External"/><Relationship Id="rId47" Type="http://schemas.openxmlformats.org/officeDocument/2006/relationships/hyperlink" Target="https://www.unfpa.org/es/news/las-mujeres-encarceladas-y-en-cuarentena-necesitan-suministros-de-higiene-en-el-salvador" TargetMode="External"/><Relationship Id="rId7" Type="http://schemas.openxmlformats.org/officeDocument/2006/relationships/hyperlink" Target="http://www.unfpa.org/human-rights-based-approach" TargetMode="External"/><Relationship Id="rId2" Type="http://schemas.openxmlformats.org/officeDocument/2006/relationships/hyperlink" Target="http://www.ncbi.nlm.nih.gov/sites/entrez?cmd=Retrieve&amp;db=PubMed&amp;list_uids=19112576&amp;dopt=Abstract" TargetMode="External"/><Relationship Id="rId16" Type="http://schemas.openxmlformats.org/officeDocument/2006/relationships/hyperlink" Target="https://www.oas.org/es/cidh/informes/pdfs/Honduras2019.pdf" TargetMode="External"/><Relationship Id="rId29" Type="http://schemas.openxmlformats.org/officeDocument/2006/relationships/hyperlink" Target="https://www.unodc.org/documents/data-and-analysis/GSH2018/GSH18_Gender-related_killing_of_women_and_girls.pdf" TargetMode="External"/><Relationship Id="rId11" Type="http://schemas.openxmlformats.org/officeDocument/2006/relationships/hyperlink" Target="http://governance.care2share.wikispaces.net/Social+Accountability" TargetMode="External"/><Relationship Id="rId24" Type="http://schemas.openxmlformats.org/officeDocument/2006/relationships/hyperlink" Target="https://www.cepal.org/es/publicaciones/42511-fecundidad-deseada-adolescentes-latinoamericanas-un-aumento-que-desafia-la-salud" TargetMode="External"/><Relationship Id="rId32" Type="http://schemas.openxmlformats.org/officeDocument/2006/relationships/hyperlink" Target="https://www.unwomen.org/en/news/stories/2020/4/statement-ed-phumzile-violence-against-women-during-pandemic" TargetMode="External"/><Relationship Id="rId37" Type="http://schemas.openxmlformats.org/officeDocument/2006/relationships/hyperlink" Target="https://www1.folha.uol.com.br/cotidiano/2020/03/principal-hospital-de-aborto-legal-de-sp-interrompe-o-servico-na-crise-do-coronavirus.shtml" TargetMode="External"/><Relationship Id="rId40" Type="http://schemas.openxmlformats.org/officeDocument/2006/relationships/hyperlink" Target="http://www.laizquierdadiario.com/Por-que-es-importante-el-aborto-legal-en-medio-del-COVID-19" TargetMode="External"/><Relationship Id="rId45" Type="http://schemas.openxmlformats.org/officeDocument/2006/relationships/hyperlink" Target="http://www.oas.org/es/cim/docs/ArgumentarioCOVID19-EN.pdf" TargetMode="External"/><Relationship Id="rId5" Type="http://schemas.openxmlformats.org/officeDocument/2006/relationships/hyperlink" Target="http://www.ohchr.org/Documents/Issues/ESCR/E-2015-59.pdf" TargetMode="External"/><Relationship Id="rId15" Type="http://schemas.openxmlformats.org/officeDocument/2006/relationships/hyperlink" Target="https://tiempo.hn/incremento-de-violencia-contra-la-mujer-pone-en-alerta-al-pais1/" TargetMode="External"/><Relationship Id="rId23" Type="http://schemas.openxmlformats.org/officeDocument/2006/relationships/hyperlink" Target="http://periodismohumano.com/sociedad/infancia/impunidad-para-la-violencia-sexual-infantil-en-nicaragua.html" TargetMode="External"/><Relationship Id="rId28" Type="http://schemas.openxmlformats.org/officeDocument/2006/relationships/hyperlink" Target="https://www.unfpa.org/sites/default/files/pub-pdf/EN-SWOP2013.pdf" TargetMode="External"/><Relationship Id="rId36" Type="http://schemas.openxmlformats.org/officeDocument/2006/relationships/hyperlink" Target="https://www.radioagricultura.cl/nacional/2020/04/10/matronas-exigen-que-minsal-no-se-olvide-de-embarazadas-en-emergencia-por-covid-19.html" TargetMode="External"/><Relationship Id="rId49" Type="http://schemas.openxmlformats.org/officeDocument/2006/relationships/hyperlink" Target="https://reproductiverights.org/document/fact-sheet-enforcing-kenyas-obligation-provide-legal-abortion-services" TargetMode="External"/><Relationship Id="rId10" Type="http://schemas.openxmlformats.org/officeDocument/2006/relationships/hyperlink" Target="https://www.essex.ac.uk/hrc/careers/clinic/documents/disaggregated-data-and-human-rights-law-policy-and-practice.pdf" TargetMode="External"/><Relationship Id="rId19" Type="http://schemas.openxmlformats.org/officeDocument/2006/relationships/hyperlink" Target="http://www.codeni.org.ni/proteccion-especial/violencia-intrafamiliar/violencia-sexual/" TargetMode="External"/><Relationship Id="rId31" Type="http://schemas.openxmlformats.org/officeDocument/2006/relationships/hyperlink" Target="http://www.oas.org/es/cim/docs/ArgumentarioCOVID19-EN.pdf" TargetMode="External"/><Relationship Id="rId44" Type="http://schemas.openxmlformats.org/officeDocument/2006/relationships/hyperlink" Target="https://www.elcomercio.com/actualidad/mujer-procesada-aborto-denuncia-bolivar.html" TargetMode="External"/><Relationship Id="rId4" Type="http://schemas.openxmlformats.org/officeDocument/2006/relationships/hyperlink" Target="http://www.ohchr.org/Documents/Publications/HR_in_armed_conflict.pdf" TargetMode="External"/><Relationship Id="rId9" Type="http://schemas.openxmlformats.org/officeDocument/2006/relationships/hyperlink" Target="http://www.ohchr.org/Documents/Issues/HRIndicators/GuidanceNoteonApproachtoData.pdf" TargetMode="External"/><Relationship Id="rId14" Type="http://schemas.openxmlformats.org/officeDocument/2006/relationships/hyperlink" Target="https://www.elheraldo.hn/pais/1300410-466/preocupante-aumento-de-la-violencia-contra-las-mujeres-en-honduras" TargetMode="External"/><Relationship Id="rId22" Type="http://schemas.openxmlformats.org/officeDocument/2006/relationships/hyperlink" Target="https://www.poderjudicial.gob.ni/genero/pdf/MAI2012.pdf" TargetMode="External"/><Relationship Id="rId27" Type="http://schemas.openxmlformats.org/officeDocument/2006/relationships/hyperlink" Target="http://legislacion.asamblea.gob.ni/SILEG/Gacetas.nsf/5eea6480fc3d3d90062576e300504635/c3cf093a3826bae706257d700078e7f1/$FILE/2006-10-26-%20G-%20Ley%20No.%20603,%20Ley%20de%20derogaci%C3%B3n%20al%20art%C3%ADculo%20165%20del%20C%C3%B3digo%20Penal%20vigente.pdf" TargetMode="External"/><Relationship Id="rId30" Type="http://schemas.openxmlformats.org/officeDocument/2006/relationships/hyperlink" Target="https://dialogocim.wordpress.com/2020/03/18/coronavirus-una-pandemia-mundial-que-afecta-diferenciadamente-a-las-mujeres/" TargetMode="External"/><Relationship Id="rId35" Type="http://schemas.openxmlformats.org/officeDocument/2006/relationships/hyperlink" Target="http://www.oas.org/es/cim/docs/ArgumentarioCOVID19-EN.pdf" TargetMode="External"/><Relationship Id="rId43" Type="http://schemas.openxmlformats.org/officeDocument/2006/relationships/hyperlink" Target="https://elcomercio.pe/lima/sucesos/coronavirus-en-peru-tiempos-dificiles-para-convertirse-en-padres-cronica-covid-19-noticia/?ref=ecr" TargetMode="External"/><Relationship Id="rId48" Type="http://schemas.openxmlformats.org/officeDocument/2006/relationships/hyperlink" Target="https://reproductiverights.org/sites/default/files/2019-10/CFHR101-Cover.pdf" TargetMode="External"/><Relationship Id="rId8" Type="http://schemas.openxmlformats.org/officeDocument/2006/relationships/hyperlink" Target="https://www.humanrights.dk/sites/humanrights.dk/files/media/dokumenter/nyheder/aaaq-srhr_issue_paper_dihr_2017_standard.pdf" TargetMode="External"/><Relationship Id="rId3" Type="http://schemas.openxmlformats.org/officeDocument/2006/relationships/hyperlink" Target="https://www.who.int/news-room/fact-sheets/detail/preventing-unsafe-abortion" TargetMode="External"/><Relationship Id="rId12" Type="http://schemas.openxmlformats.org/officeDocument/2006/relationships/hyperlink" Target="https://www.justassociates.org/sites/justassociates.org/files/informe-violencia-mujeres-honduras-relatoraonu-junio2014_0.pdf" TargetMode="External"/><Relationship Id="rId17" Type="http://schemas.openxmlformats.org/officeDocument/2006/relationships/hyperlink" Target="http://derechosdelamujer.org/wp-content/uploads/2016/02/Observatorio-Violencia-sexual.pdf" TargetMode="External"/><Relationship Id="rId25" Type="http://schemas.openxmlformats.org/officeDocument/2006/relationships/hyperlink" Target="https://www.plannedparenthoodaction.org/uploads/filer_public/db/6d/db6d56cb-e854-44bb-9ab7-15bb7fc147c5/ppfa-stolen-lives-english.pdf" TargetMode="External"/><Relationship Id="rId33" Type="http://schemas.openxmlformats.org/officeDocument/2006/relationships/hyperlink" Target="https://www.dw.com/es/cuarentena-por-coronavirus-dispara-violencia-contra-las-mujeres-en-am%C3%A9rica-latina/a-53261868" TargetMode="External"/><Relationship Id="rId38" Type="http://schemas.openxmlformats.org/officeDocument/2006/relationships/hyperlink" Target="https://revistamarieclaire.globo.com/Mulheres-do-Mundo/noticia/2020/03/hospital-perola-byington-reabre-servico-de-aborto-legal.html" TargetMode="External"/><Relationship Id="rId46" Type="http://schemas.openxmlformats.org/officeDocument/2006/relationships/hyperlink" Target="https://twitter.com/SurkunaEc/status/1257758478355116032" TargetMode="External"/><Relationship Id="rId20" Type="http://schemas.openxmlformats.org/officeDocument/2006/relationships/hyperlink" Target="https://www.poderjudicial.gob.ni/pjupload/iml/pdf/Anuario_2017.pdf" TargetMode="External"/><Relationship Id="rId41" Type="http://schemas.openxmlformats.org/officeDocument/2006/relationships/hyperlink" Target="http://www.oas.org/es/cim/docs/ArgumentarioCOVID19-EN.pdf" TargetMode="External"/><Relationship Id="rId1" Type="http://schemas.openxmlformats.org/officeDocument/2006/relationships/hyperlink" Target="https://www.who.int/violence_injury_prevention/violence/global_campaign/en/chap6.pdf" TargetMode="External"/><Relationship Id="rId6" Type="http://schemas.openxmlformats.org/officeDocument/2006/relationships/hyperlink" Target="http://hrbaportal.org/the-human-rights-based-approach-to-development-cooperation-towards-a-common-understanding-among-un-age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28DF-4D33-40C7-83FC-559FD9B22D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55D60-C861-4997-9DF5-FC8D2B17EAC3}">
  <ds:schemaRefs>
    <ds:schemaRef ds:uri="http://schemas.microsoft.com/sharepoint/v3/contenttype/forms"/>
  </ds:schemaRefs>
</ds:datastoreItem>
</file>

<file path=customXml/itemProps3.xml><?xml version="1.0" encoding="utf-8"?>
<ds:datastoreItem xmlns:ds="http://schemas.openxmlformats.org/officeDocument/2006/customXml" ds:itemID="{4F0A89A9-859D-4852-B648-6E74C73FC3AB}"/>
</file>

<file path=customXml/itemProps4.xml><?xml version="1.0" encoding="utf-8"?>
<ds:datastoreItem xmlns:ds="http://schemas.openxmlformats.org/officeDocument/2006/customXml" ds:itemID="{32F8D122-AE35-4869-8C5A-1D307746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8833</Words>
  <Characters>49468</Characters>
  <Application>Microsoft Office Word</Application>
  <DocSecurity>0</DocSecurity>
  <Lines>677</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Daher</dc:creator>
  <cp:keywords/>
  <dc:description/>
  <cp:lastModifiedBy>Paola Daher</cp:lastModifiedBy>
  <cp:revision>8</cp:revision>
  <dcterms:created xsi:type="dcterms:W3CDTF">2020-05-27T13:33:00Z</dcterms:created>
  <dcterms:modified xsi:type="dcterms:W3CDTF">2020-05-27T13:52:00Z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