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4510" w14:textId="68CC91DE" w:rsidR="001773B8" w:rsidRPr="00D23BB2" w:rsidRDefault="00697C0F" w:rsidP="002B2677">
      <w:pPr>
        <w:pStyle w:val="Ttulo1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</w:pPr>
      <w:bookmarkStart w:id="0" w:name="_Hlk40470131"/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Thematic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report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on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rape as a grave and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systematic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human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rights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violation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and a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form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of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gender-based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violence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against</w:t>
      </w:r>
      <w:proofErr w:type="spellEnd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bCs/>
          <w:i/>
          <w:iCs/>
          <w:sz w:val="28"/>
          <w:szCs w:val="28"/>
          <w:highlight w:val="white"/>
          <w:u w:val="single"/>
        </w:rPr>
        <w:t>women</w:t>
      </w:r>
      <w:proofErr w:type="spellEnd"/>
    </w:p>
    <w:p w14:paraId="1E75D4A1" w14:textId="77777777" w:rsidR="001773B8" w:rsidRPr="00D23BB2" w:rsidRDefault="00697C0F" w:rsidP="002B2677">
      <w:pPr>
        <w:spacing w:before="240" w:line="240" w:lineRule="auto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r w:rsidRPr="00D23BB2">
        <w:rPr>
          <w:rFonts w:asciiTheme="majorHAnsi" w:hAnsiTheme="majorHAnsi" w:cstheme="majorHAnsi"/>
          <w:b/>
          <w:i/>
          <w:sz w:val="20"/>
          <w:szCs w:val="20"/>
          <w:highlight w:val="white"/>
        </w:rPr>
        <w:t>Country: México</w:t>
      </w:r>
    </w:p>
    <w:p w14:paraId="296ADF62" w14:textId="77777777" w:rsidR="001773B8" w:rsidRPr="00D23BB2" w:rsidRDefault="00697C0F" w:rsidP="002B2677">
      <w:pPr>
        <w:spacing w:before="240" w:line="240" w:lineRule="auto"/>
        <w:jc w:val="both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proofErr w:type="spellStart"/>
      <w:r w:rsidRPr="00D23BB2">
        <w:rPr>
          <w:rFonts w:asciiTheme="majorHAnsi" w:hAnsiTheme="majorHAnsi" w:cstheme="majorHAnsi"/>
          <w:b/>
          <w:i/>
          <w:sz w:val="20"/>
          <w:szCs w:val="20"/>
          <w:highlight w:val="white"/>
        </w:rPr>
        <w:t>Contact</w:t>
      </w:r>
      <w:proofErr w:type="spellEnd"/>
      <w:r w:rsidRPr="00D23BB2">
        <w:rPr>
          <w:rFonts w:asciiTheme="majorHAnsi" w:hAnsiTheme="majorHAnsi" w:cstheme="majorHAnsi"/>
          <w:b/>
          <w:i/>
          <w:sz w:val="20"/>
          <w:szCs w:val="20"/>
          <w:highlight w:val="white"/>
        </w:rPr>
        <w:t xml:space="preserve"> </w:t>
      </w:r>
      <w:proofErr w:type="spellStart"/>
      <w:r w:rsidRPr="00D23BB2">
        <w:rPr>
          <w:rFonts w:asciiTheme="majorHAnsi" w:hAnsiTheme="majorHAnsi" w:cstheme="majorHAnsi"/>
          <w:b/>
          <w:i/>
          <w:sz w:val="20"/>
          <w:szCs w:val="20"/>
          <w:highlight w:val="white"/>
        </w:rPr>
        <w:t>information</w:t>
      </w:r>
      <w:proofErr w:type="spellEnd"/>
      <w:r w:rsidRPr="00D23BB2">
        <w:rPr>
          <w:rFonts w:asciiTheme="majorHAnsi" w:hAnsiTheme="majorHAnsi" w:cstheme="majorHAnsi"/>
          <w:b/>
          <w:i/>
          <w:sz w:val="20"/>
          <w:szCs w:val="20"/>
          <w:highlight w:val="white"/>
        </w:rPr>
        <w:t>: Secretaría Ejecutiva, Tel. + (52) 55.52.29.56.00 Ext. 2404,</w:t>
      </w:r>
    </w:p>
    <w:p w14:paraId="0408839A" w14:textId="77777777" w:rsidR="001773B8" w:rsidRPr="00D23BB2" w:rsidRDefault="00697C0F" w:rsidP="002B2677">
      <w:pPr>
        <w:spacing w:before="240" w:line="240" w:lineRule="auto"/>
        <w:jc w:val="both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r w:rsidRPr="00D23BB2">
        <w:rPr>
          <w:rFonts w:asciiTheme="majorHAnsi" w:hAnsiTheme="majorHAnsi" w:cstheme="majorHAnsi"/>
          <w:b/>
          <w:i/>
          <w:sz w:val="20"/>
          <w:szCs w:val="20"/>
          <w:highlight w:val="white"/>
        </w:rPr>
        <w:t>email: secretaria.ejecutiva@cdhcm.org.mx</w:t>
      </w:r>
    </w:p>
    <w:p w14:paraId="7D746553" w14:textId="41B8DE01" w:rsidR="002B2677" w:rsidRPr="00D23BB2" w:rsidRDefault="00697C0F" w:rsidP="002B2677">
      <w:pPr>
        <w:spacing w:before="240" w:line="240" w:lineRule="auto"/>
        <w:jc w:val="both"/>
        <w:rPr>
          <w:rFonts w:asciiTheme="majorHAnsi" w:hAnsiTheme="majorHAnsi" w:cstheme="majorHAnsi"/>
          <w:b/>
          <w:i/>
          <w:sz w:val="20"/>
          <w:szCs w:val="20"/>
          <w:highlight w:val="white"/>
        </w:rPr>
      </w:pPr>
      <w:r w:rsidRPr="00D23BB2">
        <w:rPr>
          <w:rFonts w:asciiTheme="majorHAnsi" w:hAnsiTheme="majorHAnsi" w:cstheme="majorHAnsi"/>
          <w:b/>
          <w:i/>
          <w:sz w:val="20"/>
          <w:szCs w:val="20"/>
          <w:highlight w:val="white"/>
        </w:rPr>
        <w:t>Date:</w:t>
      </w:r>
      <w:r w:rsidR="006C7250">
        <w:rPr>
          <w:rFonts w:asciiTheme="majorHAnsi" w:hAnsiTheme="majorHAnsi" w:cstheme="majorHAnsi"/>
          <w:b/>
          <w:i/>
          <w:sz w:val="20"/>
          <w:szCs w:val="20"/>
          <w:highlight w:val="white"/>
        </w:rPr>
        <w:t xml:space="preserve"> May, 18 2020.</w:t>
      </w:r>
    </w:p>
    <w:p w14:paraId="5F55A823" w14:textId="4AE2004E" w:rsidR="00D23BB2" w:rsidRDefault="00D23BB2" w:rsidP="00CC5B17">
      <w:pPr>
        <w:spacing w:before="240" w:after="240" w:line="360" w:lineRule="auto"/>
        <w:jc w:val="both"/>
        <w:rPr>
          <w:rFonts w:asciiTheme="majorHAnsi" w:hAnsiTheme="majorHAnsi" w:cstheme="majorHAnsi"/>
          <w:iCs/>
          <w:sz w:val="24"/>
          <w:szCs w:val="24"/>
          <w:highlight w:val="white"/>
        </w:rPr>
      </w:pPr>
      <w:r>
        <w:rPr>
          <w:rFonts w:asciiTheme="majorHAnsi" w:hAnsiTheme="majorHAnsi" w:cstheme="majorHAnsi"/>
          <w:iCs/>
          <w:sz w:val="24"/>
          <w:szCs w:val="24"/>
          <w:highlight w:val="white"/>
        </w:rPr>
        <w:t>_________________________________________________________</w:t>
      </w:r>
    </w:p>
    <w:p w14:paraId="36E901BC" w14:textId="7706EA41" w:rsidR="002B2677" w:rsidRPr="00CC5B17" w:rsidRDefault="00697C0F" w:rsidP="00CC5B17">
      <w:pPr>
        <w:spacing w:before="240" w:after="240" w:line="360" w:lineRule="auto"/>
        <w:jc w:val="both"/>
        <w:rPr>
          <w:rFonts w:asciiTheme="majorHAnsi" w:hAnsiTheme="majorHAnsi" w:cstheme="majorHAnsi"/>
          <w:b/>
          <w:iCs/>
          <w:sz w:val="24"/>
          <w:szCs w:val="24"/>
          <w:highlight w:val="white"/>
        </w:rPr>
      </w:pP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Human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Rights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Commission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in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Mexico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City (Comisión de Derechos Humanos de la Ciudad de México, CDHCM per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its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acronym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in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Spanish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)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public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autonomous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institution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with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purpose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of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protecting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defending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monitoring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promoting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studying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educating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disseminating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human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rights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in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Mexico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City. In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order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to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contribute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to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study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standards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public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policies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effective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investigation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responsibility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to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criminalize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prosecute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rape as a grave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systematic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human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rights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violation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gender-based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violence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against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women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CDHCM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answered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last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query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of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Questionnaire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criminalization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prosecution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of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rape,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based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its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daily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investigations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human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rights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abuses in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Mexico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City.</w:t>
      </w:r>
    </w:p>
    <w:p w14:paraId="03ABAC5D" w14:textId="25BB0EB3" w:rsidR="00CC5B17" w:rsidRPr="00CC5B17" w:rsidRDefault="00CC5B17" w:rsidP="00CC5B17">
      <w:pPr>
        <w:shd w:val="clear" w:color="auto" w:fill="FFFFFF"/>
        <w:spacing w:after="15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es-MX"/>
        </w:rPr>
      </w:pPr>
      <w:proofErr w:type="spellStart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>Questionnaire</w:t>
      </w:r>
      <w:proofErr w:type="spellEnd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>on</w:t>
      </w:r>
      <w:proofErr w:type="spellEnd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>criminalization</w:t>
      </w:r>
      <w:proofErr w:type="spellEnd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 xml:space="preserve"> and </w:t>
      </w:r>
      <w:proofErr w:type="spellStart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>prosecution</w:t>
      </w:r>
      <w:proofErr w:type="spellEnd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>of</w:t>
      </w:r>
      <w:proofErr w:type="spellEnd"/>
      <w:r w:rsidRPr="00CC5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MX"/>
        </w:rPr>
        <w:t xml:space="preserve"> rape</w:t>
      </w:r>
    </w:p>
    <w:p w14:paraId="02FB2D5B" w14:textId="5B3298A3" w:rsidR="002B2677" w:rsidRPr="00CC5B17" w:rsidRDefault="00697C0F" w:rsidP="00CC5B17">
      <w:pPr>
        <w:spacing w:before="240" w:after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highlight w:val="white"/>
        </w:rPr>
      </w:pP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CDHCM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provides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information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about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criminal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law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provisions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rape,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aggravating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mitigating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circumstances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, as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well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as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its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prosecution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by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comparing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8 local criminal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codes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and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Federal Criminal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Code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in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the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</w:t>
      </w:r>
      <w:proofErr w:type="spellStart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following</w:t>
      </w:r>
      <w:proofErr w:type="spellEnd"/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 xml:space="preserve"> table</w:t>
      </w:r>
      <w:r w:rsidR="002B2677"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s</w:t>
      </w:r>
      <w:r w:rsidRPr="00CC5B17">
        <w:rPr>
          <w:rFonts w:asciiTheme="majorHAnsi" w:hAnsiTheme="majorHAnsi" w:cstheme="majorHAnsi"/>
          <w:iCs/>
          <w:sz w:val="24"/>
          <w:szCs w:val="24"/>
          <w:highlight w:val="white"/>
        </w:rPr>
        <w:t>.</w:t>
      </w:r>
    </w:p>
    <w:tbl>
      <w:tblPr>
        <w:tblpPr w:leftFromText="141" w:rightFromText="141" w:vertAnchor="page" w:horzAnchor="margin" w:tblpXSpec="center" w:tblpY="1820"/>
        <w:tblW w:w="10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589"/>
        <w:gridCol w:w="1418"/>
        <w:gridCol w:w="1176"/>
        <w:gridCol w:w="1234"/>
        <w:gridCol w:w="1190"/>
        <w:gridCol w:w="1219"/>
        <w:gridCol w:w="1187"/>
      </w:tblGrid>
      <w:tr w:rsidR="002B2677" w:rsidRPr="006541A0" w14:paraId="27E7601E" w14:textId="77777777" w:rsidTr="00D23BB2">
        <w:trPr>
          <w:trHeight w:val="540"/>
        </w:trPr>
        <w:tc>
          <w:tcPr>
            <w:tcW w:w="10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008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Based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on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wording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those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provided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definition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rape:</w:t>
            </w:r>
          </w:p>
        </w:tc>
      </w:tr>
      <w:tr w:rsidR="00D23BB2" w:rsidRPr="006541A0" w14:paraId="5F6977A3" w14:textId="77777777" w:rsidTr="00D23BB2">
        <w:trPr>
          <w:trHeight w:val="1279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25F373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Criminal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9D6FEEB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Gender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covering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women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FE5C9B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Gender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neutral,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covering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337AFA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Based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on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the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lack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of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consent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of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victim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601AC66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Based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on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the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use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of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force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or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threat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93FAE42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Some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combination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B0CCE5A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Does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cover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only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vaginal rape?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552B42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Does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cover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forms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penetration</w:t>
            </w:r>
            <w:proofErr w:type="spellEnd"/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6541A0" w:rsidRPr="006541A0" w14:paraId="342496B9" w14:textId="77777777" w:rsidTr="00D23BB2">
        <w:trPr>
          <w:trHeight w:val="70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C1FA15F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AEB4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E629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AAA1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C65D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E2D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DC2E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8469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</w:tr>
      <w:tr w:rsidR="006541A0" w:rsidRPr="006541A0" w14:paraId="27C1DDB3" w14:textId="77777777" w:rsidTr="00D23BB2">
        <w:trPr>
          <w:trHeight w:val="697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AB7043B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4125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1012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3E09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9B4A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2C51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EF60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0873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</w:tr>
      <w:tr w:rsidR="006541A0" w:rsidRPr="006541A0" w14:paraId="30BC295A" w14:textId="77777777" w:rsidTr="00D23BB2">
        <w:trPr>
          <w:trHeight w:val="565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362DF2A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2CE5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107B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F682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9911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F1B8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2A28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4CB9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</w:tr>
      <w:tr w:rsidR="006541A0" w:rsidRPr="006541A0" w14:paraId="0B33B968" w14:textId="77777777" w:rsidTr="00D23BB2">
        <w:trPr>
          <w:trHeight w:val="795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D8B3AD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E99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B76D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9B74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763A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54AE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673D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4255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sz w:val="20"/>
                <w:szCs w:val="20"/>
              </w:rPr>
              <w:t>YES</w:t>
            </w:r>
          </w:p>
        </w:tc>
      </w:tr>
      <w:tr w:rsidR="006541A0" w:rsidRPr="006541A0" w14:paraId="3E11C043" w14:textId="77777777" w:rsidTr="00D23BB2">
        <w:trPr>
          <w:trHeight w:val="840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A5C8E71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5FB7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C114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EEB0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A848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C3E6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1E0E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CE36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</w:tr>
      <w:tr w:rsidR="006541A0" w:rsidRPr="006541A0" w14:paraId="5306FB76" w14:textId="77777777" w:rsidTr="00D23BB2">
        <w:trPr>
          <w:trHeight w:val="1170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A09B197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D33B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756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74C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714F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83D7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CC63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D76B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</w:tr>
      <w:tr w:rsidR="006541A0" w:rsidRPr="006541A0" w14:paraId="60BC5047" w14:textId="77777777" w:rsidTr="00D23BB2">
        <w:trPr>
          <w:trHeight w:val="1200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DE9C4AB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B60E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FA13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6D38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A74F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2A62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E3A5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F5F3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</w:tr>
      <w:tr w:rsidR="006541A0" w:rsidRPr="006541A0" w14:paraId="0ECDE72A" w14:textId="77777777" w:rsidTr="00D23BB2">
        <w:trPr>
          <w:trHeight w:val="1245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360AE4D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9924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B367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282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EAD6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FF31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C068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4C2A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</w:tr>
      <w:tr w:rsidR="006541A0" w:rsidRPr="006541A0" w14:paraId="6022F0F8" w14:textId="77777777" w:rsidTr="00D23BB2">
        <w:trPr>
          <w:trHeight w:val="1335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C29EC22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9ED5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19F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B2C3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B0FD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C510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A0B3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BB1C" w14:textId="77777777" w:rsidR="002B2677" w:rsidRPr="006541A0" w:rsidRDefault="002B2677" w:rsidP="002B2677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541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YES</w:t>
            </w:r>
          </w:p>
        </w:tc>
      </w:tr>
    </w:tbl>
    <w:p w14:paraId="6190B5B3" w14:textId="77777777" w:rsidR="002B2677" w:rsidRPr="006541A0" w:rsidRDefault="002B2677" w:rsidP="002B2677">
      <w:pPr>
        <w:rPr>
          <w:rFonts w:ascii="Calibri Light" w:hAnsi="Calibri Light" w:cs="Calibri Light"/>
          <w:sz w:val="20"/>
          <w:szCs w:val="20"/>
        </w:rPr>
      </w:pPr>
    </w:p>
    <w:p w14:paraId="07978553" w14:textId="77777777" w:rsidR="002B2677" w:rsidRDefault="002B2677" w:rsidP="002B2677"/>
    <w:p w14:paraId="5AE266D7" w14:textId="77777777" w:rsidR="002B2677" w:rsidRDefault="002B2677" w:rsidP="002B2677"/>
    <w:p w14:paraId="3A902DF5" w14:textId="77777777" w:rsidR="002B2677" w:rsidRDefault="002B2677" w:rsidP="002B2677"/>
    <w:p w14:paraId="483FE067" w14:textId="77777777" w:rsidR="002B2677" w:rsidRDefault="002B2677" w:rsidP="002B2677"/>
    <w:p w14:paraId="5590A56F" w14:textId="77777777" w:rsidR="002B2677" w:rsidRDefault="002B2677" w:rsidP="002B2677"/>
    <w:p w14:paraId="434A7D82" w14:textId="77777777" w:rsidR="002B2677" w:rsidRDefault="002B2677" w:rsidP="002B2677"/>
    <w:p w14:paraId="75707D35" w14:textId="3AAA92B8" w:rsidR="002B2677" w:rsidRDefault="002B2677" w:rsidP="002B2677"/>
    <w:p w14:paraId="77805030" w14:textId="77777777" w:rsidR="002B2677" w:rsidRDefault="002B2677" w:rsidP="002B2677"/>
    <w:tbl>
      <w:tblPr>
        <w:tblW w:w="10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640"/>
        <w:gridCol w:w="1172"/>
        <w:gridCol w:w="1905"/>
        <w:gridCol w:w="1465"/>
        <w:gridCol w:w="3224"/>
      </w:tblGrid>
      <w:tr w:rsidR="002B2677" w:rsidRPr="002C5362" w14:paraId="4E0DECC1" w14:textId="77777777" w:rsidTr="00597AA8">
        <w:trPr>
          <w:trHeight w:val="174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0913E0C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F060889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marital rape in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this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provision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explicitly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included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5822FC3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law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silent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marital rape?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E6F03F6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marital rape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covered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general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by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precedent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even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explicitly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included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3F7D014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marital rape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excluded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marital rape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considered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as a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crime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4F675B2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any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excluding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criminalization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alleged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live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together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a sexual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relationship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have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 sexual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relationship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had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 sexual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relationship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so,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submit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B2677" w:rsidRPr="002C5362" w14:paraId="2E984839" w14:textId="77777777" w:rsidTr="00597AA8">
        <w:trPr>
          <w:trHeight w:val="99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7407FB5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0331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50B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FF49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55F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5C72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marital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rape. (Art. 265 bis)</w:t>
            </w:r>
          </w:p>
        </w:tc>
      </w:tr>
      <w:tr w:rsidR="002B2677" w:rsidRPr="002C5362" w14:paraId="408B2645" w14:textId="77777777" w:rsidTr="00597AA8">
        <w:trPr>
          <w:trHeight w:val="1145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3177F23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1FAE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385E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460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C9F3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1A5D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marital,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partnership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rape. (Art. 174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paragraph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4)</w:t>
            </w:r>
          </w:p>
        </w:tc>
      </w:tr>
      <w:tr w:rsidR="002B2677" w:rsidRPr="002C5362" w14:paraId="7C4EEE71" w14:textId="77777777" w:rsidTr="00597AA8">
        <w:trPr>
          <w:trHeight w:val="1147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547FFA8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9AA9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1BEF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9829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2BC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EED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marital,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partnership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rape. (Art. 234)</w:t>
            </w:r>
          </w:p>
        </w:tc>
      </w:tr>
      <w:tr w:rsidR="002B2677" w:rsidRPr="002C5362" w14:paraId="36866E3F" w14:textId="77777777" w:rsidTr="00597AA8">
        <w:trPr>
          <w:trHeight w:val="1309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B1E6FAA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CE75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4888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3DB5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1A5A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C11D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Yes.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marital,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rape. (Art. 171)</w:t>
            </w:r>
          </w:p>
        </w:tc>
      </w:tr>
      <w:tr w:rsidR="002B2677" w:rsidRPr="002C5362" w14:paraId="22B35C58" w14:textId="77777777" w:rsidTr="00597AA8">
        <w:trPr>
          <w:trHeight w:val="1153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E403243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2A33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DC05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5819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9E55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0867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  <w:r w:rsidRPr="00637E8D">
              <w:rPr>
                <w:rFonts w:asciiTheme="majorHAnsi" w:eastAsia="Times New Roman" w:hAnsiTheme="majorHAnsi" w:cstheme="majorHAnsi"/>
                <w:sz w:val="20"/>
                <w:szCs w:val="20"/>
              </w:rPr>
              <w:t>es</w:t>
            </w: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marital,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rape.</w:t>
            </w:r>
            <w:r w:rsidRPr="00637E8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C536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(Art. 274)</w:t>
            </w:r>
          </w:p>
        </w:tc>
      </w:tr>
      <w:tr w:rsidR="002B2677" w:rsidRPr="002C5362" w14:paraId="40385CDC" w14:textId="77777777" w:rsidTr="00597AA8">
        <w:trPr>
          <w:trHeight w:val="100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EA586F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A92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A42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128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D0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664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marital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rape. (Art. 183)</w:t>
            </w:r>
          </w:p>
        </w:tc>
      </w:tr>
      <w:tr w:rsidR="002B2677" w:rsidRPr="002C5362" w14:paraId="6A691EE7" w14:textId="77777777" w:rsidTr="00597AA8">
        <w:trPr>
          <w:trHeight w:val="116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4F384A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CF3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CFF5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E99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C60A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23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marital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rape. (Art 269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Fraction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VII)</w:t>
            </w:r>
          </w:p>
        </w:tc>
      </w:tr>
      <w:tr w:rsidR="002B2677" w:rsidRPr="002C5362" w14:paraId="25286E28" w14:textId="77777777" w:rsidTr="00597AA8">
        <w:trPr>
          <w:trHeight w:val="116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DD36C4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5410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A2F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67BA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1DAB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ED75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marital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rape. (Art. 248,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fraction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IV)</w:t>
            </w:r>
          </w:p>
        </w:tc>
      </w:tr>
      <w:tr w:rsidR="002B2677" w:rsidRPr="002C5362" w14:paraId="3E4C9A5A" w14:textId="77777777" w:rsidTr="00597AA8">
        <w:trPr>
          <w:trHeight w:val="1151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B16C768" w14:textId="77777777" w:rsidR="002B2677" w:rsidRPr="002C5362" w:rsidRDefault="002B2677" w:rsidP="00597AA8">
            <w:pPr>
              <w:spacing w:line="240" w:lineRule="auto"/>
              <w:ind w:left="-63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9036" w14:textId="77777777" w:rsidR="002B2677" w:rsidRPr="00637E8D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  <w:p w14:paraId="356540A2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589A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C5F0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78A8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9129" w14:textId="77777777" w:rsidR="002B2677" w:rsidRPr="002C536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Code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establishes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marital and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cohabitation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as legal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assumptions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rape. (Art. 184, </w:t>
            </w:r>
            <w:proofErr w:type="spellStart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paragraph</w:t>
            </w:r>
            <w:proofErr w:type="spellEnd"/>
            <w:r w:rsidRPr="002C53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3)</w:t>
            </w:r>
          </w:p>
        </w:tc>
      </w:tr>
    </w:tbl>
    <w:p w14:paraId="1BCA3AFA" w14:textId="77777777" w:rsidR="002B2677" w:rsidRDefault="002B2677" w:rsidP="002B2677"/>
    <w:p w14:paraId="384538DA" w14:textId="77777777" w:rsidR="002B2677" w:rsidRDefault="002B2677" w:rsidP="002B2677"/>
    <w:p w14:paraId="52A2C73B" w14:textId="77777777" w:rsidR="002B2677" w:rsidRDefault="002B2677" w:rsidP="002B2677"/>
    <w:tbl>
      <w:tblPr>
        <w:tblW w:w="10773" w:type="dxa"/>
        <w:tblInd w:w="-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552"/>
        <w:gridCol w:w="5386"/>
      </w:tblGrid>
      <w:tr w:rsidR="002B2677" w:rsidRPr="00B01F03" w14:paraId="31552490" w14:textId="77777777" w:rsidTr="00597AA8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9C1F993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1905FC2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What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legal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age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sexual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consent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AB669C6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that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differentiate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sexual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activity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peers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so,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provide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them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30491AC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Provide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information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on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criminal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sanctions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prescribed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length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duration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such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criminal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sanctions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for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criminalized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forms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rape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.</w:t>
            </w:r>
          </w:p>
        </w:tc>
      </w:tr>
      <w:tr w:rsidR="002B2677" w:rsidRPr="00B01F03" w14:paraId="763951BD" w14:textId="77777777" w:rsidTr="00597AA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A68812E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308586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7F27EB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2B2BBA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imprisionment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plus </w:t>
            </w:r>
            <w:proofErr w:type="spellStart"/>
            <w:proofErr w:type="gram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forfeit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proofErr w:type="gram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custody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legal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guardianship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2B2677" w:rsidRPr="00B01F03" w14:paraId="057CF7BF" w14:textId="77777777" w:rsidTr="00597AA8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001B154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FCAC1F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63FB7A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34578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8 and 17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-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Forfeit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function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custodian</w:t>
            </w:r>
            <w:r w:rsidRPr="00211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emoved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from</w:t>
            </w:r>
            <w:proofErr w:type="spellEnd"/>
            <w:r w:rsidRPr="00211A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office. 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-Suspended in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exercise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work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employment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profession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2B2677" w:rsidRPr="00B01F03" w14:paraId="5B33BBD6" w14:textId="77777777" w:rsidTr="00597AA8">
        <w:trPr>
          <w:trHeight w:val="85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6390446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65B982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8AA663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1E0F09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8 and 20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imprisionment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2B2677" w:rsidRPr="00B01F03" w14:paraId="410ED79C" w14:textId="77777777" w:rsidTr="00597AA8">
        <w:trPr>
          <w:trHeight w:val="97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AB9EC56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AC9926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C34F2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0828B7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Penalty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8 and 20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imprisionment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</w:tc>
      </w:tr>
      <w:tr w:rsidR="002B2677" w:rsidRPr="00B01F03" w14:paraId="05200136" w14:textId="77777777" w:rsidTr="00597AA8">
        <w:trPr>
          <w:trHeight w:val="112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172616C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105FB3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42C6C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8EF46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10 and 20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imprisionment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. Fine: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equivalent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2000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days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salary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Forfeit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function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custodian.</w:t>
            </w:r>
          </w:p>
        </w:tc>
      </w:tr>
      <w:tr w:rsidR="002B2677" w:rsidRPr="00B01F03" w14:paraId="002C8A29" w14:textId="77777777" w:rsidTr="00597AA8">
        <w:trPr>
          <w:trHeight w:val="11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7DB319C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F0B01F7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5747D6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6B8DD1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8 and 15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Fine: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equivalent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days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salary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Forfeit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function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custodian</w:t>
            </w:r>
          </w:p>
        </w:tc>
      </w:tr>
      <w:tr w:rsidR="002B2677" w:rsidRPr="00B01F03" w14:paraId="4312B284" w14:textId="77777777" w:rsidTr="00597AA8">
        <w:trPr>
          <w:trHeight w:val="15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7BCE47E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9685F3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9D8AC8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E1C36A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8 and 20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Fine: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equivalent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between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days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salary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Forfeit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function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parent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custodian</w:t>
            </w: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removal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from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office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suspended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activity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2B2677" w:rsidRPr="00B01F03" w14:paraId="060F4ADA" w14:textId="77777777" w:rsidTr="00597AA8">
        <w:trPr>
          <w:trHeight w:val="170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F575948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08E524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4B6295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11B311" w14:textId="50B19CB3" w:rsidR="002B2677" w:rsidRPr="00B01F03" w:rsidRDefault="00653430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imprisonment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 fine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equivalent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days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salary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forefeit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family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rights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removal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disqualification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office.</w:t>
            </w:r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</w:r>
          </w:p>
        </w:tc>
      </w:tr>
      <w:tr w:rsidR="002B2677" w:rsidRPr="00B01F03" w14:paraId="6205A75A" w14:textId="77777777" w:rsidTr="00597AA8">
        <w:trPr>
          <w:trHeight w:val="891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3B73F1A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C7ADE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02A038" w14:textId="77777777" w:rsidR="002B2677" w:rsidRPr="00B01F03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01F0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C94AB3" w14:textId="77777777" w:rsidR="002B2677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443A45E" w14:textId="706ED65B" w:rsidR="002B2677" w:rsidRPr="00B01F03" w:rsidRDefault="00653430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penalty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imprisonment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 fine up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equivalent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days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salary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person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with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physical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mental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disabilities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forfeit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function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parent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custodian,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removal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from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office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disqualification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office up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653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</w:r>
          </w:p>
        </w:tc>
      </w:tr>
      <w:tr w:rsidR="002B2677" w:rsidRPr="00B01F03" w14:paraId="1F872570" w14:textId="77777777" w:rsidTr="00597AA8">
        <w:trPr>
          <w:trHeight w:val="18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DF2159E" w14:textId="77777777" w:rsidR="002B2677" w:rsidRPr="00B01F03" w:rsidRDefault="002B2677" w:rsidP="00597AA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413C9" w14:textId="77777777" w:rsidR="002B2677" w:rsidRPr="00211A1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7C124" w14:textId="77777777" w:rsidR="002B2677" w:rsidRPr="00211A1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E9419E" w14:textId="77777777" w:rsidR="002B2677" w:rsidRPr="00211A12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EB407C4" w14:textId="77777777" w:rsidR="002B2677" w:rsidRDefault="002B2677" w:rsidP="002B2677">
      <w:pPr>
        <w:rPr>
          <w:rFonts w:cstheme="minorHAnsi"/>
        </w:rPr>
      </w:pPr>
    </w:p>
    <w:p w14:paraId="7B9AA804" w14:textId="362FEB3A" w:rsidR="002B2677" w:rsidRDefault="002B2677" w:rsidP="002B2677">
      <w:pPr>
        <w:jc w:val="center"/>
        <w:rPr>
          <w:rFonts w:asciiTheme="majorHAnsi" w:hAnsiTheme="majorHAnsi" w:cstheme="majorHAnsi"/>
        </w:rPr>
      </w:pPr>
    </w:p>
    <w:p w14:paraId="675FE3EA" w14:textId="77777777" w:rsidR="00D23BB2" w:rsidRPr="00705E4B" w:rsidRDefault="00D23BB2" w:rsidP="002B2677">
      <w:pPr>
        <w:jc w:val="center"/>
        <w:rPr>
          <w:rFonts w:asciiTheme="majorHAnsi" w:hAnsiTheme="majorHAnsi" w:cstheme="majorHAnsi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072"/>
      </w:tblGrid>
      <w:tr w:rsidR="00597AA8" w:rsidRPr="00705E4B" w14:paraId="2E77048C" w14:textId="77777777" w:rsidTr="00597AA8">
        <w:trPr>
          <w:trHeight w:val="8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72C9C08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Criminal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6AE568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Does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law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foresee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aggravating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circumstances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sentencing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rape cases?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so,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what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are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</w:tr>
      <w:tr w:rsidR="00597AA8" w:rsidRPr="00705E4B" w14:paraId="73E38243" w14:textId="77777777" w:rsidTr="00597AA8">
        <w:trPr>
          <w:trHeight w:val="1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6F63239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1737F" w14:textId="77777777" w:rsidR="00597AA8" w:rsidRPr="001768DB" w:rsidRDefault="00597AA8" w:rsidP="00597AA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Yes.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are: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more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people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brother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against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equal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legal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towards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ward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towards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someone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carries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job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position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commission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using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means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dispose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position.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towards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ward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advantage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trust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deposited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prior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administration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narcotics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psychotropics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against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will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without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consent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597AA8" w:rsidRPr="00705E4B" w14:paraId="08FE05EC" w14:textId="77777777" w:rsidTr="00597AA8">
        <w:trPr>
          <w:trHeight w:val="33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A094B22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944EDD" w14:textId="77777777" w:rsidR="00597AA8" w:rsidRPr="001768DB" w:rsidRDefault="00597AA8" w:rsidP="00597AA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Yes.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are: 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1.1 Use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kind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physical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psychological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force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1.2 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more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people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1.3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relationships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consanguinity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affinity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up.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1.4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has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function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parent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custodian.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1.5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someone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carries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job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1.6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work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reasons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school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medical,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domestic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religious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that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involves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trust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subordination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superiority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1.7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lives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occasionally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permanently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victim's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home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1.8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Taking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advantage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trust,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friendship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gratitude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proofErr w:type="gram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1.9 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proofErr w:type="gram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board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particular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vehicle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1.10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lonely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place.</w:t>
            </w:r>
          </w:p>
        </w:tc>
      </w:tr>
      <w:tr w:rsidR="00597AA8" w:rsidRPr="00705E4B" w14:paraId="5238262D" w14:textId="77777777" w:rsidTr="00597AA8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435F3BF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D4A506" w14:textId="77777777" w:rsidR="00597AA8" w:rsidRPr="001768DB" w:rsidRDefault="00597AA8" w:rsidP="00597AA8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Yes. Use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kind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physical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psychological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force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597AA8" w:rsidRPr="00705E4B" w14:paraId="071F4D37" w14:textId="77777777" w:rsidTr="00597AA8">
        <w:trPr>
          <w:trHeight w:val="170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F1D7300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D19AFF" w14:textId="68116F13" w:rsidR="00597AA8" w:rsidRPr="001768DB" w:rsidRDefault="00597AA8" w:rsidP="00653430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Yes.  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under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14 years old.                                                               </w:t>
            </w:r>
            <w:r w:rsidR="0065343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                                                 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2.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cannot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understand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criminal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act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cannot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resist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3. Use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any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kind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physical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psychological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force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</w:tc>
      </w:tr>
      <w:tr w:rsidR="00597AA8" w:rsidRPr="00705E4B" w14:paraId="475CE677" w14:textId="77777777" w:rsidTr="00597AA8">
        <w:trPr>
          <w:trHeight w:val="4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1EDF69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D9251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Yes.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are: 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under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15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over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seventy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proofErr w:type="gram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 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proofErr w:type="gram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bye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two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more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people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There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relationships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consanguinity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affinity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up.                                                            4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responsible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has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function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parent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custodian.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5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someone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carries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job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                                                             6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for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work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reasons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school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medical,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domestic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religious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any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that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involves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trust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subordination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superiority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                                                                                   7. 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board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particula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vehicle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8.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dies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from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crime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                       9.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was</w:t>
            </w:r>
            <w:proofErr w:type="spellEnd"/>
            <w:proofErr w:type="gram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unconscious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incapacitated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suffers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from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 mental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physical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disability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</w:tc>
      </w:tr>
      <w:tr w:rsidR="00597AA8" w:rsidRPr="00705E4B" w14:paraId="6CA7E392" w14:textId="77777777" w:rsidTr="00597AA8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CE217BB" w14:textId="018D7E3F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541BE" w14:textId="2C30EA70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Does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law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foresee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aggravating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circumstances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sentencing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rape cases?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so,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what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are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</w:tr>
      <w:tr w:rsidR="00597AA8" w:rsidRPr="00705E4B" w14:paraId="3B88EB1C" w14:textId="77777777" w:rsidTr="00597AA8">
        <w:trPr>
          <w:trHeight w:val="395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202367A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F0B898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a chance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conduct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himself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voluntarily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more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people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adopter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adopted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brother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sister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stepmother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5. 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has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custody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someone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carries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job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and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excersice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religious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ministry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hierarchical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upper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against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sub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lower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6. Between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spouses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cohabitants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7.When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it's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preceded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forced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entry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victimn's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abode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597AA8" w:rsidRPr="00705E4B" w14:paraId="6E4D5E88" w14:textId="77777777" w:rsidTr="00597AA8">
        <w:trPr>
          <w:trHeight w:val="31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EB05FED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5CB6E7" w14:textId="77777777" w:rsidR="00597AA8" w:rsidRPr="00705E4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1.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younger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70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more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people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unable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resist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because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he/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unconscious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incapacitated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suffers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from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mental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physical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disability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reason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adopter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adopted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brother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sister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stepmother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5. 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has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custody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someone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carries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job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6. Between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spouses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cohabitants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2E19169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97AA8" w:rsidRPr="00705E4B" w14:paraId="1A0B134F" w14:textId="77777777" w:rsidTr="00597AA8">
        <w:trPr>
          <w:trHeight w:val="4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B3C72F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D41E5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Yes.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are: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younger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with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physical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mental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disabilities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more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people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relative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without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limitation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degree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ascending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descending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straight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line,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up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fourth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degree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collateral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line;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against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ward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stepmother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against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stepdaughter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lover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offended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lives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concubinage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with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someone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carries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job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position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commission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exercise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profession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employment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religious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ministry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spouse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intimate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partner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597AA8" w:rsidRPr="00705E4B" w14:paraId="1717C44F" w14:textId="77777777" w:rsidTr="00597AA8">
        <w:trPr>
          <w:trHeight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0996F4" w14:textId="1E23ECD0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0B334" w14:textId="6340AB5F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Does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law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foresee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aggravating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circumstances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sentencing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rape cases?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so,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what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are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</w:tr>
      <w:tr w:rsidR="00597AA8" w:rsidRPr="00705E4B" w14:paraId="62F81571" w14:textId="77777777" w:rsidTr="00597AA8">
        <w:trPr>
          <w:trHeight w:val="50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5F07599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DC3563" w14:textId="77777777" w:rsidR="00597AA8" w:rsidRPr="001768DB" w:rsidRDefault="00597AA8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Yes.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are: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more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people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descendant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adopter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adopted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brother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sister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stepmother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guardian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has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concubine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concubine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domestic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partner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sentimental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partner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responsible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has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custody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education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committed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someone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carries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public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job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position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commission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exercise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profession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employment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religious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ministry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using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means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circumstances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that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provides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forced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consume,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supplied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without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consent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drugs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narcotics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psychotropic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other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toxic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substance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that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makes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defense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totally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partially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momentary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permanent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impossible</w:t>
            </w:r>
            <w:proofErr w:type="spellEnd"/>
            <w:r w:rsidRPr="001768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</w:tbl>
    <w:p w14:paraId="625B7248" w14:textId="77777777" w:rsidR="002B2677" w:rsidRDefault="002B2677" w:rsidP="002B2677">
      <w:pPr>
        <w:rPr>
          <w:rFonts w:cstheme="minorHAnsi"/>
        </w:rPr>
      </w:pPr>
    </w:p>
    <w:p w14:paraId="693C1303" w14:textId="77777777" w:rsidR="002B2677" w:rsidRDefault="002B2677" w:rsidP="002B2677">
      <w:pPr>
        <w:rPr>
          <w:rFonts w:cstheme="minorHAnsi"/>
        </w:rPr>
      </w:pPr>
    </w:p>
    <w:p w14:paraId="40B258A5" w14:textId="77777777" w:rsidR="002B2677" w:rsidRDefault="002B2677" w:rsidP="002B2677">
      <w:pPr>
        <w:rPr>
          <w:rFonts w:cstheme="minorHAnsi"/>
        </w:rPr>
      </w:pPr>
    </w:p>
    <w:p w14:paraId="14FF83C4" w14:textId="5F7791B7" w:rsidR="002B2677" w:rsidRDefault="002B2677" w:rsidP="002B2677">
      <w:pPr>
        <w:rPr>
          <w:rFonts w:cstheme="minorHAnsi"/>
        </w:rPr>
      </w:pPr>
    </w:p>
    <w:p w14:paraId="091DF340" w14:textId="5D098297" w:rsidR="00597AA8" w:rsidRDefault="00597AA8" w:rsidP="002B2677">
      <w:pPr>
        <w:rPr>
          <w:rFonts w:cstheme="minorHAnsi"/>
        </w:rPr>
      </w:pPr>
    </w:p>
    <w:p w14:paraId="50E3B85E" w14:textId="4B24BC00" w:rsidR="00597AA8" w:rsidRDefault="00597AA8" w:rsidP="002B2677">
      <w:pPr>
        <w:rPr>
          <w:rFonts w:cstheme="minorHAnsi"/>
        </w:rPr>
      </w:pPr>
    </w:p>
    <w:p w14:paraId="5B4D1B46" w14:textId="381C2D03" w:rsidR="00597AA8" w:rsidRDefault="00597AA8" w:rsidP="002B2677">
      <w:pPr>
        <w:rPr>
          <w:rFonts w:cstheme="minorHAnsi"/>
        </w:rPr>
      </w:pPr>
    </w:p>
    <w:p w14:paraId="2BF7AB1A" w14:textId="576BC435" w:rsidR="00597AA8" w:rsidRDefault="00597AA8" w:rsidP="002B2677">
      <w:pPr>
        <w:rPr>
          <w:rFonts w:cstheme="minorHAnsi"/>
        </w:rPr>
      </w:pPr>
    </w:p>
    <w:p w14:paraId="5C531532" w14:textId="7A61073C" w:rsidR="00597AA8" w:rsidRDefault="00597AA8" w:rsidP="002B2677">
      <w:pPr>
        <w:rPr>
          <w:rFonts w:cstheme="minorHAnsi"/>
        </w:rPr>
      </w:pPr>
    </w:p>
    <w:p w14:paraId="775F9476" w14:textId="28CF62E3" w:rsidR="00597AA8" w:rsidRDefault="00597AA8" w:rsidP="002B2677">
      <w:pPr>
        <w:rPr>
          <w:rFonts w:cstheme="minorHAnsi"/>
        </w:rPr>
      </w:pPr>
    </w:p>
    <w:p w14:paraId="37116739" w14:textId="31B1B77F" w:rsidR="00597AA8" w:rsidRDefault="00597AA8" w:rsidP="002B2677">
      <w:pPr>
        <w:rPr>
          <w:rFonts w:cstheme="minorHAnsi"/>
        </w:rPr>
      </w:pPr>
    </w:p>
    <w:p w14:paraId="09D9490C" w14:textId="6FD416E4" w:rsidR="00597AA8" w:rsidRDefault="00597AA8" w:rsidP="002B2677">
      <w:pPr>
        <w:rPr>
          <w:rFonts w:cstheme="minorHAnsi"/>
        </w:rPr>
      </w:pPr>
    </w:p>
    <w:p w14:paraId="367F183F" w14:textId="44D2069F" w:rsidR="00597AA8" w:rsidRDefault="00597AA8" w:rsidP="002B2677">
      <w:pPr>
        <w:rPr>
          <w:rFonts w:cstheme="minorHAnsi"/>
        </w:rPr>
      </w:pPr>
    </w:p>
    <w:p w14:paraId="4854E484" w14:textId="7BCF8539" w:rsidR="00597AA8" w:rsidRDefault="00597AA8" w:rsidP="002B2677">
      <w:pPr>
        <w:rPr>
          <w:rFonts w:cstheme="minorHAnsi"/>
        </w:rPr>
      </w:pPr>
    </w:p>
    <w:p w14:paraId="6336E3C6" w14:textId="77777777" w:rsidR="00597AA8" w:rsidRDefault="00597AA8" w:rsidP="002B2677">
      <w:pPr>
        <w:rPr>
          <w:rFonts w:cstheme="minorHAnsi"/>
        </w:rPr>
      </w:pPr>
    </w:p>
    <w:p w14:paraId="296EB72B" w14:textId="77777777" w:rsidR="002B2677" w:rsidRDefault="002B2677" w:rsidP="002B2677">
      <w:pPr>
        <w:rPr>
          <w:rFonts w:cstheme="minorHAnsi"/>
        </w:rPr>
      </w:pPr>
    </w:p>
    <w:p w14:paraId="1775B29B" w14:textId="6C005C82" w:rsidR="002B2677" w:rsidRDefault="002B2677" w:rsidP="002B2677">
      <w:pPr>
        <w:rPr>
          <w:rFonts w:cstheme="minorHAnsi"/>
        </w:rPr>
      </w:pPr>
    </w:p>
    <w:p w14:paraId="64E9DB10" w14:textId="7A85EE1E" w:rsidR="00597AA8" w:rsidRDefault="00597AA8" w:rsidP="002B2677">
      <w:pPr>
        <w:rPr>
          <w:rFonts w:cstheme="minorHAnsi"/>
        </w:rPr>
      </w:pPr>
    </w:p>
    <w:p w14:paraId="7F0CF805" w14:textId="77777777" w:rsidR="00597AA8" w:rsidRDefault="00597AA8" w:rsidP="002B2677">
      <w:pPr>
        <w:rPr>
          <w:rFonts w:cstheme="minorHAnsi"/>
        </w:rPr>
      </w:pP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3509"/>
        <w:gridCol w:w="1572"/>
        <w:gridCol w:w="1723"/>
      </w:tblGrid>
      <w:tr w:rsidR="002B2677" w:rsidRPr="00C96A04" w14:paraId="50AFAA99" w14:textId="77777777" w:rsidTr="00597AA8">
        <w:trPr>
          <w:trHeight w:val="2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951B0D0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F8E07E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rape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more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than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one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aggravating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circumstance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C9462B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rape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particularly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vulnerable individual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aggravating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circumstance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imbalance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power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between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alleged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victims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? (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example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, doctor/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patient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teacher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student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95DE53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rape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spouse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intimate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partner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aggravating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circumstance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7EF5FB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Does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law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foresee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mitigating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circumstances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purposes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punishment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? YES/NO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yes,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please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specify</w:t>
            </w:r>
            <w:proofErr w:type="spellEnd"/>
          </w:p>
        </w:tc>
      </w:tr>
      <w:tr w:rsidR="002B2677" w:rsidRPr="00C96A04" w14:paraId="60B46F4F" w14:textId="77777777" w:rsidTr="00597AA8">
        <w:trPr>
          <w:trHeight w:val="8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E3098B4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2B8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9084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F3D1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66ED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2B7A59A3" w14:textId="77777777" w:rsidTr="00597AA8">
        <w:trPr>
          <w:trHeight w:val="162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1F020B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1965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YES.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These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are: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under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old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physical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moral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violence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enforced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F069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D93D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E4FB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4AA599F3" w14:textId="77777777" w:rsidTr="00597AA8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CD7DA3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8B43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407A41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058D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C851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7F5E14A2" w14:textId="77777777" w:rsidTr="00597AA8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0FE6E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0DC6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4750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8E7E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6E1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sz w:val="20"/>
                <w:szCs w:val="20"/>
              </w:rPr>
              <w:t>NO</w:t>
            </w:r>
          </w:p>
        </w:tc>
      </w:tr>
      <w:tr w:rsidR="002B2677" w:rsidRPr="00C96A04" w14:paraId="1604DEDF" w14:textId="77777777" w:rsidTr="00597AA8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4A9878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09AF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737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5D7F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8CA1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5951C80E" w14:textId="77777777" w:rsidTr="00597AA8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E6D772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005C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C25C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FD5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DC1C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08082D8F" w14:textId="77777777" w:rsidTr="00597AA8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174AF88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C434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E9E3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91FD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7FBD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25492FD2" w14:textId="77777777" w:rsidTr="00597AA8">
        <w:trPr>
          <w:trHeight w:val="12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88DC2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17E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DD40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9C1D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09C2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558385F0" w14:textId="77777777" w:rsidTr="00597AA8">
        <w:trPr>
          <w:trHeight w:val="13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BC44B0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CCA8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3620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5572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DEF1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</w:tbl>
    <w:p w14:paraId="31B61F7B" w14:textId="77777777" w:rsidR="002B2677" w:rsidRDefault="002B2677" w:rsidP="002B2677">
      <w:pPr>
        <w:jc w:val="center"/>
        <w:rPr>
          <w:rFonts w:cstheme="minorHAnsi"/>
        </w:rPr>
      </w:pPr>
    </w:p>
    <w:p w14:paraId="32E27C9D" w14:textId="77777777" w:rsidR="002B2677" w:rsidRDefault="002B2677" w:rsidP="002B2677">
      <w:pPr>
        <w:jc w:val="center"/>
        <w:rPr>
          <w:rFonts w:cstheme="minorHAnsi"/>
        </w:rPr>
      </w:pP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2410"/>
        <w:gridCol w:w="1417"/>
        <w:gridCol w:w="1701"/>
      </w:tblGrid>
      <w:tr w:rsidR="002B2677" w:rsidRPr="00C96A04" w14:paraId="4F676DA5" w14:textId="77777777" w:rsidTr="00597AA8">
        <w:trPr>
          <w:trHeight w:val="2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D35F1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8F3B6D9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reconciliation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between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allowed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part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 legal response? YES/NO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so, at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stage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consequences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8BA4CDF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Regardless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law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reconciliation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permitted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practice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? YES/NO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practice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regard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23B6AA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any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provision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allows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non-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? YES/NO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yes,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specify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2385AD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marries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rape? YES/NO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CCC29AB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loses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socially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dangerous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character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reconciles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with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 YES/NO</w:t>
            </w:r>
          </w:p>
        </w:tc>
      </w:tr>
      <w:tr w:rsidR="002B2677" w:rsidRPr="00C96A04" w14:paraId="0AFFB068" w14:textId="77777777" w:rsidTr="00597AA8">
        <w:trPr>
          <w:trHeight w:val="1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E63BB1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CC98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1AE25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B3DC" w14:textId="7FE3DC25" w:rsidR="002B2677" w:rsidRPr="00C96A04" w:rsidRDefault="00B56BAC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Unimputability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due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anomalies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psychic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alteration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under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age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those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with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addictions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narcotic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or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psychotropic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56BAC">
              <w:rPr>
                <w:rFonts w:eastAsia="Times New Roman"/>
                <w:sz w:val="20"/>
                <w:szCs w:val="20"/>
              </w:rPr>
              <w:t>drugs</w:t>
            </w:r>
            <w:proofErr w:type="spellEnd"/>
            <w:r w:rsidRPr="00B56BAC">
              <w:rPr>
                <w:rFonts w:eastAsia="Times New Roman"/>
                <w:sz w:val="20"/>
                <w:szCs w:val="20"/>
              </w:rPr>
              <w:t>.</w:t>
            </w:r>
            <w:r w:rsidRPr="00B56BAC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C07C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2C6B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03D029DD" w14:textId="77777777" w:rsidTr="00597AA8">
        <w:trPr>
          <w:trHeight w:val="127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E1F4DB7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2757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F327D9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4F196A" w14:textId="77777777" w:rsidR="006C7250" w:rsidRDefault="006C7250" w:rsidP="006C72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Unimputability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delayed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intellectual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mental </w:t>
            </w:r>
            <w:proofErr w:type="spellStart"/>
            <w:r>
              <w:rPr>
                <w:color w:val="000000"/>
                <w:sz w:val="20"/>
                <w:szCs w:val="20"/>
              </w:rPr>
              <w:t>disorder</w:t>
            </w:r>
            <w:proofErr w:type="spellEnd"/>
            <w:r>
              <w:rPr>
                <w:color w:val="000000"/>
                <w:sz w:val="20"/>
                <w:szCs w:val="20"/>
              </w:rPr>
              <w:t>. (Art 62)</w:t>
            </w:r>
          </w:p>
          <w:p w14:paraId="4F4C713E" w14:textId="63816B0E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4751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C891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2CFF822A" w14:textId="77777777" w:rsidTr="00597AA8">
        <w:trPr>
          <w:trHeight w:val="139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3E2A5D3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85BE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787B0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C32A" w14:textId="77777777" w:rsidR="006C7250" w:rsidRDefault="006C7250" w:rsidP="006C72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Unimputability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anomalies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psychic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alteration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circumstances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45BD5795" w14:textId="48E8CE16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D7A8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0A6B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2B2677" w:rsidRPr="00C96A04" w14:paraId="6DC54306" w14:textId="77777777" w:rsidTr="00597AA8">
        <w:trPr>
          <w:trHeight w:val="18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131502F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0D7E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85C43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D274D" w14:textId="77777777" w:rsidR="006C7250" w:rsidRDefault="006C7250" w:rsidP="006C725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4C54F8" w14:textId="79C47863" w:rsidR="006C7250" w:rsidRDefault="006C7250" w:rsidP="006C72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hen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ability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understand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illegal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having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mental </w:t>
            </w:r>
            <w:proofErr w:type="spellStart"/>
            <w:r>
              <w:rPr>
                <w:color w:val="000000"/>
                <w:sz w:val="20"/>
                <w:szCs w:val="20"/>
              </w:rPr>
              <w:t>disorder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delayed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intellectual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4BB846BD" w14:textId="5C9C4C71" w:rsidR="002B2677" w:rsidRPr="00C96A04" w:rsidRDefault="002B2677" w:rsidP="006C72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96AD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58C4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</w:tr>
      <w:tr w:rsidR="002B2677" w:rsidRPr="00C96A04" w14:paraId="6D3E3BAA" w14:textId="77777777" w:rsidTr="00597AA8">
        <w:trPr>
          <w:trHeight w:val="42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A925A1" w14:textId="77777777" w:rsidR="002B2677" w:rsidRPr="00C96A04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736B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There's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no legal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exclusion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possibility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reconciliation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9B939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8204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</w:t>
            </w:r>
            <w:r w:rsidRPr="00C96A04">
              <w:rPr>
                <w:rFonts w:eastAsia="Times New Roman"/>
                <w:sz w:val="20"/>
                <w:szCs w:val="20"/>
              </w:rPr>
              <w:t>hen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person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does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not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have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ability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understand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illegal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nature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having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mental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disorder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agent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o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retarded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intellectual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development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.      2.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When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under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fifteen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over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thirteen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, has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consented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copulation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there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no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amendment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there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affective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relationship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with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accused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difference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not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more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than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five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years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between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them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CA23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9621" w14:textId="77777777" w:rsidR="002B2677" w:rsidRPr="00C96A04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D23BB2" w:rsidRPr="00C96A04" w14:paraId="05F799D2" w14:textId="77777777" w:rsidTr="00D23BB2">
        <w:trPr>
          <w:trHeight w:val="1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04F4" w14:textId="1F57142E" w:rsidR="00D23BB2" w:rsidRPr="00C96A04" w:rsidRDefault="00D23BB2" w:rsidP="00D23BB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2AF45" w14:textId="6AADE3FA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reconciliation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between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allowed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part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 legal response? YES/NO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so, at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stage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consequences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3AAF7D5" w14:textId="2C0FE1A9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Regardless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law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reconciliation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permitted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practice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? YES/NO and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practice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regard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F27355" w14:textId="7850E330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any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provision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criminal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that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allows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non-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? YES/NO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yes,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specify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3F4C43" w14:textId="52289DA0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marries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rape? YES/NO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75D6BA5" w14:textId="7B33E042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perpetrator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loses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socially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dangerous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character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reconciles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with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? YES/NO</w:t>
            </w:r>
          </w:p>
        </w:tc>
      </w:tr>
      <w:tr w:rsidR="00D23BB2" w:rsidRPr="00C96A04" w14:paraId="32F18A00" w14:textId="77777777" w:rsidTr="00597AA8">
        <w:trPr>
          <w:trHeight w:val="3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83D422" w14:textId="77777777" w:rsidR="00D23BB2" w:rsidRPr="00C96A04" w:rsidRDefault="00D23BB2" w:rsidP="00D23BB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B11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There's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no legal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exclusion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possibility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reconciliation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F649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9ED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By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mental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illness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that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disturbs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his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conscience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perturbation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consciousness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without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pathological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basis,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agent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does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not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have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ability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compose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illegal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nature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E93B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5812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D23BB2" w:rsidRPr="00C96A04" w14:paraId="46B1A198" w14:textId="77777777" w:rsidTr="00597AA8">
        <w:trPr>
          <w:trHeight w:val="228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47E535" w14:textId="77777777" w:rsidR="00D23BB2" w:rsidRPr="00C96A04" w:rsidRDefault="00D23BB2" w:rsidP="00D23BB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1FD6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There's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no legal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exclusion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possibility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color w:val="000000"/>
                <w:sz w:val="20"/>
                <w:szCs w:val="20"/>
              </w:rPr>
              <w:t>reconciliation</w:t>
            </w:r>
            <w:proofErr w:type="spellEnd"/>
            <w:r w:rsidRPr="00C96A0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18B4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8191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</w:t>
            </w:r>
            <w:r w:rsidRPr="00C96A04">
              <w:rPr>
                <w:rFonts w:eastAsia="Times New Roman"/>
                <w:sz w:val="20"/>
                <w:szCs w:val="20"/>
              </w:rPr>
              <w:t>hen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person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does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not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have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ability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understand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illegal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nature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having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mental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disorder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agent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br/>
              <w:t xml:space="preserve">o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retarded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intellectual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58CA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114E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D23BB2" w:rsidRPr="00C96A04" w14:paraId="07179D4E" w14:textId="77777777" w:rsidTr="00597AA8">
        <w:trPr>
          <w:trHeight w:val="12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7913045" w14:textId="77777777" w:rsidR="00D23BB2" w:rsidRPr="00C96A04" w:rsidRDefault="00D23BB2" w:rsidP="00D23BB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8EB4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703560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A799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</w:t>
            </w:r>
            <w:r w:rsidRPr="00C96A04">
              <w:rPr>
                <w:rFonts w:eastAsia="Times New Roman"/>
                <w:sz w:val="20"/>
                <w:szCs w:val="20"/>
              </w:rPr>
              <w:t>nimputability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due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anomalies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psychic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alteration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under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7F02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552D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D23BB2" w:rsidRPr="00C96A04" w14:paraId="43DB436F" w14:textId="77777777" w:rsidTr="00597AA8">
        <w:trPr>
          <w:trHeight w:val="13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FA79DA" w14:textId="77777777" w:rsidR="00D23BB2" w:rsidRPr="00C96A04" w:rsidRDefault="00D23BB2" w:rsidP="00D23BB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96A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62BC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5852A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96A04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5EF2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</w:t>
            </w:r>
            <w:r w:rsidRPr="00C96A04">
              <w:rPr>
                <w:rFonts w:eastAsia="Times New Roman"/>
                <w:sz w:val="20"/>
                <w:szCs w:val="20"/>
              </w:rPr>
              <w:t>nimputability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due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anomalies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psychic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alteration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under</w:t>
            </w:r>
            <w:proofErr w:type="spellEnd"/>
            <w:r w:rsidRPr="00C96A0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96A04">
              <w:rPr>
                <w:rFonts w:eastAsia="Times New Roman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36B8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EB4A" w14:textId="77777777" w:rsidR="00D23BB2" w:rsidRPr="00C96A04" w:rsidRDefault="00D23BB2" w:rsidP="00D23BB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6A04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2909C8EE" w14:textId="77777777" w:rsidR="002B2677" w:rsidRDefault="002B2677" w:rsidP="002B2677">
      <w:pPr>
        <w:jc w:val="both"/>
        <w:rPr>
          <w:rFonts w:cstheme="minorHAnsi"/>
        </w:rPr>
      </w:pPr>
    </w:p>
    <w:p w14:paraId="776E1C1D" w14:textId="0A572B00" w:rsidR="002B2677" w:rsidRDefault="002B2677" w:rsidP="002B2677">
      <w:pPr>
        <w:jc w:val="both"/>
        <w:rPr>
          <w:rFonts w:cstheme="minorHAnsi"/>
        </w:rPr>
      </w:pPr>
    </w:p>
    <w:p w14:paraId="4D19485C" w14:textId="5DF9D573" w:rsidR="00D23BB2" w:rsidRDefault="00D23BB2" w:rsidP="002B2677">
      <w:pPr>
        <w:jc w:val="both"/>
        <w:rPr>
          <w:rFonts w:cstheme="minorHAnsi"/>
        </w:rPr>
      </w:pPr>
    </w:p>
    <w:p w14:paraId="547E896C" w14:textId="156ADC9D" w:rsidR="00D23BB2" w:rsidRDefault="00D23BB2" w:rsidP="002B2677">
      <w:pPr>
        <w:jc w:val="both"/>
        <w:rPr>
          <w:rFonts w:cstheme="minorHAnsi"/>
        </w:rPr>
      </w:pPr>
    </w:p>
    <w:p w14:paraId="3F9E277C" w14:textId="315D9F95" w:rsidR="00D23BB2" w:rsidRDefault="00D23BB2" w:rsidP="002B2677">
      <w:pPr>
        <w:jc w:val="both"/>
        <w:rPr>
          <w:rFonts w:cstheme="minorHAnsi"/>
        </w:rPr>
      </w:pPr>
    </w:p>
    <w:p w14:paraId="6FBFE14E" w14:textId="2F3366CC" w:rsidR="00D23BB2" w:rsidRDefault="00D23BB2" w:rsidP="002B2677">
      <w:pPr>
        <w:jc w:val="both"/>
        <w:rPr>
          <w:rFonts w:cstheme="minorHAnsi"/>
        </w:rPr>
      </w:pPr>
    </w:p>
    <w:p w14:paraId="61FB6484" w14:textId="044C15F1" w:rsidR="00D23BB2" w:rsidRDefault="00D23BB2" w:rsidP="002B2677">
      <w:pPr>
        <w:jc w:val="both"/>
        <w:rPr>
          <w:rFonts w:cstheme="minorHAnsi"/>
        </w:rPr>
      </w:pPr>
    </w:p>
    <w:p w14:paraId="75F266EF" w14:textId="77777777" w:rsidR="00D23BB2" w:rsidRDefault="00D23BB2" w:rsidP="002B2677">
      <w:pPr>
        <w:jc w:val="both"/>
        <w:rPr>
          <w:rFonts w:cstheme="minorHAnsi"/>
        </w:rPr>
      </w:pPr>
    </w:p>
    <w:p w14:paraId="56397394" w14:textId="77777777" w:rsidR="002B2677" w:rsidRDefault="002B2677" w:rsidP="002B2677">
      <w:pPr>
        <w:jc w:val="both"/>
        <w:rPr>
          <w:rFonts w:cstheme="minorHAnsi"/>
        </w:rPr>
      </w:pPr>
    </w:p>
    <w:p w14:paraId="7513D618" w14:textId="77777777" w:rsidR="002B2677" w:rsidRDefault="002B2677" w:rsidP="002B2677">
      <w:pPr>
        <w:jc w:val="both"/>
        <w:rPr>
          <w:rFonts w:cstheme="minorHAnsi"/>
        </w:rPr>
      </w:pPr>
    </w:p>
    <w:tbl>
      <w:tblPr>
        <w:tblW w:w="1077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2346"/>
        <w:gridCol w:w="2571"/>
        <w:gridCol w:w="1984"/>
        <w:gridCol w:w="2410"/>
      </w:tblGrid>
      <w:tr w:rsidR="002B2677" w:rsidRPr="00705E4B" w14:paraId="221090CB" w14:textId="77777777" w:rsidTr="00597AA8">
        <w:trPr>
          <w:trHeight w:val="810"/>
        </w:trPr>
        <w:tc>
          <w:tcPr>
            <w:tcW w:w="1077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9550D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  <w:lastRenderedPageBreak/>
              <w:t>Prosecution</w:t>
            </w:r>
            <w:proofErr w:type="spellEnd"/>
          </w:p>
        </w:tc>
      </w:tr>
      <w:tr w:rsidR="002B2677" w:rsidRPr="00705E4B" w14:paraId="5C751033" w14:textId="77777777" w:rsidTr="00597AA8">
        <w:trPr>
          <w:trHeight w:val="87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8F70A5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Criminal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E14CEC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reported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police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ex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officio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public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)? YES/NO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0D1A0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reported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police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ex parte (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private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)? YES/NO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86C370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bargain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friendly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settlement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case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allowed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in cases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women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47123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bargain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friendly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settlement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case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allowed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in cases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children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</w:t>
            </w:r>
          </w:p>
        </w:tc>
      </w:tr>
      <w:tr w:rsidR="002B2677" w:rsidRPr="00705E4B" w14:paraId="27418A9F" w14:textId="77777777" w:rsidTr="00597AA8">
        <w:trPr>
          <w:trHeight w:val="2260"/>
        </w:trPr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FB4F1F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Federal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1387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except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live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cohabitation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. (Art. 265bis)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15E2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Only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following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scenarios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: -rape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minor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younger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than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but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older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than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15, and -rape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spouse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cohabitant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partner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. (Arts. 263 and 265bis).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520C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99731E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5E24128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3EA6DBA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3805C60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E64A69D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  <w:p w14:paraId="5658C9C6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2B2677" w:rsidRPr="00705E4B" w14:paraId="630375EA" w14:textId="77777777" w:rsidTr="00597AA8">
        <w:trPr>
          <w:trHeight w:val="177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6FB980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1EC5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except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live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cohabitation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are "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parters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". (Art. 174,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paragraph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390A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Only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following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scenarios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: -rape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spouse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cohabitant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partner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. (Art. 174).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2DCB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B9393" w14:textId="77777777" w:rsidR="002B2677" w:rsidRDefault="002B2677" w:rsidP="00597AA8">
            <w:pPr>
              <w:tabs>
                <w:tab w:val="left" w:pos="623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  <w:p w14:paraId="6029252C" w14:textId="77777777" w:rsidR="002B2677" w:rsidRDefault="002B2677" w:rsidP="00597AA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58400B9" w14:textId="77777777" w:rsidR="002B2677" w:rsidRDefault="002B2677" w:rsidP="00597AA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*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article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264 CPPDF</w:t>
            </w:r>
          </w:p>
          <w:p w14:paraId="541C76B9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2B2677" w:rsidRPr="00705E4B" w14:paraId="0B5955D5" w14:textId="77777777" w:rsidTr="00597AA8">
        <w:trPr>
          <w:trHeight w:val="168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CF82A1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0E31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except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if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were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cohabiting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permanent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partner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(Art. 234)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2E05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except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if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were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cohabiting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permanent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partner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(Art. 234)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1C7B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F6A08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2E839C75" w14:textId="77777777" w:rsidR="002B2677" w:rsidRDefault="002B2677" w:rsidP="00597AA8">
            <w:pPr>
              <w:spacing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14:paraId="0A160F65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</w:tr>
      <w:tr w:rsidR="002B2677" w:rsidRPr="00705E4B" w14:paraId="79D16386" w14:textId="77777777" w:rsidTr="00597AA8">
        <w:trPr>
          <w:trHeight w:val="180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D3E926F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A628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except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if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are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live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in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cohabitation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are "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parters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". (Art. 171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paragraph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3)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33DB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Only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in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following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scenarios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: -rape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spouse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cohabitant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partner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>. (Art.171)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44E7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944C9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61A09807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68F5298B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2047B402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NO </w:t>
            </w:r>
          </w:p>
        </w:tc>
      </w:tr>
      <w:tr w:rsidR="002B2677" w:rsidRPr="00705E4B" w14:paraId="12CFC7D8" w14:textId="77777777" w:rsidTr="00D23BB2">
        <w:trPr>
          <w:trHeight w:val="1027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0E411B9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E4C2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DEBD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C0AC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2128F4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62CE165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2B2677" w:rsidRPr="00705E4B" w14:paraId="2CD0A658" w14:textId="77777777" w:rsidTr="006C7250">
        <w:trPr>
          <w:trHeight w:val="254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326F60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1C5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except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if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were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sz w:val="20"/>
                <w:szCs w:val="20"/>
              </w:rPr>
              <w:t>cohabiting</w:t>
            </w:r>
            <w:proofErr w:type="spellEnd"/>
            <w:r w:rsidRPr="00705E4B">
              <w:rPr>
                <w:rFonts w:ascii="Verdana" w:eastAsia="Times New Roman" w:hAnsi="Verdana"/>
                <w:sz w:val="20"/>
                <w:szCs w:val="20"/>
              </w:rPr>
              <w:t>. (Art. 183)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1FC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only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when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were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cohabiting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. (Art. 183)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E35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There's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no legal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exclusion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possibility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friendly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settlement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30A" w14:textId="77777777" w:rsidR="002B2677" w:rsidRDefault="002B2677" w:rsidP="00597AA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FE0407" w14:textId="77777777" w:rsidR="002B2677" w:rsidRDefault="002B2677" w:rsidP="00597AA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There's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no legal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exclusion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possibility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friendly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settlement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  <w:p w14:paraId="0BED61E1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2B2677" w:rsidRPr="00705E4B" w14:paraId="486C61C1" w14:textId="77777777" w:rsidTr="00597AA8">
        <w:trPr>
          <w:trHeight w:val="97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A3AE2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01E3CA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reported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police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ex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officio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public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)? YES/NO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8CA79C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reported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police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ex parte (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private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)? YES/NO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06BC60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gram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bargain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friendly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settlement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case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allowed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in cases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women</w:t>
            </w:r>
            <w:proofErr w:type="spell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758B43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bargain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friendly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settlement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case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allowed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in cases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children</w:t>
            </w:r>
            <w:proofErr w:type="spell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B80637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</w:t>
            </w:r>
          </w:p>
        </w:tc>
      </w:tr>
      <w:tr w:rsidR="002B2677" w:rsidRPr="00705E4B" w14:paraId="2F5F4C64" w14:textId="77777777" w:rsidTr="00597AA8">
        <w:trPr>
          <w:trHeight w:val="1950"/>
        </w:trPr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EF0FD8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8611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except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were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cohabiting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(Art. 267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paragraph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27A6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YES,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only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when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parties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involved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were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married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or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cohabiting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(Art. 267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paragraph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D8DB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There's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no legal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exclusion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the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possibility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of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friendly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settlement</w:t>
            </w:r>
            <w:proofErr w:type="spellEnd"/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F42353" w14:textId="77777777" w:rsidR="002B2677" w:rsidRDefault="002B2677" w:rsidP="00597AA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FFBF1DC" w14:textId="77777777" w:rsidR="002B2677" w:rsidRDefault="002B2677" w:rsidP="00597AA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There's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no legal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exclusion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possibility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friendly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settlement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  <w:p w14:paraId="1F7A3C12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2B2677" w:rsidRPr="00705E4B" w14:paraId="7F5D2008" w14:textId="77777777" w:rsidTr="00597AA8">
        <w:trPr>
          <w:trHeight w:val="863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026799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5F87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9D21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C1B8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29BAB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0AAB136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2B2677" w:rsidRPr="00705E4B" w14:paraId="7F802938" w14:textId="77777777" w:rsidTr="00597AA8">
        <w:trPr>
          <w:trHeight w:val="847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A2D4AF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705E4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Veracruz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0821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A98F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F68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05E4B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4974F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A8D72F6" w14:textId="77777777" w:rsidR="002B2677" w:rsidRPr="00705E4B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</w:tr>
    </w:tbl>
    <w:p w14:paraId="72BA5216" w14:textId="7F213907" w:rsidR="002B2677" w:rsidRDefault="002B2677" w:rsidP="002B2677">
      <w:pPr>
        <w:jc w:val="both"/>
        <w:rPr>
          <w:rFonts w:cstheme="minorHAnsi"/>
        </w:rPr>
      </w:pPr>
    </w:p>
    <w:p w14:paraId="3895BB4D" w14:textId="633F5941" w:rsidR="00D23BB2" w:rsidRDefault="00D23BB2" w:rsidP="002B2677">
      <w:pPr>
        <w:jc w:val="both"/>
        <w:rPr>
          <w:rFonts w:cstheme="minorHAnsi"/>
        </w:rPr>
      </w:pPr>
    </w:p>
    <w:p w14:paraId="104FFC1E" w14:textId="77777777" w:rsidR="00D23BB2" w:rsidRDefault="00D23BB2" w:rsidP="002B2677">
      <w:pPr>
        <w:jc w:val="both"/>
        <w:rPr>
          <w:rFonts w:cstheme="minorHAnsi"/>
        </w:rPr>
      </w:pP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247"/>
        <w:gridCol w:w="2693"/>
        <w:gridCol w:w="1984"/>
        <w:gridCol w:w="2410"/>
      </w:tblGrid>
      <w:tr w:rsidR="002B2677" w:rsidRPr="00B80637" w14:paraId="2312F301" w14:textId="77777777" w:rsidTr="00597AA8">
        <w:trPr>
          <w:trHeight w:val="18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0EC02DC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Criminal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36AF47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allowing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child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who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was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and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report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after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reaching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adulthood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  YES/NO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1EF0C4A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mandatory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requirements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proof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rape,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such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medical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evidence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need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witnesses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 YES/NO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yes,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specify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B73006" w14:textId="77777777" w:rsidR="002B2677" w:rsidRPr="00E7191E" w:rsidRDefault="002B2677" w:rsidP="00597AA8">
            <w:pPr>
              <w:spacing w:after="24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shield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aimed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preventing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judges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and defense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lawyers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from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exposing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woman’s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sexual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history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during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trial?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YES/NO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0BA386A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procedural criminal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law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aimed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avoid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re-victimizations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during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court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hearings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YES/NO.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yes,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specify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B2677" w:rsidRPr="00B80637" w14:paraId="24635048" w14:textId="77777777" w:rsidTr="00D23BB2">
        <w:trPr>
          <w:trHeight w:val="1143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01458E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Federal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2A69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YES ART. 107 bis Criminal </w:t>
            </w:r>
            <w:proofErr w:type="spellStart"/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Code</w:t>
            </w:r>
            <w:proofErr w:type="spellEnd"/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BF1C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5B27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DA08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</w:tr>
      <w:tr w:rsidR="002B2677" w:rsidRPr="00B80637" w14:paraId="73184005" w14:textId="77777777" w:rsidTr="006C7250">
        <w:trPr>
          <w:trHeight w:val="75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0B98E0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7E21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66AB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8E2D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4F4E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</w:tr>
      <w:tr w:rsidR="002B2677" w:rsidRPr="00B80637" w14:paraId="60E7EB4A" w14:textId="77777777" w:rsidTr="006C7250">
        <w:trPr>
          <w:trHeight w:val="961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5CF41C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860C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7D30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539C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51D9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</w:tr>
      <w:tr w:rsidR="002B2677" w:rsidRPr="00B80637" w14:paraId="04E8B022" w14:textId="77777777" w:rsidTr="006C7250">
        <w:trPr>
          <w:trHeight w:val="1259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3A60A8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E0A7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 xml:space="preserve">YES </w:t>
            </w:r>
            <w:proofErr w:type="gramStart"/>
            <w:r w:rsidRPr="00B80637">
              <w:rPr>
                <w:rFonts w:ascii="Verdana" w:eastAsia="Times New Roman" w:hAnsi="Verdana"/>
                <w:sz w:val="20"/>
                <w:szCs w:val="20"/>
              </w:rPr>
              <w:t>( Art.</w:t>
            </w:r>
            <w:proofErr w:type="gramEnd"/>
            <w:r w:rsidRPr="00B80637">
              <w:rPr>
                <w:rFonts w:ascii="Verdana" w:eastAsia="Times New Roman" w:hAnsi="Verdana"/>
                <w:sz w:val="20"/>
                <w:szCs w:val="20"/>
              </w:rPr>
              <w:t xml:space="preserve"> 105)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356C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42DB" w14:textId="77777777" w:rsidR="002B267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 xml:space="preserve">YES </w:t>
            </w:r>
            <w:proofErr w:type="gramStart"/>
            <w:r w:rsidRPr="00B80637">
              <w:rPr>
                <w:rFonts w:ascii="Verdana" w:eastAsia="Times New Roman" w:hAnsi="Verdana"/>
                <w:sz w:val="20"/>
                <w:szCs w:val="20"/>
              </w:rPr>
              <w:t>( Código</w:t>
            </w:r>
            <w:proofErr w:type="gramEnd"/>
            <w:r w:rsidRPr="00B80637">
              <w:rPr>
                <w:rFonts w:ascii="Verdana" w:eastAsia="Times New Roman" w:hAnsi="Verdana"/>
                <w:sz w:val="20"/>
                <w:szCs w:val="20"/>
              </w:rPr>
              <w:t xml:space="preserve"> Nacional de Procedimientos Penales, art. 15, Código de Procedimientos Penales art.9)</w:t>
            </w:r>
          </w:p>
          <w:p w14:paraId="5C73200A" w14:textId="2E7A14EB" w:rsidR="006C7250" w:rsidRPr="00B80637" w:rsidRDefault="006C7250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F520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</w:tr>
      <w:tr w:rsidR="002B2677" w:rsidRPr="00E7191E" w14:paraId="09AC6E33" w14:textId="77777777" w:rsidTr="00597AA8">
        <w:trPr>
          <w:trHeight w:val="1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B9C438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Criminal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A97735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allowing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child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who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was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victim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and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report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after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reaching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adulthood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  YES/NO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4EDE3C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mandatory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requirements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proof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rape,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such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medical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evidence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need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witnesses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 YES/NO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yes,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specify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B05D31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rape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shield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aimed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preventing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judges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and defense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lawyers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from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exposing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woman’s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sexual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history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during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trial?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FFE2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there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procedural criminal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law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provisions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aimed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avoid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re-victimizations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during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prosecution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court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hearings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YES/NO.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yes,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please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specify</w:t>
            </w:r>
            <w:proofErr w:type="spellEnd"/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B2677" w:rsidRPr="00B80637" w14:paraId="70DC0B5D" w14:textId="77777777" w:rsidTr="00D23BB2">
        <w:trPr>
          <w:trHeight w:val="1982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0C5FFD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2EFF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CE6B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BA5B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YES (art 150. </w:t>
            </w:r>
            <w:proofErr w:type="spellStart"/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fraction</w:t>
            </w:r>
            <w:proofErr w:type="spellEnd"/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X Código de procedimientos penales)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2CF2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</w:tr>
      <w:tr w:rsidR="002B2677" w:rsidRPr="00B80637" w14:paraId="7134ED2C" w14:textId="77777777" w:rsidTr="00D23BB2">
        <w:trPr>
          <w:trHeight w:val="169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ACEB9E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D78D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1D2E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4932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FB0D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</w:tr>
      <w:tr w:rsidR="002B2677" w:rsidRPr="00B80637" w14:paraId="75E62A63" w14:textId="77777777" w:rsidTr="00597AA8">
        <w:trPr>
          <w:trHeight w:val="195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7BADD1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F615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3E3A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B7EC31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0BAF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NO</w:t>
            </w:r>
          </w:p>
        </w:tc>
      </w:tr>
      <w:tr w:rsidR="002B2677" w:rsidRPr="00B80637" w14:paraId="0E84D4C4" w14:textId="77777777" w:rsidTr="00D23BB2">
        <w:trPr>
          <w:trHeight w:val="201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9F514CC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A143" w14:textId="77777777" w:rsidR="002B2677" w:rsidRPr="00B80637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0637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684D" w14:textId="77777777" w:rsidR="002B2677" w:rsidRPr="00B80637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0637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071A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1B9A" w14:textId="77777777" w:rsidR="002B2677" w:rsidRPr="00B80637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0637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2B2677" w:rsidRPr="00B80637" w14:paraId="52F03C35" w14:textId="77777777" w:rsidTr="00D23BB2">
        <w:trPr>
          <w:trHeight w:val="1834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E31362" w14:textId="77777777" w:rsidR="002B2677" w:rsidRPr="00E7191E" w:rsidRDefault="002B2677" w:rsidP="00597AA8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E7191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Veracruz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6892" w14:textId="77777777" w:rsidR="002B2677" w:rsidRPr="00B80637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0637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9E4D" w14:textId="77777777" w:rsidR="002B2677" w:rsidRPr="00B80637" w:rsidRDefault="002B2677" w:rsidP="00597A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0637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D415" w14:textId="77777777" w:rsidR="002B2677" w:rsidRPr="00B80637" w:rsidRDefault="002B2677" w:rsidP="00597AA8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80637">
              <w:rPr>
                <w:rFonts w:ascii="Verdana" w:eastAsia="Times New Roman" w:hAnsi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D085" w14:textId="77777777" w:rsidR="002B2677" w:rsidRPr="00B80637" w:rsidRDefault="002B2677" w:rsidP="00597A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0637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65429871" w14:textId="0CF1FCA1" w:rsidR="002B2677" w:rsidRDefault="002B2677" w:rsidP="002B2677">
      <w:pPr>
        <w:jc w:val="both"/>
        <w:rPr>
          <w:rFonts w:cstheme="minorHAnsi"/>
        </w:rPr>
      </w:pPr>
    </w:p>
    <w:p w14:paraId="3A7560F0" w14:textId="4414B6B9" w:rsidR="00D23BB2" w:rsidRDefault="00D23BB2" w:rsidP="002B2677">
      <w:pPr>
        <w:jc w:val="both"/>
        <w:rPr>
          <w:rFonts w:cstheme="minorHAnsi"/>
        </w:rPr>
      </w:pPr>
    </w:p>
    <w:p w14:paraId="69B2A162" w14:textId="04E62610" w:rsidR="00D23BB2" w:rsidRDefault="00D23BB2" w:rsidP="002B2677">
      <w:pPr>
        <w:jc w:val="both"/>
        <w:rPr>
          <w:rFonts w:cstheme="minorHAnsi"/>
        </w:rPr>
      </w:pPr>
    </w:p>
    <w:p w14:paraId="0C4EF827" w14:textId="4C929675" w:rsidR="00D23BB2" w:rsidRDefault="00D23BB2" w:rsidP="002B2677">
      <w:pPr>
        <w:jc w:val="both"/>
        <w:rPr>
          <w:rFonts w:cstheme="minorHAnsi"/>
        </w:rPr>
      </w:pPr>
    </w:p>
    <w:p w14:paraId="2EA2D960" w14:textId="387A0DAB" w:rsidR="00D23BB2" w:rsidRDefault="00D23BB2" w:rsidP="002B2677">
      <w:pPr>
        <w:jc w:val="both"/>
        <w:rPr>
          <w:rFonts w:cstheme="minorHAnsi"/>
        </w:rPr>
      </w:pPr>
    </w:p>
    <w:p w14:paraId="3D6B3223" w14:textId="546F3A76" w:rsidR="00D23BB2" w:rsidRDefault="00D23BB2" w:rsidP="002B2677">
      <w:pPr>
        <w:jc w:val="both"/>
        <w:rPr>
          <w:rFonts w:cstheme="minorHAnsi"/>
        </w:rPr>
      </w:pPr>
    </w:p>
    <w:p w14:paraId="4A22A13A" w14:textId="2D8FF82D" w:rsidR="00D23BB2" w:rsidRDefault="00D23BB2" w:rsidP="002B2677">
      <w:pPr>
        <w:jc w:val="both"/>
        <w:rPr>
          <w:rFonts w:cstheme="minorHAnsi"/>
        </w:rPr>
      </w:pPr>
    </w:p>
    <w:p w14:paraId="0FA4B494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b/>
          <w:sz w:val="24"/>
          <w:szCs w:val="24"/>
        </w:rPr>
      </w:pPr>
      <w:r w:rsidRPr="002B2677">
        <w:rPr>
          <w:rFonts w:asciiTheme="majorHAnsi" w:eastAsia="Verdana" w:hAnsiTheme="majorHAnsi" w:cstheme="majorHAnsi"/>
          <w:b/>
          <w:sz w:val="24"/>
          <w:szCs w:val="24"/>
        </w:rPr>
        <w:lastRenderedPageBreak/>
        <w:t xml:space="preserve">7.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What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does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legislation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your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country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provide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terms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rape and/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after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conviction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perpetrator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>?</w:t>
      </w:r>
    </w:p>
    <w:p w14:paraId="3CB03894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Political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Constitution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United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Mexico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foresees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obtain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redress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)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color w:val="242424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color w:val="242424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color w:val="242424"/>
          <w:sz w:val="24"/>
          <w:szCs w:val="24"/>
        </w:rPr>
        <w:t>pro</w:t>
      </w:r>
      <w:r w:rsidRPr="002B2677">
        <w:rPr>
          <w:rFonts w:asciiTheme="majorHAnsi" w:eastAsia="Verdana" w:hAnsiTheme="majorHAnsi" w:cstheme="majorHAnsi"/>
          <w:color w:val="181818"/>
          <w:sz w:val="24"/>
          <w:szCs w:val="24"/>
        </w:rPr>
        <w:t>sec</w:t>
      </w:r>
      <w:r w:rsidRPr="002B2677">
        <w:rPr>
          <w:rFonts w:asciiTheme="majorHAnsi" w:eastAsia="Verdana" w:hAnsiTheme="majorHAnsi" w:cstheme="majorHAnsi"/>
          <w:color w:val="0C0C0C"/>
          <w:sz w:val="24"/>
          <w:szCs w:val="24"/>
        </w:rPr>
        <w:t>uti</w:t>
      </w:r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process</w:t>
      </w:r>
      <w:proofErr w:type="spellEnd"/>
      <w:r w:rsidRPr="002B2677">
        <w:rPr>
          <w:rFonts w:asciiTheme="majorHAnsi" w:eastAsia="Verdana" w:hAnsiTheme="majorHAnsi" w:cstheme="majorHAnsi"/>
          <w:color w:val="3C3C3C"/>
          <w:sz w:val="24"/>
          <w:szCs w:val="24"/>
        </w:rPr>
        <w:t>.</w:t>
      </w:r>
      <w:r w:rsidRPr="002B2677">
        <w:rPr>
          <w:rFonts w:asciiTheme="majorHAnsi" w:eastAsia="Verdana" w:hAnsiTheme="majorHAnsi" w:cstheme="majorHAnsi"/>
          <w:color w:val="3C3C3C"/>
          <w:sz w:val="24"/>
          <w:szCs w:val="24"/>
          <w:highlight w:val="white"/>
        </w:rPr>
        <w:t xml:space="preserve"> </w:t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20,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paragraph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fraction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IV). </w:t>
      </w:r>
    </w:p>
    <w:p w14:paraId="4F77630D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Moreover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known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“rape”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Mexico’s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legislative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framework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established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both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Federal and local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table 1). 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terms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regulatory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framework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expanded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legal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provisions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inserted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special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laws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rights-based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approach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Accordingly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punished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imprisonment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also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321FC908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Federal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provides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minimum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terms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every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0870138C" w14:textId="77777777" w:rsidR="00D23BB2" w:rsidRPr="002B2677" w:rsidRDefault="00D23BB2" w:rsidP="00D23BB2">
      <w:pPr>
        <w:spacing w:before="240" w:after="240"/>
        <w:ind w:firstLine="72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>“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30.-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must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adequate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effective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prompt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appropriate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effective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proportional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affection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suffered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embrace at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very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least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: </w:t>
      </w:r>
    </w:p>
    <w:p w14:paraId="4EAA9AF4" w14:textId="77777777" w:rsidR="00D23BB2" w:rsidRPr="002B2677" w:rsidRDefault="00D23BB2" w:rsidP="00D23BB2">
      <w:pPr>
        <w:numPr>
          <w:ilvl w:val="0"/>
          <w:numId w:val="1"/>
        </w:numPr>
        <w:spacing w:before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Restitution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things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obtained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consequence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punishable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weren’t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possible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payment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2B2677">
        <w:rPr>
          <w:rFonts w:asciiTheme="majorHAnsi" w:eastAsia="Verdana" w:hAnsiTheme="majorHAnsi" w:cstheme="majorHAnsi"/>
          <w:color w:val="181818"/>
          <w:sz w:val="24"/>
          <w:szCs w:val="24"/>
          <w:highlight w:val="white"/>
        </w:rPr>
        <w:t>at</w:t>
      </w:r>
      <w:r w:rsidRPr="002B2677">
        <w:rPr>
          <w:rFonts w:asciiTheme="majorHAnsi" w:eastAsia="Verdana" w:hAnsiTheme="majorHAnsi" w:cstheme="majorHAnsi"/>
          <w:color w:val="0C0C0C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color w:val="0C0C0C"/>
          <w:sz w:val="24"/>
          <w:szCs w:val="24"/>
          <w:highlight w:val="white"/>
        </w:rPr>
        <w:t>their</w:t>
      </w:r>
      <w:proofErr w:type="spellEnd"/>
      <w:r w:rsidRPr="002B2677">
        <w:rPr>
          <w:rFonts w:asciiTheme="majorHAnsi" w:eastAsia="Verdana" w:hAnsiTheme="majorHAnsi" w:cstheme="majorHAnsi"/>
          <w:color w:val="0C0C0C"/>
          <w:sz w:val="24"/>
          <w:szCs w:val="24"/>
          <w:highlight w:val="white"/>
        </w:rPr>
        <w:t xml:space="preserve"> </w:t>
      </w:r>
      <w:r w:rsidRPr="002B2677">
        <w:rPr>
          <w:rFonts w:asciiTheme="majorHAnsi" w:eastAsia="Verdana" w:hAnsiTheme="majorHAnsi" w:cstheme="majorHAnsi"/>
          <w:color w:val="181818"/>
          <w:sz w:val="24"/>
          <w:szCs w:val="24"/>
          <w:highlight w:val="white"/>
        </w:rPr>
        <w:t xml:space="preserve">net </w:t>
      </w:r>
      <w:proofErr w:type="spellStart"/>
      <w:r w:rsidRPr="002B2677">
        <w:rPr>
          <w:rFonts w:asciiTheme="majorHAnsi" w:eastAsia="Verdana" w:hAnsiTheme="majorHAnsi" w:cstheme="majorHAnsi"/>
          <w:color w:val="181818"/>
          <w:sz w:val="24"/>
          <w:szCs w:val="24"/>
          <w:highlight w:val="white"/>
        </w:rPr>
        <w:t>present</w:t>
      </w:r>
      <w:proofErr w:type="spellEnd"/>
      <w:r w:rsidRPr="002B2677">
        <w:rPr>
          <w:rFonts w:asciiTheme="majorHAnsi" w:eastAsia="Verdana" w:hAnsiTheme="majorHAnsi" w:cstheme="majorHAnsi"/>
          <w:color w:val="181818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values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;</w:t>
      </w:r>
    </w:p>
    <w:p w14:paraId="02076C38" w14:textId="77777777" w:rsidR="00D23BB2" w:rsidRPr="002B2677" w:rsidRDefault="00D23BB2" w:rsidP="00D23BB2">
      <w:pPr>
        <w:numPr>
          <w:ilvl w:val="0"/>
          <w:numId w:val="1"/>
        </w:numPr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Compensation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material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injury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and moral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damage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caused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including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medical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psychological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attention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social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services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rehabilitation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remedial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treatments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required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restore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victim’s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health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as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consequence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crimes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committed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free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development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personality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freedom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and normal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psychosocial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development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family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payment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psychotherapeutic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treatment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needed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likewise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paid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together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compensation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injury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caused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;</w:t>
      </w:r>
    </w:p>
    <w:p w14:paraId="71CF5132" w14:textId="77777777" w:rsidR="00D23BB2" w:rsidRPr="002B2677" w:rsidRDefault="00D23BB2" w:rsidP="00D23BB2">
      <w:pPr>
        <w:numPr>
          <w:ilvl w:val="0"/>
          <w:numId w:val="1"/>
        </w:numPr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Redress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harm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caused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;</w:t>
      </w:r>
    </w:p>
    <w:p w14:paraId="396AD57E" w14:textId="77777777" w:rsidR="00D23BB2" w:rsidRPr="002B2677" w:rsidRDefault="00D23BB2" w:rsidP="00D23BB2">
      <w:pPr>
        <w:numPr>
          <w:ilvl w:val="0"/>
          <w:numId w:val="1"/>
        </w:numPr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Payment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loss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earnings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including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loss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earning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potential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calculate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exact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amount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taken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into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account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salary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at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moment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commitment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and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scenario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that’s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possible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according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current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minimum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wage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;</w:t>
      </w:r>
    </w:p>
    <w:p w14:paraId="528D0396" w14:textId="77777777" w:rsidR="00D23BB2" w:rsidRPr="002B2677" w:rsidRDefault="00D23BB2" w:rsidP="00D23BB2">
      <w:pPr>
        <w:numPr>
          <w:ilvl w:val="0"/>
          <w:numId w:val="1"/>
        </w:numPr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costs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employment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educational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social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benefits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opportunities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missed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circumstances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;</w:t>
      </w:r>
    </w:p>
    <w:p w14:paraId="06CF6FE8" w14:textId="77777777" w:rsidR="00D23BB2" w:rsidRPr="002B2677" w:rsidRDefault="00D23BB2" w:rsidP="00D23BB2">
      <w:pPr>
        <w:numPr>
          <w:ilvl w:val="0"/>
          <w:numId w:val="1"/>
        </w:numPr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declaration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restores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dignity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reputation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through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electronic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written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media.</w:t>
      </w:r>
    </w:p>
    <w:p w14:paraId="5F04C5A9" w14:textId="77777777" w:rsidR="00D23BB2" w:rsidRPr="002B2677" w:rsidRDefault="00D23BB2" w:rsidP="00D23BB2">
      <w:pPr>
        <w:numPr>
          <w:ilvl w:val="0"/>
          <w:numId w:val="1"/>
        </w:numPr>
        <w:spacing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public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apology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acceptance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responsibility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guarantees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non-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repetition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committed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public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servers.</w:t>
      </w:r>
    </w:p>
    <w:p w14:paraId="01A8DAAF" w14:textId="77777777" w:rsidR="00D23BB2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551FCEF1" w14:textId="4270EFB5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lastRenderedPageBreak/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means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rehabilitation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must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as complete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possible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must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allow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participate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fully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public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private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social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life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.”</w:t>
      </w:r>
    </w:p>
    <w:p w14:paraId="4052D8A1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terms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described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set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judges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take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consideration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obtained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throughout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process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concern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31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Criminal Federal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). </w:t>
      </w:r>
    </w:p>
    <w:p w14:paraId="454D739A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covers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emergency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contraception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services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voluntary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interruption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pregnancy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those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cases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abortion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legally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permitted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always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respecting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victim’s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wishes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;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furthermore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periodic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examinations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specialized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treatment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carried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during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time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necessary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until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full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recovery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accordance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diagnosis and medical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treatment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;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follow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-up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possible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contagions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sexually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transmitted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diseases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Immunodeficiency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Virus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considered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priority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treatment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4758AFFD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Services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assistance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attention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carried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trained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personnel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treatment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cross-cutting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perspective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mainstreaming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). 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35)</w:t>
      </w:r>
    </w:p>
    <w:p w14:paraId="30645CF8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regard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Access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Life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Free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Federal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District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enunciates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set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duties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Public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seek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redress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done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duties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are: </w:t>
      </w:r>
    </w:p>
    <w:p w14:paraId="154F6AB1" w14:textId="77777777" w:rsidR="00D23BB2" w:rsidRPr="002B2677" w:rsidRDefault="00D23BB2" w:rsidP="00D23BB2">
      <w:pPr>
        <w:numPr>
          <w:ilvl w:val="0"/>
          <w:numId w:val="2"/>
        </w:numPr>
        <w:spacing w:before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inform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offended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including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beneficiaries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obtain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redress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material and moral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result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illicit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procedure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extent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22BCBE8D" w14:textId="77777777" w:rsidR="00D23BB2" w:rsidRPr="002B2677" w:rsidRDefault="00D23BB2" w:rsidP="00D23BB2">
      <w:pPr>
        <w:numPr>
          <w:ilvl w:val="0"/>
          <w:numId w:val="2"/>
        </w:numPr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request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judge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orders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precautionary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seizure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assets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probable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perpetrator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well-founded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fear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person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obliged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hides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transfers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assets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make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effective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3DE6EE2E" w14:textId="77777777" w:rsidR="00D23BB2" w:rsidRPr="002B2677" w:rsidRDefault="00D23BB2" w:rsidP="00D23BB2">
      <w:pPr>
        <w:numPr>
          <w:ilvl w:val="0"/>
          <w:numId w:val="2"/>
        </w:numPr>
        <w:spacing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inform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about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Federal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District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facts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constitute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also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reveal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guide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considering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option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filing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complaint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Public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Servants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Prosecutor's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Office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internal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comptroller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corresponding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agency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5F4C3513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equivalent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color w:val="181818"/>
          <w:sz w:val="24"/>
          <w:szCs w:val="24"/>
        </w:rPr>
        <w:t>t</w:t>
      </w:r>
      <w:r w:rsidRPr="002B2677">
        <w:rPr>
          <w:rFonts w:asciiTheme="majorHAnsi" w:eastAsia="Verdana" w:hAnsiTheme="majorHAnsi" w:cstheme="majorHAnsi"/>
          <w:color w:val="0C0C0C"/>
          <w:sz w:val="24"/>
          <w:szCs w:val="24"/>
        </w:rPr>
        <w:t>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Children's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color w:val="0C0C0C"/>
          <w:sz w:val="24"/>
          <w:szCs w:val="24"/>
        </w:rPr>
        <w:t>Pro</w:t>
      </w:r>
      <w:r w:rsidRPr="002B2677">
        <w:rPr>
          <w:rFonts w:asciiTheme="majorHAnsi" w:eastAsia="Verdana" w:hAnsiTheme="majorHAnsi" w:cstheme="majorHAnsi"/>
          <w:color w:val="181818"/>
          <w:sz w:val="24"/>
          <w:szCs w:val="24"/>
        </w:rPr>
        <w:t>tection</w:t>
      </w:r>
      <w:proofErr w:type="spellEnd"/>
      <w:r w:rsidRPr="002B2677">
        <w:rPr>
          <w:rFonts w:asciiTheme="majorHAnsi" w:eastAsia="Verdana" w:hAnsiTheme="majorHAnsi" w:cstheme="majorHAnsi"/>
          <w:color w:val="181818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color w:val="181818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Mexico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City devotes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whole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Title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Protection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Integral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Restitution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boys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girls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adolescents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terms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conditions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reparation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apply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fulfill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local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policy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children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adolescents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Specifically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adoption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special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protection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measures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boys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girls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adolescents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gramStart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in </w:t>
      </w:r>
      <w:r w:rsidRPr="002B2677">
        <w:rPr>
          <w:rFonts w:asciiTheme="majorHAnsi" w:eastAsia="Verdana" w:hAnsiTheme="majorHAnsi" w:cstheme="majorHAnsi"/>
          <w:sz w:val="24"/>
          <w:szCs w:val="24"/>
          <w:lang w:val="en-US"/>
        </w:rPr>
        <w:t>vulnerable</w:t>
      </w:r>
      <w:proofErr w:type="gram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situations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specific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circumstances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socioeconomic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psychological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physical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disability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cultural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identity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ethnic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national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origin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migration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lastRenderedPageBreak/>
        <w:t>situation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related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aspects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preference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religious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beliefs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cultural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practices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constrain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restrict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Title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Four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99,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paragraph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IV).</w:t>
      </w:r>
    </w:p>
    <w:p w14:paraId="099CF5FE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b/>
          <w:sz w:val="24"/>
          <w:szCs w:val="24"/>
        </w:rPr>
      </w:pPr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16.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Please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provide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information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statute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limitations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prosecuting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rape.</w:t>
      </w:r>
    </w:p>
    <w:p w14:paraId="6595CDD0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Federal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sets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statute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limitations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every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following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matter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: </w:t>
      </w:r>
    </w:p>
    <w:p w14:paraId="3F059BC6" w14:textId="77777777" w:rsidR="00D23BB2" w:rsidRPr="002B2677" w:rsidRDefault="00D23BB2" w:rsidP="00D23BB2">
      <w:pPr>
        <w:spacing w:before="200" w:after="200"/>
        <w:ind w:firstLine="72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>“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105.-The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shall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barred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period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equal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arithmetical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average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term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imprisonment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prescribed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offense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question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no case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three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years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5535D465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106.-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prescribe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two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years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merits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dismissal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suspension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deprivation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disqualification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except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provided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regulations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0D21FBE3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107.-If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does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provide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otherwise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proceedings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arising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ex parte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some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equivalent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shall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time-barred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year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counted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those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can file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complaint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equivalent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knowledge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three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years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outside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circumstance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once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procedural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requirement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above-mentioned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time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limit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statute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limitations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continue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run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rules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offenses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ex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officio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6BC8FB18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Article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107 </w:t>
      </w:r>
      <w:proofErr w:type="gramStart"/>
      <w:r w:rsidRPr="002B2677">
        <w:rPr>
          <w:rFonts w:asciiTheme="majorHAnsi" w:eastAsia="Verdana" w:hAnsiTheme="majorHAnsi" w:cstheme="majorHAnsi"/>
          <w:sz w:val="24"/>
          <w:szCs w:val="24"/>
        </w:rPr>
        <w:t>Bis.-</w:t>
      </w:r>
      <w:proofErr w:type="gram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statute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limitations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provided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Title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Eight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Book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Two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committed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minor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shall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begin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run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time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reaches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majority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persons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do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capacity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understand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meaning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persons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do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capacity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resist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run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moment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those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before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Public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Prosecutor's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Office.”</w:t>
      </w:r>
    </w:p>
    <w:p w14:paraId="1855BA70" w14:textId="3B618F1A" w:rsidR="00D23BB2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arithmetical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average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between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8 and 20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14.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meaning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statute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limitations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Mexico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14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years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28BBB402" w14:textId="43F58938" w:rsidR="007B3C0F" w:rsidRDefault="007B3C0F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3D9DF0AD" w14:textId="6F26F3B0" w:rsidR="007B3C0F" w:rsidRDefault="007B3C0F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445F94C8" w14:textId="21DBA196" w:rsidR="007B3C0F" w:rsidRDefault="007B3C0F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01D2C4AC" w14:textId="0DCFB169" w:rsidR="007B3C0F" w:rsidRDefault="007B3C0F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73D5C217" w14:textId="77777777" w:rsidR="007B3C0F" w:rsidRPr="002B2677" w:rsidRDefault="007B3C0F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2BDE11C3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b/>
          <w:sz w:val="24"/>
          <w:szCs w:val="24"/>
        </w:rPr>
      </w:pPr>
      <w:r w:rsidRPr="002B2677">
        <w:rPr>
          <w:rFonts w:asciiTheme="majorHAnsi" w:eastAsia="Verdana" w:hAnsiTheme="majorHAnsi" w:cstheme="majorHAnsi"/>
          <w:b/>
          <w:sz w:val="24"/>
          <w:szCs w:val="24"/>
        </w:rPr>
        <w:lastRenderedPageBreak/>
        <w:t xml:space="preserve">25.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Please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provide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data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number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cases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reported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prosecuted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sanctioned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past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two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five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years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015C2CBA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accordance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information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provided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Mexico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City’s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government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between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years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2015 and (April) 2020, 4,095 cases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reported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)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denounced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2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4,746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initiated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today’s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Attorney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General's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Office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City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Mexico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3"/>
      </w:r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482C889A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data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mentioned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above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breaks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down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follows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:</w:t>
      </w:r>
    </w:p>
    <w:p w14:paraId="6F815C27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noProof/>
          <w:sz w:val="24"/>
          <w:szCs w:val="24"/>
        </w:rPr>
        <w:drawing>
          <wp:inline distT="114300" distB="114300" distL="114300" distR="114300" wp14:anchorId="16EC08BB" wp14:editId="78179AAA">
            <wp:extent cx="5854136" cy="3595688"/>
            <wp:effectExtent l="0" t="0" r="0" b="0"/>
            <wp:docPr id="1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/>
                    <a:srcRect l="7973" t="4166" b="4166"/>
                    <a:stretch>
                      <a:fillRect/>
                    </a:stretch>
                  </pic:blipFill>
                  <pic:spPr>
                    <a:xfrm>
                      <a:off x="0" y="0"/>
                      <a:ext cx="5854136" cy="3595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B93229" w14:textId="77777777" w:rsidR="00D23BB2" w:rsidRPr="002B2677" w:rsidRDefault="00D23BB2" w:rsidP="00D23BB2">
      <w:pPr>
        <w:spacing w:before="240" w:after="240"/>
        <w:jc w:val="both"/>
        <w:rPr>
          <w:rFonts w:asciiTheme="majorHAnsi" w:eastAsia="Verdana" w:hAnsiTheme="majorHAnsi" w:cstheme="majorHAnsi"/>
          <w:sz w:val="24"/>
          <w:szCs w:val="24"/>
        </w:rPr>
      </w:pPr>
      <w:bookmarkStart w:id="1" w:name="_Hlk40711030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conformity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statistical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information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charge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Judiciary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year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2017,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25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reports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presented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judge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4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whereas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2018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6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reports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submitted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5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November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2019,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2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formally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presented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before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judge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6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Finally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official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information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related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indicates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between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2018 and 2019,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35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people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convicted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Mexico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City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7"/>
      </w:r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bookmarkEnd w:id="1"/>
    <w:p w14:paraId="6BC6419B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b/>
          <w:sz w:val="24"/>
          <w:szCs w:val="24"/>
        </w:rPr>
      </w:pPr>
      <w:r w:rsidRPr="002B2677">
        <w:rPr>
          <w:rFonts w:asciiTheme="majorHAnsi" w:eastAsia="Verdana" w:hAnsiTheme="majorHAnsi" w:cstheme="majorHAnsi"/>
          <w:b/>
          <w:sz w:val="24"/>
          <w:szCs w:val="24"/>
        </w:rPr>
        <w:lastRenderedPageBreak/>
        <w:t xml:space="preserve">26.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Please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explain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any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particular and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additional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barriers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reporting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prosecution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rape and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accountability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perpetrators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your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legal and social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context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covered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b/>
          <w:sz w:val="24"/>
          <w:szCs w:val="24"/>
        </w:rPr>
        <w:t>above</w:t>
      </w:r>
      <w:proofErr w:type="spellEnd"/>
      <w:r w:rsidRPr="002B2677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2FCFDB09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Some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barriers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located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precede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formulation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accusation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hands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Office.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lack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mainstreaming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perspective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)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5412A855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  <w:vertAlign w:val="superscript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note,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Supreme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Court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Justice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(SCJN) 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close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relationship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between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discrimination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subordination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recognizing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directed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mere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so,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affects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disproportionately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includes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inflict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suffering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physical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mental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nature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threats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coercion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deprivation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liberty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8"/>
      </w:r>
    </w:p>
    <w:p w14:paraId="6AD0AA54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relationship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between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discrimination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both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manifestations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historically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unequal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power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relations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between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prevent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severely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nullify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enjoyment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comparison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9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62235678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Gender-based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built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upon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"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socially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constructed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roles,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behaviours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activities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attributes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particular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society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considers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proper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.”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0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derives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distinction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exclusion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restriction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objective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rational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proportional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purpose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restrict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jeopardize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enjoyment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exercise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freedoms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1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14:paraId="00B92079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broader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point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view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obligation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eradicate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institutional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means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representatives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charge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in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situation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power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reinforced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obligation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eliminate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conditions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consider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situations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specific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context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seek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avoid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proliferation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exercised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itself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;</w:t>
      </w:r>
    </w:p>
    <w:p w14:paraId="591F847E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subject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Inter-American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Court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established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:</w:t>
      </w:r>
    </w:p>
    <w:p w14:paraId="292ABB01" w14:textId="77777777" w:rsidR="00D23BB2" w:rsidRPr="002B2677" w:rsidRDefault="00D23BB2" w:rsidP="00D23BB2">
      <w:pPr>
        <w:spacing w:after="160"/>
        <w:ind w:left="560" w:right="56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>“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influence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discriminatory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gramStart"/>
      <w:r w:rsidRPr="002B2677">
        <w:rPr>
          <w:rFonts w:asciiTheme="majorHAnsi" w:eastAsia="Verdana" w:hAnsiTheme="majorHAnsi" w:cstheme="majorHAnsi"/>
          <w:sz w:val="24"/>
          <w:szCs w:val="24"/>
        </w:rPr>
        <w:t>socio-cultural</w:t>
      </w:r>
      <w:proofErr w:type="gram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patterns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result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disqualification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credibility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during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process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cases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implicit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assumption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responsibility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[…],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translates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inaction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prosecutors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police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judges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response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reports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influence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also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negatively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affect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lastRenderedPageBreak/>
        <w:t>investigation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cases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assessment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subsequent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marked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stereotypical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how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should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interpersonal </w:t>
      </w:r>
      <w:proofErr w:type="spellStart"/>
      <w:proofErr w:type="gramStart"/>
      <w:r w:rsidRPr="002B2677">
        <w:rPr>
          <w:rFonts w:asciiTheme="majorHAnsi" w:eastAsia="Verdana" w:hAnsiTheme="majorHAnsi" w:cstheme="majorHAnsi"/>
          <w:sz w:val="24"/>
          <w:szCs w:val="24"/>
        </w:rPr>
        <w:t>relationships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.[</w:t>
      </w:r>
      <w:proofErr w:type="gram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…]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regard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generally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necessary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insist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need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disqualify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practice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devaluing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basis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negative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stereotype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suitable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blaming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neutralize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devaluation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possible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perpetrators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[…]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Court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recognizes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personal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prejudices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stereotypes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affect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objectivity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officials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responsible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complaints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submitted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influencing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perception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occurred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assessment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credibility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witnesses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Stereotypes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"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distort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perceptions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lead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decisions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preconceived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beliefs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myths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rather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facts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",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turn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can lead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denial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justice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including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revictimization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complainants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stereotypes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become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guidelines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life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free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affected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furthermore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cases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stereotypes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legal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operators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block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development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proofErr w:type="gramStart"/>
      <w:r w:rsidRPr="002B2677">
        <w:rPr>
          <w:rFonts w:asciiTheme="majorHAnsi" w:eastAsia="Verdana" w:hAnsiTheme="majorHAnsi" w:cstheme="majorHAnsi"/>
          <w:sz w:val="24"/>
          <w:szCs w:val="24"/>
        </w:rPr>
        <w:t>denying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proofErr w:type="gram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justice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each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At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same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time,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doesn’t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promote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concrete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eradicate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prejudices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prior </w:t>
      </w:r>
      <w:proofErr w:type="spellStart"/>
      <w:proofErr w:type="gramStart"/>
      <w:r w:rsidRPr="002B2677">
        <w:rPr>
          <w:rFonts w:asciiTheme="majorHAnsi" w:eastAsia="Verdana" w:hAnsiTheme="majorHAnsi" w:cstheme="majorHAnsi"/>
          <w:sz w:val="24"/>
          <w:szCs w:val="24"/>
        </w:rPr>
        <w:t>mentioned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proofErr w:type="gram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reinforces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institutionalizes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same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causes and reproduces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.”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2"/>
      </w:r>
    </w:p>
    <w:p w14:paraId="6754E383" w14:textId="77777777" w:rsidR="00D23BB2" w:rsidRPr="002B2677" w:rsidRDefault="00D23BB2" w:rsidP="00D23BB2">
      <w:pPr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Following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criteria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established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SCJN: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practices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authority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apparently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neutral,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, “[…]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virtue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content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application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disproportionate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historically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disadvantaged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individuals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groups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objective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reasonable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justification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”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involves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causing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unreasonable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unfair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unjustifiable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difference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treatment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situation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people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occupy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social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structure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According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Court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imperative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introduction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contextual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structural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factors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including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relationships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subordination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social and cultural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practices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assign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different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value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certain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activities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carried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historically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disadvantaged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groups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socio-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economic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conditions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.”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3"/>
      </w:r>
    </w:p>
    <w:p w14:paraId="3EA903BD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burden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falls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most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time.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because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dynamics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plea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vs.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once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judicial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headquarters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plays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prejudice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vast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majority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crimes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Although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enough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sentence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alleged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perpetrator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can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also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complication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charge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Office.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logic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a position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every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backed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up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“material”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judges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assess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750139C1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lastRenderedPageBreak/>
        <w:t>Another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massive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barrier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exists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properly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report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prosecute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impunity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regard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must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note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93.4%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experienced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physical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and/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community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file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complaint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report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authority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mainly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because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was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minor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(49.5%);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know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how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report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(15.2%);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ashamed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(8.9%);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afraid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consequences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threats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(7.3%),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because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would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made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believe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was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their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fault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4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insists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impunity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must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studied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systematic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barrier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because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consequence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ongoing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flawed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fixed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things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meaning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impunity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feeds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back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conducts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socially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accepted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</w:p>
    <w:p w14:paraId="4B11A7FC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before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social and cultural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aspects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play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huge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role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normalization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includes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as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towards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Patriarchal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structures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androcentric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values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stereotypes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discriminatory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laws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uplift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gender-based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situation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accepted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tolerated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enforcement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officials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5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These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situations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certain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characteristics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as;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"a culture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discrimination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”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6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"has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roots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concepts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concerning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inferiority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subordination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"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7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;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"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isolated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sporadic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episodic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cases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structural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situation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a social and cultural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phenomenon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rooted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customs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mentalities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.”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8"/>
      </w:r>
    </w:p>
    <w:p w14:paraId="7F664696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specific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matter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result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structural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reproduction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socio-cultural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patterns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justifies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domination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“[...]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endangers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degrades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damages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freedom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security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integrity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psychosexual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development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through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lewd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looks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words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harassment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, non-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voluntary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practices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stalking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rape,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commercial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exploitation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trafficking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persons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exploitation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denigrating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use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image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among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many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”;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19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expression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abuse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power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through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control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messages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denigrate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objectify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20"/>
      </w:r>
    </w:p>
    <w:p w14:paraId="11AED2BE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  <w:vertAlign w:val="superscript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historically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note,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most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paradigmatic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manifestations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sexual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exposed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causes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physical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psychological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humiliation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often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"[...] 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symbolic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mean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humiliating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denigrating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opposing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party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.” 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21"/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t xml:space="preserve"> </w:t>
      </w:r>
    </w:p>
    <w:p w14:paraId="7AD78C60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  <w:vertAlign w:val="superscript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lastRenderedPageBreak/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prior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occasion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women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are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gender-based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suffer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revictimization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caused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mediatic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purposes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.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translates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poorly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managed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ends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up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not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help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present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 file a formal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accusation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following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investigations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22"/>
      </w:r>
    </w:p>
    <w:p w14:paraId="3A313869" w14:textId="77777777" w:rsidR="00D23BB2" w:rsidRPr="002B2677" w:rsidRDefault="00D23BB2" w:rsidP="00D23BB2">
      <w:pPr>
        <w:spacing w:after="160" w:line="259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Therefore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above-mentioned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reasons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Commission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considers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fundamental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to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take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up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again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been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established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Inter-American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Court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Human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Rights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and, in general,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jurisprudence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prevails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in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both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international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comparative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criminal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law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based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which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established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that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rape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updated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from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penetration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no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matter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how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insignificant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via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vagina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anus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without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through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use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other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parts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aggressor's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body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objects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as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well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as oral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penetration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with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virile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member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.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23"/>
      </w:r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And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established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criteria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>, "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given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nature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this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form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violence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no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graphic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or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documentary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can be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expected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and,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therefore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,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victim's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statement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constitutes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fundamental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evidence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of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</w:t>
      </w:r>
      <w:proofErr w:type="spellStart"/>
      <w:r w:rsidRPr="002B2677">
        <w:rPr>
          <w:rFonts w:asciiTheme="majorHAnsi" w:eastAsia="Verdana" w:hAnsiTheme="majorHAnsi" w:cstheme="majorHAnsi"/>
          <w:sz w:val="24"/>
          <w:szCs w:val="24"/>
        </w:rPr>
        <w:t>the</w:t>
      </w:r>
      <w:proofErr w:type="spellEnd"/>
      <w:r w:rsidRPr="002B2677">
        <w:rPr>
          <w:rFonts w:asciiTheme="majorHAnsi" w:eastAsia="Verdana" w:hAnsiTheme="majorHAnsi" w:cstheme="majorHAnsi"/>
          <w:sz w:val="24"/>
          <w:szCs w:val="24"/>
        </w:rPr>
        <w:t xml:space="preserve"> fact.” </w:t>
      </w:r>
      <w:r w:rsidRPr="002B2677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24"/>
      </w:r>
    </w:p>
    <w:p w14:paraId="0D4DDF9A" w14:textId="77777777" w:rsidR="00D23BB2" w:rsidRPr="002B2677" w:rsidRDefault="00D23BB2" w:rsidP="00D23BB2">
      <w:pPr>
        <w:spacing w:before="200" w:after="200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7F87C70C" w14:textId="77777777" w:rsidR="00D23BB2" w:rsidRPr="004E1548" w:rsidRDefault="00D23BB2" w:rsidP="00D23BB2">
      <w:pPr>
        <w:tabs>
          <w:tab w:val="left" w:pos="1128"/>
        </w:tabs>
      </w:pPr>
    </w:p>
    <w:p w14:paraId="0730A27B" w14:textId="77777777" w:rsidR="00D23BB2" w:rsidRDefault="00D23BB2" w:rsidP="002B2677">
      <w:pPr>
        <w:jc w:val="both"/>
        <w:rPr>
          <w:rFonts w:cstheme="minorHAnsi"/>
        </w:rPr>
      </w:pPr>
    </w:p>
    <w:bookmarkEnd w:id="0"/>
    <w:p w14:paraId="09BDC226" w14:textId="77777777" w:rsidR="002B2677" w:rsidRPr="002B2677" w:rsidRDefault="002B2677" w:rsidP="002B2677">
      <w:pPr>
        <w:spacing w:before="240" w:after="240"/>
        <w:jc w:val="both"/>
        <w:rPr>
          <w:rFonts w:asciiTheme="majorHAnsi" w:hAnsiTheme="majorHAnsi" w:cstheme="majorHAnsi"/>
          <w:b/>
          <w:iCs/>
          <w:sz w:val="24"/>
          <w:szCs w:val="24"/>
          <w:highlight w:val="white"/>
        </w:rPr>
      </w:pPr>
    </w:p>
    <w:sectPr w:rsidR="002B2677" w:rsidRPr="002B2677" w:rsidSect="00D23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75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CDA1" w14:textId="77777777" w:rsidR="00BA454F" w:rsidRDefault="00BA454F">
      <w:pPr>
        <w:spacing w:line="240" w:lineRule="auto"/>
      </w:pPr>
      <w:r>
        <w:separator/>
      </w:r>
    </w:p>
  </w:endnote>
  <w:endnote w:type="continuationSeparator" w:id="0">
    <w:p w14:paraId="7A5093A7" w14:textId="77777777" w:rsidR="00BA454F" w:rsidRDefault="00BA4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1AB2" w14:textId="77777777" w:rsidR="00597AA8" w:rsidRDefault="00597A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271977"/>
      <w:docPartObj>
        <w:docPartGallery w:val="Page Numbers (Bottom of Page)"/>
        <w:docPartUnique/>
      </w:docPartObj>
    </w:sdtPr>
    <w:sdtContent>
      <w:p w14:paraId="44FA9C9B" w14:textId="662CEB6B" w:rsidR="00597AA8" w:rsidRDefault="00597AA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40CF487" w14:textId="21473CF7" w:rsidR="00597AA8" w:rsidRDefault="00597AA8" w:rsidP="00D23BB2">
    <w:pPr>
      <w:pStyle w:val="Piedepgina"/>
      <w:tabs>
        <w:tab w:val="clear" w:pos="4419"/>
        <w:tab w:val="clear" w:pos="8838"/>
        <w:tab w:val="left" w:pos="38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1ADB" w14:textId="77777777" w:rsidR="00597AA8" w:rsidRDefault="00597A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78AC" w14:textId="77777777" w:rsidR="00BA454F" w:rsidRDefault="00BA454F">
      <w:pPr>
        <w:spacing w:line="240" w:lineRule="auto"/>
      </w:pPr>
      <w:r>
        <w:separator/>
      </w:r>
    </w:p>
  </w:footnote>
  <w:footnote w:type="continuationSeparator" w:id="0">
    <w:p w14:paraId="40205991" w14:textId="77777777" w:rsidR="00BA454F" w:rsidRDefault="00BA454F">
      <w:pPr>
        <w:spacing w:line="240" w:lineRule="auto"/>
      </w:pPr>
      <w:r>
        <w:continuationSeparator/>
      </w:r>
    </w:p>
  </w:footnote>
  <w:footnote w:id="1">
    <w:p w14:paraId="3C955675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Available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on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: </w:t>
      </w:r>
      <w:hyperlink r:id="rId1">
        <w:r w:rsidRPr="007B3C0F">
          <w:rPr>
            <w:rFonts w:ascii="Calibri Light" w:eastAsia="Calibri" w:hAnsi="Calibri Light" w:cs="Calibri Light"/>
            <w:color w:val="1155CC"/>
            <w:sz w:val="18"/>
            <w:szCs w:val="18"/>
            <w:u w:val="single"/>
          </w:rPr>
          <w:t>https://datos.cdmx.gob.mx/explore/dataset/carpetas-de-investigacion-pgj-de-la-ciudad-de-mexico/table/?disjunctive.ao_hechos&amp;disjunctive.delito&amp;q=violaci%C3%B3n&amp;refine.ao_inicio=2020</w:t>
        </w:r>
      </w:hyperlink>
    </w:p>
  </w:footnote>
  <w:footnote w:id="2">
    <w:p w14:paraId="48229328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Comparable rape,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attempted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rape, rape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by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acquaintances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,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tumult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rape,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tumult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rape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by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acquaintances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are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also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considered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here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>.</w:t>
      </w:r>
    </w:p>
  </w:footnote>
  <w:footnote w:id="3">
    <w:p w14:paraId="71743866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Criminal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investigations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were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not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only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initiated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in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the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specialized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prosecutor's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office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for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sexual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crimes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,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there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are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also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records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in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the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Children's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Prosecutor's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office and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the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Attorney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General's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offices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>.</w:t>
      </w:r>
    </w:p>
  </w:footnote>
  <w:footnote w:id="4">
    <w:p w14:paraId="12A49D37" w14:textId="77777777" w:rsidR="00597AA8" w:rsidRPr="007B3C0F" w:rsidRDefault="00597AA8" w:rsidP="007B3C0F">
      <w:p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Tribunal Superior de Justicia de la Ciudad de México, Dirección de Estadística de la Presidencia. Informe Anual 2017</w:t>
      </w:r>
      <w:r w:rsidRPr="007B3C0F">
        <w:rPr>
          <w:rFonts w:ascii="Calibri Light" w:eastAsia="Arial Narrow" w:hAnsi="Calibri Light" w:cs="Calibri Light"/>
          <w:sz w:val="18"/>
          <w:szCs w:val="18"/>
        </w:rPr>
        <w:t>.</w:t>
      </w:r>
    </w:p>
  </w:footnote>
  <w:footnote w:id="5">
    <w:p w14:paraId="502FF9B5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Tribunal Superior de Justicia de la Ciudad de México, Dirección de Estadística de la Presidencia. Informe Anual 2018.</w:t>
      </w:r>
    </w:p>
  </w:footnote>
  <w:footnote w:id="6">
    <w:p w14:paraId="5B8B6D78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The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total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number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of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reports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indicated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is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related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to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4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child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victims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,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while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the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rest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cannot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know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how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many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are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women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>.</w:t>
      </w:r>
    </w:p>
  </w:footnote>
  <w:footnote w:id="7">
    <w:p w14:paraId="0EF370D5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Tribunal Superior de Justicia de la Ciudad de México, Dirección de Estadística de la Presidencia. Informe Mensual 2019.</w:t>
      </w:r>
    </w:p>
  </w:footnote>
  <w:footnote w:id="8">
    <w:p w14:paraId="2C3C65DC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SCJN, Primera Sala, “Delitos contra las mujeres. Estrecha relación entre violencia, discriminación y subordinación por motivos de género”, tesis aislada 1a. CLXIII/2015 (10a.) en materia constitucional, en </w:t>
      </w:r>
      <w:r w:rsidRPr="007B3C0F">
        <w:rPr>
          <w:rFonts w:ascii="Calibri Light" w:eastAsia="Calibri" w:hAnsi="Calibri Light" w:cs="Calibri Light"/>
          <w:i/>
          <w:sz w:val="18"/>
          <w:szCs w:val="18"/>
        </w:rPr>
        <w:t>Semanario Judicial de la Federación y su Gaceta</w:t>
      </w:r>
      <w:r w:rsidRPr="007B3C0F">
        <w:rPr>
          <w:rFonts w:ascii="Calibri Light" w:eastAsia="Calibri" w:hAnsi="Calibri Light" w:cs="Calibri Light"/>
          <w:sz w:val="18"/>
          <w:szCs w:val="18"/>
        </w:rPr>
        <w:t>, décima época, libro 18, tomo I, mayo de 2015, p. 422.</w:t>
      </w:r>
    </w:p>
  </w:footnote>
  <w:footnote w:id="9">
    <w:p w14:paraId="241C7188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Corte IDH, Caso Velásquez Paiz y otros Vs. Guatemala. Excepciones Preliminares, Fondo, Reparaciones y Costas. Sentencia de 19 de noviembre de 2015, párr. 175; y Caso Rosendo Cantú y Otra vs. México, Excepción Preliminar, Fondo, Reparaciones y Costas, Sentencia del 31 de agosto de 2010, párr. 120.</w:t>
      </w:r>
    </w:p>
  </w:footnote>
  <w:footnote w:id="10">
    <w:p w14:paraId="723C2241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UE, Convenio del Consejo de Europa para prevenir y combatir la violencia contra las mujeres y la violencia doméstica, Artículo 3, inciso c.</w:t>
      </w:r>
    </w:p>
  </w:footnote>
  <w:footnote w:id="11">
    <w:p w14:paraId="07FB0C21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Ley Federal para Prevenir y Eliminar la Discriminación, publicada en el Diario Oficial de la Federación el 11 de junio de 2003, Artículo 1, fracción III.</w:t>
      </w:r>
    </w:p>
  </w:footnote>
  <w:footnote w:id="12">
    <w:p w14:paraId="450D12D9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Corte IDH, Caso Gutiérrez Hernández y otros Vs. Guatemala., párr. 170, 172 y 173.</w:t>
      </w:r>
    </w:p>
  </w:footnote>
  <w:footnote w:id="13">
    <w:p w14:paraId="2198E5E7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hAnsi="Calibri Light" w:cs="Calibri Light"/>
          <w:sz w:val="18"/>
          <w:szCs w:val="18"/>
        </w:rPr>
        <w:t xml:space="preserve"> </w:t>
      </w:r>
      <w:r w:rsidRPr="007B3C0F">
        <w:rPr>
          <w:rFonts w:ascii="Calibri Light" w:eastAsia="Arial Narrow" w:hAnsi="Calibri Light" w:cs="Calibri Light"/>
          <w:sz w:val="18"/>
          <w:szCs w:val="18"/>
        </w:rPr>
        <w:t>SCJN. Tesis: 1ª. CXXI/2018 (10ª.) Gaceta del Semanario Judicial de la Federación Décima época, 2017989. Primera sala, libro 58, septiembre de 2018 Tomo I. Pág. 841. Tesis Aislada (Constitucional).</w:t>
      </w:r>
    </w:p>
  </w:footnote>
  <w:footnote w:id="14">
    <w:p w14:paraId="01B884F2" w14:textId="77777777" w:rsidR="00597AA8" w:rsidRPr="007B3C0F" w:rsidRDefault="00597AA8" w:rsidP="007B3C0F">
      <w:p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hAnsi="Calibri Light" w:cs="Calibri Light"/>
          <w:sz w:val="18"/>
          <w:szCs w:val="18"/>
        </w:rPr>
        <w:t xml:space="preserve"> Encuesta Nacional sobre la Dinámica de las Relaciones en los Hogares (ENDIREH) 2016. </w:t>
      </w:r>
    </w:p>
  </w:footnote>
  <w:footnote w:id="15">
    <w:p w14:paraId="1ED0E9F8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ONU, Declaración de </w:t>
      </w:r>
      <w:proofErr w:type="spellStart"/>
      <w:r w:rsidRPr="007B3C0F">
        <w:rPr>
          <w:rFonts w:ascii="Calibri Light" w:eastAsia="Arial Narrow" w:hAnsi="Calibri Light" w:cs="Calibri Light"/>
          <w:sz w:val="18"/>
          <w:szCs w:val="18"/>
        </w:rPr>
        <w:t>Dubravka</w:t>
      </w:r>
      <w:proofErr w:type="spellEnd"/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Arial Narrow" w:hAnsi="Calibri Light" w:cs="Calibri Light"/>
          <w:sz w:val="18"/>
          <w:szCs w:val="18"/>
        </w:rPr>
        <w:t>Simonovic</w:t>
      </w:r>
      <w:proofErr w:type="spellEnd"/>
      <w:r w:rsidRPr="007B3C0F">
        <w:rPr>
          <w:rFonts w:ascii="Calibri Light" w:eastAsia="Arial Narrow" w:hAnsi="Calibri Light" w:cs="Calibri Light"/>
          <w:sz w:val="18"/>
          <w:szCs w:val="18"/>
        </w:rPr>
        <w:t xml:space="preserve">, Relatora especial de las Naciones Unidas sobre la violencia contra la mujer en la 61ª sesión ordinaria de la Comisión Africana de Derechos Humanos y de los Pueblos, 4 de noviembre de 2017. </w:t>
      </w:r>
    </w:p>
  </w:footnote>
  <w:footnote w:id="16">
    <w:p w14:paraId="4FAC8F75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Corte IDH. Caso González y Otras (Campo Algodonero) vs. México, </w:t>
      </w:r>
      <w:r w:rsidRPr="007B3C0F">
        <w:rPr>
          <w:rFonts w:ascii="Calibri Light" w:eastAsia="Arial Narrow" w:hAnsi="Calibri Light" w:cs="Calibri Light"/>
          <w:i/>
          <w:sz w:val="18"/>
          <w:szCs w:val="18"/>
        </w:rPr>
        <w:t>Óp. Cit</w:t>
      </w:r>
      <w:r w:rsidRPr="007B3C0F">
        <w:rPr>
          <w:rFonts w:ascii="Calibri Light" w:eastAsia="Arial Narrow" w:hAnsi="Calibri Light" w:cs="Calibri Light"/>
          <w:sz w:val="18"/>
          <w:szCs w:val="18"/>
        </w:rPr>
        <w:t>., párr. 133</w:t>
      </w:r>
    </w:p>
  </w:footnote>
  <w:footnote w:id="17">
    <w:p w14:paraId="2A086D79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CIDH, Situación de los derechos de la mujer en Ciudad Juárez (citando carta del Secretario de Gobierno de Chihuahua a la Relatora Especial de 11 de febrero de 2002), OEA/</w:t>
      </w:r>
      <w:proofErr w:type="spellStart"/>
      <w:r w:rsidRPr="007B3C0F">
        <w:rPr>
          <w:rFonts w:ascii="Calibri Light" w:eastAsia="Arial Narrow" w:hAnsi="Calibri Light" w:cs="Calibri Light"/>
          <w:sz w:val="18"/>
          <w:szCs w:val="18"/>
        </w:rPr>
        <w:t>Ser.L</w:t>
      </w:r>
      <w:proofErr w:type="spellEnd"/>
      <w:r w:rsidRPr="007B3C0F">
        <w:rPr>
          <w:rFonts w:ascii="Calibri Light" w:eastAsia="Arial Narrow" w:hAnsi="Calibri Light" w:cs="Calibri Light"/>
          <w:sz w:val="18"/>
          <w:szCs w:val="18"/>
        </w:rPr>
        <w:t xml:space="preserve">/V/II.117, Doc. 1 </w:t>
      </w:r>
      <w:proofErr w:type="spellStart"/>
      <w:r w:rsidRPr="007B3C0F">
        <w:rPr>
          <w:rFonts w:ascii="Calibri Light" w:eastAsia="Arial Narrow" w:hAnsi="Calibri Light" w:cs="Calibri Light"/>
          <w:sz w:val="18"/>
          <w:szCs w:val="18"/>
        </w:rPr>
        <w:t>rev.</w:t>
      </w:r>
      <w:proofErr w:type="spellEnd"/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1, 7 de marzo de 2003.</w:t>
      </w:r>
    </w:p>
  </w:footnote>
  <w:footnote w:id="18">
    <w:p w14:paraId="205C7900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ONU, CEDAW, Informe de México producido por el Comité CEDAW bajo el Artículo 8 del Protocolo Facultativo de la Convención y respuesta del Gobierno de México, CEDAW/C/2005/OP.8/MEXICO, párr. 159</w:t>
      </w:r>
    </w:p>
  </w:footnote>
  <w:footnote w:id="19">
    <w:p w14:paraId="169AB7C4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Ley General de Acceso de las Mujeres a una vida libre de Violencia, artículo 6, fracción V y ONU, CEDAW, Observación general No. 19 La violencia contra la mujer</w:t>
      </w:r>
      <w:r w:rsidRPr="007B3C0F">
        <w:rPr>
          <w:rFonts w:ascii="Calibri Light" w:eastAsia="Calibri" w:hAnsi="Calibri Light" w:cs="Calibri Light"/>
          <w:i/>
          <w:sz w:val="18"/>
          <w:szCs w:val="18"/>
        </w:rPr>
        <w:t>, Óp. Cit</w:t>
      </w:r>
      <w:r w:rsidRPr="007B3C0F">
        <w:rPr>
          <w:rFonts w:ascii="Calibri Light" w:eastAsia="Calibri" w:hAnsi="Calibri Light" w:cs="Calibri Light"/>
          <w:sz w:val="18"/>
          <w:szCs w:val="18"/>
        </w:rPr>
        <w:t>., párr. 14.</w:t>
      </w:r>
    </w:p>
  </w:footnote>
  <w:footnote w:id="20">
    <w:p w14:paraId="4888879C" w14:textId="77777777" w:rsidR="00597AA8" w:rsidRPr="007B3C0F" w:rsidRDefault="00597AA8" w:rsidP="007B3C0F">
      <w:pPr>
        <w:spacing w:line="240" w:lineRule="auto"/>
        <w:jc w:val="both"/>
        <w:rPr>
          <w:rFonts w:ascii="Calibri Light" w:eastAsia="Arial Narrow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CIDH, Acceso a la justicia para mujeres víctimas de violencia sexual en Mesoamérica, </w:t>
      </w:r>
      <w:r w:rsidRPr="007B3C0F">
        <w:rPr>
          <w:rFonts w:ascii="Calibri Light" w:eastAsia="Calibri" w:hAnsi="Calibri Light" w:cs="Calibri Light"/>
          <w:i/>
          <w:sz w:val="18"/>
          <w:szCs w:val="18"/>
        </w:rPr>
        <w:t>Óp. Cit</w:t>
      </w:r>
      <w:r w:rsidRPr="007B3C0F">
        <w:rPr>
          <w:rFonts w:ascii="Calibri Light" w:eastAsia="Calibri" w:hAnsi="Calibri Light" w:cs="Calibri Light"/>
          <w:sz w:val="18"/>
          <w:szCs w:val="18"/>
        </w:rPr>
        <w:t>., párr. 45.</w:t>
      </w:r>
      <w:r w:rsidRPr="007B3C0F">
        <w:rPr>
          <w:rFonts w:ascii="Calibri Light" w:eastAsia="Arial Narrow" w:hAnsi="Calibri Light" w:cs="Calibri Light"/>
          <w:sz w:val="18"/>
          <w:szCs w:val="18"/>
        </w:rPr>
        <w:t xml:space="preserve"> </w:t>
      </w:r>
    </w:p>
  </w:footnote>
  <w:footnote w:id="21">
    <w:p w14:paraId="38C7485C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ONU, CEDAW, Recomendación general 19, </w:t>
      </w:r>
      <w:r w:rsidRPr="007B3C0F">
        <w:rPr>
          <w:rFonts w:ascii="Calibri Light" w:eastAsia="Calibri" w:hAnsi="Calibri Light" w:cs="Calibri Light"/>
          <w:i/>
          <w:sz w:val="18"/>
          <w:szCs w:val="18"/>
        </w:rPr>
        <w:t>Óp. Cit</w:t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., párr. 16; Comisión de Derechos Humanos, Informe de la Sra. Radica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Coomaraswamy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, Relatora Especial sobre la Violencia contra la mujer, con inclusión de sus causas y consecuencias, presentado de conformidad con la resolución 2000/45 de la Comisión de Derechos Humanos, “La violencia contra la mujer perpetrada y/o condonada por el Estado en tiempos de conflicto armado (1997- 2000)”, 57° período de sesiones de 2001, E/CN.4/2001/73, párr. 44; Defensoría del Pueblo del Perú. Informe Defensorial No. 80, Violencia Política en el Perú: 1980-1986 un acercamiento desde la perspectiva de género, capítulo IV, págs. 34, 35 y 45.  </w:t>
      </w:r>
    </w:p>
  </w:footnote>
  <w:footnote w:id="22">
    <w:p w14:paraId="502FBF59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hAnsi="Calibri Light" w:cs="Calibri Light"/>
          <w:sz w:val="18"/>
          <w:szCs w:val="18"/>
        </w:rPr>
        <w:t xml:space="preserve"> </w:t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Informe sobre las violencias de género en la procuración de justicia en la Ciudad de México, 2019, CDHCM.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Available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</w:rPr>
        <w:t>on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</w:rPr>
        <w:t xml:space="preserve">: </w:t>
      </w:r>
      <w:hyperlink r:id="rId2">
        <w:r w:rsidRPr="007B3C0F">
          <w:rPr>
            <w:rFonts w:ascii="Calibri Light" w:eastAsia="Calibri" w:hAnsi="Calibri Light" w:cs="Calibri Light"/>
            <w:color w:val="1155CC"/>
            <w:sz w:val="18"/>
            <w:szCs w:val="18"/>
            <w:u w:val="single"/>
          </w:rPr>
          <w:t>https://cdhcm.org.mx/wp-content/uploads/2019/09/Informe_violencia_de_genero.pdf</w:t>
        </w:r>
      </w:hyperlink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</w:p>
  </w:footnote>
  <w:footnote w:id="23">
    <w:p w14:paraId="52CC8F93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Corte IDH, Caso J. Vs. Perú. Excepción Preliminar, Fondo, Reparaciones y Costas. Sentencia de 27 de noviembre de 2013, párr. 359. </w:t>
      </w:r>
    </w:p>
  </w:footnote>
  <w:footnote w:id="24">
    <w:p w14:paraId="0CACD6DE" w14:textId="77777777" w:rsidR="00597AA8" w:rsidRPr="007B3C0F" w:rsidRDefault="00597AA8" w:rsidP="007B3C0F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7B3C0F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7B3C0F">
        <w:rPr>
          <w:rFonts w:ascii="Calibri Light" w:eastAsia="Calibri" w:hAnsi="Calibri Light" w:cs="Calibri Light"/>
          <w:sz w:val="18"/>
          <w:szCs w:val="18"/>
        </w:rPr>
        <w:t xml:space="preserve"> </w:t>
      </w:r>
      <w:r w:rsidRPr="007B3C0F">
        <w:rPr>
          <w:rFonts w:ascii="Calibri Light" w:eastAsia="Calibri" w:hAnsi="Calibri Light" w:cs="Calibri Light"/>
          <w:sz w:val="18"/>
          <w:szCs w:val="18"/>
          <w:highlight w:val="white"/>
        </w:rPr>
        <w:t xml:space="preserve">Corte IDH, Caso Favela Nova </w:t>
      </w:r>
      <w:proofErr w:type="spellStart"/>
      <w:r w:rsidRPr="007B3C0F">
        <w:rPr>
          <w:rFonts w:ascii="Calibri Light" w:eastAsia="Calibri" w:hAnsi="Calibri Light" w:cs="Calibri Light"/>
          <w:sz w:val="18"/>
          <w:szCs w:val="18"/>
          <w:highlight w:val="white"/>
        </w:rPr>
        <w:t>Brasília</w:t>
      </w:r>
      <w:proofErr w:type="spellEnd"/>
      <w:r w:rsidRPr="007B3C0F">
        <w:rPr>
          <w:rFonts w:ascii="Calibri Light" w:eastAsia="Calibri" w:hAnsi="Calibri Light" w:cs="Calibri Light"/>
          <w:sz w:val="18"/>
          <w:szCs w:val="18"/>
          <w:highlight w:val="white"/>
        </w:rPr>
        <w:t xml:space="preserve"> Vs. Brasil. Excepciones Preliminares, Fondo, Reparaciones y Costas. Sentencia de 16 de febrero de 2017. Serie C No. 333, párr. 248.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C7F9" w14:textId="77777777" w:rsidR="00597AA8" w:rsidRDefault="00597A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F0F8" w14:textId="030E2AF7" w:rsidR="00597AA8" w:rsidRDefault="00597AA8" w:rsidP="002B2677">
    <w:pPr>
      <w:pStyle w:val="Encabezado"/>
      <w:ind w:right="-894"/>
      <w:jc w:val="right"/>
      <w:rPr>
        <w:rFonts w:asciiTheme="majorHAnsi" w:hAnsiTheme="majorHAnsi" w:cstheme="majorHAnsi"/>
        <w:sz w:val="18"/>
        <w:szCs w:val="18"/>
      </w:rPr>
    </w:pPr>
    <w:r w:rsidRPr="002B2677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1" locked="0" layoutInCell="1" allowOverlap="1" wp14:anchorId="0513DAC1" wp14:editId="586EC15F">
          <wp:simplePos x="0" y="0"/>
          <wp:positionH relativeFrom="margin">
            <wp:posOffset>-457200</wp:posOffset>
          </wp:positionH>
          <wp:positionV relativeFrom="paragraph">
            <wp:posOffset>-270933</wp:posOffset>
          </wp:positionV>
          <wp:extent cx="767080" cy="727710"/>
          <wp:effectExtent l="0" t="0" r="0" b="0"/>
          <wp:wrapTight wrapText="bothSides">
            <wp:wrapPolygon edited="0">
              <wp:start x="5901" y="0"/>
              <wp:lineTo x="0" y="3393"/>
              <wp:lineTo x="0" y="14702"/>
              <wp:lineTo x="1609" y="18094"/>
              <wp:lineTo x="5364" y="20921"/>
              <wp:lineTo x="5901" y="20921"/>
              <wp:lineTo x="15020" y="20921"/>
              <wp:lineTo x="15556" y="20921"/>
              <wp:lineTo x="19311" y="18094"/>
              <wp:lineTo x="20921" y="14702"/>
              <wp:lineTo x="20921" y="3393"/>
              <wp:lineTo x="15020" y="0"/>
              <wp:lineTo x="5901" y="0"/>
            </wp:wrapPolygon>
          </wp:wrapTight>
          <wp:docPr id="6" name="Imagen 6" descr="Imagen que contiene dibujo, blanc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</w:rPr>
      <w:t xml:space="preserve">                      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  <w:t xml:space="preserve">  </w:t>
    </w:r>
    <w:r w:rsidRPr="002B2677">
      <w:rPr>
        <w:rFonts w:asciiTheme="majorHAnsi" w:hAnsiTheme="majorHAnsi" w:cstheme="majorHAnsi"/>
        <w:sz w:val="18"/>
        <w:szCs w:val="18"/>
      </w:rPr>
      <w:t>Comisión de Derechos Humanos de la Ciudad de México</w:t>
    </w:r>
  </w:p>
  <w:p w14:paraId="5192EC51" w14:textId="7B908BA0" w:rsidR="00597AA8" w:rsidRPr="002B2677" w:rsidRDefault="00597AA8" w:rsidP="002B2677">
    <w:pPr>
      <w:pStyle w:val="Encabezado"/>
      <w:ind w:right="-894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18"/>
        <w:szCs w:val="18"/>
      </w:rPr>
      <w:t xml:space="preserve">Secretaría Ejecutiva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2AD2" w14:textId="77777777" w:rsidR="00597AA8" w:rsidRDefault="00597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5708"/>
    <w:multiLevelType w:val="multilevel"/>
    <w:tmpl w:val="1BE8F0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D53F47"/>
    <w:multiLevelType w:val="multilevel"/>
    <w:tmpl w:val="AEDE0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BF6AC1"/>
    <w:multiLevelType w:val="multilevel"/>
    <w:tmpl w:val="76F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B8"/>
    <w:rsid w:val="001773B8"/>
    <w:rsid w:val="002B2677"/>
    <w:rsid w:val="0037775A"/>
    <w:rsid w:val="00597AA8"/>
    <w:rsid w:val="00653430"/>
    <w:rsid w:val="006541A0"/>
    <w:rsid w:val="00697C0F"/>
    <w:rsid w:val="006C7250"/>
    <w:rsid w:val="007B3C0F"/>
    <w:rsid w:val="00B56BAC"/>
    <w:rsid w:val="00BA454F"/>
    <w:rsid w:val="00CC5B17"/>
    <w:rsid w:val="00D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988AC"/>
  <w15:docId w15:val="{0DEAA3A2-320D-4F99-BEEA-4D4FDFF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B267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677"/>
  </w:style>
  <w:style w:type="paragraph" w:styleId="Piedepgina">
    <w:name w:val="footer"/>
    <w:basedOn w:val="Normal"/>
    <w:link w:val="PiedepginaCar"/>
    <w:uiPriority w:val="99"/>
    <w:unhideWhenUsed/>
    <w:rsid w:val="002B267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77"/>
  </w:style>
  <w:style w:type="paragraph" w:styleId="NormalWeb">
    <w:name w:val="Normal (Web)"/>
    <w:basedOn w:val="Normal"/>
    <w:uiPriority w:val="99"/>
    <w:semiHidden/>
    <w:unhideWhenUsed/>
    <w:rsid w:val="00CC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CC5B17"/>
    <w:rPr>
      <w:b/>
      <w:bCs/>
    </w:rPr>
  </w:style>
  <w:style w:type="paragraph" w:styleId="Prrafodelista">
    <w:name w:val="List Paragraph"/>
    <w:basedOn w:val="Normal"/>
    <w:uiPriority w:val="34"/>
    <w:qFormat/>
    <w:rsid w:val="00CC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dhcm.org.mx/wp-content/uploads/2019/09/Informe_violencia_de_genero.pdf" TargetMode="External"/><Relationship Id="rId1" Type="http://schemas.openxmlformats.org/officeDocument/2006/relationships/hyperlink" Target="https://datos.cdmx.gob.mx/explore/dataset/carpetas-de-investigacion-pgj-de-la-ciudad-de-mexico/table/?disjunctive.ao_hechos&amp;disjunctive.delito&amp;q=violaci%C3%B3n&amp;refine.ao_inicio=20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D0F83E-B0CF-44D6-A8DE-371C8C8AECC8}"/>
</file>

<file path=customXml/itemProps2.xml><?xml version="1.0" encoding="utf-8"?>
<ds:datastoreItem xmlns:ds="http://schemas.openxmlformats.org/officeDocument/2006/customXml" ds:itemID="{44D3CABA-91CB-4873-ABB8-E673903F67E9}"/>
</file>

<file path=customXml/itemProps3.xml><?xml version="1.0" encoding="utf-8"?>
<ds:datastoreItem xmlns:ds="http://schemas.openxmlformats.org/officeDocument/2006/customXml" ds:itemID="{2A48508C-754C-449E-8CFF-ED82B3C67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5540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Barranco</dc:creator>
  <cp:lastModifiedBy>Areli Barranco</cp:lastModifiedBy>
  <cp:revision>2</cp:revision>
  <cp:lastPrinted>2020-05-16T02:59:00Z</cp:lastPrinted>
  <dcterms:created xsi:type="dcterms:W3CDTF">2020-05-19T00:10:00Z</dcterms:created>
  <dcterms:modified xsi:type="dcterms:W3CDTF">2020-05-19T00:10:00Z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