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BBC3B" w14:textId="77777777" w:rsidR="002F0B6D" w:rsidRPr="00A3167D" w:rsidRDefault="002F0B6D" w:rsidP="002F0B6D">
      <w:pPr>
        <w:jc w:val="center"/>
        <w:rPr>
          <w:b/>
          <w:sz w:val="22"/>
          <w:szCs w:val="22"/>
        </w:rPr>
      </w:pPr>
    </w:p>
    <w:p w14:paraId="4F40D9C2" w14:textId="4ED5CD0B" w:rsidR="002F0B6D" w:rsidRPr="00A3167D" w:rsidRDefault="002F0B6D" w:rsidP="002F0B6D">
      <w:pPr>
        <w:jc w:val="center"/>
        <w:rPr>
          <w:b/>
          <w:sz w:val="22"/>
          <w:szCs w:val="22"/>
        </w:rPr>
      </w:pPr>
      <w:r w:rsidRPr="00A3167D">
        <w:rPr>
          <w:b/>
          <w:noProof/>
          <w:sz w:val="22"/>
          <w:szCs w:val="22"/>
        </w:rPr>
        <w:drawing>
          <wp:anchor distT="0" distB="0" distL="114300" distR="114300" simplePos="0" relativeHeight="251659264" behindDoc="0" locked="0" layoutInCell="1" allowOverlap="1" wp14:anchorId="5EA271EF" wp14:editId="4D656CF2">
            <wp:simplePos x="0" y="0"/>
            <wp:positionH relativeFrom="margin">
              <wp:align>center</wp:align>
            </wp:positionH>
            <wp:positionV relativeFrom="margin">
              <wp:posOffset>167005</wp:posOffset>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05EEB568" w14:textId="289748EF" w:rsidR="002F0B6D" w:rsidRPr="00A3167D" w:rsidRDefault="002F0B6D" w:rsidP="002F0B6D">
      <w:pPr>
        <w:jc w:val="center"/>
        <w:rPr>
          <w:b/>
          <w:sz w:val="22"/>
          <w:szCs w:val="22"/>
        </w:rPr>
      </w:pPr>
    </w:p>
    <w:p w14:paraId="31B206A9" w14:textId="4301191C" w:rsidR="002F0B6D" w:rsidRPr="00A3167D" w:rsidRDefault="002F0B6D" w:rsidP="002F0B6D">
      <w:pPr>
        <w:jc w:val="center"/>
        <w:rPr>
          <w:b/>
          <w:sz w:val="22"/>
          <w:szCs w:val="22"/>
        </w:rPr>
      </w:pPr>
    </w:p>
    <w:p w14:paraId="15B65DDC" w14:textId="77777777" w:rsidR="002F0B6D" w:rsidRPr="00A3167D" w:rsidRDefault="002F0B6D" w:rsidP="002F0B6D">
      <w:pPr>
        <w:jc w:val="center"/>
        <w:rPr>
          <w:b/>
          <w:sz w:val="22"/>
          <w:szCs w:val="22"/>
        </w:rPr>
      </w:pPr>
    </w:p>
    <w:p w14:paraId="103B79F2" w14:textId="77777777" w:rsidR="002F0B6D" w:rsidRPr="00A3167D" w:rsidRDefault="002F0B6D" w:rsidP="002F0B6D">
      <w:pPr>
        <w:jc w:val="center"/>
        <w:rPr>
          <w:b/>
          <w:sz w:val="22"/>
          <w:szCs w:val="22"/>
        </w:rPr>
      </w:pPr>
    </w:p>
    <w:p w14:paraId="54C1F528" w14:textId="77777777" w:rsidR="002F0B6D" w:rsidRPr="00A3167D" w:rsidRDefault="002F0B6D" w:rsidP="002F0B6D">
      <w:pPr>
        <w:jc w:val="center"/>
        <w:rPr>
          <w:b/>
          <w:sz w:val="22"/>
          <w:szCs w:val="22"/>
        </w:rPr>
      </w:pPr>
    </w:p>
    <w:p w14:paraId="2FE6DADF" w14:textId="77777777" w:rsidR="002F0B6D" w:rsidRPr="00A3167D" w:rsidRDefault="002F0B6D" w:rsidP="002F0B6D">
      <w:pPr>
        <w:jc w:val="center"/>
        <w:rPr>
          <w:b/>
          <w:sz w:val="22"/>
          <w:szCs w:val="22"/>
        </w:rPr>
      </w:pPr>
    </w:p>
    <w:p w14:paraId="46676099" w14:textId="77777777" w:rsidR="002F0B6D" w:rsidRPr="00A3167D" w:rsidRDefault="002F0B6D" w:rsidP="002F0B6D">
      <w:pPr>
        <w:jc w:val="center"/>
        <w:rPr>
          <w:b/>
          <w:sz w:val="22"/>
          <w:szCs w:val="22"/>
        </w:rPr>
      </w:pPr>
    </w:p>
    <w:p w14:paraId="06F1A148" w14:textId="77777777" w:rsidR="002F0B6D" w:rsidRPr="00A3167D" w:rsidRDefault="002F0B6D" w:rsidP="002F0B6D">
      <w:pPr>
        <w:jc w:val="center"/>
        <w:rPr>
          <w:b/>
          <w:sz w:val="22"/>
          <w:szCs w:val="22"/>
        </w:rPr>
      </w:pPr>
    </w:p>
    <w:p w14:paraId="7EC4F682" w14:textId="77777777" w:rsidR="002F0B6D" w:rsidRPr="00A3167D" w:rsidRDefault="002F0B6D" w:rsidP="002F0B6D">
      <w:pPr>
        <w:jc w:val="center"/>
        <w:rPr>
          <w:b/>
          <w:sz w:val="22"/>
          <w:szCs w:val="22"/>
        </w:rPr>
      </w:pPr>
    </w:p>
    <w:p w14:paraId="6531D1A2" w14:textId="77777777" w:rsidR="002F0B6D" w:rsidRPr="00A3167D" w:rsidRDefault="002F0B6D" w:rsidP="002F0B6D">
      <w:pPr>
        <w:jc w:val="center"/>
        <w:rPr>
          <w:b/>
          <w:sz w:val="22"/>
          <w:szCs w:val="22"/>
        </w:rPr>
      </w:pPr>
    </w:p>
    <w:p w14:paraId="36F43F8D" w14:textId="0B758748" w:rsidR="002F0B6D" w:rsidRPr="002F0B6D" w:rsidRDefault="002F0B6D" w:rsidP="002F0B6D">
      <w:pPr>
        <w:autoSpaceDE w:val="0"/>
        <w:autoSpaceDN w:val="0"/>
        <w:adjustRightInd w:val="0"/>
        <w:spacing w:after="240"/>
        <w:jc w:val="center"/>
        <w:rPr>
          <w:b/>
          <w:sz w:val="40"/>
          <w:szCs w:val="40"/>
        </w:rPr>
      </w:pPr>
      <w:r w:rsidRPr="002F0B6D">
        <w:rPr>
          <w:b/>
          <w:sz w:val="40"/>
          <w:szCs w:val="40"/>
        </w:rPr>
        <w:t xml:space="preserve">Input </w:t>
      </w:r>
      <w:r w:rsidRPr="002F0B6D">
        <w:rPr>
          <w:b/>
          <w:sz w:val="40"/>
          <w:szCs w:val="40"/>
        </w:rPr>
        <w:t>for the UN SRVAW thematic report on rape as a grave and systematic human rights violation and gender-based violence against women</w:t>
      </w:r>
    </w:p>
    <w:p w14:paraId="5336E554" w14:textId="77777777" w:rsidR="002F0B6D" w:rsidRPr="00A3167D" w:rsidRDefault="002F0B6D" w:rsidP="002F0B6D">
      <w:pPr>
        <w:jc w:val="center"/>
        <w:rPr>
          <w:b/>
          <w:sz w:val="32"/>
          <w:szCs w:val="32"/>
        </w:rPr>
      </w:pPr>
    </w:p>
    <w:p w14:paraId="7C08B0F0" w14:textId="77777777" w:rsidR="002F0B6D" w:rsidRPr="00A3167D" w:rsidRDefault="002F0B6D" w:rsidP="002F0B6D">
      <w:pPr>
        <w:jc w:val="center"/>
        <w:rPr>
          <w:b/>
          <w:sz w:val="32"/>
          <w:szCs w:val="32"/>
        </w:rPr>
      </w:pPr>
      <w:r w:rsidRPr="00A3167D">
        <w:rPr>
          <w:b/>
          <w:sz w:val="32"/>
          <w:szCs w:val="32"/>
        </w:rPr>
        <w:t xml:space="preserve">Info Submission </w:t>
      </w:r>
    </w:p>
    <w:p w14:paraId="7478D6D4" w14:textId="77777777" w:rsidR="002F0B6D" w:rsidRPr="00A3167D" w:rsidRDefault="002F0B6D" w:rsidP="002F0B6D">
      <w:pPr>
        <w:jc w:val="center"/>
        <w:rPr>
          <w:b/>
          <w:sz w:val="32"/>
          <w:szCs w:val="32"/>
        </w:rPr>
      </w:pPr>
    </w:p>
    <w:p w14:paraId="5AD675BB" w14:textId="51DB57D9" w:rsidR="002F0B6D" w:rsidRPr="00A3167D" w:rsidRDefault="002F0B6D" w:rsidP="002F0B6D">
      <w:pPr>
        <w:jc w:val="center"/>
        <w:rPr>
          <w:b/>
          <w:sz w:val="32"/>
          <w:szCs w:val="32"/>
        </w:rPr>
      </w:pPr>
      <w:proofErr w:type="gramStart"/>
      <w:r w:rsidRPr="002F0B6D">
        <w:rPr>
          <w:b/>
          <w:sz w:val="32"/>
          <w:szCs w:val="32"/>
        </w:rPr>
        <w:t>to</w:t>
      </w:r>
      <w:proofErr w:type="gramEnd"/>
      <w:r w:rsidRPr="002F0B6D">
        <w:rPr>
          <w:b/>
          <w:sz w:val="32"/>
          <w:szCs w:val="32"/>
        </w:rPr>
        <w:t xml:space="preserve"> the UN SRVAW</w:t>
      </w:r>
    </w:p>
    <w:p w14:paraId="706F645E" w14:textId="77777777" w:rsidR="002F0B6D" w:rsidRPr="00A3167D" w:rsidRDefault="002F0B6D" w:rsidP="002F0B6D">
      <w:pPr>
        <w:jc w:val="center"/>
        <w:rPr>
          <w:b/>
          <w:sz w:val="32"/>
          <w:szCs w:val="32"/>
        </w:rPr>
      </w:pPr>
    </w:p>
    <w:p w14:paraId="7C6A5764" w14:textId="77777777" w:rsidR="002F0B6D" w:rsidRPr="00A3167D" w:rsidRDefault="002F0B6D" w:rsidP="002F0B6D">
      <w:pPr>
        <w:jc w:val="center"/>
        <w:rPr>
          <w:b/>
          <w:sz w:val="32"/>
          <w:szCs w:val="32"/>
        </w:rPr>
      </w:pPr>
      <w:r w:rsidRPr="00A3167D">
        <w:rPr>
          <w:b/>
          <w:sz w:val="32"/>
          <w:szCs w:val="32"/>
        </w:rPr>
        <w:br/>
      </w:r>
    </w:p>
    <w:p w14:paraId="16A7913D" w14:textId="77777777" w:rsidR="002F0B6D" w:rsidRPr="00A3167D" w:rsidRDefault="002F0B6D" w:rsidP="002F0B6D">
      <w:pPr>
        <w:jc w:val="center"/>
        <w:rPr>
          <w:b/>
          <w:sz w:val="32"/>
          <w:szCs w:val="32"/>
        </w:rPr>
      </w:pPr>
    </w:p>
    <w:p w14:paraId="357B9904" w14:textId="77777777" w:rsidR="002F0B6D" w:rsidRPr="00A3167D" w:rsidRDefault="002F0B6D" w:rsidP="002F0B6D">
      <w:pPr>
        <w:jc w:val="center"/>
        <w:rPr>
          <w:b/>
          <w:sz w:val="32"/>
          <w:szCs w:val="32"/>
        </w:rPr>
      </w:pPr>
    </w:p>
    <w:p w14:paraId="61AA0FB5" w14:textId="77777777" w:rsidR="002F0B6D" w:rsidRPr="00A3167D" w:rsidRDefault="002F0B6D" w:rsidP="002F0B6D">
      <w:pPr>
        <w:jc w:val="center"/>
        <w:rPr>
          <w:b/>
          <w:sz w:val="32"/>
          <w:szCs w:val="32"/>
        </w:rPr>
      </w:pPr>
    </w:p>
    <w:p w14:paraId="54298A1D" w14:textId="77777777" w:rsidR="002F0B6D" w:rsidRPr="00A3167D" w:rsidRDefault="002F0B6D" w:rsidP="002F0B6D">
      <w:pPr>
        <w:spacing w:after="240"/>
        <w:jc w:val="center"/>
        <w:rPr>
          <w:b/>
          <w:sz w:val="32"/>
          <w:szCs w:val="32"/>
        </w:rPr>
      </w:pPr>
      <w:r w:rsidRPr="00A3167D">
        <w:rPr>
          <w:b/>
          <w:sz w:val="32"/>
          <w:szCs w:val="32"/>
        </w:rPr>
        <w:t>Submitted by</w:t>
      </w:r>
    </w:p>
    <w:p w14:paraId="58A461EF" w14:textId="77777777" w:rsidR="002F0B6D" w:rsidRPr="00A3167D" w:rsidRDefault="002F0B6D" w:rsidP="002F0B6D">
      <w:pPr>
        <w:jc w:val="center"/>
        <w:rPr>
          <w:b/>
          <w:sz w:val="32"/>
          <w:szCs w:val="32"/>
        </w:rPr>
      </w:pPr>
      <w:r w:rsidRPr="00A3167D">
        <w:rPr>
          <w:b/>
          <w:sz w:val="32"/>
          <w:szCs w:val="32"/>
        </w:rPr>
        <w:t xml:space="preserve">The National Human Rights Institution – Public Defender </w:t>
      </w:r>
      <w:r w:rsidRPr="00A3167D">
        <w:rPr>
          <w:b/>
          <w:sz w:val="32"/>
          <w:szCs w:val="32"/>
        </w:rPr>
        <w:br/>
        <w:t>(Ombudsman) of Georgia</w:t>
      </w:r>
    </w:p>
    <w:p w14:paraId="354E0124" w14:textId="77777777" w:rsidR="002F0B6D" w:rsidRPr="00A3167D" w:rsidRDefault="002F0B6D" w:rsidP="002F0B6D">
      <w:pPr>
        <w:jc w:val="center"/>
        <w:rPr>
          <w:b/>
          <w:sz w:val="32"/>
          <w:szCs w:val="32"/>
        </w:rPr>
      </w:pPr>
    </w:p>
    <w:p w14:paraId="0C8E8A76" w14:textId="77777777" w:rsidR="002F0B6D" w:rsidRPr="00A3167D" w:rsidRDefault="002F0B6D" w:rsidP="002F0B6D">
      <w:pPr>
        <w:jc w:val="center"/>
        <w:rPr>
          <w:b/>
          <w:sz w:val="32"/>
          <w:szCs w:val="32"/>
        </w:rPr>
      </w:pPr>
    </w:p>
    <w:p w14:paraId="5362962D" w14:textId="77777777" w:rsidR="002F0B6D" w:rsidRPr="00A3167D" w:rsidRDefault="002F0B6D" w:rsidP="002F0B6D">
      <w:pPr>
        <w:jc w:val="center"/>
        <w:rPr>
          <w:b/>
          <w:sz w:val="32"/>
          <w:szCs w:val="32"/>
        </w:rPr>
      </w:pPr>
    </w:p>
    <w:p w14:paraId="082816DD" w14:textId="77777777" w:rsidR="002F0B6D" w:rsidRPr="00667C50" w:rsidRDefault="002F0B6D" w:rsidP="002F0B6D">
      <w:pPr>
        <w:jc w:val="center"/>
        <w:rPr>
          <w:b/>
          <w:sz w:val="32"/>
          <w:szCs w:val="32"/>
        </w:rPr>
      </w:pPr>
    </w:p>
    <w:p w14:paraId="0501DFF3" w14:textId="77777777" w:rsidR="002F0B6D" w:rsidRPr="00A3167D" w:rsidRDefault="002F0B6D" w:rsidP="002F0B6D">
      <w:pPr>
        <w:jc w:val="center"/>
        <w:rPr>
          <w:b/>
          <w:sz w:val="32"/>
          <w:szCs w:val="32"/>
        </w:rPr>
      </w:pPr>
    </w:p>
    <w:p w14:paraId="33F92194" w14:textId="77777777" w:rsidR="002F0B6D" w:rsidRPr="00A3167D" w:rsidRDefault="002F0B6D" w:rsidP="002F0B6D">
      <w:pPr>
        <w:jc w:val="both"/>
        <w:rPr>
          <w:b/>
          <w:sz w:val="32"/>
          <w:szCs w:val="32"/>
        </w:rPr>
      </w:pPr>
    </w:p>
    <w:p w14:paraId="7789FC5C" w14:textId="77777777" w:rsidR="002F0B6D" w:rsidRPr="00A3167D" w:rsidRDefault="002F0B6D" w:rsidP="002F0B6D">
      <w:pPr>
        <w:jc w:val="both"/>
        <w:rPr>
          <w:b/>
          <w:sz w:val="32"/>
          <w:szCs w:val="32"/>
        </w:rPr>
      </w:pPr>
    </w:p>
    <w:p w14:paraId="03A34E36" w14:textId="77777777" w:rsidR="002F0B6D" w:rsidRPr="00A3167D" w:rsidRDefault="002F0B6D" w:rsidP="002F0B6D">
      <w:pPr>
        <w:jc w:val="both"/>
        <w:rPr>
          <w:b/>
          <w:sz w:val="32"/>
          <w:szCs w:val="32"/>
          <w:lang w:val="ka-GE"/>
        </w:rPr>
      </w:pPr>
    </w:p>
    <w:p w14:paraId="246EF453" w14:textId="151E06D7" w:rsidR="002F0B6D" w:rsidRPr="002F0B6D" w:rsidRDefault="002F0B6D" w:rsidP="002F0B6D">
      <w:pPr>
        <w:spacing w:after="240"/>
        <w:jc w:val="center"/>
        <w:rPr>
          <w:b/>
          <w:sz w:val="32"/>
          <w:szCs w:val="32"/>
        </w:rPr>
        <w:sectPr w:rsidR="002F0B6D" w:rsidRPr="002F0B6D" w:rsidSect="00D7084B">
          <w:headerReference w:type="default" r:id="rId9"/>
          <w:footerReference w:type="default" r:id="rId10"/>
          <w:pgSz w:w="12240" w:h="15840"/>
          <w:pgMar w:top="990" w:right="1138" w:bottom="1138" w:left="1138" w:header="720" w:footer="720" w:gutter="0"/>
          <w:pgNumType w:start="1"/>
          <w:cols w:space="720"/>
          <w:titlePg/>
          <w:docGrid w:linePitch="360"/>
        </w:sectPr>
      </w:pPr>
      <w:r>
        <w:rPr>
          <w:b/>
          <w:sz w:val="32"/>
          <w:szCs w:val="32"/>
        </w:rPr>
        <w:t>May</w:t>
      </w:r>
      <w:r>
        <w:rPr>
          <w:b/>
          <w:sz w:val="32"/>
          <w:szCs w:val="32"/>
        </w:rPr>
        <w:t xml:space="preserve"> </w:t>
      </w:r>
      <w:r>
        <w:rPr>
          <w:b/>
          <w:sz w:val="32"/>
          <w:szCs w:val="32"/>
        </w:rPr>
        <w:t>2020</w:t>
      </w:r>
    </w:p>
    <w:p w14:paraId="4F9FE3A7" w14:textId="77777777" w:rsidR="002F0B6D" w:rsidRPr="00A3167D" w:rsidRDefault="002F0B6D" w:rsidP="002F0B6D">
      <w:pPr>
        <w:spacing w:before="120"/>
        <w:jc w:val="both"/>
        <w:rPr>
          <w:b/>
          <w:bCs/>
          <w:sz w:val="22"/>
          <w:szCs w:val="22"/>
          <w:lang w:val="ka-GE"/>
        </w:rPr>
      </w:pPr>
    </w:p>
    <w:p w14:paraId="43ED4CCB" w14:textId="77777777" w:rsidR="002F0B6D" w:rsidRPr="00A3167D" w:rsidRDefault="002F0B6D" w:rsidP="002F0B6D">
      <w:pPr>
        <w:pStyle w:val="Title"/>
        <w:jc w:val="both"/>
        <w:rPr>
          <w:rFonts w:ascii="Times New Roman" w:hAnsi="Times New Roman" w:cs="Times New Roman"/>
          <w:b/>
          <w:sz w:val="22"/>
          <w:szCs w:val="22"/>
        </w:rPr>
      </w:pPr>
    </w:p>
    <w:p w14:paraId="01A7DA65" w14:textId="77777777" w:rsidR="002F0B6D" w:rsidRPr="00A3167D" w:rsidRDefault="002F0B6D" w:rsidP="002F0B6D">
      <w:pPr>
        <w:rPr>
          <w:sz w:val="22"/>
          <w:szCs w:val="22"/>
        </w:rPr>
      </w:pPr>
    </w:p>
    <w:p w14:paraId="1F721595" w14:textId="77777777" w:rsidR="002F0B6D" w:rsidRPr="00A3167D" w:rsidRDefault="002F0B6D" w:rsidP="002F0B6D">
      <w:pPr>
        <w:rPr>
          <w:sz w:val="22"/>
          <w:szCs w:val="22"/>
        </w:rPr>
      </w:pPr>
    </w:p>
    <w:p w14:paraId="76B2B424" w14:textId="77777777" w:rsidR="002F0B6D" w:rsidRPr="00A3167D" w:rsidRDefault="002F0B6D" w:rsidP="002F0B6D">
      <w:pPr>
        <w:rPr>
          <w:sz w:val="22"/>
          <w:szCs w:val="22"/>
        </w:rPr>
      </w:pPr>
    </w:p>
    <w:p w14:paraId="40B5CB91" w14:textId="77777777" w:rsidR="002F0B6D" w:rsidRPr="00A3167D" w:rsidRDefault="002F0B6D" w:rsidP="002F0B6D">
      <w:pPr>
        <w:rPr>
          <w:sz w:val="22"/>
          <w:szCs w:val="22"/>
        </w:rPr>
      </w:pPr>
    </w:p>
    <w:p w14:paraId="194F4CEC" w14:textId="77777777" w:rsidR="002F0B6D" w:rsidRPr="00A3167D" w:rsidRDefault="002F0B6D" w:rsidP="002F0B6D">
      <w:pPr>
        <w:rPr>
          <w:sz w:val="22"/>
          <w:szCs w:val="22"/>
        </w:rPr>
      </w:pPr>
    </w:p>
    <w:p w14:paraId="1246CC02" w14:textId="77777777" w:rsidR="002F0B6D" w:rsidRPr="00A3167D" w:rsidRDefault="002F0B6D" w:rsidP="002F0B6D">
      <w:pPr>
        <w:rPr>
          <w:sz w:val="22"/>
          <w:szCs w:val="22"/>
        </w:rPr>
      </w:pPr>
    </w:p>
    <w:p w14:paraId="410D2D23" w14:textId="77777777" w:rsidR="002F0B6D" w:rsidRPr="00A3167D" w:rsidRDefault="002F0B6D" w:rsidP="002F0B6D">
      <w:pPr>
        <w:rPr>
          <w:sz w:val="22"/>
          <w:szCs w:val="22"/>
        </w:rPr>
      </w:pPr>
    </w:p>
    <w:p w14:paraId="31896B56" w14:textId="77777777" w:rsidR="002F0B6D" w:rsidRPr="00A3167D" w:rsidRDefault="002F0B6D" w:rsidP="002F0B6D">
      <w:pPr>
        <w:rPr>
          <w:sz w:val="22"/>
          <w:szCs w:val="22"/>
        </w:rPr>
      </w:pPr>
    </w:p>
    <w:p w14:paraId="7FE790FD" w14:textId="77777777" w:rsidR="002F0B6D" w:rsidRPr="00A3167D" w:rsidRDefault="002F0B6D" w:rsidP="002F0B6D">
      <w:pPr>
        <w:rPr>
          <w:sz w:val="22"/>
          <w:szCs w:val="22"/>
        </w:rPr>
      </w:pPr>
    </w:p>
    <w:p w14:paraId="71B23670" w14:textId="77777777" w:rsidR="002F0B6D" w:rsidRPr="00A3167D" w:rsidRDefault="002F0B6D" w:rsidP="002F0B6D">
      <w:pPr>
        <w:rPr>
          <w:sz w:val="22"/>
          <w:szCs w:val="22"/>
        </w:rPr>
      </w:pPr>
    </w:p>
    <w:p w14:paraId="5CDF62B1" w14:textId="77777777" w:rsidR="002F0B6D" w:rsidRPr="00A3167D" w:rsidRDefault="002F0B6D" w:rsidP="002F0B6D">
      <w:pPr>
        <w:rPr>
          <w:sz w:val="22"/>
          <w:szCs w:val="22"/>
        </w:rPr>
      </w:pPr>
    </w:p>
    <w:p w14:paraId="00DA11D2" w14:textId="77777777" w:rsidR="002F0B6D" w:rsidRPr="00A3167D" w:rsidRDefault="002F0B6D" w:rsidP="002F0B6D">
      <w:pPr>
        <w:rPr>
          <w:sz w:val="22"/>
          <w:szCs w:val="22"/>
        </w:rPr>
      </w:pPr>
    </w:p>
    <w:p w14:paraId="48EA5FE2" w14:textId="77777777" w:rsidR="002F0B6D" w:rsidRPr="00A3167D" w:rsidRDefault="002F0B6D" w:rsidP="002F0B6D">
      <w:pPr>
        <w:rPr>
          <w:sz w:val="22"/>
          <w:szCs w:val="22"/>
        </w:rPr>
      </w:pPr>
    </w:p>
    <w:p w14:paraId="626D3C97" w14:textId="77777777" w:rsidR="002F0B6D" w:rsidRPr="00A3167D" w:rsidRDefault="002F0B6D" w:rsidP="002F0B6D">
      <w:pPr>
        <w:rPr>
          <w:sz w:val="22"/>
          <w:szCs w:val="22"/>
        </w:rPr>
      </w:pPr>
    </w:p>
    <w:p w14:paraId="13BA49D8" w14:textId="77777777" w:rsidR="002F0B6D" w:rsidRPr="00A3167D" w:rsidRDefault="002F0B6D" w:rsidP="002F0B6D">
      <w:pPr>
        <w:rPr>
          <w:sz w:val="22"/>
          <w:szCs w:val="22"/>
        </w:rPr>
      </w:pPr>
    </w:p>
    <w:p w14:paraId="6CAFA6E7" w14:textId="77777777" w:rsidR="002F0B6D" w:rsidRPr="00A3167D" w:rsidRDefault="002F0B6D" w:rsidP="002F0B6D">
      <w:pPr>
        <w:rPr>
          <w:sz w:val="22"/>
          <w:szCs w:val="22"/>
        </w:rPr>
      </w:pPr>
    </w:p>
    <w:p w14:paraId="29A2D80B" w14:textId="77777777" w:rsidR="002F0B6D" w:rsidRPr="00A3167D" w:rsidRDefault="002F0B6D" w:rsidP="002F0B6D">
      <w:pPr>
        <w:rPr>
          <w:sz w:val="22"/>
          <w:szCs w:val="22"/>
        </w:rPr>
      </w:pPr>
    </w:p>
    <w:p w14:paraId="6746D5AA" w14:textId="77777777" w:rsidR="002F0B6D" w:rsidRPr="00A3167D" w:rsidRDefault="002F0B6D" w:rsidP="002F0B6D">
      <w:pPr>
        <w:rPr>
          <w:sz w:val="22"/>
          <w:szCs w:val="22"/>
        </w:rPr>
      </w:pPr>
    </w:p>
    <w:p w14:paraId="237FD964" w14:textId="77777777" w:rsidR="002F0B6D" w:rsidRPr="00A3167D" w:rsidRDefault="002F0B6D" w:rsidP="002F0B6D">
      <w:pPr>
        <w:rPr>
          <w:sz w:val="22"/>
          <w:szCs w:val="22"/>
        </w:rPr>
      </w:pPr>
    </w:p>
    <w:p w14:paraId="7AC383C0" w14:textId="77777777" w:rsidR="002F0B6D" w:rsidRPr="00A3167D" w:rsidRDefault="002F0B6D" w:rsidP="002F0B6D">
      <w:pPr>
        <w:rPr>
          <w:sz w:val="22"/>
          <w:szCs w:val="22"/>
        </w:rPr>
      </w:pPr>
    </w:p>
    <w:p w14:paraId="39A26652" w14:textId="77777777" w:rsidR="002F0B6D" w:rsidRPr="00A3167D" w:rsidRDefault="002F0B6D" w:rsidP="002F0B6D">
      <w:pPr>
        <w:rPr>
          <w:sz w:val="22"/>
          <w:szCs w:val="22"/>
        </w:rPr>
      </w:pPr>
    </w:p>
    <w:p w14:paraId="263C1E26" w14:textId="77777777" w:rsidR="002F0B6D" w:rsidRPr="00A3167D" w:rsidRDefault="002F0B6D" w:rsidP="002F0B6D">
      <w:pPr>
        <w:rPr>
          <w:sz w:val="22"/>
          <w:szCs w:val="22"/>
        </w:rPr>
      </w:pPr>
    </w:p>
    <w:p w14:paraId="6B5D60C8" w14:textId="77777777" w:rsidR="002F0B6D" w:rsidRPr="00A3167D" w:rsidRDefault="002F0B6D" w:rsidP="002F0B6D">
      <w:pPr>
        <w:rPr>
          <w:sz w:val="22"/>
          <w:szCs w:val="22"/>
        </w:rPr>
      </w:pPr>
    </w:p>
    <w:p w14:paraId="7856D5B5" w14:textId="77777777" w:rsidR="002F0B6D" w:rsidRPr="00A3167D" w:rsidRDefault="002F0B6D" w:rsidP="002F0B6D">
      <w:pPr>
        <w:rPr>
          <w:sz w:val="22"/>
          <w:szCs w:val="22"/>
        </w:rPr>
      </w:pPr>
    </w:p>
    <w:p w14:paraId="3651871A" w14:textId="77777777" w:rsidR="002F0B6D" w:rsidRPr="00A3167D" w:rsidRDefault="002F0B6D" w:rsidP="002F0B6D">
      <w:pPr>
        <w:rPr>
          <w:sz w:val="22"/>
          <w:szCs w:val="22"/>
        </w:rPr>
      </w:pPr>
    </w:p>
    <w:p w14:paraId="70B8BE25" w14:textId="77777777" w:rsidR="002F0B6D" w:rsidRPr="00A3167D" w:rsidRDefault="002F0B6D" w:rsidP="002F0B6D">
      <w:pPr>
        <w:rPr>
          <w:sz w:val="22"/>
          <w:szCs w:val="22"/>
        </w:rPr>
      </w:pPr>
    </w:p>
    <w:p w14:paraId="7A637924" w14:textId="77777777" w:rsidR="002F0B6D" w:rsidRPr="00A3167D" w:rsidRDefault="002F0B6D" w:rsidP="002F0B6D">
      <w:pPr>
        <w:rPr>
          <w:sz w:val="22"/>
          <w:szCs w:val="22"/>
        </w:rPr>
      </w:pPr>
    </w:p>
    <w:p w14:paraId="552B42E7" w14:textId="77777777" w:rsidR="002F0B6D" w:rsidRPr="00A3167D" w:rsidRDefault="002F0B6D" w:rsidP="002F0B6D">
      <w:pPr>
        <w:rPr>
          <w:sz w:val="22"/>
          <w:szCs w:val="22"/>
        </w:rPr>
      </w:pPr>
    </w:p>
    <w:p w14:paraId="77B27640" w14:textId="77777777" w:rsidR="002F0B6D" w:rsidRPr="00A3167D" w:rsidRDefault="002F0B6D" w:rsidP="002F0B6D">
      <w:pPr>
        <w:rPr>
          <w:sz w:val="22"/>
          <w:szCs w:val="22"/>
        </w:rPr>
      </w:pPr>
    </w:p>
    <w:p w14:paraId="146F6964" w14:textId="77777777" w:rsidR="002F0B6D" w:rsidRPr="00A3167D" w:rsidRDefault="002F0B6D" w:rsidP="002F0B6D">
      <w:pPr>
        <w:rPr>
          <w:sz w:val="22"/>
          <w:szCs w:val="22"/>
        </w:rPr>
      </w:pPr>
    </w:p>
    <w:p w14:paraId="112AE9C9" w14:textId="77777777" w:rsidR="002F0B6D" w:rsidRPr="00A3167D" w:rsidRDefault="002F0B6D" w:rsidP="002F0B6D">
      <w:pPr>
        <w:rPr>
          <w:sz w:val="22"/>
          <w:szCs w:val="22"/>
        </w:rPr>
      </w:pPr>
    </w:p>
    <w:p w14:paraId="3657904C" w14:textId="77777777" w:rsidR="002F0B6D" w:rsidRPr="00A3167D" w:rsidRDefault="002F0B6D" w:rsidP="002F0B6D">
      <w:pPr>
        <w:rPr>
          <w:sz w:val="22"/>
          <w:szCs w:val="22"/>
        </w:rPr>
      </w:pPr>
    </w:p>
    <w:p w14:paraId="58478A00" w14:textId="77777777" w:rsidR="002F0B6D" w:rsidRPr="00A3167D" w:rsidRDefault="002F0B6D" w:rsidP="002F0B6D">
      <w:pPr>
        <w:rPr>
          <w:sz w:val="22"/>
          <w:szCs w:val="22"/>
        </w:rPr>
      </w:pPr>
    </w:p>
    <w:p w14:paraId="4B860C66" w14:textId="77777777" w:rsidR="002F0B6D" w:rsidRPr="00A3167D" w:rsidRDefault="002F0B6D" w:rsidP="002F0B6D">
      <w:pPr>
        <w:rPr>
          <w:b/>
          <w:sz w:val="22"/>
          <w:szCs w:val="22"/>
        </w:rPr>
      </w:pPr>
    </w:p>
    <w:p w14:paraId="70967C32" w14:textId="77777777" w:rsidR="002F0B6D" w:rsidRPr="00A3167D" w:rsidRDefault="002F0B6D" w:rsidP="002F0B6D">
      <w:pPr>
        <w:rPr>
          <w:b/>
          <w:sz w:val="22"/>
          <w:szCs w:val="22"/>
        </w:rPr>
      </w:pPr>
    </w:p>
    <w:p w14:paraId="58276D85" w14:textId="77777777" w:rsidR="002F0B6D" w:rsidRPr="00A3167D" w:rsidRDefault="002F0B6D" w:rsidP="002F0B6D">
      <w:pPr>
        <w:rPr>
          <w:b/>
          <w:sz w:val="22"/>
          <w:szCs w:val="22"/>
        </w:rPr>
      </w:pPr>
    </w:p>
    <w:p w14:paraId="7BA15BC2" w14:textId="77777777" w:rsidR="002F0B6D" w:rsidRPr="00A3167D" w:rsidRDefault="002F0B6D" w:rsidP="002F0B6D">
      <w:pPr>
        <w:rPr>
          <w:b/>
          <w:sz w:val="22"/>
          <w:szCs w:val="22"/>
        </w:rPr>
      </w:pPr>
    </w:p>
    <w:p w14:paraId="784A1683" w14:textId="77777777" w:rsidR="002F0B6D" w:rsidRPr="00A3167D" w:rsidRDefault="002F0B6D" w:rsidP="002F0B6D">
      <w:pPr>
        <w:rPr>
          <w:b/>
          <w:sz w:val="22"/>
          <w:szCs w:val="22"/>
        </w:rPr>
      </w:pPr>
    </w:p>
    <w:p w14:paraId="4D4E954D" w14:textId="77777777" w:rsidR="002F0B6D" w:rsidRPr="00A3167D" w:rsidRDefault="002F0B6D" w:rsidP="002F0B6D">
      <w:pPr>
        <w:rPr>
          <w:b/>
          <w:sz w:val="22"/>
          <w:szCs w:val="22"/>
        </w:rPr>
      </w:pPr>
    </w:p>
    <w:p w14:paraId="5AC29299" w14:textId="77777777" w:rsidR="002F0B6D" w:rsidRPr="00A3167D" w:rsidRDefault="002F0B6D" w:rsidP="002F0B6D">
      <w:pPr>
        <w:rPr>
          <w:b/>
        </w:rPr>
      </w:pPr>
    </w:p>
    <w:p w14:paraId="757ED96F" w14:textId="77777777" w:rsidR="002F0B6D" w:rsidRPr="00A3167D" w:rsidRDefault="002F0B6D" w:rsidP="002F0B6D">
      <w:pPr>
        <w:rPr>
          <w:b/>
        </w:rPr>
      </w:pPr>
    </w:p>
    <w:p w14:paraId="1E688012" w14:textId="77777777" w:rsidR="002F0B6D" w:rsidRPr="00A3167D" w:rsidRDefault="002F0B6D" w:rsidP="002F0B6D">
      <w:pPr>
        <w:spacing w:line="276" w:lineRule="auto"/>
        <w:rPr>
          <w:b/>
        </w:rPr>
      </w:pPr>
    </w:p>
    <w:p w14:paraId="2A05F90C" w14:textId="77777777" w:rsidR="002F0B6D" w:rsidRPr="00A3167D" w:rsidRDefault="002F0B6D" w:rsidP="002F0B6D">
      <w:pPr>
        <w:spacing w:line="276" w:lineRule="auto"/>
        <w:rPr>
          <w:b/>
        </w:rPr>
      </w:pPr>
      <w:r w:rsidRPr="00A3167D">
        <w:rPr>
          <w:b/>
        </w:rPr>
        <w:t>Correspondence should be addressed to:</w:t>
      </w:r>
    </w:p>
    <w:p w14:paraId="42301847" w14:textId="77777777" w:rsidR="002F0B6D" w:rsidRPr="00A3167D" w:rsidRDefault="002F0B6D" w:rsidP="002F0B6D">
      <w:pPr>
        <w:spacing w:line="276" w:lineRule="auto"/>
      </w:pPr>
      <w:r w:rsidRPr="00A3167D">
        <w:t>Office of Public Defender (Ombudsman) of Georgia</w:t>
      </w:r>
    </w:p>
    <w:p w14:paraId="4A202A3E" w14:textId="77777777" w:rsidR="002F0B6D" w:rsidRPr="00A3167D" w:rsidRDefault="002F0B6D" w:rsidP="002F0B6D">
      <w:pPr>
        <w:spacing w:line="276" w:lineRule="auto"/>
      </w:pPr>
      <w:r w:rsidRPr="00A3167D">
        <w:t xml:space="preserve">David </w:t>
      </w:r>
      <w:proofErr w:type="spellStart"/>
      <w:r w:rsidRPr="00A3167D">
        <w:t>Agmashenebeli</w:t>
      </w:r>
      <w:proofErr w:type="spellEnd"/>
      <w:r w:rsidRPr="00A3167D">
        <w:t xml:space="preserve"> Avenue 150</w:t>
      </w:r>
    </w:p>
    <w:p w14:paraId="4F016D2E" w14:textId="77777777" w:rsidR="002F0B6D" w:rsidRPr="00A3167D" w:rsidRDefault="002F0B6D" w:rsidP="002F0B6D">
      <w:pPr>
        <w:spacing w:line="276" w:lineRule="auto"/>
      </w:pPr>
      <w:r w:rsidRPr="00A3167D">
        <w:t>0112 Tbilisi</w:t>
      </w:r>
    </w:p>
    <w:p w14:paraId="04C663B1" w14:textId="77777777" w:rsidR="002F0B6D" w:rsidRPr="00A3167D" w:rsidRDefault="002F0B6D" w:rsidP="002F0B6D">
      <w:pPr>
        <w:spacing w:line="276" w:lineRule="auto"/>
      </w:pPr>
      <w:r w:rsidRPr="00A3167D">
        <w:t>Georgia</w:t>
      </w:r>
    </w:p>
    <w:p w14:paraId="49EB38F2" w14:textId="77777777" w:rsidR="002F0B6D" w:rsidRPr="00A3167D" w:rsidRDefault="002F0B6D" w:rsidP="002F0B6D">
      <w:pPr>
        <w:pStyle w:val="TOCHeading"/>
        <w:spacing w:line="276" w:lineRule="auto"/>
        <w:rPr>
          <w:rFonts w:ascii="Times New Roman" w:eastAsiaTheme="minorHAnsi" w:hAnsi="Times New Roman" w:cs="Times New Roman"/>
          <w:color w:val="auto"/>
          <w:sz w:val="24"/>
          <w:szCs w:val="24"/>
          <w:lang w:val="ka-GE"/>
        </w:rPr>
      </w:pPr>
      <w:hyperlink r:id="rId11" w:history="1">
        <w:r w:rsidRPr="00A3167D">
          <w:rPr>
            <w:rStyle w:val="Hyperlink"/>
            <w:rFonts w:ascii="Times New Roman" w:eastAsiaTheme="minorHAnsi" w:hAnsi="Times New Roman" w:cs="Times New Roman"/>
            <w:sz w:val="24"/>
            <w:szCs w:val="24"/>
          </w:rPr>
          <w:t>info@ombudsman.ge</w:t>
        </w:r>
      </w:hyperlink>
      <w:r w:rsidRPr="00A3167D">
        <w:rPr>
          <w:rFonts w:ascii="Times New Roman" w:eastAsiaTheme="minorHAnsi" w:hAnsi="Times New Roman" w:cs="Times New Roman"/>
          <w:color w:val="auto"/>
          <w:sz w:val="24"/>
          <w:szCs w:val="24"/>
          <w:lang w:val="ka-GE"/>
        </w:rPr>
        <w:t xml:space="preserve"> </w:t>
      </w:r>
    </w:p>
    <w:p w14:paraId="5FF465DE" w14:textId="77777777" w:rsidR="002F0B6D" w:rsidRPr="00A3167D" w:rsidRDefault="002F0B6D" w:rsidP="002F0B6D">
      <w:pPr>
        <w:rPr>
          <w:sz w:val="22"/>
          <w:szCs w:val="22"/>
          <w:lang w:val="ka-GE"/>
        </w:rPr>
      </w:pPr>
    </w:p>
    <w:p w14:paraId="0ED9F7FF" w14:textId="77777777" w:rsidR="002F0B6D" w:rsidRDefault="002F0B6D" w:rsidP="002F0B6D">
      <w:pPr>
        <w:autoSpaceDE w:val="0"/>
        <w:autoSpaceDN w:val="0"/>
        <w:adjustRightInd w:val="0"/>
        <w:spacing w:line="276" w:lineRule="auto"/>
        <w:jc w:val="center"/>
        <w:rPr>
          <w:b/>
          <w:sz w:val="28"/>
          <w:szCs w:val="28"/>
        </w:rPr>
      </w:pPr>
      <w:r w:rsidRPr="00A3167D">
        <w:rPr>
          <w:b/>
          <w:sz w:val="28"/>
          <w:szCs w:val="28"/>
        </w:rPr>
        <w:lastRenderedPageBreak/>
        <w:t xml:space="preserve">Input </w:t>
      </w:r>
      <w:r>
        <w:rPr>
          <w:b/>
          <w:sz w:val="28"/>
          <w:szCs w:val="28"/>
        </w:rPr>
        <w:t>for</w:t>
      </w:r>
      <w:r w:rsidRPr="002F0B6D">
        <w:rPr>
          <w:b/>
          <w:sz w:val="28"/>
          <w:szCs w:val="28"/>
        </w:rPr>
        <w:t xml:space="preserve"> the UN SRVAW thematic report on rape as a grave and systematic human rights </w:t>
      </w:r>
      <w:proofErr w:type="spellStart"/>
      <w:r w:rsidRPr="002F0B6D">
        <w:rPr>
          <w:b/>
          <w:sz w:val="28"/>
          <w:szCs w:val="28"/>
        </w:rPr>
        <w:t>vio-lation</w:t>
      </w:r>
      <w:proofErr w:type="spellEnd"/>
      <w:r w:rsidRPr="002F0B6D">
        <w:rPr>
          <w:b/>
          <w:sz w:val="28"/>
          <w:szCs w:val="28"/>
        </w:rPr>
        <w:t xml:space="preserve"> and gender-based violence against women</w:t>
      </w:r>
    </w:p>
    <w:p w14:paraId="10D2E563" w14:textId="6A7947CE" w:rsidR="002F0B6D" w:rsidRPr="002F0B6D" w:rsidRDefault="002F0B6D" w:rsidP="002F0B6D">
      <w:pPr>
        <w:autoSpaceDE w:val="0"/>
        <w:autoSpaceDN w:val="0"/>
        <w:adjustRightInd w:val="0"/>
        <w:spacing w:line="276" w:lineRule="auto"/>
        <w:jc w:val="center"/>
        <w:rPr>
          <w:rFonts w:ascii="Sylfaen" w:hAnsi="Sylfaen"/>
          <w:i/>
          <w:sz w:val="22"/>
          <w:szCs w:val="22"/>
          <w:lang w:val="ka-GE"/>
        </w:rPr>
      </w:pPr>
    </w:p>
    <w:p w14:paraId="05B6BE0B" w14:textId="77777777" w:rsidR="002F0B6D" w:rsidRPr="00A3167D" w:rsidRDefault="002F0B6D" w:rsidP="002F0B6D">
      <w:pPr>
        <w:spacing w:after="240" w:line="276" w:lineRule="auto"/>
        <w:jc w:val="center"/>
        <w:rPr>
          <w:b/>
          <w:i/>
          <w:sz w:val="22"/>
          <w:szCs w:val="22"/>
        </w:rPr>
      </w:pPr>
    </w:p>
    <w:p w14:paraId="4EA54C84" w14:textId="77777777" w:rsidR="002F0B6D" w:rsidRPr="00A3167D" w:rsidRDefault="002F0B6D" w:rsidP="002F0B6D">
      <w:pPr>
        <w:spacing w:after="240" w:line="276" w:lineRule="auto"/>
        <w:jc w:val="both"/>
        <w:rPr>
          <w:b/>
          <w:sz w:val="26"/>
          <w:szCs w:val="26"/>
        </w:rPr>
      </w:pPr>
      <w:r w:rsidRPr="00A3167D">
        <w:rPr>
          <w:b/>
          <w:sz w:val="26"/>
          <w:szCs w:val="26"/>
        </w:rPr>
        <w:t xml:space="preserve">Background  </w:t>
      </w:r>
    </w:p>
    <w:p w14:paraId="36753759" w14:textId="77777777" w:rsidR="002F0B6D" w:rsidRPr="00A3167D" w:rsidRDefault="002F0B6D" w:rsidP="002F0B6D">
      <w:pPr>
        <w:spacing w:after="240" w:line="276" w:lineRule="auto"/>
        <w:jc w:val="both"/>
        <w:rPr>
          <w:sz w:val="22"/>
          <w:szCs w:val="22"/>
        </w:rPr>
      </w:pPr>
      <w:r w:rsidRPr="00A3167D">
        <w:rPr>
          <w:sz w:val="22"/>
          <w:szCs w:val="22"/>
        </w:rPr>
        <w:t xml:space="preserve">The Public Defender (Ombudsman) of Georgia is a </w:t>
      </w:r>
      <w:r w:rsidRPr="00A3167D">
        <w:rPr>
          <w:b/>
          <w:sz w:val="22"/>
          <w:szCs w:val="22"/>
        </w:rPr>
        <w:t>constitutional institution</w:t>
      </w:r>
      <w:r w:rsidRPr="00A3167D">
        <w:rPr>
          <w:sz w:val="22"/>
          <w:szCs w:val="22"/>
        </w:rPr>
        <w:t xml:space="preserve"> </w:t>
      </w:r>
      <w:r w:rsidRPr="00A3167D">
        <w:rPr>
          <w:b/>
          <w:sz w:val="22"/>
          <w:szCs w:val="22"/>
        </w:rPr>
        <w:t>(NHRI with “A” Status)</w:t>
      </w:r>
      <w:r w:rsidRPr="00A3167D">
        <w:rPr>
          <w:sz w:val="22"/>
          <w:szCs w:val="22"/>
        </w:rPr>
        <w:t>, which oversees the observance of human rights and freedoms within its jurisdiction on the territory of Georgia. It advises the government on human rights issues and scrutinizes the state’s laws, policies and p</w:t>
      </w:r>
      <w:r>
        <w:rPr>
          <w:sz w:val="22"/>
          <w:szCs w:val="22"/>
        </w:rPr>
        <w:t>ractices, in compliance with</w:t>
      </w:r>
      <w:r w:rsidRPr="00A3167D">
        <w:rPr>
          <w:sz w:val="22"/>
          <w:szCs w:val="22"/>
        </w:rPr>
        <w:t xml:space="preserve"> international standards, and provides relevant recommendations. </w:t>
      </w:r>
      <w:r w:rsidRPr="007F1965">
        <w:rPr>
          <w:b/>
          <w:sz w:val="22"/>
          <w:szCs w:val="22"/>
        </w:rPr>
        <w:t>It identifies human rights violations and contributes to the restoration of the violated rights and freedoms</w:t>
      </w:r>
      <w:r w:rsidRPr="00A3167D">
        <w:rPr>
          <w:sz w:val="22"/>
          <w:szCs w:val="22"/>
        </w:rPr>
        <w:t xml:space="preserve">. </w:t>
      </w:r>
      <w:r w:rsidRPr="00A3167D">
        <w:rPr>
          <w:i/>
          <w:sz w:val="22"/>
          <w:szCs w:val="22"/>
        </w:rPr>
        <w:t>The Constitution of Georgia</w:t>
      </w:r>
      <w:r w:rsidRPr="00A3167D">
        <w:rPr>
          <w:sz w:val="22"/>
          <w:szCs w:val="22"/>
        </w:rPr>
        <w:t xml:space="preserve">, </w:t>
      </w:r>
      <w:r w:rsidRPr="00A3167D">
        <w:rPr>
          <w:i/>
          <w:sz w:val="22"/>
          <w:szCs w:val="22"/>
        </w:rPr>
        <w:t>the Organic Law of Georgia on Public Defender of Georgia</w:t>
      </w:r>
      <w:r w:rsidRPr="00A3167D">
        <w:rPr>
          <w:sz w:val="22"/>
          <w:szCs w:val="22"/>
        </w:rPr>
        <w:t xml:space="preserve"> and other legislative acts regulate the Public Defender’s status and competencies. </w:t>
      </w:r>
    </w:p>
    <w:p w14:paraId="49D9318A" w14:textId="77777777" w:rsidR="002F0B6D" w:rsidRPr="00A3167D" w:rsidRDefault="002F0B6D" w:rsidP="002F0B6D">
      <w:pPr>
        <w:spacing w:line="276" w:lineRule="auto"/>
        <w:jc w:val="both"/>
        <w:rPr>
          <w:sz w:val="22"/>
          <w:szCs w:val="22"/>
        </w:rPr>
      </w:pPr>
      <w:r w:rsidRPr="00A3167D">
        <w:rPr>
          <w:sz w:val="22"/>
          <w:szCs w:val="22"/>
        </w:rPr>
        <w:t xml:space="preserve">The Public Defender of Georgia studies </w:t>
      </w:r>
      <w:r>
        <w:rPr>
          <w:sz w:val="22"/>
          <w:szCs w:val="22"/>
        </w:rPr>
        <w:t xml:space="preserve">the </w:t>
      </w:r>
      <w:r w:rsidRPr="00A3167D">
        <w:rPr>
          <w:sz w:val="22"/>
          <w:szCs w:val="22"/>
        </w:rPr>
        <w:t>facts of human rights violations both on the basis of received applications and on its own initiative. The Public Defender studies the cases relating to:</w:t>
      </w:r>
    </w:p>
    <w:p w14:paraId="2C4E5DAA"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Decisions of public institutions;</w:t>
      </w:r>
    </w:p>
    <w:p w14:paraId="556C1720"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Violations of human rights and freedoms during the court proceedings;</w:t>
      </w:r>
    </w:p>
    <w:p w14:paraId="2EC014B2"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Violations of the rights of detainees, prisoners or individuals whose liberty had been otherwise restricted;</w:t>
      </w:r>
    </w:p>
    <w:p w14:paraId="19E6C3FD"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Compliance of normative acts with the Second Chapter of the Constitution of Georgia;</w:t>
      </w:r>
    </w:p>
    <w:p w14:paraId="44F973C9"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 xml:space="preserve">Constitutionality of the norms regulating the referendums and elections, as well as the elections (referendum) held or to be held on the basis of these norms. </w:t>
      </w:r>
    </w:p>
    <w:p w14:paraId="30DBCCAC" w14:textId="77777777" w:rsidR="002F0B6D" w:rsidRPr="00A3167D" w:rsidRDefault="002F0B6D" w:rsidP="002F0B6D">
      <w:pPr>
        <w:spacing w:after="160" w:line="276" w:lineRule="auto"/>
        <w:jc w:val="both"/>
        <w:rPr>
          <w:sz w:val="22"/>
          <w:szCs w:val="22"/>
        </w:rPr>
      </w:pPr>
      <w:r w:rsidRPr="00A3167D">
        <w:rPr>
          <w:sz w:val="22"/>
          <w:szCs w:val="22"/>
        </w:rPr>
        <w:t>Besides, the Public Defender is authorized to examine the cases of human rights violations guaranteed by the Georgian legislation and international treaties and agreements, to which Georgia is a party.</w:t>
      </w:r>
    </w:p>
    <w:p w14:paraId="7B47B67A" w14:textId="77777777" w:rsidR="002F0B6D" w:rsidRPr="00A3167D" w:rsidRDefault="002F0B6D" w:rsidP="002F0B6D">
      <w:pPr>
        <w:spacing w:line="276" w:lineRule="auto"/>
        <w:jc w:val="both"/>
        <w:rPr>
          <w:sz w:val="22"/>
          <w:szCs w:val="22"/>
        </w:rPr>
      </w:pPr>
      <w:r w:rsidRPr="00A3167D">
        <w:rPr>
          <w:sz w:val="22"/>
          <w:szCs w:val="22"/>
        </w:rPr>
        <w:t>In order to ensure the protection of human rights and freedoms, the Public Defender of Georgia:</w:t>
      </w:r>
    </w:p>
    <w:p w14:paraId="093057EA"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Submits proposals, comments and recommendations concerning the Georgian legislation and draft laws to the Parliament of Georgia or other relevant bodies;</w:t>
      </w:r>
    </w:p>
    <w:p w14:paraId="1EA96D93"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Addresses the state agencies, local self-government bodies, public institutions and public officials with proposals and recommendations concerning the restoration of the violated human rights and freedoms;</w:t>
      </w:r>
    </w:p>
    <w:p w14:paraId="64DD5167"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Addresses relevant investigative authorities with proposals to launch investigation and/or criminal persecution;</w:t>
      </w:r>
    </w:p>
    <w:p w14:paraId="1988D4AE"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Addresses relevant agencies with proposals concerning disciplinary or administrative responsibilities of the individuals, whose actions caused violations of human rights and freedoms;</w:t>
      </w:r>
    </w:p>
    <w:p w14:paraId="3153DF25"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 xml:space="preserve">Performs the </w:t>
      </w:r>
      <w:r w:rsidRPr="00A3167D">
        <w:rPr>
          <w:i/>
          <w:sz w:val="22"/>
          <w:szCs w:val="22"/>
        </w:rPr>
        <w:t>amicus curiae</w:t>
      </w:r>
      <w:r w:rsidRPr="00A3167D">
        <w:rPr>
          <w:sz w:val="22"/>
          <w:szCs w:val="22"/>
        </w:rPr>
        <w:t xml:space="preserve"> function at Common Courts and the Constitutional Court of Georgia;</w:t>
      </w:r>
    </w:p>
    <w:p w14:paraId="79A4504D"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sz w:val="22"/>
          <w:szCs w:val="22"/>
        </w:rPr>
      </w:pPr>
      <w:r w:rsidRPr="00A3167D">
        <w:rPr>
          <w:sz w:val="22"/>
          <w:szCs w:val="22"/>
        </w:rPr>
        <w:t>Submits constitutional claims to the Constitutional Court;</w:t>
      </w:r>
    </w:p>
    <w:p w14:paraId="2FA98D37"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sz w:val="22"/>
          <w:szCs w:val="22"/>
        </w:rPr>
      </w:pPr>
      <w:r w:rsidRPr="00A3167D">
        <w:rPr>
          <w:sz w:val="22"/>
          <w:szCs w:val="22"/>
        </w:rPr>
        <w:t>Appeals to the President and Prime Minister in writing, if s/he considers that the means in disposal of the Public Defender are not sufficient;</w:t>
      </w:r>
    </w:p>
    <w:p w14:paraId="169B388C" w14:textId="77777777" w:rsidR="002F0B6D" w:rsidRPr="00A3167D" w:rsidRDefault="002F0B6D" w:rsidP="002F0B6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sz w:val="22"/>
          <w:szCs w:val="22"/>
        </w:rPr>
      </w:pPr>
      <w:r w:rsidRPr="00A3167D">
        <w:rPr>
          <w:sz w:val="22"/>
          <w:szCs w:val="22"/>
        </w:rPr>
        <w:t>In special cases, appeals to the Parliament of Georgia to set up a temporary investigative commission and consider a specific issue.</w:t>
      </w:r>
    </w:p>
    <w:p w14:paraId="5BD503DC" w14:textId="77777777" w:rsidR="002F0B6D" w:rsidRPr="00A3167D" w:rsidRDefault="002F0B6D" w:rsidP="002F0B6D">
      <w:pPr>
        <w:spacing w:after="240" w:line="276" w:lineRule="auto"/>
        <w:jc w:val="both"/>
        <w:rPr>
          <w:sz w:val="22"/>
          <w:szCs w:val="22"/>
        </w:rPr>
      </w:pPr>
      <w:r w:rsidRPr="00A3167D">
        <w:rPr>
          <w:b/>
          <w:sz w:val="22"/>
          <w:szCs w:val="22"/>
        </w:rPr>
        <w:t xml:space="preserve">The Public Defender of Georgia performs function of the National Preventive Mechanism </w:t>
      </w:r>
      <w:r w:rsidRPr="00A3167D">
        <w:rPr>
          <w:sz w:val="22"/>
          <w:szCs w:val="22"/>
        </w:rPr>
        <w:t xml:space="preserve">under the Optional Protocol to the United Nations Convention against Torture and Other Cruel, Inhuman or </w:t>
      </w:r>
      <w:r w:rsidRPr="00A3167D">
        <w:rPr>
          <w:sz w:val="22"/>
          <w:szCs w:val="22"/>
        </w:rPr>
        <w:lastRenderedPageBreak/>
        <w:t>Degrading Treatment or Punishment. In this capacity, the Public Defender regularly checks the situation and treatment of the detainees, prisoners or individuals whose liberty had been otherwise restricted, convicts, as well as the inmates of psychiatric institutions, houses for older persons and orphanages.</w:t>
      </w:r>
    </w:p>
    <w:p w14:paraId="1602072F" w14:textId="77777777" w:rsidR="002F0B6D" w:rsidRPr="00A3167D" w:rsidRDefault="002F0B6D" w:rsidP="002F0B6D">
      <w:pPr>
        <w:spacing w:after="240" w:line="276" w:lineRule="auto"/>
        <w:jc w:val="both"/>
        <w:rPr>
          <w:sz w:val="22"/>
          <w:szCs w:val="22"/>
        </w:rPr>
      </w:pPr>
      <w:r w:rsidRPr="00A3167D">
        <w:rPr>
          <w:sz w:val="22"/>
          <w:szCs w:val="22"/>
        </w:rPr>
        <w:t xml:space="preserve">Moreover, on 27 October 2014, the Public Defender of Georgia was named as the </w:t>
      </w:r>
      <w:r w:rsidRPr="00A3167D">
        <w:rPr>
          <w:b/>
          <w:sz w:val="22"/>
          <w:szCs w:val="22"/>
        </w:rPr>
        <w:t>structure for ensuring implementation, promotion and protection of the Convention on the Rights of Persons with Disabilities.</w:t>
      </w:r>
    </w:p>
    <w:p w14:paraId="66DA5E01" w14:textId="77777777" w:rsidR="002F0B6D" w:rsidRPr="00A3167D" w:rsidRDefault="002F0B6D" w:rsidP="002F0B6D">
      <w:pPr>
        <w:spacing w:after="240" w:line="276" w:lineRule="auto"/>
        <w:jc w:val="both"/>
        <w:rPr>
          <w:b/>
          <w:sz w:val="22"/>
          <w:szCs w:val="22"/>
        </w:rPr>
      </w:pPr>
      <w:r w:rsidRPr="00A3167D">
        <w:rPr>
          <w:sz w:val="22"/>
          <w:szCs w:val="22"/>
        </w:rPr>
        <w:t xml:space="preserve">Additionally, together with the </w:t>
      </w:r>
      <w:r w:rsidRPr="00A3167D">
        <w:rPr>
          <w:i/>
          <w:sz w:val="22"/>
          <w:szCs w:val="22"/>
        </w:rPr>
        <w:t>Organic Law of Georgia on Public Defender of Georgia</w:t>
      </w:r>
      <w:r w:rsidRPr="00A3167D">
        <w:rPr>
          <w:sz w:val="22"/>
          <w:szCs w:val="22"/>
        </w:rPr>
        <w:t xml:space="preserve">, the </w:t>
      </w:r>
      <w:r w:rsidRPr="00A3167D">
        <w:rPr>
          <w:i/>
          <w:sz w:val="22"/>
          <w:szCs w:val="22"/>
        </w:rPr>
        <w:t>Law of Georgia on Gender Equality</w:t>
      </w:r>
      <w:r w:rsidRPr="00A3167D">
        <w:rPr>
          <w:sz w:val="22"/>
          <w:szCs w:val="22"/>
        </w:rPr>
        <w:t xml:space="preserve"> (Article 14(1)) </w:t>
      </w:r>
      <w:r w:rsidRPr="00A3167D">
        <w:rPr>
          <w:b/>
          <w:sz w:val="22"/>
          <w:szCs w:val="22"/>
        </w:rPr>
        <w:t>empowers the Public Defender to protect gender equality</w:t>
      </w:r>
      <w:r w:rsidRPr="00A3167D">
        <w:rPr>
          <w:sz w:val="22"/>
          <w:szCs w:val="22"/>
        </w:rPr>
        <w:t xml:space="preserve">, monitor the given field and respond to the violations of gender equality within the framework of its competencies. The Public Defender contributes to the elimination of gender inequality through effective and accountable management of cases and monitors the compliance of government and public institutions with national and international obligations on human rights and gender equality. Activities of the Public Defender in the field of gender equality cover both, internal institutional development, as well as contribution to the process of achieving gender equality. </w:t>
      </w:r>
      <w:r w:rsidRPr="00A3167D">
        <w:rPr>
          <w:b/>
          <w:sz w:val="22"/>
          <w:szCs w:val="22"/>
        </w:rPr>
        <w:t xml:space="preserve">Public Defender is also a </w:t>
      </w:r>
      <w:proofErr w:type="spellStart"/>
      <w:r w:rsidRPr="00A3167D">
        <w:rPr>
          <w:b/>
          <w:sz w:val="22"/>
          <w:szCs w:val="22"/>
        </w:rPr>
        <w:t>Femicide</w:t>
      </w:r>
      <w:proofErr w:type="spellEnd"/>
      <w:r w:rsidRPr="00A3167D">
        <w:rPr>
          <w:b/>
          <w:sz w:val="22"/>
          <w:szCs w:val="22"/>
        </w:rPr>
        <w:t xml:space="preserve"> Monitoring Watch in the country. </w:t>
      </w:r>
    </w:p>
    <w:p w14:paraId="62553496" w14:textId="77777777" w:rsidR="002F0B6D" w:rsidRPr="00A3167D" w:rsidRDefault="002F0B6D" w:rsidP="002F0B6D">
      <w:pPr>
        <w:spacing w:after="240" w:line="276" w:lineRule="auto"/>
        <w:jc w:val="both"/>
        <w:rPr>
          <w:sz w:val="22"/>
          <w:szCs w:val="22"/>
        </w:rPr>
      </w:pPr>
      <w:r w:rsidRPr="00A3167D">
        <w:rPr>
          <w:sz w:val="22"/>
          <w:szCs w:val="22"/>
        </w:rPr>
        <w:t xml:space="preserve">The mandate of the Public Defender was further strengthened by the adoption of </w:t>
      </w:r>
      <w:r w:rsidRPr="00A3167D">
        <w:rPr>
          <w:i/>
          <w:sz w:val="22"/>
          <w:szCs w:val="22"/>
        </w:rPr>
        <w:t>the Law of Georgia on Elimination of All Forms of Discrimination</w:t>
      </w:r>
      <w:r w:rsidRPr="00A3167D">
        <w:rPr>
          <w:sz w:val="22"/>
          <w:szCs w:val="22"/>
        </w:rPr>
        <w:t xml:space="preserve"> by the Parliament of Georgia on 2 May 2014 (hereinafter the “Anti-Discrimination Law”), which authorizes the Public Defender to supervise the implementation of the Anti-Discrimination Law and eliminate all forms of discrimination and ensure equality (Article 6). It also determined the Public Defender and courts of general jurisdiction as legal remedies for the right to equality. It is noteworthy that following recent legislative amendments the Public Defender is entitled to refer to the national courts and </w:t>
      </w:r>
      <w:r w:rsidRPr="00A3167D">
        <w:rPr>
          <w:b/>
          <w:sz w:val="22"/>
          <w:szCs w:val="22"/>
        </w:rPr>
        <w:t>demand the</w:t>
      </w:r>
      <w:r w:rsidRPr="00A3167D">
        <w:rPr>
          <w:sz w:val="22"/>
          <w:szCs w:val="22"/>
        </w:rPr>
        <w:t xml:space="preserve"> </w:t>
      </w:r>
      <w:r w:rsidRPr="00A3167D">
        <w:rPr>
          <w:b/>
          <w:sz w:val="22"/>
          <w:szCs w:val="22"/>
        </w:rPr>
        <w:t>enforcement of the recommendation</w:t>
      </w:r>
      <w:r>
        <w:rPr>
          <w:b/>
          <w:sz w:val="22"/>
          <w:szCs w:val="22"/>
        </w:rPr>
        <w:t>s</w:t>
      </w:r>
      <w:r w:rsidRPr="00A3167D">
        <w:rPr>
          <w:b/>
          <w:sz w:val="22"/>
          <w:szCs w:val="22"/>
        </w:rPr>
        <w:t xml:space="preserve"> addressed to both - public authorities/institutions and legal persons of private law</w:t>
      </w:r>
      <w:r w:rsidRPr="00A3167D">
        <w:rPr>
          <w:sz w:val="22"/>
          <w:szCs w:val="22"/>
        </w:rPr>
        <w:t xml:space="preserve">, in </w:t>
      </w:r>
      <w:r>
        <w:rPr>
          <w:sz w:val="22"/>
          <w:szCs w:val="22"/>
        </w:rPr>
        <w:t xml:space="preserve">discrimination </w:t>
      </w:r>
      <w:r w:rsidRPr="00A3167D">
        <w:rPr>
          <w:sz w:val="22"/>
          <w:szCs w:val="22"/>
        </w:rPr>
        <w:t xml:space="preserve">cases where the perpetrator fails to take into consideration and fulfil the recommendation of the Public Defender. </w:t>
      </w:r>
    </w:p>
    <w:p w14:paraId="1134753E" w14:textId="77777777" w:rsidR="002F0B6D" w:rsidRDefault="002F0B6D">
      <w:pPr>
        <w:rPr>
          <w:rFonts w:eastAsia="Calibri"/>
          <w:b/>
          <w:bCs/>
          <w:u w:color="000000"/>
          <w:lang w:eastAsia="en-GB"/>
        </w:rPr>
      </w:pPr>
      <w:r>
        <w:rPr>
          <w:rFonts w:eastAsia="Calibri"/>
          <w:b/>
          <w:bCs/>
        </w:rPr>
        <w:br w:type="page"/>
      </w:r>
    </w:p>
    <w:p w14:paraId="607FE311" w14:textId="24EC1D80" w:rsidR="006C2193" w:rsidRPr="00D26BE7" w:rsidRDefault="009D4513" w:rsidP="0044540E">
      <w:pPr>
        <w:pStyle w:val="BodyA"/>
        <w:jc w:val="center"/>
        <w:rPr>
          <w:rFonts w:eastAsia="Calibri" w:cs="Times New Roman"/>
          <w:color w:val="auto"/>
          <w:lang w:val="en-GB"/>
        </w:rPr>
      </w:pPr>
      <w:r w:rsidRPr="00D26BE7">
        <w:rPr>
          <w:rFonts w:eastAsia="Calibri" w:cs="Times New Roman"/>
          <w:b/>
          <w:bCs/>
          <w:color w:val="auto"/>
          <w:lang w:val="en-GB"/>
        </w:rPr>
        <w:lastRenderedPageBreak/>
        <w:t xml:space="preserve">Call for submissions </w:t>
      </w:r>
      <w:r w:rsidR="00573368" w:rsidRPr="00D26BE7">
        <w:rPr>
          <w:rFonts w:eastAsia="Calibri" w:cs="Times New Roman"/>
          <w:b/>
          <w:bCs/>
          <w:color w:val="auto"/>
          <w:lang w:val="en-GB"/>
        </w:rPr>
        <w:t>to</w:t>
      </w:r>
      <w:r w:rsidRPr="00D26BE7">
        <w:rPr>
          <w:rFonts w:eastAsia="Calibri" w:cs="Times New Roman"/>
          <w:b/>
          <w:bCs/>
          <w:color w:val="auto"/>
          <w:lang w:val="en-GB"/>
        </w:rPr>
        <w:t xml:space="preserve"> the UN SRVAW thematic report on rape as a grave and systematic human rights violation and </w:t>
      </w:r>
      <w:r w:rsidR="00573368" w:rsidRPr="00D26BE7">
        <w:rPr>
          <w:rFonts w:eastAsia="Calibri" w:cs="Times New Roman"/>
          <w:b/>
          <w:bCs/>
          <w:color w:val="auto"/>
          <w:lang w:val="en-GB"/>
        </w:rPr>
        <w:t>gender-</w:t>
      </w:r>
      <w:r w:rsidRPr="00D26BE7">
        <w:rPr>
          <w:rFonts w:eastAsia="Calibri" w:cs="Times New Roman"/>
          <w:b/>
          <w:bCs/>
          <w:color w:val="auto"/>
          <w:lang w:val="en-GB"/>
        </w:rPr>
        <w:t>based violence against women</w:t>
      </w:r>
    </w:p>
    <w:p w14:paraId="2536E436" w14:textId="40848479" w:rsidR="006C2193" w:rsidRPr="00D26BE7" w:rsidRDefault="006C2193" w:rsidP="00540529">
      <w:pPr>
        <w:pStyle w:val="BodyA"/>
        <w:jc w:val="both"/>
        <w:rPr>
          <w:rFonts w:eastAsia="Calibri" w:cs="Times New Roman"/>
          <w:color w:val="auto"/>
          <w:lang w:val="en-GB"/>
        </w:rPr>
      </w:pPr>
    </w:p>
    <w:p w14:paraId="781975C2" w14:textId="4DBBB673" w:rsidR="009E0700" w:rsidRPr="00D26BE7" w:rsidRDefault="009E0700" w:rsidP="009E0700">
      <w:pPr>
        <w:pStyle w:val="BodyA"/>
        <w:jc w:val="both"/>
        <w:rPr>
          <w:rStyle w:val="None"/>
          <w:rFonts w:eastAsia="Calibri" w:cs="Times New Roman"/>
          <w:color w:val="auto"/>
          <w:lang w:val="en-GB"/>
        </w:rPr>
      </w:pPr>
      <w:r w:rsidRPr="00D26BE7">
        <w:rPr>
          <w:rFonts w:eastAsia="Calibri" w:cs="Times New Roman"/>
          <w:color w:val="auto"/>
          <w:lang w:val="en-GB"/>
        </w:rPr>
        <w:t xml:space="preserve">All submissions should be sent to </w:t>
      </w:r>
      <w:bookmarkStart w:id="0" w:name="_GoBack"/>
      <w:r w:rsidR="00873431">
        <w:rPr>
          <w:rStyle w:val="Hyperlink0"/>
          <w:rFonts w:ascii="Times New Roman" w:hAnsi="Times New Roman" w:cs="Times New Roman"/>
          <w:color w:val="auto"/>
          <w:sz w:val="24"/>
          <w:szCs w:val="24"/>
          <w:lang w:val="en-GB"/>
        </w:rPr>
        <w:fldChar w:fldCharType="begin"/>
      </w:r>
      <w:r w:rsidR="00873431">
        <w:rPr>
          <w:rStyle w:val="Hyperlink0"/>
          <w:rFonts w:ascii="Times New Roman" w:hAnsi="Times New Roman" w:cs="Times New Roman"/>
          <w:color w:val="auto"/>
          <w:sz w:val="24"/>
          <w:szCs w:val="24"/>
          <w:lang w:val="en-GB"/>
        </w:rPr>
        <w:instrText xml:space="preserve"> HYPERLINK "mailto:vaw@ohchr.org" </w:instrText>
      </w:r>
      <w:r w:rsidR="00873431">
        <w:rPr>
          <w:rStyle w:val="Hyperlink0"/>
          <w:rFonts w:ascii="Times New Roman" w:hAnsi="Times New Roman" w:cs="Times New Roman"/>
          <w:color w:val="auto"/>
          <w:sz w:val="24"/>
          <w:szCs w:val="24"/>
          <w:lang w:val="en-GB"/>
        </w:rPr>
        <w:fldChar w:fldCharType="separate"/>
      </w:r>
      <w:r w:rsidRPr="00D26BE7">
        <w:rPr>
          <w:rStyle w:val="Hyperlink0"/>
          <w:rFonts w:ascii="Times New Roman" w:hAnsi="Times New Roman" w:cs="Times New Roman"/>
          <w:color w:val="auto"/>
          <w:sz w:val="24"/>
          <w:szCs w:val="24"/>
          <w:lang w:val="en-GB"/>
        </w:rPr>
        <w:t>vaw@ohchr.org</w:t>
      </w:r>
      <w:r w:rsidR="00873431">
        <w:rPr>
          <w:rStyle w:val="Hyperlink0"/>
          <w:rFonts w:ascii="Times New Roman" w:hAnsi="Times New Roman" w:cs="Times New Roman"/>
          <w:color w:val="auto"/>
          <w:sz w:val="24"/>
          <w:szCs w:val="24"/>
          <w:lang w:val="en-GB"/>
        </w:rPr>
        <w:fldChar w:fldCharType="end"/>
      </w:r>
      <w:bookmarkEnd w:id="0"/>
      <w:r w:rsidRPr="00D26BE7">
        <w:rPr>
          <w:rStyle w:val="None"/>
          <w:rFonts w:eastAsia="Calibri" w:cs="Times New Roman"/>
          <w:color w:val="auto"/>
          <w:lang w:val="en-GB"/>
        </w:rPr>
        <w:t xml:space="preserve">  by </w:t>
      </w:r>
      <w:r w:rsidRPr="00D26BE7">
        <w:rPr>
          <w:rStyle w:val="None"/>
          <w:rFonts w:eastAsia="Calibri" w:cs="Times New Roman"/>
          <w:b/>
          <w:bCs/>
          <w:color w:val="auto"/>
          <w:lang w:val="en-GB"/>
        </w:rPr>
        <w:t>20 May 2020</w:t>
      </w:r>
      <w:r w:rsidRPr="00D26BE7">
        <w:rPr>
          <w:rStyle w:val="None"/>
          <w:rFonts w:eastAsia="Calibri" w:cs="Times New Roman"/>
          <w:color w:val="auto"/>
          <w:lang w:val="en-GB"/>
        </w:rPr>
        <w:t>. K</w:t>
      </w:r>
      <w:proofErr w:type="spellStart"/>
      <w:r w:rsidRPr="00D26BE7">
        <w:rPr>
          <w:rStyle w:val="None"/>
          <w:rFonts w:eastAsia="Calibri" w:cs="Times New Roman"/>
          <w:color w:val="auto"/>
        </w:rPr>
        <w:t>indly</w:t>
      </w:r>
      <w:proofErr w:type="spellEnd"/>
      <w:r w:rsidRPr="00D26BE7">
        <w:rPr>
          <w:rStyle w:val="None"/>
          <w:rFonts w:eastAsia="Calibri" w:cs="Times New Roman"/>
          <w:color w:val="auto"/>
        </w:rPr>
        <w:t xml:space="preserve"> </w:t>
      </w:r>
      <w:r w:rsidRPr="00D26BE7">
        <w:rPr>
          <w:rStyle w:val="None"/>
          <w:rFonts w:eastAsia="Calibri" w:cs="Times New Roman"/>
          <w:color w:val="auto"/>
          <w:lang w:val="en-GB"/>
        </w:rPr>
        <w:t xml:space="preserve">indicate if you DO NOT wish your submission to be made public. </w:t>
      </w:r>
    </w:p>
    <w:p w14:paraId="4113C57D" w14:textId="77777777" w:rsidR="009E0700" w:rsidRPr="00D26BE7" w:rsidRDefault="009E0700" w:rsidP="00540529">
      <w:pPr>
        <w:pStyle w:val="BodyA"/>
        <w:jc w:val="both"/>
        <w:rPr>
          <w:rFonts w:eastAsia="Calibri" w:cs="Times New Roman"/>
          <w:color w:val="auto"/>
          <w:lang w:val="en-GB"/>
        </w:rPr>
      </w:pPr>
    </w:p>
    <w:p w14:paraId="4479A04B" w14:textId="77777777" w:rsidR="006C2193" w:rsidRPr="00D26BE7" w:rsidRDefault="009D4513" w:rsidP="00540529">
      <w:pPr>
        <w:pStyle w:val="BodyA"/>
        <w:jc w:val="both"/>
        <w:rPr>
          <w:rFonts w:eastAsia="Calibri" w:cs="Times New Roman"/>
          <w:b/>
          <w:bCs/>
          <w:color w:val="auto"/>
          <w:lang w:val="en-GB"/>
        </w:rPr>
      </w:pPr>
      <w:r w:rsidRPr="00D26BE7">
        <w:rPr>
          <w:rStyle w:val="None"/>
          <w:rFonts w:eastAsia="Calibri" w:cs="Times New Roman"/>
          <w:b/>
          <w:bCs/>
          <w:color w:val="auto"/>
          <w:lang w:val="en-GB"/>
        </w:rPr>
        <w:t>Questionnaire on criminalization and prosecution of rape</w:t>
      </w:r>
    </w:p>
    <w:p w14:paraId="09074001" w14:textId="77777777" w:rsidR="006C2193" w:rsidRPr="00D26BE7" w:rsidRDefault="006C2193" w:rsidP="00540529">
      <w:pPr>
        <w:pStyle w:val="BodyA"/>
        <w:shd w:val="clear" w:color="auto" w:fill="FFFFFF"/>
        <w:jc w:val="both"/>
        <w:rPr>
          <w:rFonts w:cs="Times New Roman"/>
          <w:color w:val="auto"/>
          <w:lang w:val="en-GB"/>
        </w:rPr>
      </w:pPr>
    </w:p>
    <w:p w14:paraId="762F2945" w14:textId="77777777" w:rsidR="006C2193" w:rsidRPr="00D26BE7" w:rsidRDefault="009D4513" w:rsidP="00540529">
      <w:pPr>
        <w:pStyle w:val="BodyA"/>
        <w:shd w:val="clear" w:color="auto" w:fill="FFFFFF"/>
        <w:jc w:val="both"/>
        <w:rPr>
          <w:rStyle w:val="None"/>
          <w:rFonts w:eastAsia="Calibri" w:cs="Times New Roman"/>
          <w:b/>
          <w:bCs/>
          <w:color w:val="auto"/>
          <w:u w:color="222222"/>
          <w:lang w:val="en-GB"/>
        </w:rPr>
      </w:pPr>
      <w:r w:rsidRPr="00D26BE7">
        <w:rPr>
          <w:rStyle w:val="None"/>
          <w:rFonts w:eastAsia="Calibri" w:cs="Times New Roman"/>
          <w:b/>
          <w:bCs/>
          <w:color w:val="auto"/>
          <w:u w:color="222222"/>
          <w:lang w:val="en-GB"/>
        </w:rPr>
        <w:t xml:space="preserve">Definition and scope of criminal law provisions </w:t>
      </w:r>
    </w:p>
    <w:p w14:paraId="0A4F4424" w14:textId="402EFEFB" w:rsidR="006C2193" w:rsidRPr="00D26BE7" w:rsidRDefault="009D4513" w:rsidP="00540529">
      <w:pPr>
        <w:pStyle w:val="BodyA"/>
        <w:numPr>
          <w:ilvl w:val="0"/>
          <w:numId w:val="2"/>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Please provide information on criminal law provision/s on rape (or </w:t>
      </w:r>
      <w:r w:rsidR="00065C0E" w:rsidRPr="00D26BE7">
        <w:rPr>
          <w:rStyle w:val="None"/>
          <w:rFonts w:eastAsia="Calibri" w:cs="Times New Roman"/>
          <w:color w:val="auto"/>
          <w:u w:color="222222"/>
          <w:lang w:val="en-GB"/>
        </w:rPr>
        <w:t>analogous</w:t>
      </w:r>
      <w:r w:rsidRPr="00D26BE7">
        <w:rPr>
          <w:rStyle w:val="None"/>
          <w:rFonts w:eastAsia="Calibri" w:cs="Times New Roman"/>
          <w:color w:val="auto"/>
          <w:u w:color="222222"/>
          <w:lang w:val="en-GB"/>
        </w:rPr>
        <w:t xml:space="preserve"> forms of serious sexual violence for those jurisdictions that do not have a rape classification) by </w:t>
      </w:r>
      <w:r w:rsidR="009002DD" w:rsidRPr="00D26BE7">
        <w:rPr>
          <w:rStyle w:val="None"/>
          <w:rFonts w:eastAsia="Calibri" w:cs="Times New Roman"/>
          <w:color w:val="auto"/>
          <w:u w:color="222222"/>
          <w:lang w:val="en-GB"/>
        </w:rPr>
        <w:t>providing</w:t>
      </w:r>
      <w:r w:rsidRPr="00D26BE7">
        <w:rPr>
          <w:rStyle w:val="None"/>
          <w:rFonts w:eastAsia="Calibri" w:cs="Times New Roman"/>
          <w:color w:val="auto"/>
          <w:u w:color="222222"/>
          <w:lang w:val="en-GB"/>
        </w:rPr>
        <w:t xml:space="preserve"> full </w:t>
      </w:r>
      <w:r w:rsidR="00CD2BD5" w:rsidRPr="00D26BE7">
        <w:rPr>
          <w:rStyle w:val="None"/>
          <w:rFonts w:eastAsia="Calibri" w:cs="Times New Roman"/>
          <w:color w:val="auto"/>
          <w:u w:color="222222"/>
          <w:lang w:val="en-GB"/>
        </w:rPr>
        <w:t xml:space="preserve">translated </w:t>
      </w:r>
      <w:r w:rsidRPr="00D26BE7">
        <w:rPr>
          <w:rStyle w:val="None"/>
          <w:rFonts w:eastAsia="Calibri" w:cs="Times New Roman"/>
          <w:color w:val="auto"/>
          <w:u w:color="222222"/>
          <w:lang w:val="en-GB"/>
        </w:rPr>
        <w:t xml:space="preserve">transcripts of the relevant articles of the Criminal code and the Criminal procedure code. </w:t>
      </w:r>
    </w:p>
    <w:p w14:paraId="241573C7" w14:textId="77777777" w:rsidR="00D52858" w:rsidRPr="00D26BE7" w:rsidRDefault="00D52858" w:rsidP="00D52858">
      <w:pPr>
        <w:pStyle w:val="BodyA"/>
        <w:shd w:val="clear" w:color="auto" w:fill="FFFFFF"/>
        <w:jc w:val="both"/>
        <w:rPr>
          <w:rStyle w:val="None"/>
          <w:rFonts w:eastAsia="Calibri" w:cs="Times New Roman"/>
          <w:color w:val="auto"/>
          <w:lang w:val="en-GB"/>
        </w:rPr>
      </w:pPr>
    </w:p>
    <w:p w14:paraId="4EC3A744" w14:textId="1A988C86" w:rsidR="00D52858" w:rsidRPr="00D26BE7" w:rsidRDefault="00021A71"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rPr>
        <w:t xml:space="preserve">Criminal code of Georgia; </w:t>
      </w:r>
      <w:r w:rsidR="00D52858" w:rsidRPr="00D26BE7">
        <w:rPr>
          <w:rStyle w:val="None"/>
          <w:rFonts w:eastAsia="Calibri" w:cs="Times New Roman"/>
          <w:color w:val="auto"/>
          <w:lang w:val="en-GB"/>
        </w:rPr>
        <w:t>Article 137 – Rape</w:t>
      </w:r>
    </w:p>
    <w:p w14:paraId="42F4CB92" w14:textId="77777777"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1. Rape, that is any form of penetration of a sexual nature of the body of a person with any bodily part or object, committed with violence, under the threat of violence or by abusing a helpless condition of a person affected, –</w:t>
      </w:r>
    </w:p>
    <w:p w14:paraId="609151DD" w14:textId="77777777" w:rsidR="00D52858" w:rsidRPr="00D26BE7" w:rsidRDefault="00D52858" w:rsidP="00D52858">
      <w:pPr>
        <w:pStyle w:val="BodyA"/>
        <w:shd w:val="clear" w:color="auto" w:fill="FFFFFF"/>
        <w:jc w:val="both"/>
        <w:rPr>
          <w:rStyle w:val="None"/>
          <w:rFonts w:eastAsia="Calibri" w:cs="Times New Roman"/>
          <w:color w:val="auto"/>
          <w:lang w:val="en-GB"/>
        </w:rPr>
      </w:pPr>
      <w:proofErr w:type="gramStart"/>
      <w:r w:rsidRPr="00D26BE7">
        <w:rPr>
          <w:rStyle w:val="None"/>
          <w:rFonts w:eastAsia="Calibri" w:cs="Times New Roman"/>
          <w:color w:val="auto"/>
          <w:lang w:val="en-GB"/>
        </w:rPr>
        <w:t>shall</w:t>
      </w:r>
      <w:proofErr w:type="gramEnd"/>
      <w:r w:rsidRPr="00D26BE7">
        <w:rPr>
          <w:rStyle w:val="None"/>
          <w:rFonts w:eastAsia="Calibri" w:cs="Times New Roman"/>
          <w:color w:val="auto"/>
          <w:lang w:val="en-GB"/>
        </w:rPr>
        <w:t xml:space="preserve"> be punished by imprisonment for a term of six to eight years, with or without restriction of the rights regarding weapons.</w:t>
      </w:r>
    </w:p>
    <w:p w14:paraId="45E17C25" w14:textId="77777777" w:rsidR="00D52858" w:rsidRPr="00D26BE7" w:rsidRDefault="00D52858" w:rsidP="00D52858">
      <w:pPr>
        <w:pStyle w:val="BodyA"/>
        <w:shd w:val="clear" w:color="auto" w:fill="FFFFFF"/>
        <w:jc w:val="both"/>
        <w:rPr>
          <w:rStyle w:val="None"/>
          <w:rFonts w:eastAsia="Calibri" w:cs="Times New Roman"/>
          <w:color w:val="auto"/>
          <w:lang w:val="en-GB"/>
        </w:rPr>
      </w:pPr>
    </w:p>
    <w:p w14:paraId="5ABEC8A9" w14:textId="77777777"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2. The same act:</w:t>
      </w:r>
    </w:p>
    <w:p w14:paraId="7845603A" w14:textId="77777777"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a) </w:t>
      </w:r>
      <w:proofErr w:type="gramStart"/>
      <w:r w:rsidRPr="00D26BE7">
        <w:rPr>
          <w:rStyle w:val="None"/>
          <w:rFonts w:eastAsia="Calibri" w:cs="Times New Roman"/>
          <w:color w:val="auto"/>
          <w:lang w:val="en-GB"/>
        </w:rPr>
        <w:t>committed</w:t>
      </w:r>
      <w:proofErr w:type="gramEnd"/>
      <w:r w:rsidRPr="00D26BE7">
        <w:rPr>
          <w:rStyle w:val="None"/>
          <w:rFonts w:eastAsia="Calibri" w:cs="Times New Roman"/>
          <w:color w:val="auto"/>
          <w:lang w:val="en-GB"/>
        </w:rPr>
        <w:t xml:space="preserve"> by abusing the official position;</w:t>
      </w:r>
    </w:p>
    <w:p w14:paraId="4211150F" w14:textId="1C572D11"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b) </w:t>
      </w:r>
      <w:proofErr w:type="gramStart"/>
      <w:r w:rsidRPr="00D26BE7">
        <w:rPr>
          <w:rStyle w:val="None"/>
          <w:rFonts w:eastAsia="Calibri" w:cs="Times New Roman"/>
          <w:color w:val="auto"/>
          <w:lang w:val="en-GB"/>
        </w:rPr>
        <w:t>that</w:t>
      </w:r>
      <w:proofErr w:type="gramEnd"/>
      <w:r w:rsidRPr="00D26BE7">
        <w:rPr>
          <w:rStyle w:val="None"/>
          <w:rFonts w:eastAsia="Calibri" w:cs="Times New Roman"/>
          <w:color w:val="auto"/>
          <w:lang w:val="en-GB"/>
        </w:rPr>
        <w:t xml:space="preserve"> caused a serious damage to the health of a person affected, or other serious consequence, </w:t>
      </w:r>
    </w:p>
    <w:p w14:paraId="5B95C944" w14:textId="77777777" w:rsidR="00D52858" w:rsidRPr="00D26BE7" w:rsidRDefault="00D52858" w:rsidP="00D52858">
      <w:pPr>
        <w:pStyle w:val="BodyA"/>
        <w:shd w:val="clear" w:color="auto" w:fill="FFFFFF"/>
        <w:jc w:val="both"/>
        <w:rPr>
          <w:rStyle w:val="None"/>
          <w:rFonts w:eastAsia="Calibri" w:cs="Times New Roman"/>
          <w:color w:val="auto"/>
          <w:lang w:val="en-GB"/>
        </w:rPr>
      </w:pPr>
    </w:p>
    <w:p w14:paraId="2461BD96" w14:textId="77777777" w:rsidR="00D52858" w:rsidRPr="00D26BE7" w:rsidRDefault="00D52858" w:rsidP="00D52858">
      <w:pPr>
        <w:pStyle w:val="BodyA"/>
        <w:shd w:val="clear" w:color="auto" w:fill="FFFFFF"/>
        <w:jc w:val="both"/>
        <w:rPr>
          <w:rStyle w:val="None"/>
          <w:rFonts w:eastAsia="Calibri" w:cs="Times New Roman"/>
          <w:color w:val="auto"/>
          <w:lang w:val="en-GB"/>
        </w:rPr>
      </w:pPr>
      <w:proofErr w:type="gramStart"/>
      <w:r w:rsidRPr="00D26BE7">
        <w:rPr>
          <w:rStyle w:val="None"/>
          <w:rFonts w:eastAsia="Calibri" w:cs="Times New Roman"/>
          <w:color w:val="auto"/>
          <w:lang w:val="en-GB"/>
        </w:rPr>
        <w:t>shall</w:t>
      </w:r>
      <w:proofErr w:type="gramEnd"/>
      <w:r w:rsidRPr="00D26BE7">
        <w:rPr>
          <w:rStyle w:val="None"/>
          <w:rFonts w:eastAsia="Calibri" w:cs="Times New Roman"/>
          <w:color w:val="auto"/>
          <w:lang w:val="en-GB"/>
        </w:rPr>
        <w:t xml:space="preserve"> be punished by imprisonment for a term of eight to ten years, with or without restriction of the rights regarding weapons.</w:t>
      </w:r>
    </w:p>
    <w:p w14:paraId="54B2F4DD" w14:textId="77777777" w:rsidR="00D52858" w:rsidRPr="00D26BE7" w:rsidRDefault="00D52858" w:rsidP="00D52858">
      <w:pPr>
        <w:pStyle w:val="BodyA"/>
        <w:shd w:val="clear" w:color="auto" w:fill="FFFFFF"/>
        <w:jc w:val="both"/>
        <w:rPr>
          <w:rStyle w:val="None"/>
          <w:rFonts w:eastAsia="Calibri" w:cs="Times New Roman"/>
          <w:color w:val="auto"/>
          <w:lang w:val="en-GB"/>
        </w:rPr>
      </w:pPr>
    </w:p>
    <w:p w14:paraId="79BB77F7" w14:textId="5768A636"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3. The same act committed:</w:t>
      </w:r>
    </w:p>
    <w:p w14:paraId="2A834379" w14:textId="64BD58EE"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a) </w:t>
      </w:r>
      <w:proofErr w:type="gramStart"/>
      <w:r w:rsidRPr="00D26BE7">
        <w:rPr>
          <w:rStyle w:val="None"/>
          <w:rFonts w:eastAsia="Calibri" w:cs="Times New Roman"/>
          <w:color w:val="auto"/>
          <w:lang w:val="en-GB"/>
        </w:rPr>
        <w:t>repeatedly</w:t>
      </w:r>
      <w:proofErr w:type="gramEnd"/>
      <w:r w:rsidRPr="00D26BE7">
        <w:rPr>
          <w:rStyle w:val="None"/>
          <w:rFonts w:eastAsia="Calibri" w:cs="Times New Roman"/>
          <w:color w:val="auto"/>
          <w:lang w:val="en-GB"/>
        </w:rPr>
        <w:t>;</w:t>
      </w:r>
    </w:p>
    <w:p w14:paraId="52696DFC" w14:textId="3D146390"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b) </w:t>
      </w:r>
      <w:proofErr w:type="gramStart"/>
      <w:r w:rsidRPr="00D26BE7">
        <w:rPr>
          <w:rStyle w:val="None"/>
          <w:rFonts w:eastAsia="Calibri" w:cs="Times New Roman"/>
          <w:color w:val="auto"/>
          <w:lang w:val="en-GB"/>
        </w:rPr>
        <w:t>by</w:t>
      </w:r>
      <w:proofErr w:type="gramEnd"/>
      <w:r w:rsidRPr="00D26BE7">
        <w:rPr>
          <w:rStyle w:val="None"/>
          <w:rFonts w:eastAsia="Calibri" w:cs="Times New Roman"/>
          <w:color w:val="auto"/>
          <w:lang w:val="en-GB"/>
        </w:rPr>
        <w:t xml:space="preserve"> a person who had previously committed any crime under Articles 138-141 of this Code;</w:t>
      </w:r>
    </w:p>
    <w:p w14:paraId="5B883718" w14:textId="523C65D3"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c) </w:t>
      </w:r>
      <w:proofErr w:type="gramStart"/>
      <w:r w:rsidRPr="00D26BE7">
        <w:rPr>
          <w:rStyle w:val="None"/>
          <w:rFonts w:eastAsia="Calibri" w:cs="Times New Roman"/>
          <w:color w:val="auto"/>
          <w:lang w:val="en-GB"/>
        </w:rPr>
        <w:t>by</w:t>
      </w:r>
      <w:proofErr w:type="gramEnd"/>
      <w:r w:rsidRPr="00D26BE7">
        <w:rPr>
          <w:rStyle w:val="None"/>
          <w:rFonts w:eastAsia="Calibri" w:cs="Times New Roman"/>
          <w:color w:val="auto"/>
          <w:lang w:val="en-GB"/>
        </w:rPr>
        <w:t xml:space="preserve"> a group of persons;</w:t>
      </w:r>
    </w:p>
    <w:p w14:paraId="5B675829" w14:textId="19807C83"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d) </w:t>
      </w:r>
      <w:proofErr w:type="gramStart"/>
      <w:r w:rsidRPr="00D26BE7">
        <w:rPr>
          <w:rStyle w:val="None"/>
          <w:rFonts w:eastAsia="Calibri" w:cs="Times New Roman"/>
          <w:color w:val="auto"/>
          <w:lang w:val="en-GB"/>
        </w:rPr>
        <w:t>knowingly</w:t>
      </w:r>
      <w:proofErr w:type="gramEnd"/>
      <w:r w:rsidRPr="00D26BE7">
        <w:rPr>
          <w:rStyle w:val="None"/>
          <w:rFonts w:eastAsia="Calibri" w:cs="Times New Roman"/>
          <w:color w:val="auto"/>
          <w:lang w:val="en-GB"/>
        </w:rPr>
        <w:t xml:space="preserve"> by an offender against a minor, a person with disability or a pregnant woman;</w:t>
      </w:r>
    </w:p>
    <w:p w14:paraId="26ADF7B6" w14:textId="77777777"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e) </w:t>
      </w:r>
      <w:proofErr w:type="gramStart"/>
      <w:r w:rsidRPr="00D26BE7">
        <w:rPr>
          <w:rStyle w:val="None"/>
          <w:rFonts w:eastAsia="Calibri" w:cs="Times New Roman"/>
          <w:color w:val="auto"/>
          <w:lang w:val="en-GB"/>
        </w:rPr>
        <w:t>against</w:t>
      </w:r>
      <w:proofErr w:type="gramEnd"/>
      <w:r w:rsidRPr="00D26BE7">
        <w:rPr>
          <w:rStyle w:val="None"/>
          <w:rFonts w:eastAsia="Calibri" w:cs="Times New Roman"/>
          <w:color w:val="auto"/>
          <w:lang w:val="en-GB"/>
        </w:rPr>
        <w:t xml:space="preserve"> a person under the custodianship, guardianship or surveillance of an offender, –</w:t>
      </w:r>
    </w:p>
    <w:p w14:paraId="7B04BA49" w14:textId="77777777" w:rsidR="00D52858" w:rsidRPr="00D26BE7" w:rsidRDefault="00D52858" w:rsidP="00D52858">
      <w:pPr>
        <w:pStyle w:val="BodyA"/>
        <w:shd w:val="clear" w:color="auto" w:fill="FFFFFF"/>
        <w:jc w:val="both"/>
        <w:rPr>
          <w:rStyle w:val="None"/>
          <w:rFonts w:eastAsia="Calibri" w:cs="Times New Roman"/>
          <w:color w:val="auto"/>
          <w:lang w:val="en-GB"/>
        </w:rPr>
      </w:pPr>
    </w:p>
    <w:p w14:paraId="7F6B730F" w14:textId="77777777" w:rsidR="00D52858" w:rsidRPr="00D26BE7" w:rsidRDefault="00D52858" w:rsidP="00D52858">
      <w:pPr>
        <w:pStyle w:val="BodyA"/>
        <w:shd w:val="clear" w:color="auto" w:fill="FFFFFF"/>
        <w:jc w:val="both"/>
        <w:rPr>
          <w:rStyle w:val="None"/>
          <w:rFonts w:eastAsia="Calibri" w:cs="Times New Roman"/>
          <w:color w:val="auto"/>
          <w:lang w:val="en-GB"/>
        </w:rPr>
      </w:pPr>
      <w:proofErr w:type="gramStart"/>
      <w:r w:rsidRPr="00D26BE7">
        <w:rPr>
          <w:rStyle w:val="None"/>
          <w:rFonts w:eastAsia="Calibri" w:cs="Times New Roman"/>
          <w:color w:val="auto"/>
          <w:lang w:val="en-GB"/>
        </w:rPr>
        <w:t>shall</w:t>
      </w:r>
      <w:proofErr w:type="gramEnd"/>
      <w:r w:rsidRPr="00D26BE7">
        <w:rPr>
          <w:rStyle w:val="None"/>
          <w:rFonts w:eastAsia="Calibri" w:cs="Times New Roman"/>
          <w:color w:val="auto"/>
          <w:lang w:val="en-GB"/>
        </w:rPr>
        <w:t xml:space="preserve"> be punished by imprisonment for a term of ten to thirteen years, with or without restriction of the rights regarding weapons.</w:t>
      </w:r>
    </w:p>
    <w:p w14:paraId="582A000F" w14:textId="77777777" w:rsidR="00D52858" w:rsidRPr="00D26BE7" w:rsidRDefault="00D52858" w:rsidP="00D52858">
      <w:pPr>
        <w:pStyle w:val="BodyA"/>
        <w:shd w:val="clear" w:color="auto" w:fill="FFFFFF"/>
        <w:jc w:val="both"/>
        <w:rPr>
          <w:rStyle w:val="None"/>
          <w:rFonts w:eastAsia="Calibri" w:cs="Times New Roman"/>
          <w:color w:val="auto"/>
          <w:lang w:val="en-GB"/>
        </w:rPr>
      </w:pPr>
    </w:p>
    <w:p w14:paraId="67248A7C" w14:textId="56D42828"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4. The same act:</w:t>
      </w:r>
    </w:p>
    <w:p w14:paraId="0FB335C6" w14:textId="2C62E69A"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a) </w:t>
      </w:r>
      <w:proofErr w:type="gramStart"/>
      <w:r w:rsidRPr="00D26BE7">
        <w:rPr>
          <w:rStyle w:val="None"/>
          <w:rFonts w:eastAsia="Calibri" w:cs="Times New Roman"/>
          <w:color w:val="auto"/>
          <w:lang w:val="en-GB"/>
        </w:rPr>
        <w:t>committed</w:t>
      </w:r>
      <w:proofErr w:type="gramEnd"/>
      <w:r w:rsidRPr="00D26BE7">
        <w:rPr>
          <w:rStyle w:val="None"/>
          <w:rFonts w:eastAsia="Calibri" w:cs="Times New Roman"/>
          <w:color w:val="auto"/>
          <w:lang w:val="en-GB"/>
        </w:rPr>
        <w:t xml:space="preserve"> against a person affected or any other person with extreme cruelty;</w:t>
      </w:r>
    </w:p>
    <w:p w14:paraId="6F5C93DE" w14:textId="4184BA97"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b) </w:t>
      </w:r>
      <w:proofErr w:type="gramStart"/>
      <w:r w:rsidRPr="00D26BE7">
        <w:rPr>
          <w:rStyle w:val="None"/>
          <w:rFonts w:eastAsia="Calibri" w:cs="Times New Roman"/>
          <w:color w:val="auto"/>
          <w:lang w:val="en-GB"/>
        </w:rPr>
        <w:t>that</w:t>
      </w:r>
      <w:proofErr w:type="gramEnd"/>
      <w:r w:rsidRPr="00D26BE7">
        <w:rPr>
          <w:rStyle w:val="None"/>
          <w:rFonts w:eastAsia="Calibri" w:cs="Times New Roman"/>
          <w:color w:val="auto"/>
          <w:lang w:val="en-GB"/>
        </w:rPr>
        <w:t xml:space="preserve"> caused death of a person affected;</w:t>
      </w:r>
    </w:p>
    <w:p w14:paraId="4DA19107" w14:textId="77777777" w:rsidR="00D52858" w:rsidRPr="00D26BE7" w:rsidRDefault="00D52858"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 xml:space="preserve">c) </w:t>
      </w:r>
      <w:proofErr w:type="gramStart"/>
      <w:r w:rsidRPr="00D26BE7">
        <w:rPr>
          <w:rStyle w:val="None"/>
          <w:rFonts w:eastAsia="Calibri" w:cs="Times New Roman"/>
          <w:color w:val="auto"/>
          <w:lang w:val="en-GB"/>
        </w:rPr>
        <w:t>committed</w:t>
      </w:r>
      <w:proofErr w:type="gramEnd"/>
      <w:r w:rsidRPr="00D26BE7">
        <w:rPr>
          <w:rStyle w:val="None"/>
          <w:rFonts w:eastAsia="Calibri" w:cs="Times New Roman"/>
          <w:color w:val="auto"/>
          <w:lang w:val="en-GB"/>
        </w:rPr>
        <w:t xml:space="preserve"> knowingly against a person that has not reached 14 years of age, –</w:t>
      </w:r>
    </w:p>
    <w:p w14:paraId="4A458A3E" w14:textId="77777777" w:rsidR="00D52858" w:rsidRPr="00D26BE7" w:rsidRDefault="00D52858" w:rsidP="00D52858">
      <w:pPr>
        <w:pStyle w:val="BodyA"/>
        <w:shd w:val="clear" w:color="auto" w:fill="FFFFFF"/>
        <w:jc w:val="both"/>
        <w:rPr>
          <w:rStyle w:val="None"/>
          <w:rFonts w:eastAsia="Calibri" w:cs="Times New Roman"/>
          <w:color w:val="auto"/>
          <w:lang w:val="en-GB"/>
        </w:rPr>
      </w:pPr>
    </w:p>
    <w:p w14:paraId="1DF5C729" w14:textId="68D5380D" w:rsidR="006C2193" w:rsidRPr="00D26BE7" w:rsidRDefault="00D52858" w:rsidP="00D52858">
      <w:pPr>
        <w:pStyle w:val="BodyA"/>
        <w:shd w:val="clear" w:color="auto" w:fill="FFFFFF"/>
        <w:jc w:val="both"/>
        <w:rPr>
          <w:rStyle w:val="None"/>
          <w:rFonts w:eastAsia="Calibri" w:cs="Times New Roman"/>
          <w:color w:val="auto"/>
          <w:lang w:val="en-GB"/>
        </w:rPr>
      </w:pPr>
      <w:proofErr w:type="gramStart"/>
      <w:r w:rsidRPr="00D26BE7">
        <w:rPr>
          <w:rStyle w:val="None"/>
          <w:rFonts w:eastAsia="Calibri" w:cs="Times New Roman"/>
          <w:color w:val="auto"/>
          <w:lang w:val="en-GB"/>
        </w:rPr>
        <w:t>shall</w:t>
      </w:r>
      <w:proofErr w:type="gramEnd"/>
      <w:r w:rsidRPr="00D26BE7">
        <w:rPr>
          <w:rStyle w:val="None"/>
          <w:rFonts w:eastAsia="Calibri" w:cs="Times New Roman"/>
          <w:color w:val="auto"/>
          <w:lang w:val="en-GB"/>
        </w:rPr>
        <w:t xml:space="preserve"> be punished by imprisonment for a term of fifteen to twenty years, with or without restriction of the rights regarding weapons.</w:t>
      </w:r>
    </w:p>
    <w:p w14:paraId="64F848E7" w14:textId="77777777" w:rsidR="00FC0379" w:rsidRPr="00D26BE7" w:rsidRDefault="00FC0379" w:rsidP="00D52858">
      <w:pPr>
        <w:pStyle w:val="BodyA"/>
        <w:shd w:val="clear" w:color="auto" w:fill="FFFFFF"/>
        <w:jc w:val="both"/>
        <w:rPr>
          <w:rStyle w:val="None"/>
          <w:rFonts w:eastAsia="Calibri" w:cs="Times New Roman"/>
          <w:color w:val="auto"/>
          <w:lang w:val="en-GB"/>
        </w:rPr>
      </w:pPr>
    </w:p>
    <w:p w14:paraId="2411B989" w14:textId="1331FC2B" w:rsidR="00FC0379" w:rsidRPr="00D26BE7" w:rsidRDefault="00FC0379" w:rsidP="00D52858">
      <w:pPr>
        <w:pStyle w:val="BodyA"/>
        <w:shd w:val="clear" w:color="auto" w:fill="FFFFFF"/>
        <w:jc w:val="both"/>
        <w:rPr>
          <w:rStyle w:val="None"/>
          <w:rFonts w:eastAsia="Calibri" w:cs="Times New Roman"/>
          <w:color w:val="auto"/>
          <w:lang w:val="en-GB"/>
        </w:rPr>
      </w:pPr>
      <w:r w:rsidRPr="00D26BE7">
        <w:rPr>
          <w:rStyle w:val="None"/>
          <w:rFonts w:eastAsia="Calibri" w:cs="Times New Roman"/>
          <w:color w:val="auto"/>
          <w:lang w:val="en-GB"/>
        </w:rPr>
        <w:t>There are no specific articles for prosecuting rape cases in criminal procedure code of Georgia.</w:t>
      </w:r>
    </w:p>
    <w:p w14:paraId="4BB91FDE" w14:textId="77777777" w:rsidR="00D52858" w:rsidRPr="00D26BE7" w:rsidRDefault="00D52858" w:rsidP="00540529">
      <w:pPr>
        <w:pStyle w:val="BodyA"/>
        <w:shd w:val="clear" w:color="auto" w:fill="FFFFFF"/>
        <w:jc w:val="both"/>
        <w:rPr>
          <w:rStyle w:val="None"/>
          <w:rFonts w:eastAsia="Calibri" w:cs="Times New Roman"/>
          <w:color w:val="auto"/>
          <w:lang w:val="en-GB"/>
        </w:rPr>
      </w:pPr>
    </w:p>
    <w:p w14:paraId="78E63E91" w14:textId="77777777" w:rsidR="006C2193" w:rsidRPr="00D26BE7" w:rsidRDefault="009D4513" w:rsidP="00540529">
      <w:pPr>
        <w:pStyle w:val="BodyA"/>
        <w:numPr>
          <w:ilvl w:val="0"/>
          <w:numId w:val="2"/>
        </w:numPr>
        <w:shd w:val="clear" w:color="auto" w:fill="FFFFFF"/>
        <w:jc w:val="both"/>
        <w:rPr>
          <w:rFonts w:eastAsia="Calibri" w:cs="Times New Roman"/>
          <w:color w:val="auto"/>
          <w:lang w:val="en-GB"/>
        </w:rPr>
      </w:pPr>
      <w:r w:rsidRPr="00D26BE7">
        <w:rPr>
          <w:rStyle w:val="None"/>
          <w:rFonts w:eastAsia="Calibri" w:cs="Times New Roman"/>
          <w:color w:val="auto"/>
          <w:u w:color="222222"/>
          <w:lang w:val="en-GB"/>
        </w:rPr>
        <w:t>Based on the wording of those provisions, is the provided definition of rape:</w:t>
      </w:r>
    </w:p>
    <w:p w14:paraId="33FB363D" w14:textId="09112B3F" w:rsidR="006C2193" w:rsidRPr="00D26BE7" w:rsidRDefault="009D4513" w:rsidP="00540529">
      <w:pPr>
        <w:pStyle w:val="BodyA"/>
        <w:numPr>
          <w:ilvl w:val="1"/>
          <w:numId w:val="2"/>
        </w:numPr>
        <w:jc w:val="both"/>
        <w:rPr>
          <w:rFonts w:eastAsia="Calibri" w:cs="Times New Roman"/>
          <w:color w:val="auto"/>
          <w:lang w:val="en-GB"/>
        </w:rPr>
      </w:pPr>
      <w:r w:rsidRPr="00D26BE7">
        <w:rPr>
          <w:rFonts w:eastAsia="Calibri" w:cs="Times New Roman"/>
          <w:color w:val="auto"/>
          <w:lang w:val="en-GB"/>
        </w:rPr>
        <w:t>Gender specific</w:t>
      </w:r>
      <w:r w:rsidR="009002DD" w:rsidRPr="00D26BE7">
        <w:rPr>
          <w:rFonts w:eastAsia="Calibri" w:cs="Times New Roman"/>
          <w:color w:val="auto"/>
          <w:lang w:val="en-GB"/>
        </w:rPr>
        <w:t>,</w:t>
      </w:r>
      <w:r w:rsidRPr="00D26BE7">
        <w:rPr>
          <w:rFonts w:eastAsia="Calibri" w:cs="Times New Roman"/>
          <w:color w:val="auto"/>
          <w:lang w:val="en-GB"/>
        </w:rPr>
        <w:t xml:space="preserve"> covering women only</w:t>
      </w:r>
      <w:r w:rsidR="009002DD" w:rsidRPr="00D26BE7">
        <w:rPr>
          <w:rFonts w:eastAsia="Calibri" w:cs="Times New Roman"/>
          <w:color w:val="auto"/>
          <w:lang w:val="en-GB"/>
        </w:rPr>
        <w:t>.</w:t>
      </w:r>
      <w:r w:rsidRPr="00D26BE7">
        <w:rPr>
          <w:rFonts w:eastAsia="Calibri" w:cs="Times New Roman"/>
          <w:color w:val="auto"/>
          <w:lang w:val="en-GB"/>
        </w:rPr>
        <w:t xml:space="preserve"> YES/</w:t>
      </w:r>
      <w:r w:rsidRPr="00E116E7">
        <w:rPr>
          <w:rFonts w:eastAsia="Calibri" w:cs="Times New Roman"/>
          <w:color w:val="auto"/>
          <w:u w:val="single"/>
          <w:lang w:val="en-GB"/>
        </w:rPr>
        <w:t>NO</w:t>
      </w:r>
    </w:p>
    <w:p w14:paraId="475C9BD9" w14:textId="5891FDD6" w:rsidR="006C2193" w:rsidRPr="00D26BE7" w:rsidRDefault="009D4513" w:rsidP="00540529">
      <w:pPr>
        <w:pStyle w:val="BodyA"/>
        <w:numPr>
          <w:ilvl w:val="1"/>
          <w:numId w:val="2"/>
        </w:numPr>
        <w:jc w:val="both"/>
        <w:rPr>
          <w:rStyle w:val="None"/>
          <w:rFonts w:eastAsia="Calibri" w:cs="Times New Roman"/>
          <w:color w:val="auto"/>
          <w:u w:color="222222"/>
          <w:lang w:val="en-GB"/>
        </w:rPr>
      </w:pPr>
      <w:r w:rsidRPr="00D26BE7">
        <w:rPr>
          <w:rStyle w:val="None"/>
          <w:rFonts w:eastAsia="Calibri" w:cs="Times New Roman"/>
          <w:color w:val="auto"/>
          <w:lang w:val="en-GB"/>
        </w:rPr>
        <w:lastRenderedPageBreak/>
        <w:t>Gender neutral</w:t>
      </w:r>
      <w:r w:rsidR="009002DD" w:rsidRPr="00D26BE7">
        <w:rPr>
          <w:rStyle w:val="None"/>
          <w:rFonts w:eastAsia="Calibri" w:cs="Times New Roman"/>
          <w:color w:val="auto"/>
          <w:lang w:val="en-GB"/>
        </w:rPr>
        <w:t xml:space="preserve">, covering all persons. </w:t>
      </w:r>
      <w:r w:rsidRPr="00E116E7">
        <w:rPr>
          <w:rStyle w:val="None"/>
          <w:rFonts w:eastAsia="Calibri" w:cs="Times New Roman"/>
          <w:color w:val="auto"/>
          <w:u w:val="single"/>
          <w:lang w:val="en-GB"/>
        </w:rPr>
        <w:t>YES</w:t>
      </w:r>
      <w:r w:rsidRPr="00D26BE7">
        <w:rPr>
          <w:rStyle w:val="None"/>
          <w:rFonts w:eastAsia="Calibri" w:cs="Times New Roman"/>
          <w:color w:val="auto"/>
          <w:lang w:val="en-GB"/>
        </w:rPr>
        <w:t>/NO</w:t>
      </w:r>
    </w:p>
    <w:p w14:paraId="46D3BDEE" w14:textId="33B0D117" w:rsidR="006C2193" w:rsidRPr="00D26BE7" w:rsidRDefault="009D4513" w:rsidP="00540529">
      <w:pPr>
        <w:pStyle w:val="BodyA"/>
        <w:numPr>
          <w:ilvl w:val="1"/>
          <w:numId w:val="2"/>
        </w:numPr>
        <w:jc w:val="both"/>
        <w:rPr>
          <w:rFonts w:eastAsia="Calibri" w:cs="Times New Roman"/>
          <w:color w:val="auto"/>
          <w:lang w:val="en-GB"/>
        </w:rPr>
      </w:pPr>
      <w:r w:rsidRPr="00D26BE7">
        <w:rPr>
          <w:rStyle w:val="None"/>
          <w:rFonts w:eastAsia="Calibri" w:cs="Times New Roman"/>
          <w:color w:val="auto"/>
          <w:u w:color="222222"/>
          <w:lang w:val="en-GB"/>
        </w:rPr>
        <w:t>Based on the lack of consent of victim</w:t>
      </w:r>
      <w:r w:rsidR="009002DD" w:rsidRPr="00D26BE7">
        <w:rPr>
          <w:rStyle w:val="None"/>
          <w:rFonts w:eastAsia="Calibri" w:cs="Times New Roman"/>
          <w:color w:val="auto"/>
          <w:u w:color="222222"/>
          <w:lang w:val="en-GB"/>
        </w:rPr>
        <w:t>.</w:t>
      </w:r>
      <w:r w:rsidRPr="00D26BE7">
        <w:rPr>
          <w:rStyle w:val="None"/>
          <w:rFonts w:eastAsia="Calibri" w:cs="Times New Roman"/>
          <w:color w:val="auto"/>
          <w:u w:color="222222"/>
          <w:lang w:val="en-GB"/>
        </w:rPr>
        <w:t xml:space="preserve"> </w:t>
      </w:r>
      <w:r w:rsidR="00E116E7" w:rsidRPr="00E116E7">
        <w:rPr>
          <w:rStyle w:val="None"/>
          <w:rFonts w:eastAsia="Calibri" w:cs="Times New Roman"/>
          <w:color w:val="auto"/>
          <w:u w:val="single"/>
          <w:lang w:val="en-GB"/>
        </w:rPr>
        <w:t>YES</w:t>
      </w:r>
      <w:r w:rsidR="00E116E7" w:rsidRPr="00D26BE7">
        <w:rPr>
          <w:rStyle w:val="None"/>
          <w:rFonts w:eastAsia="Calibri" w:cs="Times New Roman"/>
          <w:color w:val="auto"/>
          <w:u w:color="222222"/>
          <w:lang w:val="en-GB"/>
        </w:rPr>
        <w:t xml:space="preserve"> </w:t>
      </w:r>
      <w:r w:rsidRPr="00D26BE7">
        <w:rPr>
          <w:rStyle w:val="None"/>
          <w:rFonts w:eastAsia="Calibri" w:cs="Times New Roman"/>
          <w:color w:val="auto"/>
          <w:u w:color="222222"/>
          <w:lang w:val="en-GB"/>
        </w:rPr>
        <w:t xml:space="preserve">/ NO </w:t>
      </w:r>
    </w:p>
    <w:p w14:paraId="442A3518" w14:textId="579F34D6" w:rsidR="006C2193" w:rsidRPr="00D26BE7" w:rsidRDefault="009D4513" w:rsidP="00540529">
      <w:pPr>
        <w:pStyle w:val="BodyA"/>
        <w:numPr>
          <w:ilvl w:val="1"/>
          <w:numId w:val="2"/>
        </w:numPr>
        <w:jc w:val="both"/>
        <w:rPr>
          <w:rFonts w:eastAsia="Calibri" w:cs="Times New Roman"/>
          <w:color w:val="auto"/>
          <w:lang w:val="en-GB"/>
        </w:rPr>
      </w:pPr>
      <w:r w:rsidRPr="00D26BE7">
        <w:rPr>
          <w:rStyle w:val="None"/>
          <w:rFonts w:eastAsia="Calibri" w:cs="Times New Roman"/>
          <w:color w:val="auto"/>
          <w:u w:color="222222"/>
          <w:lang w:val="en-GB"/>
        </w:rPr>
        <w:t>Based on the use of force or threat</w:t>
      </w:r>
      <w:r w:rsidR="00065C0E" w:rsidRPr="00D26BE7">
        <w:rPr>
          <w:rStyle w:val="None"/>
          <w:rFonts w:eastAsia="Calibri" w:cs="Times New Roman"/>
          <w:color w:val="auto"/>
          <w:u w:color="222222"/>
          <w:lang w:val="en-GB"/>
        </w:rPr>
        <w:t>.</w:t>
      </w:r>
      <w:r w:rsidRPr="00D26BE7">
        <w:rPr>
          <w:rStyle w:val="None"/>
          <w:rFonts w:eastAsia="Calibri" w:cs="Times New Roman"/>
          <w:color w:val="auto"/>
          <w:u w:color="222222"/>
          <w:lang w:val="en-GB"/>
        </w:rPr>
        <w:t xml:space="preserve">   </w:t>
      </w:r>
      <w:r w:rsidR="00E116E7" w:rsidRPr="00E116E7">
        <w:rPr>
          <w:rStyle w:val="None"/>
          <w:rFonts w:eastAsia="Calibri" w:cs="Times New Roman"/>
          <w:color w:val="auto"/>
          <w:u w:val="single"/>
          <w:lang w:val="en-GB"/>
        </w:rPr>
        <w:t>YES</w:t>
      </w:r>
      <w:r w:rsidR="00E116E7" w:rsidRPr="00D26BE7">
        <w:rPr>
          <w:rStyle w:val="None"/>
          <w:rFonts w:eastAsia="Calibri" w:cs="Times New Roman"/>
          <w:color w:val="auto"/>
          <w:u w:color="222222"/>
          <w:lang w:val="en-GB"/>
        </w:rPr>
        <w:t xml:space="preserve"> </w:t>
      </w:r>
      <w:r w:rsidR="00E116E7">
        <w:rPr>
          <w:rStyle w:val="None"/>
          <w:rFonts w:eastAsia="Calibri" w:cs="Times New Roman"/>
          <w:color w:val="auto"/>
          <w:u w:color="222222"/>
          <w:lang w:val="en-GB"/>
        </w:rPr>
        <w:t>/</w:t>
      </w:r>
      <w:r w:rsidRPr="00D26BE7">
        <w:rPr>
          <w:rStyle w:val="None"/>
          <w:rFonts w:eastAsia="Calibri" w:cs="Times New Roman"/>
          <w:color w:val="auto"/>
          <w:u w:color="222222"/>
          <w:lang w:val="en-GB"/>
        </w:rPr>
        <w:t>NO</w:t>
      </w:r>
    </w:p>
    <w:p w14:paraId="2243A732" w14:textId="5B7E7D0B" w:rsidR="006C2193" w:rsidRPr="00D26BE7" w:rsidRDefault="009002DD" w:rsidP="00540529">
      <w:pPr>
        <w:pStyle w:val="BodyA"/>
        <w:numPr>
          <w:ilvl w:val="1"/>
          <w:numId w:val="2"/>
        </w:numPr>
        <w:jc w:val="both"/>
        <w:rPr>
          <w:rFonts w:eastAsia="Calibri" w:cs="Times New Roman"/>
          <w:color w:val="auto"/>
          <w:lang w:val="en-GB"/>
        </w:rPr>
      </w:pPr>
      <w:r w:rsidRPr="00D26BE7">
        <w:rPr>
          <w:rStyle w:val="None"/>
          <w:rFonts w:eastAsia="Calibri" w:cs="Times New Roman"/>
          <w:color w:val="auto"/>
          <w:u w:color="222222"/>
          <w:lang w:val="en-GB"/>
        </w:rPr>
        <w:t>S</w:t>
      </w:r>
      <w:r w:rsidR="009D4513" w:rsidRPr="00D26BE7">
        <w:rPr>
          <w:rStyle w:val="None"/>
          <w:rFonts w:eastAsia="Calibri" w:cs="Times New Roman"/>
          <w:color w:val="auto"/>
          <w:u w:color="222222"/>
          <w:lang w:val="en-GB"/>
        </w:rPr>
        <w:t>ome combination of the above</w:t>
      </w:r>
      <w:r w:rsidRPr="00D26BE7">
        <w:rPr>
          <w:rStyle w:val="None"/>
          <w:rFonts w:eastAsia="Calibri" w:cs="Times New Roman"/>
          <w:color w:val="auto"/>
          <w:u w:color="222222"/>
          <w:lang w:val="en-GB"/>
        </w:rPr>
        <w:t>.</w:t>
      </w:r>
      <w:r w:rsidR="009D4513" w:rsidRPr="00D26BE7">
        <w:rPr>
          <w:rStyle w:val="None"/>
          <w:rFonts w:eastAsia="Calibri" w:cs="Times New Roman"/>
          <w:color w:val="auto"/>
          <w:u w:color="222222"/>
          <w:lang w:val="en-GB"/>
        </w:rPr>
        <w:t xml:space="preserve">  YES / </w:t>
      </w:r>
      <w:r w:rsidR="009D4513" w:rsidRPr="00E116E7">
        <w:rPr>
          <w:rStyle w:val="None"/>
          <w:rFonts w:eastAsia="Calibri" w:cs="Times New Roman"/>
          <w:color w:val="auto"/>
          <w:u w:val="single"/>
          <w:lang w:val="en-GB"/>
        </w:rPr>
        <w:t>NO</w:t>
      </w:r>
      <w:r w:rsidRPr="00D26BE7">
        <w:rPr>
          <w:rStyle w:val="None"/>
          <w:rFonts w:eastAsia="Calibri" w:cs="Times New Roman"/>
          <w:color w:val="auto"/>
          <w:u w:color="222222"/>
          <w:lang w:val="en-GB"/>
        </w:rPr>
        <w:t>. Please specify.</w:t>
      </w:r>
      <w:r w:rsidR="009D4513" w:rsidRPr="00D26BE7">
        <w:rPr>
          <w:rStyle w:val="None"/>
          <w:rFonts w:eastAsia="Calibri" w:cs="Times New Roman"/>
          <w:color w:val="auto"/>
          <w:u w:color="222222"/>
          <w:lang w:val="en-GB"/>
        </w:rPr>
        <w:t xml:space="preserve">  </w:t>
      </w:r>
    </w:p>
    <w:p w14:paraId="1871FBF6" w14:textId="5A182A9E" w:rsidR="006C2193" w:rsidRPr="00D26BE7" w:rsidRDefault="009D4513" w:rsidP="00540529">
      <w:pPr>
        <w:pStyle w:val="BodyA"/>
        <w:numPr>
          <w:ilvl w:val="1"/>
          <w:numId w:val="2"/>
        </w:numPr>
        <w:jc w:val="both"/>
        <w:rPr>
          <w:rFonts w:eastAsia="Calibri" w:cs="Times New Roman"/>
          <w:color w:val="auto"/>
          <w:lang w:val="en-GB"/>
        </w:rPr>
      </w:pPr>
      <w:r w:rsidRPr="00D26BE7">
        <w:rPr>
          <w:rStyle w:val="None"/>
          <w:rFonts w:eastAsia="Calibri" w:cs="Times New Roman"/>
          <w:color w:val="auto"/>
          <w:u w:color="222222"/>
          <w:lang w:val="en-GB"/>
        </w:rPr>
        <w:t>Does it cover only vaginal rape</w:t>
      </w:r>
      <w:r w:rsidR="009002DD" w:rsidRPr="00D26BE7">
        <w:rPr>
          <w:rStyle w:val="None"/>
          <w:rFonts w:eastAsia="Calibri" w:cs="Times New Roman"/>
          <w:color w:val="auto"/>
          <w:u w:color="222222"/>
          <w:lang w:val="en-GB"/>
        </w:rPr>
        <w:t>?</w:t>
      </w:r>
      <w:r w:rsidRPr="00D26BE7">
        <w:rPr>
          <w:rStyle w:val="None"/>
          <w:rFonts w:eastAsia="Calibri" w:cs="Times New Roman"/>
          <w:color w:val="auto"/>
          <w:u w:color="222222"/>
          <w:lang w:val="en-GB"/>
        </w:rPr>
        <w:t xml:space="preserve">  YES /</w:t>
      </w:r>
      <w:r w:rsidR="00592135" w:rsidRPr="00592135">
        <w:rPr>
          <w:rStyle w:val="None"/>
          <w:rFonts w:eastAsia="Calibri" w:cs="Times New Roman"/>
          <w:color w:val="auto"/>
          <w:u w:val="single"/>
          <w:lang w:val="en-GB"/>
        </w:rPr>
        <w:t xml:space="preserve"> </w:t>
      </w:r>
      <w:r w:rsidR="00592135" w:rsidRPr="00E116E7">
        <w:rPr>
          <w:rStyle w:val="None"/>
          <w:rFonts w:eastAsia="Calibri" w:cs="Times New Roman"/>
          <w:color w:val="auto"/>
          <w:u w:val="single"/>
          <w:lang w:val="en-GB"/>
        </w:rPr>
        <w:t>NO</w:t>
      </w:r>
    </w:p>
    <w:p w14:paraId="7874C3EF" w14:textId="5F00BFFC" w:rsidR="006C2193" w:rsidRPr="00D26BE7" w:rsidRDefault="00065C0E" w:rsidP="00540529">
      <w:pPr>
        <w:pStyle w:val="BodyA"/>
        <w:numPr>
          <w:ilvl w:val="1"/>
          <w:numId w:val="2"/>
        </w:numPr>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Does it cover all forms of </w:t>
      </w:r>
      <w:r w:rsidR="009D4513" w:rsidRPr="00D26BE7">
        <w:rPr>
          <w:rStyle w:val="None"/>
          <w:rFonts w:eastAsia="Calibri" w:cs="Times New Roman"/>
          <w:color w:val="auto"/>
          <w:u w:color="222222"/>
          <w:lang w:val="en-GB"/>
        </w:rPr>
        <w:t>penetration</w:t>
      </w:r>
      <w:r w:rsidR="009002DD" w:rsidRPr="00D26BE7">
        <w:rPr>
          <w:rStyle w:val="None"/>
          <w:rFonts w:eastAsia="Calibri" w:cs="Times New Roman"/>
          <w:color w:val="auto"/>
          <w:u w:color="222222"/>
          <w:lang w:val="en-GB"/>
        </w:rPr>
        <w:t>?</w:t>
      </w:r>
      <w:r w:rsidR="009D4513" w:rsidRPr="00D26BE7">
        <w:rPr>
          <w:rStyle w:val="None"/>
          <w:rFonts w:eastAsia="Calibri" w:cs="Times New Roman"/>
          <w:color w:val="auto"/>
          <w:u w:color="222222"/>
          <w:lang w:val="en-GB"/>
        </w:rPr>
        <w:t xml:space="preserve">  </w:t>
      </w:r>
      <w:r w:rsidR="00592135" w:rsidRPr="00E116E7">
        <w:rPr>
          <w:rStyle w:val="None"/>
          <w:rFonts w:eastAsia="Calibri" w:cs="Times New Roman"/>
          <w:color w:val="auto"/>
          <w:u w:val="single"/>
          <w:lang w:val="en-GB"/>
        </w:rPr>
        <w:t>YES</w:t>
      </w:r>
      <w:r w:rsidR="00592135" w:rsidRPr="00D26BE7">
        <w:rPr>
          <w:rStyle w:val="None"/>
          <w:rFonts w:eastAsia="Calibri" w:cs="Times New Roman"/>
          <w:color w:val="auto"/>
          <w:u w:color="222222"/>
          <w:lang w:val="en-GB"/>
        </w:rPr>
        <w:t xml:space="preserve"> </w:t>
      </w:r>
      <w:r w:rsidR="009D4513" w:rsidRPr="00D26BE7">
        <w:rPr>
          <w:rStyle w:val="None"/>
          <w:rFonts w:eastAsia="Calibri" w:cs="Times New Roman"/>
          <w:color w:val="auto"/>
          <w:u w:color="222222"/>
          <w:lang w:val="en-GB"/>
        </w:rPr>
        <w:t>/</w:t>
      </w:r>
      <w:proofErr w:type="gramStart"/>
      <w:r w:rsidR="009D4513" w:rsidRPr="00D26BE7">
        <w:rPr>
          <w:rStyle w:val="None"/>
          <w:rFonts w:eastAsia="Calibri" w:cs="Times New Roman"/>
          <w:color w:val="auto"/>
          <w:u w:color="222222"/>
          <w:lang w:val="en-GB"/>
        </w:rPr>
        <w:t>NO</w:t>
      </w:r>
      <w:r w:rsidRPr="00D26BE7">
        <w:rPr>
          <w:rStyle w:val="None"/>
          <w:rFonts w:eastAsia="Calibri" w:cs="Times New Roman"/>
          <w:color w:val="auto"/>
          <w:u w:color="222222"/>
          <w:lang w:val="en-GB"/>
        </w:rPr>
        <w:t xml:space="preserve"> </w:t>
      </w:r>
      <w:r w:rsidR="009D4513" w:rsidRPr="00D26BE7">
        <w:rPr>
          <w:rStyle w:val="None"/>
          <w:rFonts w:eastAsia="Calibri" w:cs="Times New Roman"/>
          <w:color w:val="auto"/>
          <w:u w:color="222222"/>
          <w:lang w:val="en-GB"/>
        </w:rPr>
        <w:t xml:space="preserve"> </w:t>
      </w:r>
      <w:r w:rsidRPr="00D26BE7">
        <w:rPr>
          <w:rStyle w:val="None"/>
          <w:rFonts w:eastAsia="Calibri" w:cs="Times New Roman"/>
          <w:color w:val="auto"/>
          <w:u w:color="222222"/>
          <w:lang w:val="en-GB"/>
        </w:rPr>
        <w:t>P</w:t>
      </w:r>
      <w:r w:rsidR="009D4513" w:rsidRPr="00D26BE7">
        <w:rPr>
          <w:rStyle w:val="None"/>
          <w:rFonts w:eastAsia="Calibri" w:cs="Times New Roman"/>
          <w:color w:val="auto"/>
          <w:u w:color="222222"/>
          <w:lang w:val="en-GB"/>
        </w:rPr>
        <w:t>lease</w:t>
      </w:r>
      <w:proofErr w:type="gramEnd"/>
      <w:r w:rsidR="009D4513" w:rsidRPr="00D26BE7">
        <w:rPr>
          <w:rStyle w:val="None"/>
          <w:rFonts w:eastAsia="Calibri" w:cs="Times New Roman"/>
          <w:color w:val="auto"/>
          <w:u w:color="222222"/>
          <w:lang w:val="en-GB"/>
        </w:rPr>
        <w:t xml:space="preserve"> specify.</w:t>
      </w:r>
    </w:p>
    <w:p w14:paraId="328D9F90" w14:textId="21BD0F16" w:rsidR="006C2193" w:rsidRPr="00D26BE7" w:rsidRDefault="009D4513" w:rsidP="00540529">
      <w:pPr>
        <w:pStyle w:val="BodyA"/>
        <w:numPr>
          <w:ilvl w:val="1"/>
          <w:numId w:val="2"/>
        </w:numPr>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w:t>
      </w:r>
      <w:r w:rsidR="009002DD" w:rsidRPr="00D26BE7">
        <w:rPr>
          <w:rStyle w:val="None"/>
          <w:rFonts w:eastAsia="Calibri" w:cs="Times New Roman"/>
          <w:color w:val="auto"/>
          <w:u w:color="222222"/>
          <w:lang w:val="en-GB"/>
        </w:rPr>
        <w:t xml:space="preserve">marital rape in this provision </w:t>
      </w:r>
      <w:r w:rsidRPr="00D26BE7">
        <w:rPr>
          <w:rStyle w:val="None"/>
          <w:rFonts w:eastAsia="Calibri" w:cs="Times New Roman"/>
          <w:color w:val="auto"/>
          <w:u w:color="222222"/>
          <w:lang w:val="en-GB"/>
        </w:rPr>
        <w:t>explicitly included</w:t>
      </w:r>
      <w:r w:rsidR="009002DD" w:rsidRPr="00D26BE7">
        <w:rPr>
          <w:rStyle w:val="None"/>
          <w:rFonts w:eastAsia="Calibri" w:cs="Times New Roman"/>
          <w:color w:val="auto"/>
          <w:u w:color="222222"/>
          <w:lang w:val="en-GB"/>
        </w:rPr>
        <w:t>?</w:t>
      </w:r>
      <w:r w:rsidRPr="00D26BE7">
        <w:rPr>
          <w:rStyle w:val="None"/>
          <w:rFonts w:eastAsia="Calibri" w:cs="Times New Roman"/>
          <w:color w:val="auto"/>
          <w:u w:color="222222"/>
          <w:lang w:val="en-GB"/>
        </w:rPr>
        <w:t xml:space="preserve"> YES / </w:t>
      </w:r>
      <w:r w:rsidR="00592135" w:rsidRPr="00E116E7">
        <w:rPr>
          <w:rStyle w:val="None"/>
          <w:rFonts w:eastAsia="Calibri" w:cs="Times New Roman"/>
          <w:color w:val="auto"/>
          <w:u w:val="single"/>
          <w:lang w:val="en-GB"/>
        </w:rPr>
        <w:t>NO</w:t>
      </w:r>
    </w:p>
    <w:p w14:paraId="7E2F14FA" w14:textId="3994A537" w:rsidR="006C2193" w:rsidRPr="00D26BE7" w:rsidRDefault="009D4513" w:rsidP="00540529">
      <w:pPr>
        <w:pStyle w:val="BodyA"/>
        <w:numPr>
          <w:ilvl w:val="1"/>
          <w:numId w:val="2"/>
        </w:numPr>
        <w:jc w:val="both"/>
        <w:rPr>
          <w:rFonts w:eastAsia="Calibri" w:cs="Times New Roman"/>
          <w:color w:val="auto"/>
          <w:lang w:val="en-GB"/>
        </w:rPr>
      </w:pPr>
      <w:r w:rsidRPr="00D26BE7">
        <w:rPr>
          <w:rStyle w:val="None"/>
          <w:rFonts w:eastAsia="Calibri" w:cs="Times New Roman"/>
          <w:color w:val="auto"/>
          <w:u w:color="222222"/>
          <w:lang w:val="en-GB"/>
        </w:rPr>
        <w:t>Is the law silent on marital rape</w:t>
      </w:r>
      <w:r w:rsidR="009002DD" w:rsidRPr="00D26BE7">
        <w:rPr>
          <w:rStyle w:val="None"/>
          <w:rFonts w:eastAsia="Calibri" w:cs="Times New Roman"/>
          <w:color w:val="auto"/>
          <w:u w:color="222222"/>
          <w:lang w:val="en-GB"/>
        </w:rPr>
        <w:t>?</w:t>
      </w:r>
      <w:r w:rsidRPr="00D26BE7">
        <w:rPr>
          <w:rStyle w:val="None"/>
          <w:rFonts w:eastAsia="Calibri" w:cs="Times New Roman"/>
          <w:color w:val="auto"/>
          <w:u w:color="222222"/>
          <w:lang w:val="en-GB"/>
        </w:rPr>
        <w:t xml:space="preserve"> </w:t>
      </w:r>
      <w:r w:rsidR="00592135" w:rsidRPr="00E116E7">
        <w:rPr>
          <w:rStyle w:val="None"/>
          <w:rFonts w:eastAsia="Calibri" w:cs="Times New Roman"/>
          <w:color w:val="auto"/>
          <w:u w:val="single"/>
          <w:lang w:val="en-GB"/>
        </w:rPr>
        <w:t>YES</w:t>
      </w:r>
      <w:r w:rsidR="00592135" w:rsidRPr="00D26BE7">
        <w:rPr>
          <w:rStyle w:val="None"/>
          <w:rFonts w:eastAsia="Calibri" w:cs="Times New Roman"/>
          <w:color w:val="auto"/>
          <w:u w:color="222222"/>
          <w:lang w:val="en-GB"/>
        </w:rPr>
        <w:t xml:space="preserve"> </w:t>
      </w:r>
      <w:r w:rsidRPr="00D26BE7">
        <w:rPr>
          <w:rStyle w:val="None"/>
          <w:rFonts w:eastAsia="Calibri" w:cs="Times New Roman"/>
          <w:color w:val="auto"/>
          <w:u w:color="222222"/>
          <w:lang w:val="en-GB"/>
        </w:rPr>
        <w:t>/NO</w:t>
      </w:r>
    </w:p>
    <w:p w14:paraId="6F44A777" w14:textId="4FFFFA86" w:rsidR="006C2193" w:rsidRPr="00D26BE7" w:rsidRDefault="009D4513" w:rsidP="00540529">
      <w:pPr>
        <w:pStyle w:val="BodyA"/>
        <w:numPr>
          <w:ilvl w:val="1"/>
          <w:numId w:val="2"/>
        </w:numPr>
        <w:jc w:val="both"/>
        <w:rPr>
          <w:rFonts w:eastAsia="Calibri" w:cs="Times New Roman"/>
          <w:color w:val="auto"/>
          <w:lang w:val="en-GB"/>
        </w:rPr>
      </w:pPr>
      <w:r w:rsidRPr="00D26BE7">
        <w:rPr>
          <w:rStyle w:val="None"/>
          <w:rFonts w:eastAsia="Calibri" w:cs="Times New Roman"/>
          <w:color w:val="auto"/>
          <w:u w:color="222222"/>
          <w:lang w:val="en-GB"/>
        </w:rPr>
        <w:t>Is marital rape covered in the general provisions or by legal precedent even if it is not explicitly included</w:t>
      </w:r>
      <w:r w:rsidR="009002DD" w:rsidRPr="00D26BE7">
        <w:rPr>
          <w:rStyle w:val="None"/>
          <w:rFonts w:eastAsia="Calibri" w:cs="Times New Roman"/>
          <w:color w:val="auto"/>
          <w:u w:color="222222"/>
          <w:lang w:val="en-GB"/>
        </w:rPr>
        <w:t>?</w:t>
      </w:r>
      <w:r w:rsidRPr="00D26BE7">
        <w:rPr>
          <w:rStyle w:val="None"/>
          <w:rFonts w:eastAsia="Calibri" w:cs="Times New Roman"/>
          <w:color w:val="auto"/>
          <w:u w:color="222222"/>
          <w:lang w:val="en-GB"/>
        </w:rPr>
        <w:t xml:space="preserve"> </w:t>
      </w:r>
      <w:r w:rsidR="00592135" w:rsidRPr="00E116E7">
        <w:rPr>
          <w:rStyle w:val="None"/>
          <w:rFonts w:eastAsia="Calibri" w:cs="Times New Roman"/>
          <w:color w:val="auto"/>
          <w:u w:val="single"/>
          <w:lang w:val="en-GB"/>
        </w:rPr>
        <w:t>YES</w:t>
      </w:r>
      <w:r w:rsidR="00592135" w:rsidRPr="00592135">
        <w:rPr>
          <w:rStyle w:val="None"/>
          <w:rFonts w:eastAsia="Calibri" w:cs="Times New Roman"/>
          <w:color w:val="auto"/>
          <w:u w:color="222222"/>
          <w:lang w:val="en-GB"/>
        </w:rPr>
        <w:t xml:space="preserve"> </w:t>
      </w:r>
      <w:r w:rsidRPr="00592135">
        <w:rPr>
          <w:rStyle w:val="None"/>
          <w:rFonts w:eastAsia="Calibri" w:cs="Times New Roman"/>
          <w:color w:val="auto"/>
          <w:u w:color="222222"/>
          <w:lang w:val="en-GB"/>
        </w:rPr>
        <w:t>/</w:t>
      </w:r>
      <w:r w:rsidRPr="00D26BE7">
        <w:rPr>
          <w:rStyle w:val="None"/>
          <w:rFonts w:eastAsia="Calibri" w:cs="Times New Roman"/>
          <w:color w:val="auto"/>
          <w:u w:color="222222"/>
          <w:lang w:val="en-GB"/>
        </w:rPr>
        <w:t>NO</w:t>
      </w:r>
    </w:p>
    <w:p w14:paraId="37D968C2" w14:textId="77777777" w:rsidR="006C2193" w:rsidRPr="00D26BE7" w:rsidRDefault="009D4513" w:rsidP="00540529">
      <w:pPr>
        <w:pStyle w:val="BodyA"/>
        <w:numPr>
          <w:ilvl w:val="1"/>
          <w:numId w:val="2"/>
        </w:numPr>
        <w:jc w:val="both"/>
        <w:rPr>
          <w:rStyle w:val="None"/>
          <w:rFonts w:eastAsia="Calibri" w:cs="Times New Roman"/>
          <w:color w:val="auto"/>
          <w:u w:color="222222"/>
          <w:lang w:val="en-GB"/>
        </w:rPr>
      </w:pPr>
      <w:r w:rsidRPr="00D26BE7">
        <w:rPr>
          <w:rStyle w:val="None"/>
          <w:rFonts w:eastAsia="Calibri" w:cs="Times New Roman"/>
          <w:color w:val="auto"/>
          <w:u w:color="222222"/>
          <w:lang w:val="en-GB"/>
        </w:rPr>
        <w:t>Is marital rape excluded in the provisions, or is marital rape not considered as a crime?   YES /</w:t>
      </w:r>
      <w:r w:rsidRPr="00592135">
        <w:rPr>
          <w:rStyle w:val="None"/>
          <w:rFonts w:eastAsia="Calibri" w:cs="Times New Roman"/>
          <w:color w:val="auto"/>
          <w:u w:val="single"/>
          <w:lang w:val="en-GB"/>
        </w:rPr>
        <w:t>NO</w:t>
      </w:r>
    </w:p>
    <w:p w14:paraId="2A949CF1" w14:textId="77777777" w:rsidR="006C2193" w:rsidRPr="00D26BE7" w:rsidRDefault="006C2193" w:rsidP="00540529">
      <w:pPr>
        <w:pStyle w:val="BodyA"/>
        <w:jc w:val="both"/>
        <w:rPr>
          <w:rFonts w:eastAsia="Calibri" w:cs="Times New Roman"/>
          <w:color w:val="auto"/>
          <w:lang w:val="en-GB"/>
        </w:rPr>
      </w:pPr>
    </w:p>
    <w:p w14:paraId="51C03195" w14:textId="77777777" w:rsidR="00080643" w:rsidRPr="00080643"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D26BE7">
        <w:rPr>
          <w:rFonts w:eastAsia="Calibri" w:cs="Times New Roman"/>
          <w:color w:val="auto"/>
          <w:lang w:val="en-GB"/>
        </w:rPr>
        <w:t xml:space="preserve">To what extent legislation in your country excludes </w:t>
      </w:r>
      <w:r w:rsidR="009D4513" w:rsidRPr="00D26BE7">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 If so</w:t>
      </w:r>
      <w:r w:rsidR="00065C0E" w:rsidRPr="00D26BE7">
        <w:rPr>
          <w:rStyle w:val="None"/>
          <w:rFonts w:eastAsia="Calibri" w:cs="Times New Roman"/>
          <w:color w:val="auto"/>
          <w:u w:color="222222"/>
          <w:lang w:val="en-GB"/>
        </w:rPr>
        <w:t>,</w:t>
      </w:r>
      <w:r w:rsidR="009D4513" w:rsidRPr="00D26BE7">
        <w:rPr>
          <w:rStyle w:val="None"/>
          <w:rFonts w:eastAsia="Calibri" w:cs="Times New Roman"/>
          <w:color w:val="auto"/>
          <w:u w:color="222222"/>
          <w:lang w:val="en-GB"/>
        </w:rPr>
        <w:t xml:space="preserve"> please submit </w:t>
      </w:r>
      <w:r w:rsidR="00065C0E" w:rsidRPr="00D26BE7">
        <w:rPr>
          <w:rStyle w:val="None"/>
          <w:rFonts w:eastAsia="Calibri" w:cs="Times New Roman"/>
          <w:color w:val="auto"/>
          <w:u w:color="222222"/>
          <w:lang w:val="en-GB"/>
        </w:rPr>
        <w:t>relevant articles</w:t>
      </w:r>
      <w:r w:rsidR="009002DD" w:rsidRPr="00D26BE7">
        <w:rPr>
          <w:rStyle w:val="None"/>
          <w:rFonts w:eastAsia="Calibri" w:cs="Times New Roman"/>
          <w:color w:val="auto"/>
          <w:u w:color="222222"/>
          <w:lang w:val="en-GB"/>
        </w:rPr>
        <w:t xml:space="preserve"> with corresponding translations</w:t>
      </w:r>
      <w:r w:rsidR="009D4513" w:rsidRPr="00D26BE7">
        <w:rPr>
          <w:rStyle w:val="None"/>
          <w:rFonts w:eastAsia="Calibri" w:cs="Times New Roman"/>
          <w:color w:val="auto"/>
          <w:u w:color="222222"/>
          <w:lang w:val="en-GB"/>
        </w:rPr>
        <w:t xml:space="preserve">. </w:t>
      </w:r>
      <w:r w:rsidR="00C76EA4">
        <w:rPr>
          <w:rStyle w:val="None"/>
          <w:rFonts w:ascii="Sylfaen" w:eastAsia="Calibri" w:hAnsi="Sylfaen" w:cs="Times New Roman"/>
          <w:color w:val="auto"/>
          <w:u w:color="222222"/>
          <w:lang w:val="ka-GE"/>
        </w:rPr>
        <w:t xml:space="preserve"> </w:t>
      </w:r>
    </w:p>
    <w:p w14:paraId="638CF6D3" w14:textId="77777777" w:rsidR="00080643" w:rsidRDefault="00080643" w:rsidP="00080643">
      <w:pPr>
        <w:pStyle w:val="BodyA"/>
        <w:shd w:val="clear" w:color="auto" w:fill="FFFFFF"/>
        <w:ind w:left="753"/>
        <w:jc w:val="both"/>
        <w:rPr>
          <w:rStyle w:val="None"/>
          <w:rFonts w:eastAsia="Calibri" w:cs="Times New Roman"/>
          <w:color w:val="auto"/>
          <w:u w:color="222222"/>
          <w:lang w:val="en-GB"/>
        </w:rPr>
      </w:pPr>
    </w:p>
    <w:p w14:paraId="22558173" w14:textId="5B15D0E1" w:rsidR="006C2193" w:rsidRPr="00592135" w:rsidRDefault="00C76EA4" w:rsidP="00080643">
      <w:pPr>
        <w:pStyle w:val="BodyA"/>
        <w:shd w:val="clear" w:color="auto" w:fill="FFFFFF"/>
        <w:ind w:left="753"/>
        <w:jc w:val="both"/>
        <w:rPr>
          <w:rStyle w:val="None"/>
          <w:rFonts w:eastAsia="Calibri" w:cs="Times New Roman"/>
          <w:color w:val="auto"/>
          <w:u w:color="222222"/>
          <w:lang w:val="en-GB"/>
        </w:rPr>
      </w:pPr>
      <w:r w:rsidRPr="00592135">
        <w:rPr>
          <w:rStyle w:val="None"/>
          <w:rFonts w:eastAsia="Calibri" w:cs="Times New Roman"/>
          <w:color w:val="auto"/>
          <w:u w:color="222222"/>
          <w:lang w:val="en-GB"/>
        </w:rPr>
        <w:t>Georgian legislation doesn’t exclude criminalization of the perpetrator in such circumstances.</w:t>
      </w:r>
      <w:r w:rsidR="000B546C" w:rsidRPr="00592135">
        <w:rPr>
          <w:rStyle w:val="None"/>
          <w:rFonts w:eastAsia="Calibri" w:cs="Times New Roman"/>
          <w:color w:val="auto"/>
          <w:u w:color="222222"/>
          <w:lang w:val="en-GB"/>
        </w:rPr>
        <w:t xml:space="preserve"> Although Georgia has good leg</w:t>
      </w:r>
      <w:r w:rsidR="00134A2A" w:rsidRPr="00592135">
        <w:rPr>
          <w:rStyle w:val="None"/>
          <w:rFonts w:eastAsia="Calibri" w:cs="Times New Roman"/>
          <w:color w:val="auto"/>
          <w:u w:color="222222"/>
          <w:lang w:val="en-GB"/>
        </w:rPr>
        <w:t xml:space="preserve">islative framework, there </w:t>
      </w:r>
      <w:r w:rsidR="000B546C" w:rsidRPr="00592135">
        <w:rPr>
          <w:rStyle w:val="None"/>
          <w:rFonts w:eastAsia="Calibri" w:cs="Times New Roman"/>
          <w:color w:val="auto"/>
          <w:u w:color="222222"/>
          <w:lang w:val="en-GB"/>
        </w:rPr>
        <w:t xml:space="preserve">is </w:t>
      </w:r>
      <w:r w:rsidR="00134A2A" w:rsidRPr="00592135">
        <w:rPr>
          <w:rStyle w:val="None"/>
          <w:rFonts w:eastAsia="Calibri" w:cs="Times New Roman"/>
          <w:color w:val="auto"/>
          <w:u w:color="222222"/>
          <w:lang w:val="en-GB"/>
        </w:rPr>
        <w:t xml:space="preserve">still a </w:t>
      </w:r>
      <w:r w:rsidR="000B546C" w:rsidRPr="00592135">
        <w:rPr>
          <w:rStyle w:val="None"/>
          <w:rFonts w:eastAsia="Calibri" w:cs="Times New Roman"/>
          <w:color w:val="auto"/>
          <w:u w:color="222222"/>
          <w:lang w:val="en-GB"/>
        </w:rPr>
        <w:t>stigma</w:t>
      </w:r>
      <w:r w:rsidR="00193702">
        <w:rPr>
          <w:rStyle w:val="None"/>
          <w:rFonts w:eastAsia="Calibri" w:cs="Times New Roman"/>
          <w:color w:val="auto"/>
          <w:u w:color="222222"/>
          <w:lang w:val="en-GB"/>
        </w:rPr>
        <w:t xml:space="preserve"> associated to this issue</w:t>
      </w:r>
      <w:r w:rsidR="000B546C" w:rsidRPr="00592135">
        <w:rPr>
          <w:rStyle w:val="None"/>
          <w:rFonts w:eastAsia="Calibri" w:cs="Times New Roman"/>
          <w:color w:val="auto"/>
          <w:u w:color="222222"/>
          <w:lang w:val="en-GB"/>
        </w:rPr>
        <w:t xml:space="preserve"> </w:t>
      </w:r>
      <w:r w:rsidR="00134A2A" w:rsidRPr="00592135">
        <w:rPr>
          <w:rStyle w:val="None"/>
          <w:rFonts w:eastAsia="Calibri" w:cs="Times New Roman"/>
          <w:color w:val="auto"/>
          <w:u w:color="222222"/>
          <w:lang w:val="en-GB"/>
        </w:rPr>
        <w:t>in practice.</w:t>
      </w:r>
      <w:r w:rsidR="004B3BF8" w:rsidRPr="00592135">
        <w:rPr>
          <w:rStyle w:val="None"/>
          <w:rFonts w:eastAsia="Calibri" w:cs="Times New Roman"/>
          <w:color w:val="auto"/>
          <w:u w:color="222222"/>
          <w:lang w:val="en-GB"/>
        </w:rPr>
        <w:t xml:space="preserve"> The society thinks, that if two people have a sexual relationship or they live together, there </w:t>
      </w:r>
      <w:r w:rsidR="00193702">
        <w:rPr>
          <w:rStyle w:val="None"/>
          <w:rFonts w:eastAsia="Calibri" w:cs="Times New Roman"/>
          <w:color w:val="auto"/>
          <w:u w:color="222222"/>
          <w:lang w:val="en-GB"/>
        </w:rPr>
        <w:t>is</w:t>
      </w:r>
      <w:r w:rsidR="004B3BF8" w:rsidRPr="00592135">
        <w:rPr>
          <w:rStyle w:val="None"/>
          <w:rFonts w:eastAsia="Calibri" w:cs="Times New Roman"/>
          <w:color w:val="auto"/>
          <w:u w:color="222222"/>
          <w:lang w:val="en-GB"/>
        </w:rPr>
        <w:t xml:space="preserve"> no chance of </w:t>
      </w:r>
      <w:r w:rsidR="00193702">
        <w:rPr>
          <w:rStyle w:val="None"/>
          <w:rFonts w:eastAsia="Calibri" w:cs="Times New Roman"/>
          <w:color w:val="auto"/>
          <w:u w:color="222222"/>
          <w:lang w:val="en-GB"/>
        </w:rPr>
        <w:t xml:space="preserve">marital </w:t>
      </w:r>
      <w:r w:rsidR="004B3BF8" w:rsidRPr="00592135">
        <w:rPr>
          <w:rStyle w:val="None"/>
          <w:rFonts w:eastAsia="Calibri" w:cs="Times New Roman"/>
          <w:color w:val="auto"/>
          <w:u w:color="222222"/>
          <w:lang w:val="en-GB"/>
        </w:rPr>
        <w:t>rape.</w:t>
      </w:r>
      <w:r w:rsidR="00D92A5C" w:rsidRPr="00592135">
        <w:rPr>
          <w:rStyle w:val="None"/>
          <w:rFonts w:eastAsia="Calibri" w:cs="Times New Roman"/>
          <w:color w:val="auto"/>
          <w:u w:color="222222"/>
          <w:lang w:val="en-GB"/>
        </w:rPr>
        <w:t xml:space="preserve"> Because of this stigma, women often do not declare sexual violence from their partners and such cases remain undeclared and public services do not have full picture about the situation in the country.</w:t>
      </w:r>
    </w:p>
    <w:p w14:paraId="4553DF96" w14:textId="77777777" w:rsidR="006C2193" w:rsidRPr="00D26BE7" w:rsidRDefault="006C2193" w:rsidP="00540529">
      <w:pPr>
        <w:pStyle w:val="BodyA"/>
        <w:shd w:val="clear" w:color="auto" w:fill="FFFFFF"/>
        <w:ind w:left="753"/>
        <w:jc w:val="both"/>
        <w:rPr>
          <w:rStyle w:val="None"/>
          <w:rFonts w:eastAsia="Calibri" w:cs="Times New Roman"/>
          <w:color w:val="auto"/>
          <w:u w:color="222222"/>
          <w:lang w:val="en-GB"/>
        </w:rPr>
      </w:pPr>
    </w:p>
    <w:p w14:paraId="31E5F6B6" w14:textId="6E4CC5CD" w:rsidR="00080643" w:rsidRDefault="009D4513" w:rsidP="0044071E">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What is th</w:t>
      </w:r>
      <w:r w:rsidR="00306C19">
        <w:rPr>
          <w:rStyle w:val="None"/>
          <w:rFonts w:eastAsia="Calibri" w:cs="Times New Roman"/>
          <w:color w:val="auto"/>
          <w:u w:color="222222"/>
          <w:lang w:val="en-GB"/>
        </w:rPr>
        <w:t>e legal age for sexual consent?</w:t>
      </w:r>
    </w:p>
    <w:p w14:paraId="141E52E4" w14:textId="77777777" w:rsidR="00080643" w:rsidRDefault="00080643" w:rsidP="00080643">
      <w:pPr>
        <w:pStyle w:val="BodyA"/>
        <w:shd w:val="clear" w:color="auto" w:fill="FFFFFF"/>
        <w:ind w:left="753"/>
        <w:jc w:val="both"/>
        <w:rPr>
          <w:rStyle w:val="None"/>
          <w:rFonts w:eastAsia="Calibri" w:cs="Times New Roman"/>
          <w:color w:val="auto"/>
          <w:u w:color="222222"/>
          <w:lang w:val="en-GB"/>
        </w:rPr>
      </w:pPr>
    </w:p>
    <w:p w14:paraId="3DB549EB" w14:textId="5E3679D5" w:rsidR="006C2193" w:rsidRPr="00D26BE7" w:rsidRDefault="0044071E" w:rsidP="00080643">
      <w:pPr>
        <w:pStyle w:val="BodyA"/>
        <w:shd w:val="clear" w:color="auto" w:fill="FFFFFF"/>
        <w:ind w:left="753"/>
        <w:jc w:val="both"/>
        <w:rPr>
          <w:rStyle w:val="None"/>
          <w:rFonts w:eastAsia="Calibri" w:cs="Times New Roman"/>
          <w:color w:val="auto"/>
          <w:u w:color="222222"/>
          <w:lang w:val="en-GB"/>
        </w:rPr>
      </w:pPr>
      <w:r w:rsidRPr="00D26BE7">
        <w:rPr>
          <w:rStyle w:val="None"/>
          <w:rFonts w:eastAsia="Calibri" w:cs="Times New Roman"/>
          <w:color w:val="auto"/>
          <w:u w:color="222222"/>
          <w:lang w:val="en-GB"/>
        </w:rPr>
        <w:t>Legal age for sexual consent is 16 years.</w:t>
      </w:r>
    </w:p>
    <w:p w14:paraId="6EE1A0B3" w14:textId="77777777" w:rsidR="006C2193" w:rsidRPr="00D26BE7" w:rsidRDefault="006C2193" w:rsidP="00540529">
      <w:pPr>
        <w:pStyle w:val="BodyA"/>
        <w:shd w:val="clear" w:color="auto" w:fill="FFFFFF"/>
        <w:ind w:left="753"/>
        <w:jc w:val="both"/>
        <w:rPr>
          <w:rStyle w:val="None"/>
          <w:rFonts w:eastAsia="Calibri" w:cs="Times New Roman"/>
          <w:color w:val="auto"/>
          <w:u w:color="222222"/>
          <w:lang w:val="en-GB"/>
        </w:rPr>
      </w:pPr>
    </w:p>
    <w:p w14:paraId="124D2A95" w14:textId="77777777" w:rsidR="00080643" w:rsidRPr="00080643" w:rsidRDefault="009D4513" w:rsidP="00D26BE7">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Are there provisions that differentiate for sexual activity between peers? If so, please provide them.</w:t>
      </w:r>
      <w:r w:rsidR="00D26BE7" w:rsidRPr="00D26BE7">
        <w:rPr>
          <w:rStyle w:val="None"/>
          <w:rFonts w:eastAsia="Calibri" w:cs="Times New Roman"/>
          <w:color w:val="auto"/>
          <w:u w:color="222222"/>
          <w:lang w:val="ka-GE"/>
        </w:rPr>
        <w:t xml:space="preserve"> </w:t>
      </w:r>
    </w:p>
    <w:p w14:paraId="58D57614" w14:textId="77777777" w:rsidR="00080643" w:rsidRDefault="00080643" w:rsidP="00080643">
      <w:pPr>
        <w:pStyle w:val="BodyA"/>
        <w:shd w:val="clear" w:color="auto" w:fill="FFFFFF"/>
        <w:ind w:left="753"/>
        <w:jc w:val="both"/>
        <w:rPr>
          <w:rStyle w:val="None"/>
          <w:rFonts w:ascii="Sylfaen" w:eastAsia="Calibri" w:hAnsi="Sylfaen" w:cs="Times New Roman"/>
          <w:color w:val="auto"/>
          <w:u w:color="222222"/>
          <w:lang w:val="ka-GE"/>
        </w:rPr>
      </w:pPr>
    </w:p>
    <w:p w14:paraId="60DED52F" w14:textId="15469CAB" w:rsidR="006C2193" w:rsidRPr="002F08B4" w:rsidRDefault="00306C19" w:rsidP="00080643">
      <w:pPr>
        <w:pStyle w:val="BodyA"/>
        <w:shd w:val="clear" w:color="auto" w:fill="FFFFFF"/>
        <w:ind w:left="753"/>
        <w:jc w:val="both"/>
        <w:rPr>
          <w:rStyle w:val="None"/>
          <w:rFonts w:eastAsia="Calibri" w:cs="Times New Roman"/>
          <w:color w:val="auto"/>
          <w:u w:color="222222"/>
          <w:lang w:val="en-GB"/>
        </w:rPr>
      </w:pPr>
      <w:r w:rsidRPr="002F08B4">
        <w:rPr>
          <w:rStyle w:val="None"/>
          <w:rFonts w:eastAsia="Calibri" w:cs="Times New Roman"/>
          <w:color w:val="auto"/>
          <w:u w:color="222222"/>
          <w:lang w:val="en-GB"/>
        </w:rPr>
        <w:t>Yes,</w:t>
      </w:r>
      <w:r w:rsidR="00D26BE7" w:rsidRPr="002F08B4">
        <w:rPr>
          <w:rStyle w:val="None"/>
          <w:rFonts w:eastAsia="Calibri" w:cs="Times New Roman"/>
          <w:color w:val="auto"/>
          <w:u w:color="222222"/>
          <w:lang w:val="en-GB"/>
        </w:rPr>
        <w:t xml:space="preserve"> </w:t>
      </w:r>
      <w:proofErr w:type="gramStart"/>
      <w:r w:rsidR="00D26BE7" w:rsidRPr="002F08B4">
        <w:rPr>
          <w:rStyle w:val="None"/>
          <w:rFonts w:eastAsia="Calibri" w:cs="Times New Roman"/>
          <w:color w:val="auto"/>
          <w:u w:color="222222"/>
          <w:lang w:val="en-GB"/>
        </w:rPr>
        <w:t>There</w:t>
      </w:r>
      <w:proofErr w:type="gramEnd"/>
      <w:r w:rsidR="00D26BE7" w:rsidRPr="002F08B4">
        <w:rPr>
          <w:rStyle w:val="None"/>
          <w:rFonts w:eastAsia="Calibri" w:cs="Times New Roman"/>
          <w:color w:val="auto"/>
          <w:u w:color="222222"/>
          <w:lang w:val="en-GB"/>
        </w:rPr>
        <w:t xml:space="preserve"> is article 140 in criminal code of Georgia, which only criminalize penetration of a sexual nature into the body of a person below 16 years of age, committed knowingly by an adult. Sexual activity between peers is not criminalized.</w:t>
      </w:r>
      <w:r w:rsidR="00DF60E5" w:rsidRPr="002F08B4">
        <w:rPr>
          <w:rStyle w:val="None"/>
          <w:rFonts w:eastAsia="Calibri" w:cs="Times New Roman"/>
          <w:color w:val="auto"/>
          <w:u w:color="222222"/>
          <w:lang w:val="en-GB"/>
        </w:rPr>
        <w:t xml:space="preserve"> But it should be mentioned, that an investigation under this articles begins on the cases of early marriage, when an adult marries a minor. Also, this article has some flaws. For example, when two minors start a family and have a child this is not punishable. But, after a while, one of them is an adult and other one is still under 16 years, their relationship is already punishable by law. In practice, there is chance, that this adult will be punished for the penetration of a sexual nature into the body of a person below 16 years. And </w:t>
      </w:r>
      <w:r w:rsidR="00EB1AD2" w:rsidRPr="002F08B4">
        <w:rPr>
          <w:rStyle w:val="None"/>
          <w:rFonts w:eastAsia="Calibri" w:cs="Times New Roman"/>
          <w:color w:val="auto"/>
          <w:u w:color="222222"/>
          <w:lang w:val="en-GB"/>
        </w:rPr>
        <w:t>sanction for this crime is imprisonment for a term of seven to nine years.</w:t>
      </w:r>
    </w:p>
    <w:p w14:paraId="5FA5441D" w14:textId="77777777" w:rsidR="006C2193" w:rsidRPr="00D26BE7" w:rsidRDefault="006C2193" w:rsidP="00540529">
      <w:pPr>
        <w:pStyle w:val="BodyA"/>
        <w:shd w:val="clear" w:color="auto" w:fill="FFFFFF"/>
        <w:jc w:val="both"/>
        <w:rPr>
          <w:rStyle w:val="None"/>
          <w:rFonts w:eastAsia="Calibri" w:cs="Times New Roman"/>
          <w:color w:val="auto"/>
          <w:u w:color="222222"/>
          <w:lang w:val="en-GB"/>
        </w:rPr>
      </w:pPr>
    </w:p>
    <w:p w14:paraId="101FCFD6" w14:textId="77777777" w:rsidR="00080643" w:rsidRPr="00080643" w:rsidRDefault="009D4513" w:rsidP="0050296C">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Provide information on criminal sanctions prescribed and length/duration of such criminal sanctions for criminalized forms of rape.</w:t>
      </w:r>
      <w:r w:rsidR="0050296C">
        <w:rPr>
          <w:rStyle w:val="None"/>
          <w:rFonts w:ascii="Sylfaen" w:eastAsia="Calibri" w:hAnsi="Sylfaen" w:cs="Times New Roman"/>
          <w:color w:val="auto"/>
          <w:u w:color="222222"/>
          <w:lang w:val="ka-GE"/>
        </w:rPr>
        <w:t xml:space="preserve"> </w:t>
      </w:r>
    </w:p>
    <w:p w14:paraId="33D3BFFE" w14:textId="77777777" w:rsidR="00080643" w:rsidRDefault="00080643" w:rsidP="00080643">
      <w:pPr>
        <w:pStyle w:val="BodyA"/>
        <w:shd w:val="clear" w:color="auto" w:fill="FFFFFF"/>
        <w:ind w:left="753"/>
        <w:jc w:val="both"/>
        <w:rPr>
          <w:rStyle w:val="None"/>
          <w:rFonts w:ascii="Sylfaen" w:eastAsia="Calibri" w:hAnsi="Sylfaen" w:cs="Times New Roman"/>
          <w:color w:val="auto"/>
          <w:u w:color="222222"/>
          <w:lang w:val="ka-GE"/>
        </w:rPr>
      </w:pPr>
    </w:p>
    <w:p w14:paraId="6232F6C8" w14:textId="1088819F" w:rsidR="006C2193" w:rsidRPr="00D26BE7" w:rsidRDefault="0050296C" w:rsidP="00080643">
      <w:pPr>
        <w:pStyle w:val="BodyA"/>
        <w:shd w:val="clear" w:color="auto" w:fill="FFFFFF"/>
        <w:ind w:left="753"/>
        <w:jc w:val="both"/>
        <w:rPr>
          <w:rStyle w:val="None"/>
          <w:rFonts w:eastAsia="Calibri" w:cs="Times New Roman"/>
          <w:color w:val="auto"/>
          <w:u w:color="222222"/>
          <w:lang w:val="en-GB"/>
        </w:rPr>
      </w:pPr>
      <w:r>
        <w:rPr>
          <w:rStyle w:val="None"/>
          <w:rFonts w:ascii="Sylfaen" w:eastAsia="Calibri" w:hAnsi="Sylfaen" w:cs="Times New Roman"/>
          <w:color w:val="auto"/>
          <w:u w:color="222222"/>
        </w:rPr>
        <w:lastRenderedPageBreak/>
        <w:t xml:space="preserve">Sanctions are: 1. imprisonment </w:t>
      </w:r>
      <w:r w:rsidRPr="0050296C">
        <w:rPr>
          <w:rStyle w:val="None"/>
          <w:rFonts w:ascii="Sylfaen" w:eastAsia="Calibri" w:hAnsi="Sylfaen" w:cs="Times New Roman"/>
          <w:color w:val="auto"/>
          <w:u w:color="222222"/>
        </w:rPr>
        <w:t>for a term of six to eight years</w:t>
      </w:r>
      <w:r>
        <w:rPr>
          <w:rStyle w:val="None"/>
          <w:rFonts w:ascii="Sylfaen" w:eastAsia="Calibri" w:hAnsi="Sylfaen" w:cs="Times New Roman"/>
          <w:color w:val="auto"/>
          <w:u w:color="222222"/>
        </w:rPr>
        <w:t>/ eight to ten years/ten to thirteen years/</w:t>
      </w:r>
      <w:r w:rsidRPr="0050296C">
        <w:t xml:space="preserve"> </w:t>
      </w:r>
      <w:r w:rsidR="00FD46C6">
        <w:rPr>
          <w:rStyle w:val="None"/>
          <w:rFonts w:ascii="Sylfaen" w:eastAsia="Calibri" w:hAnsi="Sylfaen" w:cs="Times New Roman"/>
          <w:color w:val="auto"/>
          <w:u w:color="222222"/>
        </w:rPr>
        <w:t xml:space="preserve">fifteen to twenty </w:t>
      </w:r>
      <w:r w:rsidRPr="0050296C">
        <w:rPr>
          <w:rStyle w:val="None"/>
          <w:rFonts w:ascii="Sylfaen" w:eastAsia="Calibri" w:hAnsi="Sylfaen" w:cs="Times New Roman"/>
          <w:color w:val="auto"/>
          <w:u w:color="222222"/>
        </w:rPr>
        <w:t>years</w:t>
      </w:r>
      <w:r>
        <w:rPr>
          <w:rStyle w:val="None"/>
          <w:rFonts w:ascii="Sylfaen" w:eastAsia="Calibri" w:hAnsi="Sylfaen" w:cs="Times New Roman"/>
          <w:color w:val="auto"/>
          <w:u w:color="222222"/>
        </w:rPr>
        <w:t xml:space="preserve"> or imprisonment for life. </w:t>
      </w:r>
      <w:r w:rsidR="007C370F">
        <w:rPr>
          <w:rStyle w:val="None"/>
          <w:rFonts w:ascii="Sylfaen" w:eastAsia="Calibri" w:hAnsi="Sylfaen" w:cs="Times New Roman"/>
          <w:color w:val="auto"/>
          <w:u w:color="222222"/>
        </w:rPr>
        <w:t xml:space="preserve"> And </w:t>
      </w:r>
      <w:r>
        <w:rPr>
          <w:rStyle w:val="None"/>
          <w:rFonts w:ascii="Sylfaen" w:eastAsia="Calibri" w:hAnsi="Sylfaen" w:cs="Times New Roman"/>
          <w:color w:val="auto"/>
          <w:u w:color="222222"/>
        </w:rPr>
        <w:t xml:space="preserve">2. </w:t>
      </w:r>
      <w:r w:rsidR="00FD46C6">
        <w:rPr>
          <w:rStyle w:val="None"/>
          <w:rFonts w:ascii="Sylfaen" w:eastAsia="Calibri" w:hAnsi="Sylfaen" w:cs="Times New Roman"/>
          <w:color w:val="auto"/>
          <w:u w:color="222222"/>
        </w:rPr>
        <w:t>R</w:t>
      </w:r>
      <w:r w:rsidRPr="0050296C">
        <w:rPr>
          <w:rStyle w:val="None"/>
          <w:rFonts w:ascii="Sylfaen" w:eastAsia="Calibri" w:hAnsi="Sylfaen" w:cs="Times New Roman"/>
          <w:color w:val="auto"/>
          <w:u w:color="222222"/>
        </w:rPr>
        <w:t>estriction of the rights regarding weapons</w:t>
      </w:r>
      <w:r w:rsidR="007C370F">
        <w:rPr>
          <w:rStyle w:val="None"/>
          <w:rFonts w:ascii="Sylfaen" w:eastAsia="Calibri" w:hAnsi="Sylfaen" w:cs="Times New Roman"/>
          <w:color w:val="auto"/>
          <w:u w:color="222222"/>
        </w:rPr>
        <w:t xml:space="preserve">; </w:t>
      </w:r>
    </w:p>
    <w:p w14:paraId="58324639" w14:textId="77777777" w:rsidR="006C2193" w:rsidRPr="00D26BE7" w:rsidRDefault="006C2193" w:rsidP="00540529">
      <w:pPr>
        <w:pStyle w:val="BodyA"/>
        <w:shd w:val="clear" w:color="auto" w:fill="FFFFFF"/>
        <w:jc w:val="both"/>
        <w:rPr>
          <w:rStyle w:val="None"/>
          <w:rFonts w:eastAsia="Calibri" w:cs="Times New Roman"/>
          <w:color w:val="auto"/>
          <w:u w:color="222222"/>
          <w:lang w:val="en-GB"/>
        </w:rPr>
      </w:pPr>
    </w:p>
    <w:p w14:paraId="5D794A0A" w14:textId="77777777" w:rsidR="00080643" w:rsidRPr="0008064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What does the legislation in your country provide in terms of reparation to the victim of rape and/or sexual violence after conviction of the perpetrator?</w:t>
      </w:r>
      <w:r w:rsidR="00377263">
        <w:rPr>
          <w:rStyle w:val="None"/>
          <w:rFonts w:ascii="Sylfaen" w:eastAsia="Calibri" w:hAnsi="Sylfaen" w:cs="Times New Roman"/>
          <w:color w:val="auto"/>
          <w:u w:color="222222"/>
          <w:lang w:val="ka-GE"/>
        </w:rPr>
        <w:t xml:space="preserve"> </w:t>
      </w:r>
    </w:p>
    <w:p w14:paraId="299EEDB1" w14:textId="77777777" w:rsidR="00080643" w:rsidRDefault="00080643" w:rsidP="00080643">
      <w:pPr>
        <w:pStyle w:val="BodyA"/>
        <w:shd w:val="clear" w:color="auto" w:fill="FFFFFF"/>
        <w:ind w:left="753"/>
        <w:jc w:val="both"/>
        <w:rPr>
          <w:rStyle w:val="None"/>
          <w:rFonts w:ascii="Sylfaen" w:eastAsia="Calibri" w:hAnsi="Sylfaen" w:cs="Times New Roman"/>
          <w:color w:val="auto"/>
          <w:u w:color="222222"/>
        </w:rPr>
      </w:pPr>
    </w:p>
    <w:p w14:paraId="1BBCE44E" w14:textId="28A8E729" w:rsidR="006C2193" w:rsidRDefault="00377263" w:rsidP="00080643">
      <w:pPr>
        <w:pStyle w:val="BodyA"/>
        <w:shd w:val="clear" w:color="auto" w:fill="FFFFFF"/>
        <w:ind w:left="753"/>
        <w:jc w:val="both"/>
        <w:rPr>
          <w:rStyle w:val="None"/>
          <w:rFonts w:eastAsia="Calibri" w:cs="Times New Roman"/>
          <w:color w:val="auto"/>
          <w:u w:color="222222"/>
        </w:rPr>
      </w:pPr>
      <w:r w:rsidRPr="00145C79">
        <w:rPr>
          <w:rStyle w:val="None"/>
          <w:rFonts w:eastAsia="Calibri" w:cs="Times New Roman"/>
          <w:color w:val="auto"/>
          <w:u w:color="222222"/>
        </w:rPr>
        <w:t xml:space="preserve">A victim can sue the perpetrator for the moral damages according to </w:t>
      </w:r>
      <w:r w:rsidR="00580B54" w:rsidRPr="00145C79">
        <w:rPr>
          <w:rStyle w:val="None"/>
          <w:rFonts w:eastAsia="Calibri" w:cs="Times New Roman"/>
          <w:color w:val="auto"/>
          <w:u w:color="222222"/>
        </w:rPr>
        <w:t xml:space="preserve">the </w:t>
      </w:r>
      <w:r w:rsidRPr="00145C79">
        <w:rPr>
          <w:rStyle w:val="None"/>
          <w:rFonts w:eastAsia="Calibri" w:cs="Times New Roman"/>
          <w:color w:val="auto"/>
          <w:u w:color="222222"/>
        </w:rPr>
        <w:t>civil code of Georgia.</w:t>
      </w:r>
      <w:r w:rsidR="00145C79" w:rsidRPr="00145C79">
        <w:rPr>
          <w:rStyle w:val="None"/>
          <w:rFonts w:eastAsia="Calibri" w:cs="Times New Roman"/>
          <w:color w:val="auto"/>
          <w:u w:color="222222"/>
          <w:lang w:val="ka-GE"/>
        </w:rPr>
        <w:t xml:space="preserve"> </w:t>
      </w:r>
      <w:r w:rsidR="00145C79" w:rsidRPr="00145C79">
        <w:rPr>
          <w:rStyle w:val="None"/>
          <w:rFonts w:eastAsia="Calibri" w:cs="Times New Roman"/>
          <w:color w:val="auto"/>
          <w:u w:color="222222"/>
        </w:rPr>
        <w:t xml:space="preserve">During the study Public Defender’s office of Georgia requested information from Supreme </w:t>
      </w:r>
      <w:proofErr w:type="gramStart"/>
      <w:r w:rsidR="00145C79" w:rsidRPr="00145C79">
        <w:rPr>
          <w:rStyle w:val="None"/>
          <w:rFonts w:eastAsia="Calibri" w:cs="Times New Roman"/>
          <w:color w:val="auto"/>
          <w:u w:color="222222"/>
        </w:rPr>
        <w:t>court</w:t>
      </w:r>
      <w:proofErr w:type="gramEnd"/>
      <w:r w:rsidR="00145C79" w:rsidRPr="00145C79">
        <w:rPr>
          <w:rStyle w:val="None"/>
          <w:rFonts w:eastAsia="Calibri" w:cs="Times New Roman"/>
          <w:color w:val="auto"/>
          <w:u w:color="222222"/>
        </w:rPr>
        <w:t xml:space="preserve"> of Georgia on how many women (women over 18 years, also transgender women) victims of sexual violence a</w:t>
      </w:r>
      <w:r w:rsidR="00145C79">
        <w:rPr>
          <w:rStyle w:val="None"/>
          <w:rFonts w:eastAsia="Calibri" w:cs="Times New Roman"/>
          <w:color w:val="auto"/>
          <w:u w:color="222222"/>
        </w:rPr>
        <w:t>ppealed to the court o</w:t>
      </w:r>
      <w:r w:rsidR="00145C79" w:rsidRPr="00145C79">
        <w:rPr>
          <w:rStyle w:val="None"/>
          <w:rFonts w:eastAsia="Calibri" w:cs="Times New Roman"/>
          <w:color w:val="auto"/>
          <w:u w:color="222222"/>
        </w:rPr>
        <w:t>n compensation for damage caused by a crime</w:t>
      </w:r>
      <w:r w:rsidR="00145C79">
        <w:rPr>
          <w:rStyle w:val="None"/>
          <w:rFonts w:eastAsia="Calibri" w:cs="Times New Roman"/>
          <w:color w:val="auto"/>
          <w:u w:color="222222"/>
        </w:rPr>
        <w:t>.</w:t>
      </w:r>
      <w:r w:rsidR="00CC1FBE">
        <w:rPr>
          <w:rStyle w:val="None"/>
          <w:rFonts w:eastAsia="Calibri" w:cs="Times New Roman"/>
          <w:color w:val="auto"/>
          <w:u w:color="222222"/>
        </w:rPr>
        <w:t xml:space="preserve"> According to the information provided by Supreme </w:t>
      </w:r>
      <w:proofErr w:type="gramStart"/>
      <w:r w:rsidR="00CC1FBE">
        <w:rPr>
          <w:rStyle w:val="None"/>
          <w:rFonts w:eastAsia="Calibri" w:cs="Times New Roman"/>
          <w:color w:val="auto"/>
          <w:u w:color="222222"/>
        </w:rPr>
        <w:t>court</w:t>
      </w:r>
      <w:proofErr w:type="gramEnd"/>
      <w:r w:rsidR="00CC1FBE">
        <w:rPr>
          <w:rStyle w:val="None"/>
          <w:rFonts w:eastAsia="Calibri" w:cs="Times New Roman"/>
          <w:color w:val="auto"/>
          <w:u w:color="222222"/>
        </w:rPr>
        <w:t xml:space="preserve"> of Georgia,</w:t>
      </w:r>
      <w:r w:rsidR="0074386D">
        <w:rPr>
          <w:rStyle w:val="None"/>
          <w:rFonts w:eastAsia="Calibri" w:cs="Times New Roman"/>
          <w:color w:val="auto"/>
          <w:u w:color="222222"/>
        </w:rPr>
        <w:t xml:space="preserve"> </w:t>
      </w:r>
      <w:r w:rsidR="00A35D2B">
        <w:rPr>
          <w:rStyle w:val="None"/>
          <w:rFonts w:eastAsia="Calibri" w:cs="Times New Roman"/>
          <w:color w:val="auto"/>
          <w:u w:color="222222"/>
        </w:rPr>
        <w:t xml:space="preserve">such data is not collected in courts and </w:t>
      </w:r>
      <w:r w:rsidR="0074386D">
        <w:rPr>
          <w:rStyle w:val="None"/>
          <w:rFonts w:eastAsia="Calibri" w:cs="Times New Roman"/>
          <w:color w:val="auto"/>
          <w:u w:color="222222"/>
        </w:rPr>
        <w:t xml:space="preserve">there is no </w:t>
      </w:r>
      <w:r w:rsidR="002F08B4">
        <w:rPr>
          <w:rStyle w:val="None"/>
          <w:rFonts w:eastAsia="Calibri" w:cs="Times New Roman"/>
          <w:color w:val="auto"/>
          <w:u w:color="222222"/>
        </w:rPr>
        <w:t>statistical</w:t>
      </w:r>
      <w:r w:rsidR="0074386D">
        <w:rPr>
          <w:rStyle w:val="None"/>
          <w:rFonts w:eastAsia="Calibri" w:cs="Times New Roman"/>
          <w:color w:val="auto"/>
          <w:u w:color="222222"/>
        </w:rPr>
        <w:t xml:space="preserve"> information</w:t>
      </w:r>
      <w:r w:rsidR="00B12A02">
        <w:rPr>
          <w:rStyle w:val="None"/>
          <w:rFonts w:eastAsia="Calibri" w:cs="Times New Roman"/>
          <w:color w:val="auto"/>
          <w:u w:color="222222"/>
        </w:rPr>
        <w:t xml:space="preserve"> about how many women appealed to the court about the compensation.</w:t>
      </w:r>
    </w:p>
    <w:p w14:paraId="4EC840AC" w14:textId="2F00F140" w:rsidR="008A4F7A" w:rsidRPr="008B78B2" w:rsidRDefault="008A4F7A" w:rsidP="00080643">
      <w:pPr>
        <w:pStyle w:val="BodyA"/>
        <w:shd w:val="clear" w:color="auto" w:fill="FFFFFF"/>
        <w:ind w:left="753"/>
        <w:jc w:val="both"/>
        <w:rPr>
          <w:rStyle w:val="None"/>
          <w:rFonts w:eastAsia="Calibri" w:cs="Times New Roman"/>
          <w:color w:val="auto"/>
          <w:u w:color="222222"/>
          <w:lang w:val="ka-GE"/>
        </w:rPr>
      </w:pPr>
      <w:r w:rsidRPr="008B78B2">
        <w:rPr>
          <w:rStyle w:val="None"/>
          <w:rFonts w:eastAsia="Calibri" w:cs="Times New Roman"/>
          <w:color w:val="auto"/>
          <w:u w:color="222222"/>
        </w:rPr>
        <w:t xml:space="preserve">After the ratification of the Istanbul convention, Georgia took a commitment that country will have a mechanism to collect such statistic information by 2022. </w:t>
      </w:r>
      <w:r w:rsidR="008B78B2" w:rsidRPr="008B78B2">
        <w:rPr>
          <w:rStyle w:val="None"/>
          <w:rFonts w:eastAsia="Calibri" w:cs="Times New Roman"/>
          <w:color w:val="auto"/>
          <w:u w:color="222222"/>
        </w:rPr>
        <w:t xml:space="preserve">However, working on this commitment </w:t>
      </w:r>
      <w:r w:rsidR="008B78B2">
        <w:rPr>
          <w:rStyle w:val="None"/>
          <w:rFonts w:eastAsia="Calibri" w:cs="Times New Roman"/>
          <w:color w:val="auto"/>
          <w:u w:color="222222"/>
        </w:rPr>
        <w:t>has not begun yet.</w:t>
      </w:r>
    </w:p>
    <w:p w14:paraId="388F57E2" w14:textId="77777777" w:rsidR="006C2193" w:rsidRPr="00D26BE7" w:rsidRDefault="006C2193" w:rsidP="00540529">
      <w:pPr>
        <w:pStyle w:val="BodyA"/>
        <w:jc w:val="both"/>
        <w:rPr>
          <w:rFonts w:eastAsia="Calibri" w:cs="Times New Roman"/>
          <w:color w:val="auto"/>
          <w:lang w:val="en-GB"/>
        </w:rPr>
      </w:pPr>
    </w:p>
    <w:p w14:paraId="6E2B40E1" w14:textId="77777777" w:rsidR="006C2193" w:rsidRPr="00D26BE7" w:rsidRDefault="009D4513" w:rsidP="00540529">
      <w:pPr>
        <w:pStyle w:val="BodyA"/>
        <w:jc w:val="both"/>
        <w:rPr>
          <w:rStyle w:val="None"/>
          <w:rFonts w:eastAsia="Calibri" w:cs="Times New Roman"/>
          <w:b/>
          <w:bCs/>
          <w:color w:val="auto"/>
          <w:u w:color="222222"/>
          <w:lang w:val="en-GB"/>
        </w:rPr>
      </w:pPr>
      <w:r w:rsidRPr="00D26BE7">
        <w:rPr>
          <w:rStyle w:val="None"/>
          <w:rFonts w:eastAsia="Calibri" w:cs="Times New Roman"/>
          <w:b/>
          <w:bCs/>
          <w:color w:val="auto"/>
          <w:lang w:val="en-GB"/>
        </w:rPr>
        <w:t>A</w:t>
      </w:r>
      <w:r w:rsidRPr="00D26BE7">
        <w:rPr>
          <w:rStyle w:val="None"/>
          <w:rFonts w:eastAsia="Calibri" w:cs="Times New Roman"/>
          <w:b/>
          <w:bCs/>
          <w:color w:val="auto"/>
          <w:u w:color="222222"/>
          <w:lang w:val="en-GB"/>
        </w:rPr>
        <w:t>ggravating and mitigating circumstances</w:t>
      </w:r>
    </w:p>
    <w:p w14:paraId="0C64F865" w14:textId="77777777"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Does the law foresee aggravating circumstances when sentencing rape cases? If so, what are they? </w:t>
      </w:r>
    </w:p>
    <w:p w14:paraId="1899E986" w14:textId="1F406B33" w:rsidR="006C2193" w:rsidRPr="00D26BE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rape by more than one perpetrator an aggravating circumstance?  </w:t>
      </w:r>
      <w:r w:rsidRPr="002F08B4">
        <w:rPr>
          <w:rStyle w:val="None"/>
          <w:rFonts w:eastAsia="Calibri" w:cs="Times New Roman"/>
          <w:color w:val="auto"/>
          <w:u w:val="single"/>
          <w:lang w:val="en-GB"/>
        </w:rPr>
        <w:t>YES</w:t>
      </w:r>
      <w:r w:rsidRPr="00D26BE7">
        <w:rPr>
          <w:rStyle w:val="None"/>
          <w:rFonts w:eastAsia="Calibri" w:cs="Times New Roman"/>
          <w:color w:val="auto"/>
          <w:u w:color="222222"/>
          <w:lang w:val="en-GB"/>
        </w:rPr>
        <w:t>/NO</w:t>
      </w:r>
    </w:p>
    <w:p w14:paraId="63A0814F" w14:textId="77777777" w:rsidR="006C2193" w:rsidRPr="00D26BE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rape of a particularly vulnerable individual an aggravating circumstance, or the imbalance of power between alleged perpetrator and victims? (for example, doctor/patient; teacher/student; age difference) </w:t>
      </w:r>
      <w:r w:rsidRPr="002F08B4">
        <w:rPr>
          <w:rStyle w:val="None"/>
          <w:rFonts w:eastAsia="Calibri" w:cs="Times New Roman"/>
          <w:color w:val="auto"/>
          <w:u w:val="single"/>
          <w:lang w:val="en-GB"/>
        </w:rPr>
        <w:t>YES</w:t>
      </w:r>
      <w:r w:rsidRPr="00D26BE7">
        <w:rPr>
          <w:rStyle w:val="None"/>
          <w:rFonts w:eastAsia="Calibri" w:cs="Times New Roman"/>
          <w:color w:val="auto"/>
          <w:u w:color="222222"/>
          <w:lang w:val="en-GB"/>
        </w:rPr>
        <w:t xml:space="preserve">/NO  </w:t>
      </w:r>
    </w:p>
    <w:p w14:paraId="1F8DA66B" w14:textId="321B9C76" w:rsidR="006C2193" w:rsidRPr="00D26BE7"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rape by spouse or intimate partner an aggravating circumstance? </w:t>
      </w:r>
      <w:r w:rsidR="004970C3" w:rsidRPr="00D26BE7">
        <w:rPr>
          <w:rStyle w:val="None"/>
          <w:rFonts w:eastAsia="Calibri" w:cs="Times New Roman"/>
          <w:color w:val="auto"/>
          <w:u w:color="222222"/>
          <w:lang w:val="en-GB"/>
        </w:rPr>
        <w:t>YES</w:t>
      </w:r>
      <w:r w:rsidR="004970C3" w:rsidRPr="002F08B4">
        <w:rPr>
          <w:rStyle w:val="None"/>
          <w:rFonts w:eastAsia="Calibri" w:cs="Times New Roman"/>
          <w:color w:val="auto"/>
          <w:u w:val="single"/>
          <w:lang w:val="en-GB"/>
        </w:rPr>
        <w:t>/NO</w:t>
      </w:r>
      <w:r w:rsidR="004970C3" w:rsidRPr="00D26BE7">
        <w:rPr>
          <w:rStyle w:val="None"/>
          <w:rFonts w:eastAsia="Calibri" w:cs="Times New Roman"/>
          <w:color w:val="auto"/>
          <w:u w:color="222222"/>
          <w:lang w:val="en-GB"/>
        </w:rPr>
        <w:t xml:space="preserve">  </w:t>
      </w:r>
    </w:p>
    <w:p w14:paraId="18360DDF" w14:textId="77777777" w:rsidR="006C2193" w:rsidRPr="00D26BE7" w:rsidRDefault="006C2193" w:rsidP="00540529">
      <w:pPr>
        <w:pStyle w:val="BodyA"/>
        <w:shd w:val="clear" w:color="auto" w:fill="FFFFFF"/>
        <w:jc w:val="both"/>
        <w:rPr>
          <w:rStyle w:val="None"/>
          <w:rFonts w:eastAsia="Calibri" w:cs="Times New Roman"/>
          <w:color w:val="auto"/>
          <w:u w:color="222222"/>
          <w:lang w:val="en-GB"/>
        </w:rPr>
      </w:pPr>
    </w:p>
    <w:p w14:paraId="1E62560E" w14:textId="77777777" w:rsidR="003D2FC7" w:rsidRDefault="009D4513" w:rsidP="003D2FC7">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Does the law foresee mitigating circumstances for the purposes of punishment? </w:t>
      </w:r>
      <w:r w:rsidRPr="002F08B4">
        <w:rPr>
          <w:rStyle w:val="None"/>
          <w:rFonts w:eastAsia="Calibri" w:cs="Times New Roman"/>
          <w:color w:val="auto"/>
          <w:u w:val="single"/>
          <w:lang w:val="en-GB"/>
        </w:rPr>
        <w:t>YES</w:t>
      </w:r>
      <w:r w:rsidRPr="00D26BE7">
        <w:rPr>
          <w:rStyle w:val="None"/>
          <w:rFonts w:eastAsia="Calibri" w:cs="Times New Roman"/>
          <w:color w:val="auto"/>
          <w:u w:color="222222"/>
          <w:lang w:val="en-GB"/>
        </w:rPr>
        <w:t xml:space="preserve">/NO </w:t>
      </w:r>
      <w:proofErr w:type="gramStart"/>
      <w:r w:rsidRPr="00D26BE7">
        <w:rPr>
          <w:rStyle w:val="None"/>
          <w:rFonts w:eastAsia="Calibri" w:cs="Times New Roman"/>
          <w:color w:val="auto"/>
          <w:u w:color="222222"/>
          <w:lang w:val="en-GB"/>
        </w:rPr>
        <w:t>If</w:t>
      </w:r>
      <w:proofErr w:type="gramEnd"/>
      <w:r w:rsidRPr="00D26BE7">
        <w:rPr>
          <w:rStyle w:val="None"/>
          <w:rFonts w:eastAsia="Calibri" w:cs="Times New Roman"/>
          <w:color w:val="auto"/>
          <w:u w:color="222222"/>
          <w:lang w:val="en-GB"/>
        </w:rPr>
        <w:t xml:space="preserve"> yes, please specify. </w:t>
      </w:r>
    </w:p>
    <w:p w14:paraId="4554F03F" w14:textId="77777777" w:rsidR="003D2FC7" w:rsidRDefault="003D2FC7" w:rsidP="003D2FC7">
      <w:pPr>
        <w:pStyle w:val="BodyA"/>
        <w:shd w:val="clear" w:color="auto" w:fill="FFFFFF"/>
        <w:ind w:left="753"/>
        <w:jc w:val="both"/>
        <w:rPr>
          <w:rStyle w:val="None"/>
          <w:rFonts w:eastAsia="Calibri" w:cs="Times New Roman"/>
          <w:color w:val="auto"/>
          <w:u w:color="222222"/>
          <w:lang w:val="en-GB"/>
        </w:rPr>
      </w:pPr>
    </w:p>
    <w:p w14:paraId="75EC74F5" w14:textId="766A8170" w:rsidR="003D2FC7" w:rsidRPr="00F82568" w:rsidRDefault="000A361F" w:rsidP="003D2FC7">
      <w:pPr>
        <w:pStyle w:val="BodyA"/>
        <w:shd w:val="clear" w:color="auto" w:fill="FFFFFF"/>
        <w:ind w:left="753"/>
        <w:jc w:val="both"/>
        <w:rPr>
          <w:rStyle w:val="None"/>
          <w:rFonts w:eastAsia="Calibri" w:cs="Times New Roman"/>
          <w:color w:val="auto"/>
          <w:u w:color="222222"/>
        </w:rPr>
      </w:pPr>
      <w:r>
        <w:rPr>
          <w:rStyle w:val="None"/>
          <w:rFonts w:eastAsia="Calibri" w:cs="Times New Roman"/>
          <w:color w:val="auto"/>
          <w:u w:color="222222"/>
        </w:rPr>
        <w:t>The article 53(</w:t>
      </w:r>
      <w:r w:rsidR="003D2FC7" w:rsidRPr="00F82568">
        <w:rPr>
          <w:rStyle w:val="None"/>
          <w:rFonts w:eastAsia="Calibri" w:cs="Times New Roman"/>
          <w:color w:val="auto"/>
          <w:u w:color="222222"/>
        </w:rPr>
        <w:t>3</w:t>
      </w:r>
      <w:r>
        <w:rPr>
          <w:rStyle w:val="None"/>
          <w:rFonts w:eastAsia="Calibri" w:cs="Times New Roman"/>
          <w:color w:val="auto"/>
          <w:u w:color="222222"/>
        </w:rPr>
        <w:t>) of the Criminal C</w:t>
      </w:r>
      <w:r w:rsidR="003D2FC7" w:rsidRPr="00F82568">
        <w:rPr>
          <w:rStyle w:val="None"/>
          <w:rFonts w:eastAsia="Calibri" w:cs="Times New Roman"/>
          <w:color w:val="auto"/>
          <w:u w:color="222222"/>
        </w:rPr>
        <w:t>ode of Georgia,</w:t>
      </w:r>
      <w:r>
        <w:rPr>
          <w:rStyle w:val="None"/>
          <w:rFonts w:eastAsia="Calibri" w:cs="Times New Roman"/>
          <w:color w:val="auto"/>
          <w:u w:color="222222"/>
        </w:rPr>
        <w:t xml:space="preserve"> states,</w:t>
      </w:r>
      <w:r w:rsidR="0058468E">
        <w:rPr>
          <w:rStyle w:val="None"/>
          <w:rFonts w:eastAsia="Calibri" w:cs="Times New Roman"/>
          <w:color w:val="auto"/>
          <w:u w:color="222222"/>
        </w:rPr>
        <w:t xml:space="preserve"> that w</w:t>
      </w:r>
      <w:r w:rsidR="003D2FC7" w:rsidRPr="00F82568">
        <w:rPr>
          <w:rStyle w:val="None"/>
          <w:rFonts w:eastAsia="Calibri" w:cs="Times New Roman"/>
          <w:color w:val="auto"/>
          <w:u w:color="222222"/>
        </w:rPr>
        <w:t>hen imposing a sentence, the court shall take into consideration circumstances that mitigate or aggravate liability of the offender, in particular, the motive and goal of the crime, the unlawful intent demonstrated in the act, the character and degree of the breach of obligations, the modus operandi and unlawful consequence of the act, prior history of the offender, personal and financial circumstances, and conduct of the offender after the offence, in particular, the offender’s desire to indemnify the damage and reconcile with the victim.</w:t>
      </w:r>
      <w:r w:rsidR="00417EF2" w:rsidRPr="00F82568">
        <w:rPr>
          <w:rStyle w:val="None"/>
          <w:rFonts w:eastAsia="Calibri" w:cs="Times New Roman"/>
          <w:color w:val="auto"/>
          <w:u w:color="222222"/>
        </w:rPr>
        <w:t xml:space="preserve"> This record applies to sexual violence cases too.</w:t>
      </w:r>
      <w:r w:rsidR="00F82568">
        <w:rPr>
          <w:rStyle w:val="None"/>
          <w:rFonts w:eastAsia="Calibri" w:cs="Times New Roman"/>
          <w:color w:val="auto"/>
          <w:u w:color="222222"/>
        </w:rPr>
        <w:t xml:space="preserve"> A study has shown that in the sexual violence cases t</w:t>
      </w:r>
      <w:r w:rsidR="00F82568" w:rsidRPr="00F82568">
        <w:rPr>
          <w:rStyle w:val="None"/>
          <w:rFonts w:eastAsia="Calibri" w:cs="Times New Roman"/>
          <w:color w:val="auto"/>
          <w:u w:color="222222"/>
        </w:rPr>
        <w:t>he Court points to a number of miti</w:t>
      </w:r>
      <w:r w:rsidR="00F82568">
        <w:rPr>
          <w:rStyle w:val="None"/>
          <w:rFonts w:eastAsia="Calibri" w:cs="Times New Roman"/>
          <w:color w:val="auto"/>
          <w:u w:color="222222"/>
        </w:rPr>
        <w:t>gating circumstances,</w:t>
      </w:r>
      <w:r w:rsidR="00F82568" w:rsidRPr="00F82568">
        <w:rPr>
          <w:rStyle w:val="None"/>
          <w:rFonts w:eastAsia="Calibri" w:cs="Times New Roman"/>
          <w:color w:val="auto"/>
          <w:u w:color="222222"/>
        </w:rPr>
        <w:t xml:space="preserve"> which may be appropriate for other t</w:t>
      </w:r>
      <w:r w:rsidR="00F82568">
        <w:rPr>
          <w:rStyle w:val="None"/>
          <w:rFonts w:eastAsia="Calibri" w:cs="Times New Roman"/>
          <w:color w:val="auto"/>
          <w:u w:color="222222"/>
        </w:rPr>
        <w:t>ypes of crimes, but their use in</w:t>
      </w:r>
      <w:r w:rsidR="00F82568" w:rsidRPr="00F82568">
        <w:rPr>
          <w:rStyle w:val="None"/>
          <w:rFonts w:eastAsia="Calibri" w:cs="Times New Roman"/>
          <w:color w:val="auto"/>
          <w:u w:color="222222"/>
        </w:rPr>
        <w:t xml:space="preserve"> sexual violence and gender-based </w:t>
      </w:r>
      <w:r w:rsidR="00F82568">
        <w:rPr>
          <w:rStyle w:val="None"/>
          <w:rFonts w:eastAsia="Calibri" w:cs="Times New Roman"/>
          <w:color w:val="auto"/>
          <w:u w:color="222222"/>
        </w:rPr>
        <w:t xml:space="preserve">violence </w:t>
      </w:r>
      <w:r w:rsidR="00F82568" w:rsidRPr="00F82568">
        <w:rPr>
          <w:rStyle w:val="None"/>
          <w:rFonts w:eastAsia="Calibri" w:cs="Times New Roman"/>
          <w:color w:val="auto"/>
          <w:u w:color="222222"/>
        </w:rPr>
        <w:t>crimes is discriminatory against women.</w:t>
      </w:r>
    </w:p>
    <w:p w14:paraId="723AD29C" w14:textId="77777777" w:rsidR="006C2193" w:rsidRPr="00D26BE7" w:rsidRDefault="006C2193" w:rsidP="00540529">
      <w:pPr>
        <w:pStyle w:val="BodyA"/>
        <w:shd w:val="clear" w:color="auto" w:fill="FFFFFF"/>
        <w:jc w:val="both"/>
        <w:rPr>
          <w:rStyle w:val="None"/>
          <w:rFonts w:eastAsia="Calibri" w:cs="Times New Roman"/>
          <w:color w:val="auto"/>
          <w:u w:color="222222"/>
          <w:lang w:val="en-GB"/>
        </w:rPr>
      </w:pPr>
    </w:p>
    <w:p w14:paraId="55AEB0DE" w14:textId="77777777"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 Is reconciliation between the victim and the perpetrator allowed as part of a legal response? </w:t>
      </w:r>
      <w:r w:rsidRPr="002F08B4">
        <w:rPr>
          <w:rStyle w:val="None"/>
          <w:rFonts w:eastAsia="Calibri" w:cs="Times New Roman"/>
          <w:color w:val="auto"/>
          <w:u w:val="single"/>
          <w:lang w:val="en-GB"/>
        </w:rPr>
        <w:t>YES</w:t>
      </w:r>
      <w:r w:rsidRPr="00D26BE7">
        <w:rPr>
          <w:rStyle w:val="None"/>
          <w:rFonts w:eastAsia="Calibri" w:cs="Times New Roman"/>
          <w:color w:val="auto"/>
          <w:u w:color="222222"/>
          <w:lang w:val="en-GB"/>
        </w:rPr>
        <w:t>/</w:t>
      </w:r>
      <w:proofErr w:type="gramStart"/>
      <w:r w:rsidRPr="00010348">
        <w:rPr>
          <w:rStyle w:val="None"/>
          <w:rFonts w:eastAsia="Calibri" w:cs="Times New Roman"/>
          <w:color w:val="auto"/>
          <w:u w:color="222222"/>
          <w:lang w:val="en-GB"/>
        </w:rPr>
        <w:t>NO</w:t>
      </w:r>
      <w:r w:rsidRPr="00D26BE7">
        <w:rPr>
          <w:rStyle w:val="None"/>
          <w:rFonts w:eastAsia="Calibri" w:cs="Times New Roman"/>
          <w:color w:val="auto"/>
          <w:u w:color="222222"/>
          <w:lang w:val="en-GB"/>
        </w:rPr>
        <w:t xml:space="preserve">  If</w:t>
      </w:r>
      <w:proofErr w:type="gramEnd"/>
      <w:r w:rsidRPr="00D26BE7">
        <w:rPr>
          <w:rStyle w:val="None"/>
          <w:rFonts w:eastAsia="Calibri" w:cs="Times New Roman"/>
          <w:color w:val="auto"/>
          <w:u w:color="222222"/>
          <w:lang w:val="en-GB"/>
        </w:rPr>
        <w:t xml:space="preserve"> so, at what stage and what are the consequences?</w:t>
      </w:r>
    </w:p>
    <w:p w14:paraId="29C41AC7" w14:textId="77777777" w:rsidR="006C2193"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Regardless of the law, is reconciliation permitted in practice? </w:t>
      </w:r>
      <w:r w:rsidRPr="00BA2220">
        <w:rPr>
          <w:rStyle w:val="None"/>
          <w:rFonts w:eastAsia="Calibri" w:cs="Times New Roman"/>
          <w:color w:val="auto"/>
          <w:u w:val="single"/>
          <w:lang w:val="en-GB"/>
        </w:rPr>
        <w:t>YES</w:t>
      </w:r>
      <w:r w:rsidRPr="00010348">
        <w:rPr>
          <w:rStyle w:val="None"/>
          <w:rFonts w:eastAsia="Calibri" w:cs="Times New Roman"/>
          <w:color w:val="auto"/>
          <w:u w:color="222222"/>
          <w:lang w:val="en-GB"/>
        </w:rPr>
        <w:t>/</w:t>
      </w:r>
      <w:r w:rsidRPr="00D26BE7">
        <w:rPr>
          <w:rStyle w:val="None"/>
          <w:rFonts w:eastAsia="Calibri" w:cs="Times New Roman"/>
          <w:color w:val="auto"/>
          <w:u w:color="222222"/>
          <w:lang w:val="en-GB"/>
        </w:rPr>
        <w:t>NO and what is the practice in this regard?</w:t>
      </w:r>
    </w:p>
    <w:p w14:paraId="29EB4260" w14:textId="699EAC6D" w:rsidR="00466796" w:rsidRPr="00466796" w:rsidRDefault="00466796" w:rsidP="00466796">
      <w:pPr>
        <w:pStyle w:val="BodyA"/>
        <w:shd w:val="clear" w:color="auto" w:fill="FFFFFF"/>
        <w:ind w:left="753"/>
        <w:jc w:val="both"/>
        <w:rPr>
          <w:rStyle w:val="None"/>
          <w:rFonts w:ascii="Sylfaen" w:eastAsia="Calibri" w:hAnsi="Sylfaen" w:cs="Times New Roman"/>
          <w:color w:val="auto"/>
          <w:u w:color="222222"/>
        </w:rPr>
      </w:pPr>
      <w:r>
        <w:rPr>
          <w:rStyle w:val="None"/>
          <w:rFonts w:eastAsia="Calibri" w:cs="Times New Roman"/>
          <w:color w:val="auto"/>
          <w:u w:color="222222"/>
          <w:lang w:val="en-GB"/>
        </w:rPr>
        <w:t xml:space="preserve">It should be mentioned, that Public Defender of Georgia </w:t>
      </w:r>
      <w:r>
        <w:rPr>
          <w:rStyle w:val="None"/>
          <w:rFonts w:ascii="Sylfaen" w:eastAsia="Calibri" w:hAnsi="Sylfaen" w:cs="Times New Roman"/>
          <w:color w:val="auto"/>
          <w:u w:color="222222"/>
        </w:rPr>
        <w:t>considers that reconciliation between the victim and the perpetrator should not be allowed as part of a legal response in the cases of sexual violence.</w:t>
      </w:r>
    </w:p>
    <w:p w14:paraId="415E2C4D" w14:textId="77777777" w:rsidR="00466796" w:rsidRPr="00D26BE7" w:rsidRDefault="00466796" w:rsidP="00466796">
      <w:pPr>
        <w:pStyle w:val="BodyA"/>
        <w:shd w:val="clear" w:color="auto" w:fill="FFFFFF"/>
        <w:ind w:left="753"/>
        <w:jc w:val="both"/>
        <w:rPr>
          <w:rStyle w:val="None"/>
          <w:rFonts w:eastAsia="Calibri" w:cs="Times New Roman"/>
          <w:color w:val="auto"/>
          <w:u w:color="222222"/>
          <w:lang w:val="en-GB"/>
        </w:rPr>
      </w:pPr>
    </w:p>
    <w:p w14:paraId="63440DDF" w14:textId="77777777"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Is there any provision in the criminal code that allows for the non-prosecution of perpetrator? YES/</w:t>
      </w:r>
      <w:r w:rsidRPr="00A43C3D">
        <w:rPr>
          <w:rStyle w:val="None"/>
          <w:rFonts w:eastAsia="Calibri" w:cs="Times New Roman"/>
          <w:color w:val="auto"/>
          <w:u w:val="single"/>
          <w:lang w:val="en-GB"/>
        </w:rPr>
        <w:t>NO</w:t>
      </w:r>
      <w:r w:rsidRPr="00D26BE7">
        <w:rPr>
          <w:rStyle w:val="None"/>
          <w:rFonts w:eastAsia="Calibri" w:cs="Times New Roman"/>
          <w:color w:val="auto"/>
          <w:u w:color="222222"/>
          <w:lang w:val="en-GB"/>
        </w:rPr>
        <w:t xml:space="preserve"> </w:t>
      </w:r>
      <w:proofErr w:type="gramStart"/>
      <w:r w:rsidRPr="00D26BE7">
        <w:rPr>
          <w:rStyle w:val="None"/>
          <w:rFonts w:eastAsia="Calibri" w:cs="Times New Roman"/>
          <w:color w:val="auto"/>
          <w:u w:color="222222"/>
          <w:lang w:val="en-GB"/>
        </w:rPr>
        <w:t>If</w:t>
      </w:r>
      <w:proofErr w:type="gramEnd"/>
      <w:r w:rsidRPr="00D26BE7">
        <w:rPr>
          <w:rStyle w:val="None"/>
          <w:rFonts w:eastAsia="Calibri" w:cs="Times New Roman"/>
          <w:color w:val="auto"/>
          <w:u w:color="222222"/>
          <w:lang w:val="en-GB"/>
        </w:rPr>
        <w:t xml:space="preserve"> yes, please specify.</w:t>
      </w:r>
    </w:p>
    <w:p w14:paraId="44D50C16" w14:textId="3D682467" w:rsidR="006C2193" w:rsidRPr="00D26BE7" w:rsidRDefault="009D4513" w:rsidP="00540529">
      <w:pPr>
        <w:pStyle w:val="BodyA"/>
        <w:numPr>
          <w:ilvl w:val="1"/>
          <w:numId w:val="9"/>
        </w:numPr>
        <w:shd w:val="clear" w:color="auto" w:fill="FFFFFF"/>
        <w:jc w:val="both"/>
        <w:rPr>
          <w:rStyle w:val="None"/>
          <w:rFonts w:eastAsia="Calibri" w:cs="Times New Roman"/>
          <w:color w:val="auto"/>
          <w:u w:color="222222"/>
          <w:lang w:val="en-GB"/>
        </w:rPr>
      </w:pPr>
      <w:proofErr w:type="gramStart"/>
      <w:r w:rsidRPr="00D26BE7">
        <w:rPr>
          <w:rStyle w:val="None"/>
          <w:rFonts w:eastAsia="Calibri" w:cs="Times New Roman"/>
          <w:color w:val="auto"/>
          <w:u w:color="222222"/>
          <w:lang w:val="en-GB"/>
        </w:rPr>
        <w:t>if</w:t>
      </w:r>
      <w:proofErr w:type="gramEnd"/>
      <w:r w:rsidRPr="00D26BE7">
        <w:rPr>
          <w:rStyle w:val="None"/>
          <w:rFonts w:eastAsia="Calibri" w:cs="Times New Roman"/>
          <w:color w:val="auto"/>
          <w:u w:color="222222"/>
          <w:lang w:val="en-GB"/>
        </w:rPr>
        <w:t xml:space="preserve"> the perpetrator marries the victim of rape? YES/</w:t>
      </w:r>
      <w:r w:rsidR="00A43C3D" w:rsidRPr="00A43C3D">
        <w:rPr>
          <w:rStyle w:val="None"/>
          <w:rFonts w:eastAsia="Calibri" w:cs="Times New Roman"/>
          <w:color w:val="auto"/>
          <w:u w:val="single"/>
          <w:lang w:val="en-GB"/>
        </w:rPr>
        <w:t xml:space="preserve"> NO</w:t>
      </w:r>
    </w:p>
    <w:p w14:paraId="3C3D8D4C" w14:textId="345A48FE" w:rsidR="006C2193" w:rsidRPr="00D26BE7" w:rsidRDefault="009D4513" w:rsidP="00540529">
      <w:pPr>
        <w:pStyle w:val="BodyA"/>
        <w:numPr>
          <w:ilvl w:val="1"/>
          <w:numId w:val="9"/>
        </w:numPr>
        <w:shd w:val="clear" w:color="auto" w:fill="FFFFFF"/>
        <w:jc w:val="both"/>
        <w:rPr>
          <w:rStyle w:val="None"/>
          <w:rFonts w:eastAsia="Calibri" w:cs="Times New Roman"/>
          <w:color w:val="auto"/>
          <w:u w:color="222222"/>
          <w:lang w:val="en-GB"/>
        </w:rPr>
      </w:pPr>
      <w:proofErr w:type="gramStart"/>
      <w:r w:rsidRPr="00D26BE7">
        <w:rPr>
          <w:rStyle w:val="None"/>
          <w:rFonts w:eastAsia="Calibri" w:cs="Times New Roman"/>
          <w:color w:val="auto"/>
          <w:u w:color="222222"/>
          <w:lang w:val="en-GB"/>
        </w:rPr>
        <w:t>if</w:t>
      </w:r>
      <w:proofErr w:type="gramEnd"/>
      <w:r w:rsidRPr="00D26BE7">
        <w:rPr>
          <w:rStyle w:val="None"/>
          <w:rFonts w:eastAsia="Calibri" w:cs="Times New Roman"/>
          <w:color w:val="auto"/>
          <w:u w:color="222222"/>
          <w:lang w:val="en-GB"/>
        </w:rPr>
        <w:t xml:space="preserve"> the perpetrator loses his “socially dangerous” character or reconciles with the victim? YES/</w:t>
      </w:r>
      <w:r w:rsidR="00A43C3D" w:rsidRPr="00A43C3D">
        <w:rPr>
          <w:rStyle w:val="None"/>
          <w:rFonts w:eastAsia="Calibri" w:cs="Times New Roman"/>
          <w:color w:val="auto"/>
          <w:u w:val="single"/>
          <w:lang w:val="en-GB"/>
        </w:rPr>
        <w:t xml:space="preserve"> NO</w:t>
      </w:r>
    </w:p>
    <w:p w14:paraId="20626644" w14:textId="77777777" w:rsidR="006C2193" w:rsidRPr="00D26BE7" w:rsidRDefault="006C2193" w:rsidP="00540529">
      <w:pPr>
        <w:pStyle w:val="BodyA"/>
        <w:shd w:val="clear" w:color="auto" w:fill="FFFFFF"/>
        <w:ind w:left="360"/>
        <w:jc w:val="both"/>
        <w:rPr>
          <w:rStyle w:val="None"/>
          <w:rFonts w:eastAsia="Calibri" w:cs="Times New Roman"/>
          <w:b/>
          <w:bCs/>
          <w:color w:val="auto"/>
          <w:u w:color="222222"/>
          <w:lang w:val="en-GB"/>
        </w:rPr>
      </w:pPr>
    </w:p>
    <w:p w14:paraId="79FA0761" w14:textId="77777777" w:rsidR="006C2193" w:rsidRPr="00D26BE7" w:rsidRDefault="009D4513" w:rsidP="00540529">
      <w:pPr>
        <w:pStyle w:val="BodyA"/>
        <w:shd w:val="clear" w:color="auto" w:fill="FFFFFF"/>
        <w:ind w:left="360"/>
        <w:jc w:val="both"/>
        <w:rPr>
          <w:rStyle w:val="None"/>
          <w:rFonts w:eastAsia="Calibri" w:cs="Times New Roman"/>
          <w:b/>
          <w:bCs/>
          <w:color w:val="auto"/>
          <w:u w:color="222222"/>
          <w:lang w:val="en-GB"/>
        </w:rPr>
      </w:pPr>
      <w:r w:rsidRPr="00D26BE7">
        <w:rPr>
          <w:rStyle w:val="None"/>
          <w:rFonts w:eastAsia="Calibri" w:cs="Times New Roman"/>
          <w:b/>
          <w:bCs/>
          <w:color w:val="auto"/>
          <w:u w:color="222222"/>
          <w:lang w:val="en-GB"/>
        </w:rPr>
        <w:t xml:space="preserve">Prosecution </w:t>
      </w:r>
    </w:p>
    <w:p w14:paraId="07FA1BCA" w14:textId="3A834823"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rape reported to the police prosecuted ex officio (public prosecution)? </w:t>
      </w:r>
      <w:r w:rsidR="00C37BD8" w:rsidRPr="00C37BD8">
        <w:rPr>
          <w:rStyle w:val="None"/>
          <w:rFonts w:eastAsia="Calibri" w:cs="Times New Roman"/>
          <w:color w:val="auto"/>
          <w:u w:val="single"/>
          <w:lang w:val="en-GB"/>
        </w:rPr>
        <w:t>YES</w:t>
      </w:r>
      <w:r w:rsidR="00C37BD8" w:rsidRPr="00D26BE7">
        <w:rPr>
          <w:rStyle w:val="None"/>
          <w:rFonts w:eastAsia="Calibri" w:cs="Times New Roman"/>
          <w:color w:val="auto"/>
          <w:u w:color="222222"/>
          <w:lang w:val="en-GB"/>
        </w:rPr>
        <w:t xml:space="preserve"> </w:t>
      </w:r>
      <w:r w:rsidRPr="00D26BE7">
        <w:rPr>
          <w:rStyle w:val="None"/>
          <w:rFonts w:eastAsia="Calibri" w:cs="Times New Roman"/>
          <w:color w:val="auto"/>
          <w:u w:color="222222"/>
          <w:lang w:val="en-GB"/>
        </w:rPr>
        <w:t>/NO</w:t>
      </w:r>
    </w:p>
    <w:p w14:paraId="2108B820" w14:textId="42CD0015"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Is rape reported to the police prosecuted ex parte (private prosecution)? YES/</w:t>
      </w:r>
      <w:r w:rsidR="00A43C3D" w:rsidRPr="00A43C3D">
        <w:rPr>
          <w:rStyle w:val="None"/>
          <w:rFonts w:eastAsia="Calibri" w:cs="Times New Roman"/>
          <w:color w:val="auto"/>
          <w:u w:val="single"/>
          <w:lang w:val="en-GB"/>
        </w:rPr>
        <w:t xml:space="preserve"> NO</w:t>
      </w:r>
      <w:r w:rsidRPr="00D26BE7">
        <w:rPr>
          <w:rStyle w:val="None"/>
          <w:rFonts w:eastAsia="Calibri" w:cs="Times New Roman"/>
          <w:color w:val="auto"/>
          <w:u w:color="222222"/>
          <w:lang w:val="en-GB"/>
        </w:rPr>
        <w:t xml:space="preserve"> </w:t>
      </w:r>
    </w:p>
    <w:p w14:paraId="668C6FC0" w14:textId="331EF52E"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a plea bargain or “friendly settlement” of a case allowed in cases of rape of women? </w:t>
      </w:r>
      <w:r w:rsidR="00C37BD8" w:rsidRPr="00C37BD8">
        <w:rPr>
          <w:rStyle w:val="None"/>
          <w:rFonts w:eastAsia="Calibri" w:cs="Times New Roman"/>
          <w:color w:val="auto"/>
          <w:u w:val="single"/>
          <w:lang w:val="en-GB"/>
        </w:rPr>
        <w:t>YES</w:t>
      </w:r>
      <w:r w:rsidR="00C37BD8" w:rsidRPr="00D26BE7">
        <w:rPr>
          <w:rStyle w:val="None"/>
          <w:rFonts w:eastAsia="Calibri" w:cs="Times New Roman"/>
          <w:color w:val="auto"/>
          <w:u w:color="222222"/>
          <w:lang w:val="en-GB"/>
        </w:rPr>
        <w:t xml:space="preserve"> </w:t>
      </w:r>
      <w:r w:rsidRPr="00D26BE7">
        <w:rPr>
          <w:rStyle w:val="None"/>
          <w:rFonts w:eastAsia="Calibri" w:cs="Times New Roman"/>
          <w:color w:val="auto"/>
          <w:u w:color="222222"/>
          <w:lang w:val="en-GB"/>
        </w:rPr>
        <w:t>/NO</w:t>
      </w:r>
    </w:p>
    <w:p w14:paraId="34A80792" w14:textId="77777777"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plea bargain or “friendly settlement” of a case allowed in cases of rape of children? </w:t>
      </w:r>
      <w:r w:rsidRPr="00C37BD8">
        <w:rPr>
          <w:rStyle w:val="None"/>
          <w:rFonts w:eastAsia="Calibri" w:cs="Times New Roman"/>
          <w:color w:val="auto"/>
          <w:u w:val="single"/>
          <w:lang w:val="en-GB"/>
        </w:rPr>
        <w:t>YES</w:t>
      </w:r>
      <w:r w:rsidRPr="00D26BE7">
        <w:rPr>
          <w:rStyle w:val="None"/>
          <w:rFonts w:eastAsia="Calibri" w:cs="Times New Roman"/>
          <w:color w:val="auto"/>
          <w:u w:color="222222"/>
          <w:lang w:val="en-GB"/>
        </w:rPr>
        <w:t>/NO</w:t>
      </w:r>
    </w:p>
    <w:p w14:paraId="3354ABD3" w14:textId="3D3F35BC" w:rsidR="0016365B" w:rsidRDefault="009D4513" w:rsidP="006B3AF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Please provide information on the statute of limitations for prosecuting rape.</w:t>
      </w:r>
      <w:r w:rsidR="00435AC6" w:rsidRPr="00D26BE7">
        <w:rPr>
          <w:rStyle w:val="None"/>
          <w:rFonts w:eastAsia="Calibri" w:cs="Times New Roman"/>
          <w:color w:val="auto"/>
          <w:u w:color="222222"/>
          <w:lang w:val="en-GB"/>
        </w:rPr>
        <w:t xml:space="preserve"> </w:t>
      </w:r>
      <w:r w:rsidR="0016365B">
        <w:rPr>
          <w:rStyle w:val="None"/>
          <w:rFonts w:eastAsia="Calibri" w:cs="Times New Roman"/>
          <w:color w:val="auto"/>
          <w:u w:color="222222"/>
          <w:lang w:val="en-GB"/>
        </w:rPr>
        <w:t>–</w:t>
      </w:r>
      <w:r w:rsidR="00435AC6" w:rsidRPr="00D26BE7">
        <w:rPr>
          <w:rStyle w:val="None"/>
          <w:rFonts w:eastAsia="Calibri" w:cs="Times New Roman"/>
          <w:color w:val="auto"/>
          <w:u w:color="222222"/>
          <w:lang w:val="en-GB"/>
        </w:rPr>
        <w:t xml:space="preserve"> </w:t>
      </w:r>
    </w:p>
    <w:p w14:paraId="2A0F8FE0" w14:textId="77777777" w:rsidR="0016365B" w:rsidRDefault="0016365B" w:rsidP="0016365B">
      <w:pPr>
        <w:pStyle w:val="BodyA"/>
        <w:shd w:val="clear" w:color="auto" w:fill="FFFFFF"/>
        <w:ind w:left="360"/>
        <w:jc w:val="both"/>
        <w:rPr>
          <w:rStyle w:val="None"/>
          <w:rFonts w:ascii="Sylfaen" w:eastAsia="Calibri" w:hAnsi="Sylfaen" w:cs="Times New Roman"/>
          <w:color w:val="auto"/>
          <w:u w:color="222222"/>
          <w:lang w:val="ka-GE"/>
        </w:rPr>
      </w:pPr>
    </w:p>
    <w:p w14:paraId="13C530E1" w14:textId="59733B3C" w:rsidR="006B3AF9" w:rsidRDefault="006B3AF9" w:rsidP="0016365B">
      <w:pPr>
        <w:pStyle w:val="BodyA"/>
        <w:shd w:val="clear" w:color="auto" w:fill="FFFFFF"/>
        <w:ind w:left="360"/>
        <w:jc w:val="both"/>
        <w:rPr>
          <w:rStyle w:val="None"/>
          <w:rFonts w:eastAsia="Calibri" w:cs="Times New Roman"/>
          <w:color w:val="auto"/>
          <w:u w:color="222222"/>
        </w:rPr>
      </w:pPr>
      <w:r w:rsidRPr="00D26BE7">
        <w:rPr>
          <w:rStyle w:val="None"/>
          <w:rFonts w:eastAsia="Calibri" w:cs="Times New Roman"/>
          <w:color w:val="auto"/>
          <w:u w:color="222222"/>
        </w:rPr>
        <w:t xml:space="preserve">The statute of limitation for prosecuting rape is 20 years, unless it constitutes particularly serious crime. If there is </w:t>
      </w:r>
      <w:r w:rsidR="0058468E" w:rsidRPr="00D26BE7">
        <w:rPr>
          <w:rStyle w:val="None"/>
          <w:rFonts w:eastAsia="Calibri" w:cs="Times New Roman"/>
          <w:color w:val="auto"/>
          <w:u w:color="222222"/>
        </w:rPr>
        <w:t>committed</w:t>
      </w:r>
      <w:r w:rsidRPr="00D26BE7">
        <w:rPr>
          <w:rStyle w:val="None"/>
          <w:rFonts w:eastAsia="Calibri" w:cs="Times New Roman"/>
          <w:color w:val="auto"/>
          <w:u w:color="222222"/>
        </w:rPr>
        <w:t xml:space="preserve"> particularly serious crime, statute of limitation is 30 years.</w:t>
      </w:r>
    </w:p>
    <w:p w14:paraId="320F608A" w14:textId="77777777" w:rsidR="0016365B" w:rsidRPr="00D26BE7" w:rsidRDefault="0016365B" w:rsidP="0016365B">
      <w:pPr>
        <w:pStyle w:val="BodyA"/>
        <w:shd w:val="clear" w:color="auto" w:fill="FFFFFF"/>
        <w:ind w:left="360"/>
        <w:jc w:val="both"/>
        <w:rPr>
          <w:rStyle w:val="None"/>
          <w:rFonts w:eastAsia="Calibri" w:cs="Times New Roman"/>
          <w:color w:val="auto"/>
          <w:u w:color="222222"/>
          <w:lang w:val="en-GB"/>
        </w:rPr>
      </w:pPr>
    </w:p>
    <w:p w14:paraId="25EF9E58" w14:textId="77777777" w:rsidR="0016365B"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What are the</w:t>
      </w:r>
      <w:r w:rsidR="009D4513" w:rsidRPr="00D26BE7">
        <w:rPr>
          <w:rStyle w:val="None"/>
          <w:rFonts w:eastAsia="Calibri" w:cs="Times New Roman"/>
          <w:color w:val="auto"/>
          <w:u w:color="222222"/>
          <w:lang w:val="en-GB"/>
        </w:rPr>
        <w:t xml:space="preserve"> provisions allowing a child who was the victim of rape to report it after reaching adulthood</w:t>
      </w:r>
      <w:r w:rsidRPr="00D26BE7">
        <w:rPr>
          <w:rStyle w:val="None"/>
          <w:rFonts w:eastAsia="Calibri" w:cs="Times New Roman"/>
          <w:color w:val="auto"/>
          <w:u w:color="222222"/>
          <w:lang w:val="en-GB"/>
        </w:rPr>
        <w:t xml:space="preserve">, if any? </w:t>
      </w:r>
    </w:p>
    <w:p w14:paraId="63614E23" w14:textId="77777777" w:rsidR="0016365B" w:rsidRDefault="0016365B" w:rsidP="0016365B">
      <w:pPr>
        <w:pStyle w:val="BodyA"/>
        <w:shd w:val="clear" w:color="auto" w:fill="FFFFFF"/>
        <w:ind w:left="360"/>
        <w:jc w:val="both"/>
        <w:rPr>
          <w:rStyle w:val="None"/>
          <w:rFonts w:eastAsia="Calibri" w:cs="Times New Roman"/>
          <w:color w:val="auto"/>
          <w:u w:color="222222"/>
          <w:lang w:val="en-GB"/>
        </w:rPr>
      </w:pPr>
    </w:p>
    <w:p w14:paraId="3A7851D2" w14:textId="749A6D55" w:rsidR="0007335B" w:rsidRDefault="000E5DE0" w:rsidP="0016365B">
      <w:pPr>
        <w:pStyle w:val="BodyA"/>
        <w:shd w:val="clear" w:color="auto" w:fill="FFFFFF"/>
        <w:ind w:left="360"/>
        <w:jc w:val="both"/>
        <w:rPr>
          <w:rStyle w:val="None"/>
          <w:rFonts w:eastAsia="Calibri" w:cs="Times New Roman"/>
          <w:color w:val="auto"/>
          <w:u w:color="222222"/>
        </w:rPr>
      </w:pPr>
      <w:r w:rsidRPr="00D26BE7">
        <w:rPr>
          <w:rStyle w:val="None"/>
          <w:rFonts w:eastAsia="Calibri" w:cs="Times New Roman"/>
          <w:color w:val="auto"/>
          <w:u w:color="222222"/>
        </w:rPr>
        <w:t>There is no such provision in criminal code of Georgia.</w:t>
      </w:r>
    </w:p>
    <w:p w14:paraId="26FF8316" w14:textId="77777777" w:rsidR="0016365B" w:rsidRPr="00D26BE7" w:rsidRDefault="0016365B" w:rsidP="0016365B">
      <w:pPr>
        <w:pStyle w:val="BodyA"/>
        <w:shd w:val="clear" w:color="auto" w:fill="FFFFFF"/>
        <w:ind w:left="360"/>
        <w:jc w:val="both"/>
        <w:rPr>
          <w:rStyle w:val="None"/>
          <w:rFonts w:eastAsia="Calibri" w:cs="Times New Roman"/>
          <w:color w:val="auto"/>
          <w:u w:color="222222"/>
          <w:lang w:val="en-GB"/>
        </w:rPr>
      </w:pPr>
    </w:p>
    <w:p w14:paraId="37296FB0" w14:textId="12BC2FFB" w:rsidR="0016365B" w:rsidRPr="0016365B" w:rsidRDefault="009D4513" w:rsidP="001B010E">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Are there mandat</w:t>
      </w:r>
      <w:r w:rsidR="00EE7F1E" w:rsidRPr="00D26BE7">
        <w:rPr>
          <w:rStyle w:val="None"/>
          <w:rFonts w:eastAsia="Calibri" w:cs="Times New Roman"/>
          <w:color w:val="auto"/>
          <w:u w:color="222222"/>
          <w:lang w:val="en-GB"/>
        </w:rPr>
        <w:t xml:space="preserve">ory requirements for proof of </w:t>
      </w:r>
      <w:r w:rsidRPr="00D26BE7">
        <w:rPr>
          <w:rStyle w:val="None"/>
          <w:rFonts w:eastAsia="Calibri" w:cs="Times New Roman"/>
          <w:color w:val="auto"/>
          <w:u w:color="222222"/>
          <w:lang w:val="en-GB"/>
        </w:rPr>
        <w:t>rape, such a</w:t>
      </w:r>
      <w:r w:rsidR="003E14EB" w:rsidRPr="00D26BE7">
        <w:rPr>
          <w:rStyle w:val="None"/>
          <w:rFonts w:eastAsia="Calibri" w:cs="Times New Roman"/>
          <w:color w:val="auto"/>
          <w:u w:color="222222"/>
          <w:lang w:val="en-GB"/>
        </w:rPr>
        <w:t>s</w:t>
      </w:r>
      <w:r w:rsidRPr="00D26BE7">
        <w:rPr>
          <w:rStyle w:val="None"/>
          <w:rFonts w:eastAsia="Calibri" w:cs="Times New Roman"/>
          <w:color w:val="auto"/>
          <w:u w:color="222222"/>
          <w:lang w:val="en-GB"/>
        </w:rPr>
        <w:t xml:space="preserve"> medical evidence or the need for witnesses?  </w:t>
      </w:r>
      <w:r w:rsidR="00C37BD8" w:rsidRPr="00C37BD8">
        <w:rPr>
          <w:rStyle w:val="None"/>
          <w:rFonts w:eastAsia="Calibri" w:cs="Times New Roman"/>
          <w:color w:val="auto"/>
          <w:u w:val="single"/>
          <w:lang w:val="en-GB"/>
        </w:rPr>
        <w:t>YES</w:t>
      </w:r>
      <w:r w:rsidR="00C37BD8" w:rsidRPr="00D26BE7">
        <w:rPr>
          <w:rStyle w:val="None"/>
          <w:rFonts w:eastAsia="Calibri" w:cs="Times New Roman"/>
          <w:color w:val="auto"/>
          <w:u w:color="222222"/>
          <w:lang w:val="en-GB"/>
        </w:rPr>
        <w:t xml:space="preserve"> </w:t>
      </w:r>
      <w:r w:rsidRPr="00D26BE7">
        <w:rPr>
          <w:rStyle w:val="None"/>
          <w:rFonts w:eastAsia="Calibri" w:cs="Times New Roman"/>
          <w:color w:val="auto"/>
          <w:u w:color="222222"/>
          <w:lang w:val="en-GB"/>
        </w:rPr>
        <w:t>/NO If yes, please specify.</w:t>
      </w:r>
      <w:r w:rsidR="00303652" w:rsidRPr="00D26BE7">
        <w:rPr>
          <w:rStyle w:val="None"/>
          <w:rFonts w:eastAsia="Calibri" w:cs="Times New Roman"/>
          <w:color w:val="auto"/>
          <w:u w:color="222222"/>
          <w:lang w:val="ka-GE"/>
        </w:rPr>
        <w:t xml:space="preserve"> </w:t>
      </w:r>
    </w:p>
    <w:p w14:paraId="7E874C10" w14:textId="77777777" w:rsidR="0016365B" w:rsidRDefault="0016365B" w:rsidP="0016365B">
      <w:pPr>
        <w:pStyle w:val="BodyA"/>
        <w:shd w:val="clear" w:color="auto" w:fill="FFFFFF"/>
        <w:ind w:left="360"/>
        <w:jc w:val="both"/>
        <w:rPr>
          <w:rStyle w:val="None"/>
          <w:rFonts w:ascii="Sylfaen" w:eastAsia="Calibri" w:hAnsi="Sylfaen" w:cs="Times New Roman"/>
          <w:color w:val="auto"/>
          <w:u w:color="222222"/>
          <w:lang w:val="ka-GE"/>
        </w:rPr>
      </w:pPr>
    </w:p>
    <w:p w14:paraId="34E7A953" w14:textId="56B454E6" w:rsidR="006C2193" w:rsidRPr="00350F0F" w:rsidRDefault="00303652" w:rsidP="0016365B">
      <w:pPr>
        <w:pStyle w:val="BodyA"/>
        <w:shd w:val="clear" w:color="auto" w:fill="FFFFFF"/>
        <w:ind w:left="360"/>
        <w:jc w:val="both"/>
        <w:rPr>
          <w:rStyle w:val="None"/>
          <w:rFonts w:ascii="Sylfaen" w:eastAsia="Calibri" w:hAnsi="Sylfaen" w:cs="Times New Roman"/>
          <w:color w:val="auto"/>
          <w:u w:color="222222"/>
          <w:lang w:val="ka-GE"/>
        </w:rPr>
      </w:pPr>
      <w:r w:rsidRPr="00D26BE7">
        <w:rPr>
          <w:rStyle w:val="None"/>
          <w:rFonts w:eastAsia="Calibri" w:cs="Times New Roman"/>
          <w:color w:val="auto"/>
          <w:u w:color="222222"/>
        </w:rPr>
        <w:t xml:space="preserve">There are no </w:t>
      </w:r>
      <w:r w:rsidR="00E81BA5" w:rsidRPr="00D26BE7">
        <w:rPr>
          <w:rStyle w:val="None"/>
          <w:rFonts w:eastAsia="Calibri" w:cs="Times New Roman"/>
          <w:color w:val="auto"/>
          <w:u w:color="222222"/>
        </w:rPr>
        <w:t>mandatory requirements for proving</w:t>
      </w:r>
      <w:r w:rsidR="00AD22FA" w:rsidRPr="00D26BE7">
        <w:rPr>
          <w:rStyle w:val="None"/>
          <w:rFonts w:eastAsia="Calibri" w:cs="Times New Roman"/>
          <w:color w:val="auto"/>
          <w:u w:color="222222"/>
        </w:rPr>
        <w:t xml:space="preserve"> a</w:t>
      </w:r>
      <w:r w:rsidRPr="00D26BE7">
        <w:rPr>
          <w:rStyle w:val="None"/>
          <w:rFonts w:eastAsia="Calibri" w:cs="Times New Roman"/>
          <w:color w:val="auto"/>
          <w:u w:color="222222"/>
        </w:rPr>
        <w:t xml:space="preserve"> rape in criminal procedure code of Georgia. But </w:t>
      </w:r>
      <w:r w:rsidR="001B010E" w:rsidRPr="00D26BE7">
        <w:rPr>
          <w:rStyle w:val="None"/>
          <w:rFonts w:eastAsia="Calibri" w:cs="Times New Roman"/>
          <w:color w:val="auto"/>
          <w:u w:color="222222"/>
        </w:rPr>
        <w:t>Public Defender’s study on Prosecution of sexual violence crimes in Georgia has shown that in practice, prosecutor’s office of Georgia needs medical evidence to prove a rape.</w:t>
      </w:r>
      <w:r w:rsidR="00350F0F">
        <w:rPr>
          <w:rStyle w:val="None"/>
          <w:rFonts w:ascii="Sylfaen" w:eastAsia="Calibri" w:hAnsi="Sylfaen" w:cs="Times New Roman"/>
          <w:color w:val="auto"/>
          <w:u w:color="222222"/>
          <w:lang w:val="ka-GE"/>
        </w:rPr>
        <w:t xml:space="preserve"> </w:t>
      </w:r>
      <w:r w:rsidR="00350F0F" w:rsidRPr="00350F0F">
        <w:rPr>
          <w:rStyle w:val="None"/>
          <w:rFonts w:eastAsia="Calibri" w:cs="Times New Roman"/>
          <w:color w:val="auto"/>
          <w:u w:color="222222"/>
        </w:rPr>
        <w:t xml:space="preserve">Prosecution and convictions are often carried out only in cases where there are physical injuries to the victim's body and / or the biological material of the offender </w:t>
      </w:r>
      <w:r w:rsidR="00350F0F">
        <w:rPr>
          <w:rStyle w:val="None"/>
          <w:rFonts w:eastAsia="Calibri" w:cs="Times New Roman"/>
          <w:color w:val="auto"/>
          <w:u w:color="222222"/>
        </w:rPr>
        <w:t xml:space="preserve">which is </w:t>
      </w:r>
      <w:r w:rsidR="00350F0F" w:rsidRPr="00350F0F">
        <w:rPr>
          <w:rStyle w:val="None"/>
          <w:rFonts w:eastAsia="Calibri" w:cs="Times New Roman"/>
          <w:color w:val="auto"/>
          <w:u w:color="222222"/>
        </w:rPr>
        <w:t>characteristic of the sexual act.</w:t>
      </w:r>
      <w:r w:rsidR="00E36846">
        <w:rPr>
          <w:rStyle w:val="FootnoteReference"/>
          <w:rFonts w:eastAsia="Calibri" w:cs="Times New Roman"/>
          <w:color w:val="auto"/>
          <w:u w:color="222222"/>
        </w:rPr>
        <w:footnoteReference w:id="1"/>
      </w:r>
    </w:p>
    <w:p w14:paraId="277DF368" w14:textId="77777777" w:rsidR="0016365B" w:rsidRPr="00D26BE7" w:rsidRDefault="0016365B" w:rsidP="0016365B">
      <w:pPr>
        <w:pStyle w:val="BodyA"/>
        <w:shd w:val="clear" w:color="auto" w:fill="FFFFFF"/>
        <w:ind w:left="360"/>
        <w:jc w:val="both"/>
        <w:rPr>
          <w:rStyle w:val="None"/>
          <w:rFonts w:eastAsia="Calibri" w:cs="Times New Roman"/>
          <w:color w:val="auto"/>
          <w:u w:color="222222"/>
          <w:lang w:val="en-GB"/>
        </w:rPr>
      </w:pPr>
    </w:p>
    <w:p w14:paraId="0A238649" w14:textId="77777777" w:rsidR="0016365B" w:rsidRDefault="00065C0E" w:rsidP="00540529">
      <w:pPr>
        <w:pStyle w:val="BodyA"/>
        <w:numPr>
          <w:ilvl w:val="0"/>
          <w:numId w:val="3"/>
        </w:numPr>
        <w:shd w:val="clear" w:color="auto" w:fill="FFFFFF"/>
        <w:jc w:val="both"/>
        <w:rPr>
          <w:rStyle w:val="None"/>
          <w:rFonts w:eastAsia="Calibri" w:cs="Times New Roman"/>
          <w:color w:val="auto"/>
          <w:u w:color="222222"/>
          <w:lang w:val="en-GB"/>
        </w:rPr>
      </w:pPr>
      <w:r w:rsidRPr="00D26BE7">
        <w:rPr>
          <w:rFonts w:eastAsia="Calibri" w:cs="Times New Roman"/>
          <w:color w:val="auto"/>
          <w:lang w:val="en-GB"/>
        </w:rPr>
        <w:t xml:space="preserve">To what extent are </w:t>
      </w:r>
      <w:r w:rsidR="003E14EB" w:rsidRPr="00D26BE7">
        <w:rPr>
          <w:rStyle w:val="None"/>
          <w:rFonts w:eastAsia="Calibri" w:cs="Times New Roman"/>
          <w:color w:val="auto"/>
          <w:u w:color="222222"/>
          <w:lang w:val="en-GB"/>
        </w:rPr>
        <w:t xml:space="preserve">there rape </w:t>
      </w:r>
      <w:r w:rsidR="009D4513" w:rsidRPr="00D26BE7">
        <w:rPr>
          <w:rStyle w:val="None"/>
          <w:rFonts w:eastAsia="Calibri" w:cs="Times New Roman"/>
          <w:color w:val="auto"/>
          <w:u w:color="222222"/>
          <w:lang w:val="en-GB"/>
        </w:rPr>
        <w:t>shield provisions aimed</w:t>
      </w:r>
      <w:r w:rsidRPr="00D26BE7">
        <w:rPr>
          <w:rStyle w:val="None"/>
          <w:rFonts w:eastAsia="Calibri" w:cs="Times New Roman"/>
          <w:color w:val="auto"/>
          <w:u w:color="222222"/>
          <w:lang w:val="en-GB"/>
        </w:rPr>
        <w:t xml:space="preserve"> at preventing judges and defenc</w:t>
      </w:r>
      <w:r w:rsidR="009D4513" w:rsidRPr="00D26BE7">
        <w:rPr>
          <w:rStyle w:val="None"/>
          <w:rFonts w:eastAsia="Calibri" w:cs="Times New Roman"/>
          <w:color w:val="auto"/>
          <w:u w:color="222222"/>
          <w:lang w:val="en-GB"/>
        </w:rPr>
        <w:t xml:space="preserve">e lawyers from exposing a woman’s sexual history during trial? </w:t>
      </w:r>
    </w:p>
    <w:p w14:paraId="201AE64F" w14:textId="77777777" w:rsidR="0016365B" w:rsidRDefault="0016365B" w:rsidP="0016365B">
      <w:pPr>
        <w:pStyle w:val="BodyA"/>
        <w:shd w:val="clear" w:color="auto" w:fill="FFFFFF"/>
        <w:ind w:left="360"/>
        <w:jc w:val="both"/>
        <w:rPr>
          <w:rStyle w:val="None"/>
          <w:rFonts w:eastAsia="Calibri" w:cs="Times New Roman"/>
          <w:color w:val="auto"/>
          <w:u w:color="222222"/>
          <w:lang w:val="en-GB"/>
        </w:rPr>
      </w:pPr>
    </w:p>
    <w:p w14:paraId="3657AC4B" w14:textId="1B0F92C6" w:rsidR="006C2193" w:rsidRPr="00D62912" w:rsidRDefault="004F2578" w:rsidP="0016365B">
      <w:pPr>
        <w:pStyle w:val="BodyA"/>
        <w:shd w:val="clear" w:color="auto" w:fill="FFFFFF"/>
        <w:ind w:left="360"/>
        <w:jc w:val="both"/>
        <w:rPr>
          <w:rStyle w:val="None"/>
          <w:rFonts w:ascii="Sylfaen" w:eastAsia="Calibri" w:hAnsi="Sylfaen" w:cs="Times New Roman"/>
          <w:color w:val="auto"/>
          <w:u w:color="222222"/>
          <w:lang w:val="ka-GE"/>
        </w:rPr>
      </w:pPr>
      <w:r w:rsidRPr="00D26BE7">
        <w:rPr>
          <w:rStyle w:val="None"/>
          <w:rFonts w:eastAsia="Calibri" w:cs="Times New Roman"/>
          <w:color w:val="auto"/>
          <w:u w:color="222222"/>
        </w:rPr>
        <w:t xml:space="preserve">There are no specific provisions in criminal procedure </w:t>
      </w:r>
      <w:r w:rsidR="00AD05C3">
        <w:rPr>
          <w:rStyle w:val="None"/>
          <w:rFonts w:eastAsia="Calibri" w:cs="Times New Roman"/>
          <w:color w:val="auto"/>
          <w:u w:color="222222"/>
        </w:rPr>
        <w:t xml:space="preserve">code of Georgia. But during </w:t>
      </w:r>
      <w:proofErr w:type="spellStart"/>
      <w:r w:rsidR="00AD05C3">
        <w:rPr>
          <w:rStyle w:val="None"/>
          <w:rFonts w:eastAsia="Calibri" w:cs="Times New Roman"/>
          <w:color w:val="auto"/>
          <w:u w:color="222222"/>
        </w:rPr>
        <w:t>quetioni</w:t>
      </w:r>
      <w:r w:rsidRPr="00D26BE7">
        <w:rPr>
          <w:rStyle w:val="None"/>
          <w:rFonts w:eastAsia="Calibri" w:cs="Times New Roman"/>
          <w:color w:val="auto"/>
          <w:u w:color="222222"/>
        </w:rPr>
        <w:t>ng</w:t>
      </w:r>
      <w:proofErr w:type="spellEnd"/>
      <w:r w:rsidRPr="00D26BE7">
        <w:rPr>
          <w:rStyle w:val="None"/>
          <w:rFonts w:eastAsia="Calibri" w:cs="Times New Roman"/>
          <w:color w:val="auto"/>
          <w:u w:color="222222"/>
        </w:rPr>
        <w:t xml:space="preserve"> a judge can recuse a question, which does not apply a case and exposes a woman’s sexual history.</w:t>
      </w:r>
      <w:r w:rsidR="00616709">
        <w:rPr>
          <w:rStyle w:val="None"/>
          <w:rFonts w:ascii="Sylfaen" w:eastAsia="Calibri" w:hAnsi="Sylfaen" w:cs="Times New Roman"/>
          <w:color w:val="auto"/>
          <w:u w:color="222222"/>
          <w:lang w:val="ka-GE"/>
        </w:rPr>
        <w:t xml:space="preserve"> </w:t>
      </w:r>
      <w:r w:rsidR="00616709" w:rsidRPr="001348D5">
        <w:rPr>
          <w:rStyle w:val="None"/>
          <w:rFonts w:eastAsia="Calibri" w:cs="Times New Roman"/>
          <w:color w:val="auto"/>
          <w:u w:color="222222"/>
        </w:rPr>
        <w:t xml:space="preserve">Also a study of Public defender’s office of Georgia has shown that </w:t>
      </w:r>
      <w:r w:rsidR="001348D5" w:rsidRPr="001348D5">
        <w:rPr>
          <w:rStyle w:val="None"/>
          <w:rFonts w:eastAsia="Calibri" w:cs="Times New Roman"/>
          <w:color w:val="auto"/>
          <w:u w:color="222222"/>
        </w:rPr>
        <w:t>In 22 of the 24 cases discussed</w:t>
      </w:r>
      <w:r w:rsidR="001348D5">
        <w:rPr>
          <w:rStyle w:val="None"/>
          <w:rFonts w:eastAsia="Calibri" w:cs="Times New Roman"/>
          <w:color w:val="auto"/>
          <w:u w:color="222222"/>
        </w:rPr>
        <w:t xml:space="preserve">, the victim was asked </w:t>
      </w:r>
      <w:r w:rsidR="001348D5">
        <w:rPr>
          <w:rStyle w:val="None"/>
          <w:rFonts w:ascii="Sylfaen" w:eastAsia="Calibri" w:hAnsi="Sylfaen" w:cs="Times New Roman"/>
          <w:color w:val="auto"/>
          <w:u w:color="222222"/>
        </w:rPr>
        <w:t>gender insensitive questions. Victims re</w:t>
      </w:r>
      <w:r w:rsidR="001348D5">
        <w:rPr>
          <w:rStyle w:val="None"/>
          <w:rFonts w:ascii="Sylfaen" w:eastAsia="Calibri" w:hAnsi="Sylfaen" w:cs="Times New Roman"/>
          <w:color w:val="auto"/>
          <w:u w:color="222222"/>
        </w:rPr>
        <w:lastRenderedPageBreak/>
        <w:t xml:space="preserve">peated their traumatic experience several times unnecessarily </w:t>
      </w:r>
      <w:r w:rsidR="008A140C">
        <w:rPr>
          <w:rStyle w:val="None"/>
          <w:rFonts w:ascii="Sylfaen" w:eastAsia="Calibri" w:hAnsi="Sylfaen" w:cs="Times New Roman"/>
          <w:color w:val="auto"/>
          <w:u w:color="222222"/>
        </w:rPr>
        <w:t>and defens</w:t>
      </w:r>
      <w:r w:rsidR="001348D5">
        <w:rPr>
          <w:rStyle w:val="None"/>
          <w:rFonts w:ascii="Sylfaen" w:eastAsia="Calibri" w:hAnsi="Sylfaen" w:cs="Times New Roman"/>
          <w:color w:val="auto"/>
          <w:u w:color="222222"/>
        </w:rPr>
        <w:t>e lawyers examined the victim’s previous sexual life</w:t>
      </w:r>
      <w:r w:rsidR="008A140C">
        <w:rPr>
          <w:rStyle w:val="None"/>
          <w:rFonts w:ascii="Sylfaen" w:eastAsia="Calibri" w:hAnsi="Sylfaen" w:cs="Times New Roman"/>
          <w:color w:val="auto"/>
          <w:u w:color="222222"/>
        </w:rPr>
        <w:t xml:space="preserve"> and in some cases defense attorney’s degrading attitude towards victims was also revealed.</w:t>
      </w:r>
      <w:r w:rsidR="004D65F0">
        <w:rPr>
          <w:rStyle w:val="FootnoteReference"/>
          <w:rFonts w:ascii="Sylfaen" w:eastAsia="Calibri" w:hAnsi="Sylfaen" w:cs="Times New Roman"/>
          <w:color w:val="auto"/>
          <w:u w:color="222222"/>
        </w:rPr>
        <w:footnoteReference w:id="2"/>
      </w:r>
    </w:p>
    <w:p w14:paraId="456E651A" w14:textId="77777777" w:rsidR="0016365B" w:rsidRPr="001348D5" w:rsidRDefault="0016365B" w:rsidP="0016365B">
      <w:pPr>
        <w:pStyle w:val="BodyA"/>
        <w:shd w:val="clear" w:color="auto" w:fill="FFFFFF"/>
        <w:ind w:left="360"/>
        <w:jc w:val="both"/>
        <w:rPr>
          <w:rStyle w:val="None"/>
          <w:rFonts w:eastAsia="Calibri" w:cs="Times New Roman"/>
          <w:color w:val="auto"/>
          <w:u w:color="222222"/>
          <w:lang w:val="en-GB"/>
        </w:rPr>
      </w:pPr>
    </w:p>
    <w:p w14:paraId="05328253" w14:textId="77777777" w:rsidR="0016365B" w:rsidRPr="0016365B" w:rsidRDefault="009D4513" w:rsidP="004F2578">
      <w:pPr>
        <w:pStyle w:val="BodyA"/>
        <w:numPr>
          <w:ilvl w:val="0"/>
          <w:numId w:val="3"/>
        </w:numPr>
        <w:shd w:val="clear" w:color="auto" w:fill="FFFFFF"/>
        <w:jc w:val="both"/>
        <w:rPr>
          <w:rStyle w:val="None"/>
          <w:rFonts w:eastAsia="Calibri" w:cs="Times New Roman"/>
          <w:color w:val="auto"/>
          <w:u w:color="222222"/>
          <w:lang w:val="en-GB"/>
        </w:rPr>
      </w:pPr>
      <w:r w:rsidRPr="001348D5">
        <w:rPr>
          <w:rStyle w:val="None"/>
          <w:rFonts w:eastAsia="Calibri" w:cs="Times New Roman"/>
          <w:color w:val="auto"/>
          <w:u w:color="222222"/>
          <w:lang w:val="en-GB"/>
        </w:rPr>
        <w:t xml:space="preserve"> </w:t>
      </w:r>
      <w:r w:rsidR="00065C0E" w:rsidRPr="001348D5">
        <w:rPr>
          <w:rStyle w:val="None"/>
          <w:rFonts w:eastAsia="Calibri" w:cs="Times New Roman"/>
          <w:color w:val="auto"/>
          <w:u w:color="222222"/>
          <w:lang w:val="en-GB"/>
        </w:rPr>
        <w:t>What</w:t>
      </w:r>
      <w:r w:rsidRPr="001348D5">
        <w:rPr>
          <w:rStyle w:val="None"/>
          <w:rFonts w:eastAsia="Calibri" w:cs="Times New Roman"/>
          <w:color w:val="auto"/>
          <w:u w:color="222222"/>
          <w:lang w:val="en-GB"/>
        </w:rPr>
        <w:t xml:space="preserve"> procedural criminal law</w:t>
      </w:r>
      <w:r w:rsidRPr="00D26BE7">
        <w:rPr>
          <w:rStyle w:val="None"/>
          <w:rFonts w:eastAsia="Calibri" w:cs="Times New Roman"/>
          <w:color w:val="auto"/>
          <w:u w:color="222222"/>
          <w:lang w:val="en-GB"/>
        </w:rPr>
        <w:t xml:space="preserve"> provisions </w:t>
      </w:r>
      <w:r w:rsidR="00065C0E" w:rsidRPr="00D26BE7">
        <w:rPr>
          <w:rStyle w:val="None"/>
          <w:rFonts w:eastAsia="Calibri" w:cs="Times New Roman"/>
          <w:color w:val="auto"/>
          <w:u w:color="222222"/>
          <w:lang w:val="en-GB"/>
        </w:rPr>
        <w:t xml:space="preserve">exist </w:t>
      </w:r>
      <w:r w:rsidRPr="00D26BE7">
        <w:rPr>
          <w:rStyle w:val="None"/>
          <w:rFonts w:eastAsia="Calibri" w:cs="Times New Roman"/>
          <w:color w:val="auto"/>
          <w:u w:color="222222"/>
          <w:lang w:val="en-GB"/>
        </w:rPr>
        <w:t xml:space="preserve">aimed to avoid re-victimizations during the prosecution and court hearings? </w:t>
      </w:r>
      <w:r w:rsidR="00065C0E" w:rsidRPr="00D26BE7">
        <w:rPr>
          <w:rStyle w:val="None"/>
          <w:rFonts w:eastAsia="Calibri" w:cs="Times New Roman"/>
          <w:color w:val="auto"/>
          <w:u w:color="222222"/>
          <w:lang w:val="en-GB"/>
        </w:rPr>
        <w:t>P</w:t>
      </w:r>
      <w:r w:rsidRPr="00D26BE7">
        <w:rPr>
          <w:rStyle w:val="None"/>
          <w:rFonts w:eastAsia="Calibri" w:cs="Times New Roman"/>
          <w:color w:val="auto"/>
          <w:u w:color="222222"/>
          <w:lang w:val="en-GB"/>
        </w:rPr>
        <w:t>lease specify.</w:t>
      </w:r>
      <w:r w:rsidR="004F2578" w:rsidRPr="00D26BE7">
        <w:rPr>
          <w:rStyle w:val="None"/>
          <w:rFonts w:eastAsia="Calibri" w:cs="Times New Roman"/>
          <w:color w:val="auto"/>
          <w:u w:color="222222"/>
          <w:lang w:val="ka-GE"/>
        </w:rPr>
        <w:t xml:space="preserve"> </w:t>
      </w:r>
    </w:p>
    <w:p w14:paraId="43022C68" w14:textId="77777777" w:rsidR="0016365B" w:rsidRDefault="0016365B" w:rsidP="0016365B">
      <w:pPr>
        <w:pStyle w:val="BodyA"/>
        <w:shd w:val="clear" w:color="auto" w:fill="FFFFFF"/>
        <w:ind w:left="360"/>
        <w:jc w:val="both"/>
        <w:rPr>
          <w:rStyle w:val="None"/>
          <w:rFonts w:eastAsia="Calibri" w:cs="Times New Roman"/>
          <w:color w:val="auto"/>
          <w:u w:color="222222"/>
        </w:rPr>
      </w:pPr>
    </w:p>
    <w:p w14:paraId="3F7E87FA" w14:textId="743357AF" w:rsidR="00AD05C3" w:rsidRDefault="004F2578" w:rsidP="00AD05C3">
      <w:pPr>
        <w:pStyle w:val="BodyA"/>
        <w:shd w:val="clear" w:color="auto" w:fill="FFFFFF"/>
        <w:spacing w:after="240"/>
        <w:ind w:left="360"/>
        <w:jc w:val="both"/>
        <w:rPr>
          <w:rStyle w:val="None"/>
          <w:rFonts w:eastAsia="Calibri" w:cs="Times New Roman"/>
          <w:color w:val="auto"/>
          <w:u w:color="222222"/>
        </w:rPr>
      </w:pPr>
      <w:r w:rsidRPr="00D26BE7">
        <w:rPr>
          <w:rStyle w:val="None"/>
          <w:rFonts w:eastAsia="Calibri" w:cs="Times New Roman"/>
          <w:color w:val="auto"/>
          <w:u w:color="222222"/>
        </w:rPr>
        <w:t xml:space="preserve">There are </w:t>
      </w:r>
      <w:r w:rsidR="00B1064C">
        <w:rPr>
          <w:rStyle w:val="None"/>
          <w:rFonts w:eastAsia="Calibri" w:cs="Times New Roman"/>
          <w:color w:val="auto"/>
          <w:u w:color="222222"/>
        </w:rPr>
        <w:t>some s</w:t>
      </w:r>
      <w:r w:rsidR="00B1064C" w:rsidRPr="00D26BE7">
        <w:rPr>
          <w:rStyle w:val="None"/>
          <w:rFonts w:eastAsia="Calibri" w:cs="Times New Roman"/>
          <w:color w:val="auto"/>
          <w:u w:color="222222"/>
        </w:rPr>
        <w:t>pecial</w:t>
      </w:r>
      <w:r w:rsidR="00B1064C">
        <w:rPr>
          <w:rStyle w:val="None"/>
          <w:rFonts w:eastAsia="Calibri" w:cs="Times New Roman"/>
          <w:color w:val="auto"/>
          <w:u w:color="222222"/>
        </w:rPr>
        <w:t xml:space="preserve"> measures of p</w:t>
      </w:r>
      <w:r w:rsidR="0000459A">
        <w:rPr>
          <w:rStyle w:val="None"/>
          <w:rFonts w:eastAsia="Calibri" w:cs="Times New Roman"/>
          <w:color w:val="auto"/>
          <w:u w:color="222222"/>
        </w:rPr>
        <w:t>rotection of participants in criminal p</w:t>
      </w:r>
      <w:r w:rsidRPr="00D26BE7">
        <w:rPr>
          <w:rStyle w:val="None"/>
          <w:rFonts w:eastAsia="Calibri" w:cs="Times New Roman"/>
          <w:color w:val="auto"/>
          <w:u w:color="222222"/>
        </w:rPr>
        <w:t>roceedings, for example: taking measures preventing the location of participants in proceedings, changing the identity and issuing new documents, taking safety measures (personal protection, emergency call, etc.), changing temporarily or permanently the place of residence and removing (relocating) to another state. But Public Defender’s study on Prosecution of sexual violence crimes in Georgia has shown Prosecutor’s office of Georgia didn’t use any special measu</w:t>
      </w:r>
      <w:r w:rsidR="001348D5">
        <w:rPr>
          <w:rStyle w:val="None"/>
          <w:rFonts w:eastAsia="Calibri" w:cs="Times New Roman"/>
          <w:color w:val="auto"/>
          <w:u w:color="222222"/>
        </w:rPr>
        <w:t xml:space="preserve">res in cases of sexual violence and </w:t>
      </w:r>
      <w:r w:rsidR="0000459A">
        <w:rPr>
          <w:rStyle w:val="None"/>
          <w:rFonts w:eastAsia="Calibri" w:cs="Times New Roman"/>
          <w:color w:val="auto"/>
          <w:u w:color="222222"/>
        </w:rPr>
        <w:t>v</w:t>
      </w:r>
      <w:r w:rsidR="001348D5" w:rsidRPr="001348D5">
        <w:rPr>
          <w:rStyle w:val="None"/>
          <w:rFonts w:eastAsia="Calibri" w:cs="Times New Roman"/>
          <w:color w:val="auto"/>
          <w:u w:color="222222"/>
        </w:rPr>
        <w:t xml:space="preserve">ictims at trial faced the defendants in all </w:t>
      </w:r>
      <w:r w:rsidR="001348D5">
        <w:rPr>
          <w:rStyle w:val="None"/>
          <w:rFonts w:eastAsia="Calibri" w:cs="Times New Roman"/>
          <w:color w:val="auto"/>
          <w:u w:color="222222"/>
        </w:rPr>
        <w:t>24 cases, and often the perpetrators</w:t>
      </w:r>
      <w:r w:rsidR="001348D5" w:rsidRPr="001348D5">
        <w:rPr>
          <w:rStyle w:val="None"/>
          <w:rFonts w:eastAsia="Calibri" w:cs="Times New Roman"/>
          <w:color w:val="auto"/>
          <w:u w:color="222222"/>
        </w:rPr>
        <w:t xml:space="preserve"> themselves questioned the victims, </w:t>
      </w:r>
      <w:r w:rsidR="001348D5">
        <w:rPr>
          <w:rStyle w:val="None"/>
          <w:rFonts w:eastAsia="Calibri" w:cs="Times New Roman"/>
          <w:color w:val="auto"/>
          <w:u w:color="222222"/>
        </w:rPr>
        <w:t xml:space="preserve">which was </w:t>
      </w:r>
      <w:r w:rsidR="001348D5" w:rsidRPr="001348D5">
        <w:rPr>
          <w:rStyle w:val="None"/>
          <w:rFonts w:eastAsia="Calibri" w:cs="Times New Roman"/>
          <w:color w:val="auto"/>
          <w:u w:color="222222"/>
        </w:rPr>
        <w:t xml:space="preserve">often confusing, irritating, and embarrassing </w:t>
      </w:r>
      <w:r w:rsidR="001348D5">
        <w:rPr>
          <w:rStyle w:val="None"/>
          <w:rFonts w:eastAsia="Calibri" w:cs="Times New Roman"/>
          <w:color w:val="auto"/>
          <w:u w:color="222222"/>
        </w:rPr>
        <w:t xml:space="preserve">for </w:t>
      </w:r>
      <w:r w:rsidR="001348D5" w:rsidRPr="001348D5">
        <w:rPr>
          <w:rStyle w:val="None"/>
          <w:rFonts w:eastAsia="Calibri" w:cs="Times New Roman"/>
          <w:color w:val="auto"/>
          <w:u w:color="222222"/>
        </w:rPr>
        <w:t>the victims.</w:t>
      </w:r>
    </w:p>
    <w:p w14:paraId="3EC01402" w14:textId="3B5B61AF" w:rsidR="00A05727" w:rsidRPr="00AD05C3" w:rsidRDefault="00385BD8" w:rsidP="00AD05C3">
      <w:pPr>
        <w:pStyle w:val="BodyA"/>
        <w:shd w:val="clear" w:color="auto" w:fill="FFFFFF"/>
        <w:spacing w:after="240"/>
        <w:ind w:left="360"/>
        <w:jc w:val="both"/>
        <w:rPr>
          <w:rStyle w:val="None"/>
          <w:rFonts w:eastAsia="Calibri" w:cs="Times New Roman"/>
          <w:color w:val="auto"/>
          <w:u w:color="222222"/>
        </w:rPr>
      </w:pPr>
      <w:r>
        <w:rPr>
          <w:rStyle w:val="None"/>
          <w:rFonts w:eastAsia="Calibri" w:cs="Times New Roman"/>
          <w:color w:val="auto"/>
          <w:u w:color="222222"/>
        </w:rPr>
        <w:t xml:space="preserve">The Public Defender of Georgia is </w:t>
      </w:r>
      <w:r w:rsidR="006932D0">
        <w:rPr>
          <w:rStyle w:val="None"/>
          <w:rFonts w:eastAsia="Calibri" w:cs="Times New Roman"/>
          <w:color w:val="auto"/>
          <w:u w:color="222222"/>
        </w:rPr>
        <w:t>study</w:t>
      </w:r>
      <w:r w:rsidR="009772E1">
        <w:rPr>
          <w:rStyle w:val="None"/>
          <w:rFonts w:eastAsia="Calibri" w:cs="Times New Roman"/>
          <w:color w:val="auto"/>
          <w:u w:color="222222"/>
        </w:rPr>
        <w:t xml:space="preserve">ing cases </w:t>
      </w:r>
      <w:r>
        <w:rPr>
          <w:rStyle w:val="None"/>
          <w:rFonts w:eastAsia="Calibri" w:cs="Times New Roman"/>
          <w:color w:val="auto"/>
          <w:u w:color="222222"/>
        </w:rPr>
        <w:t xml:space="preserve">of sexual violence. In those </w:t>
      </w:r>
      <w:r w:rsidR="009772E1">
        <w:rPr>
          <w:rStyle w:val="None"/>
          <w:rFonts w:eastAsia="Calibri" w:cs="Times New Roman"/>
          <w:color w:val="auto"/>
          <w:u w:color="222222"/>
        </w:rPr>
        <w:t>cases</w:t>
      </w:r>
      <w:r w:rsidR="009F61E9">
        <w:rPr>
          <w:rStyle w:val="None"/>
          <w:rFonts w:eastAsia="Calibri" w:cs="Times New Roman"/>
          <w:color w:val="auto"/>
          <w:u w:color="222222"/>
        </w:rPr>
        <w:t xml:space="preserve"> it was clear that the absence of special interrogation questionnaires for the victims and survivors of sexual violence has caused secondary victimization</w:t>
      </w:r>
      <w:r w:rsidR="009772E1" w:rsidRPr="00AD05C3">
        <w:rPr>
          <w:rStyle w:val="None"/>
          <w:rFonts w:eastAsia="Calibri" w:cs="Times New Roman"/>
          <w:color w:val="auto"/>
          <w:u w:color="222222"/>
        </w:rPr>
        <w:t xml:space="preserve">. </w:t>
      </w:r>
      <w:r w:rsidR="00602826" w:rsidRPr="00AD05C3">
        <w:rPr>
          <w:rStyle w:val="None"/>
          <w:rFonts w:eastAsia="Calibri" w:cs="Times New Roman"/>
          <w:color w:val="auto"/>
          <w:u w:color="222222"/>
        </w:rPr>
        <w:t>Therefore, i</w:t>
      </w:r>
      <w:r w:rsidR="009E2D4D" w:rsidRPr="00AD05C3">
        <w:rPr>
          <w:rStyle w:val="None"/>
          <w:rFonts w:eastAsia="Calibri" w:cs="Times New Roman"/>
          <w:color w:val="auto"/>
          <w:u w:color="222222"/>
        </w:rPr>
        <w:t>n December, 2018</w:t>
      </w:r>
      <w:r w:rsidR="009772E1" w:rsidRPr="00AD05C3">
        <w:rPr>
          <w:rStyle w:val="None"/>
          <w:rFonts w:eastAsia="Calibri" w:cs="Times New Roman"/>
          <w:color w:val="auto"/>
          <w:u w:color="222222"/>
        </w:rPr>
        <w:t xml:space="preserve"> Public Defender of Georgia </w:t>
      </w:r>
      <w:r w:rsidR="00A05727">
        <w:rPr>
          <w:rStyle w:val="None"/>
          <w:rFonts w:eastAsia="Calibri" w:cs="Times New Roman"/>
          <w:color w:val="auto"/>
          <w:u w:color="222222"/>
        </w:rPr>
        <w:t>issued a recommendation</w:t>
      </w:r>
      <w:r w:rsidR="00602826">
        <w:rPr>
          <w:rStyle w:val="None"/>
          <w:rFonts w:eastAsia="Calibri" w:cs="Times New Roman"/>
          <w:color w:val="auto"/>
          <w:u w:color="222222"/>
        </w:rPr>
        <w:t xml:space="preserve"> for Prosecutor’s office,</w:t>
      </w:r>
      <w:r w:rsidR="00A05727">
        <w:rPr>
          <w:rStyle w:val="None"/>
          <w:rFonts w:eastAsia="Calibri" w:cs="Times New Roman"/>
          <w:color w:val="auto"/>
          <w:u w:color="222222"/>
        </w:rPr>
        <w:t xml:space="preserve"> to develop </w:t>
      </w:r>
      <w:r w:rsidR="009E2D4D">
        <w:rPr>
          <w:rStyle w:val="None"/>
          <w:rFonts w:eastAsia="Calibri" w:cs="Times New Roman"/>
          <w:color w:val="auto"/>
          <w:u w:color="222222"/>
        </w:rPr>
        <w:t>a special guideline</w:t>
      </w:r>
      <w:r w:rsidR="00A05727">
        <w:rPr>
          <w:rStyle w:val="None"/>
          <w:rFonts w:eastAsia="Calibri" w:cs="Times New Roman"/>
          <w:color w:val="auto"/>
          <w:u w:color="222222"/>
        </w:rPr>
        <w:t xml:space="preserve"> for questioning </w:t>
      </w:r>
      <w:r w:rsidR="00A66364">
        <w:rPr>
          <w:rStyle w:val="None"/>
          <w:rFonts w:eastAsia="Calibri" w:cs="Times New Roman"/>
          <w:color w:val="auto"/>
          <w:u w:color="222222"/>
        </w:rPr>
        <w:t xml:space="preserve">women </w:t>
      </w:r>
      <w:r w:rsidR="00A05727">
        <w:rPr>
          <w:rStyle w:val="None"/>
          <w:rFonts w:eastAsia="Calibri" w:cs="Times New Roman"/>
          <w:color w:val="auto"/>
          <w:u w:color="222222"/>
        </w:rPr>
        <w:t>victims of sexual violence</w:t>
      </w:r>
      <w:r w:rsidR="00334BC4" w:rsidRPr="00AD05C3">
        <w:rPr>
          <w:rStyle w:val="None"/>
          <w:rFonts w:eastAsia="Calibri" w:cs="Times New Roman"/>
          <w:color w:val="auto"/>
          <w:u w:color="222222"/>
        </w:rPr>
        <w:t xml:space="preserve">. Public Defender of Georgia also addressed </w:t>
      </w:r>
      <w:r w:rsidR="00602826" w:rsidRPr="00AD05C3">
        <w:rPr>
          <w:rStyle w:val="None"/>
          <w:rFonts w:eastAsia="Calibri" w:cs="Times New Roman"/>
          <w:color w:val="auto"/>
          <w:u w:color="222222"/>
        </w:rPr>
        <w:t xml:space="preserve">MIA </w:t>
      </w:r>
      <w:r w:rsidR="00334BC4" w:rsidRPr="00AD05C3">
        <w:rPr>
          <w:rStyle w:val="None"/>
          <w:rFonts w:eastAsia="Calibri" w:cs="Times New Roman"/>
          <w:color w:val="auto"/>
          <w:u w:color="222222"/>
        </w:rPr>
        <w:t xml:space="preserve">to </w:t>
      </w:r>
      <w:r w:rsidR="00EF450F" w:rsidRPr="00AD05C3">
        <w:rPr>
          <w:rStyle w:val="None"/>
          <w:rFonts w:eastAsia="Calibri" w:cs="Times New Roman"/>
          <w:color w:val="auto"/>
          <w:u w:color="222222"/>
        </w:rPr>
        <w:t>sensitize</w:t>
      </w:r>
      <w:r w:rsidR="00334BC4" w:rsidRPr="00AD05C3">
        <w:rPr>
          <w:rStyle w:val="None"/>
          <w:rFonts w:eastAsia="Calibri" w:cs="Times New Roman"/>
          <w:color w:val="auto"/>
          <w:u w:color="222222"/>
        </w:rPr>
        <w:t xml:space="preserve"> police officers</w:t>
      </w:r>
      <w:r w:rsidR="002C7449" w:rsidRPr="00AD05C3">
        <w:rPr>
          <w:rStyle w:val="None"/>
          <w:rFonts w:eastAsia="Calibri" w:cs="Times New Roman"/>
          <w:color w:val="auto"/>
          <w:u w:color="222222"/>
        </w:rPr>
        <w:t xml:space="preserve">, </w:t>
      </w:r>
      <w:r w:rsidR="00EF450F" w:rsidRPr="00AD05C3">
        <w:rPr>
          <w:rStyle w:val="None"/>
          <w:rFonts w:eastAsia="Calibri" w:cs="Times New Roman"/>
          <w:color w:val="auto"/>
          <w:u w:color="222222"/>
        </w:rPr>
        <w:t>investigating</w:t>
      </w:r>
      <w:r w:rsidR="002C7449" w:rsidRPr="00AD05C3">
        <w:rPr>
          <w:rStyle w:val="None"/>
          <w:rFonts w:eastAsia="Calibri" w:cs="Times New Roman"/>
          <w:color w:val="auto"/>
          <w:u w:color="222222"/>
        </w:rPr>
        <w:t xml:space="preserve"> </w:t>
      </w:r>
      <w:r w:rsidR="00EF450F" w:rsidRPr="00AD05C3">
        <w:rPr>
          <w:rStyle w:val="None"/>
          <w:rFonts w:eastAsia="Calibri" w:cs="Times New Roman"/>
          <w:color w:val="auto"/>
          <w:u w:color="222222"/>
        </w:rPr>
        <w:t xml:space="preserve">the </w:t>
      </w:r>
      <w:r w:rsidR="002C7449" w:rsidRPr="00AD05C3">
        <w:rPr>
          <w:rStyle w:val="None"/>
          <w:rFonts w:eastAsia="Calibri" w:cs="Times New Roman"/>
          <w:color w:val="auto"/>
          <w:u w:color="222222"/>
        </w:rPr>
        <w:t>cases of domestic violence and violence against women,</w:t>
      </w:r>
      <w:r w:rsidR="00334BC4" w:rsidRPr="00AD05C3">
        <w:rPr>
          <w:rStyle w:val="None"/>
          <w:rFonts w:eastAsia="Calibri" w:cs="Times New Roman"/>
          <w:color w:val="auto"/>
          <w:u w:color="222222"/>
        </w:rPr>
        <w:t xml:space="preserve"> about sexual violence</w:t>
      </w:r>
      <w:r w:rsidR="002C7449" w:rsidRPr="00AD05C3">
        <w:rPr>
          <w:rStyle w:val="None"/>
          <w:rFonts w:eastAsia="Calibri" w:cs="Times New Roman"/>
          <w:color w:val="auto"/>
          <w:u w:color="222222"/>
        </w:rPr>
        <w:t xml:space="preserve"> issues</w:t>
      </w:r>
      <w:r w:rsidR="00A05727">
        <w:rPr>
          <w:rStyle w:val="None"/>
          <w:rFonts w:eastAsia="Calibri" w:cs="Times New Roman"/>
          <w:color w:val="auto"/>
          <w:u w:color="222222"/>
        </w:rPr>
        <w:t>.</w:t>
      </w:r>
      <w:r w:rsidR="005018EA" w:rsidRPr="00AD05C3">
        <w:rPr>
          <w:rStyle w:val="None"/>
          <w:rFonts w:eastAsia="Calibri" w:cs="Times New Roman"/>
          <w:color w:val="auto"/>
          <w:u w:color="222222"/>
        </w:rPr>
        <w:t xml:space="preserve"> This recommend</w:t>
      </w:r>
      <w:r w:rsidR="00397523" w:rsidRPr="00AD05C3">
        <w:rPr>
          <w:rStyle w:val="None"/>
          <w:rFonts w:eastAsia="Calibri" w:cs="Times New Roman"/>
          <w:color w:val="auto"/>
          <w:u w:color="222222"/>
        </w:rPr>
        <w:t xml:space="preserve">ation still has not </w:t>
      </w:r>
      <w:r w:rsidR="000A4187" w:rsidRPr="00AD05C3">
        <w:rPr>
          <w:rStyle w:val="None"/>
          <w:rFonts w:eastAsia="Calibri" w:cs="Times New Roman"/>
          <w:color w:val="auto"/>
          <w:u w:color="222222"/>
        </w:rPr>
        <w:t xml:space="preserve">been </w:t>
      </w:r>
      <w:r w:rsidR="00397523" w:rsidRPr="00AD05C3">
        <w:rPr>
          <w:rStyle w:val="None"/>
          <w:rFonts w:eastAsia="Calibri" w:cs="Times New Roman"/>
          <w:color w:val="auto"/>
          <w:u w:color="222222"/>
        </w:rPr>
        <w:t>fulfilled.</w:t>
      </w:r>
    </w:p>
    <w:p w14:paraId="4079943D" w14:textId="77777777" w:rsidR="00540529" w:rsidRPr="00D26BE7" w:rsidRDefault="00540529" w:rsidP="00540529">
      <w:pPr>
        <w:pStyle w:val="BodyA"/>
        <w:shd w:val="clear" w:color="auto" w:fill="FFFFFF"/>
        <w:jc w:val="both"/>
        <w:rPr>
          <w:rStyle w:val="None"/>
          <w:rFonts w:eastAsia="Calibri" w:cs="Times New Roman"/>
          <w:b/>
          <w:color w:val="auto"/>
          <w:u w:color="222222"/>
          <w:lang w:val="en-GB"/>
        </w:rPr>
      </w:pPr>
    </w:p>
    <w:p w14:paraId="1338CF44" w14:textId="4A6F6D33" w:rsidR="006C2193" w:rsidRPr="00D26BE7" w:rsidRDefault="00D64A33" w:rsidP="00540529">
      <w:pPr>
        <w:pStyle w:val="BodyA"/>
        <w:shd w:val="clear" w:color="auto" w:fill="FFFFFF"/>
        <w:jc w:val="both"/>
        <w:rPr>
          <w:rStyle w:val="None"/>
          <w:rFonts w:eastAsia="Calibri" w:cs="Times New Roman"/>
          <w:b/>
          <w:color w:val="auto"/>
          <w:u w:color="222222"/>
          <w:lang w:val="en-GB"/>
        </w:rPr>
      </w:pPr>
      <w:r w:rsidRPr="00D26BE7">
        <w:rPr>
          <w:rStyle w:val="None"/>
          <w:rFonts w:eastAsia="Calibri" w:cs="Times New Roman"/>
          <w:b/>
          <w:color w:val="auto"/>
          <w:u w:color="222222"/>
          <w:lang w:val="en-GB"/>
        </w:rPr>
        <w:t xml:space="preserve">War and/or </w:t>
      </w:r>
      <w:r w:rsidR="009D4513" w:rsidRPr="00D26BE7">
        <w:rPr>
          <w:rStyle w:val="None"/>
          <w:rFonts w:eastAsia="Calibri" w:cs="Times New Roman"/>
          <w:b/>
          <w:color w:val="auto"/>
          <w:u w:color="222222"/>
          <w:lang w:val="en-GB"/>
        </w:rPr>
        <w:t xml:space="preserve">conflict </w:t>
      </w:r>
    </w:p>
    <w:p w14:paraId="057414C9" w14:textId="77777777"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Is rape criminalized as a war crime or crime against humanity? </w:t>
      </w:r>
      <w:r w:rsidRPr="00345B92">
        <w:rPr>
          <w:rStyle w:val="None"/>
          <w:rFonts w:eastAsia="Calibri" w:cs="Times New Roman"/>
          <w:color w:val="auto"/>
          <w:u w:val="single" w:color="222222"/>
          <w:lang w:val="en-GB"/>
        </w:rPr>
        <w:t>YES/</w:t>
      </w:r>
      <w:r w:rsidRPr="00345B92">
        <w:rPr>
          <w:rStyle w:val="None"/>
          <w:rFonts w:eastAsia="Calibri" w:cs="Times New Roman"/>
          <w:color w:val="auto"/>
          <w:lang w:val="en-GB"/>
        </w:rPr>
        <w:t>NO</w:t>
      </w:r>
    </w:p>
    <w:p w14:paraId="514E1585" w14:textId="3CC70FE7"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Is there a statute of limitations for prosecuting rape in war or in conflict contexts? YES/</w:t>
      </w:r>
      <w:r w:rsidR="003B6B8A" w:rsidRPr="003B6B8A">
        <w:rPr>
          <w:rStyle w:val="None"/>
          <w:rFonts w:eastAsia="Calibri" w:cs="Times New Roman"/>
          <w:color w:val="auto"/>
          <w:u w:val="single"/>
          <w:lang w:val="en-GB"/>
        </w:rPr>
        <w:t xml:space="preserve"> NO</w:t>
      </w:r>
    </w:p>
    <w:p w14:paraId="3B9C797E" w14:textId="6FC3FD41"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Is there explicit provisions excluding statutes of limitation for rape committed during war and armed conflict? YES/</w:t>
      </w:r>
      <w:r w:rsidR="003B6B8A" w:rsidRPr="003B6B8A">
        <w:rPr>
          <w:rStyle w:val="None"/>
          <w:rFonts w:eastAsia="Calibri" w:cs="Times New Roman"/>
          <w:color w:val="auto"/>
          <w:u w:val="single"/>
          <w:lang w:val="en-GB"/>
        </w:rPr>
        <w:t xml:space="preserve"> NO</w:t>
      </w:r>
    </w:p>
    <w:p w14:paraId="7CED9902" w14:textId="311E2B3D" w:rsidR="006C2193" w:rsidRPr="00D26BE7"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Has the Rome Statute of the International Criminal Court (ICC) been ratified? </w:t>
      </w:r>
      <w:r w:rsidRPr="00345B92">
        <w:rPr>
          <w:rStyle w:val="None"/>
          <w:rFonts w:eastAsia="Calibri" w:cs="Times New Roman"/>
          <w:color w:val="auto"/>
          <w:u w:val="single" w:color="222222"/>
          <w:lang w:val="en-GB"/>
        </w:rPr>
        <w:t>YES</w:t>
      </w:r>
      <w:r w:rsidRPr="00D26BE7">
        <w:rPr>
          <w:rStyle w:val="None"/>
          <w:rFonts w:eastAsia="Calibri" w:cs="Times New Roman"/>
          <w:color w:val="auto"/>
          <w:u w:color="222222"/>
          <w:lang w:val="en-GB"/>
        </w:rPr>
        <w:t>/</w:t>
      </w:r>
      <w:r w:rsidR="003B6B8A" w:rsidRPr="003B6B8A">
        <w:rPr>
          <w:rStyle w:val="None"/>
          <w:rFonts w:eastAsia="Calibri" w:cs="Times New Roman"/>
          <w:color w:val="auto"/>
          <w:u w:val="single"/>
          <w:lang w:val="en-GB"/>
        </w:rPr>
        <w:t xml:space="preserve"> </w:t>
      </w:r>
      <w:r w:rsidR="003B6B8A" w:rsidRPr="00345B92">
        <w:rPr>
          <w:rStyle w:val="None"/>
          <w:rFonts w:eastAsia="Calibri" w:cs="Times New Roman"/>
          <w:color w:val="auto"/>
          <w:lang w:val="en-GB"/>
        </w:rPr>
        <w:t>NO</w:t>
      </w:r>
    </w:p>
    <w:p w14:paraId="4213D172" w14:textId="77777777" w:rsidR="00065C0E" w:rsidRPr="00D26BE7" w:rsidRDefault="00065C0E" w:rsidP="00540529">
      <w:pPr>
        <w:pStyle w:val="BodyA"/>
        <w:shd w:val="clear" w:color="auto" w:fill="FFFFFF"/>
        <w:jc w:val="both"/>
        <w:rPr>
          <w:rStyle w:val="None"/>
          <w:rFonts w:eastAsia="Calibri" w:cs="Times New Roman"/>
          <w:b/>
          <w:color w:val="auto"/>
          <w:u w:color="222222"/>
          <w:lang w:val="en-GB"/>
        </w:rPr>
      </w:pPr>
    </w:p>
    <w:p w14:paraId="0D56D5AA" w14:textId="77777777" w:rsidR="006C2193" w:rsidRPr="00D26BE7" w:rsidRDefault="009D4513" w:rsidP="00540529">
      <w:pPr>
        <w:pStyle w:val="BodyA"/>
        <w:shd w:val="clear" w:color="auto" w:fill="FFFFFF"/>
        <w:jc w:val="both"/>
        <w:rPr>
          <w:rStyle w:val="None"/>
          <w:rFonts w:eastAsia="Calibri" w:cs="Times New Roman"/>
          <w:b/>
          <w:color w:val="auto"/>
          <w:u w:color="222222"/>
          <w:lang w:val="en-GB"/>
        </w:rPr>
      </w:pPr>
      <w:r w:rsidRPr="00D26BE7">
        <w:rPr>
          <w:rStyle w:val="None"/>
          <w:rFonts w:eastAsia="Calibri" w:cs="Times New Roman"/>
          <w:b/>
          <w:color w:val="auto"/>
          <w:u w:color="222222"/>
          <w:lang w:val="en-GB"/>
        </w:rPr>
        <w:t xml:space="preserve">Data </w:t>
      </w:r>
    </w:p>
    <w:p w14:paraId="7E16FFBB" w14:textId="77777777" w:rsidR="00F82568" w:rsidRDefault="009D4513" w:rsidP="00C85418">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 xml:space="preserve">Please provide data on the number of cases of rape that were reported, prosecuted and sanctioned, for the past two to five years. </w:t>
      </w:r>
    </w:p>
    <w:p w14:paraId="4C36E990" w14:textId="77777777" w:rsidR="00F82568" w:rsidRDefault="00F82568" w:rsidP="00F82568">
      <w:pPr>
        <w:pStyle w:val="BodyA"/>
        <w:shd w:val="clear" w:color="auto" w:fill="FFFFFF"/>
        <w:ind w:left="753"/>
        <w:jc w:val="both"/>
        <w:rPr>
          <w:rStyle w:val="None"/>
          <w:rFonts w:eastAsia="Calibri" w:cs="Times New Roman"/>
          <w:color w:val="auto"/>
          <w:u w:color="222222"/>
          <w:lang w:val="en-GB"/>
        </w:rPr>
      </w:pPr>
    </w:p>
    <w:p w14:paraId="00BCF15D" w14:textId="535DB007" w:rsidR="00C85418" w:rsidRPr="00F82568" w:rsidRDefault="00C85418" w:rsidP="00F82568">
      <w:pPr>
        <w:pStyle w:val="BodyA"/>
        <w:shd w:val="clear" w:color="auto" w:fill="FFFFFF"/>
        <w:ind w:left="753"/>
        <w:jc w:val="both"/>
        <w:rPr>
          <w:rStyle w:val="None"/>
          <w:rFonts w:eastAsia="Calibri" w:cs="Times New Roman"/>
          <w:color w:val="auto"/>
          <w:u w:color="222222"/>
          <w:lang w:val="en-GB"/>
        </w:rPr>
      </w:pPr>
      <w:r w:rsidRPr="00F82568">
        <w:rPr>
          <w:rStyle w:val="None"/>
          <w:rFonts w:eastAsia="Calibri" w:cs="Times New Roman"/>
          <w:color w:val="auto"/>
          <w:u w:color="222222"/>
        </w:rPr>
        <w:t>From June 1</w:t>
      </w:r>
      <w:r w:rsidRPr="00F82568">
        <w:rPr>
          <w:rStyle w:val="None"/>
          <w:rFonts w:eastAsia="Calibri" w:cs="Times New Roman"/>
          <w:color w:val="auto"/>
          <w:u w:color="222222"/>
          <w:vertAlign w:val="superscript"/>
        </w:rPr>
        <w:t>st</w:t>
      </w:r>
      <w:r w:rsidRPr="00F82568">
        <w:rPr>
          <w:rStyle w:val="None"/>
          <w:rFonts w:eastAsia="Calibri" w:cs="Times New Roman"/>
          <w:color w:val="auto"/>
          <w:u w:color="222222"/>
        </w:rPr>
        <w:t xml:space="preserve"> 2017 to May 1</w:t>
      </w:r>
      <w:r w:rsidRPr="00F82568">
        <w:rPr>
          <w:rStyle w:val="None"/>
          <w:rFonts w:eastAsia="Calibri" w:cs="Times New Roman"/>
          <w:color w:val="auto"/>
          <w:u w:color="222222"/>
          <w:vertAlign w:val="superscript"/>
        </w:rPr>
        <w:t>st</w:t>
      </w:r>
      <w:r w:rsidRPr="00F82568">
        <w:rPr>
          <w:rStyle w:val="None"/>
          <w:rFonts w:eastAsia="Calibri" w:cs="Times New Roman"/>
          <w:color w:val="auto"/>
          <w:u w:color="222222"/>
        </w:rPr>
        <w:t xml:space="preserve"> 2019 there were 361 calls about sexual violence at Public Security Management Center 112. During the same period, investigation was launched into 213 cases of sexual violence. According to the information provided by General prosecutor’s office of Georgia, in the same period, prosecution was initiated in 54 cases and prosecution was suspended in 17 criminal cases.</w:t>
      </w:r>
      <w:r w:rsidR="00653D88" w:rsidRPr="00F82568">
        <w:rPr>
          <w:rStyle w:val="None"/>
          <w:rFonts w:eastAsia="Calibri" w:cs="Times New Roman"/>
          <w:color w:val="auto"/>
          <w:u w:color="222222"/>
        </w:rPr>
        <w:t xml:space="preserve"> According to the information provided by the Supreme Court of Georgia, from June 1</w:t>
      </w:r>
      <w:r w:rsidR="00653D88" w:rsidRPr="00F82568">
        <w:rPr>
          <w:rStyle w:val="None"/>
          <w:rFonts w:eastAsia="Calibri" w:cs="Times New Roman"/>
          <w:color w:val="auto"/>
          <w:u w:color="222222"/>
          <w:vertAlign w:val="superscript"/>
        </w:rPr>
        <w:t>st</w:t>
      </w:r>
      <w:r w:rsidR="00653D88" w:rsidRPr="00F82568">
        <w:rPr>
          <w:rStyle w:val="None"/>
          <w:rFonts w:eastAsia="Calibri" w:cs="Times New Roman"/>
          <w:color w:val="auto"/>
          <w:u w:color="222222"/>
        </w:rPr>
        <w:t xml:space="preserve"> 2017 to May 1</w:t>
      </w:r>
      <w:r w:rsidR="00653D88" w:rsidRPr="00F82568">
        <w:rPr>
          <w:rStyle w:val="None"/>
          <w:rFonts w:eastAsia="Calibri" w:cs="Times New Roman"/>
          <w:color w:val="auto"/>
          <w:u w:color="222222"/>
          <w:vertAlign w:val="superscript"/>
        </w:rPr>
        <w:t>st</w:t>
      </w:r>
      <w:r w:rsidR="00653D88" w:rsidRPr="00F82568">
        <w:rPr>
          <w:rStyle w:val="None"/>
          <w:rFonts w:eastAsia="Calibri" w:cs="Times New Roman"/>
          <w:color w:val="auto"/>
          <w:u w:color="222222"/>
        </w:rPr>
        <w:t xml:space="preserve"> 2019, the District (City) Courts of Georgia reviewed and rendered a verdict in 26 criminal cases.</w:t>
      </w:r>
    </w:p>
    <w:p w14:paraId="20EE1288" w14:textId="77777777" w:rsidR="006C2193" w:rsidRPr="00D26BE7" w:rsidRDefault="006C2193" w:rsidP="00540529">
      <w:pPr>
        <w:pStyle w:val="BodyA"/>
        <w:shd w:val="clear" w:color="auto" w:fill="FFFFFF"/>
        <w:jc w:val="both"/>
        <w:rPr>
          <w:rStyle w:val="None"/>
          <w:rFonts w:eastAsia="Calibri" w:cs="Times New Roman"/>
          <w:color w:val="auto"/>
          <w:u w:color="222222"/>
          <w:lang w:val="en-GB"/>
        </w:rPr>
      </w:pPr>
    </w:p>
    <w:p w14:paraId="6849BF06" w14:textId="77777777" w:rsidR="006C2193" w:rsidRPr="00D26BE7" w:rsidRDefault="009D4513" w:rsidP="00540529">
      <w:pPr>
        <w:pStyle w:val="BodyA"/>
        <w:shd w:val="clear" w:color="auto" w:fill="FFFFFF"/>
        <w:jc w:val="both"/>
        <w:rPr>
          <w:rStyle w:val="None"/>
          <w:rFonts w:eastAsia="Calibri" w:cs="Times New Roman"/>
          <w:b/>
          <w:color w:val="auto"/>
          <w:u w:color="222222"/>
          <w:lang w:val="en-GB"/>
        </w:rPr>
      </w:pPr>
      <w:r w:rsidRPr="00D26BE7">
        <w:rPr>
          <w:rStyle w:val="None"/>
          <w:rFonts w:eastAsia="Calibri" w:cs="Times New Roman"/>
          <w:b/>
          <w:color w:val="auto"/>
          <w:u w:color="222222"/>
          <w:lang w:val="en-GB"/>
        </w:rPr>
        <w:lastRenderedPageBreak/>
        <w:t>Other</w:t>
      </w:r>
    </w:p>
    <w:p w14:paraId="76E64D26" w14:textId="19668D70" w:rsidR="006C2193" w:rsidRDefault="009D4513" w:rsidP="00616709">
      <w:pPr>
        <w:pStyle w:val="BodyA"/>
        <w:numPr>
          <w:ilvl w:val="0"/>
          <w:numId w:val="3"/>
        </w:numPr>
        <w:shd w:val="clear" w:color="auto" w:fill="FFFFFF"/>
        <w:jc w:val="both"/>
        <w:rPr>
          <w:rStyle w:val="None"/>
          <w:rFonts w:eastAsia="Calibri" w:cs="Times New Roman"/>
          <w:color w:val="auto"/>
          <w:u w:color="222222"/>
          <w:lang w:val="en-GB"/>
        </w:rPr>
      </w:pPr>
      <w:r w:rsidRPr="00D26BE7">
        <w:rPr>
          <w:rStyle w:val="None"/>
          <w:rFonts w:eastAsia="Calibri" w:cs="Times New Roman"/>
          <w:color w:val="auto"/>
          <w:u w:color="222222"/>
          <w:lang w:val="en-GB"/>
        </w:rPr>
        <w:t>Please explain any particular and additional barriers to the reporting and prosecution of rape and to the accountability</w:t>
      </w:r>
      <w:r w:rsidR="00065C0E" w:rsidRPr="00D26BE7">
        <w:rPr>
          <w:rStyle w:val="None"/>
          <w:rFonts w:eastAsia="Calibri" w:cs="Times New Roman"/>
          <w:color w:val="auto"/>
          <w:u w:color="222222"/>
          <w:lang w:val="en-GB"/>
        </w:rPr>
        <w:t xml:space="preserve"> of perpetrators in your legal </w:t>
      </w:r>
      <w:r w:rsidRPr="00D26BE7">
        <w:rPr>
          <w:rStyle w:val="None"/>
          <w:rFonts w:eastAsia="Calibri" w:cs="Times New Roman"/>
          <w:color w:val="auto"/>
          <w:u w:color="222222"/>
          <w:lang w:val="en-GB"/>
        </w:rPr>
        <w:t>and social context not covered by the above.</w:t>
      </w:r>
    </w:p>
    <w:p w14:paraId="0E4CB039" w14:textId="77777777" w:rsidR="00616709" w:rsidRDefault="00616709" w:rsidP="00616709">
      <w:pPr>
        <w:pStyle w:val="BodyA"/>
        <w:shd w:val="clear" w:color="auto" w:fill="FFFFFF"/>
        <w:ind w:left="753"/>
        <w:jc w:val="both"/>
        <w:rPr>
          <w:rStyle w:val="None"/>
          <w:rFonts w:eastAsia="Calibri" w:cs="Times New Roman"/>
          <w:color w:val="auto"/>
          <w:u w:color="222222"/>
          <w:lang w:val="en-GB"/>
        </w:rPr>
      </w:pPr>
    </w:p>
    <w:p w14:paraId="2F112677" w14:textId="2DAC3D40" w:rsidR="00616709" w:rsidRPr="00EB21D4" w:rsidRDefault="003B6B8A" w:rsidP="00EB21D4">
      <w:pPr>
        <w:pStyle w:val="BodyA"/>
        <w:shd w:val="clear" w:color="auto" w:fill="FFFFFF"/>
        <w:spacing w:after="240"/>
        <w:ind w:left="753"/>
        <w:jc w:val="both"/>
        <w:rPr>
          <w:rStyle w:val="None"/>
          <w:lang w:val="en-GB"/>
        </w:rPr>
      </w:pPr>
      <w:r w:rsidRPr="00EB21D4">
        <w:rPr>
          <w:rStyle w:val="None"/>
        </w:rPr>
        <w:t>V</w:t>
      </w:r>
      <w:proofErr w:type="spellStart"/>
      <w:r w:rsidR="0091729F" w:rsidRPr="00EB21D4">
        <w:rPr>
          <w:rStyle w:val="None"/>
          <w:lang w:val="en-GB"/>
        </w:rPr>
        <w:t>ulnerable</w:t>
      </w:r>
      <w:proofErr w:type="spellEnd"/>
      <w:r w:rsidR="00F17C8F" w:rsidRPr="00EB21D4">
        <w:rPr>
          <w:rStyle w:val="None"/>
          <w:lang w:val="en-GB"/>
        </w:rPr>
        <w:t xml:space="preserve"> women (women with disabilities, </w:t>
      </w:r>
      <w:r w:rsidR="0091729F">
        <w:rPr>
          <w:rStyle w:val="None"/>
          <w:lang w:val="en-GB"/>
        </w:rPr>
        <w:t>LBT</w:t>
      </w:r>
      <w:r w:rsidR="00F17C8F" w:rsidRPr="00EB21D4">
        <w:rPr>
          <w:rStyle w:val="None"/>
          <w:lang w:val="en-GB"/>
        </w:rPr>
        <w:t xml:space="preserve"> women, ethnic minorities, migrants, drug addict women) suffer from particular barriers in terms of access to justic</w:t>
      </w:r>
      <w:r w:rsidRPr="00EB21D4">
        <w:rPr>
          <w:rStyle w:val="None"/>
          <w:lang w:val="en-GB"/>
        </w:rPr>
        <w:t xml:space="preserve">e. The cause is </w:t>
      </w:r>
      <w:r w:rsidR="00F17C8F" w:rsidRPr="00EB21D4">
        <w:rPr>
          <w:rStyle w:val="None"/>
          <w:lang w:val="en-GB"/>
        </w:rPr>
        <w:t>women repressive laws against prostitution, repressive law in relation to drug use), stigma towards women (especially sex workers</w:t>
      </w:r>
      <w:r w:rsidR="00F110E4" w:rsidRPr="00EB21D4">
        <w:rPr>
          <w:rStyle w:val="None"/>
          <w:lang w:val="en-GB"/>
        </w:rPr>
        <w:t xml:space="preserve">, drug addicts, LGBT and persons </w:t>
      </w:r>
      <w:r w:rsidR="00F17C8F" w:rsidRPr="00EB21D4">
        <w:rPr>
          <w:rStyle w:val="None"/>
          <w:lang w:val="en-GB"/>
        </w:rPr>
        <w:t xml:space="preserve">with disabilities), migration status (if a person is not </w:t>
      </w:r>
      <w:r w:rsidR="00F110E4" w:rsidRPr="00EB21D4">
        <w:rPr>
          <w:rStyle w:val="None"/>
          <w:lang w:val="en-GB"/>
        </w:rPr>
        <w:t>legally in the country</w:t>
      </w:r>
      <w:r w:rsidR="00F17C8F" w:rsidRPr="00EB21D4">
        <w:rPr>
          <w:rStyle w:val="None"/>
          <w:lang w:val="en-GB"/>
        </w:rPr>
        <w:t>), lack of reasonable use (for persons with disabilities</w:t>
      </w:r>
      <w:r w:rsidR="00F110E4" w:rsidRPr="00EB21D4">
        <w:rPr>
          <w:rStyle w:val="None"/>
          <w:lang w:val="en-GB"/>
        </w:rPr>
        <w:t>) or language barriers for the migrants and</w:t>
      </w:r>
      <w:r w:rsidR="00F17C8F" w:rsidRPr="00EB21D4">
        <w:rPr>
          <w:rStyle w:val="None"/>
          <w:lang w:val="en-GB"/>
        </w:rPr>
        <w:t xml:space="preserve"> ethnic minorities). </w:t>
      </w:r>
      <w:r w:rsidR="00F110E4" w:rsidRPr="00EB21D4">
        <w:rPr>
          <w:rStyle w:val="None"/>
          <w:lang w:val="en-GB"/>
        </w:rPr>
        <w:t xml:space="preserve">During the </w:t>
      </w:r>
      <w:r w:rsidR="00EB21D4" w:rsidRPr="00EB21D4">
        <w:rPr>
          <w:rStyle w:val="None"/>
          <w:lang w:val="en-GB"/>
        </w:rPr>
        <w:t xml:space="preserve">Public Defender’s </w:t>
      </w:r>
      <w:r w:rsidR="00F110E4" w:rsidRPr="00EB21D4">
        <w:rPr>
          <w:rStyle w:val="None"/>
          <w:lang w:val="en-GB"/>
        </w:rPr>
        <w:t>study a</w:t>
      </w:r>
      <w:r w:rsidR="00F17C8F" w:rsidRPr="00EB21D4">
        <w:rPr>
          <w:rStyle w:val="None"/>
          <w:lang w:val="en-GB"/>
        </w:rPr>
        <w:t xml:space="preserve"> particular problem </w:t>
      </w:r>
      <w:r w:rsidR="00F110E4" w:rsidRPr="00EB21D4">
        <w:rPr>
          <w:rStyle w:val="None"/>
          <w:lang w:val="en-GB"/>
        </w:rPr>
        <w:t xml:space="preserve">was discussed at the focus group meeting. The problem </w:t>
      </w:r>
      <w:r w:rsidR="00F17C8F" w:rsidRPr="00EB21D4">
        <w:rPr>
          <w:rStyle w:val="None"/>
          <w:lang w:val="en-GB"/>
        </w:rPr>
        <w:t>was t</w:t>
      </w:r>
      <w:r w:rsidR="00F110E4" w:rsidRPr="00EB21D4">
        <w:rPr>
          <w:rStyle w:val="None"/>
          <w:lang w:val="en-GB"/>
        </w:rPr>
        <w:t xml:space="preserve">he questioning </w:t>
      </w:r>
      <w:r w:rsidR="00F17C8F" w:rsidRPr="00EB21D4">
        <w:rPr>
          <w:rStyle w:val="None"/>
          <w:lang w:val="en-GB"/>
        </w:rPr>
        <w:t>of women with psychosoc</w:t>
      </w:r>
      <w:r w:rsidR="00F110E4" w:rsidRPr="00EB21D4">
        <w:rPr>
          <w:rStyle w:val="None"/>
          <w:lang w:val="en-GB"/>
        </w:rPr>
        <w:t>ial needs and their mistrust because of their status. This</w:t>
      </w:r>
      <w:r w:rsidR="00F17C8F" w:rsidRPr="00EB21D4">
        <w:rPr>
          <w:rStyle w:val="None"/>
          <w:lang w:val="en-GB"/>
        </w:rPr>
        <w:t xml:space="preserve"> could lead to impunity for the offender.</w:t>
      </w:r>
    </w:p>
    <w:p w14:paraId="2023DF67" w14:textId="598A355D" w:rsidR="00F110E4" w:rsidRPr="00EB21D4" w:rsidRDefault="00814251" w:rsidP="00EB21D4">
      <w:pPr>
        <w:pStyle w:val="BodyA"/>
        <w:shd w:val="clear" w:color="auto" w:fill="FFFFFF"/>
        <w:spacing w:after="240"/>
        <w:ind w:left="753"/>
        <w:jc w:val="both"/>
        <w:rPr>
          <w:rStyle w:val="None"/>
          <w:lang w:val="en-GB"/>
        </w:rPr>
      </w:pPr>
      <w:r w:rsidRPr="00EB21D4">
        <w:rPr>
          <w:rStyle w:val="None"/>
          <w:lang w:val="en-GB"/>
        </w:rPr>
        <w:t>The case study revealed that despite the gender na</w:t>
      </w:r>
      <w:r w:rsidR="00E27194" w:rsidRPr="00EB21D4">
        <w:rPr>
          <w:rStyle w:val="None"/>
          <w:lang w:val="en-GB"/>
        </w:rPr>
        <w:t>ture of sexual violence crimes, n</w:t>
      </w:r>
      <w:r w:rsidRPr="00EB21D4">
        <w:rPr>
          <w:rStyle w:val="None"/>
          <w:lang w:val="en-GB"/>
        </w:rPr>
        <w:t>one of the cases revealed tha</w:t>
      </w:r>
      <w:r w:rsidR="00E27194" w:rsidRPr="00EB21D4">
        <w:rPr>
          <w:rStyle w:val="None"/>
          <w:lang w:val="en-GB"/>
        </w:rPr>
        <w:t>t the purpose of</w:t>
      </w:r>
      <w:r w:rsidRPr="00EB21D4">
        <w:rPr>
          <w:rStyle w:val="None"/>
          <w:lang w:val="en-GB"/>
        </w:rPr>
        <w:t xml:space="preserve"> prosecuting the offender is to eliminate gender i</w:t>
      </w:r>
      <w:r w:rsidR="00E27194" w:rsidRPr="00EB21D4">
        <w:rPr>
          <w:rStyle w:val="None"/>
          <w:lang w:val="en-GB"/>
        </w:rPr>
        <w:t>nequality and ensure</w:t>
      </w:r>
      <w:r w:rsidRPr="00EB21D4">
        <w:rPr>
          <w:rStyle w:val="None"/>
          <w:lang w:val="en-GB"/>
        </w:rPr>
        <w:t xml:space="preserve"> equality</w:t>
      </w:r>
      <w:r w:rsidR="00E27194" w:rsidRPr="00EB21D4">
        <w:rPr>
          <w:rStyle w:val="None"/>
          <w:lang w:val="en-GB"/>
        </w:rPr>
        <w:t xml:space="preserve"> between men and women</w:t>
      </w:r>
      <w:r w:rsidRPr="00EB21D4">
        <w:rPr>
          <w:rStyle w:val="None"/>
          <w:lang w:val="en-GB"/>
        </w:rPr>
        <w:t xml:space="preserve">. </w:t>
      </w:r>
      <w:r w:rsidR="00867B9E" w:rsidRPr="00EB21D4">
        <w:rPr>
          <w:rStyle w:val="None"/>
          <w:lang w:val="en-GB"/>
        </w:rPr>
        <w:t>No sex or gender discrimination was identified in any of the cases.</w:t>
      </w:r>
      <w:r w:rsidR="0088418D" w:rsidRPr="00EB21D4">
        <w:rPr>
          <w:rStyle w:val="None"/>
          <w:lang w:val="en-GB"/>
        </w:rPr>
        <w:t xml:space="preserve"> Also the judge or prosecutor did not point to the gender based discrimination in any documents.</w:t>
      </w:r>
    </w:p>
    <w:sectPr w:rsidR="00F110E4" w:rsidRPr="00EB21D4">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E7A40" w14:textId="77777777" w:rsidR="00873431" w:rsidRDefault="00873431">
      <w:r>
        <w:separator/>
      </w:r>
    </w:p>
  </w:endnote>
  <w:endnote w:type="continuationSeparator" w:id="0">
    <w:p w14:paraId="09C7B690" w14:textId="77777777" w:rsidR="00873431" w:rsidRDefault="0087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74196"/>
      <w:docPartObj>
        <w:docPartGallery w:val="Page Numbers (Bottom of Page)"/>
        <w:docPartUnique/>
      </w:docPartObj>
    </w:sdtPr>
    <w:sdtEndPr>
      <w:rPr>
        <w:noProof/>
      </w:rPr>
    </w:sdtEndPr>
    <w:sdtContent>
      <w:p w14:paraId="635BD1DE" w14:textId="77777777" w:rsidR="002F0B6D" w:rsidRPr="000D6F14" w:rsidRDefault="002F0B6D">
        <w:pPr>
          <w:pStyle w:val="Footer"/>
          <w:jc w:val="right"/>
        </w:pPr>
        <w:r w:rsidRPr="000D6F14">
          <w:fldChar w:fldCharType="begin"/>
        </w:r>
        <w:r w:rsidRPr="000D6F14">
          <w:instrText xml:space="preserve"> PAGE   \* MERGEFORMAT </w:instrText>
        </w:r>
        <w:r w:rsidRPr="000D6F14">
          <w:fldChar w:fldCharType="separate"/>
        </w:r>
        <w:r>
          <w:rPr>
            <w:noProof/>
          </w:rPr>
          <w:t>2</w:t>
        </w:r>
        <w:r w:rsidRPr="000D6F14">
          <w:rPr>
            <w:noProof/>
          </w:rPr>
          <w:fldChar w:fldCharType="end"/>
        </w:r>
      </w:p>
    </w:sdtContent>
  </w:sdt>
  <w:p w14:paraId="548F1B12" w14:textId="77777777" w:rsidR="002F0B6D" w:rsidRPr="000D6F14" w:rsidRDefault="002F0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51844"/>
      <w:docPartObj>
        <w:docPartGallery w:val="Page Numbers (Bottom of Page)"/>
        <w:docPartUnique/>
      </w:docPartObj>
    </w:sdtPr>
    <w:sdtEndPr>
      <w:rPr>
        <w:noProof/>
      </w:rPr>
    </w:sdtEndPr>
    <w:sdtContent>
      <w:p w14:paraId="36C46D41" w14:textId="16D5E16C" w:rsidR="00540529" w:rsidRDefault="00540529">
        <w:pPr>
          <w:pStyle w:val="Footer"/>
          <w:jc w:val="center"/>
        </w:pPr>
        <w:r>
          <w:fldChar w:fldCharType="begin"/>
        </w:r>
        <w:r>
          <w:instrText xml:space="preserve"> PAGE   \* MERGEFORMAT </w:instrText>
        </w:r>
        <w:r>
          <w:fldChar w:fldCharType="separate"/>
        </w:r>
        <w:r w:rsidR="002F0B6D">
          <w:rPr>
            <w:noProof/>
          </w:rPr>
          <w:t>4</w:t>
        </w:r>
        <w:r>
          <w:rPr>
            <w:noProof/>
          </w:rPr>
          <w:fldChar w:fldCharType="end"/>
        </w:r>
      </w:p>
    </w:sdtContent>
  </w:sdt>
  <w:p w14:paraId="28A0358D" w14:textId="77777777" w:rsidR="00540529" w:rsidRDefault="00540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FFB25" w14:textId="77777777" w:rsidR="00873431" w:rsidRDefault="00873431">
      <w:r>
        <w:separator/>
      </w:r>
    </w:p>
  </w:footnote>
  <w:footnote w:type="continuationSeparator" w:id="0">
    <w:p w14:paraId="11162D36" w14:textId="77777777" w:rsidR="00873431" w:rsidRDefault="00873431">
      <w:r>
        <w:continuationSeparator/>
      </w:r>
    </w:p>
  </w:footnote>
  <w:footnote w:id="1">
    <w:p w14:paraId="5F29CFD9" w14:textId="34185438" w:rsidR="00E36846" w:rsidRPr="006A3FD0" w:rsidRDefault="00E36846" w:rsidP="000009A4">
      <w:pPr>
        <w:pStyle w:val="FootnoteText"/>
        <w:jc w:val="both"/>
      </w:pPr>
      <w:r w:rsidRPr="006A3FD0">
        <w:rPr>
          <w:rStyle w:val="FootnoteReference"/>
        </w:rPr>
        <w:footnoteRef/>
      </w:r>
      <w:r w:rsidRPr="006A3FD0">
        <w:t xml:space="preserve"> Public Defender’s office of Georgia, with the sup</w:t>
      </w:r>
      <w:r w:rsidR="006C5250">
        <w:t>port of the Council of Europe (</w:t>
      </w:r>
      <w:r w:rsidR="00EF450F">
        <w:t xml:space="preserve">The </w:t>
      </w:r>
      <w:proofErr w:type="spellStart"/>
      <w:r w:rsidR="00EF450F">
        <w:t>CoE</w:t>
      </w:r>
      <w:proofErr w:type="spellEnd"/>
      <w:r w:rsidR="00EF450F">
        <w:t xml:space="preserve"> O</w:t>
      </w:r>
      <w:r w:rsidRPr="006A3FD0">
        <w:t>ffice of Georgia)</w:t>
      </w:r>
      <w:r w:rsidR="00E378E6" w:rsidRPr="006A3FD0">
        <w:rPr>
          <w:lang w:val="ka-GE"/>
        </w:rPr>
        <w:t xml:space="preserve">, </w:t>
      </w:r>
      <w:r w:rsidR="00E378E6" w:rsidRPr="006A3FD0">
        <w:t>h</w:t>
      </w:r>
      <w:r w:rsidR="006C5250">
        <w:t>as launched a study of justice o</w:t>
      </w:r>
      <w:r w:rsidR="00E378E6" w:rsidRPr="006A3FD0">
        <w:t>n sexual violence cases in Georgia.</w:t>
      </w:r>
      <w:r w:rsidR="0053695A" w:rsidRPr="006A3FD0">
        <w:rPr>
          <w:lang w:val="ka-GE"/>
        </w:rPr>
        <w:t xml:space="preserve"> </w:t>
      </w:r>
      <w:r w:rsidR="0053695A" w:rsidRPr="006A3FD0">
        <w:t>The study cove</w:t>
      </w:r>
      <w:r w:rsidR="006C5250">
        <w:t xml:space="preserve">red the cases committed </w:t>
      </w:r>
      <w:r w:rsidR="001E49F3">
        <w:t xml:space="preserve">during the period of </w:t>
      </w:r>
      <w:r w:rsidR="0053695A" w:rsidRPr="006A3FD0">
        <w:t>June 1st, 2017 to May 1st, 2019. The study</w:t>
      </w:r>
      <w:r w:rsidR="001E49F3">
        <w:t xml:space="preserve"> analyzed verdicts and relevant </w:t>
      </w:r>
      <w:r w:rsidR="0053695A" w:rsidRPr="006A3FD0">
        <w:t>case materials.</w:t>
      </w:r>
      <w:r w:rsidR="000009A4" w:rsidRPr="006A3FD0">
        <w:rPr>
          <w:lang w:val="ka-GE"/>
        </w:rPr>
        <w:t xml:space="preserve"> </w:t>
      </w:r>
      <w:r w:rsidR="000009A4" w:rsidRPr="006A3FD0">
        <w:t xml:space="preserve">The information, which is provided in this document is </w:t>
      </w:r>
      <w:r w:rsidR="00D62912" w:rsidRPr="006A3FD0">
        <w:t xml:space="preserve">mostly </w:t>
      </w:r>
      <w:r w:rsidR="000009A4" w:rsidRPr="006A3FD0">
        <w:t>based on the findings of the study.</w:t>
      </w:r>
    </w:p>
  </w:footnote>
  <w:footnote w:id="2">
    <w:p w14:paraId="4AC96DA8" w14:textId="42481AF3" w:rsidR="004D65F0" w:rsidRPr="006A3FD0" w:rsidRDefault="004D65F0" w:rsidP="004D65F0">
      <w:pPr>
        <w:pStyle w:val="FootnoteText"/>
        <w:jc w:val="both"/>
      </w:pPr>
      <w:r w:rsidRPr="006A3FD0">
        <w:rPr>
          <w:rStyle w:val="FootnoteReference"/>
        </w:rPr>
        <w:footnoteRef/>
      </w:r>
      <w:r w:rsidRPr="006A3FD0">
        <w:t xml:space="preserve"> </w:t>
      </w:r>
      <w:r w:rsidR="001E49F3">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51BB" w14:textId="77777777" w:rsidR="002F0B6D" w:rsidRDefault="002F0B6D" w:rsidP="00381FC7">
    <w:pPr>
      <w:pStyle w:val="Header"/>
    </w:pPr>
  </w:p>
  <w:p w14:paraId="217F5AB6" w14:textId="77777777" w:rsidR="002F0B6D" w:rsidRDefault="002F0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0"/>
        <w:szCs w:val="20"/>
        <w:highlight w:val="none"/>
        <w:vertAlign w:val="base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13124815"/>
    <w:multiLevelType w:val="hybridMultilevel"/>
    <w:tmpl w:val="11DC684E"/>
    <w:numStyleLink w:val="ImportedStyle2"/>
  </w:abstractNum>
  <w:abstractNum w:abstractNumId="2" w15:restartNumberingAfterBreak="0">
    <w:nsid w:val="194E7336"/>
    <w:multiLevelType w:val="hybridMultilevel"/>
    <w:tmpl w:val="95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4" w15:restartNumberingAfterBreak="0">
    <w:nsid w:val="66D55770"/>
    <w:multiLevelType w:val="hybridMultilevel"/>
    <w:tmpl w:val="D5C20BC2"/>
    <w:numStyleLink w:val="ImportedStyle1"/>
  </w:abstractNum>
  <w:num w:numId="1">
    <w:abstractNumId w:val="3"/>
  </w:num>
  <w:num w:numId="2">
    <w:abstractNumId w:val="4"/>
    <w:lvlOverride w:ilvl="0">
      <w:lvl w:ilvl="0" w:tplc="707CD8AA">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9546204A">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4"/>
    <w:lvlOverride w:ilvl="0">
      <w:lvl w:ilvl="0" w:tplc="707CD8AA">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9546204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7620432">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3E34E0F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1CB6FC02">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78607B2">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B45CD3D2">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AB26783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A8821A6">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4"/>
    <w:lvlOverride w:ilvl="0">
      <w:lvl w:ilvl="0" w:tplc="707CD8AA">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9546204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7620432">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3E34E0F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1CB6FC0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678607B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45CD3D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AB26783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1A8821A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4"/>
    <w:lvlOverride w:ilvl="0">
      <w:lvl w:ilvl="0" w:tplc="707CD8A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9546204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7620432">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3E34E0F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1CB6FC0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678607B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B45CD3D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AB26783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1A8821A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4"/>
    <w:lvlOverride w:ilvl="0">
      <w:startOverride w:val="1"/>
      <w:lvl w:ilvl="0" w:tplc="707CD8AA">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9546204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37620432">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3E34E0F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1CB6FC02">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678607B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B45CD3D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AB26783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1A8821A6">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0"/>
  </w:num>
  <w:num w:numId="8">
    <w:abstractNumId w:val="1"/>
  </w:num>
  <w:num w:numId="9">
    <w:abstractNumId w:val="4"/>
    <w:lvlOverride w:ilvl="0">
      <w:lvl w:ilvl="0" w:tplc="707CD8AA">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9546204A">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7620432">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3E34E0F0">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1CB6FC02">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78607B2">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B45CD3D2">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AB267836">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A8821A6">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4"/>
    <w:lvlOverride w:ilvl="0">
      <w:lvl w:ilvl="0" w:tplc="707CD8AA">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9546204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7620432">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3E34E0F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1CB6FC02">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678607B2">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B45CD3D2">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AB26783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1A8821A6">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1"/>
    <w:lvlOverride w:ilvl="0">
      <w:startOverride w:val="5"/>
    </w:lvlOverride>
  </w:num>
  <w:num w:numId="12">
    <w:abstractNumId w:val="1"/>
    <w:lvlOverride w:ilvl="0">
      <w:lvl w:ilvl="0" w:tplc="A1B881FE">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768EBAF0">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0618448E">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8C181D22">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00C25F38">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7E96A60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5CF4942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DC6CD20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59A2000">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93"/>
    <w:rsid w:val="000009A4"/>
    <w:rsid w:val="0000459A"/>
    <w:rsid w:val="00010348"/>
    <w:rsid w:val="00021A71"/>
    <w:rsid w:val="00050EC5"/>
    <w:rsid w:val="0005368A"/>
    <w:rsid w:val="00065C0E"/>
    <w:rsid w:val="0007335B"/>
    <w:rsid w:val="00080643"/>
    <w:rsid w:val="000A2940"/>
    <w:rsid w:val="000A361F"/>
    <w:rsid w:val="000A4187"/>
    <w:rsid w:val="000B546C"/>
    <w:rsid w:val="000D0815"/>
    <w:rsid w:val="000E5DE0"/>
    <w:rsid w:val="0010748A"/>
    <w:rsid w:val="001348D5"/>
    <w:rsid w:val="00134A2A"/>
    <w:rsid w:val="00136894"/>
    <w:rsid w:val="00145C79"/>
    <w:rsid w:val="001608D4"/>
    <w:rsid w:val="0016365B"/>
    <w:rsid w:val="00193702"/>
    <w:rsid w:val="001B010E"/>
    <w:rsid w:val="001E49F3"/>
    <w:rsid w:val="0021361B"/>
    <w:rsid w:val="002767D7"/>
    <w:rsid w:val="002A79B4"/>
    <w:rsid w:val="002C7449"/>
    <w:rsid w:val="002E3A9B"/>
    <w:rsid w:val="002E708B"/>
    <w:rsid w:val="002F08B4"/>
    <w:rsid w:val="002F0B6D"/>
    <w:rsid w:val="00303652"/>
    <w:rsid w:val="00306C19"/>
    <w:rsid w:val="00334BC4"/>
    <w:rsid w:val="00345B92"/>
    <w:rsid w:val="00350F0F"/>
    <w:rsid w:val="00377263"/>
    <w:rsid w:val="00385BD8"/>
    <w:rsid w:val="00390F2A"/>
    <w:rsid w:val="00397523"/>
    <w:rsid w:val="003B6B8A"/>
    <w:rsid w:val="003D2FC7"/>
    <w:rsid w:val="003E14EB"/>
    <w:rsid w:val="00417EF2"/>
    <w:rsid w:val="00435AC6"/>
    <w:rsid w:val="0044071E"/>
    <w:rsid w:val="0044540E"/>
    <w:rsid w:val="00466796"/>
    <w:rsid w:val="004857FC"/>
    <w:rsid w:val="004970C3"/>
    <w:rsid w:val="004A243C"/>
    <w:rsid w:val="004A3DD9"/>
    <w:rsid w:val="004B3BF8"/>
    <w:rsid w:val="004D65F0"/>
    <w:rsid w:val="004F2578"/>
    <w:rsid w:val="005018EA"/>
    <w:rsid w:val="00502768"/>
    <w:rsid w:val="0050296C"/>
    <w:rsid w:val="00534F29"/>
    <w:rsid w:val="0053695A"/>
    <w:rsid w:val="00540529"/>
    <w:rsid w:val="00573368"/>
    <w:rsid w:val="00580B54"/>
    <w:rsid w:val="0058468E"/>
    <w:rsid w:val="00592135"/>
    <w:rsid w:val="005A079D"/>
    <w:rsid w:val="005E4ACE"/>
    <w:rsid w:val="00602826"/>
    <w:rsid w:val="00616709"/>
    <w:rsid w:val="00653D88"/>
    <w:rsid w:val="006932D0"/>
    <w:rsid w:val="006A3127"/>
    <w:rsid w:val="006A3FD0"/>
    <w:rsid w:val="006B3AF9"/>
    <w:rsid w:val="006C2193"/>
    <w:rsid w:val="006C5250"/>
    <w:rsid w:val="006D0CB3"/>
    <w:rsid w:val="0074386D"/>
    <w:rsid w:val="007C370F"/>
    <w:rsid w:val="007C4E82"/>
    <w:rsid w:val="007D71E2"/>
    <w:rsid w:val="00814251"/>
    <w:rsid w:val="00845C31"/>
    <w:rsid w:val="00867B9E"/>
    <w:rsid w:val="00873431"/>
    <w:rsid w:val="0088418D"/>
    <w:rsid w:val="008A140C"/>
    <w:rsid w:val="008A4F7A"/>
    <w:rsid w:val="008B78B2"/>
    <w:rsid w:val="009002DD"/>
    <w:rsid w:val="0091729F"/>
    <w:rsid w:val="00965612"/>
    <w:rsid w:val="0097171E"/>
    <w:rsid w:val="009772E1"/>
    <w:rsid w:val="00990305"/>
    <w:rsid w:val="009A3778"/>
    <w:rsid w:val="009A7049"/>
    <w:rsid w:val="009D4513"/>
    <w:rsid w:val="009E0700"/>
    <w:rsid w:val="009E2D4D"/>
    <w:rsid w:val="009F61E9"/>
    <w:rsid w:val="00A05727"/>
    <w:rsid w:val="00A35D2B"/>
    <w:rsid w:val="00A43C3D"/>
    <w:rsid w:val="00A66364"/>
    <w:rsid w:val="00AD05C3"/>
    <w:rsid w:val="00AD22FA"/>
    <w:rsid w:val="00B1064C"/>
    <w:rsid w:val="00B12A02"/>
    <w:rsid w:val="00B31EB7"/>
    <w:rsid w:val="00B46845"/>
    <w:rsid w:val="00BA2220"/>
    <w:rsid w:val="00BA7EB7"/>
    <w:rsid w:val="00BF7C44"/>
    <w:rsid w:val="00C37BD8"/>
    <w:rsid w:val="00C72815"/>
    <w:rsid w:val="00C73EDB"/>
    <w:rsid w:val="00C76EA4"/>
    <w:rsid w:val="00C85418"/>
    <w:rsid w:val="00CA4082"/>
    <w:rsid w:val="00CC1FBE"/>
    <w:rsid w:val="00CD2BD5"/>
    <w:rsid w:val="00D26BE7"/>
    <w:rsid w:val="00D52858"/>
    <w:rsid w:val="00D62912"/>
    <w:rsid w:val="00D64A33"/>
    <w:rsid w:val="00D92A5C"/>
    <w:rsid w:val="00D95837"/>
    <w:rsid w:val="00DB53BB"/>
    <w:rsid w:val="00DF60E5"/>
    <w:rsid w:val="00E116E7"/>
    <w:rsid w:val="00E11B01"/>
    <w:rsid w:val="00E14C8B"/>
    <w:rsid w:val="00E27194"/>
    <w:rsid w:val="00E36846"/>
    <w:rsid w:val="00E378E6"/>
    <w:rsid w:val="00E54492"/>
    <w:rsid w:val="00E56C8A"/>
    <w:rsid w:val="00E81BA5"/>
    <w:rsid w:val="00E81DBC"/>
    <w:rsid w:val="00EB1AD2"/>
    <w:rsid w:val="00EB21D4"/>
    <w:rsid w:val="00EE7F1E"/>
    <w:rsid w:val="00EF450F"/>
    <w:rsid w:val="00F110E4"/>
    <w:rsid w:val="00F17C8F"/>
    <w:rsid w:val="00F37BEA"/>
    <w:rsid w:val="00F82568"/>
    <w:rsid w:val="00FC0379"/>
    <w:rsid w:val="00FC4498"/>
    <w:rsid w:val="00FD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27A2"/>
  <w15:docId w15:val="{00599B83-E601-4785-97AF-FE48DCC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F0B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None"/>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
    <w:basedOn w:val="Normal"/>
    <w:link w:val="ListParagraphChar"/>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 w:type="paragraph" w:styleId="FootnoteText">
    <w:name w:val="footnote text"/>
    <w:basedOn w:val="Normal"/>
    <w:link w:val="FootnoteTextChar"/>
    <w:uiPriority w:val="99"/>
    <w:semiHidden/>
    <w:unhideWhenUsed/>
    <w:rsid w:val="00E36846"/>
    <w:rPr>
      <w:sz w:val="20"/>
      <w:szCs w:val="20"/>
    </w:rPr>
  </w:style>
  <w:style w:type="character" w:customStyle="1" w:styleId="FootnoteTextChar">
    <w:name w:val="Footnote Text Char"/>
    <w:basedOn w:val="DefaultParagraphFont"/>
    <w:link w:val="FootnoteText"/>
    <w:uiPriority w:val="99"/>
    <w:semiHidden/>
    <w:rsid w:val="00E36846"/>
    <w:rPr>
      <w:lang w:val="en-US" w:eastAsia="en-US"/>
    </w:rPr>
  </w:style>
  <w:style w:type="character" w:styleId="FootnoteReference">
    <w:name w:val="footnote reference"/>
    <w:basedOn w:val="DefaultParagraphFont"/>
    <w:uiPriority w:val="99"/>
    <w:semiHidden/>
    <w:unhideWhenUsed/>
    <w:rsid w:val="00E36846"/>
    <w:rPr>
      <w:vertAlign w:val="superscript"/>
    </w:rPr>
  </w:style>
  <w:style w:type="paragraph" w:styleId="Title">
    <w:name w:val="Title"/>
    <w:basedOn w:val="Normal"/>
    <w:next w:val="Normal"/>
    <w:link w:val="TitleChar"/>
    <w:uiPriority w:val="10"/>
    <w:qFormat/>
    <w:rsid w:val="002F0B6D"/>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2F0B6D"/>
    <w:rPr>
      <w:rFonts w:asciiTheme="majorHAnsi" w:eastAsiaTheme="majorEastAsia" w:hAnsiTheme="majorHAnsi" w:cstheme="majorBidi"/>
      <w:spacing w:val="-10"/>
      <w:kern w:val="28"/>
      <w:sz w:val="56"/>
      <w:szCs w:val="56"/>
      <w:bdr w:val="none" w:sz="0" w:space="0" w:color="auto"/>
      <w:lang w:val="en-US" w:eastAsia="en-US"/>
    </w:rPr>
  </w:style>
  <w:style w:type="character" w:customStyle="1" w:styleId="Heading1Char">
    <w:name w:val="Heading 1 Char"/>
    <w:basedOn w:val="DefaultParagraphFont"/>
    <w:link w:val="Heading1"/>
    <w:uiPriority w:val="9"/>
    <w:rsid w:val="002F0B6D"/>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2F0B6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2F0B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budsman.g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E9D29-F85E-44F2-A579-4AD6F6577041}">
  <ds:schemaRefs>
    <ds:schemaRef ds:uri="http://schemas.openxmlformats.org/officeDocument/2006/bibliography"/>
  </ds:schemaRefs>
</ds:datastoreItem>
</file>

<file path=customXml/itemProps2.xml><?xml version="1.0" encoding="utf-8"?>
<ds:datastoreItem xmlns:ds="http://schemas.openxmlformats.org/officeDocument/2006/customXml" ds:itemID="{EFCD5CC5-438B-47F2-A74C-75DED26F7152}"/>
</file>

<file path=customXml/itemProps3.xml><?xml version="1.0" encoding="utf-8"?>
<ds:datastoreItem xmlns:ds="http://schemas.openxmlformats.org/officeDocument/2006/customXml" ds:itemID="{73DCB78C-E9F9-4C00-A1C8-45BB94E4C9E7}"/>
</file>

<file path=customXml/itemProps4.xml><?xml version="1.0" encoding="utf-8"?>
<ds:datastoreItem xmlns:ds="http://schemas.openxmlformats.org/officeDocument/2006/customXml" ds:itemID="{1BC0AEAA-950B-4E22-9EF4-BE6D6E126ABE}"/>
</file>

<file path=docProps/app.xml><?xml version="1.0" encoding="utf-8"?>
<Properties xmlns="http://schemas.openxmlformats.org/officeDocument/2006/extended-properties" xmlns:vt="http://schemas.openxmlformats.org/officeDocument/2006/docPropsVTypes">
  <Template>Normal</Template>
  <TotalTime>5</TotalTime>
  <Pages>10</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Nino Berishvili</cp:lastModifiedBy>
  <cp:revision>3</cp:revision>
  <dcterms:created xsi:type="dcterms:W3CDTF">2020-04-28T14:03:00Z</dcterms:created>
  <dcterms:modified xsi:type="dcterms:W3CDTF">2020-05-20T10:49:00Z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