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8735" w14:textId="77777777" w:rsidR="00345CC8" w:rsidRPr="00B37866" w:rsidRDefault="00345CC8" w:rsidP="00381B98">
      <w:pPr>
        <w:keepNext/>
        <w:widowControl w:val="0"/>
        <w:autoSpaceDE w:val="0"/>
        <w:autoSpaceDN w:val="0"/>
        <w:adjustRightInd w:val="0"/>
        <w:spacing w:before="240" w:after="60"/>
        <w:jc w:val="both"/>
        <w:rPr>
          <w:u w:val="single"/>
          <w:lang w:val="en-GB"/>
        </w:rPr>
      </w:pPr>
      <w:bookmarkStart w:id="0" w:name="_Toc119387233"/>
      <w:bookmarkStart w:id="1" w:name="_GoBack"/>
      <w:bookmarkEnd w:id="1"/>
    </w:p>
    <w:p w14:paraId="0B4EDA35" w14:textId="77777777" w:rsidR="002D0F83" w:rsidRPr="00B37866" w:rsidRDefault="002D0F83" w:rsidP="00AE024F">
      <w:pPr>
        <w:keepNext/>
        <w:widowControl w:val="0"/>
        <w:autoSpaceDE w:val="0"/>
        <w:autoSpaceDN w:val="0"/>
        <w:adjustRightInd w:val="0"/>
        <w:spacing w:before="240" w:after="60"/>
        <w:jc w:val="right"/>
        <w:rPr>
          <w:u w:val="single"/>
          <w:lang w:val="en-GB"/>
        </w:rPr>
      </w:pPr>
      <w:r w:rsidRPr="00B37866">
        <w:rPr>
          <w:u w:val="single"/>
          <w:lang w:val="en-GB"/>
        </w:rPr>
        <w:t>ITALY</w:t>
      </w:r>
    </w:p>
    <w:p w14:paraId="6B15EB1C" w14:textId="77777777" w:rsidR="002D0F83" w:rsidRPr="00B37866" w:rsidRDefault="002D0F83" w:rsidP="00381B98">
      <w:pPr>
        <w:keepNext/>
        <w:widowControl w:val="0"/>
        <w:autoSpaceDE w:val="0"/>
        <w:autoSpaceDN w:val="0"/>
        <w:adjustRightInd w:val="0"/>
        <w:spacing w:before="240" w:after="60"/>
        <w:jc w:val="both"/>
        <w:rPr>
          <w:smallCaps/>
          <w:lang w:val="en-GB"/>
        </w:rPr>
      </w:pPr>
    </w:p>
    <w:p w14:paraId="6F6807B8" w14:textId="77777777" w:rsidR="00345CC8" w:rsidRPr="00B37866" w:rsidRDefault="00345CC8" w:rsidP="00381B98">
      <w:pPr>
        <w:keepNext/>
        <w:widowControl w:val="0"/>
        <w:autoSpaceDE w:val="0"/>
        <w:autoSpaceDN w:val="0"/>
        <w:adjustRightInd w:val="0"/>
        <w:jc w:val="both"/>
        <w:rPr>
          <w:smallCaps/>
          <w:lang w:val="en-GB"/>
        </w:rPr>
      </w:pPr>
    </w:p>
    <w:p w14:paraId="04FD1C40" w14:textId="77777777" w:rsidR="00345CC8" w:rsidRPr="00B37866" w:rsidRDefault="00345CC8" w:rsidP="00381B98">
      <w:pPr>
        <w:keepNext/>
        <w:widowControl w:val="0"/>
        <w:autoSpaceDE w:val="0"/>
        <w:autoSpaceDN w:val="0"/>
        <w:adjustRightInd w:val="0"/>
        <w:jc w:val="both"/>
        <w:rPr>
          <w:smallCaps/>
          <w:lang w:val="en-GB"/>
        </w:rPr>
      </w:pPr>
    </w:p>
    <w:p w14:paraId="42E9726E" w14:textId="5631CB73" w:rsidR="002D0F83" w:rsidRPr="00B37866" w:rsidRDefault="002D0F83" w:rsidP="00AE024F">
      <w:pPr>
        <w:keepNext/>
        <w:widowControl w:val="0"/>
        <w:autoSpaceDE w:val="0"/>
        <w:autoSpaceDN w:val="0"/>
        <w:adjustRightInd w:val="0"/>
        <w:jc w:val="center"/>
        <w:rPr>
          <w:smallCaps/>
          <w:lang w:val="en-GB"/>
        </w:rPr>
      </w:pPr>
      <w:r w:rsidRPr="00B37866">
        <w:rPr>
          <w:smallCaps/>
          <w:lang w:val="en-GB"/>
        </w:rPr>
        <w:t>Ministry of Foreign Affairs</w:t>
      </w:r>
      <w:r w:rsidR="00FC590A" w:rsidRPr="00B37866">
        <w:rPr>
          <w:smallCaps/>
          <w:lang w:val="en-GB"/>
        </w:rPr>
        <w:t xml:space="preserve"> and International Cooperation</w:t>
      </w:r>
    </w:p>
    <w:p w14:paraId="10D7B71D" w14:textId="77777777" w:rsidR="002D0F83" w:rsidRPr="00B37866" w:rsidRDefault="002D0F83" w:rsidP="00AE024F">
      <w:pPr>
        <w:widowControl w:val="0"/>
        <w:autoSpaceDE w:val="0"/>
        <w:autoSpaceDN w:val="0"/>
        <w:adjustRightInd w:val="0"/>
        <w:jc w:val="center"/>
        <w:rPr>
          <w:lang w:val="en-GB"/>
        </w:rPr>
      </w:pPr>
      <w:r w:rsidRPr="00B37866">
        <w:rPr>
          <w:lang w:val="en-GB"/>
        </w:rPr>
        <w:t>Inter-ministerial Committee for Human Rights</w:t>
      </w:r>
    </w:p>
    <w:p w14:paraId="3E987C26" w14:textId="77777777" w:rsidR="002D0F83" w:rsidRPr="00B37866" w:rsidRDefault="002D0F83" w:rsidP="00AE024F">
      <w:pPr>
        <w:widowControl w:val="0"/>
        <w:autoSpaceDE w:val="0"/>
        <w:autoSpaceDN w:val="0"/>
        <w:adjustRightInd w:val="0"/>
        <w:spacing w:line="360" w:lineRule="auto"/>
        <w:jc w:val="center"/>
        <w:rPr>
          <w:lang w:val="en-GB"/>
        </w:rPr>
      </w:pPr>
      <w:r w:rsidRPr="00B37866">
        <w:rPr>
          <w:lang w:val="en-GB"/>
        </w:rPr>
        <w:t>Comitato Interministeriale per i Diritti Umani</w:t>
      </w:r>
    </w:p>
    <w:p w14:paraId="7ADF8283" w14:textId="77777777" w:rsidR="002D0F83" w:rsidRPr="00B37866" w:rsidRDefault="002D0F83" w:rsidP="00381B98">
      <w:pPr>
        <w:widowControl w:val="0"/>
        <w:autoSpaceDE w:val="0"/>
        <w:autoSpaceDN w:val="0"/>
        <w:adjustRightInd w:val="0"/>
        <w:spacing w:line="480" w:lineRule="auto"/>
        <w:jc w:val="both"/>
        <w:rPr>
          <w:lang w:val="en-GB"/>
        </w:rPr>
      </w:pPr>
    </w:p>
    <w:p w14:paraId="6B9ECB15" w14:textId="77777777" w:rsidR="002D0F83" w:rsidRPr="00B37866" w:rsidRDefault="002D0F83" w:rsidP="00381B98">
      <w:pPr>
        <w:widowControl w:val="0"/>
        <w:autoSpaceDE w:val="0"/>
        <w:autoSpaceDN w:val="0"/>
        <w:adjustRightInd w:val="0"/>
        <w:spacing w:line="480" w:lineRule="auto"/>
        <w:jc w:val="both"/>
        <w:rPr>
          <w:lang w:val="en-GB"/>
        </w:rPr>
      </w:pPr>
    </w:p>
    <w:p w14:paraId="45E1C942" w14:textId="77777777" w:rsidR="002D0F83" w:rsidRPr="00B37866" w:rsidRDefault="002D0F83" w:rsidP="00381B98">
      <w:pPr>
        <w:widowControl w:val="0"/>
        <w:autoSpaceDE w:val="0"/>
        <w:autoSpaceDN w:val="0"/>
        <w:adjustRightInd w:val="0"/>
        <w:spacing w:line="480" w:lineRule="auto"/>
        <w:jc w:val="both"/>
        <w:rPr>
          <w:lang w:val="en-GB"/>
        </w:rPr>
      </w:pPr>
    </w:p>
    <w:p w14:paraId="77338909" w14:textId="58F6A1EA" w:rsidR="00AF04AA" w:rsidRPr="00217E85" w:rsidRDefault="002D0F83" w:rsidP="00AE024F">
      <w:pPr>
        <w:widowControl w:val="0"/>
        <w:autoSpaceDE w:val="0"/>
        <w:autoSpaceDN w:val="0"/>
        <w:adjustRightInd w:val="0"/>
        <w:jc w:val="center"/>
        <w:rPr>
          <w:b/>
          <w:sz w:val="28"/>
          <w:szCs w:val="28"/>
          <w:lang w:val="en-GB"/>
        </w:rPr>
      </w:pPr>
      <w:r w:rsidRPr="00217E85">
        <w:rPr>
          <w:b/>
          <w:sz w:val="28"/>
          <w:szCs w:val="28"/>
          <w:lang w:val="en-GB"/>
        </w:rPr>
        <w:t xml:space="preserve">ITALY’S </w:t>
      </w:r>
      <w:r w:rsidR="00AF04AA" w:rsidRPr="00217E85">
        <w:rPr>
          <w:b/>
          <w:sz w:val="28"/>
          <w:szCs w:val="28"/>
          <w:lang w:val="en-GB"/>
        </w:rPr>
        <w:t>CONTRIBUTION</w:t>
      </w:r>
      <w:r w:rsidR="002F630E" w:rsidRPr="00217E85">
        <w:rPr>
          <w:b/>
          <w:sz w:val="28"/>
          <w:szCs w:val="28"/>
          <w:lang w:val="en-GB"/>
        </w:rPr>
        <w:t>,</w:t>
      </w:r>
    </w:p>
    <w:p w14:paraId="21404B4D" w14:textId="3A958A63" w:rsidR="00217E85" w:rsidRPr="00217E85" w:rsidRDefault="002F630E" w:rsidP="00217E85">
      <w:pPr>
        <w:widowControl w:val="0"/>
        <w:autoSpaceDE w:val="0"/>
        <w:autoSpaceDN w:val="0"/>
        <w:adjustRightInd w:val="0"/>
        <w:jc w:val="center"/>
        <w:rPr>
          <w:b/>
          <w:sz w:val="28"/>
          <w:szCs w:val="28"/>
          <w:lang w:val="en-GB"/>
        </w:rPr>
      </w:pPr>
      <w:r w:rsidRPr="00217E85">
        <w:rPr>
          <w:b/>
          <w:sz w:val="28"/>
          <w:szCs w:val="28"/>
          <w:lang w:val="en-GB"/>
        </w:rPr>
        <w:t xml:space="preserve">IN </w:t>
      </w:r>
      <w:r w:rsidR="00686BFC" w:rsidRPr="00217E85">
        <w:rPr>
          <w:b/>
          <w:sz w:val="28"/>
          <w:szCs w:val="28"/>
          <w:lang w:val="en-GB"/>
        </w:rPr>
        <w:t xml:space="preserve">VIEW OF NEXT STUDY </w:t>
      </w:r>
      <w:r w:rsidR="00217E85" w:rsidRPr="00217E85">
        <w:rPr>
          <w:b/>
          <w:sz w:val="28"/>
          <w:szCs w:val="28"/>
          <w:lang w:val="en-GB"/>
        </w:rPr>
        <w:t xml:space="preserve">TO BE SUBMITTED BEFORE UNGA 74, </w:t>
      </w:r>
    </w:p>
    <w:p w14:paraId="15EAC166" w14:textId="77777777" w:rsidR="00217E85" w:rsidRPr="00217E85" w:rsidRDefault="00017233" w:rsidP="00686BFC">
      <w:pPr>
        <w:widowControl w:val="0"/>
        <w:autoSpaceDE w:val="0"/>
        <w:autoSpaceDN w:val="0"/>
        <w:adjustRightInd w:val="0"/>
        <w:jc w:val="center"/>
        <w:rPr>
          <w:b/>
          <w:sz w:val="28"/>
          <w:szCs w:val="28"/>
          <w:lang w:val="en-GB"/>
        </w:rPr>
      </w:pPr>
      <w:r w:rsidRPr="00217E85">
        <w:rPr>
          <w:b/>
          <w:sz w:val="28"/>
          <w:szCs w:val="28"/>
          <w:lang w:val="en-GB"/>
        </w:rPr>
        <w:t>BY UN S</w:t>
      </w:r>
      <w:r w:rsidR="00217E85" w:rsidRPr="00217E85">
        <w:rPr>
          <w:b/>
          <w:sz w:val="28"/>
          <w:szCs w:val="28"/>
          <w:lang w:val="en-GB"/>
        </w:rPr>
        <w:t xml:space="preserve">PECIAL RAPPORTEUR </w:t>
      </w:r>
    </w:p>
    <w:p w14:paraId="4A46F030" w14:textId="208DC790" w:rsidR="00017233" w:rsidRPr="00217E85" w:rsidRDefault="00017233" w:rsidP="00686BFC">
      <w:pPr>
        <w:widowControl w:val="0"/>
        <w:autoSpaceDE w:val="0"/>
        <w:autoSpaceDN w:val="0"/>
        <w:adjustRightInd w:val="0"/>
        <w:jc w:val="center"/>
        <w:rPr>
          <w:b/>
          <w:sz w:val="28"/>
          <w:szCs w:val="28"/>
          <w:lang w:val="en-GB"/>
        </w:rPr>
      </w:pPr>
      <w:r w:rsidRPr="00217E85">
        <w:rPr>
          <w:b/>
          <w:sz w:val="28"/>
          <w:szCs w:val="28"/>
          <w:lang w:val="en-GB"/>
        </w:rPr>
        <w:t>ON V</w:t>
      </w:r>
      <w:r w:rsidR="00217E85" w:rsidRPr="00217E85">
        <w:rPr>
          <w:b/>
          <w:sz w:val="28"/>
          <w:szCs w:val="28"/>
          <w:lang w:val="en-GB"/>
        </w:rPr>
        <w:t>IOLENCE AGAINST WOMEN, ITS CAUSES AND CONSEQUENCES</w:t>
      </w:r>
      <w:r w:rsidRPr="00217E85">
        <w:rPr>
          <w:b/>
          <w:sz w:val="28"/>
          <w:szCs w:val="28"/>
          <w:lang w:val="en-GB"/>
        </w:rPr>
        <w:t xml:space="preserve"> </w:t>
      </w:r>
    </w:p>
    <w:p w14:paraId="08625C5F" w14:textId="56E042FA" w:rsidR="002D0F83" w:rsidRPr="00B37866" w:rsidRDefault="002D0F83" w:rsidP="00381B98">
      <w:pPr>
        <w:widowControl w:val="0"/>
        <w:autoSpaceDE w:val="0"/>
        <w:autoSpaceDN w:val="0"/>
        <w:adjustRightInd w:val="0"/>
        <w:jc w:val="both"/>
        <w:rPr>
          <w:lang w:val="en-GB"/>
        </w:rPr>
      </w:pPr>
    </w:p>
    <w:p w14:paraId="407E576B" w14:textId="77777777" w:rsidR="002D0F83" w:rsidRPr="00B37866" w:rsidRDefault="002D0F83" w:rsidP="00381B98">
      <w:pPr>
        <w:widowControl w:val="0"/>
        <w:autoSpaceDE w:val="0"/>
        <w:autoSpaceDN w:val="0"/>
        <w:adjustRightInd w:val="0"/>
        <w:spacing w:line="360" w:lineRule="auto"/>
        <w:jc w:val="both"/>
        <w:rPr>
          <w:lang w:val="en-GB"/>
        </w:rPr>
      </w:pPr>
    </w:p>
    <w:p w14:paraId="49EC7278" w14:textId="77777777" w:rsidR="002D0F83" w:rsidRPr="00B37866" w:rsidRDefault="002D0F83" w:rsidP="00381B98">
      <w:pPr>
        <w:widowControl w:val="0"/>
        <w:autoSpaceDE w:val="0"/>
        <w:autoSpaceDN w:val="0"/>
        <w:adjustRightInd w:val="0"/>
        <w:spacing w:line="360" w:lineRule="auto"/>
        <w:jc w:val="both"/>
        <w:rPr>
          <w:lang w:val="en-GB"/>
        </w:rPr>
      </w:pPr>
    </w:p>
    <w:p w14:paraId="0EF05431" w14:textId="77777777" w:rsidR="002D0F83" w:rsidRPr="00B37866" w:rsidRDefault="002D0F83" w:rsidP="00381B98">
      <w:pPr>
        <w:widowControl w:val="0"/>
        <w:autoSpaceDE w:val="0"/>
        <w:autoSpaceDN w:val="0"/>
        <w:adjustRightInd w:val="0"/>
        <w:jc w:val="both"/>
        <w:rPr>
          <w:lang w:val="en-GB"/>
        </w:rPr>
      </w:pPr>
    </w:p>
    <w:p w14:paraId="34DA932C" w14:textId="77777777" w:rsidR="002D0F83" w:rsidRPr="00B37866" w:rsidRDefault="002D0F83" w:rsidP="00381B98">
      <w:pPr>
        <w:widowControl w:val="0"/>
        <w:autoSpaceDE w:val="0"/>
        <w:autoSpaceDN w:val="0"/>
        <w:adjustRightInd w:val="0"/>
        <w:jc w:val="both"/>
        <w:rPr>
          <w:lang w:val="en-GB"/>
        </w:rPr>
      </w:pPr>
    </w:p>
    <w:p w14:paraId="404CE1BD" w14:textId="77777777" w:rsidR="002D0F83" w:rsidRPr="00B37866" w:rsidRDefault="002D0F83" w:rsidP="00381B98">
      <w:pPr>
        <w:widowControl w:val="0"/>
        <w:autoSpaceDE w:val="0"/>
        <w:autoSpaceDN w:val="0"/>
        <w:adjustRightInd w:val="0"/>
        <w:jc w:val="both"/>
        <w:rPr>
          <w:lang w:val="en-GB"/>
        </w:rPr>
      </w:pPr>
    </w:p>
    <w:p w14:paraId="607CF8EF" w14:textId="77777777" w:rsidR="002D0F83" w:rsidRPr="00B37866" w:rsidRDefault="002D0F83" w:rsidP="00381B98">
      <w:pPr>
        <w:widowControl w:val="0"/>
        <w:autoSpaceDE w:val="0"/>
        <w:autoSpaceDN w:val="0"/>
        <w:adjustRightInd w:val="0"/>
        <w:jc w:val="both"/>
        <w:rPr>
          <w:lang w:val="en-GB"/>
        </w:rPr>
      </w:pPr>
    </w:p>
    <w:p w14:paraId="3566CA88" w14:textId="77777777" w:rsidR="002D0F83" w:rsidRPr="00B37866" w:rsidRDefault="002D0F83" w:rsidP="00381B98">
      <w:pPr>
        <w:widowControl w:val="0"/>
        <w:autoSpaceDE w:val="0"/>
        <w:autoSpaceDN w:val="0"/>
        <w:adjustRightInd w:val="0"/>
        <w:jc w:val="both"/>
        <w:rPr>
          <w:lang w:val="en-GB"/>
        </w:rPr>
      </w:pPr>
    </w:p>
    <w:p w14:paraId="437497DA" w14:textId="77777777" w:rsidR="002D0F83" w:rsidRPr="00B37866" w:rsidRDefault="002D0F83" w:rsidP="00381B98">
      <w:pPr>
        <w:widowControl w:val="0"/>
        <w:autoSpaceDE w:val="0"/>
        <w:autoSpaceDN w:val="0"/>
        <w:adjustRightInd w:val="0"/>
        <w:jc w:val="both"/>
        <w:rPr>
          <w:lang w:val="en-GB"/>
        </w:rPr>
      </w:pPr>
    </w:p>
    <w:p w14:paraId="6AF254DE" w14:textId="77777777" w:rsidR="002D0F83" w:rsidRPr="00B37866" w:rsidRDefault="002D0F83" w:rsidP="00381B98">
      <w:pPr>
        <w:widowControl w:val="0"/>
        <w:autoSpaceDE w:val="0"/>
        <w:autoSpaceDN w:val="0"/>
        <w:adjustRightInd w:val="0"/>
        <w:jc w:val="both"/>
        <w:rPr>
          <w:lang w:val="en-GB"/>
        </w:rPr>
      </w:pPr>
    </w:p>
    <w:p w14:paraId="6DAEBE35" w14:textId="77777777" w:rsidR="002D0F83" w:rsidRPr="00B37866" w:rsidRDefault="002D0F83" w:rsidP="00381B98">
      <w:pPr>
        <w:widowControl w:val="0"/>
        <w:autoSpaceDE w:val="0"/>
        <w:autoSpaceDN w:val="0"/>
        <w:adjustRightInd w:val="0"/>
        <w:jc w:val="both"/>
        <w:rPr>
          <w:lang w:val="en-GB"/>
        </w:rPr>
      </w:pPr>
    </w:p>
    <w:p w14:paraId="63C3F74E" w14:textId="77777777" w:rsidR="002D0F83" w:rsidRPr="00B37866" w:rsidRDefault="002D0F83" w:rsidP="00381B98">
      <w:pPr>
        <w:widowControl w:val="0"/>
        <w:autoSpaceDE w:val="0"/>
        <w:autoSpaceDN w:val="0"/>
        <w:adjustRightInd w:val="0"/>
        <w:jc w:val="both"/>
        <w:rPr>
          <w:lang w:val="en-GB"/>
        </w:rPr>
      </w:pPr>
    </w:p>
    <w:p w14:paraId="6FF35582" w14:textId="77777777" w:rsidR="002D0F83" w:rsidRPr="00B37866" w:rsidRDefault="002D0F83" w:rsidP="00381B98">
      <w:pPr>
        <w:widowControl w:val="0"/>
        <w:autoSpaceDE w:val="0"/>
        <w:autoSpaceDN w:val="0"/>
        <w:adjustRightInd w:val="0"/>
        <w:jc w:val="both"/>
        <w:rPr>
          <w:lang w:val="en-GB"/>
        </w:rPr>
      </w:pPr>
    </w:p>
    <w:p w14:paraId="3B881E47" w14:textId="77777777" w:rsidR="00DC1406" w:rsidRPr="00B37866" w:rsidRDefault="00DC1406" w:rsidP="00AE024F">
      <w:pPr>
        <w:widowControl w:val="0"/>
        <w:autoSpaceDE w:val="0"/>
        <w:autoSpaceDN w:val="0"/>
        <w:adjustRightInd w:val="0"/>
        <w:jc w:val="center"/>
        <w:rPr>
          <w:lang w:val="en-GB"/>
        </w:rPr>
      </w:pPr>
    </w:p>
    <w:p w14:paraId="6FFE5445" w14:textId="77777777" w:rsidR="00DC1406" w:rsidRPr="00B37866" w:rsidRDefault="00DC1406" w:rsidP="00AE024F">
      <w:pPr>
        <w:widowControl w:val="0"/>
        <w:autoSpaceDE w:val="0"/>
        <w:autoSpaceDN w:val="0"/>
        <w:adjustRightInd w:val="0"/>
        <w:jc w:val="center"/>
        <w:rPr>
          <w:lang w:val="en-GB"/>
        </w:rPr>
      </w:pPr>
    </w:p>
    <w:p w14:paraId="0AF3CA0A" w14:textId="77777777" w:rsidR="00DC1406" w:rsidRPr="00B37866" w:rsidRDefault="00DC1406" w:rsidP="00AE024F">
      <w:pPr>
        <w:widowControl w:val="0"/>
        <w:autoSpaceDE w:val="0"/>
        <w:autoSpaceDN w:val="0"/>
        <w:adjustRightInd w:val="0"/>
        <w:jc w:val="center"/>
        <w:rPr>
          <w:lang w:val="en-GB"/>
        </w:rPr>
      </w:pPr>
    </w:p>
    <w:p w14:paraId="459A958F" w14:textId="77777777" w:rsidR="00DC1406" w:rsidRPr="00B37866" w:rsidRDefault="00DC1406" w:rsidP="00AE024F">
      <w:pPr>
        <w:widowControl w:val="0"/>
        <w:autoSpaceDE w:val="0"/>
        <w:autoSpaceDN w:val="0"/>
        <w:adjustRightInd w:val="0"/>
        <w:jc w:val="center"/>
        <w:rPr>
          <w:lang w:val="en-GB"/>
        </w:rPr>
      </w:pPr>
    </w:p>
    <w:p w14:paraId="56686411" w14:textId="77777777" w:rsidR="00DC1406" w:rsidRPr="00B37866" w:rsidRDefault="00DC1406" w:rsidP="00AE024F">
      <w:pPr>
        <w:widowControl w:val="0"/>
        <w:autoSpaceDE w:val="0"/>
        <w:autoSpaceDN w:val="0"/>
        <w:adjustRightInd w:val="0"/>
        <w:jc w:val="center"/>
        <w:rPr>
          <w:lang w:val="en-GB"/>
        </w:rPr>
      </w:pPr>
    </w:p>
    <w:p w14:paraId="7DD3C733" w14:textId="77777777" w:rsidR="00DC1406" w:rsidRPr="00B37866" w:rsidRDefault="00DC1406" w:rsidP="00AE024F">
      <w:pPr>
        <w:widowControl w:val="0"/>
        <w:autoSpaceDE w:val="0"/>
        <w:autoSpaceDN w:val="0"/>
        <w:adjustRightInd w:val="0"/>
        <w:jc w:val="center"/>
        <w:rPr>
          <w:lang w:val="en-GB"/>
        </w:rPr>
      </w:pPr>
    </w:p>
    <w:p w14:paraId="408DE65D" w14:textId="77777777" w:rsidR="00DC1406" w:rsidRPr="00B37866" w:rsidRDefault="00DC1406" w:rsidP="00AE024F">
      <w:pPr>
        <w:widowControl w:val="0"/>
        <w:autoSpaceDE w:val="0"/>
        <w:autoSpaceDN w:val="0"/>
        <w:adjustRightInd w:val="0"/>
        <w:jc w:val="center"/>
        <w:rPr>
          <w:lang w:val="en-GB"/>
        </w:rPr>
      </w:pPr>
    </w:p>
    <w:p w14:paraId="1ECB5AEC" w14:textId="77777777" w:rsidR="00DC1406" w:rsidRPr="00B37866" w:rsidRDefault="00DC1406" w:rsidP="00AE024F">
      <w:pPr>
        <w:widowControl w:val="0"/>
        <w:autoSpaceDE w:val="0"/>
        <w:autoSpaceDN w:val="0"/>
        <w:adjustRightInd w:val="0"/>
        <w:jc w:val="center"/>
        <w:rPr>
          <w:lang w:val="en-GB"/>
        </w:rPr>
      </w:pPr>
    </w:p>
    <w:p w14:paraId="7A6BE11A" w14:textId="77777777" w:rsidR="00DC1406" w:rsidRPr="00B37866" w:rsidRDefault="00DC1406" w:rsidP="00AE024F">
      <w:pPr>
        <w:widowControl w:val="0"/>
        <w:autoSpaceDE w:val="0"/>
        <w:autoSpaceDN w:val="0"/>
        <w:adjustRightInd w:val="0"/>
        <w:jc w:val="center"/>
        <w:rPr>
          <w:lang w:val="en-GB"/>
        </w:rPr>
      </w:pPr>
    </w:p>
    <w:p w14:paraId="17A7ACB1" w14:textId="77777777" w:rsidR="00DC1406" w:rsidRPr="00B37866" w:rsidRDefault="00DC1406" w:rsidP="00AE024F">
      <w:pPr>
        <w:widowControl w:val="0"/>
        <w:autoSpaceDE w:val="0"/>
        <w:autoSpaceDN w:val="0"/>
        <w:adjustRightInd w:val="0"/>
        <w:jc w:val="center"/>
        <w:rPr>
          <w:lang w:val="en-GB"/>
        </w:rPr>
      </w:pPr>
    </w:p>
    <w:p w14:paraId="1698BABA" w14:textId="77777777" w:rsidR="00DC1406" w:rsidRPr="00B37866" w:rsidRDefault="00DC1406" w:rsidP="00AE024F">
      <w:pPr>
        <w:widowControl w:val="0"/>
        <w:autoSpaceDE w:val="0"/>
        <w:autoSpaceDN w:val="0"/>
        <w:adjustRightInd w:val="0"/>
        <w:jc w:val="center"/>
        <w:rPr>
          <w:lang w:val="en-GB"/>
        </w:rPr>
      </w:pPr>
    </w:p>
    <w:p w14:paraId="7C401C6D" w14:textId="77777777" w:rsidR="00DC1406" w:rsidRPr="00B37866" w:rsidRDefault="00DC1406" w:rsidP="00AE024F">
      <w:pPr>
        <w:widowControl w:val="0"/>
        <w:autoSpaceDE w:val="0"/>
        <w:autoSpaceDN w:val="0"/>
        <w:adjustRightInd w:val="0"/>
        <w:jc w:val="center"/>
        <w:rPr>
          <w:lang w:val="en-GB"/>
        </w:rPr>
      </w:pPr>
    </w:p>
    <w:p w14:paraId="428F7DE7" w14:textId="77777777" w:rsidR="00DC1406" w:rsidRPr="00B37866" w:rsidRDefault="00DC1406" w:rsidP="00AE024F">
      <w:pPr>
        <w:widowControl w:val="0"/>
        <w:autoSpaceDE w:val="0"/>
        <w:autoSpaceDN w:val="0"/>
        <w:adjustRightInd w:val="0"/>
        <w:jc w:val="center"/>
        <w:rPr>
          <w:lang w:val="en-GB"/>
        </w:rPr>
      </w:pPr>
    </w:p>
    <w:p w14:paraId="15DDEDF3" w14:textId="77777777" w:rsidR="00DC1406" w:rsidRPr="00B37866" w:rsidRDefault="00DC1406" w:rsidP="00AE024F">
      <w:pPr>
        <w:widowControl w:val="0"/>
        <w:autoSpaceDE w:val="0"/>
        <w:autoSpaceDN w:val="0"/>
        <w:adjustRightInd w:val="0"/>
        <w:jc w:val="center"/>
        <w:rPr>
          <w:lang w:val="en-GB"/>
        </w:rPr>
      </w:pPr>
    </w:p>
    <w:p w14:paraId="7EB93CD4" w14:textId="5315C05B" w:rsidR="004A61A7" w:rsidRPr="00B37866" w:rsidRDefault="00AA7178" w:rsidP="00F00A07">
      <w:pPr>
        <w:widowControl w:val="0"/>
        <w:autoSpaceDE w:val="0"/>
        <w:autoSpaceDN w:val="0"/>
        <w:adjustRightInd w:val="0"/>
        <w:ind w:left="3540" w:firstLine="708"/>
        <w:rPr>
          <w:lang w:val="en-GB"/>
        </w:rPr>
      </w:pPr>
      <w:r w:rsidRPr="00B37866">
        <w:rPr>
          <w:lang w:val="en-GB"/>
        </w:rPr>
        <w:t>May 17</w:t>
      </w:r>
      <w:r w:rsidRPr="00B37866">
        <w:rPr>
          <w:vertAlign w:val="superscript"/>
          <w:lang w:val="en-GB"/>
        </w:rPr>
        <w:t>th</w:t>
      </w:r>
      <w:r w:rsidR="004A61A7" w:rsidRPr="00B37866">
        <w:rPr>
          <w:lang w:val="en-GB"/>
        </w:rPr>
        <w:t>, 201</w:t>
      </w:r>
      <w:r w:rsidR="00F00A07" w:rsidRPr="00B37866">
        <w:rPr>
          <w:lang w:val="en-GB"/>
        </w:rPr>
        <w:t>9</w:t>
      </w:r>
    </w:p>
    <w:p w14:paraId="24A907DF" w14:textId="77777777" w:rsidR="00AA7178" w:rsidRPr="00B37866" w:rsidRDefault="00AA7178" w:rsidP="004A61A7">
      <w:pPr>
        <w:widowControl w:val="0"/>
        <w:autoSpaceDE w:val="0"/>
        <w:autoSpaceDN w:val="0"/>
        <w:adjustRightInd w:val="0"/>
        <w:jc w:val="center"/>
        <w:rPr>
          <w:u w:val="single"/>
          <w:lang w:val="en-GB"/>
        </w:rPr>
      </w:pPr>
    </w:p>
    <w:p w14:paraId="03FB2912" w14:textId="77777777" w:rsidR="007C4061" w:rsidRPr="00B37866" w:rsidRDefault="007C4061" w:rsidP="004A61A7">
      <w:pPr>
        <w:widowControl w:val="0"/>
        <w:autoSpaceDE w:val="0"/>
        <w:autoSpaceDN w:val="0"/>
        <w:adjustRightInd w:val="0"/>
        <w:jc w:val="center"/>
        <w:rPr>
          <w:u w:val="single"/>
          <w:lang w:val="en-GB"/>
        </w:rPr>
      </w:pPr>
    </w:p>
    <w:p w14:paraId="55635607" w14:textId="77777777" w:rsidR="007C4061" w:rsidRPr="00B37866" w:rsidRDefault="007C4061" w:rsidP="004A61A7">
      <w:pPr>
        <w:widowControl w:val="0"/>
        <w:autoSpaceDE w:val="0"/>
        <w:autoSpaceDN w:val="0"/>
        <w:adjustRightInd w:val="0"/>
        <w:jc w:val="center"/>
        <w:rPr>
          <w:u w:val="single"/>
          <w:lang w:val="en-GB"/>
        </w:rPr>
      </w:pPr>
    </w:p>
    <w:p w14:paraId="410B0545" w14:textId="235F8D53" w:rsidR="002D0F83" w:rsidRPr="00217E85" w:rsidRDefault="002D0F83" w:rsidP="004A61A7">
      <w:pPr>
        <w:widowControl w:val="0"/>
        <w:autoSpaceDE w:val="0"/>
        <w:autoSpaceDN w:val="0"/>
        <w:adjustRightInd w:val="0"/>
        <w:jc w:val="center"/>
        <w:rPr>
          <w:b/>
          <w:lang w:val="en-GB"/>
        </w:rPr>
      </w:pPr>
      <w:r w:rsidRPr="00217E85">
        <w:rPr>
          <w:b/>
          <w:u w:val="single"/>
          <w:lang w:val="en-GB"/>
        </w:rPr>
        <w:t xml:space="preserve">ITALY’S </w:t>
      </w:r>
      <w:r w:rsidR="00AF04AA" w:rsidRPr="00217E85">
        <w:rPr>
          <w:b/>
          <w:u w:val="single"/>
          <w:lang w:val="en-GB"/>
        </w:rPr>
        <w:t>CONTRIBUTION</w:t>
      </w:r>
    </w:p>
    <w:p w14:paraId="03B7B098" w14:textId="77777777" w:rsidR="00AF04AA" w:rsidRPr="00B37866" w:rsidRDefault="00AF04AA" w:rsidP="00AE024F">
      <w:pPr>
        <w:widowControl w:val="0"/>
        <w:autoSpaceDE w:val="0"/>
        <w:autoSpaceDN w:val="0"/>
        <w:adjustRightInd w:val="0"/>
        <w:jc w:val="center"/>
        <w:rPr>
          <w:lang w:val="en-GB"/>
        </w:rPr>
      </w:pPr>
    </w:p>
    <w:p w14:paraId="5ED61263" w14:textId="77777777" w:rsidR="002D0F83" w:rsidRPr="00B37866" w:rsidRDefault="002D0F83" w:rsidP="00381B98">
      <w:pPr>
        <w:widowControl w:val="0"/>
        <w:autoSpaceDE w:val="0"/>
        <w:autoSpaceDN w:val="0"/>
        <w:adjustRightInd w:val="0"/>
        <w:jc w:val="both"/>
        <w:rPr>
          <w:lang w:val="en-GB"/>
        </w:rPr>
      </w:pPr>
    </w:p>
    <w:p w14:paraId="65965C0D" w14:textId="4BF3A015" w:rsidR="00AF04AA" w:rsidRPr="00B37866" w:rsidRDefault="00FA1B38" w:rsidP="00AE024F">
      <w:pPr>
        <w:widowControl w:val="0"/>
        <w:autoSpaceDE w:val="0"/>
        <w:autoSpaceDN w:val="0"/>
        <w:adjustRightInd w:val="0"/>
        <w:jc w:val="right"/>
        <w:rPr>
          <w:lang w:val="en-GB"/>
        </w:rPr>
      </w:pPr>
      <w:r w:rsidRPr="00B37866">
        <w:rPr>
          <w:lang w:val="en-GB"/>
        </w:rPr>
        <w:tab/>
      </w:r>
      <w:r w:rsidRPr="00B37866">
        <w:rPr>
          <w:lang w:val="en-GB"/>
        </w:rPr>
        <w:tab/>
      </w:r>
      <w:r w:rsidRPr="00B37866">
        <w:rPr>
          <w:lang w:val="en-GB"/>
        </w:rPr>
        <w:tab/>
      </w:r>
      <w:r w:rsidRPr="00B37866">
        <w:rPr>
          <w:lang w:val="en-GB"/>
        </w:rPr>
        <w:tab/>
      </w:r>
      <w:r w:rsidRPr="00B37866">
        <w:rPr>
          <w:lang w:val="en-GB"/>
        </w:rPr>
        <w:tab/>
      </w:r>
      <w:r w:rsidRPr="00B37866">
        <w:rPr>
          <w:lang w:val="en-GB"/>
        </w:rPr>
        <w:tab/>
      </w:r>
      <w:r w:rsidRPr="00B37866">
        <w:rPr>
          <w:lang w:val="en-GB"/>
        </w:rPr>
        <w:tab/>
      </w:r>
      <w:r w:rsidRPr="00B37866">
        <w:rPr>
          <w:lang w:val="en-GB"/>
        </w:rPr>
        <w:tab/>
      </w:r>
      <w:r w:rsidRPr="00B37866">
        <w:rPr>
          <w:lang w:val="en-GB"/>
        </w:rPr>
        <w:tab/>
      </w:r>
      <w:r w:rsidRPr="00B37866">
        <w:rPr>
          <w:lang w:val="en-GB"/>
        </w:rPr>
        <w:tab/>
        <w:t xml:space="preserve">To the attention of </w:t>
      </w:r>
    </w:p>
    <w:p w14:paraId="6DC6D938" w14:textId="2AA62AD7" w:rsidR="00F175B5" w:rsidRPr="00B37866" w:rsidRDefault="00F43BF6" w:rsidP="00F00A07">
      <w:pPr>
        <w:widowControl w:val="0"/>
        <w:autoSpaceDE w:val="0"/>
        <w:autoSpaceDN w:val="0"/>
        <w:adjustRightInd w:val="0"/>
        <w:jc w:val="right"/>
        <w:rPr>
          <w:lang w:val="en-GB"/>
        </w:rPr>
      </w:pPr>
      <w:r w:rsidRPr="00B37866">
        <w:rPr>
          <w:lang w:val="en-GB"/>
        </w:rPr>
        <w:t>vaw</w:t>
      </w:r>
      <w:r w:rsidR="00E24B09" w:rsidRPr="00B37866">
        <w:rPr>
          <w:lang w:val="en-GB"/>
        </w:rPr>
        <w:t>@ohchr.org</w:t>
      </w:r>
      <w:r w:rsidR="00F175B5" w:rsidRPr="00B37866">
        <w:rPr>
          <w:lang w:val="en-GB"/>
        </w:rPr>
        <w:t xml:space="preserve"> </w:t>
      </w:r>
    </w:p>
    <w:p w14:paraId="54564E71" w14:textId="77777777" w:rsidR="00AF04AA" w:rsidRPr="00B37866" w:rsidRDefault="00AF04AA" w:rsidP="00381B98">
      <w:pPr>
        <w:widowControl w:val="0"/>
        <w:autoSpaceDE w:val="0"/>
        <w:autoSpaceDN w:val="0"/>
        <w:adjustRightInd w:val="0"/>
        <w:jc w:val="both"/>
        <w:rPr>
          <w:lang w:val="en-GB"/>
        </w:rPr>
      </w:pPr>
    </w:p>
    <w:p w14:paraId="5DA915D6" w14:textId="77777777" w:rsidR="00491A01" w:rsidRPr="00B37866" w:rsidRDefault="00491A01" w:rsidP="00381B98">
      <w:pPr>
        <w:pStyle w:val="Default"/>
        <w:jc w:val="both"/>
        <w:rPr>
          <w:rFonts w:ascii="Times New Roman" w:hAnsi="Times New Roman" w:cs="Times New Roman"/>
          <w:lang w:val="en-GB"/>
        </w:rPr>
      </w:pPr>
    </w:p>
    <w:p w14:paraId="2DE03777" w14:textId="449B3C11" w:rsidR="00E20EDD" w:rsidRPr="00B37866" w:rsidRDefault="00217E85" w:rsidP="00B2567C">
      <w:pPr>
        <w:pStyle w:val="SingleTxt"/>
        <w:spacing w:after="0" w:line="240" w:lineRule="auto"/>
        <w:ind w:left="0" w:right="0"/>
        <w:rPr>
          <w:sz w:val="24"/>
          <w:szCs w:val="24"/>
        </w:rPr>
      </w:pPr>
      <w:r>
        <w:rPr>
          <w:sz w:val="24"/>
          <w:szCs w:val="24"/>
        </w:rPr>
        <w:t xml:space="preserve">Italian Authorities are in a position to provide the following information: </w:t>
      </w:r>
    </w:p>
    <w:p w14:paraId="7A2DA837" w14:textId="77777777" w:rsidR="00217E85" w:rsidRDefault="00217E85" w:rsidP="00B2567C">
      <w:pPr>
        <w:pStyle w:val="SingleTxt"/>
        <w:spacing w:after="0" w:line="240" w:lineRule="auto"/>
        <w:ind w:left="0" w:right="0"/>
        <w:rPr>
          <w:sz w:val="24"/>
          <w:szCs w:val="24"/>
        </w:rPr>
      </w:pPr>
    </w:p>
    <w:p w14:paraId="62E3F154" w14:textId="77777777" w:rsidR="00217E85" w:rsidRDefault="00217E85" w:rsidP="00B2567C">
      <w:pPr>
        <w:pStyle w:val="SingleTxt"/>
        <w:spacing w:after="0" w:line="240" w:lineRule="auto"/>
        <w:ind w:left="0" w:right="0"/>
        <w:rPr>
          <w:b/>
          <w:sz w:val="24"/>
          <w:szCs w:val="24"/>
          <w:u w:val="single"/>
        </w:rPr>
      </w:pPr>
    </w:p>
    <w:p w14:paraId="125C3C35" w14:textId="4B890725" w:rsidR="00217E85" w:rsidRPr="00217E85" w:rsidRDefault="00217E85" w:rsidP="00B2567C">
      <w:pPr>
        <w:pStyle w:val="SingleTxt"/>
        <w:spacing w:after="0" w:line="240" w:lineRule="auto"/>
        <w:ind w:left="0" w:right="0"/>
        <w:rPr>
          <w:b/>
          <w:sz w:val="24"/>
          <w:szCs w:val="24"/>
          <w:u w:val="single"/>
        </w:rPr>
      </w:pPr>
      <w:r w:rsidRPr="00217E85">
        <w:rPr>
          <w:b/>
          <w:sz w:val="24"/>
          <w:szCs w:val="24"/>
          <w:u w:val="single"/>
        </w:rPr>
        <w:t>Introduction</w:t>
      </w:r>
    </w:p>
    <w:p w14:paraId="777E8389" w14:textId="77777777" w:rsidR="00217E85" w:rsidRDefault="00217E85" w:rsidP="00B2567C">
      <w:pPr>
        <w:pStyle w:val="SingleTxt"/>
        <w:spacing w:after="0" w:line="240" w:lineRule="auto"/>
        <w:ind w:left="0" w:right="0"/>
        <w:rPr>
          <w:sz w:val="24"/>
          <w:szCs w:val="24"/>
        </w:rPr>
      </w:pPr>
    </w:p>
    <w:p w14:paraId="7AC9EE98" w14:textId="77777777" w:rsidR="004C283E" w:rsidRDefault="004C283E" w:rsidP="00B2567C">
      <w:pPr>
        <w:pStyle w:val="SingleTxt"/>
        <w:spacing w:after="0" w:line="240" w:lineRule="auto"/>
        <w:ind w:left="0" w:right="0"/>
        <w:rPr>
          <w:sz w:val="24"/>
          <w:szCs w:val="24"/>
        </w:rPr>
      </w:pPr>
    </w:p>
    <w:p w14:paraId="12172E9B" w14:textId="28A13C5F" w:rsidR="004C283E" w:rsidRPr="004C283E" w:rsidRDefault="004C283E" w:rsidP="004C283E">
      <w:pPr>
        <w:widowControl w:val="0"/>
        <w:numPr>
          <w:ilvl w:val="0"/>
          <w:numId w:val="39"/>
        </w:numPr>
        <w:tabs>
          <w:tab w:val="left" w:pos="220"/>
          <w:tab w:val="left" w:pos="720"/>
        </w:tabs>
        <w:autoSpaceDE w:val="0"/>
        <w:autoSpaceDN w:val="0"/>
        <w:adjustRightInd w:val="0"/>
        <w:ind w:left="0" w:firstLine="0"/>
        <w:jc w:val="both"/>
        <w:rPr>
          <w:rFonts w:eastAsiaTheme="minorHAnsi"/>
          <w:lang w:val="en-US" w:eastAsia="en-US"/>
        </w:rPr>
      </w:pPr>
      <w:r w:rsidRPr="004C283E">
        <w:rPr>
          <w:rFonts w:eastAsiaTheme="minorHAnsi"/>
          <w:lang w:val="en-US" w:eastAsia="en-US"/>
        </w:rPr>
        <w:t xml:space="preserve">Italy relies on a solid framework of rules, primarily of a constitutional </w:t>
      </w:r>
      <w:r>
        <w:rPr>
          <w:rFonts w:eastAsiaTheme="minorHAnsi"/>
          <w:lang w:val="en-US" w:eastAsia="en-US"/>
        </w:rPr>
        <w:t xml:space="preserve"> </w:t>
      </w:r>
      <w:r w:rsidRPr="004C283E">
        <w:rPr>
          <w:rFonts w:eastAsiaTheme="minorHAnsi"/>
          <w:lang w:val="en-US" w:eastAsia="en-US"/>
        </w:rPr>
        <w:t xml:space="preserve">nature, by which the respect for human rights and the principle of equality (Articles 2, 3 of the </w:t>
      </w:r>
      <w:r>
        <w:rPr>
          <w:rFonts w:eastAsiaTheme="minorHAnsi"/>
          <w:lang w:val="en-US" w:eastAsia="en-US"/>
        </w:rPr>
        <w:t xml:space="preserve"> </w:t>
      </w:r>
      <w:r w:rsidRPr="004C283E">
        <w:rPr>
          <w:rFonts w:eastAsiaTheme="minorHAnsi"/>
          <w:lang w:val="en-US" w:eastAsia="en-US"/>
        </w:rPr>
        <w:t xml:space="preserve">Italian Constitution) are among the main pillars. In particular Article 3 of the Italian (rigid) Constitution, enshrines the principles of equality and non-discrimination, including between women and men, as follows: “All citizens have equal social dignity and are equal before the law without distinction of sex, race, language, religion, political opinion, personal and social conditions. It is the duty of the Republic to remove those obstacles of an economic or social nature which constrain the freedom and equality of citizens, thereby impeding the full development of the human person and the effective participation of all workers in the political, economic and social organization of the country”. </w:t>
      </w:r>
    </w:p>
    <w:p w14:paraId="2FD33029" w14:textId="77777777" w:rsidR="004C283E" w:rsidRDefault="004C283E" w:rsidP="004C283E">
      <w:pPr>
        <w:pStyle w:val="SingleTxt"/>
        <w:spacing w:after="0" w:line="240" w:lineRule="auto"/>
        <w:ind w:left="0" w:right="0"/>
        <w:rPr>
          <w:sz w:val="24"/>
          <w:szCs w:val="24"/>
        </w:rPr>
      </w:pPr>
    </w:p>
    <w:p w14:paraId="0DBC8F06" w14:textId="31AA139C" w:rsidR="00E20EDD" w:rsidRPr="00B37866" w:rsidRDefault="00E20EDD" w:rsidP="00B2567C">
      <w:pPr>
        <w:pStyle w:val="SingleTxt"/>
        <w:spacing w:after="0" w:line="240" w:lineRule="auto"/>
        <w:ind w:left="0" w:right="0"/>
        <w:rPr>
          <w:sz w:val="24"/>
          <w:szCs w:val="24"/>
        </w:rPr>
      </w:pPr>
      <w:r w:rsidRPr="00B37866">
        <w:rPr>
          <w:sz w:val="24"/>
          <w:szCs w:val="24"/>
        </w:rPr>
        <w:t xml:space="preserve">By recalling our last oral discussion before UN CEDAW Committee, it must be considered that in terms of legislative progress, Italy ratified the Council of Europe Conventions on preventing and combating violence against women and domestic violence, by Act No. 77/2013 and Council of Europe Convention on the Protection of Children against Sexual Exploitation and Sexual Abuse by Act No. 172/2012, respectively. </w:t>
      </w:r>
    </w:p>
    <w:p w14:paraId="56508F06" w14:textId="77777777" w:rsidR="00E20EDD" w:rsidRPr="00B37866" w:rsidRDefault="00E20EDD" w:rsidP="00B2567C">
      <w:pPr>
        <w:pStyle w:val="SingleTxt"/>
        <w:spacing w:after="0" w:line="240" w:lineRule="auto"/>
        <w:ind w:left="0" w:right="0"/>
        <w:rPr>
          <w:sz w:val="24"/>
          <w:szCs w:val="24"/>
        </w:rPr>
      </w:pPr>
    </w:p>
    <w:p w14:paraId="1E022670" w14:textId="53895361" w:rsidR="00E20EDD" w:rsidRPr="00B37866" w:rsidRDefault="00E20EDD" w:rsidP="00B2567C">
      <w:pPr>
        <w:pStyle w:val="SingleTxt"/>
        <w:spacing w:after="0" w:line="240" w:lineRule="auto"/>
        <w:ind w:left="0" w:right="0"/>
        <w:rPr>
          <w:sz w:val="24"/>
          <w:szCs w:val="24"/>
        </w:rPr>
      </w:pPr>
      <w:r w:rsidRPr="00B37866">
        <w:rPr>
          <w:sz w:val="24"/>
          <w:szCs w:val="24"/>
        </w:rPr>
        <w:t>During the Italian Presidency of the EU Council-2014, based on the EIGE’s report commissioned and monitored by the Italian Presidency on “Beijing plus 20: the 4th Review of the Implementation of the Beijing Platform for Action in the EU Member States”, Italy prepared a set of Conclusions on “Gender equality in the EU: The way forward after 2015: Taking stock of 20 years of implementation of the Beijing Platform for Action”, adopted by the EPSCO Council in December 2014. Furthermore, on 23 and 24 October 2014, Italy organized in Rome, a High-Level Conference on the Beijing Platform for Action, entitled “Gender Equality in Europe: Unfinished Business? Taking Stock 20 Years after the Beijing Platform for Action”, to give new momentum to the relevant European policies, after 2015. It gathered over 200 international experts, academia, politicians, CSOs, and representatives from the main European and international institutions and was closed by a Ministerial Round-Table on the future of gender equality policies, with the participation of about 20 EU relevant Ministers</w:t>
      </w:r>
    </w:p>
    <w:p w14:paraId="15C794E7" w14:textId="77777777" w:rsidR="00E20EDD" w:rsidRPr="00B37866" w:rsidRDefault="00E20EDD" w:rsidP="00B2567C">
      <w:pPr>
        <w:pStyle w:val="SingleTxt"/>
        <w:spacing w:after="0" w:line="240" w:lineRule="auto"/>
        <w:ind w:left="0" w:right="0"/>
        <w:rPr>
          <w:sz w:val="24"/>
          <w:szCs w:val="24"/>
        </w:rPr>
      </w:pPr>
    </w:p>
    <w:p w14:paraId="286925E5" w14:textId="77777777" w:rsidR="00E1794C" w:rsidRPr="00B37866" w:rsidRDefault="00B2567C" w:rsidP="00E1794C">
      <w:pPr>
        <w:pStyle w:val="SingleTxt"/>
        <w:spacing w:after="0" w:line="240" w:lineRule="auto"/>
        <w:ind w:left="0" w:right="0"/>
        <w:rPr>
          <w:sz w:val="24"/>
          <w:szCs w:val="24"/>
        </w:rPr>
      </w:pPr>
      <w:r w:rsidRPr="00B37866">
        <w:rPr>
          <w:sz w:val="24"/>
          <w:szCs w:val="24"/>
        </w:rPr>
        <w:t xml:space="preserve">Under the Italian semester of EU Presidency-2014, the Ministry of Health organized the European Conference, “Women Health: a life-course approach”, to exchange views between EUMS28 on how to improve relevant policies and strategies; and the main topics were: life-style; sexual and reproductive health; women and cancer. </w:t>
      </w:r>
    </w:p>
    <w:p w14:paraId="70CAF814" w14:textId="77777777" w:rsidR="00E1794C" w:rsidRPr="00B37866" w:rsidRDefault="00E1794C" w:rsidP="00E1794C">
      <w:pPr>
        <w:pStyle w:val="SingleTxt"/>
        <w:spacing w:after="0" w:line="240" w:lineRule="auto"/>
        <w:ind w:left="0" w:right="0"/>
        <w:rPr>
          <w:sz w:val="24"/>
          <w:szCs w:val="24"/>
        </w:rPr>
      </w:pPr>
    </w:p>
    <w:p w14:paraId="4D177AE3" w14:textId="77777777" w:rsidR="00A84AE6" w:rsidRPr="00B37866" w:rsidRDefault="00E1794C" w:rsidP="00A84AE6">
      <w:pPr>
        <w:pStyle w:val="SingleTxt"/>
        <w:spacing w:after="0" w:line="240" w:lineRule="auto"/>
        <w:ind w:left="0" w:right="0"/>
        <w:rPr>
          <w:rFonts w:cstheme="majorBidi"/>
          <w:sz w:val="24"/>
          <w:szCs w:val="24"/>
        </w:rPr>
      </w:pPr>
      <w:r w:rsidRPr="00B37866">
        <w:rPr>
          <w:rFonts w:cstheme="majorBidi"/>
          <w:sz w:val="24"/>
          <w:szCs w:val="24"/>
        </w:rPr>
        <w:lastRenderedPageBreak/>
        <w:t xml:space="preserve">Health and physical, mental and social well-being depend on several factors, including gender. The protection and promotion of women’s health represent a key investment to improve overall health. Aware of the essential role of women within the family as key actors for healthy lifestyles (healthy drivers), women themselves must be, first, in healthy conditions. To increase awareness about women’s health in all life periods, with women’s participation the Government established the National Women’s Health Day, on April 22nd of each year (date of birth of Nobel Prize Sen. Rita Levi Montalcini). </w:t>
      </w:r>
    </w:p>
    <w:p w14:paraId="508E8949" w14:textId="77777777" w:rsidR="00A84AE6" w:rsidRPr="00B37866" w:rsidRDefault="00A84AE6" w:rsidP="00A84AE6">
      <w:pPr>
        <w:pStyle w:val="SingleTxt"/>
        <w:spacing w:after="0" w:line="240" w:lineRule="auto"/>
        <w:ind w:left="0" w:right="0"/>
        <w:rPr>
          <w:rFonts w:cstheme="majorBidi"/>
          <w:sz w:val="24"/>
          <w:szCs w:val="24"/>
        </w:rPr>
      </w:pPr>
    </w:p>
    <w:p w14:paraId="4D05B1F5" w14:textId="2D4AAF56" w:rsidR="00A84AE6" w:rsidRPr="00B37866" w:rsidRDefault="00A84AE6" w:rsidP="00A84AE6">
      <w:pPr>
        <w:pStyle w:val="SingleTxt"/>
        <w:spacing w:after="0" w:line="240" w:lineRule="auto"/>
        <w:ind w:right="0" w:hanging="1267"/>
        <w:rPr>
          <w:rFonts w:cstheme="majorBidi"/>
          <w:sz w:val="24"/>
          <w:szCs w:val="24"/>
        </w:rPr>
      </w:pPr>
      <w:r w:rsidRPr="00B37866">
        <w:rPr>
          <w:rFonts w:cstheme="majorBidi"/>
          <w:sz w:val="24"/>
          <w:szCs w:val="24"/>
        </w:rPr>
        <w:tab/>
      </w:r>
      <w:r w:rsidR="00E1794C" w:rsidRPr="00B37866">
        <w:rPr>
          <w:rFonts w:cstheme="majorBidi"/>
          <w:sz w:val="24"/>
          <w:szCs w:val="24"/>
        </w:rPr>
        <w:t>(a)</w:t>
      </w:r>
      <w:r w:rsidR="00E1794C" w:rsidRPr="00B37866">
        <w:rPr>
          <w:rFonts w:cstheme="majorBidi"/>
          <w:sz w:val="24"/>
          <w:szCs w:val="24"/>
        </w:rPr>
        <w:tab/>
        <w:t xml:space="preserve">During the first National Women’s Health Day-2016, Ministry of Health organized an interactive informational project, including online and study-discussions around 10 women health-relevant topics: 1. Sexuality, fertility, and maternal health; 2. Violence, right to health-care, immigrant women; 3. Nutrition throughout lifecycle; 4. Cancers’ Prevention and screening; 5. Mental health, eating disorders, and addiction; 6. Beauty treatments and aesthetic medicine, including plastic surgery; 7. Health at work-place; 8. Gendered medicine and research for women; 9. Healthy ageing for women; 10. Communication targeting women, for themselves and as their families’ health drivers; </w:t>
      </w:r>
    </w:p>
    <w:p w14:paraId="7CC5E89E" w14:textId="15880410" w:rsidR="005E1A5E" w:rsidRPr="00B37866" w:rsidRDefault="00A84AE6" w:rsidP="00A84AE6">
      <w:pPr>
        <w:pStyle w:val="SingleTxt"/>
        <w:spacing w:after="0" w:line="240" w:lineRule="auto"/>
        <w:ind w:right="0" w:hanging="1267"/>
        <w:rPr>
          <w:sz w:val="24"/>
          <w:szCs w:val="24"/>
        </w:rPr>
      </w:pPr>
      <w:r w:rsidRPr="00B37866">
        <w:rPr>
          <w:rFonts w:cstheme="majorBidi"/>
          <w:sz w:val="24"/>
          <w:szCs w:val="24"/>
        </w:rPr>
        <w:tab/>
      </w:r>
      <w:r w:rsidR="00E1794C" w:rsidRPr="00B37866">
        <w:rPr>
          <w:rFonts w:cstheme="majorBidi"/>
          <w:sz w:val="24"/>
          <w:szCs w:val="24"/>
        </w:rPr>
        <w:t>(b)</w:t>
      </w:r>
      <w:r w:rsidR="00E1794C" w:rsidRPr="00B37866">
        <w:rPr>
          <w:rFonts w:cstheme="majorBidi"/>
          <w:sz w:val="24"/>
          <w:szCs w:val="24"/>
        </w:rPr>
        <w:tab/>
        <w:t>Each WG proposed 5 priority participatory actions to be developed over the next three to five years, which resulted in “Manifesto for Women’s Health”</w:t>
      </w:r>
      <w:r w:rsidRPr="00B37866">
        <w:rPr>
          <w:rFonts w:cstheme="majorBidi"/>
          <w:sz w:val="24"/>
          <w:szCs w:val="24"/>
        </w:rPr>
        <w:t>.</w:t>
      </w:r>
    </w:p>
    <w:p w14:paraId="20348FDF" w14:textId="77777777" w:rsidR="004F418A" w:rsidRPr="00B37866" w:rsidRDefault="004F418A" w:rsidP="00AA7178">
      <w:pPr>
        <w:jc w:val="both"/>
        <w:rPr>
          <w:lang w:val="en-GB"/>
        </w:rPr>
      </w:pPr>
    </w:p>
    <w:p w14:paraId="66B795CE" w14:textId="77777777" w:rsidR="004F418A" w:rsidRPr="00B37866" w:rsidRDefault="004F418A" w:rsidP="00AA7178">
      <w:pPr>
        <w:jc w:val="both"/>
        <w:rPr>
          <w:u w:val="single"/>
          <w:lang w:val="en-GB"/>
        </w:rPr>
      </w:pPr>
    </w:p>
    <w:p w14:paraId="1B801B61" w14:textId="53DD2A96" w:rsidR="004F418A" w:rsidRPr="00217E85" w:rsidRDefault="004F418A" w:rsidP="00AA7178">
      <w:pPr>
        <w:jc w:val="both"/>
        <w:rPr>
          <w:b/>
          <w:u w:val="single"/>
          <w:lang w:val="en-GB"/>
        </w:rPr>
      </w:pPr>
      <w:r w:rsidRPr="00217E85">
        <w:rPr>
          <w:b/>
          <w:u w:val="single"/>
          <w:lang w:val="en-GB"/>
        </w:rPr>
        <w:t>Turning to specific issues</w:t>
      </w:r>
    </w:p>
    <w:p w14:paraId="1CA72903" w14:textId="77777777" w:rsidR="004F418A" w:rsidRPr="00B37866" w:rsidRDefault="004F418A" w:rsidP="00AA7178">
      <w:pPr>
        <w:jc w:val="both"/>
        <w:rPr>
          <w:lang w:val="en-GB"/>
        </w:rPr>
      </w:pPr>
    </w:p>
    <w:p w14:paraId="1BC8B037" w14:textId="0C514B40" w:rsidR="00D55A6E" w:rsidRPr="00B37866" w:rsidRDefault="00D55A6E" w:rsidP="00AA7178">
      <w:pPr>
        <w:jc w:val="both"/>
        <w:rPr>
          <w:lang w:val="en-GB"/>
        </w:rPr>
      </w:pPr>
      <w:r w:rsidRPr="00B37866">
        <w:rPr>
          <w:lang w:val="en-GB"/>
        </w:rPr>
        <w:t>With re</w:t>
      </w:r>
      <w:r w:rsidR="00013AED" w:rsidRPr="00B37866">
        <w:rPr>
          <w:lang w:val="en-GB"/>
        </w:rPr>
        <w:t xml:space="preserve">gard to </w:t>
      </w:r>
      <w:r w:rsidRPr="00B37866">
        <w:rPr>
          <w:lang w:val="en-GB"/>
        </w:rPr>
        <w:t>the specific area of care provided during pregnancy and child</w:t>
      </w:r>
      <w:r w:rsidR="00013AED" w:rsidRPr="00B37866">
        <w:rPr>
          <w:lang w:val="en-GB"/>
        </w:rPr>
        <w:t>-</w:t>
      </w:r>
      <w:r w:rsidRPr="00B37866">
        <w:rPr>
          <w:lang w:val="en-GB"/>
        </w:rPr>
        <w:t xml:space="preserve">birth, in 2010 Italy adopted an Agreement between the Government, the regions and the autonomous provinces of Trento </w:t>
      </w:r>
      <w:r w:rsidRPr="00B37866">
        <w:rPr>
          <w:lang w:val="en-GB"/>
        </w:rPr>
        <w:lastRenderedPageBreak/>
        <w:t>and Bolzano, the provinces, municipalities and mountain communities</w:t>
      </w:r>
      <w:r w:rsidR="00013AED" w:rsidRPr="00B37866">
        <w:rPr>
          <w:lang w:val="en-GB"/>
        </w:rPr>
        <w:t>, on</w:t>
      </w:r>
      <w:r w:rsidRPr="00B37866">
        <w:rPr>
          <w:lang w:val="en-GB"/>
        </w:rPr>
        <w:t xml:space="preserve"> the full realization of care pathways that guarantee the humanization of care provided for </w:t>
      </w:r>
      <w:r w:rsidR="00013AED" w:rsidRPr="00B37866">
        <w:rPr>
          <w:lang w:val="en-GB"/>
        </w:rPr>
        <w:t xml:space="preserve">during </w:t>
      </w:r>
      <w:r w:rsidRPr="00B37866">
        <w:rPr>
          <w:lang w:val="en-GB"/>
        </w:rPr>
        <w:t>the birth path</w:t>
      </w:r>
      <w:r w:rsidR="00013AED" w:rsidRPr="00B37866">
        <w:rPr>
          <w:lang w:val="en-GB"/>
        </w:rPr>
        <w:t>way.</w:t>
      </w:r>
    </w:p>
    <w:p w14:paraId="07A34F8A" w14:textId="77777777" w:rsidR="00AA7178" w:rsidRPr="00B37866" w:rsidRDefault="00AA7178" w:rsidP="00AA7178">
      <w:pPr>
        <w:jc w:val="both"/>
        <w:rPr>
          <w:lang w:val="en-GB"/>
        </w:rPr>
      </w:pPr>
    </w:p>
    <w:p w14:paraId="6BD5BEB2" w14:textId="1BB52E0B" w:rsidR="00D55A6E" w:rsidRPr="00B37866" w:rsidRDefault="00D55A6E" w:rsidP="00AA7178">
      <w:pPr>
        <w:jc w:val="both"/>
        <w:rPr>
          <w:lang w:val="en-GB"/>
        </w:rPr>
      </w:pPr>
      <w:r w:rsidRPr="00B37866">
        <w:rPr>
          <w:lang w:val="en-GB"/>
        </w:rPr>
        <w:t xml:space="preserve">This agreement commits all </w:t>
      </w:r>
      <w:r w:rsidR="00013AED" w:rsidRPr="00B37866">
        <w:rPr>
          <w:lang w:val="en-GB"/>
        </w:rPr>
        <w:t xml:space="preserve">stakeholders that </w:t>
      </w:r>
      <w:r w:rsidRPr="00B37866">
        <w:rPr>
          <w:lang w:val="en-GB"/>
        </w:rPr>
        <w:t>signed it</w:t>
      </w:r>
      <w:r w:rsidR="00013AED" w:rsidRPr="00B37866">
        <w:rPr>
          <w:lang w:val="en-GB"/>
        </w:rPr>
        <w:t>,</w:t>
      </w:r>
      <w:r w:rsidRPr="00B37866">
        <w:rPr>
          <w:lang w:val="en-GB"/>
        </w:rPr>
        <w:t xml:space="preserve"> to support strategies and actions aimed at guaranteeing the humanization of the birth path</w:t>
      </w:r>
      <w:r w:rsidR="00013AED" w:rsidRPr="00B37866">
        <w:rPr>
          <w:lang w:val="en-GB"/>
        </w:rPr>
        <w:t>way</w:t>
      </w:r>
      <w:r w:rsidRPr="00B37866">
        <w:rPr>
          <w:lang w:val="en-GB"/>
        </w:rPr>
        <w:t xml:space="preserve"> in all its phases, from the </w:t>
      </w:r>
      <w:r w:rsidR="00013AED" w:rsidRPr="00B37866">
        <w:rPr>
          <w:lang w:val="en-GB"/>
        </w:rPr>
        <w:t xml:space="preserve">birthing classes </w:t>
      </w:r>
      <w:r w:rsidRPr="00B37866">
        <w:rPr>
          <w:lang w:val="en-GB"/>
        </w:rPr>
        <w:t>up to</w:t>
      </w:r>
      <w:r w:rsidR="00013AED" w:rsidRPr="00B37866">
        <w:rPr>
          <w:lang w:val="en-GB"/>
        </w:rPr>
        <w:t xml:space="preserve"> the</w:t>
      </w:r>
      <w:r w:rsidRPr="00B37866">
        <w:rPr>
          <w:lang w:val="en-GB"/>
        </w:rPr>
        <w:t xml:space="preserve"> rooming-in</w:t>
      </w:r>
      <w:r w:rsidR="00013AED" w:rsidRPr="00B37866">
        <w:rPr>
          <w:lang w:val="en-GB"/>
        </w:rPr>
        <w:t xml:space="preserve">. </w:t>
      </w:r>
    </w:p>
    <w:p w14:paraId="39041A7E" w14:textId="77777777" w:rsidR="00AA7178" w:rsidRPr="00B37866" w:rsidRDefault="00AA7178" w:rsidP="00AA7178">
      <w:pPr>
        <w:jc w:val="both"/>
        <w:rPr>
          <w:lang w:val="en-GB"/>
        </w:rPr>
      </w:pPr>
    </w:p>
    <w:p w14:paraId="1F919328" w14:textId="1BBB57C2" w:rsidR="00D55A6E" w:rsidRPr="00B37866" w:rsidRDefault="00D55A6E" w:rsidP="00D55A6E">
      <w:pPr>
        <w:jc w:val="both"/>
        <w:rPr>
          <w:lang w:val="en-GB"/>
        </w:rPr>
      </w:pPr>
      <w:r w:rsidRPr="00B37866">
        <w:rPr>
          <w:lang w:val="en-GB"/>
        </w:rPr>
        <w:t xml:space="preserve">Among the functions related to the assistance levels, </w:t>
      </w:r>
      <w:r w:rsidR="005D5374" w:rsidRPr="00B37866">
        <w:rPr>
          <w:lang w:val="en-GB"/>
        </w:rPr>
        <w:t>mention has to be made of the following</w:t>
      </w:r>
      <w:r w:rsidRPr="00B37866">
        <w:rPr>
          <w:lang w:val="en-GB"/>
        </w:rPr>
        <w:t>:</w:t>
      </w:r>
    </w:p>
    <w:p w14:paraId="2EC715C9" w14:textId="77777777" w:rsidR="00D55A6E" w:rsidRPr="00B37866" w:rsidRDefault="00D55A6E" w:rsidP="00D55A6E">
      <w:pPr>
        <w:jc w:val="both"/>
        <w:rPr>
          <w:lang w:val="en-GB"/>
        </w:rPr>
      </w:pPr>
    </w:p>
    <w:p w14:paraId="269B98F6" w14:textId="27E1EA58" w:rsidR="00D55A6E" w:rsidRPr="00B37866" w:rsidRDefault="00D55A6E" w:rsidP="00017233">
      <w:pPr>
        <w:ind w:left="708"/>
        <w:jc w:val="both"/>
        <w:rPr>
          <w:lang w:val="en-GB"/>
        </w:rPr>
      </w:pPr>
      <w:r w:rsidRPr="00B37866">
        <w:rPr>
          <w:lang w:val="en-GB"/>
        </w:rPr>
        <w:t xml:space="preserve">- </w:t>
      </w:r>
      <w:r w:rsidR="005D5374" w:rsidRPr="00B37866">
        <w:rPr>
          <w:lang w:val="en-GB"/>
        </w:rPr>
        <w:t xml:space="preserve">To </w:t>
      </w:r>
      <w:r w:rsidRPr="00B37866">
        <w:rPr>
          <w:lang w:val="en-GB"/>
        </w:rPr>
        <w:t xml:space="preserve">guarantee the woman giving birth to privacy, recognition of her dignity, adequate information, the right to experience childbirth as a natural event, </w:t>
      </w:r>
      <w:r w:rsidR="005D5374" w:rsidRPr="00B37866">
        <w:rPr>
          <w:lang w:val="en-GB"/>
        </w:rPr>
        <w:t>by taking</w:t>
      </w:r>
      <w:r w:rsidRPr="00B37866">
        <w:rPr>
          <w:lang w:val="en-GB"/>
        </w:rPr>
        <w:t xml:space="preserve"> advantage of the presence of a person of her choice, also thr</w:t>
      </w:r>
      <w:r w:rsidR="005D5374" w:rsidRPr="00B37866">
        <w:rPr>
          <w:lang w:val="en-GB"/>
        </w:rPr>
        <w:t xml:space="preserve">ough the establishment of </w:t>
      </w:r>
      <w:r w:rsidRPr="00B37866">
        <w:rPr>
          <w:lang w:val="en-GB"/>
        </w:rPr>
        <w:t>dedicated</w:t>
      </w:r>
      <w:r w:rsidR="005D5374" w:rsidRPr="00B37866">
        <w:rPr>
          <w:lang w:val="en-GB"/>
        </w:rPr>
        <w:t xml:space="preserve"> pathways </w:t>
      </w:r>
      <w:r w:rsidRPr="00B37866">
        <w:rPr>
          <w:lang w:val="en-GB"/>
        </w:rPr>
        <w:t>to physiological pregnancy;</w:t>
      </w:r>
    </w:p>
    <w:p w14:paraId="3A47E025" w14:textId="0C7D0AE4" w:rsidR="00D55A6E" w:rsidRPr="00B37866" w:rsidRDefault="005D5374" w:rsidP="00017233">
      <w:pPr>
        <w:ind w:left="708"/>
        <w:jc w:val="both"/>
        <w:rPr>
          <w:lang w:val="en-GB"/>
        </w:rPr>
      </w:pPr>
      <w:r w:rsidRPr="00B37866">
        <w:rPr>
          <w:lang w:val="en-GB"/>
        </w:rPr>
        <w:t xml:space="preserve">- To </w:t>
      </w:r>
      <w:r w:rsidR="00D55A6E" w:rsidRPr="00B37866">
        <w:rPr>
          <w:lang w:val="en-GB"/>
        </w:rPr>
        <w:t xml:space="preserve">guarantee adequate assistance to the birth event also </w:t>
      </w:r>
      <w:r w:rsidRPr="00B37866">
        <w:rPr>
          <w:lang w:val="en-GB"/>
        </w:rPr>
        <w:t>through pharmacological and non-</w:t>
      </w:r>
      <w:r w:rsidR="00D55A6E" w:rsidRPr="00B37866">
        <w:rPr>
          <w:lang w:val="en-GB"/>
        </w:rPr>
        <w:t>pharmacological pain control techniques;</w:t>
      </w:r>
    </w:p>
    <w:p w14:paraId="592F3A95" w14:textId="15947C94" w:rsidR="00D55A6E" w:rsidRPr="00B37866" w:rsidRDefault="00D55A6E" w:rsidP="00017233">
      <w:pPr>
        <w:ind w:left="708"/>
        <w:jc w:val="both"/>
        <w:rPr>
          <w:lang w:val="en-GB"/>
        </w:rPr>
      </w:pPr>
      <w:r w:rsidRPr="00B37866">
        <w:rPr>
          <w:lang w:val="en-GB"/>
        </w:rPr>
        <w:t xml:space="preserve">- </w:t>
      </w:r>
      <w:r w:rsidR="005D5374" w:rsidRPr="00B37866">
        <w:rPr>
          <w:lang w:val="en-GB"/>
        </w:rPr>
        <w:t xml:space="preserve">To </w:t>
      </w:r>
      <w:r w:rsidRPr="00B37866">
        <w:rPr>
          <w:lang w:val="en-GB"/>
        </w:rPr>
        <w:t>remove the organizational-functional obstacles</w:t>
      </w:r>
      <w:r w:rsidR="007A1CAB" w:rsidRPr="00B37866">
        <w:rPr>
          <w:lang w:val="en-GB"/>
        </w:rPr>
        <w:t>, which</w:t>
      </w:r>
      <w:r w:rsidRPr="00B37866">
        <w:rPr>
          <w:lang w:val="en-GB"/>
        </w:rPr>
        <w:t xml:space="preserve"> hinder the practice </w:t>
      </w:r>
      <w:r w:rsidR="005D5374" w:rsidRPr="00B37866">
        <w:rPr>
          <w:lang w:val="en-GB"/>
        </w:rPr>
        <w:t>of rooming-in and the support for</w:t>
      </w:r>
      <w:r w:rsidRPr="00B37866">
        <w:rPr>
          <w:lang w:val="en-GB"/>
        </w:rPr>
        <w:t xml:space="preserve"> breastfeeding</w:t>
      </w:r>
      <w:r w:rsidR="005D5374" w:rsidRPr="00B37866">
        <w:rPr>
          <w:lang w:val="en-GB"/>
        </w:rPr>
        <w:t xml:space="preserve">. </w:t>
      </w:r>
    </w:p>
    <w:p w14:paraId="6D793840" w14:textId="77777777" w:rsidR="00AA7178" w:rsidRPr="00B37866" w:rsidRDefault="00AA7178" w:rsidP="00AA7178">
      <w:pPr>
        <w:jc w:val="both"/>
        <w:rPr>
          <w:lang w:val="en-GB"/>
        </w:rPr>
      </w:pPr>
    </w:p>
    <w:p w14:paraId="2E729574" w14:textId="12C810AE" w:rsidR="00D55A6E" w:rsidRPr="00B37866" w:rsidRDefault="00D55A6E" w:rsidP="00AA7178">
      <w:pPr>
        <w:jc w:val="both"/>
        <w:rPr>
          <w:lang w:val="en-GB"/>
        </w:rPr>
      </w:pPr>
      <w:r w:rsidRPr="00B37866">
        <w:rPr>
          <w:lang w:val="en-GB"/>
        </w:rPr>
        <w:t>To increase the safety of the birth path</w:t>
      </w:r>
      <w:r w:rsidR="007A1CAB" w:rsidRPr="00B37866">
        <w:rPr>
          <w:lang w:val="en-GB"/>
        </w:rPr>
        <w:t>way</w:t>
      </w:r>
      <w:r w:rsidRPr="00B37866">
        <w:rPr>
          <w:lang w:val="en-GB"/>
        </w:rPr>
        <w:t xml:space="preserve">, the Guidelines on physiological pregnancy and caesarean section are being implemented, also in the regions' assistance pathways, which respond to the need to promote </w:t>
      </w:r>
      <w:r w:rsidR="007A1CAB" w:rsidRPr="00B37866">
        <w:rPr>
          <w:lang w:val="en-GB"/>
        </w:rPr>
        <w:t xml:space="preserve">adequate </w:t>
      </w:r>
      <w:r w:rsidRPr="00B37866">
        <w:rPr>
          <w:lang w:val="en-GB"/>
        </w:rPr>
        <w:t>obstetric care to</w:t>
      </w:r>
      <w:r w:rsidR="007A1CAB" w:rsidRPr="00B37866">
        <w:rPr>
          <w:lang w:val="en-GB"/>
        </w:rPr>
        <w:t xml:space="preserve">wards low-risk pregnancy, </w:t>
      </w:r>
      <w:r w:rsidRPr="00B37866">
        <w:rPr>
          <w:lang w:val="en-GB"/>
        </w:rPr>
        <w:t xml:space="preserve">physiological </w:t>
      </w:r>
      <w:r w:rsidR="007A1CAB" w:rsidRPr="00B37866">
        <w:rPr>
          <w:lang w:val="en-GB"/>
        </w:rPr>
        <w:t xml:space="preserve">delivery </w:t>
      </w:r>
      <w:r w:rsidRPr="00B37866">
        <w:rPr>
          <w:lang w:val="en-GB"/>
        </w:rPr>
        <w:t>and the puerperium</w:t>
      </w:r>
      <w:r w:rsidR="007A1CAB" w:rsidRPr="00B37866">
        <w:rPr>
          <w:lang w:val="en-GB"/>
        </w:rPr>
        <w:t xml:space="preserve"> </w:t>
      </w:r>
      <w:r w:rsidR="004F418A" w:rsidRPr="00B37866">
        <w:rPr>
          <w:lang w:val="en-GB"/>
        </w:rPr>
        <w:t xml:space="preserve">term </w:t>
      </w:r>
      <w:r w:rsidR="007A1CAB" w:rsidRPr="00B37866">
        <w:rPr>
          <w:lang w:val="en-GB"/>
        </w:rPr>
        <w:t xml:space="preserve">while ensuring </w:t>
      </w:r>
      <w:r w:rsidRPr="00B37866">
        <w:rPr>
          <w:lang w:val="en-GB"/>
        </w:rPr>
        <w:t xml:space="preserve">the quality of </w:t>
      </w:r>
      <w:r w:rsidR="007A1CAB" w:rsidRPr="00B37866">
        <w:rPr>
          <w:lang w:val="en-GB"/>
        </w:rPr>
        <w:t xml:space="preserve">overall </w:t>
      </w:r>
      <w:r w:rsidRPr="00B37866">
        <w:rPr>
          <w:lang w:val="en-GB"/>
        </w:rPr>
        <w:t>obstetric care</w:t>
      </w:r>
      <w:r w:rsidR="007A1CAB" w:rsidRPr="00B37866">
        <w:rPr>
          <w:lang w:val="en-GB"/>
        </w:rPr>
        <w:t xml:space="preserve"> and assistance. </w:t>
      </w:r>
    </w:p>
    <w:bookmarkEnd w:id="0"/>
    <w:p w14:paraId="74EA9E98" w14:textId="77777777" w:rsidR="00C8619C" w:rsidRPr="00B37866" w:rsidRDefault="00C8619C" w:rsidP="00AA7178">
      <w:pPr>
        <w:pStyle w:val="Default"/>
        <w:jc w:val="both"/>
        <w:rPr>
          <w:rFonts w:ascii="Times New Roman" w:eastAsiaTheme="minorHAnsi" w:hAnsi="Times New Roman" w:cs="Times New Roman"/>
          <w:lang w:val="en-GB"/>
        </w:rPr>
      </w:pPr>
    </w:p>
    <w:p w14:paraId="2B8FE82E" w14:textId="78C327DF" w:rsidR="00B37866" w:rsidRDefault="00B37866" w:rsidP="00AA7178">
      <w:pPr>
        <w:pStyle w:val="Default"/>
        <w:jc w:val="both"/>
        <w:rPr>
          <w:rFonts w:ascii="Times New Roman" w:eastAsiaTheme="minorHAnsi" w:hAnsi="Times New Roman" w:cs="Times New Roman"/>
          <w:lang w:val="en-GB"/>
        </w:rPr>
      </w:pPr>
      <w:r w:rsidRPr="00B37866">
        <w:rPr>
          <w:rFonts w:ascii="Times New Roman" w:eastAsiaTheme="minorHAnsi" w:hAnsi="Times New Roman" w:cs="Times New Roman"/>
          <w:lang w:val="en-GB"/>
        </w:rPr>
        <w:t>Against this bac</w:t>
      </w:r>
      <w:r w:rsidR="00217E85">
        <w:rPr>
          <w:rFonts w:ascii="Times New Roman" w:eastAsiaTheme="minorHAnsi" w:hAnsi="Times New Roman" w:cs="Times New Roman"/>
          <w:lang w:val="en-GB"/>
        </w:rPr>
        <w:t xml:space="preserve">kground, in more general terms and as a way of examples, </w:t>
      </w:r>
      <w:r w:rsidRPr="00B37866">
        <w:rPr>
          <w:rFonts w:ascii="Times New Roman" w:eastAsiaTheme="minorHAnsi" w:hAnsi="Times New Roman" w:cs="Times New Roman"/>
          <w:lang w:val="en-GB"/>
        </w:rPr>
        <w:t xml:space="preserve">mention may be made of the following: </w:t>
      </w:r>
    </w:p>
    <w:p w14:paraId="71DD8FD8" w14:textId="77777777" w:rsidR="00217E85" w:rsidRPr="00B37866" w:rsidRDefault="00217E85" w:rsidP="00AA7178">
      <w:pPr>
        <w:pStyle w:val="Default"/>
        <w:jc w:val="both"/>
        <w:rPr>
          <w:rFonts w:ascii="Times New Roman" w:eastAsiaTheme="minorHAnsi" w:hAnsi="Times New Roman" w:cs="Times New Roman"/>
          <w:lang w:val="en-GB"/>
        </w:rPr>
      </w:pPr>
    </w:p>
    <w:p w14:paraId="4C953790" w14:textId="6C9FF3AB" w:rsidR="00B37866" w:rsidRDefault="00B37866" w:rsidP="00B37866">
      <w:pPr>
        <w:widowControl w:val="0"/>
        <w:autoSpaceDE w:val="0"/>
        <w:autoSpaceDN w:val="0"/>
        <w:adjustRightInd w:val="0"/>
        <w:jc w:val="both"/>
        <w:rPr>
          <w:rFonts w:eastAsiaTheme="minorHAnsi"/>
          <w:lang w:val="en-US" w:eastAsia="en-US"/>
        </w:rPr>
      </w:pPr>
      <w:r w:rsidRPr="00B37866">
        <w:rPr>
          <w:rFonts w:eastAsiaTheme="minorHAnsi"/>
          <w:lang w:val="en-US" w:eastAsia="en-US"/>
        </w:rPr>
        <w:t>The Ministry of Health, as a member of the inter-ministerial Task Force set up at the Department on Equal Opportunities in July 2013, coordinated the ad hoc thematic sub-group on "Training", to elaborate relevant Guidelines (Article 5 of Decree-Law No. 93/2013, converted into Law No. 119/2013), as later adopted by Prime Ministerial Decree dated 7 July 2015.</w:t>
      </w:r>
      <w:r w:rsidR="00217E85">
        <w:rPr>
          <w:rFonts w:eastAsiaTheme="minorHAnsi"/>
          <w:lang w:val="en-US" w:eastAsia="en-US"/>
        </w:rPr>
        <w:t xml:space="preserve">  </w:t>
      </w:r>
      <w:r w:rsidRPr="00B37866">
        <w:rPr>
          <w:rFonts w:eastAsiaTheme="minorHAnsi"/>
          <w:lang w:val="en-US" w:eastAsia="en-US"/>
        </w:rPr>
        <w:t>In this regard, it was stressed that the actions necessary to effectively prevent and combat violence should envisage integrated and multidisciplinary training for the service providers, also in order to acquire a shared language and methodology - ultimately to increase the skills of all the stakeholders while respecting their specific areas of competence.</w:t>
      </w:r>
    </w:p>
    <w:p w14:paraId="4F53D1AB" w14:textId="77777777" w:rsidR="00217E85" w:rsidRPr="00B37866" w:rsidRDefault="00217E85" w:rsidP="00B37866">
      <w:pPr>
        <w:widowControl w:val="0"/>
        <w:autoSpaceDE w:val="0"/>
        <w:autoSpaceDN w:val="0"/>
        <w:adjustRightInd w:val="0"/>
        <w:jc w:val="both"/>
        <w:rPr>
          <w:rFonts w:eastAsiaTheme="minorHAnsi"/>
          <w:lang w:val="en-US" w:eastAsia="en-US"/>
        </w:rPr>
      </w:pPr>
    </w:p>
    <w:p w14:paraId="3E0150B8" w14:textId="77777777" w:rsidR="00B37866" w:rsidRDefault="00B37866" w:rsidP="00B37866">
      <w:pPr>
        <w:widowControl w:val="0"/>
        <w:autoSpaceDE w:val="0"/>
        <w:autoSpaceDN w:val="0"/>
        <w:adjustRightInd w:val="0"/>
        <w:jc w:val="both"/>
        <w:rPr>
          <w:rFonts w:eastAsiaTheme="minorHAnsi"/>
          <w:lang w:val="en-US" w:eastAsia="en-US"/>
        </w:rPr>
      </w:pPr>
      <w:r w:rsidRPr="00B37866">
        <w:rPr>
          <w:rFonts w:eastAsiaTheme="minorHAnsi"/>
          <w:lang w:val="en-US" w:eastAsia="en-US"/>
        </w:rPr>
        <w:t>The Ministry of Health also contributed to the other areas of action under the above inter-ministerial Task Force such as:</w:t>
      </w:r>
    </w:p>
    <w:p w14:paraId="6BC992A0" w14:textId="77777777" w:rsidR="003C1BE1" w:rsidRPr="00B37866" w:rsidRDefault="003C1BE1" w:rsidP="00B37866">
      <w:pPr>
        <w:widowControl w:val="0"/>
        <w:autoSpaceDE w:val="0"/>
        <w:autoSpaceDN w:val="0"/>
        <w:adjustRightInd w:val="0"/>
        <w:jc w:val="both"/>
        <w:rPr>
          <w:rFonts w:eastAsiaTheme="minorHAnsi"/>
          <w:lang w:val="en-US" w:eastAsia="en-US"/>
        </w:rPr>
      </w:pPr>
    </w:p>
    <w:p w14:paraId="53826621"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Data collection, for an analysis of available data sources and possible synergies or actions for a more comprehensive and timely monitoring of the phenomenon under reference; </w:t>
      </w:r>
    </w:p>
    <w:p w14:paraId="4C94DE2C"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Evaluation of the risk of recurrence, for the analysis of methods for assessing the risk of relapse back into intimate violence; </w:t>
      </w:r>
    </w:p>
    <w:p w14:paraId="061C2431"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Education, for the definition of educational initiatives aimed at the promotion of an anti- violence culture; </w:t>
      </w:r>
    </w:p>
    <w:p w14:paraId="00A515FD"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The Rosa Code, to be replicated, nationwide (this is a best practice put in place at some Emergency Rooms); </w:t>
      </w:r>
    </w:p>
    <w:p w14:paraId="58494880"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Reintegration of the victims, including actions to end violence and support victims in their reintegration into labour sector, </w:t>
      </w:r>
    </w:p>
    <w:p w14:paraId="0E6F3C2F"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Initiatives dedicated to the perpetrator/abusive man; </w:t>
      </w:r>
    </w:p>
    <w:p w14:paraId="5C64824E" w14:textId="77777777" w:rsidR="00B37866" w:rsidRPr="00B37866" w:rsidRDefault="00B37866" w:rsidP="00B37866">
      <w:pPr>
        <w:widowControl w:val="0"/>
        <w:numPr>
          <w:ilvl w:val="0"/>
          <w:numId w:val="39"/>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Initiatives for minors in order to manage the effects of witnessing violence.  In addition to </w:t>
      </w:r>
      <w:r w:rsidRPr="00B37866">
        <w:rPr>
          <w:rFonts w:eastAsiaTheme="minorHAnsi"/>
          <w:lang w:val="en-US" w:eastAsia="en-US"/>
        </w:rPr>
        <w:lastRenderedPageBreak/>
        <w:t xml:space="preserve">the above Plan, mention has to be made of the Guidelines on training, included in the Extraordinary Action Plan against Sexual and Gender-based Violence, the aim of which is to: </w:t>
      </w:r>
    </w:p>
    <w:p w14:paraId="16E7E320" w14:textId="77777777" w:rsidR="00B37866" w:rsidRPr="00B37866"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be a tool for orientation and support for the implementation of training initiatives, to be uniform throughout Italy; </w:t>
      </w:r>
    </w:p>
    <w:p w14:paraId="5900EE9B" w14:textId="77777777" w:rsidR="00B37866" w:rsidRPr="00B37866"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increase the knowledge of the phenomenon of violence against women in a gender perspective, including consideration for specific forms of violence from other cultures; </w:t>
      </w:r>
    </w:p>
    <w:p w14:paraId="13CEA20E" w14:textId="77777777" w:rsidR="00B37866" w:rsidRPr="00B37866"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provide understanding of this issue, by considering its social, cultural, psychological and legal complexity; </w:t>
      </w:r>
    </w:p>
    <w:p w14:paraId="792B9C38" w14:textId="77777777" w:rsidR="00B37866" w:rsidRPr="00B37866"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spread the reception methodologies, aimed at women’s empowerment, while avoiding mediation interventions; </w:t>
      </w:r>
    </w:p>
    <w:p w14:paraId="191505D6" w14:textId="77777777" w:rsidR="00B37866" w:rsidRPr="00B37866"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xml:space="preserve">-  sensitize to the recognition of the phenomenon in every area; </w:t>
      </w:r>
    </w:p>
    <w:p w14:paraId="2058E168" w14:textId="77777777" w:rsidR="009E48F2" w:rsidRDefault="00B37866"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r w:rsidRPr="00B37866">
        <w:rPr>
          <w:rFonts w:eastAsiaTheme="minorHAnsi"/>
          <w:lang w:val="en-US" w:eastAsia="en-US"/>
        </w:rPr>
        <w:tab/>
      </w:r>
      <w:r w:rsidRPr="00B37866">
        <w:rPr>
          <w:rFonts w:eastAsiaTheme="minorHAnsi"/>
          <w:lang w:val="en-US" w:eastAsia="en-US"/>
        </w:rPr>
        <w:tab/>
        <w:t>-  ensure an integrated model of intervention through the implementation and dissemination of a  network system.  </w:t>
      </w:r>
    </w:p>
    <w:p w14:paraId="0B2437A0" w14:textId="77777777" w:rsidR="009E48F2" w:rsidRDefault="009E48F2" w:rsidP="00B37866">
      <w:pPr>
        <w:widowControl w:val="0"/>
        <w:numPr>
          <w:ilvl w:val="0"/>
          <w:numId w:val="40"/>
        </w:numPr>
        <w:tabs>
          <w:tab w:val="left" w:pos="220"/>
          <w:tab w:val="left" w:pos="720"/>
        </w:tabs>
        <w:autoSpaceDE w:val="0"/>
        <w:autoSpaceDN w:val="0"/>
        <w:adjustRightInd w:val="0"/>
        <w:ind w:left="0" w:hanging="720"/>
        <w:jc w:val="both"/>
        <w:rPr>
          <w:rFonts w:eastAsiaTheme="minorHAnsi"/>
          <w:lang w:val="en-US" w:eastAsia="en-US"/>
        </w:rPr>
      </w:pPr>
    </w:p>
    <w:p w14:paraId="568D8F06" w14:textId="0CCC0D3B" w:rsidR="00B37866" w:rsidRPr="00B37866" w:rsidRDefault="00B37866" w:rsidP="009E48F2">
      <w:pPr>
        <w:widowControl w:val="0"/>
        <w:numPr>
          <w:ilvl w:val="1"/>
          <w:numId w:val="40"/>
        </w:numPr>
        <w:tabs>
          <w:tab w:val="left" w:pos="220"/>
          <w:tab w:val="left" w:pos="720"/>
        </w:tabs>
        <w:autoSpaceDE w:val="0"/>
        <w:autoSpaceDN w:val="0"/>
        <w:adjustRightInd w:val="0"/>
        <w:ind w:hanging="720"/>
        <w:jc w:val="both"/>
        <w:rPr>
          <w:rFonts w:eastAsiaTheme="minorHAnsi"/>
          <w:lang w:val="en-US" w:eastAsia="en-US"/>
        </w:rPr>
      </w:pPr>
      <w:r w:rsidRPr="00B37866">
        <w:rPr>
          <w:rFonts w:eastAsiaTheme="minorHAnsi"/>
          <w:lang w:val="en-US" w:eastAsia="en-US"/>
        </w:rPr>
        <w:t xml:space="preserve">The training has been then divided into three specific areas of intervention, identified in relation to the moment in which the operator comes into contact with the victim of violence: </w:t>
      </w:r>
    </w:p>
    <w:p w14:paraId="4C95D8D6" w14:textId="77777777" w:rsidR="004C283E" w:rsidRDefault="004C283E" w:rsidP="004C283E">
      <w:pPr>
        <w:widowControl w:val="0"/>
        <w:autoSpaceDE w:val="0"/>
        <w:autoSpaceDN w:val="0"/>
        <w:adjustRightInd w:val="0"/>
        <w:ind w:left="708"/>
        <w:jc w:val="both"/>
        <w:rPr>
          <w:rFonts w:eastAsiaTheme="minorHAnsi"/>
          <w:lang w:val="en-US" w:eastAsia="en-US"/>
        </w:rPr>
      </w:pPr>
    </w:p>
    <w:p w14:paraId="7E3E93EE" w14:textId="77777777" w:rsidR="004C283E" w:rsidRDefault="00B37866" w:rsidP="004C283E">
      <w:pPr>
        <w:widowControl w:val="0"/>
        <w:autoSpaceDE w:val="0"/>
        <w:autoSpaceDN w:val="0"/>
        <w:adjustRightInd w:val="0"/>
        <w:ind w:left="709"/>
        <w:jc w:val="both"/>
        <w:rPr>
          <w:rFonts w:eastAsiaTheme="minorHAnsi"/>
          <w:lang w:val="en-US" w:eastAsia="en-US"/>
        </w:rPr>
      </w:pPr>
      <w:r w:rsidRPr="00B37866">
        <w:rPr>
          <w:rFonts w:eastAsiaTheme="minorHAnsi"/>
          <w:lang w:val="en-US" w:eastAsia="en-US"/>
        </w:rPr>
        <w:t xml:space="preserve"> Area 1: Recognition of the phenomenon: aimed at all the relevant professional of the territory who can come into contact with victims of violence and ill- treatment in any social and professional </w:t>
      </w:r>
      <w:r w:rsidR="004C283E">
        <w:rPr>
          <w:rFonts w:eastAsiaTheme="minorHAnsi"/>
          <w:lang w:val="en-US" w:eastAsia="en-US"/>
        </w:rPr>
        <w:t>field: general practitioners, p</w:t>
      </w:r>
      <w:r w:rsidRPr="00B37866">
        <w:rPr>
          <w:rFonts w:eastAsiaTheme="minorHAnsi"/>
          <w:lang w:val="en-US" w:eastAsia="en-US"/>
        </w:rPr>
        <w:t>ediatricians in private practice, competent occupational physicians, health- care staff, pharmacists, Police forces, teachers and school staff, labour inspectors, provincial and regional gender equality councillors, rescue aid volunteers, religious community leaders or social groups, community educators, service providers working in home care with the elderly or the persons with disabilities, cultural mediators, counselling desks staff, CUG mem</w:t>
      </w:r>
      <w:r w:rsidRPr="00B37866">
        <w:rPr>
          <w:rFonts w:eastAsiaTheme="minorHAnsi"/>
          <w:lang w:val="en-US" w:eastAsia="en-US"/>
        </w:rPr>
        <w:lastRenderedPageBreak/>
        <w:t>bers, prison Police, etc. These figures can play a strategic role as early warning mechanisms/"Sentinels" of the phenomenon of violence.</w:t>
      </w:r>
    </w:p>
    <w:p w14:paraId="0435B45E" w14:textId="77777777" w:rsidR="004C283E" w:rsidRDefault="004C283E" w:rsidP="004C283E">
      <w:pPr>
        <w:widowControl w:val="0"/>
        <w:autoSpaceDE w:val="0"/>
        <w:autoSpaceDN w:val="0"/>
        <w:adjustRightInd w:val="0"/>
        <w:ind w:left="709"/>
        <w:jc w:val="both"/>
        <w:rPr>
          <w:rFonts w:eastAsiaTheme="minorHAnsi"/>
          <w:lang w:val="en-US" w:eastAsia="en-US"/>
        </w:rPr>
      </w:pPr>
    </w:p>
    <w:p w14:paraId="24780FD5" w14:textId="2B180394" w:rsidR="00B37866" w:rsidRPr="004C283E" w:rsidRDefault="00B37866" w:rsidP="004C283E">
      <w:pPr>
        <w:widowControl w:val="0"/>
        <w:autoSpaceDE w:val="0"/>
        <w:autoSpaceDN w:val="0"/>
        <w:adjustRightInd w:val="0"/>
        <w:ind w:left="709"/>
        <w:jc w:val="both"/>
        <w:rPr>
          <w:rFonts w:eastAsiaTheme="minorHAnsi"/>
          <w:lang w:val="en-US" w:eastAsia="en-US"/>
        </w:rPr>
      </w:pPr>
      <w:r w:rsidRPr="00B37866">
        <w:rPr>
          <w:rFonts w:eastAsiaTheme="minorHAnsi"/>
          <w:lang w:val="en-US" w:eastAsia="en-US"/>
        </w:rPr>
        <w:t>  Area 2: Taking charge of the victim: addressed to the service providers directly involved</w:t>
      </w:r>
      <w:r w:rsidR="004C283E">
        <w:rPr>
          <w:rFonts w:eastAsiaTheme="minorHAnsi"/>
          <w:lang w:val="en-US" w:eastAsia="en-US"/>
        </w:rPr>
        <w:t xml:space="preserve"> </w:t>
      </w:r>
      <w:r w:rsidRPr="00B37866">
        <w:rPr>
          <w:rFonts w:eastAsiaTheme="minorHAnsi"/>
          <w:lang w:val="en-US" w:eastAsia="en-US"/>
        </w:rPr>
        <w:t xml:space="preserve">in the charge-taking of the victims of violence, who form the "Territorial operational </w:t>
      </w:r>
      <w:r w:rsidR="004C283E">
        <w:rPr>
          <w:rFonts w:eastAsiaTheme="minorHAnsi"/>
          <w:lang w:val="en-US" w:eastAsia="en-US"/>
        </w:rPr>
        <w:t xml:space="preserve"> </w:t>
      </w:r>
      <w:r w:rsidRPr="004C283E">
        <w:rPr>
          <w:rFonts w:eastAsiaTheme="minorHAnsi"/>
          <w:lang w:val="en-US" w:eastAsia="en-US"/>
        </w:rPr>
        <w:t xml:space="preserve">network" (first aid health-care workers and specialists, law enforcement agencies, judiciary, voluntary associations, anti-violence centres, etc.). The training must support the creation or consolidation of the above network also by determining, from an operational standpoint, references and contacts to be made available to the "Sentinels", in order not to cancel the efforts of emergence of the phenomenon from the first area of intervention, which, if not properly inserted in the territorial network of services, are likely to be thwarted. </w:t>
      </w:r>
    </w:p>
    <w:p w14:paraId="74698F77" w14:textId="77777777" w:rsidR="004C283E" w:rsidRDefault="004C283E" w:rsidP="004C283E">
      <w:pPr>
        <w:widowControl w:val="0"/>
        <w:numPr>
          <w:ilvl w:val="0"/>
          <w:numId w:val="41"/>
        </w:numPr>
        <w:tabs>
          <w:tab w:val="left" w:pos="220"/>
          <w:tab w:val="left" w:pos="720"/>
        </w:tabs>
        <w:autoSpaceDE w:val="0"/>
        <w:autoSpaceDN w:val="0"/>
        <w:adjustRightInd w:val="0"/>
        <w:ind w:left="709" w:firstLine="0"/>
        <w:jc w:val="both"/>
        <w:rPr>
          <w:rFonts w:eastAsiaTheme="minorHAnsi"/>
          <w:lang w:val="en-US" w:eastAsia="en-US"/>
        </w:rPr>
      </w:pPr>
      <w:r>
        <w:rPr>
          <w:rFonts w:eastAsiaTheme="minorHAnsi"/>
          <w:lang w:val="en-US" w:eastAsia="en-US"/>
        </w:rPr>
        <w:tab/>
      </w:r>
    </w:p>
    <w:p w14:paraId="0FB00158" w14:textId="77777777" w:rsidR="004C283E" w:rsidRDefault="00B37866" w:rsidP="004C283E">
      <w:pPr>
        <w:widowControl w:val="0"/>
        <w:numPr>
          <w:ilvl w:val="0"/>
          <w:numId w:val="41"/>
        </w:numPr>
        <w:tabs>
          <w:tab w:val="left" w:pos="220"/>
          <w:tab w:val="left" w:pos="720"/>
        </w:tabs>
        <w:autoSpaceDE w:val="0"/>
        <w:autoSpaceDN w:val="0"/>
        <w:adjustRightInd w:val="0"/>
        <w:ind w:left="709" w:firstLine="0"/>
        <w:jc w:val="both"/>
        <w:rPr>
          <w:rFonts w:eastAsiaTheme="minorHAnsi"/>
          <w:lang w:val="en-US" w:eastAsia="en-US"/>
        </w:rPr>
      </w:pPr>
      <w:r w:rsidRPr="00B37866">
        <w:rPr>
          <w:rFonts w:eastAsiaTheme="minorHAnsi"/>
          <w:lang w:val="en-US" w:eastAsia="en-US"/>
        </w:rPr>
        <w:t>  Area 3: Accompaniment to the exit pathway from violence, addressed to the service providers of the anti-violence centres, social care workers and social assistants, psychologists and psychotherapists, psychiatrists, specialized services on the taking charge of the victims and of the authors; mental health-care workers who often deal with authors and victims of violence, public and third sector’s service provide</w:t>
      </w:r>
      <w:r w:rsidR="009E48F2">
        <w:rPr>
          <w:rFonts w:eastAsiaTheme="minorHAnsi"/>
          <w:lang w:val="en-US" w:eastAsia="en-US"/>
        </w:rPr>
        <w:t>rs, general practitioners and p</w:t>
      </w:r>
      <w:r w:rsidRPr="00B37866">
        <w:rPr>
          <w:rFonts w:eastAsiaTheme="minorHAnsi"/>
          <w:lang w:val="en-US" w:eastAsia="en-US"/>
        </w:rPr>
        <w:t xml:space="preserve">ediatricians in private practice. The service providers involved in this third area of intervention must take care of the victims, who have suffered from significant physical and mental damage, often at risk of life, who must regain confidence in themselves and self- esteem when embarking on a new life pathway, as well as of the authors of ill- treatment and family members.  - National Centre for Disease Prevention and Control Project (acronym in Italian, CCM) 2014 - Blended training program  In order to enhance the ability to recognize and receive women victims of violence in the emergency rooms, from within the 2014 resources of the National Centre for Disease Prevention and Control (CCM), the Ministry of Health allocated € 260,000.00, for a key action, entitled "A blended </w:t>
      </w:r>
      <w:r w:rsidRPr="00B37866">
        <w:rPr>
          <w:rFonts w:eastAsiaTheme="minorHAnsi"/>
          <w:lang w:val="en-US" w:eastAsia="en-US"/>
        </w:rPr>
        <w:lastRenderedPageBreak/>
        <w:t>training program for health-care professionals, and non”, aimed at strengthening the territorial networks for the prevention and fight against gender-based violence, coordinated by the Superior Health Institute (</w:t>
      </w:r>
      <w:r w:rsidRPr="009E48F2">
        <w:rPr>
          <w:rFonts w:eastAsiaTheme="minorHAnsi"/>
          <w:i/>
          <w:lang w:val="en-US" w:eastAsia="en-US"/>
        </w:rPr>
        <w:t>Istituto Superiore di Sanità</w:t>
      </w:r>
      <w:r w:rsidRPr="00B37866">
        <w:rPr>
          <w:rFonts w:eastAsiaTheme="minorHAnsi"/>
          <w:lang w:val="en-US" w:eastAsia="en-US"/>
        </w:rPr>
        <w:t xml:space="preserve">). </w:t>
      </w:r>
    </w:p>
    <w:p w14:paraId="4B05B405" w14:textId="77777777" w:rsidR="004C283E" w:rsidRDefault="004C283E" w:rsidP="004C283E">
      <w:pPr>
        <w:widowControl w:val="0"/>
        <w:numPr>
          <w:ilvl w:val="0"/>
          <w:numId w:val="41"/>
        </w:numPr>
        <w:tabs>
          <w:tab w:val="left" w:pos="220"/>
          <w:tab w:val="left" w:pos="720"/>
        </w:tabs>
        <w:autoSpaceDE w:val="0"/>
        <w:autoSpaceDN w:val="0"/>
        <w:adjustRightInd w:val="0"/>
        <w:ind w:left="709" w:firstLine="0"/>
        <w:jc w:val="both"/>
        <w:rPr>
          <w:rFonts w:eastAsiaTheme="minorHAnsi"/>
          <w:lang w:val="en-US" w:eastAsia="en-US"/>
        </w:rPr>
      </w:pPr>
    </w:p>
    <w:p w14:paraId="32A0B664" w14:textId="77777777" w:rsidR="004C283E" w:rsidRDefault="00B37866" w:rsidP="004C283E">
      <w:pPr>
        <w:widowControl w:val="0"/>
        <w:numPr>
          <w:ilvl w:val="3"/>
          <w:numId w:val="41"/>
        </w:numPr>
        <w:tabs>
          <w:tab w:val="left" w:pos="220"/>
          <w:tab w:val="left" w:pos="720"/>
        </w:tabs>
        <w:autoSpaceDE w:val="0"/>
        <w:autoSpaceDN w:val="0"/>
        <w:adjustRightInd w:val="0"/>
        <w:ind w:left="709"/>
        <w:jc w:val="both"/>
        <w:rPr>
          <w:rFonts w:eastAsiaTheme="minorHAnsi"/>
          <w:lang w:val="en-US" w:eastAsia="en-US"/>
        </w:rPr>
      </w:pPr>
      <w:r w:rsidRPr="004C283E">
        <w:rPr>
          <w:rFonts w:eastAsiaTheme="minorHAnsi"/>
          <w:lang w:val="en-US" w:eastAsia="en-US"/>
        </w:rPr>
        <w:t xml:space="preserve">This project was implemented in four regions (Lombardy, Latium, Campania and Sicily) by a specific training pathway on gender violence, which took into account all relevant multidisciplinary aspects. Training was provided through the so-called FAD platform (a database) and with in person meetings, to physicians and nurses from 28 emergency room: 7, per Region. </w:t>
      </w:r>
    </w:p>
    <w:p w14:paraId="41F62B9B" w14:textId="77777777" w:rsidR="004C283E" w:rsidRDefault="004C283E" w:rsidP="004C283E">
      <w:pPr>
        <w:widowControl w:val="0"/>
        <w:tabs>
          <w:tab w:val="left" w:pos="220"/>
          <w:tab w:val="left" w:pos="720"/>
        </w:tabs>
        <w:autoSpaceDE w:val="0"/>
        <w:autoSpaceDN w:val="0"/>
        <w:adjustRightInd w:val="0"/>
        <w:jc w:val="both"/>
        <w:rPr>
          <w:rFonts w:eastAsiaTheme="minorHAnsi"/>
          <w:lang w:val="en-US" w:eastAsia="en-US"/>
        </w:rPr>
      </w:pPr>
    </w:p>
    <w:p w14:paraId="3277510D" w14:textId="5A81D5DB" w:rsidR="00B37866" w:rsidRPr="004C283E" w:rsidRDefault="00B37866" w:rsidP="004C283E">
      <w:pPr>
        <w:widowControl w:val="0"/>
        <w:numPr>
          <w:ilvl w:val="0"/>
          <w:numId w:val="41"/>
        </w:numPr>
        <w:tabs>
          <w:tab w:val="left" w:pos="220"/>
          <w:tab w:val="left" w:pos="720"/>
        </w:tabs>
        <w:autoSpaceDE w:val="0"/>
        <w:autoSpaceDN w:val="0"/>
        <w:adjustRightInd w:val="0"/>
        <w:ind w:left="709" w:firstLine="0"/>
        <w:jc w:val="both"/>
        <w:rPr>
          <w:rFonts w:eastAsiaTheme="minorHAnsi"/>
          <w:lang w:val="en-US" w:eastAsia="en-US"/>
        </w:rPr>
      </w:pPr>
      <w:r w:rsidRPr="004C283E">
        <w:rPr>
          <w:rFonts w:eastAsiaTheme="minorHAnsi"/>
          <w:lang w:val="en-US" w:eastAsia="en-US"/>
        </w:rPr>
        <w:t xml:space="preserve">An online training course was also provided, with a specific section aimed to the State Police and the local Police from the same geographical areas. Each Hospital was accompanied by experts to strengthen, form or activate a local multi- professional network made up of health workers, law enforcement agencies, local Police, territorial social services, Associations and anti-violence centres, sharing the methods on the reception of women and identifying tasks and availability of the Institutions so involved. </w:t>
      </w:r>
    </w:p>
    <w:p w14:paraId="1BD86F02" w14:textId="1BF3B0D4" w:rsidR="009F1E9B" w:rsidRDefault="009F1E9B" w:rsidP="00B37866">
      <w:pPr>
        <w:pStyle w:val="Default"/>
        <w:jc w:val="both"/>
        <w:rPr>
          <w:rFonts w:ascii="Times New Roman" w:eastAsiaTheme="minorHAnsi" w:hAnsi="Times New Roman" w:cs="Times New Roman"/>
          <w:lang w:val="en-GB"/>
        </w:rPr>
      </w:pPr>
    </w:p>
    <w:p w14:paraId="6ED36E7C" w14:textId="7BD66ABB" w:rsidR="004C283E" w:rsidRDefault="004C283E" w:rsidP="00B37866">
      <w:pPr>
        <w:widowControl w:val="0"/>
        <w:numPr>
          <w:ilvl w:val="0"/>
          <w:numId w:val="39"/>
        </w:numPr>
        <w:tabs>
          <w:tab w:val="left" w:pos="220"/>
          <w:tab w:val="left" w:pos="720"/>
        </w:tabs>
        <w:autoSpaceDE w:val="0"/>
        <w:autoSpaceDN w:val="0"/>
        <w:adjustRightInd w:val="0"/>
        <w:spacing w:after="240"/>
        <w:ind w:hanging="720"/>
        <w:jc w:val="both"/>
        <w:rPr>
          <w:rFonts w:eastAsiaTheme="minorHAnsi"/>
          <w:lang w:val="en-GB"/>
        </w:rPr>
      </w:pPr>
      <w:r w:rsidRPr="00876200">
        <w:rPr>
          <w:rFonts w:eastAsiaTheme="minorHAnsi"/>
          <w:lang w:val="en-GB"/>
        </w:rPr>
        <w:t xml:space="preserve">Moreover, mention has to be made </w:t>
      </w:r>
      <w:r w:rsidR="00876200" w:rsidRPr="00876200">
        <w:rPr>
          <w:rFonts w:eastAsiaTheme="minorHAnsi"/>
          <w:lang w:val="en-GB"/>
        </w:rPr>
        <w:t xml:space="preserve">of the National Strategic Plan on Men Violence Against Women, 2017 </w:t>
      </w:r>
      <w:r w:rsidR="00876200">
        <w:rPr>
          <w:rFonts w:eastAsiaTheme="minorHAnsi"/>
          <w:lang w:val="en-GB"/>
        </w:rPr>
        <w:t>–</w:t>
      </w:r>
      <w:r w:rsidR="00876200" w:rsidRPr="00876200">
        <w:rPr>
          <w:rFonts w:eastAsiaTheme="minorHAnsi"/>
          <w:lang w:val="en-GB"/>
        </w:rPr>
        <w:t xml:space="preserve"> 2020</w:t>
      </w:r>
      <w:r w:rsidR="003C1BE1">
        <w:rPr>
          <w:rFonts w:eastAsiaTheme="minorHAnsi"/>
          <w:lang w:val="en-GB"/>
        </w:rPr>
        <w:t xml:space="preserve">, as </w:t>
      </w:r>
      <w:r w:rsidR="00876200">
        <w:rPr>
          <w:rFonts w:eastAsiaTheme="minorHAnsi"/>
          <w:lang w:val="en-GB"/>
        </w:rPr>
        <w:t>attached</w:t>
      </w:r>
      <w:r w:rsidR="003C1BE1">
        <w:rPr>
          <w:rFonts w:eastAsiaTheme="minorHAnsi"/>
          <w:lang w:val="en-GB"/>
        </w:rPr>
        <w:t xml:space="preserve"> to baseline report of Italy to GREVIO-2018 (</w:t>
      </w:r>
      <w:r w:rsidR="003C1BE1" w:rsidRPr="003C1BE1">
        <w:rPr>
          <w:rFonts w:eastAsiaTheme="minorHAnsi"/>
          <w:lang w:val="en-GB"/>
        </w:rPr>
        <w:t>https://www.coe.int/en/web/istanbul-convention/italy</w:t>
      </w:r>
      <w:r w:rsidR="003C1BE1">
        <w:rPr>
          <w:rFonts w:eastAsiaTheme="minorHAnsi"/>
          <w:lang w:val="en-GB"/>
        </w:rPr>
        <w:t>)</w:t>
      </w:r>
      <w:r w:rsidR="00876200">
        <w:rPr>
          <w:rFonts w:eastAsiaTheme="minorHAnsi"/>
          <w:lang w:val="en-GB"/>
        </w:rPr>
        <w:t xml:space="preserve">. </w:t>
      </w:r>
    </w:p>
    <w:p w14:paraId="2F0AE65B" w14:textId="4D4F2376" w:rsidR="003C1BE1" w:rsidRPr="00876200" w:rsidRDefault="003C1BE1" w:rsidP="003C1BE1">
      <w:pPr>
        <w:widowControl w:val="0"/>
        <w:tabs>
          <w:tab w:val="left" w:pos="220"/>
          <w:tab w:val="left" w:pos="720"/>
        </w:tabs>
        <w:autoSpaceDE w:val="0"/>
        <w:autoSpaceDN w:val="0"/>
        <w:adjustRightInd w:val="0"/>
        <w:spacing w:after="240"/>
        <w:jc w:val="both"/>
        <w:rPr>
          <w:rFonts w:eastAsiaTheme="minorHAnsi"/>
          <w:lang w:val="en-GB"/>
        </w:rPr>
      </w:pPr>
      <w:r w:rsidRPr="003C1BE1">
        <w:rPr>
          <w:rFonts w:eastAsiaTheme="minorHAnsi"/>
          <w:b/>
          <w:u w:val="single"/>
          <w:lang w:val="en-GB"/>
        </w:rPr>
        <w:t>In conclusion</w:t>
      </w:r>
      <w:r>
        <w:rPr>
          <w:rFonts w:eastAsiaTheme="minorHAnsi"/>
          <w:lang w:val="en-GB"/>
        </w:rPr>
        <w:t xml:space="preserve">, Italy takes this opportunity to reiterate its full commitment to working with UN Special Procedures and all other relevant international mechanisms. </w:t>
      </w:r>
    </w:p>
    <w:sectPr w:rsidR="003C1BE1" w:rsidRPr="008762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FB89" w14:textId="77777777" w:rsidR="00264928" w:rsidRDefault="00264928" w:rsidP="00EF2CD7">
      <w:r>
        <w:separator/>
      </w:r>
    </w:p>
  </w:endnote>
  <w:endnote w:type="continuationSeparator" w:id="0">
    <w:p w14:paraId="175E9C36" w14:textId="77777777" w:rsidR="00264928" w:rsidRDefault="00264928" w:rsidP="00E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D24A" w14:textId="77777777" w:rsidR="00876200" w:rsidRDefault="00876200" w:rsidP="00217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01686" w14:textId="77777777" w:rsidR="00876200" w:rsidRDefault="00876200" w:rsidP="00B378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1C07" w14:textId="1DDBBCA4" w:rsidR="00876200" w:rsidRDefault="00876200" w:rsidP="00217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BAE">
      <w:rPr>
        <w:rStyle w:val="PageNumber"/>
        <w:noProof/>
      </w:rPr>
      <w:t>2</w:t>
    </w:r>
    <w:r>
      <w:rPr>
        <w:rStyle w:val="PageNumber"/>
      </w:rPr>
      <w:fldChar w:fldCharType="end"/>
    </w:r>
  </w:p>
  <w:p w14:paraId="40FB0402" w14:textId="79AA3200" w:rsidR="00876200" w:rsidRDefault="00876200" w:rsidP="00B37866">
    <w:pPr>
      <w:pStyle w:val="Footer"/>
      <w:ind w:right="360"/>
      <w:jc w:val="center"/>
    </w:pPr>
  </w:p>
  <w:p w14:paraId="78D58EE0" w14:textId="77777777" w:rsidR="00876200" w:rsidRDefault="00876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2EC4" w14:textId="77777777" w:rsidR="00264928" w:rsidRDefault="00264928" w:rsidP="00EF2CD7">
      <w:r>
        <w:separator/>
      </w:r>
    </w:p>
  </w:footnote>
  <w:footnote w:type="continuationSeparator" w:id="0">
    <w:p w14:paraId="3F96212C" w14:textId="77777777" w:rsidR="00264928" w:rsidRDefault="00264928" w:rsidP="00EF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4867C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2405B"/>
    <w:multiLevelType w:val="hybridMultilevel"/>
    <w:tmpl w:val="8516316C"/>
    <w:lvl w:ilvl="0" w:tplc="C58E779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85027"/>
    <w:multiLevelType w:val="hybridMultilevel"/>
    <w:tmpl w:val="F62C91CA"/>
    <w:lvl w:ilvl="0" w:tplc="6638F2A6">
      <w:numFmt w:val="bullet"/>
      <w:lvlText w:val="-"/>
      <w:lvlJc w:val="left"/>
      <w:pPr>
        <w:ind w:left="720" w:hanging="360"/>
      </w:pPr>
      <w:rPr>
        <w:rFonts w:ascii="Garamond" w:hAnsi="Garamond" w:hint="default"/>
        <w:lang w:val="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783699F"/>
    <w:multiLevelType w:val="hybridMultilevel"/>
    <w:tmpl w:val="41DACEB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0CB70056"/>
    <w:multiLevelType w:val="hybridMultilevel"/>
    <w:tmpl w:val="2B28E0A4"/>
    <w:lvl w:ilvl="0" w:tplc="AFD2A90E">
      <w:start w:val="81"/>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0DF46C1A"/>
    <w:multiLevelType w:val="hybridMultilevel"/>
    <w:tmpl w:val="BD88A294"/>
    <w:lvl w:ilvl="0" w:tplc="88D240F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1AC93977"/>
    <w:multiLevelType w:val="hybridMultilevel"/>
    <w:tmpl w:val="AA3A030E"/>
    <w:lvl w:ilvl="0" w:tplc="550E8CBC">
      <w:start w:val="17"/>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1DBD1506"/>
    <w:multiLevelType w:val="hybridMultilevel"/>
    <w:tmpl w:val="6D7C91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FB21ED6"/>
    <w:multiLevelType w:val="hybridMultilevel"/>
    <w:tmpl w:val="2C7CF664"/>
    <w:lvl w:ilvl="0" w:tplc="7D3E1B3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21115237"/>
    <w:multiLevelType w:val="hybridMultilevel"/>
    <w:tmpl w:val="BA1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B30849"/>
    <w:multiLevelType w:val="multilevel"/>
    <w:tmpl w:val="2FFAF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D0D6D"/>
    <w:multiLevelType w:val="hybridMultilevel"/>
    <w:tmpl w:val="BEDEE556"/>
    <w:lvl w:ilvl="0" w:tplc="8B50F77E">
      <w:start w:val="1"/>
      <w:numFmt w:val="bullet"/>
      <w:lvlText w:val=""/>
      <w:lvlJc w:val="left"/>
      <w:pPr>
        <w:ind w:left="1080" w:hanging="360"/>
      </w:pPr>
      <w:rPr>
        <w:rFonts w:ascii="Symbol" w:hAnsi="Symbol" w:hint="default"/>
      </w:rPr>
    </w:lvl>
    <w:lvl w:ilvl="1" w:tplc="9780A448">
      <w:numFmt w:val="bullet"/>
      <w:lvlText w:val="-"/>
      <w:lvlJc w:val="left"/>
      <w:pPr>
        <w:ind w:left="1800" w:hanging="360"/>
      </w:pPr>
      <w:rPr>
        <w:rFonts w:ascii="Calibri" w:eastAsiaTheme="minorHAnsi" w:hAnsi="Calibri"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71E58BD"/>
    <w:multiLevelType w:val="hybridMultilevel"/>
    <w:tmpl w:val="C100A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2CFF6594"/>
    <w:multiLevelType w:val="hybridMultilevel"/>
    <w:tmpl w:val="FB3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057F83"/>
    <w:multiLevelType w:val="hybridMultilevel"/>
    <w:tmpl w:val="440C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21272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cs="Times New Roman" w:hint="default"/>
      </w:rPr>
    </w:lvl>
    <w:lvl w:ilvl="1" w:tplc="079C2AA4">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cs="Times New Roman"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5C1C7A01"/>
    <w:multiLevelType w:val="hybridMultilevel"/>
    <w:tmpl w:val="C12AE9B6"/>
    <w:lvl w:ilvl="0" w:tplc="F0A45BA6">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C880CAC"/>
    <w:multiLevelType w:val="hybridMultilevel"/>
    <w:tmpl w:val="315C00C8"/>
    <w:lvl w:ilvl="0" w:tplc="0410000F">
      <w:start w:val="6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3845A2"/>
    <w:multiLevelType w:val="hybridMultilevel"/>
    <w:tmpl w:val="2446064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63B97B4A"/>
    <w:multiLevelType w:val="hybridMultilevel"/>
    <w:tmpl w:val="1E2E232A"/>
    <w:lvl w:ilvl="0" w:tplc="79E610E6">
      <w:start w:val="1"/>
      <w:numFmt w:val="decimal"/>
      <w:lvlText w:val="%1."/>
      <w:lvlJc w:val="left"/>
      <w:pPr>
        <w:ind w:left="112" w:hanging="720"/>
      </w:pPr>
      <w:rPr>
        <w:rFonts w:ascii="Georgia" w:eastAsia="Georgia" w:hAnsi="Georgia" w:cs="Georgia" w:hint="default"/>
        <w:spacing w:val="-3"/>
        <w:w w:val="118"/>
        <w:sz w:val="26"/>
        <w:szCs w:val="26"/>
      </w:rPr>
    </w:lvl>
    <w:lvl w:ilvl="1" w:tplc="C16827B4">
      <w:numFmt w:val="bullet"/>
      <w:lvlText w:val="•"/>
      <w:lvlJc w:val="left"/>
      <w:pPr>
        <w:ind w:left="1094" w:hanging="720"/>
      </w:pPr>
      <w:rPr>
        <w:rFonts w:hint="default"/>
      </w:rPr>
    </w:lvl>
    <w:lvl w:ilvl="2" w:tplc="6D28F146">
      <w:numFmt w:val="bullet"/>
      <w:lvlText w:val="•"/>
      <w:lvlJc w:val="left"/>
      <w:pPr>
        <w:ind w:left="2068" w:hanging="720"/>
      </w:pPr>
      <w:rPr>
        <w:rFonts w:hint="default"/>
      </w:rPr>
    </w:lvl>
    <w:lvl w:ilvl="3" w:tplc="8FCCE866">
      <w:numFmt w:val="bullet"/>
      <w:lvlText w:val="•"/>
      <w:lvlJc w:val="left"/>
      <w:pPr>
        <w:ind w:left="3043" w:hanging="720"/>
      </w:pPr>
      <w:rPr>
        <w:rFonts w:hint="default"/>
      </w:rPr>
    </w:lvl>
    <w:lvl w:ilvl="4" w:tplc="15A0DFDA">
      <w:numFmt w:val="bullet"/>
      <w:lvlText w:val="•"/>
      <w:lvlJc w:val="left"/>
      <w:pPr>
        <w:ind w:left="4017" w:hanging="720"/>
      </w:pPr>
      <w:rPr>
        <w:rFonts w:hint="default"/>
      </w:rPr>
    </w:lvl>
    <w:lvl w:ilvl="5" w:tplc="5852BFF8">
      <w:numFmt w:val="bullet"/>
      <w:lvlText w:val="•"/>
      <w:lvlJc w:val="left"/>
      <w:pPr>
        <w:ind w:left="4992" w:hanging="720"/>
      </w:pPr>
      <w:rPr>
        <w:rFonts w:hint="default"/>
      </w:rPr>
    </w:lvl>
    <w:lvl w:ilvl="6" w:tplc="05364C5C">
      <w:numFmt w:val="bullet"/>
      <w:lvlText w:val="•"/>
      <w:lvlJc w:val="left"/>
      <w:pPr>
        <w:ind w:left="5966" w:hanging="720"/>
      </w:pPr>
      <w:rPr>
        <w:rFonts w:hint="default"/>
      </w:rPr>
    </w:lvl>
    <w:lvl w:ilvl="7" w:tplc="EC1EF9F2">
      <w:numFmt w:val="bullet"/>
      <w:lvlText w:val="•"/>
      <w:lvlJc w:val="left"/>
      <w:pPr>
        <w:ind w:left="6940" w:hanging="720"/>
      </w:pPr>
      <w:rPr>
        <w:rFonts w:hint="default"/>
      </w:rPr>
    </w:lvl>
    <w:lvl w:ilvl="8" w:tplc="45A88C7C">
      <w:numFmt w:val="bullet"/>
      <w:lvlText w:val="•"/>
      <w:lvlJc w:val="left"/>
      <w:pPr>
        <w:ind w:left="7915" w:hanging="720"/>
      </w:pPr>
      <w:rPr>
        <w:rFonts w:hint="default"/>
      </w:rPr>
    </w:lvl>
  </w:abstractNum>
  <w:abstractNum w:abstractNumId="29">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6FE6649"/>
    <w:multiLevelType w:val="hybridMultilevel"/>
    <w:tmpl w:val="A90CB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9996356"/>
    <w:multiLevelType w:val="hybridMultilevel"/>
    <w:tmpl w:val="F752BFC8"/>
    <w:lvl w:ilvl="0" w:tplc="5E740D2E">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hint="default"/>
      </w:rPr>
    </w:lvl>
  </w:abstractNum>
  <w:abstractNum w:abstractNumId="36">
    <w:nsid w:val="6DC439A1"/>
    <w:multiLevelType w:val="hybridMultilevel"/>
    <w:tmpl w:val="54A0F7D6"/>
    <w:lvl w:ilvl="0" w:tplc="55D2ABD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2531B1E"/>
    <w:multiLevelType w:val="hybridMultilevel"/>
    <w:tmpl w:val="28D627D4"/>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38">
    <w:nsid w:val="751C7355"/>
    <w:multiLevelType w:val="hybridMultilevel"/>
    <w:tmpl w:val="A96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94E0027"/>
    <w:multiLevelType w:val="hybridMultilevel"/>
    <w:tmpl w:val="0E2E426A"/>
    <w:lvl w:ilvl="0" w:tplc="1F069970">
      <w:start w:val="1"/>
      <w:numFmt w:val="bullet"/>
      <w:lvlText w:val=""/>
      <w:lvlJc w:val="left"/>
      <w:pPr>
        <w:tabs>
          <w:tab w:val="num" w:pos="510"/>
        </w:tabs>
        <w:ind w:left="510" w:hanging="340"/>
      </w:pPr>
      <w:rPr>
        <w:rFonts w:ascii="Symbol" w:hAnsi="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C5A67E8"/>
    <w:multiLevelType w:val="multilevel"/>
    <w:tmpl w:val="16B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3"/>
  </w:num>
  <w:num w:numId="4">
    <w:abstractNumId w:val="0"/>
  </w:num>
  <w:num w:numId="5">
    <w:abstractNumId w:val="39"/>
  </w:num>
  <w:num w:numId="6">
    <w:abstractNumId w:val="35"/>
  </w:num>
  <w:num w:numId="7">
    <w:abstractNumId w:val="33"/>
  </w:num>
  <w:num w:numId="8">
    <w:abstractNumId w:val="38"/>
  </w:num>
  <w:num w:numId="9">
    <w:abstractNumId w:val="21"/>
  </w:num>
  <w:num w:numId="10">
    <w:abstractNumId w:val="18"/>
  </w:num>
  <w:num w:numId="11">
    <w:abstractNumId w:val="20"/>
  </w:num>
  <w:num w:numId="12">
    <w:abstractNumId w:val="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3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37"/>
  </w:num>
  <w:num w:numId="27">
    <w:abstractNumId w:val="22"/>
  </w:num>
  <w:num w:numId="28">
    <w:abstractNumId w:val="26"/>
  </w:num>
  <w:num w:numId="29">
    <w:abstractNumId w:val="29"/>
  </w:num>
  <w:num w:numId="30">
    <w:abstractNumId w:val="28"/>
  </w:num>
  <w:num w:numId="31">
    <w:abstractNumId w:val="7"/>
  </w:num>
  <w:num w:numId="32">
    <w:abstractNumId w:val="40"/>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17"/>
  </w:num>
  <w:num w:numId="38">
    <w:abstractNumId w:val="34"/>
  </w:num>
  <w:num w:numId="39">
    <w:abstractNumId w:val="1"/>
  </w:num>
  <w:num w:numId="40">
    <w:abstractNumId w:val="2"/>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7"/>
    <w:rsid w:val="00000399"/>
    <w:rsid w:val="00004380"/>
    <w:rsid w:val="00013AED"/>
    <w:rsid w:val="00017233"/>
    <w:rsid w:val="000224EC"/>
    <w:rsid w:val="00025D4B"/>
    <w:rsid w:val="00026CD8"/>
    <w:rsid w:val="000342EA"/>
    <w:rsid w:val="0003714A"/>
    <w:rsid w:val="00047D85"/>
    <w:rsid w:val="00055D78"/>
    <w:rsid w:val="00066B13"/>
    <w:rsid w:val="00074E8C"/>
    <w:rsid w:val="00085FE4"/>
    <w:rsid w:val="000A0363"/>
    <w:rsid w:val="000B2B9C"/>
    <w:rsid w:val="000C495B"/>
    <w:rsid w:val="000D28EF"/>
    <w:rsid w:val="000E0BFA"/>
    <w:rsid w:val="000E2E6C"/>
    <w:rsid w:val="000E79EC"/>
    <w:rsid w:val="000F131D"/>
    <w:rsid w:val="001003E8"/>
    <w:rsid w:val="00100F20"/>
    <w:rsid w:val="00102382"/>
    <w:rsid w:val="0011309E"/>
    <w:rsid w:val="00125287"/>
    <w:rsid w:val="00130E9C"/>
    <w:rsid w:val="00131E1C"/>
    <w:rsid w:val="00134597"/>
    <w:rsid w:val="0013530E"/>
    <w:rsid w:val="0013610C"/>
    <w:rsid w:val="001425B0"/>
    <w:rsid w:val="00143542"/>
    <w:rsid w:val="001464DF"/>
    <w:rsid w:val="00173633"/>
    <w:rsid w:val="00175C9E"/>
    <w:rsid w:val="00176E2D"/>
    <w:rsid w:val="00191910"/>
    <w:rsid w:val="001B0FE3"/>
    <w:rsid w:val="001C33C1"/>
    <w:rsid w:val="001C6285"/>
    <w:rsid w:val="001D234E"/>
    <w:rsid w:val="001D3AE5"/>
    <w:rsid w:val="001E33C3"/>
    <w:rsid w:val="0021218B"/>
    <w:rsid w:val="00217E85"/>
    <w:rsid w:val="00217FB0"/>
    <w:rsid w:val="00225A69"/>
    <w:rsid w:val="00234100"/>
    <w:rsid w:val="00244B99"/>
    <w:rsid w:val="00245358"/>
    <w:rsid w:val="00262C12"/>
    <w:rsid w:val="00264928"/>
    <w:rsid w:val="0028215A"/>
    <w:rsid w:val="00284015"/>
    <w:rsid w:val="00287A2E"/>
    <w:rsid w:val="002A5FCC"/>
    <w:rsid w:val="002A7301"/>
    <w:rsid w:val="002B2CD2"/>
    <w:rsid w:val="002B4C24"/>
    <w:rsid w:val="002C152B"/>
    <w:rsid w:val="002C6378"/>
    <w:rsid w:val="002D0F83"/>
    <w:rsid w:val="002E40CA"/>
    <w:rsid w:val="002E7F6D"/>
    <w:rsid w:val="002F07A8"/>
    <w:rsid w:val="002F630E"/>
    <w:rsid w:val="002F7E70"/>
    <w:rsid w:val="0030568B"/>
    <w:rsid w:val="00311A3B"/>
    <w:rsid w:val="00321246"/>
    <w:rsid w:val="0033111A"/>
    <w:rsid w:val="00331B9D"/>
    <w:rsid w:val="0034032B"/>
    <w:rsid w:val="00345CC8"/>
    <w:rsid w:val="00357339"/>
    <w:rsid w:val="00357A2C"/>
    <w:rsid w:val="00363627"/>
    <w:rsid w:val="00366F7B"/>
    <w:rsid w:val="00371377"/>
    <w:rsid w:val="00381B98"/>
    <w:rsid w:val="0039671E"/>
    <w:rsid w:val="003B007E"/>
    <w:rsid w:val="003B6D8C"/>
    <w:rsid w:val="003C1BE1"/>
    <w:rsid w:val="003C53AB"/>
    <w:rsid w:val="003E0ADE"/>
    <w:rsid w:val="003E2685"/>
    <w:rsid w:val="003F19D1"/>
    <w:rsid w:val="003F4243"/>
    <w:rsid w:val="004121C4"/>
    <w:rsid w:val="004310E3"/>
    <w:rsid w:val="00433F8D"/>
    <w:rsid w:val="00444176"/>
    <w:rsid w:val="00452C6B"/>
    <w:rsid w:val="004616C2"/>
    <w:rsid w:val="004638E9"/>
    <w:rsid w:val="00465191"/>
    <w:rsid w:val="00470581"/>
    <w:rsid w:val="004821E1"/>
    <w:rsid w:val="0048704E"/>
    <w:rsid w:val="00491A01"/>
    <w:rsid w:val="004932EE"/>
    <w:rsid w:val="004A61A7"/>
    <w:rsid w:val="004B4DFA"/>
    <w:rsid w:val="004B62E4"/>
    <w:rsid w:val="004B713F"/>
    <w:rsid w:val="004C283E"/>
    <w:rsid w:val="004D5072"/>
    <w:rsid w:val="004E0BAE"/>
    <w:rsid w:val="004F418A"/>
    <w:rsid w:val="00523045"/>
    <w:rsid w:val="00524B14"/>
    <w:rsid w:val="005316ED"/>
    <w:rsid w:val="005340A3"/>
    <w:rsid w:val="005373CD"/>
    <w:rsid w:val="00541438"/>
    <w:rsid w:val="00546E0F"/>
    <w:rsid w:val="00553197"/>
    <w:rsid w:val="00553B73"/>
    <w:rsid w:val="00562172"/>
    <w:rsid w:val="0056612D"/>
    <w:rsid w:val="00571AE1"/>
    <w:rsid w:val="00573F12"/>
    <w:rsid w:val="005A4A7C"/>
    <w:rsid w:val="005B0B6D"/>
    <w:rsid w:val="005D50C3"/>
    <w:rsid w:val="005D5374"/>
    <w:rsid w:val="005E1A5E"/>
    <w:rsid w:val="005E1DAF"/>
    <w:rsid w:val="0063097A"/>
    <w:rsid w:val="00633921"/>
    <w:rsid w:val="00656F6E"/>
    <w:rsid w:val="00670D47"/>
    <w:rsid w:val="0068192F"/>
    <w:rsid w:val="00686BFC"/>
    <w:rsid w:val="006916C1"/>
    <w:rsid w:val="00694AF0"/>
    <w:rsid w:val="006A1CFC"/>
    <w:rsid w:val="006A7F5F"/>
    <w:rsid w:val="006B6932"/>
    <w:rsid w:val="006C2267"/>
    <w:rsid w:val="006C59E3"/>
    <w:rsid w:val="006C6C07"/>
    <w:rsid w:val="006D0259"/>
    <w:rsid w:val="006D7267"/>
    <w:rsid w:val="006F01C8"/>
    <w:rsid w:val="006F6AA1"/>
    <w:rsid w:val="00713429"/>
    <w:rsid w:val="007222E4"/>
    <w:rsid w:val="007234D9"/>
    <w:rsid w:val="007260BC"/>
    <w:rsid w:val="00726955"/>
    <w:rsid w:val="00743EBF"/>
    <w:rsid w:val="00746098"/>
    <w:rsid w:val="0076392B"/>
    <w:rsid w:val="007677BC"/>
    <w:rsid w:val="00780C0B"/>
    <w:rsid w:val="00790704"/>
    <w:rsid w:val="007A1CAB"/>
    <w:rsid w:val="007A3ADB"/>
    <w:rsid w:val="007C4061"/>
    <w:rsid w:val="007D3529"/>
    <w:rsid w:val="007D654F"/>
    <w:rsid w:val="007E071D"/>
    <w:rsid w:val="007E28E1"/>
    <w:rsid w:val="007E30EA"/>
    <w:rsid w:val="007F3CD9"/>
    <w:rsid w:val="0080539A"/>
    <w:rsid w:val="00816CBA"/>
    <w:rsid w:val="00821655"/>
    <w:rsid w:val="00832228"/>
    <w:rsid w:val="008330DA"/>
    <w:rsid w:val="00845DB6"/>
    <w:rsid w:val="00860DBD"/>
    <w:rsid w:val="00863704"/>
    <w:rsid w:val="00863A3D"/>
    <w:rsid w:val="00871A64"/>
    <w:rsid w:val="0087270C"/>
    <w:rsid w:val="00876200"/>
    <w:rsid w:val="008A4FA8"/>
    <w:rsid w:val="008B7893"/>
    <w:rsid w:val="008C3CD6"/>
    <w:rsid w:val="008C3F97"/>
    <w:rsid w:val="008D0CC5"/>
    <w:rsid w:val="008E1194"/>
    <w:rsid w:val="008F52B1"/>
    <w:rsid w:val="008F6F71"/>
    <w:rsid w:val="00924912"/>
    <w:rsid w:val="009250E5"/>
    <w:rsid w:val="00927112"/>
    <w:rsid w:val="009435BB"/>
    <w:rsid w:val="00944678"/>
    <w:rsid w:val="00951535"/>
    <w:rsid w:val="00954719"/>
    <w:rsid w:val="0096246B"/>
    <w:rsid w:val="00967449"/>
    <w:rsid w:val="009753CE"/>
    <w:rsid w:val="00980CED"/>
    <w:rsid w:val="0098144C"/>
    <w:rsid w:val="009831FF"/>
    <w:rsid w:val="009865EB"/>
    <w:rsid w:val="00987DF2"/>
    <w:rsid w:val="009955B4"/>
    <w:rsid w:val="009A57D9"/>
    <w:rsid w:val="009B1DE8"/>
    <w:rsid w:val="009B56AE"/>
    <w:rsid w:val="009C1AD9"/>
    <w:rsid w:val="009C5CB9"/>
    <w:rsid w:val="009D521B"/>
    <w:rsid w:val="009E48F2"/>
    <w:rsid w:val="009E6B91"/>
    <w:rsid w:val="009F1E9B"/>
    <w:rsid w:val="00A05BD6"/>
    <w:rsid w:val="00A0630F"/>
    <w:rsid w:val="00A1219A"/>
    <w:rsid w:val="00A15B0E"/>
    <w:rsid w:val="00A2632E"/>
    <w:rsid w:val="00A27A62"/>
    <w:rsid w:val="00A43836"/>
    <w:rsid w:val="00A55099"/>
    <w:rsid w:val="00A553E3"/>
    <w:rsid w:val="00A6223A"/>
    <w:rsid w:val="00A63AE5"/>
    <w:rsid w:val="00A63BE4"/>
    <w:rsid w:val="00A64DC4"/>
    <w:rsid w:val="00A71C2D"/>
    <w:rsid w:val="00A75638"/>
    <w:rsid w:val="00A76D52"/>
    <w:rsid w:val="00A8182D"/>
    <w:rsid w:val="00A84AE6"/>
    <w:rsid w:val="00A87B7F"/>
    <w:rsid w:val="00AA6A16"/>
    <w:rsid w:val="00AA7178"/>
    <w:rsid w:val="00AB1008"/>
    <w:rsid w:val="00AB7D8C"/>
    <w:rsid w:val="00AC4810"/>
    <w:rsid w:val="00AD4CBB"/>
    <w:rsid w:val="00AD5517"/>
    <w:rsid w:val="00AE024F"/>
    <w:rsid w:val="00AE2936"/>
    <w:rsid w:val="00AE7FEB"/>
    <w:rsid w:val="00AF04AA"/>
    <w:rsid w:val="00B2411A"/>
    <w:rsid w:val="00B2567C"/>
    <w:rsid w:val="00B256EB"/>
    <w:rsid w:val="00B36534"/>
    <w:rsid w:val="00B37866"/>
    <w:rsid w:val="00B632BA"/>
    <w:rsid w:val="00B74F63"/>
    <w:rsid w:val="00B84133"/>
    <w:rsid w:val="00B878BC"/>
    <w:rsid w:val="00B92AD6"/>
    <w:rsid w:val="00B9452C"/>
    <w:rsid w:val="00B9519F"/>
    <w:rsid w:val="00B97857"/>
    <w:rsid w:val="00BA3BD9"/>
    <w:rsid w:val="00BA6E7C"/>
    <w:rsid w:val="00BA79F2"/>
    <w:rsid w:val="00BB0A76"/>
    <w:rsid w:val="00BC1ADC"/>
    <w:rsid w:val="00BE3669"/>
    <w:rsid w:val="00BF6090"/>
    <w:rsid w:val="00C0682C"/>
    <w:rsid w:val="00C10BFD"/>
    <w:rsid w:val="00C253B2"/>
    <w:rsid w:val="00C27C70"/>
    <w:rsid w:val="00C31B44"/>
    <w:rsid w:val="00C45451"/>
    <w:rsid w:val="00C53E96"/>
    <w:rsid w:val="00C55BC4"/>
    <w:rsid w:val="00C56857"/>
    <w:rsid w:val="00C61BEA"/>
    <w:rsid w:val="00C6612D"/>
    <w:rsid w:val="00C71E76"/>
    <w:rsid w:val="00C77153"/>
    <w:rsid w:val="00C83E1D"/>
    <w:rsid w:val="00C858B4"/>
    <w:rsid w:val="00C8619C"/>
    <w:rsid w:val="00C8789B"/>
    <w:rsid w:val="00C9323E"/>
    <w:rsid w:val="00C96D1B"/>
    <w:rsid w:val="00CA1C04"/>
    <w:rsid w:val="00CB48E3"/>
    <w:rsid w:val="00CB51AB"/>
    <w:rsid w:val="00CB688A"/>
    <w:rsid w:val="00CC5F0B"/>
    <w:rsid w:val="00CD66A5"/>
    <w:rsid w:val="00CD7471"/>
    <w:rsid w:val="00CE3F1C"/>
    <w:rsid w:val="00CE79D2"/>
    <w:rsid w:val="00CF6BD5"/>
    <w:rsid w:val="00D1129C"/>
    <w:rsid w:val="00D35B95"/>
    <w:rsid w:val="00D377AF"/>
    <w:rsid w:val="00D37C8B"/>
    <w:rsid w:val="00D45C07"/>
    <w:rsid w:val="00D52767"/>
    <w:rsid w:val="00D55A6E"/>
    <w:rsid w:val="00D62B10"/>
    <w:rsid w:val="00D62BE9"/>
    <w:rsid w:val="00D71CB7"/>
    <w:rsid w:val="00D8725E"/>
    <w:rsid w:val="00D939A0"/>
    <w:rsid w:val="00D94A0A"/>
    <w:rsid w:val="00D9557D"/>
    <w:rsid w:val="00DA0662"/>
    <w:rsid w:val="00DB5D6C"/>
    <w:rsid w:val="00DC1406"/>
    <w:rsid w:val="00DC410D"/>
    <w:rsid w:val="00DD5DB1"/>
    <w:rsid w:val="00DD6C76"/>
    <w:rsid w:val="00DD702A"/>
    <w:rsid w:val="00E016D9"/>
    <w:rsid w:val="00E01729"/>
    <w:rsid w:val="00E0308B"/>
    <w:rsid w:val="00E07BA5"/>
    <w:rsid w:val="00E15DFB"/>
    <w:rsid w:val="00E1794C"/>
    <w:rsid w:val="00E20B13"/>
    <w:rsid w:val="00E20EDD"/>
    <w:rsid w:val="00E24B09"/>
    <w:rsid w:val="00E2560F"/>
    <w:rsid w:val="00E37547"/>
    <w:rsid w:val="00E50FB1"/>
    <w:rsid w:val="00E804B4"/>
    <w:rsid w:val="00E94B01"/>
    <w:rsid w:val="00EB62C5"/>
    <w:rsid w:val="00EC3AF7"/>
    <w:rsid w:val="00ED2473"/>
    <w:rsid w:val="00ED4300"/>
    <w:rsid w:val="00ED722A"/>
    <w:rsid w:val="00EE4975"/>
    <w:rsid w:val="00EE54B0"/>
    <w:rsid w:val="00EF2CD7"/>
    <w:rsid w:val="00F00A07"/>
    <w:rsid w:val="00F043AD"/>
    <w:rsid w:val="00F12798"/>
    <w:rsid w:val="00F13A82"/>
    <w:rsid w:val="00F1540D"/>
    <w:rsid w:val="00F175B5"/>
    <w:rsid w:val="00F2608C"/>
    <w:rsid w:val="00F33B66"/>
    <w:rsid w:val="00F35595"/>
    <w:rsid w:val="00F43BF6"/>
    <w:rsid w:val="00F446B6"/>
    <w:rsid w:val="00F53242"/>
    <w:rsid w:val="00F828DD"/>
    <w:rsid w:val="00F95D11"/>
    <w:rsid w:val="00FA1B38"/>
    <w:rsid w:val="00FB4CC4"/>
    <w:rsid w:val="00FB79EB"/>
    <w:rsid w:val="00FC4606"/>
    <w:rsid w:val="00FC590A"/>
    <w:rsid w:val="00FE50B3"/>
    <w:rsid w:val="00FE6E33"/>
    <w:rsid w:val="00FF2763"/>
    <w:rsid w:val="00FF4B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C99E"/>
  <w15:docId w15:val="{2B85734C-B5B2-400B-9F35-BD74293E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D7"/>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9"/>
    <w:qFormat/>
    <w:rsid w:val="00EF2CD7"/>
    <w:pPr>
      <w:keepNext/>
      <w:jc w:val="center"/>
      <w:outlineLvl w:val="0"/>
    </w:pPr>
    <w:rPr>
      <w:b/>
      <w:sz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2CD7"/>
    <w:rPr>
      <w:sz w:val="28"/>
      <w:lang w:val="en-GB"/>
    </w:rPr>
  </w:style>
  <w:style w:type="character" w:customStyle="1" w:styleId="BodyTextChar">
    <w:name w:val="Body Text Char"/>
    <w:basedOn w:val="DefaultParagraphFont"/>
    <w:link w:val="BodyText"/>
    <w:uiPriority w:val="99"/>
    <w:semiHidden/>
    <w:rsid w:val="00EF2CD7"/>
    <w:rPr>
      <w:rFonts w:ascii="Times New Roman" w:eastAsia="Times New Roman" w:hAnsi="Times New Roman" w:cs="Times New Roman"/>
      <w:sz w:val="28"/>
      <w:szCs w:val="24"/>
      <w:lang w:val="en-GB" w:eastAsia="it-IT"/>
    </w:rPr>
  </w:style>
  <w:style w:type="paragraph" w:styleId="BodyTextIndent3">
    <w:name w:val="Body Text Indent 3"/>
    <w:basedOn w:val="Normal"/>
    <w:link w:val="BodyTextIndent3Char"/>
    <w:semiHidden/>
    <w:rsid w:val="00EF2CD7"/>
    <w:pPr>
      <w:spacing w:line="360" w:lineRule="auto"/>
      <w:ind w:firstLine="709"/>
      <w:jc w:val="both"/>
    </w:pPr>
  </w:style>
  <w:style w:type="character" w:customStyle="1" w:styleId="BodyTextIndent3Char">
    <w:name w:val="Body Text Indent 3 Char"/>
    <w:basedOn w:val="DefaultParagraphFont"/>
    <w:link w:val="BodyTextIndent3"/>
    <w:semiHidden/>
    <w:rsid w:val="00EF2CD7"/>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9"/>
    <w:rsid w:val="00EF2CD7"/>
    <w:rPr>
      <w:rFonts w:ascii="Times New Roman" w:eastAsia="Times New Roman" w:hAnsi="Times New Roman" w:cs="Times New Roman"/>
      <w:b/>
      <w:sz w:val="28"/>
      <w:szCs w:val="24"/>
      <w:lang w:eastAsia="it-IT"/>
    </w:rPr>
  </w:style>
  <w:style w:type="character" w:styleId="FootnoteReference">
    <w:name w:val="footnote reference"/>
    <w:aliases w:val="4_G"/>
    <w:qFormat/>
    <w:rsid w:val="00EF2CD7"/>
    <w:rPr>
      <w:vertAlign w:val="superscript"/>
    </w:rPr>
  </w:style>
  <w:style w:type="paragraph" w:styleId="FootnoteText">
    <w:name w:val="footnote text"/>
    <w:aliases w:val="stile 1,5_G"/>
    <w:basedOn w:val="Normal"/>
    <w:link w:val="FootnoteTextChar"/>
    <w:qFormat/>
    <w:rsid w:val="00EF2CD7"/>
    <w:rPr>
      <w:sz w:val="20"/>
    </w:rPr>
  </w:style>
  <w:style w:type="character" w:customStyle="1" w:styleId="FootnoteTextChar">
    <w:name w:val="Footnote Text Char"/>
    <w:aliases w:val="stile 1 Char,5_G Char"/>
    <w:basedOn w:val="DefaultParagraphFont"/>
    <w:link w:val="FootnoteText"/>
    <w:rsid w:val="00EF2CD7"/>
    <w:rPr>
      <w:rFonts w:ascii="Times New Roman" w:eastAsia="Times New Roman" w:hAnsi="Times New Roman" w:cs="Times New Roman"/>
      <w:sz w:val="20"/>
      <w:szCs w:val="24"/>
      <w:lang w:eastAsia="it-IT"/>
    </w:rPr>
  </w:style>
  <w:style w:type="character" w:customStyle="1" w:styleId="grame">
    <w:name w:val="grame"/>
    <w:basedOn w:val="DefaultParagraphFont"/>
    <w:rsid w:val="00EF2CD7"/>
  </w:style>
  <w:style w:type="paragraph" w:customStyle="1" w:styleId="level1">
    <w:name w:val="level1"/>
    <w:basedOn w:val="Normal"/>
    <w:rsid w:val="00EF2CD7"/>
    <w:pPr>
      <w:spacing w:before="100" w:after="100"/>
    </w:pPr>
    <w:rPr>
      <w:rFonts w:ascii="Verdana" w:eastAsia="Arial Unicode MS" w:hAnsi="Verdana"/>
      <w:color w:val="000000"/>
      <w:sz w:val="17"/>
    </w:rPr>
  </w:style>
  <w:style w:type="paragraph" w:customStyle="1" w:styleId="quickformat1">
    <w:name w:val="quickformat1"/>
    <w:basedOn w:val="Normal"/>
    <w:rsid w:val="00EF2CD7"/>
    <w:pPr>
      <w:spacing w:before="100" w:after="100"/>
    </w:pPr>
    <w:rPr>
      <w:rFonts w:ascii="Verdana" w:eastAsia="Arial Unicode MS" w:hAnsi="Verdana"/>
      <w:color w:val="000000"/>
      <w:sz w:val="17"/>
    </w:rPr>
  </w:style>
  <w:style w:type="character" w:customStyle="1" w:styleId="break">
    <w:name w:val="break"/>
    <w:basedOn w:val="DefaultParagraphFont"/>
    <w:rsid w:val="00EF2CD7"/>
  </w:style>
  <w:style w:type="paragraph" w:styleId="EndnoteText">
    <w:name w:val="endnote text"/>
    <w:basedOn w:val="Normal"/>
    <w:link w:val="EndnoteTextChar"/>
    <w:semiHidden/>
    <w:rsid w:val="00EF2CD7"/>
    <w:rPr>
      <w:sz w:val="20"/>
      <w:szCs w:val="20"/>
    </w:rPr>
  </w:style>
  <w:style w:type="character" w:customStyle="1" w:styleId="EndnoteTextChar">
    <w:name w:val="Endnote Text Char"/>
    <w:basedOn w:val="DefaultParagraphFont"/>
    <w:link w:val="EndnoteText"/>
    <w:semiHidden/>
    <w:rsid w:val="00EF2CD7"/>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rsid w:val="002D0F83"/>
    <w:rPr>
      <w:rFonts w:ascii="Arial" w:eastAsia="Times New Roman" w:hAnsi="Arial" w:cs="Arial"/>
      <w:b/>
      <w:bCs/>
      <w:i/>
      <w:iCs/>
      <w:sz w:val="28"/>
      <w:szCs w:val="28"/>
      <w:lang w:eastAsia="it-IT"/>
    </w:rPr>
  </w:style>
  <w:style w:type="character" w:customStyle="1" w:styleId="Heading3Char">
    <w:name w:val="Heading 3 Char"/>
    <w:basedOn w:val="DefaultParagraphFont"/>
    <w:link w:val="Heading3"/>
    <w:uiPriority w:val="99"/>
    <w:rsid w:val="002D0F83"/>
    <w:rPr>
      <w:rFonts w:ascii="Arial" w:eastAsia="Times New Roman" w:hAnsi="Arial" w:cs="Arial"/>
      <w:b/>
      <w:bCs/>
      <w:sz w:val="26"/>
      <w:szCs w:val="26"/>
      <w:lang w:eastAsia="it-IT"/>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rsid w:val="002D0F83"/>
    <w:rPr>
      <w:rFonts w:ascii="Times New Roman" w:eastAsia="Times New Roman" w:hAnsi="Times New Roman" w:cs="Times New Roman"/>
      <w:sz w:val="24"/>
      <w:szCs w:val="24"/>
      <w:lang w:eastAsia="it-IT"/>
    </w:rPr>
  </w:style>
  <w:style w:type="character" w:styleId="PageNumber">
    <w:name w:val="page number"/>
    <w:basedOn w:val="DefaultParagraphFont"/>
    <w:uiPriority w:val="99"/>
    <w:rsid w:val="002D0F83"/>
    <w:rPr>
      <w:rFonts w:cs="Times New Roman"/>
    </w:rPr>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rsid w:val="002D0F83"/>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2D0F83"/>
    <w:rPr>
      <w:rFonts w:cs="Times New Roman"/>
      <w:b/>
      <w:bCs/>
    </w:rPr>
  </w:style>
  <w:style w:type="character" w:customStyle="1" w:styleId="title1">
    <w:name w:val="title1"/>
    <w:basedOn w:val="DefaultParagraphFont"/>
    <w:uiPriority w:val="99"/>
    <w:rsid w:val="002D0F83"/>
    <w:rPr>
      <w:rFonts w:cs="Times New Roman"/>
      <w:b/>
      <w:bCs/>
      <w:color w:val="666666"/>
    </w:rPr>
  </w:style>
  <w:style w:type="character" w:styleId="Emphasis">
    <w:name w:val="Emphasis"/>
    <w:basedOn w:val="DefaultParagraphFont"/>
    <w:uiPriority w:val="20"/>
    <w:qFormat/>
    <w:rsid w:val="002D0F83"/>
    <w:rPr>
      <w:rFonts w:cs="Times New Roman"/>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Times New Roman"/>
      <w:sz w:val="16"/>
      <w:szCs w:val="16"/>
      <w:lang w:val="en-US"/>
    </w:rPr>
  </w:style>
  <w:style w:type="character" w:customStyle="1" w:styleId="ListChar">
    <w:name w:val="List Char"/>
    <w:basedOn w:val="DefaultParagraphFont"/>
    <w:link w:val="List"/>
    <w:uiPriority w:val="99"/>
    <w:locked/>
    <w:rsid w:val="002D0F83"/>
    <w:rPr>
      <w:rFonts w:ascii="Times New Roman" w:eastAsia="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rFonts w:cs="Arial"/>
      <w:sz w:val="26"/>
      <w:szCs w:val="20"/>
    </w:rPr>
  </w:style>
  <w:style w:type="character" w:customStyle="1" w:styleId="HeaderChar">
    <w:name w:val="Header Char"/>
    <w:basedOn w:val="DefaultParagraphFont"/>
    <w:link w:val="Header"/>
    <w:uiPriority w:val="99"/>
    <w:rsid w:val="002D0F83"/>
    <w:rPr>
      <w:rFonts w:ascii="Times New Roman" w:eastAsia="Times New Roman" w:hAnsi="Times New Roman" w:cs="Arial"/>
      <w:sz w:val="26"/>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rsid w:val="002D0F83"/>
    <w:rPr>
      <w:rFonts w:ascii="Times New Roman" w:eastAsia="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Times New Roman"/>
      <w:color w:val="444444"/>
      <w:sz w:val="18"/>
      <w:szCs w:val="18"/>
    </w:rPr>
  </w:style>
  <w:style w:type="paragraph" w:styleId="ListBullet">
    <w:name w:val="List Bullet"/>
    <w:basedOn w:val="Normal"/>
    <w:uiPriority w:val="99"/>
    <w:rsid w:val="002D0F83"/>
    <w:pPr>
      <w:numPr>
        <w:numId w:val="6"/>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rPr>
      <w:rFonts w:cs="Times New Roman"/>
    </w:rPr>
  </w:style>
  <w:style w:type="character" w:styleId="Hyperlink">
    <w:name w:val="Hyperlink"/>
    <w:basedOn w:val="DefaultParagraphFont"/>
    <w:uiPriority w:val="99"/>
    <w:rsid w:val="002D0F83"/>
    <w:rPr>
      <w:rFonts w:cs="Times New Roman"/>
      <w:color w:val="0000FF"/>
      <w:u w:val="single"/>
    </w:rPr>
  </w:style>
  <w:style w:type="paragraph" w:styleId="ListParagraph">
    <w:name w:val="List Paragraph"/>
    <w:basedOn w:val="Normal"/>
    <w:uiPriority w:val="99"/>
    <w:qFormat/>
    <w:rsid w:val="002D0F83"/>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DefaultParagraphFont"/>
    <w:uiPriority w:val="99"/>
    <w:rsid w:val="002D0F83"/>
    <w:rPr>
      <w:rFonts w:cs="Times New Roman"/>
    </w:rPr>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rsid w:val="002D0F83"/>
    <w:rPr>
      <w:rFonts w:ascii="Consolas" w:eastAsia="Times New Roman" w:hAnsi="Consolas" w:cs="Consolas"/>
      <w:sz w:val="21"/>
      <w:szCs w:val="21"/>
      <w:lang w:eastAsia="it-IT"/>
    </w:rPr>
  </w:style>
  <w:style w:type="character" w:customStyle="1" w:styleId="atn">
    <w:name w:val="atn"/>
    <w:basedOn w:val="DefaultParagraphFont"/>
    <w:uiPriority w:val="99"/>
    <w:rsid w:val="002D0F83"/>
    <w:rPr>
      <w:rFonts w:cs="Times New Roman"/>
    </w:rPr>
  </w:style>
  <w:style w:type="character" w:customStyle="1" w:styleId="hpsatn">
    <w:name w:val="hps atn"/>
    <w:basedOn w:val="DefaultParagraphFont"/>
    <w:uiPriority w:val="99"/>
    <w:rsid w:val="002D0F83"/>
    <w:rPr>
      <w:rFonts w:cs="Times New Roman"/>
    </w:rPr>
  </w:style>
  <w:style w:type="paragraph" w:styleId="Title">
    <w:name w:val="Title"/>
    <w:basedOn w:val="Normal"/>
    <w:link w:val="TitleChar"/>
    <w:uiPriority w:val="99"/>
    <w:qFormat/>
    <w:rsid w:val="002D0F83"/>
    <w:pPr>
      <w:jc w:val="center"/>
    </w:pPr>
    <w:rPr>
      <w:rFonts w:ascii="Book Antiqua" w:hAnsi="Book Antiqua"/>
      <w:b/>
    </w:rPr>
  </w:style>
  <w:style w:type="character" w:customStyle="1" w:styleId="TitleChar">
    <w:name w:val="Title Char"/>
    <w:basedOn w:val="DefaultParagraphFont"/>
    <w:link w:val="Title"/>
    <w:uiPriority w:val="99"/>
    <w:rsid w:val="002D0F83"/>
    <w:rPr>
      <w:rFonts w:ascii="Book Antiqua" w:eastAsia="Times New Roman" w:hAnsi="Book Antiqua" w:cs="Times New Roman"/>
      <w:b/>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rsid w:val="002D0F83"/>
    <w:rPr>
      <w:rFonts w:ascii="Tahoma" w:eastAsia="Times New Roman" w:hAnsi="Tahoma" w:cs="Tahoma"/>
      <w:sz w:val="16"/>
      <w:szCs w:val="16"/>
      <w:lang w:eastAsia="it-IT"/>
    </w:rPr>
  </w:style>
  <w:style w:type="character" w:styleId="CommentReference">
    <w:name w:val="annotation reference"/>
    <w:basedOn w:val="DefaultParagraphFont"/>
    <w:semiHidden/>
    <w:rsid w:val="002D0F83"/>
    <w:rPr>
      <w:rFonts w:cs="Times New Roman"/>
      <w:sz w:val="16"/>
      <w:szCs w:val="16"/>
    </w:rPr>
  </w:style>
  <w:style w:type="paragraph" w:styleId="CommentText">
    <w:name w:val="annotation text"/>
    <w:basedOn w:val="Normal"/>
    <w:link w:val="CommentTextChar"/>
    <w:semiHidden/>
    <w:rsid w:val="002D0F83"/>
    <w:rPr>
      <w:sz w:val="20"/>
      <w:szCs w:val="20"/>
    </w:rPr>
  </w:style>
  <w:style w:type="character" w:customStyle="1" w:styleId="CommentTextChar">
    <w:name w:val="Comment Text Char"/>
    <w:basedOn w:val="DefaultParagraphFont"/>
    <w:link w:val="CommentText"/>
    <w:uiPriority w:val="99"/>
    <w:semiHidden/>
    <w:rsid w:val="002D0F83"/>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rsid w:val="002D0F83"/>
    <w:rPr>
      <w:rFonts w:ascii="Times New Roman" w:eastAsia="Times New Roman" w:hAnsi="Times New Roman" w:cs="Times New Roman"/>
      <w:b/>
      <w:bCs/>
      <w:sz w:val="20"/>
      <w:szCs w:val="20"/>
      <w:lang w:eastAsia="it-IT"/>
    </w:rPr>
  </w:style>
  <w:style w:type="paragraph" w:customStyle="1" w:styleId="Default">
    <w:name w:val="Default"/>
    <w:rsid w:val="00F1279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SingleTxtG">
    <w:name w:val="_ Single Txt_G"/>
    <w:basedOn w:val="Normal"/>
    <w:link w:val="SingleTxtGChar"/>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B79EB"/>
    <w:rPr>
      <w:rFonts w:ascii="Courier New" w:eastAsia="Calibri" w:hAnsi="Courier New" w:cs="Courier New"/>
      <w:sz w:val="20"/>
      <w:szCs w:val="20"/>
      <w:lang w:eastAsia="it-IT"/>
    </w:rPr>
  </w:style>
  <w:style w:type="paragraph" w:customStyle="1" w:styleId="para">
    <w:name w:val="para"/>
    <w:uiPriority w:val="99"/>
    <w:rsid w:val="00863704"/>
    <w:pPr>
      <w:spacing w:after="0" w:line="240" w:lineRule="auto"/>
      <w:ind w:firstLine="385"/>
      <w:jc w:val="both"/>
    </w:pPr>
    <w:rPr>
      <w:rFonts w:ascii="Calibri" w:eastAsia="Times New Roman" w:hAnsi="Calibri" w:cs="Times New Roman"/>
      <w:lang w:eastAsia="it-IT"/>
    </w:rPr>
  </w:style>
  <w:style w:type="character" w:styleId="FollowedHyperlink">
    <w:name w:val="FollowedHyperlink"/>
    <w:basedOn w:val="DefaultParagraphFont"/>
    <w:uiPriority w:val="99"/>
    <w:semiHidden/>
    <w:unhideWhenUsed/>
    <w:rsid w:val="00004380"/>
    <w:rPr>
      <w:color w:val="800080" w:themeColor="followedHyperlink"/>
      <w:u w:val="single"/>
    </w:rPr>
  </w:style>
  <w:style w:type="character" w:customStyle="1" w:styleId="s16">
    <w:name w:val="s16"/>
    <w:basedOn w:val="DefaultParagraphFont"/>
    <w:rsid w:val="00C77153"/>
  </w:style>
  <w:style w:type="character" w:customStyle="1" w:styleId="SingleTxtGChar">
    <w:name w:val="_ Single Txt_G Char"/>
    <w:link w:val="SingleTxtG"/>
    <w:rsid w:val="004121C4"/>
    <w:rPr>
      <w:rFonts w:ascii="Times New Roman" w:eastAsia="Times New Roman" w:hAnsi="Times New Roman" w:cs="Times New Roman"/>
      <w:sz w:val="20"/>
      <w:szCs w:val="20"/>
      <w:lang w:val="en-GB"/>
    </w:rPr>
  </w:style>
  <w:style w:type="paragraph" w:customStyle="1" w:styleId="SingleTxt">
    <w:name w:val="__Single Txt"/>
    <w:basedOn w:val="Normal"/>
    <w:rsid w:val="00B256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5546">
      <w:bodyDiv w:val="1"/>
      <w:marLeft w:val="0"/>
      <w:marRight w:val="0"/>
      <w:marTop w:val="0"/>
      <w:marBottom w:val="0"/>
      <w:divBdr>
        <w:top w:val="none" w:sz="0" w:space="0" w:color="auto"/>
        <w:left w:val="none" w:sz="0" w:space="0" w:color="auto"/>
        <w:bottom w:val="none" w:sz="0" w:space="0" w:color="auto"/>
        <w:right w:val="none" w:sz="0" w:space="0" w:color="auto"/>
      </w:divBdr>
    </w:div>
    <w:div w:id="280111383">
      <w:bodyDiv w:val="1"/>
      <w:marLeft w:val="0"/>
      <w:marRight w:val="0"/>
      <w:marTop w:val="0"/>
      <w:marBottom w:val="0"/>
      <w:divBdr>
        <w:top w:val="none" w:sz="0" w:space="0" w:color="auto"/>
        <w:left w:val="none" w:sz="0" w:space="0" w:color="auto"/>
        <w:bottom w:val="none" w:sz="0" w:space="0" w:color="auto"/>
        <w:right w:val="none" w:sz="0" w:space="0" w:color="auto"/>
      </w:divBdr>
      <w:divsChild>
        <w:div w:id="147285073">
          <w:marLeft w:val="0"/>
          <w:marRight w:val="0"/>
          <w:marTop w:val="0"/>
          <w:marBottom w:val="0"/>
          <w:divBdr>
            <w:top w:val="none" w:sz="0" w:space="0" w:color="auto"/>
            <w:left w:val="none" w:sz="0" w:space="0" w:color="auto"/>
            <w:bottom w:val="none" w:sz="0" w:space="0" w:color="auto"/>
            <w:right w:val="none" w:sz="0" w:space="0" w:color="auto"/>
          </w:divBdr>
        </w:div>
      </w:divsChild>
    </w:div>
    <w:div w:id="287130860">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9919312">
      <w:bodyDiv w:val="1"/>
      <w:marLeft w:val="0"/>
      <w:marRight w:val="0"/>
      <w:marTop w:val="0"/>
      <w:marBottom w:val="0"/>
      <w:divBdr>
        <w:top w:val="none" w:sz="0" w:space="0" w:color="auto"/>
        <w:left w:val="none" w:sz="0" w:space="0" w:color="auto"/>
        <w:bottom w:val="none" w:sz="0" w:space="0" w:color="auto"/>
        <w:right w:val="none" w:sz="0" w:space="0" w:color="auto"/>
      </w:divBdr>
    </w:div>
    <w:div w:id="733703714">
      <w:bodyDiv w:val="1"/>
      <w:marLeft w:val="0"/>
      <w:marRight w:val="0"/>
      <w:marTop w:val="0"/>
      <w:marBottom w:val="0"/>
      <w:divBdr>
        <w:top w:val="none" w:sz="0" w:space="0" w:color="auto"/>
        <w:left w:val="none" w:sz="0" w:space="0" w:color="auto"/>
        <w:bottom w:val="none" w:sz="0" w:space="0" w:color="auto"/>
        <w:right w:val="none" w:sz="0" w:space="0" w:color="auto"/>
      </w:divBdr>
    </w:div>
    <w:div w:id="1378895848">
      <w:bodyDiv w:val="1"/>
      <w:marLeft w:val="0"/>
      <w:marRight w:val="0"/>
      <w:marTop w:val="0"/>
      <w:marBottom w:val="0"/>
      <w:divBdr>
        <w:top w:val="none" w:sz="0" w:space="0" w:color="auto"/>
        <w:left w:val="none" w:sz="0" w:space="0" w:color="auto"/>
        <w:bottom w:val="none" w:sz="0" w:space="0" w:color="auto"/>
        <w:right w:val="none" w:sz="0" w:space="0" w:color="auto"/>
      </w:divBdr>
    </w:div>
    <w:div w:id="1460102626">
      <w:bodyDiv w:val="1"/>
      <w:marLeft w:val="0"/>
      <w:marRight w:val="0"/>
      <w:marTop w:val="0"/>
      <w:marBottom w:val="0"/>
      <w:divBdr>
        <w:top w:val="none" w:sz="0" w:space="0" w:color="auto"/>
        <w:left w:val="none" w:sz="0" w:space="0" w:color="auto"/>
        <w:bottom w:val="none" w:sz="0" w:space="0" w:color="auto"/>
        <w:right w:val="none" w:sz="0" w:space="0" w:color="auto"/>
      </w:divBdr>
    </w:div>
    <w:div w:id="1550874452">
      <w:bodyDiv w:val="1"/>
      <w:marLeft w:val="0"/>
      <w:marRight w:val="0"/>
      <w:marTop w:val="0"/>
      <w:marBottom w:val="0"/>
      <w:divBdr>
        <w:top w:val="none" w:sz="0" w:space="0" w:color="auto"/>
        <w:left w:val="none" w:sz="0" w:space="0" w:color="auto"/>
        <w:bottom w:val="none" w:sz="0" w:space="0" w:color="auto"/>
        <w:right w:val="none" w:sz="0" w:space="0" w:color="auto"/>
      </w:divBdr>
    </w:div>
    <w:div w:id="1593508505">
      <w:bodyDiv w:val="1"/>
      <w:marLeft w:val="0"/>
      <w:marRight w:val="0"/>
      <w:marTop w:val="0"/>
      <w:marBottom w:val="0"/>
      <w:divBdr>
        <w:top w:val="none" w:sz="0" w:space="0" w:color="auto"/>
        <w:left w:val="none" w:sz="0" w:space="0" w:color="auto"/>
        <w:bottom w:val="none" w:sz="0" w:space="0" w:color="auto"/>
        <w:right w:val="none" w:sz="0" w:space="0" w:color="auto"/>
      </w:divBdr>
    </w:div>
    <w:div w:id="1723557275">
      <w:bodyDiv w:val="1"/>
      <w:marLeft w:val="0"/>
      <w:marRight w:val="0"/>
      <w:marTop w:val="0"/>
      <w:marBottom w:val="0"/>
      <w:divBdr>
        <w:top w:val="none" w:sz="0" w:space="0" w:color="auto"/>
        <w:left w:val="none" w:sz="0" w:space="0" w:color="auto"/>
        <w:bottom w:val="none" w:sz="0" w:space="0" w:color="auto"/>
        <w:right w:val="none" w:sz="0" w:space="0" w:color="auto"/>
      </w:divBdr>
    </w:div>
    <w:div w:id="1996254795">
      <w:bodyDiv w:val="1"/>
      <w:marLeft w:val="0"/>
      <w:marRight w:val="0"/>
      <w:marTop w:val="0"/>
      <w:marBottom w:val="0"/>
      <w:divBdr>
        <w:top w:val="none" w:sz="0" w:space="0" w:color="auto"/>
        <w:left w:val="none" w:sz="0" w:space="0" w:color="auto"/>
        <w:bottom w:val="none" w:sz="0" w:space="0" w:color="auto"/>
        <w:right w:val="none" w:sz="0" w:space="0" w:color="auto"/>
      </w:divBdr>
    </w:div>
    <w:div w:id="2004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AC30E-AFDD-4AA5-90A0-ED2E9CA334D4}">
  <ds:schemaRefs>
    <ds:schemaRef ds:uri="http://schemas.openxmlformats.org/officeDocument/2006/bibliography"/>
  </ds:schemaRefs>
</ds:datastoreItem>
</file>

<file path=customXml/itemProps2.xml><?xml version="1.0" encoding="utf-8"?>
<ds:datastoreItem xmlns:ds="http://schemas.openxmlformats.org/officeDocument/2006/customXml" ds:itemID="{FDA766D7-5C60-47FB-8975-5EC4DA34E9F4}"/>
</file>

<file path=customXml/itemProps3.xml><?xml version="1.0" encoding="utf-8"?>
<ds:datastoreItem xmlns:ds="http://schemas.openxmlformats.org/officeDocument/2006/customXml" ds:itemID="{6CA991A4-CA0E-4FAF-A6F5-1F49FD3387AA}"/>
</file>

<file path=customXml/itemProps4.xml><?xml version="1.0" encoding="utf-8"?>
<ds:datastoreItem xmlns:ds="http://schemas.openxmlformats.org/officeDocument/2006/customXml" ds:itemID="{D520F664-E68B-44FD-AE41-436C33DEDC8C}"/>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11491</Characters>
  <Application>Microsoft Office Word</Application>
  <DocSecurity>4</DocSecurity>
  <Lines>95</Lines>
  <Paragraphs>26</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2</vt:i4>
      </vt:variant>
    </vt:vector>
  </HeadingPairs>
  <TitlesOfParts>
    <vt:vector size="4" baseType="lpstr">
      <vt:lpstr/>
      <vt:lpstr/>
      <vt:lpstr/>
      <vt:lpstr>4.	Under the Introduction to the mission’s report under reference (Section I, pa</vt:lpstr>
    </vt:vector>
  </TitlesOfParts>
  <Company>PCM</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mbova</dc:creator>
  <cp:keywords/>
  <dc:description/>
  <cp:lastModifiedBy>SERRENTINO Maria Roberta</cp:lastModifiedBy>
  <cp:revision>2</cp:revision>
  <dcterms:created xsi:type="dcterms:W3CDTF">2019-06-03T13:54:00Z</dcterms:created>
  <dcterms:modified xsi:type="dcterms:W3CDTF">2019-06-03T13:54:00Z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