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11152" w:type="dxa"/>
        <w:tblLayout w:type="fixed"/>
        <w:tblCellMar>
          <w:left w:w="0" w:type="dxa"/>
          <w:right w:w="0" w:type="dxa"/>
        </w:tblCellMar>
        <w:tblLook w:val="01E0" w:firstRow="1" w:lastRow="1" w:firstColumn="1" w:lastColumn="1" w:noHBand="0" w:noVBand="0"/>
      </w:tblPr>
      <w:tblGrid>
        <w:gridCol w:w="1259"/>
        <w:gridCol w:w="2236"/>
        <w:gridCol w:w="4727"/>
        <w:gridCol w:w="2930"/>
      </w:tblGrid>
      <w:tr w:rsidR="00CA109F" w:rsidRPr="00FD06BE" w:rsidTr="00952C04">
        <w:trPr>
          <w:trHeight w:val="851"/>
        </w:trPr>
        <w:tc>
          <w:tcPr>
            <w:tcW w:w="1259" w:type="dxa"/>
            <w:tcBorders>
              <w:top w:val="nil"/>
              <w:left w:val="nil"/>
              <w:bottom w:val="single" w:sz="4" w:space="0" w:color="auto"/>
              <w:right w:val="nil"/>
            </w:tcBorders>
          </w:tcPr>
          <w:p w:rsidR="00CA109F" w:rsidRPr="00E806EE" w:rsidRDefault="00CA109F" w:rsidP="00983B4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CA109F" w:rsidRPr="00FD06BE" w:rsidRDefault="00CA109F" w:rsidP="00983B43">
            <w:pPr>
              <w:spacing w:after="80" w:line="300" w:lineRule="exact"/>
              <w:rPr>
                <w:sz w:val="28"/>
                <w:szCs w:val="28"/>
              </w:rPr>
            </w:pPr>
          </w:p>
        </w:tc>
        <w:tc>
          <w:tcPr>
            <w:tcW w:w="7657" w:type="dxa"/>
            <w:gridSpan w:val="2"/>
            <w:tcBorders>
              <w:top w:val="nil"/>
              <w:left w:val="nil"/>
              <w:bottom w:val="single" w:sz="4" w:space="0" w:color="auto"/>
              <w:right w:val="nil"/>
            </w:tcBorders>
            <w:vAlign w:val="bottom"/>
          </w:tcPr>
          <w:p w:rsidR="00CA109F" w:rsidRPr="00FD06BE" w:rsidRDefault="00CA109F" w:rsidP="00952C04">
            <w:pPr>
              <w:jc w:val="center"/>
            </w:pPr>
            <w:r w:rsidRPr="00FD06BE">
              <w:rPr>
                <w:sz w:val="40"/>
              </w:rPr>
              <w:t>A</w:t>
            </w:r>
            <w:r w:rsidRPr="00FD06BE">
              <w:t>/HRC/3</w:t>
            </w:r>
            <w:r>
              <w:t>2/4</w:t>
            </w:r>
            <w:r w:rsidRPr="00FD06BE">
              <w:t>4</w:t>
            </w:r>
          </w:p>
        </w:tc>
      </w:tr>
      <w:tr w:rsidR="00CA109F" w:rsidRPr="00FD06BE" w:rsidTr="00952C04">
        <w:trPr>
          <w:trHeight w:val="2835"/>
        </w:trPr>
        <w:tc>
          <w:tcPr>
            <w:tcW w:w="1259" w:type="dxa"/>
            <w:tcBorders>
              <w:top w:val="single" w:sz="4" w:space="0" w:color="auto"/>
              <w:left w:val="nil"/>
              <w:bottom w:val="single" w:sz="12" w:space="0" w:color="auto"/>
              <w:right w:val="nil"/>
            </w:tcBorders>
          </w:tcPr>
          <w:p w:rsidR="00CA109F" w:rsidRPr="00FD06BE" w:rsidRDefault="00CA109F" w:rsidP="00983B43">
            <w:pPr>
              <w:spacing w:before="120"/>
              <w:jc w:val="center"/>
            </w:pPr>
          </w:p>
        </w:tc>
        <w:tc>
          <w:tcPr>
            <w:tcW w:w="6963" w:type="dxa"/>
            <w:gridSpan w:val="2"/>
            <w:tcBorders>
              <w:top w:val="single" w:sz="4" w:space="0" w:color="auto"/>
              <w:left w:val="nil"/>
              <w:bottom w:val="single" w:sz="12" w:space="0" w:color="auto"/>
              <w:right w:val="nil"/>
            </w:tcBorders>
          </w:tcPr>
          <w:p w:rsidR="00CA109F" w:rsidRPr="00FD06BE" w:rsidRDefault="00207B86" w:rsidP="00952C04">
            <w:pPr>
              <w:spacing w:before="120" w:line="420" w:lineRule="exact"/>
              <w:ind w:right="-1371"/>
              <w:rPr>
                <w:b/>
                <w:sz w:val="40"/>
                <w:szCs w:val="40"/>
              </w:rPr>
            </w:pPr>
            <w:r>
              <w:rPr>
                <w:b/>
                <w:sz w:val="40"/>
                <w:szCs w:val="40"/>
              </w:rPr>
              <w:t>V</w:t>
            </w:r>
            <w:r w:rsidR="00CF6D22">
              <w:rPr>
                <w:b/>
                <w:sz w:val="40"/>
                <w:szCs w:val="40"/>
              </w:rPr>
              <w:t>ersion</w:t>
            </w:r>
            <w:r>
              <w:rPr>
                <w:b/>
                <w:sz w:val="40"/>
                <w:szCs w:val="40"/>
              </w:rPr>
              <w:t xml:space="preserve"> with footnotes</w:t>
            </w:r>
          </w:p>
        </w:tc>
        <w:tc>
          <w:tcPr>
            <w:tcW w:w="2930" w:type="dxa"/>
            <w:tcBorders>
              <w:top w:val="single" w:sz="4" w:space="0" w:color="auto"/>
              <w:left w:val="nil"/>
              <w:bottom w:val="single" w:sz="12" w:space="0" w:color="auto"/>
              <w:right w:val="nil"/>
            </w:tcBorders>
          </w:tcPr>
          <w:p w:rsidR="00CA109F" w:rsidRPr="00FD06BE" w:rsidRDefault="00CA109F" w:rsidP="00983B43">
            <w:pPr>
              <w:spacing w:line="240" w:lineRule="exact"/>
            </w:pPr>
          </w:p>
        </w:tc>
      </w:tr>
    </w:tbl>
    <w:p w:rsidR="00CA109F" w:rsidRPr="00FD06BE" w:rsidRDefault="00CA109F" w:rsidP="00CA109F">
      <w:pPr>
        <w:pStyle w:val="Body1"/>
        <w:spacing w:before="120"/>
        <w:rPr>
          <w:b/>
          <w:sz w:val="24"/>
        </w:rPr>
      </w:pPr>
      <w:r w:rsidRPr="00FD06BE">
        <w:rPr>
          <w:rFonts w:hAnsi="Arial Unicode MS"/>
          <w:b/>
          <w:sz w:val="24"/>
        </w:rPr>
        <w:t>Human Rights Council</w:t>
      </w:r>
    </w:p>
    <w:p w:rsidR="00CA109F" w:rsidRPr="00FD06BE" w:rsidRDefault="00CA109F" w:rsidP="00CA109F">
      <w:pPr>
        <w:pStyle w:val="Body1"/>
        <w:rPr>
          <w:b/>
        </w:rPr>
      </w:pPr>
      <w:r>
        <w:rPr>
          <w:rFonts w:hAnsi="Arial Unicode MS"/>
          <w:b/>
        </w:rPr>
        <w:t xml:space="preserve">Thirty-second </w:t>
      </w:r>
      <w:r w:rsidRPr="00FD06BE">
        <w:rPr>
          <w:rFonts w:hAnsi="Arial Unicode MS"/>
          <w:b/>
        </w:rPr>
        <w:t>session</w:t>
      </w:r>
    </w:p>
    <w:p w:rsidR="00CA109F" w:rsidRPr="00FD06BE" w:rsidRDefault="00CA109F" w:rsidP="00CA109F">
      <w:pPr>
        <w:pStyle w:val="Body1"/>
      </w:pPr>
      <w:r w:rsidRPr="00FD06BE">
        <w:rPr>
          <w:rFonts w:hAnsi="Arial Unicode MS"/>
        </w:rPr>
        <w:t>Agenda item 3</w:t>
      </w:r>
    </w:p>
    <w:p w:rsidR="00CA109F" w:rsidRPr="00FD06BE" w:rsidRDefault="00CA109F" w:rsidP="00CA109F">
      <w:pPr>
        <w:pStyle w:val="Body1"/>
        <w:rPr>
          <w:b/>
        </w:rPr>
      </w:pPr>
      <w:r w:rsidRPr="00FD06BE">
        <w:rPr>
          <w:rFonts w:hAnsi="Arial Unicode MS"/>
          <w:b/>
        </w:rPr>
        <w:t>Promotion and protection of all human rights, civil,</w:t>
      </w:r>
    </w:p>
    <w:p w:rsidR="00CA109F" w:rsidRPr="00FD06BE" w:rsidRDefault="00CA109F" w:rsidP="00CA109F">
      <w:pPr>
        <w:pStyle w:val="Body1"/>
        <w:rPr>
          <w:b/>
        </w:rPr>
      </w:pPr>
      <w:proofErr w:type="gramStart"/>
      <w:r w:rsidRPr="00FD06BE">
        <w:rPr>
          <w:rFonts w:hAnsi="Arial Unicode MS"/>
          <w:b/>
        </w:rPr>
        <w:t>political</w:t>
      </w:r>
      <w:proofErr w:type="gramEnd"/>
      <w:r w:rsidRPr="00FD06BE">
        <w:rPr>
          <w:rFonts w:hAnsi="Arial Unicode MS"/>
          <w:b/>
        </w:rPr>
        <w:t>, economic, social and cultural rights,</w:t>
      </w:r>
    </w:p>
    <w:p w:rsidR="00CA109F" w:rsidRDefault="00CA109F" w:rsidP="00CA109F">
      <w:pPr>
        <w:pStyle w:val="Body1"/>
        <w:rPr>
          <w:rFonts w:hAnsi="Arial Unicode MS"/>
          <w:b/>
        </w:rPr>
      </w:pPr>
      <w:proofErr w:type="gramStart"/>
      <w:r w:rsidRPr="00FD06BE">
        <w:rPr>
          <w:rFonts w:hAnsi="Arial Unicode MS"/>
          <w:b/>
        </w:rPr>
        <w:t>including</w:t>
      </w:r>
      <w:proofErr w:type="gramEnd"/>
      <w:r w:rsidRPr="00FD06BE">
        <w:rPr>
          <w:rFonts w:hAnsi="Arial Unicode MS"/>
          <w:b/>
        </w:rPr>
        <w:t xml:space="preserve"> the right to development</w:t>
      </w:r>
    </w:p>
    <w:p w:rsidR="00CA109F" w:rsidRPr="00FD06BE" w:rsidRDefault="00CA109F" w:rsidP="00CA109F">
      <w:pPr>
        <w:pStyle w:val="HChG"/>
        <w:rPr>
          <w:rFonts w:eastAsia="Arial Unicode MS"/>
          <w:u w:color="000000"/>
        </w:rPr>
      </w:pPr>
      <w:r w:rsidRPr="00FD06BE">
        <w:rPr>
          <w:rFonts w:eastAsia="Arial Unicode MS"/>
          <w:u w:color="000000"/>
        </w:rPr>
        <w:tab/>
      </w:r>
      <w:r w:rsidRPr="00FD06BE">
        <w:rPr>
          <w:rFonts w:eastAsia="Arial Unicode MS"/>
          <w:u w:color="000000"/>
        </w:rPr>
        <w:tab/>
      </w:r>
      <w:r w:rsidRPr="00405011">
        <w:rPr>
          <w:rFonts w:eastAsia="Arial Unicode MS"/>
          <w:u w:color="000000"/>
        </w:rPr>
        <w:t>Report of the Working Group on the issue of discrimination against women in law and in practice</w:t>
      </w:r>
    </w:p>
    <w:p w:rsidR="00CA109F" w:rsidRPr="00FD06BE" w:rsidRDefault="00CA109F" w:rsidP="00CA109F">
      <w:pPr>
        <w:pStyle w:val="H1G"/>
      </w:pPr>
      <w:r w:rsidRPr="00FD06BE">
        <w:rPr>
          <w:lang w:val="en-US"/>
        </w:rPr>
        <w:tab/>
      </w:r>
      <w:r w:rsidRPr="00FD06BE">
        <w:rPr>
          <w:lang w:val="en-US"/>
        </w:rPr>
        <w:tab/>
      </w:r>
      <w:r w:rsidRPr="00FD06BE">
        <w:t>Note by the Secretariat</w:t>
      </w:r>
    </w:p>
    <w:p w:rsidR="00CA109F" w:rsidRPr="00405011" w:rsidRDefault="00CA109F" w:rsidP="00CA109F">
      <w:pPr>
        <w:ind w:left="1134" w:right="1134" w:firstLine="567"/>
        <w:jc w:val="both"/>
      </w:pPr>
      <w:r w:rsidRPr="00FD06BE">
        <w:t xml:space="preserve">The Secretariat has the honour to transmit to the Human Rights Council the report of the </w:t>
      </w:r>
      <w:r w:rsidRPr="00405011">
        <w:t>Working Group on the issue of discrimination against women</w:t>
      </w:r>
      <w:r>
        <w:t xml:space="preserve"> in law and in practice</w:t>
      </w:r>
      <w:r w:rsidRPr="00405011">
        <w:t xml:space="preserve"> </w:t>
      </w:r>
      <w:r>
        <w:t>pursuant to</w:t>
      </w:r>
      <w:r w:rsidRPr="007060CC">
        <w:rPr>
          <w:rFonts w:asciiTheme="majorBidi" w:eastAsia="SimSun" w:hAnsiTheme="majorBidi" w:cstheme="majorBidi"/>
          <w:sz w:val="24"/>
          <w:szCs w:val="24"/>
          <w:lang w:eastAsia="zh-CN"/>
        </w:rPr>
        <w:t xml:space="preserve"> </w:t>
      </w:r>
      <w:r>
        <w:t xml:space="preserve">Council </w:t>
      </w:r>
      <w:r w:rsidRPr="007060CC">
        <w:t>resolutions 15/23 and 26/5</w:t>
      </w:r>
      <w:r>
        <w:t>.</w:t>
      </w:r>
      <w:r w:rsidRPr="00405011">
        <w:t xml:space="preserve"> </w:t>
      </w:r>
      <w:r>
        <w:t xml:space="preserve">In its report, the Working Group </w:t>
      </w:r>
      <w:r w:rsidRPr="00405011">
        <w:t>addresses the issue of discrimination against women with regard to health and safety</w:t>
      </w:r>
      <w:r>
        <w:t>. T</w:t>
      </w:r>
      <w:r w:rsidRPr="008D078B">
        <w:t>he instrumentalization of women’s bodies lies at the heart of discrimination against women, obstructing the achievement of the</w:t>
      </w:r>
      <w:r>
        <w:t>ir</w:t>
      </w:r>
      <w:r w:rsidRPr="008D078B">
        <w:t xml:space="preserve"> highest attainable standard of health. </w:t>
      </w:r>
      <w:r>
        <w:t>The Working Group</w:t>
      </w:r>
      <w:r w:rsidRPr="008D078B">
        <w:t xml:space="preserve"> highlights in particular the health and safety situation of women who experience discrimination on multiple and intersecti</w:t>
      </w:r>
      <w:r>
        <w:t>onal grounds. Women’s non-discriminatory</w:t>
      </w:r>
      <w:r w:rsidRPr="008D078B">
        <w:t xml:space="preserve"> </w:t>
      </w:r>
      <w:r>
        <w:t>enjoyment of the right</w:t>
      </w:r>
      <w:r w:rsidRPr="008D078B">
        <w:t xml:space="preserve"> to health</w:t>
      </w:r>
      <w:r>
        <w:t xml:space="preserve"> </w:t>
      </w:r>
      <w:r w:rsidRPr="008D078B">
        <w:t>must be autonomous, effective and affordable</w:t>
      </w:r>
      <w:r>
        <w:t xml:space="preserve"> and </w:t>
      </w:r>
      <w:r w:rsidRPr="008D078B">
        <w:t xml:space="preserve">the State has the primary responsibility to respect, protect and fulfil women’s </w:t>
      </w:r>
      <w:r>
        <w:t>right</w:t>
      </w:r>
      <w:r w:rsidRPr="008D078B">
        <w:t xml:space="preserve"> to health in law and in practice, including where h</w:t>
      </w:r>
      <w:r>
        <w:t xml:space="preserve">ealth services are provided by </w:t>
      </w:r>
      <w:r w:rsidRPr="008D078B">
        <w:t xml:space="preserve">private actors. </w:t>
      </w:r>
    </w:p>
    <w:p w:rsidR="00CA109F" w:rsidRPr="007553F1" w:rsidRDefault="00CA109F" w:rsidP="00CF6D22">
      <w:pPr>
        <w:pStyle w:val="HChG"/>
      </w:pPr>
      <w:r w:rsidRPr="0027369D">
        <w:br w:type="page"/>
      </w:r>
      <w:r w:rsidR="007553F1">
        <w:lastRenderedPageBreak/>
        <w:tab/>
      </w:r>
      <w:r w:rsidR="007553F1">
        <w:tab/>
      </w:r>
      <w:r w:rsidRPr="007553F1">
        <w:rPr>
          <w:rFonts w:eastAsia="Arial Unicode MS"/>
          <w:u w:color="000000"/>
        </w:rPr>
        <w:t>Report of the Working Group on the issue of discrimination against women in law and in practice</w:t>
      </w:r>
    </w:p>
    <w:p w:rsidR="00CA109F" w:rsidRPr="0096200B" w:rsidRDefault="00CA109F" w:rsidP="00CA109F">
      <w:pPr>
        <w:spacing w:after="120"/>
        <w:rPr>
          <w:sz w:val="28"/>
          <w:lang w:val="fr-CH"/>
        </w:rPr>
      </w:pPr>
      <w:r w:rsidRPr="0096200B">
        <w:rPr>
          <w:sz w:val="28"/>
          <w:lang w:val="fr-CH"/>
        </w:rPr>
        <w:t>Contents</w:t>
      </w:r>
    </w:p>
    <w:p w:rsidR="00CA109F" w:rsidRPr="003120C3" w:rsidRDefault="00CA109F" w:rsidP="00CA109F">
      <w:pPr>
        <w:tabs>
          <w:tab w:val="right" w:pos="9638"/>
        </w:tabs>
        <w:spacing w:after="120"/>
        <w:ind w:left="283"/>
        <w:rPr>
          <w:i/>
          <w:sz w:val="18"/>
          <w:lang w:val="fr-CH"/>
        </w:rPr>
      </w:pPr>
      <w:r>
        <w:rPr>
          <w:i/>
          <w:sz w:val="18"/>
          <w:lang w:val="fr-CH"/>
        </w:rPr>
        <w:tab/>
      </w:r>
      <w:r w:rsidRPr="003120C3">
        <w:rPr>
          <w:i/>
          <w:sz w:val="18"/>
          <w:lang w:val="fr-CH"/>
        </w:rPr>
        <w:t>Page</w:t>
      </w:r>
    </w:p>
    <w:p w:rsidR="00CA109F" w:rsidRPr="008E46B2" w:rsidRDefault="00CA109F" w:rsidP="00CA109F">
      <w:pPr>
        <w:tabs>
          <w:tab w:val="right" w:pos="850"/>
          <w:tab w:val="left" w:pos="1134"/>
          <w:tab w:val="left" w:pos="1559"/>
          <w:tab w:val="left" w:pos="1984"/>
          <w:tab w:val="left" w:leader="dot" w:pos="8929"/>
          <w:tab w:val="right" w:pos="9638"/>
        </w:tabs>
        <w:spacing w:after="120"/>
        <w:rPr>
          <w:lang w:val="fr-CH"/>
        </w:rPr>
      </w:pPr>
      <w:r w:rsidRPr="008E46B2">
        <w:rPr>
          <w:lang w:val="fr-CH"/>
        </w:rPr>
        <w:tab/>
        <w:t>I.</w:t>
      </w:r>
      <w:r w:rsidRPr="008E46B2">
        <w:rPr>
          <w:lang w:val="fr-CH"/>
        </w:rPr>
        <w:tab/>
        <w:t>Introduction</w:t>
      </w:r>
      <w:r w:rsidRPr="008E46B2">
        <w:rPr>
          <w:lang w:val="fr-CH"/>
        </w:rPr>
        <w:tab/>
      </w:r>
      <w:r w:rsidRPr="008E46B2">
        <w:rPr>
          <w:lang w:val="fr-CH"/>
        </w:rPr>
        <w:tab/>
        <w:t>3</w:t>
      </w:r>
    </w:p>
    <w:p w:rsidR="00CA109F" w:rsidRPr="007553F1" w:rsidRDefault="00CA109F" w:rsidP="00CA109F">
      <w:pPr>
        <w:tabs>
          <w:tab w:val="right" w:pos="850"/>
          <w:tab w:val="left" w:pos="1134"/>
          <w:tab w:val="left" w:pos="1559"/>
          <w:tab w:val="left" w:pos="1984"/>
          <w:tab w:val="left" w:leader="dot" w:pos="8929"/>
          <w:tab w:val="right" w:pos="9638"/>
        </w:tabs>
        <w:spacing w:after="120"/>
        <w:rPr>
          <w:lang w:val="fr-FR"/>
        </w:rPr>
      </w:pPr>
      <w:r w:rsidRPr="008E46B2">
        <w:rPr>
          <w:lang w:val="fr-CH"/>
        </w:rPr>
        <w:tab/>
      </w:r>
      <w:r w:rsidRPr="007553F1">
        <w:rPr>
          <w:lang w:val="fr-FR"/>
        </w:rPr>
        <w:t>II.</w:t>
      </w:r>
      <w:r w:rsidRPr="007553F1">
        <w:rPr>
          <w:lang w:val="fr-FR"/>
        </w:rPr>
        <w:tab/>
        <w:t>Activities</w:t>
      </w:r>
      <w:r w:rsidRPr="007553F1">
        <w:rPr>
          <w:lang w:val="fr-FR"/>
        </w:rPr>
        <w:tab/>
      </w:r>
      <w:r w:rsidRPr="007553F1">
        <w:rPr>
          <w:lang w:val="fr-FR"/>
        </w:rPr>
        <w:tab/>
      </w:r>
      <w:r w:rsidRPr="007553F1">
        <w:rPr>
          <w:lang w:val="fr-FR"/>
        </w:rPr>
        <w:tab/>
        <w:t>3</w:t>
      </w:r>
    </w:p>
    <w:p w:rsidR="00CA109F" w:rsidRPr="008E46B2" w:rsidRDefault="00CA109F" w:rsidP="00CA109F">
      <w:pPr>
        <w:tabs>
          <w:tab w:val="right" w:pos="850"/>
          <w:tab w:val="left" w:pos="1134"/>
          <w:tab w:val="left" w:pos="1559"/>
          <w:tab w:val="left" w:pos="1984"/>
          <w:tab w:val="left" w:leader="dot" w:pos="8929"/>
          <w:tab w:val="right" w:pos="9638"/>
        </w:tabs>
        <w:spacing w:after="120"/>
      </w:pPr>
      <w:r w:rsidRPr="007553F1">
        <w:rPr>
          <w:lang w:val="fr-FR"/>
        </w:rPr>
        <w:tab/>
      </w:r>
      <w:r w:rsidRPr="007553F1">
        <w:rPr>
          <w:lang w:val="fr-FR"/>
        </w:rPr>
        <w:tab/>
      </w:r>
      <w:r w:rsidRPr="008E46B2">
        <w:t>A.</w:t>
      </w:r>
      <w:r w:rsidRPr="008E46B2">
        <w:tab/>
        <w:t>Sessions</w:t>
      </w:r>
      <w:r w:rsidRPr="008E46B2">
        <w:tab/>
      </w:r>
      <w:r w:rsidRPr="008E46B2">
        <w:tab/>
      </w:r>
      <w:r>
        <w:t>3</w:t>
      </w:r>
    </w:p>
    <w:p w:rsidR="00CA109F" w:rsidRPr="008E46B2" w:rsidRDefault="00CA109F" w:rsidP="00CA109F">
      <w:pPr>
        <w:tabs>
          <w:tab w:val="right" w:pos="850"/>
          <w:tab w:val="left" w:pos="1134"/>
          <w:tab w:val="left" w:pos="1559"/>
          <w:tab w:val="left" w:pos="1984"/>
          <w:tab w:val="left" w:leader="dot" w:pos="8929"/>
          <w:tab w:val="right" w:pos="9638"/>
        </w:tabs>
        <w:spacing w:after="120"/>
      </w:pPr>
      <w:r w:rsidRPr="008E46B2">
        <w:tab/>
      </w:r>
      <w:r w:rsidRPr="008E46B2">
        <w:tab/>
        <w:t>B.</w:t>
      </w:r>
      <w:r w:rsidRPr="008E46B2">
        <w:tab/>
        <w:t>Country visits</w:t>
      </w:r>
      <w:r w:rsidRPr="008E46B2">
        <w:tab/>
      </w:r>
      <w:r w:rsidRPr="008E46B2">
        <w:tab/>
      </w:r>
      <w:r>
        <w:t>3</w:t>
      </w:r>
    </w:p>
    <w:p w:rsidR="00CA109F" w:rsidRPr="008E46B2" w:rsidRDefault="00CA109F" w:rsidP="00CA109F">
      <w:pPr>
        <w:tabs>
          <w:tab w:val="right" w:pos="850"/>
          <w:tab w:val="left" w:pos="1134"/>
          <w:tab w:val="left" w:pos="1559"/>
          <w:tab w:val="left" w:pos="1984"/>
          <w:tab w:val="left" w:leader="dot" w:pos="8929"/>
          <w:tab w:val="right" w:pos="9638"/>
        </w:tabs>
        <w:spacing w:after="120"/>
      </w:pPr>
      <w:r>
        <w:tab/>
      </w:r>
      <w:r>
        <w:tab/>
        <w:t>C.</w:t>
      </w:r>
      <w:r w:rsidRPr="008E46B2">
        <w:tab/>
        <w:t>Communications and press releases</w:t>
      </w:r>
      <w:r w:rsidR="009D4DD4">
        <w:tab/>
      </w:r>
      <w:r w:rsidR="009D4DD4">
        <w:tab/>
        <w:t>4</w:t>
      </w:r>
    </w:p>
    <w:p w:rsidR="00CA109F" w:rsidRDefault="00CA109F" w:rsidP="00CA109F">
      <w:pPr>
        <w:tabs>
          <w:tab w:val="right" w:pos="850"/>
          <w:tab w:val="left" w:pos="1134"/>
          <w:tab w:val="left" w:pos="1559"/>
          <w:tab w:val="left" w:pos="1984"/>
          <w:tab w:val="left" w:leader="dot" w:pos="8929"/>
          <w:tab w:val="right" w:pos="9638"/>
        </w:tabs>
        <w:spacing w:after="120"/>
      </w:pPr>
      <w:r>
        <w:tab/>
      </w:r>
      <w:r>
        <w:tab/>
        <w:t>D.</w:t>
      </w:r>
      <w:r w:rsidRPr="008E46B2">
        <w:tab/>
      </w:r>
      <w:r w:rsidRPr="00E71192">
        <w:t>Other activities</w:t>
      </w:r>
      <w:r>
        <w:tab/>
      </w:r>
      <w:r>
        <w:tab/>
        <w:t>4</w:t>
      </w:r>
    </w:p>
    <w:p w:rsidR="00CA109F" w:rsidRPr="00E71192" w:rsidRDefault="00CA109F" w:rsidP="00CA109F">
      <w:pPr>
        <w:tabs>
          <w:tab w:val="right" w:pos="850"/>
          <w:tab w:val="left" w:pos="1134"/>
          <w:tab w:val="left" w:pos="1559"/>
          <w:tab w:val="left" w:pos="1984"/>
          <w:tab w:val="left" w:leader="dot" w:pos="8929"/>
          <w:tab w:val="right" w:pos="9638"/>
        </w:tabs>
        <w:spacing w:after="120"/>
      </w:pPr>
      <w:r w:rsidRPr="00E71192">
        <w:tab/>
        <w:t>III.</w:t>
      </w:r>
      <w:r w:rsidRPr="00E71192">
        <w:tab/>
        <w:t>Thematic analysis: eliminating discrimination against women with regard to health and safety</w:t>
      </w:r>
      <w:r w:rsidRPr="00E71192">
        <w:tab/>
      </w:r>
      <w:r w:rsidRPr="00E71192">
        <w:tab/>
      </w:r>
      <w:r>
        <w:t>4</w:t>
      </w:r>
    </w:p>
    <w:p w:rsidR="00CA109F" w:rsidRPr="008000EA" w:rsidRDefault="00CA109F" w:rsidP="00CA109F">
      <w:pPr>
        <w:tabs>
          <w:tab w:val="right" w:pos="850"/>
          <w:tab w:val="left" w:pos="1134"/>
          <w:tab w:val="left" w:pos="1559"/>
          <w:tab w:val="left" w:pos="1984"/>
          <w:tab w:val="left" w:leader="dot" w:pos="8929"/>
          <w:tab w:val="right" w:pos="9638"/>
        </w:tabs>
        <w:spacing w:after="120"/>
        <w:rPr>
          <w:lang w:val="en-US"/>
        </w:rPr>
      </w:pPr>
      <w:r w:rsidRPr="00E71192">
        <w:tab/>
      </w:r>
      <w:r w:rsidRPr="00E71192">
        <w:tab/>
      </w:r>
      <w:r w:rsidRPr="008000EA">
        <w:rPr>
          <w:lang w:val="en-US"/>
        </w:rPr>
        <w:t>A.</w:t>
      </w:r>
      <w:r w:rsidRPr="008000EA">
        <w:rPr>
          <w:lang w:val="en-US"/>
        </w:rPr>
        <w:tab/>
      </w:r>
      <w:r>
        <w:rPr>
          <w:lang w:val="en-US"/>
        </w:rPr>
        <w:t>Conceptual framework</w:t>
      </w:r>
      <w:r w:rsidRPr="008000EA">
        <w:rPr>
          <w:lang w:val="en-US"/>
        </w:rPr>
        <w:tab/>
      </w:r>
      <w:r w:rsidRPr="008000EA">
        <w:rPr>
          <w:lang w:val="en-US"/>
        </w:rPr>
        <w:tab/>
      </w:r>
      <w:r>
        <w:rPr>
          <w:lang w:val="en-US"/>
        </w:rPr>
        <w:t>4</w:t>
      </w:r>
    </w:p>
    <w:p w:rsidR="00CA109F" w:rsidRPr="008000EA" w:rsidRDefault="00CA109F" w:rsidP="00CA109F">
      <w:pPr>
        <w:tabs>
          <w:tab w:val="right" w:pos="850"/>
          <w:tab w:val="left" w:pos="1134"/>
          <w:tab w:val="left" w:pos="1559"/>
          <w:tab w:val="left" w:pos="1984"/>
          <w:tab w:val="left" w:leader="dot" w:pos="8929"/>
          <w:tab w:val="right" w:pos="9638"/>
        </w:tabs>
        <w:spacing w:after="120"/>
        <w:rPr>
          <w:lang w:val="en-US"/>
        </w:rPr>
      </w:pPr>
      <w:r w:rsidRPr="008000EA">
        <w:rPr>
          <w:lang w:val="en-US"/>
        </w:rPr>
        <w:tab/>
      </w:r>
      <w:r w:rsidRPr="008000EA">
        <w:rPr>
          <w:lang w:val="en-US"/>
        </w:rPr>
        <w:tab/>
        <w:t>B.</w:t>
      </w:r>
      <w:r w:rsidRPr="008000EA">
        <w:rPr>
          <w:lang w:val="en-US"/>
        </w:rPr>
        <w:tab/>
      </w:r>
      <w:r>
        <w:rPr>
          <w:lang w:val="en-US"/>
        </w:rPr>
        <w:t>Meaning of equality in women’s health and safety</w:t>
      </w:r>
      <w:r w:rsidRPr="008000EA">
        <w:rPr>
          <w:lang w:val="en-US"/>
        </w:rPr>
        <w:tab/>
      </w:r>
      <w:r w:rsidRPr="008000EA">
        <w:rPr>
          <w:lang w:val="en-US"/>
        </w:rPr>
        <w:tab/>
        <w:t>6</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t>Discriminatory practices</w:t>
      </w:r>
      <w:r w:rsidRPr="008000EA">
        <w:rPr>
          <w:lang w:val="en-US"/>
        </w:rPr>
        <w:tab/>
      </w:r>
      <w:r w:rsidRPr="008000EA">
        <w:rPr>
          <w:lang w:val="en-US"/>
        </w:rPr>
        <w:tab/>
        <w:t>7</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t>Instrumentalization of women’s bodies</w:t>
      </w:r>
      <w:r>
        <w:rPr>
          <w:lang w:val="en-US"/>
        </w:rPr>
        <w:tab/>
      </w:r>
      <w:r>
        <w:rPr>
          <w:lang w:val="en-US"/>
        </w:rPr>
        <w:tab/>
        <w:t>12</w:t>
      </w:r>
    </w:p>
    <w:p w:rsidR="00CA109F" w:rsidRPr="008000EA"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E.</w:t>
      </w:r>
      <w:r>
        <w:rPr>
          <w:lang w:val="en-US"/>
        </w:rPr>
        <w:tab/>
        <w:t>Autonomous, affordable and effective access to health care</w:t>
      </w:r>
      <w:r>
        <w:rPr>
          <w:lang w:val="en-US"/>
        </w:rPr>
        <w:tab/>
      </w:r>
      <w:r>
        <w:rPr>
          <w:lang w:val="en-US"/>
        </w:rPr>
        <w:tab/>
        <w:t>16</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t>IV</w:t>
      </w:r>
      <w:r w:rsidRPr="008000EA">
        <w:rPr>
          <w:lang w:val="en-US"/>
        </w:rPr>
        <w:t>.</w:t>
      </w:r>
      <w:r w:rsidRPr="008000EA">
        <w:rPr>
          <w:lang w:val="en-US"/>
        </w:rPr>
        <w:tab/>
        <w:t>Conclusions and recommendations</w:t>
      </w:r>
      <w:r w:rsidRPr="008000EA">
        <w:rPr>
          <w:lang w:val="en-US"/>
        </w:rPr>
        <w:tab/>
      </w:r>
      <w:r w:rsidRPr="008000EA">
        <w:rPr>
          <w:lang w:val="en-US"/>
        </w:rPr>
        <w:tab/>
      </w:r>
      <w:r w:rsidR="00A7285A">
        <w:rPr>
          <w:lang w:val="en-US"/>
        </w:rPr>
        <w:t>18</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027BF0">
        <w:rPr>
          <w:lang w:val="en-US"/>
        </w:rPr>
        <w:t>General recommendations</w:t>
      </w:r>
      <w:r w:rsidR="00086C5A">
        <w:rPr>
          <w:lang w:val="en-US"/>
        </w:rPr>
        <w:tab/>
      </w:r>
      <w:r w:rsidR="00086C5A">
        <w:rPr>
          <w:lang w:val="en-US"/>
        </w:rPr>
        <w:tab/>
        <w:t>19</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r>
      <w:r w:rsidRPr="00027BF0">
        <w:rPr>
          <w:lang w:val="en-US"/>
        </w:rPr>
        <w:t>Equality and non-discrimination</w:t>
      </w:r>
      <w:r w:rsidR="008752EF">
        <w:rPr>
          <w:lang w:val="en-US"/>
        </w:rPr>
        <w:tab/>
      </w:r>
      <w:r w:rsidR="008752EF">
        <w:rPr>
          <w:lang w:val="en-US"/>
        </w:rPr>
        <w:tab/>
        <w:t>19</w:t>
      </w:r>
    </w:p>
    <w:p w:rsidR="00CA109F"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r>
      <w:r w:rsidRPr="00027BF0">
        <w:rPr>
          <w:lang w:val="en-US"/>
        </w:rPr>
        <w:t>Instrumentalization of women’s bodies</w:t>
      </w:r>
      <w:r>
        <w:rPr>
          <w:lang w:val="en-US"/>
        </w:rPr>
        <w:tab/>
      </w:r>
      <w:r>
        <w:rPr>
          <w:lang w:val="en-US"/>
        </w:rPr>
        <w:tab/>
        <w:t>21</w:t>
      </w:r>
    </w:p>
    <w:p w:rsidR="00CA109F" w:rsidRPr="008000EA" w:rsidRDefault="00CA109F" w:rsidP="00CA109F">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r>
      <w:r w:rsidRPr="00027BF0">
        <w:rPr>
          <w:lang w:val="en-US"/>
        </w:rPr>
        <w:t>Autonomous, affordable and effective access to health</w:t>
      </w:r>
      <w:r w:rsidR="00AC77C5">
        <w:rPr>
          <w:lang w:val="en-US"/>
        </w:rPr>
        <w:t xml:space="preserve"> </w:t>
      </w:r>
      <w:r w:rsidRPr="00027BF0">
        <w:rPr>
          <w:lang w:val="en-US"/>
        </w:rPr>
        <w:t>care</w:t>
      </w:r>
      <w:r>
        <w:rPr>
          <w:lang w:val="en-US"/>
        </w:rPr>
        <w:tab/>
      </w:r>
      <w:r>
        <w:rPr>
          <w:lang w:val="en-US"/>
        </w:rPr>
        <w:tab/>
        <w:t>22</w:t>
      </w:r>
    </w:p>
    <w:p w:rsidR="00CA109F" w:rsidRPr="00FD06BE" w:rsidRDefault="00CA109F" w:rsidP="00CA109F">
      <w:pPr>
        <w:pStyle w:val="HChG"/>
        <w:rPr>
          <w:rFonts w:eastAsia="Cambria"/>
          <w:lang w:val="en-CA"/>
        </w:rPr>
      </w:pPr>
      <w:bookmarkStart w:id="0" w:name="_Toc433579662"/>
      <w:bookmarkStart w:id="1" w:name="_Toc437186750"/>
      <w:bookmarkStart w:id="2" w:name="_Toc437187392"/>
      <w:bookmarkStart w:id="3" w:name="_Toc437599728"/>
      <w:r w:rsidRPr="00FD06BE">
        <w:br w:type="page"/>
      </w:r>
      <w:r w:rsidRPr="00FD06BE">
        <w:rPr>
          <w:rFonts w:eastAsia="Cambria"/>
          <w:lang w:val="en-CA"/>
        </w:rPr>
        <w:lastRenderedPageBreak/>
        <w:tab/>
        <w:t>I.</w:t>
      </w:r>
      <w:r w:rsidRPr="00FD06BE">
        <w:rPr>
          <w:rFonts w:eastAsia="Cambria"/>
          <w:lang w:val="en-CA"/>
        </w:rPr>
        <w:tab/>
        <w:t>Introduction</w:t>
      </w:r>
      <w:bookmarkEnd w:id="0"/>
      <w:bookmarkEnd w:id="1"/>
      <w:bookmarkEnd w:id="2"/>
      <w:bookmarkEnd w:id="3"/>
      <w:r w:rsidRPr="00FD06BE">
        <w:rPr>
          <w:rFonts w:eastAsia="Cambria"/>
          <w:lang w:val="en-CA"/>
        </w:rPr>
        <w:t xml:space="preserve"> </w:t>
      </w:r>
    </w:p>
    <w:p w:rsidR="00CA109F" w:rsidRDefault="00CA109F" w:rsidP="00CA109F">
      <w:pPr>
        <w:pStyle w:val="SingleTxtG"/>
        <w:rPr>
          <w:rFonts w:eastAsia="Cambria"/>
        </w:rPr>
      </w:pPr>
      <w:r w:rsidRPr="00FD06BE">
        <w:rPr>
          <w:rFonts w:eastAsia="Cambria"/>
          <w:lang w:val="en-CA"/>
        </w:rPr>
        <w:t>1.</w:t>
      </w:r>
      <w:r w:rsidRPr="00FD06BE">
        <w:rPr>
          <w:rFonts w:eastAsia="Cambria"/>
          <w:lang w:val="en-CA"/>
        </w:rPr>
        <w:tab/>
      </w:r>
      <w:r w:rsidRPr="00C613B9">
        <w:rPr>
          <w:rFonts w:eastAsia="Cambria"/>
        </w:rPr>
        <w:t>The present report cover</w:t>
      </w:r>
      <w:r>
        <w:rPr>
          <w:rFonts w:eastAsia="Cambria"/>
        </w:rPr>
        <w:t>s</w:t>
      </w:r>
      <w:r w:rsidRPr="00C613B9">
        <w:rPr>
          <w:rFonts w:eastAsia="Cambria"/>
        </w:rPr>
        <w:t xml:space="preserve"> the </w:t>
      </w:r>
      <w:r>
        <w:rPr>
          <w:rFonts w:eastAsia="Cambria"/>
        </w:rPr>
        <w:t xml:space="preserve">activities of the </w:t>
      </w:r>
      <w:r w:rsidRPr="00C613B9">
        <w:rPr>
          <w:rFonts w:eastAsia="Cambria"/>
        </w:rPr>
        <w:t xml:space="preserve">Working Group </w:t>
      </w:r>
      <w:r>
        <w:rPr>
          <w:rFonts w:eastAsia="Cambria"/>
        </w:rPr>
        <w:t>on the issue of discrimination agains</w:t>
      </w:r>
      <w:r w:rsidR="00CA1D87">
        <w:rPr>
          <w:rFonts w:eastAsia="Cambria"/>
        </w:rPr>
        <w:t xml:space="preserve">t women in law and in practice </w:t>
      </w:r>
      <w:r>
        <w:rPr>
          <w:rFonts w:eastAsia="Cambria"/>
        </w:rPr>
        <w:t xml:space="preserve">undertaken </w:t>
      </w:r>
      <w:r w:rsidRPr="00C613B9">
        <w:rPr>
          <w:rFonts w:eastAsia="Cambria"/>
        </w:rPr>
        <w:t>since the submiss</w:t>
      </w:r>
      <w:r>
        <w:rPr>
          <w:rFonts w:eastAsia="Cambria"/>
        </w:rPr>
        <w:t>ion of its previous report (A/HRC/29</w:t>
      </w:r>
      <w:r w:rsidRPr="00C613B9">
        <w:rPr>
          <w:rFonts w:eastAsia="Cambria"/>
        </w:rPr>
        <w:t>/40) until March 2016</w:t>
      </w:r>
      <w:r>
        <w:rPr>
          <w:rFonts w:eastAsia="Cambria"/>
        </w:rPr>
        <w:t>.</w:t>
      </w:r>
      <w:r w:rsidRPr="00C613B9">
        <w:rPr>
          <w:rFonts w:eastAsia="Cambria"/>
        </w:rPr>
        <w:t xml:space="preserve"> </w:t>
      </w:r>
      <w:r>
        <w:rPr>
          <w:rFonts w:eastAsia="Cambria"/>
        </w:rPr>
        <w:t>It focuses</w:t>
      </w:r>
      <w:r w:rsidRPr="00C613B9">
        <w:rPr>
          <w:rFonts w:eastAsia="Cambria"/>
        </w:rPr>
        <w:t xml:space="preserve"> on </w:t>
      </w:r>
      <w:r>
        <w:rPr>
          <w:rFonts w:eastAsia="Cambria"/>
        </w:rPr>
        <w:t>an</w:t>
      </w:r>
      <w:r w:rsidRPr="00C613B9">
        <w:rPr>
          <w:rFonts w:eastAsia="Cambria"/>
        </w:rPr>
        <w:t xml:space="preserve"> analysis </w:t>
      </w:r>
      <w:r>
        <w:rPr>
          <w:rFonts w:eastAsia="Cambria"/>
        </w:rPr>
        <w:t xml:space="preserve">by the Working Group </w:t>
      </w:r>
      <w:r w:rsidRPr="00C613B9">
        <w:rPr>
          <w:rFonts w:eastAsia="Cambria"/>
        </w:rPr>
        <w:t>of discrimination against women wit</w:t>
      </w:r>
      <w:r>
        <w:rPr>
          <w:rFonts w:eastAsia="Cambria"/>
        </w:rPr>
        <w:t xml:space="preserve">h regard to health and safety. </w:t>
      </w:r>
    </w:p>
    <w:p w:rsidR="00CA109F" w:rsidRPr="00C613B9" w:rsidRDefault="00CA109F" w:rsidP="00CA109F">
      <w:pPr>
        <w:pStyle w:val="SingleTxtG"/>
        <w:rPr>
          <w:rFonts w:eastAsia="Cambria"/>
        </w:rPr>
      </w:pPr>
      <w:r>
        <w:rPr>
          <w:rFonts w:eastAsia="Cambria"/>
        </w:rPr>
        <w:t>2.</w:t>
      </w:r>
      <w:r>
        <w:rPr>
          <w:rFonts w:eastAsia="Cambria"/>
        </w:rPr>
        <w:tab/>
      </w:r>
      <w:r w:rsidRPr="00C613B9">
        <w:rPr>
          <w:rFonts w:eastAsia="Cambria"/>
        </w:rPr>
        <w:t>The roles of Chair-Rapporteur and Vice-Chair of the Working Group were carried out by Emna Aouij and Eleonora Zieli</w:t>
      </w:r>
      <w:r>
        <w:rPr>
          <w:rFonts w:eastAsia="Cambria"/>
        </w:rPr>
        <w:t>n</w:t>
      </w:r>
      <w:r w:rsidRPr="00C613B9">
        <w:rPr>
          <w:rFonts w:eastAsia="Cambria"/>
        </w:rPr>
        <w:t>ska</w:t>
      </w:r>
      <w:r>
        <w:rPr>
          <w:rFonts w:eastAsia="Cambria"/>
        </w:rPr>
        <w:t xml:space="preserve">, </w:t>
      </w:r>
      <w:r w:rsidRPr="00C613B9">
        <w:rPr>
          <w:rFonts w:eastAsia="Cambria"/>
        </w:rPr>
        <w:t>respectively</w:t>
      </w:r>
      <w:r>
        <w:rPr>
          <w:rFonts w:eastAsia="Cambria"/>
        </w:rPr>
        <w:t>,</w:t>
      </w:r>
      <w:r w:rsidRPr="00C613B9">
        <w:rPr>
          <w:rFonts w:eastAsia="Cambria"/>
        </w:rPr>
        <w:t xml:space="preserve"> until June 2015, and </w:t>
      </w:r>
      <w:r>
        <w:rPr>
          <w:rFonts w:eastAsia="Cambria"/>
        </w:rPr>
        <w:t>at the time of writing are</w:t>
      </w:r>
      <w:r w:rsidRPr="00C613B9">
        <w:rPr>
          <w:rFonts w:eastAsia="Cambria"/>
        </w:rPr>
        <w:t xml:space="preserve"> held by Eleonora Zielinska and Alda Facio, respectively.</w:t>
      </w:r>
    </w:p>
    <w:p w:rsidR="00CA109F" w:rsidRPr="008000EA" w:rsidRDefault="00CA109F" w:rsidP="00CA109F">
      <w:pPr>
        <w:pStyle w:val="HChG"/>
        <w:rPr>
          <w:rFonts w:eastAsia="Cambria"/>
        </w:rPr>
      </w:pPr>
      <w:bookmarkStart w:id="4" w:name="_Toc433579663"/>
      <w:bookmarkStart w:id="5" w:name="_Toc437186751"/>
      <w:bookmarkStart w:id="6" w:name="_Toc437187393"/>
      <w:bookmarkStart w:id="7" w:name="_Toc437599729"/>
      <w:r w:rsidRPr="008000EA">
        <w:rPr>
          <w:rFonts w:eastAsia="Cambria"/>
        </w:rPr>
        <w:tab/>
        <w:t>II.</w:t>
      </w:r>
      <w:r w:rsidRPr="008000EA">
        <w:rPr>
          <w:rFonts w:eastAsia="Cambria"/>
        </w:rPr>
        <w:tab/>
      </w:r>
      <w:bookmarkEnd w:id="4"/>
      <w:bookmarkEnd w:id="5"/>
      <w:bookmarkEnd w:id="6"/>
      <w:bookmarkEnd w:id="7"/>
      <w:r w:rsidRPr="000610B7">
        <w:rPr>
          <w:rFonts w:eastAsia="Cambria"/>
        </w:rPr>
        <w:t>Activities</w:t>
      </w:r>
      <w:r w:rsidRPr="008000EA">
        <w:rPr>
          <w:rFonts w:eastAsia="Cambria"/>
        </w:rPr>
        <w:t xml:space="preserve"> </w:t>
      </w:r>
    </w:p>
    <w:p w:rsidR="00CA109F" w:rsidRPr="00FD06BE" w:rsidRDefault="00CA109F" w:rsidP="00CA109F">
      <w:pPr>
        <w:pStyle w:val="H1G"/>
        <w:rPr>
          <w:rFonts w:eastAsia="Cambria"/>
          <w:szCs w:val="24"/>
          <w:lang w:val="en-CA"/>
        </w:rPr>
      </w:pPr>
      <w:bookmarkStart w:id="8" w:name="_Toc437186752"/>
      <w:bookmarkStart w:id="9" w:name="_Toc437187394"/>
      <w:bookmarkStart w:id="10" w:name="_Toc437599730"/>
      <w:r w:rsidRPr="00FD06BE">
        <w:rPr>
          <w:rFonts w:eastAsia="Cambria"/>
          <w:lang w:val="en-CA"/>
        </w:rPr>
        <w:tab/>
        <w:t>A.</w:t>
      </w:r>
      <w:r w:rsidRPr="00FD06BE">
        <w:rPr>
          <w:rFonts w:eastAsia="Cambria"/>
          <w:lang w:val="en-CA"/>
        </w:rPr>
        <w:tab/>
      </w:r>
      <w:bookmarkEnd w:id="8"/>
      <w:bookmarkEnd w:id="9"/>
      <w:bookmarkEnd w:id="10"/>
      <w:r w:rsidRPr="000610B7">
        <w:rPr>
          <w:rFonts w:eastAsia="Cambria"/>
        </w:rPr>
        <w:t>Sessions</w:t>
      </w:r>
    </w:p>
    <w:p w:rsidR="00CA109F" w:rsidRPr="00801FEA" w:rsidRDefault="00CA109F" w:rsidP="00CA109F">
      <w:pPr>
        <w:pStyle w:val="SingleTxtG"/>
        <w:rPr>
          <w:rFonts w:eastAsia="Cambria"/>
          <w:lang w:val="x-none"/>
        </w:rPr>
      </w:pPr>
      <w:r>
        <w:rPr>
          <w:rFonts w:eastAsia="Cambria"/>
        </w:rPr>
        <w:t>3.</w:t>
      </w:r>
      <w:r>
        <w:rPr>
          <w:rFonts w:eastAsia="Cambria"/>
        </w:rPr>
        <w:tab/>
      </w:r>
      <w:r w:rsidRPr="00801FEA">
        <w:rPr>
          <w:rFonts w:eastAsia="Cambria"/>
          <w:lang w:val="x-none"/>
        </w:rPr>
        <w:t>The Working Group held three sessions in Geneva during the period under rev</w:t>
      </w:r>
      <w:r>
        <w:rPr>
          <w:rFonts w:eastAsia="Cambria"/>
          <w:lang w:val="x-none"/>
        </w:rPr>
        <w:t>iew. At its thirteenth session</w:t>
      </w:r>
      <w:r w:rsidRPr="00801FEA">
        <w:rPr>
          <w:rFonts w:eastAsia="Cambria"/>
          <w:lang w:val="x-none"/>
        </w:rPr>
        <w:t xml:space="preserve"> </w:t>
      </w:r>
      <w:r>
        <w:rPr>
          <w:rFonts w:eastAsia="Cambria"/>
        </w:rPr>
        <w:t>(</w:t>
      </w:r>
      <w:r w:rsidRPr="00801FEA">
        <w:rPr>
          <w:rFonts w:eastAsia="Cambria"/>
          <w:lang w:val="x-none"/>
        </w:rPr>
        <w:t>4</w:t>
      </w:r>
      <w:r>
        <w:rPr>
          <w:rFonts w:eastAsia="Cambria"/>
        </w:rPr>
        <w:t>-</w:t>
      </w:r>
      <w:r w:rsidRPr="00801FEA">
        <w:rPr>
          <w:rFonts w:eastAsia="Cambria"/>
          <w:lang w:val="x-none"/>
        </w:rPr>
        <w:t>8 May 2015</w:t>
      </w:r>
      <w:r>
        <w:rPr>
          <w:rFonts w:eastAsia="Cambria"/>
        </w:rPr>
        <w:t>)</w:t>
      </w:r>
      <w:r w:rsidRPr="00801FEA">
        <w:rPr>
          <w:rFonts w:eastAsia="Cambria"/>
          <w:lang w:val="x-none"/>
        </w:rPr>
        <w:t xml:space="preserve">, it held consultations on women’s health and safety, including </w:t>
      </w:r>
      <w:r w:rsidRPr="00FA409D">
        <w:rPr>
          <w:rFonts w:eastAsia="Cambria"/>
        </w:rPr>
        <w:t xml:space="preserve">their rights to </w:t>
      </w:r>
      <w:r w:rsidRPr="00801FEA">
        <w:rPr>
          <w:rFonts w:eastAsia="Cambria"/>
          <w:lang w:val="x-none"/>
        </w:rPr>
        <w:t>reproductive</w:t>
      </w:r>
      <w:r w:rsidRPr="00FA409D">
        <w:rPr>
          <w:rFonts w:eastAsia="Cambria"/>
        </w:rPr>
        <w:t xml:space="preserve"> and sexual</w:t>
      </w:r>
      <w:r>
        <w:rPr>
          <w:rFonts w:eastAsia="Cambria"/>
          <w:lang w:val="x-none"/>
        </w:rPr>
        <w:t xml:space="preserve"> heal</w:t>
      </w:r>
      <w:r w:rsidRPr="00FA409D">
        <w:rPr>
          <w:rFonts w:eastAsia="Cambria"/>
        </w:rPr>
        <w:t>th</w:t>
      </w:r>
      <w:r>
        <w:rPr>
          <w:rFonts w:eastAsia="Cambria"/>
        </w:rPr>
        <w:t>,</w:t>
      </w:r>
      <w:r w:rsidRPr="00801FEA">
        <w:rPr>
          <w:rFonts w:eastAsia="Cambria"/>
        </w:rPr>
        <w:t xml:space="preserve"> </w:t>
      </w:r>
      <w:r w:rsidRPr="00801FEA">
        <w:rPr>
          <w:rFonts w:eastAsia="Cambria"/>
          <w:lang w:val="x-none"/>
        </w:rPr>
        <w:t>with a number of stakeholders and experts</w:t>
      </w:r>
      <w:r>
        <w:rPr>
          <w:rFonts w:eastAsia="Cambria"/>
          <w:lang w:val="en-US"/>
        </w:rPr>
        <w:t>,</w:t>
      </w:r>
      <w:r w:rsidRPr="00801FEA">
        <w:rPr>
          <w:rFonts w:eastAsia="Cambria"/>
          <w:lang w:val="x-none"/>
        </w:rPr>
        <w:t xml:space="preserve"> </w:t>
      </w:r>
      <w:r w:rsidRPr="00801FEA">
        <w:rPr>
          <w:rFonts w:eastAsia="Cambria"/>
        </w:rPr>
        <w:t xml:space="preserve">including </w:t>
      </w:r>
      <w:r>
        <w:rPr>
          <w:rFonts w:eastAsia="Cambria"/>
        </w:rPr>
        <w:t xml:space="preserve">representatives </w:t>
      </w:r>
      <w:r>
        <w:rPr>
          <w:rFonts w:eastAsia="Cambria"/>
          <w:lang w:val="x-none"/>
        </w:rPr>
        <w:t xml:space="preserve">from </w:t>
      </w:r>
      <w:r>
        <w:rPr>
          <w:rFonts w:eastAsia="Cambria"/>
          <w:lang w:val="en-US"/>
        </w:rPr>
        <w:t>the World Health Organization (</w:t>
      </w:r>
      <w:r w:rsidRPr="00420CEE">
        <w:rPr>
          <w:rFonts w:eastAsia="Cambria"/>
        </w:rPr>
        <w:t>WHO</w:t>
      </w:r>
      <w:r>
        <w:rPr>
          <w:rFonts w:eastAsia="Cambria"/>
        </w:rPr>
        <w:t>)</w:t>
      </w:r>
      <w:r>
        <w:rPr>
          <w:rFonts w:eastAsia="Cambria"/>
          <w:lang w:val="x-none"/>
        </w:rPr>
        <w:t xml:space="preserve">, </w:t>
      </w:r>
      <w:r>
        <w:rPr>
          <w:rFonts w:eastAsia="Cambria"/>
          <w:lang w:val="en-US"/>
        </w:rPr>
        <w:t>the United Nations Population Fund</w:t>
      </w:r>
      <w:r>
        <w:rPr>
          <w:rFonts w:eastAsia="Cambria"/>
          <w:lang w:val="x-none"/>
        </w:rPr>
        <w:t xml:space="preserve">, </w:t>
      </w:r>
      <w:r>
        <w:rPr>
          <w:rFonts w:eastAsia="Cambria"/>
          <w:lang w:val="en-US"/>
        </w:rPr>
        <w:t xml:space="preserve">the United Nations Research Institute for Social Development </w:t>
      </w:r>
      <w:r w:rsidRPr="00801FEA">
        <w:rPr>
          <w:rFonts w:eastAsia="Cambria"/>
          <w:lang w:val="x-none"/>
        </w:rPr>
        <w:t xml:space="preserve">, the Special Rapporteur on the right </w:t>
      </w:r>
      <w:r>
        <w:rPr>
          <w:rFonts w:eastAsia="Cambria"/>
          <w:lang w:val="en-US"/>
        </w:rPr>
        <w:t xml:space="preserve">of everyone </w:t>
      </w:r>
      <w:r w:rsidRPr="00D658D6">
        <w:rPr>
          <w:rFonts w:eastAsia="Cambria"/>
        </w:rPr>
        <w:t xml:space="preserve">to </w:t>
      </w:r>
      <w:r>
        <w:rPr>
          <w:rFonts w:eastAsia="Cambria"/>
        </w:rPr>
        <w:t xml:space="preserve">the enjoyment of the highest attainable standard of physical and mental </w:t>
      </w:r>
      <w:r w:rsidRPr="00801FEA">
        <w:rPr>
          <w:rFonts w:eastAsia="Cambria"/>
          <w:lang w:val="x-none"/>
        </w:rPr>
        <w:t>health and civil society organizations as well as expert staff</w:t>
      </w:r>
      <w:r>
        <w:rPr>
          <w:rFonts w:eastAsia="Cambria"/>
          <w:lang w:val="en-US"/>
        </w:rPr>
        <w:t xml:space="preserve"> of the Office of the United Nations High Commissioner for Human Rights (</w:t>
      </w:r>
      <w:r w:rsidRPr="00801FEA">
        <w:rPr>
          <w:rFonts w:eastAsia="Cambria"/>
          <w:lang w:val="x-none"/>
        </w:rPr>
        <w:t>OHCHR</w:t>
      </w:r>
      <w:r>
        <w:rPr>
          <w:rFonts w:eastAsia="Cambria"/>
          <w:lang w:val="en-US"/>
        </w:rPr>
        <w:t>)</w:t>
      </w:r>
      <w:r w:rsidRPr="00801FEA">
        <w:rPr>
          <w:rFonts w:eastAsia="Cambria"/>
          <w:lang w:val="x-none"/>
        </w:rPr>
        <w:t xml:space="preserve">. </w:t>
      </w:r>
    </w:p>
    <w:p w:rsidR="00CA109F" w:rsidRPr="00801FEA" w:rsidRDefault="00CA109F" w:rsidP="00CA109F">
      <w:pPr>
        <w:pStyle w:val="SingleTxtG"/>
        <w:rPr>
          <w:rFonts w:eastAsia="Cambria"/>
          <w:lang w:val="x-none"/>
        </w:rPr>
      </w:pPr>
      <w:r>
        <w:rPr>
          <w:rFonts w:eastAsia="Cambria"/>
          <w:lang w:val="x-none"/>
        </w:rPr>
        <w:t>4.</w:t>
      </w:r>
      <w:r w:rsidRPr="008E46B2">
        <w:rPr>
          <w:rFonts w:eastAsia="Cambria"/>
        </w:rPr>
        <w:tab/>
      </w:r>
      <w:r w:rsidRPr="00801FEA">
        <w:rPr>
          <w:rFonts w:eastAsia="Cambria"/>
          <w:lang w:val="x-none"/>
        </w:rPr>
        <w:t>At its fourteenth session</w:t>
      </w:r>
      <w:r>
        <w:rPr>
          <w:rFonts w:eastAsia="Cambria"/>
        </w:rPr>
        <w:t xml:space="preserve"> (</w:t>
      </w:r>
      <w:r>
        <w:rPr>
          <w:rFonts w:eastAsia="Cambria"/>
          <w:lang w:val="x-none"/>
        </w:rPr>
        <w:t>12</w:t>
      </w:r>
      <w:r>
        <w:rPr>
          <w:rFonts w:eastAsia="Cambria"/>
        </w:rPr>
        <w:t>-</w:t>
      </w:r>
      <w:r w:rsidRPr="00801FEA">
        <w:rPr>
          <w:rFonts w:eastAsia="Cambria"/>
          <w:lang w:val="x-none"/>
        </w:rPr>
        <w:t>16 October 2015</w:t>
      </w:r>
      <w:r>
        <w:rPr>
          <w:rFonts w:eastAsia="Cambria"/>
        </w:rPr>
        <w:t>)</w:t>
      </w:r>
      <w:r w:rsidRPr="00801FEA">
        <w:rPr>
          <w:rFonts w:eastAsia="Cambria"/>
          <w:lang w:val="x-none"/>
        </w:rPr>
        <w:t>, the Working Group continued</w:t>
      </w:r>
      <w:r>
        <w:rPr>
          <w:rFonts w:eastAsia="Cambria"/>
          <w:lang w:val="x-none"/>
        </w:rPr>
        <w:t xml:space="preserve"> its consultations </w:t>
      </w:r>
      <w:r w:rsidRPr="00EF6D77">
        <w:rPr>
          <w:rFonts w:eastAsia="Cambria"/>
        </w:rPr>
        <w:t>on the issue of women’s health and safety</w:t>
      </w:r>
      <w:r>
        <w:rPr>
          <w:rFonts w:eastAsia="Cambria"/>
          <w:lang w:val="x-none"/>
        </w:rPr>
        <w:t xml:space="preserve">, including </w:t>
      </w:r>
      <w:r w:rsidRPr="00305175">
        <w:rPr>
          <w:rFonts w:eastAsia="Cambria"/>
        </w:rPr>
        <w:t xml:space="preserve">with experts from </w:t>
      </w:r>
      <w:r>
        <w:rPr>
          <w:rFonts w:eastAsia="Cambria"/>
        </w:rPr>
        <w:t>the Joint United Nations Programme on HIV/AIDS (</w:t>
      </w:r>
      <w:r>
        <w:rPr>
          <w:rFonts w:eastAsia="Cambria"/>
          <w:lang w:val="x-none"/>
        </w:rPr>
        <w:t>UNAIDS</w:t>
      </w:r>
      <w:r>
        <w:rPr>
          <w:rFonts w:eastAsia="Cambria"/>
          <w:lang w:val="en-US"/>
        </w:rPr>
        <w:t>)</w:t>
      </w:r>
      <w:r w:rsidRPr="00801FEA">
        <w:rPr>
          <w:rFonts w:eastAsia="Cambria"/>
          <w:lang w:val="x-none"/>
        </w:rPr>
        <w:t xml:space="preserve">, </w:t>
      </w:r>
      <w:r>
        <w:rPr>
          <w:rFonts w:eastAsia="Cambria"/>
          <w:lang w:val="en-US"/>
        </w:rPr>
        <w:t xml:space="preserve">the </w:t>
      </w:r>
      <w:r w:rsidRPr="00EF6D77">
        <w:rPr>
          <w:rFonts w:eastAsia="Cambria"/>
        </w:rPr>
        <w:t>Inter</w:t>
      </w:r>
      <w:r>
        <w:rPr>
          <w:rFonts w:eastAsia="Cambria"/>
        </w:rPr>
        <w:t>-P</w:t>
      </w:r>
      <w:r w:rsidRPr="00EF6D77">
        <w:rPr>
          <w:rFonts w:eastAsia="Cambria"/>
        </w:rPr>
        <w:t>arli</w:t>
      </w:r>
      <w:r>
        <w:rPr>
          <w:rFonts w:eastAsia="Cambria"/>
        </w:rPr>
        <w:t>a</w:t>
      </w:r>
      <w:r w:rsidRPr="00EF6D77">
        <w:rPr>
          <w:rFonts w:eastAsia="Cambria"/>
        </w:rPr>
        <w:t xml:space="preserve">mentary Union, </w:t>
      </w:r>
      <w:r>
        <w:rPr>
          <w:rFonts w:eastAsia="Cambria"/>
        </w:rPr>
        <w:t xml:space="preserve">the </w:t>
      </w:r>
      <w:r w:rsidRPr="00801FEA">
        <w:rPr>
          <w:rFonts w:eastAsia="Cambria"/>
          <w:lang w:val="x-none"/>
        </w:rPr>
        <w:t>C</w:t>
      </w:r>
      <w:r w:rsidRPr="00EF6D77">
        <w:rPr>
          <w:rFonts w:eastAsia="Cambria"/>
        </w:rPr>
        <w:t xml:space="preserve">ommittee on </w:t>
      </w:r>
      <w:r w:rsidRPr="00801FEA">
        <w:rPr>
          <w:rFonts w:eastAsia="Cambria"/>
          <w:lang w:val="x-none"/>
        </w:rPr>
        <w:t>E</w:t>
      </w:r>
      <w:r w:rsidRPr="00EF6D77">
        <w:rPr>
          <w:rFonts w:eastAsia="Cambria"/>
        </w:rPr>
        <w:t xml:space="preserve">conomic, </w:t>
      </w:r>
      <w:r w:rsidRPr="00801FEA">
        <w:rPr>
          <w:rFonts w:eastAsia="Cambria"/>
          <w:lang w:val="x-none"/>
        </w:rPr>
        <w:t>S</w:t>
      </w:r>
      <w:r w:rsidRPr="00EF6D77">
        <w:rPr>
          <w:rFonts w:eastAsia="Cambria"/>
        </w:rPr>
        <w:t xml:space="preserve">ocial and </w:t>
      </w:r>
      <w:r w:rsidRPr="00801FEA">
        <w:rPr>
          <w:rFonts w:eastAsia="Cambria"/>
          <w:lang w:val="x-none"/>
        </w:rPr>
        <w:t>C</w:t>
      </w:r>
      <w:r w:rsidRPr="00EF6D77">
        <w:rPr>
          <w:rFonts w:eastAsia="Cambria"/>
        </w:rPr>
        <w:t xml:space="preserve">ultural </w:t>
      </w:r>
      <w:r w:rsidRPr="00801FEA">
        <w:rPr>
          <w:rFonts w:eastAsia="Cambria"/>
          <w:lang w:val="x-none"/>
        </w:rPr>
        <w:t>R</w:t>
      </w:r>
      <w:r w:rsidRPr="00EF6D77">
        <w:rPr>
          <w:rFonts w:eastAsia="Cambria"/>
        </w:rPr>
        <w:t xml:space="preserve">ights, </w:t>
      </w:r>
      <w:r>
        <w:rPr>
          <w:rFonts w:eastAsia="Cambria"/>
        </w:rPr>
        <w:t xml:space="preserve">the </w:t>
      </w:r>
      <w:r>
        <w:rPr>
          <w:rFonts w:eastAsia="Cambria"/>
          <w:lang w:val="en-US"/>
        </w:rPr>
        <w:t xml:space="preserve">secretariats of </w:t>
      </w:r>
      <w:r>
        <w:rPr>
          <w:rFonts w:eastAsia="Cambria"/>
          <w:lang w:val="x-none"/>
        </w:rPr>
        <w:t>OHCHR</w:t>
      </w:r>
      <w:r w:rsidRPr="00801FEA">
        <w:rPr>
          <w:rFonts w:eastAsia="Cambria"/>
          <w:lang w:val="x-none"/>
        </w:rPr>
        <w:t xml:space="preserve"> treaty monitoring bodies</w:t>
      </w:r>
      <w:r w:rsidRPr="00EF6D77">
        <w:rPr>
          <w:rFonts w:eastAsia="Cambria"/>
        </w:rPr>
        <w:t>,</w:t>
      </w:r>
      <w:r w:rsidRPr="00801FEA">
        <w:rPr>
          <w:rFonts w:eastAsia="Cambria"/>
          <w:lang w:val="x-none"/>
        </w:rPr>
        <w:t xml:space="preserve"> the Special Rapporteur on the rights of persons with disabilities </w:t>
      </w:r>
      <w:r>
        <w:rPr>
          <w:rFonts w:eastAsia="Cambria"/>
          <w:lang w:val="x-none"/>
        </w:rPr>
        <w:t>and</w:t>
      </w:r>
      <w:r w:rsidRPr="00E623EC">
        <w:rPr>
          <w:rFonts w:eastAsia="Cambria"/>
        </w:rPr>
        <w:t xml:space="preserve"> </w:t>
      </w:r>
      <w:r>
        <w:rPr>
          <w:rFonts w:eastAsia="Cambria"/>
        </w:rPr>
        <w:t>members of civil society organizations</w:t>
      </w:r>
      <w:r w:rsidRPr="00801FEA">
        <w:rPr>
          <w:rFonts w:eastAsia="Cambria"/>
          <w:lang w:val="x-none"/>
        </w:rPr>
        <w:t xml:space="preserve">. The </w:t>
      </w:r>
      <w:r w:rsidRPr="005D4923">
        <w:rPr>
          <w:rFonts w:eastAsia="Cambria"/>
        </w:rPr>
        <w:t xml:space="preserve">Working </w:t>
      </w:r>
      <w:r w:rsidRPr="00801FEA">
        <w:rPr>
          <w:rFonts w:eastAsia="Cambria"/>
          <w:lang w:val="x-none"/>
        </w:rPr>
        <w:t xml:space="preserve">Group </w:t>
      </w:r>
      <w:r w:rsidRPr="00305175">
        <w:rPr>
          <w:rFonts w:eastAsia="Cambria"/>
        </w:rPr>
        <w:t>exchanged views</w:t>
      </w:r>
      <w:r w:rsidRPr="00801FEA">
        <w:rPr>
          <w:rFonts w:eastAsia="Cambria"/>
          <w:lang w:val="x-none"/>
        </w:rPr>
        <w:t xml:space="preserve"> with Member States</w:t>
      </w:r>
      <w:r w:rsidRPr="00EF6D77">
        <w:rPr>
          <w:rFonts w:eastAsia="Cambria"/>
        </w:rPr>
        <w:t xml:space="preserve"> on </w:t>
      </w:r>
      <w:r>
        <w:rPr>
          <w:rFonts w:eastAsia="Cambria"/>
        </w:rPr>
        <w:t xml:space="preserve">its </w:t>
      </w:r>
      <w:r w:rsidRPr="00EF6D77">
        <w:rPr>
          <w:rFonts w:eastAsia="Cambria"/>
        </w:rPr>
        <w:t xml:space="preserve">work </w:t>
      </w:r>
      <w:r>
        <w:rPr>
          <w:rFonts w:eastAsia="Cambria"/>
        </w:rPr>
        <w:t xml:space="preserve">and </w:t>
      </w:r>
      <w:r w:rsidRPr="005D18FF">
        <w:rPr>
          <w:rFonts w:eastAsia="Cambria"/>
        </w:rPr>
        <w:t xml:space="preserve">held a meeting with the </w:t>
      </w:r>
      <w:r>
        <w:rPr>
          <w:rFonts w:eastAsia="Cambria"/>
        </w:rPr>
        <w:t xml:space="preserve">United Nations </w:t>
      </w:r>
      <w:r w:rsidRPr="005D18FF">
        <w:rPr>
          <w:rFonts w:eastAsia="Cambria"/>
        </w:rPr>
        <w:t>High C</w:t>
      </w:r>
      <w:r>
        <w:rPr>
          <w:rFonts w:eastAsia="Cambria"/>
        </w:rPr>
        <w:t>ommissioner for Human Rights.</w:t>
      </w:r>
    </w:p>
    <w:p w:rsidR="00CA109F" w:rsidRPr="00801FEA" w:rsidRDefault="00CA109F" w:rsidP="00CA109F">
      <w:pPr>
        <w:pStyle w:val="SingleTxtG"/>
        <w:rPr>
          <w:rFonts w:eastAsia="Cambria"/>
          <w:lang w:val="x-none"/>
        </w:rPr>
      </w:pPr>
      <w:r>
        <w:rPr>
          <w:rFonts w:eastAsia="Cambria"/>
          <w:lang w:val="x-none"/>
        </w:rPr>
        <w:t>5.</w:t>
      </w:r>
      <w:r w:rsidRPr="008E46B2">
        <w:rPr>
          <w:rFonts w:eastAsia="Cambria"/>
        </w:rPr>
        <w:tab/>
      </w:r>
      <w:r>
        <w:rPr>
          <w:rFonts w:eastAsia="Cambria"/>
        </w:rPr>
        <w:t xml:space="preserve">At its </w:t>
      </w:r>
      <w:r>
        <w:rPr>
          <w:rFonts w:eastAsia="Cambria"/>
          <w:lang w:val="x-none"/>
        </w:rPr>
        <w:t>fifteenth session</w:t>
      </w:r>
      <w:r w:rsidRPr="00305175">
        <w:rPr>
          <w:rFonts w:eastAsia="Cambria"/>
        </w:rPr>
        <w:t xml:space="preserve"> </w:t>
      </w:r>
      <w:r>
        <w:rPr>
          <w:rFonts w:eastAsia="Cambria"/>
        </w:rPr>
        <w:t>(</w:t>
      </w:r>
      <w:r>
        <w:rPr>
          <w:rFonts w:eastAsia="Cambria"/>
          <w:lang w:val="x-none"/>
        </w:rPr>
        <w:t>25</w:t>
      </w:r>
      <w:r>
        <w:rPr>
          <w:rFonts w:eastAsia="Cambria"/>
        </w:rPr>
        <w:t>-</w:t>
      </w:r>
      <w:r w:rsidRPr="00801FEA">
        <w:rPr>
          <w:rFonts w:eastAsia="Cambria"/>
          <w:lang w:val="x-none"/>
        </w:rPr>
        <w:t>29 January 2016</w:t>
      </w:r>
      <w:r>
        <w:rPr>
          <w:rFonts w:eastAsia="Cambria"/>
        </w:rPr>
        <w:t>)</w:t>
      </w:r>
      <w:r w:rsidRPr="00801FEA">
        <w:rPr>
          <w:rFonts w:eastAsia="Cambria"/>
          <w:lang w:val="x-none"/>
        </w:rPr>
        <w:t xml:space="preserve">, the Working Group held a meeting with the </w:t>
      </w:r>
      <w:r>
        <w:rPr>
          <w:rFonts w:eastAsia="Cambria"/>
          <w:lang w:val="en-US"/>
        </w:rPr>
        <w:t>Permanent Representative</w:t>
      </w:r>
      <w:r w:rsidRPr="00801FEA">
        <w:rPr>
          <w:rFonts w:eastAsia="Cambria"/>
          <w:lang w:val="x-none"/>
        </w:rPr>
        <w:t xml:space="preserve"> of the Organization of Islamic </w:t>
      </w:r>
      <w:r>
        <w:rPr>
          <w:rFonts w:eastAsia="Cambria"/>
          <w:lang w:val="en-US"/>
        </w:rPr>
        <w:t>Cooperation to the United Nations Office at Geneva</w:t>
      </w:r>
      <w:r w:rsidRPr="00801FEA">
        <w:rPr>
          <w:rFonts w:eastAsia="Cambria"/>
          <w:lang w:val="x-none"/>
        </w:rPr>
        <w:t xml:space="preserve">. It </w:t>
      </w:r>
      <w:r w:rsidRPr="00305175">
        <w:rPr>
          <w:rFonts w:eastAsia="Cambria"/>
        </w:rPr>
        <w:t xml:space="preserve">began its </w:t>
      </w:r>
      <w:r w:rsidRPr="00801FEA">
        <w:rPr>
          <w:rFonts w:eastAsia="Cambria"/>
          <w:lang w:val="x-none"/>
        </w:rPr>
        <w:t>consult</w:t>
      </w:r>
      <w:r w:rsidRPr="00305175">
        <w:rPr>
          <w:rFonts w:eastAsia="Cambria"/>
        </w:rPr>
        <w:t>ation</w:t>
      </w:r>
      <w:r w:rsidRPr="00801FEA">
        <w:rPr>
          <w:rFonts w:eastAsia="Cambria"/>
          <w:lang w:val="x-none"/>
        </w:rPr>
        <w:t xml:space="preserve"> on the development of a compendium</w:t>
      </w:r>
      <w:r w:rsidRPr="00305175">
        <w:rPr>
          <w:rFonts w:eastAsia="Cambria"/>
        </w:rPr>
        <w:t xml:space="preserve"> of</w:t>
      </w:r>
      <w:r w:rsidRPr="00801FEA">
        <w:rPr>
          <w:rFonts w:eastAsia="Cambria"/>
          <w:lang w:val="x-none"/>
        </w:rPr>
        <w:t xml:space="preserve"> good practices </w:t>
      </w:r>
      <w:r>
        <w:rPr>
          <w:rFonts w:eastAsia="Cambria"/>
        </w:rPr>
        <w:t>and</w:t>
      </w:r>
      <w:r w:rsidRPr="00801FEA">
        <w:rPr>
          <w:rFonts w:eastAsia="Cambria"/>
          <w:lang w:val="x-none"/>
        </w:rPr>
        <w:t xml:space="preserve"> held a briefing with civil society organi</w:t>
      </w:r>
      <w:r>
        <w:rPr>
          <w:rFonts w:eastAsia="Cambria"/>
          <w:lang w:val="en-US"/>
        </w:rPr>
        <w:t>z</w:t>
      </w:r>
      <w:r w:rsidRPr="00801FEA">
        <w:rPr>
          <w:rFonts w:eastAsia="Cambria"/>
          <w:lang w:val="x-none"/>
        </w:rPr>
        <w:t xml:space="preserve">ations. </w:t>
      </w:r>
    </w:p>
    <w:p w:rsidR="00CA109F" w:rsidRPr="008000EA" w:rsidRDefault="00CA109F" w:rsidP="00CA109F">
      <w:pPr>
        <w:pStyle w:val="H1G"/>
        <w:rPr>
          <w:rFonts w:eastAsia="Cambria"/>
        </w:rPr>
      </w:pPr>
      <w:bookmarkStart w:id="11" w:name="_Toc433579665"/>
      <w:bookmarkStart w:id="12" w:name="_Toc437186753"/>
      <w:bookmarkStart w:id="13" w:name="_Toc437187395"/>
      <w:bookmarkStart w:id="14" w:name="_Toc437599731"/>
      <w:r w:rsidRPr="008000EA">
        <w:rPr>
          <w:rFonts w:eastAsia="Cambria"/>
        </w:rPr>
        <w:tab/>
        <w:t>B.</w:t>
      </w:r>
      <w:r w:rsidRPr="008000EA">
        <w:rPr>
          <w:rFonts w:eastAsia="Cambria"/>
        </w:rPr>
        <w:tab/>
      </w:r>
      <w:bookmarkEnd w:id="11"/>
      <w:bookmarkEnd w:id="12"/>
      <w:bookmarkEnd w:id="13"/>
      <w:bookmarkEnd w:id="14"/>
      <w:r w:rsidRPr="00957A00">
        <w:rPr>
          <w:rFonts w:eastAsia="Cambria"/>
        </w:rPr>
        <w:t>Country visits</w:t>
      </w:r>
    </w:p>
    <w:p w:rsidR="00CA109F" w:rsidRDefault="00CA109F" w:rsidP="00CA109F">
      <w:pPr>
        <w:pStyle w:val="SingleTxtG"/>
        <w:rPr>
          <w:rFonts w:eastAsia="Calibri"/>
          <w:sz w:val="24"/>
          <w:szCs w:val="24"/>
          <w:lang w:val="en-US"/>
        </w:rPr>
      </w:pPr>
      <w:r w:rsidRPr="00C203F3">
        <w:rPr>
          <w:rFonts w:eastAsia="Cambria"/>
        </w:rPr>
        <w:t>6.</w:t>
      </w:r>
      <w:r w:rsidRPr="00C203F3">
        <w:rPr>
          <w:rFonts w:eastAsia="Cambria"/>
        </w:rPr>
        <w:tab/>
      </w:r>
      <w:r w:rsidRPr="00C203F3">
        <w:rPr>
          <w:rFonts w:eastAsia="Cambria"/>
          <w:lang w:val="x-none"/>
        </w:rPr>
        <w:t xml:space="preserve">The </w:t>
      </w:r>
      <w:r w:rsidRPr="005D4923">
        <w:rPr>
          <w:rFonts w:eastAsia="Cambria"/>
        </w:rPr>
        <w:t xml:space="preserve">Working </w:t>
      </w:r>
      <w:r w:rsidRPr="00C203F3">
        <w:rPr>
          <w:rFonts w:eastAsia="Cambria"/>
          <w:lang w:val="x-none"/>
        </w:rPr>
        <w:t>Group visited Senegal from 7 to 17 April 2015 (A/HRC/32/</w:t>
      </w:r>
      <w:r w:rsidRPr="00C203F3">
        <w:rPr>
          <w:rFonts w:eastAsia="Cambria"/>
        </w:rPr>
        <w:t>44</w:t>
      </w:r>
      <w:r w:rsidRPr="00C203F3">
        <w:rPr>
          <w:rFonts w:eastAsia="Cambria"/>
          <w:lang w:val="x-none"/>
        </w:rPr>
        <w:t>/Add.1) and the United States of America from 30 November to 11 December 2015 (A/HRC/32/</w:t>
      </w:r>
      <w:r w:rsidRPr="00C203F3">
        <w:rPr>
          <w:rFonts w:eastAsia="Cambria"/>
        </w:rPr>
        <w:t>44</w:t>
      </w:r>
      <w:r w:rsidRPr="00C203F3">
        <w:rPr>
          <w:rFonts w:eastAsia="Cambria"/>
          <w:lang w:val="x-none"/>
        </w:rPr>
        <w:t>/Add.2). It wishes to thank the Governments of these countries for their cooperation before and during th</w:t>
      </w:r>
      <w:r>
        <w:rPr>
          <w:rFonts w:eastAsia="Cambria"/>
          <w:lang w:val="x-none"/>
        </w:rPr>
        <w:t>e visits</w:t>
      </w:r>
      <w:r w:rsidRPr="00C203F3">
        <w:rPr>
          <w:rFonts w:eastAsia="Cambria"/>
        </w:rPr>
        <w:t xml:space="preserve">. </w:t>
      </w:r>
      <w:r>
        <w:rPr>
          <w:rFonts w:eastAsia="Cambria"/>
        </w:rPr>
        <w:t>It</w:t>
      </w:r>
      <w:r w:rsidRPr="00C203F3">
        <w:rPr>
          <w:rFonts w:eastAsia="Cambria"/>
          <w:lang w:val="x-none"/>
        </w:rPr>
        <w:t xml:space="preserve"> thanks the Governments of Hungary and Kuwait for respondi</w:t>
      </w:r>
      <w:r>
        <w:rPr>
          <w:rFonts w:eastAsia="Cambria"/>
          <w:lang w:val="x-none"/>
        </w:rPr>
        <w:t xml:space="preserve">ng positively to </w:t>
      </w:r>
      <w:r>
        <w:rPr>
          <w:rFonts w:eastAsia="Cambria"/>
          <w:lang w:val="en-US"/>
        </w:rPr>
        <w:t xml:space="preserve">requests for </w:t>
      </w:r>
      <w:r w:rsidRPr="00C203F3">
        <w:rPr>
          <w:rFonts w:eastAsia="Cambria"/>
          <w:lang w:val="x-none"/>
        </w:rPr>
        <w:t>visits, which will take place from 17 to 27 May 2016 and from 6 to 15 December 2016</w:t>
      </w:r>
      <w:r w:rsidRPr="00C203F3">
        <w:rPr>
          <w:rFonts w:eastAsia="Cambria"/>
        </w:rPr>
        <w:t>,</w:t>
      </w:r>
      <w:r w:rsidRPr="00C203F3">
        <w:rPr>
          <w:rFonts w:eastAsia="Cambria"/>
          <w:lang w:val="x-none"/>
        </w:rPr>
        <w:t xml:space="preserve"> respectively.</w:t>
      </w:r>
      <w:r w:rsidRPr="004C2B50">
        <w:rPr>
          <w:rFonts w:eastAsia="Calibri"/>
          <w:sz w:val="24"/>
          <w:szCs w:val="24"/>
          <w:lang w:val="x-none"/>
        </w:rPr>
        <w:t xml:space="preserve"> </w:t>
      </w:r>
    </w:p>
    <w:p w:rsidR="00CA109F" w:rsidRPr="008E46B2" w:rsidRDefault="00CA109F" w:rsidP="00CA109F">
      <w:pPr>
        <w:pStyle w:val="H1G"/>
        <w:rPr>
          <w:rFonts w:eastAsia="Calibri"/>
        </w:rPr>
      </w:pPr>
      <w:r>
        <w:rPr>
          <w:rFonts w:eastAsia="Cambria"/>
          <w:lang w:val="en-CA"/>
        </w:rPr>
        <w:lastRenderedPageBreak/>
        <w:tab/>
      </w:r>
      <w:r w:rsidRPr="004C2B50">
        <w:rPr>
          <w:rFonts w:eastAsia="Cambria"/>
          <w:lang w:val="en-CA"/>
        </w:rPr>
        <w:t>C.</w:t>
      </w:r>
      <w:r w:rsidRPr="004C2B50">
        <w:rPr>
          <w:rFonts w:eastAsia="Cambria"/>
          <w:lang w:val="en-CA"/>
        </w:rPr>
        <w:tab/>
      </w:r>
      <w:r w:rsidRPr="003B22CF">
        <w:rPr>
          <w:rFonts w:eastAsia="Cambria"/>
        </w:rPr>
        <w:t>Communications and press releases</w:t>
      </w:r>
    </w:p>
    <w:p w:rsidR="00CA109F" w:rsidRPr="004C2B50" w:rsidRDefault="00CA109F" w:rsidP="00CA109F">
      <w:pPr>
        <w:pStyle w:val="SingleTxtG"/>
        <w:rPr>
          <w:rFonts w:eastAsia="Cambria"/>
          <w:lang w:val="x-none"/>
        </w:rPr>
      </w:pPr>
      <w:r w:rsidRPr="004C2B50">
        <w:rPr>
          <w:rFonts w:eastAsia="Cambria"/>
        </w:rPr>
        <w:t>7</w:t>
      </w:r>
      <w:r w:rsidRPr="004C2B50">
        <w:rPr>
          <w:rFonts w:eastAsia="Cambria"/>
          <w:lang w:val="x-none"/>
        </w:rPr>
        <w:t>.</w:t>
      </w:r>
      <w:r w:rsidRPr="004C2B50">
        <w:rPr>
          <w:rFonts w:eastAsia="Cambria"/>
          <w:lang w:val="x-none"/>
        </w:rPr>
        <w:tab/>
        <w:t xml:space="preserve">During the period under review, the Working Group addressed communications to Governments, individually or jointly with other </w:t>
      </w:r>
      <w:r>
        <w:rPr>
          <w:rFonts w:eastAsia="Cambria"/>
          <w:lang w:val="x-none"/>
        </w:rPr>
        <w:t>mandate holders</w:t>
      </w:r>
      <w:r w:rsidRPr="004C2B50">
        <w:rPr>
          <w:rFonts w:eastAsia="Cambria"/>
          <w:lang w:val="x-none"/>
        </w:rPr>
        <w:t>. Th</w:t>
      </w:r>
      <w:r>
        <w:rPr>
          <w:rFonts w:eastAsia="Cambria"/>
          <w:lang w:val="en-US"/>
        </w:rPr>
        <w:t>e</w:t>
      </w:r>
      <w:r w:rsidRPr="004C2B50">
        <w:rPr>
          <w:rFonts w:eastAsia="Cambria"/>
          <w:lang w:val="x-none"/>
        </w:rPr>
        <w:t xml:space="preserve"> communications concerned a wide range of subjects falling within its mandate, including discriminatory legislation and practices </w:t>
      </w:r>
      <w:r>
        <w:rPr>
          <w:rFonts w:eastAsia="Cambria"/>
          <w:lang w:val="en-US"/>
        </w:rPr>
        <w:t>with regard to</w:t>
      </w:r>
      <w:r w:rsidRPr="004C2B50">
        <w:rPr>
          <w:rFonts w:eastAsia="Cambria"/>
          <w:lang w:val="x-none"/>
        </w:rPr>
        <w:t xml:space="preserve"> marital status, nationality</w:t>
      </w:r>
      <w:r w:rsidRPr="004C2B50">
        <w:rPr>
          <w:rFonts w:eastAsia="Cambria"/>
        </w:rPr>
        <w:t>,</w:t>
      </w:r>
      <w:r w:rsidRPr="004C2B50">
        <w:rPr>
          <w:rFonts w:eastAsia="Cambria"/>
          <w:lang w:val="x-none"/>
        </w:rPr>
        <w:t xml:space="preserve"> allegations of abuses </w:t>
      </w:r>
      <w:r>
        <w:rPr>
          <w:rFonts w:eastAsia="Cambria"/>
          <w:lang w:val="en-US"/>
        </w:rPr>
        <w:t>of</w:t>
      </w:r>
      <w:r w:rsidRPr="004C2B50">
        <w:rPr>
          <w:rFonts w:eastAsia="Cambria"/>
          <w:lang w:val="x-none"/>
        </w:rPr>
        <w:t xml:space="preserve"> women human rights defenders</w:t>
      </w:r>
      <w:r>
        <w:rPr>
          <w:rFonts w:eastAsia="Cambria"/>
          <w:lang w:val="en-US"/>
        </w:rPr>
        <w:t xml:space="preserve"> and violations of their rights</w:t>
      </w:r>
      <w:r w:rsidRPr="004C2B50">
        <w:rPr>
          <w:rFonts w:eastAsia="Cambria"/>
          <w:lang w:val="x-none"/>
        </w:rPr>
        <w:t xml:space="preserve">, gender-based violence and </w:t>
      </w:r>
      <w:r w:rsidRPr="00FA409D">
        <w:rPr>
          <w:rFonts w:eastAsia="Cambria"/>
        </w:rPr>
        <w:t xml:space="preserve">rights to </w:t>
      </w:r>
      <w:r w:rsidRPr="004C2B50">
        <w:rPr>
          <w:rFonts w:eastAsia="Cambria"/>
          <w:lang w:val="x-none"/>
        </w:rPr>
        <w:t>reproductive</w:t>
      </w:r>
      <w:r>
        <w:rPr>
          <w:rFonts w:eastAsia="Cambria"/>
        </w:rPr>
        <w:t xml:space="preserve"> and</w:t>
      </w:r>
      <w:r w:rsidRPr="00FA409D">
        <w:rPr>
          <w:rFonts w:eastAsia="Cambria"/>
        </w:rPr>
        <w:t xml:space="preserve"> sexual</w:t>
      </w:r>
      <w:r w:rsidRPr="004C2B50">
        <w:rPr>
          <w:rFonts w:eastAsia="Cambria"/>
          <w:lang w:val="x-none"/>
        </w:rPr>
        <w:t xml:space="preserve"> health (</w:t>
      </w:r>
      <w:r>
        <w:rPr>
          <w:rFonts w:eastAsia="Cambria"/>
          <w:lang w:val="en-US"/>
        </w:rPr>
        <w:t xml:space="preserve">see </w:t>
      </w:r>
      <w:r w:rsidRPr="004C2B50">
        <w:rPr>
          <w:rFonts w:eastAsia="Cambria"/>
          <w:lang w:val="x-none"/>
        </w:rPr>
        <w:t>A/HRC/30/27, A/HRC/31/</w:t>
      </w:r>
      <w:r w:rsidRPr="00503989">
        <w:rPr>
          <w:rFonts w:eastAsia="Cambria"/>
        </w:rPr>
        <w:t>79</w:t>
      </w:r>
      <w:r>
        <w:rPr>
          <w:rFonts w:eastAsia="Cambria"/>
          <w:lang w:val="x-none"/>
        </w:rPr>
        <w:t xml:space="preserve"> and A/HRC/32/</w:t>
      </w:r>
      <w:r w:rsidRPr="00503989">
        <w:rPr>
          <w:rFonts w:eastAsia="Cambria"/>
        </w:rPr>
        <w:t>53</w:t>
      </w:r>
      <w:r w:rsidRPr="004C2B50">
        <w:rPr>
          <w:rFonts w:eastAsia="Cambria"/>
          <w:lang w:val="x-none"/>
        </w:rPr>
        <w:t xml:space="preserve">). The </w:t>
      </w:r>
      <w:r w:rsidRPr="005D4923">
        <w:rPr>
          <w:rFonts w:eastAsia="Cambria"/>
        </w:rPr>
        <w:t xml:space="preserve">Working </w:t>
      </w:r>
      <w:r w:rsidRPr="004C2B50">
        <w:rPr>
          <w:rFonts w:eastAsia="Cambria"/>
          <w:lang w:val="x-none"/>
        </w:rPr>
        <w:t>Group also issued press releases, individually or jointly with other mandate holders, treaty bodies and regional mechanisms.</w:t>
      </w:r>
    </w:p>
    <w:p w:rsidR="00CA109F" w:rsidRPr="00FD06BE" w:rsidRDefault="00CA109F" w:rsidP="00CA109F">
      <w:pPr>
        <w:pStyle w:val="H1G"/>
        <w:rPr>
          <w:rFonts w:eastAsia="Cambria"/>
          <w:lang w:val="en-CA"/>
        </w:rPr>
      </w:pPr>
      <w:r w:rsidRPr="00FD06BE">
        <w:rPr>
          <w:rFonts w:eastAsia="Cambria"/>
          <w:lang w:val="en-CA"/>
        </w:rPr>
        <w:tab/>
      </w:r>
      <w:r>
        <w:rPr>
          <w:rFonts w:eastAsia="Cambria"/>
        </w:rPr>
        <w:t>D.</w:t>
      </w:r>
      <w:r>
        <w:rPr>
          <w:rFonts w:eastAsia="Cambria"/>
        </w:rPr>
        <w:tab/>
        <w:t xml:space="preserve">Other </w:t>
      </w:r>
      <w:r w:rsidRPr="00A70AED">
        <w:rPr>
          <w:rFonts w:eastAsia="Cambria"/>
        </w:rPr>
        <w:t>activities</w:t>
      </w:r>
    </w:p>
    <w:p w:rsidR="00CA109F" w:rsidRPr="008E46B2" w:rsidRDefault="00CA109F" w:rsidP="00CA109F">
      <w:pPr>
        <w:pStyle w:val="SingleTxtG"/>
        <w:rPr>
          <w:rFonts w:eastAsia="Cambria"/>
        </w:rPr>
      </w:pPr>
      <w:r>
        <w:rPr>
          <w:rFonts w:eastAsia="Cambria"/>
          <w:lang w:val="en-CA"/>
        </w:rPr>
        <w:t>8</w:t>
      </w:r>
      <w:r w:rsidRPr="00A70AED">
        <w:rPr>
          <w:rFonts w:eastAsia="Cambria"/>
          <w:lang w:val="x-none"/>
        </w:rPr>
        <w:t>.</w:t>
      </w:r>
      <w:r w:rsidRPr="00A70AED">
        <w:rPr>
          <w:rFonts w:eastAsia="Cambria"/>
          <w:lang w:val="x-none"/>
        </w:rPr>
        <w:tab/>
        <w:t xml:space="preserve">On 15 June 2015, </w:t>
      </w:r>
      <w:r w:rsidRPr="00A70AED">
        <w:rPr>
          <w:rFonts w:eastAsia="Cambria"/>
        </w:rPr>
        <w:t xml:space="preserve">a </w:t>
      </w:r>
      <w:r>
        <w:rPr>
          <w:rFonts w:eastAsia="Cambria"/>
        </w:rPr>
        <w:t xml:space="preserve">member </w:t>
      </w:r>
      <w:r>
        <w:rPr>
          <w:rFonts w:eastAsia="Cambria"/>
          <w:lang w:val="x-none"/>
        </w:rPr>
        <w:t xml:space="preserve">of the </w:t>
      </w:r>
      <w:r w:rsidRPr="005D4923">
        <w:rPr>
          <w:rFonts w:eastAsia="Cambria"/>
        </w:rPr>
        <w:t xml:space="preserve">Working </w:t>
      </w:r>
      <w:r>
        <w:rPr>
          <w:rFonts w:eastAsia="Cambria"/>
          <w:lang w:val="x-none"/>
        </w:rPr>
        <w:t>Group</w:t>
      </w:r>
      <w:r w:rsidRPr="00A70AED">
        <w:rPr>
          <w:rFonts w:eastAsia="Cambria"/>
        </w:rPr>
        <w:t xml:space="preserve"> </w:t>
      </w:r>
      <w:r w:rsidRPr="00A70AED">
        <w:rPr>
          <w:rFonts w:eastAsia="Cambria"/>
          <w:lang w:val="x-none"/>
        </w:rPr>
        <w:t xml:space="preserve">participated </w:t>
      </w:r>
      <w:r w:rsidRPr="00A70AED">
        <w:rPr>
          <w:rFonts w:eastAsia="Cambria"/>
        </w:rPr>
        <w:t>i</w:t>
      </w:r>
      <w:r>
        <w:rPr>
          <w:rFonts w:eastAsia="Cambria"/>
        </w:rPr>
        <w:t xml:space="preserve">n </w:t>
      </w:r>
      <w:r w:rsidRPr="00A70AED">
        <w:rPr>
          <w:rFonts w:eastAsia="Cambria"/>
          <w:lang w:val="x-none"/>
        </w:rPr>
        <w:t xml:space="preserve">a panel </w:t>
      </w:r>
      <w:r w:rsidRPr="00A70AED">
        <w:rPr>
          <w:rFonts w:eastAsia="Cambria"/>
        </w:rPr>
        <w:t>di</w:t>
      </w:r>
      <w:r>
        <w:rPr>
          <w:rFonts w:eastAsia="Cambria"/>
        </w:rPr>
        <w:t>scussion on</w:t>
      </w:r>
      <w:r w:rsidRPr="00A70AED">
        <w:rPr>
          <w:rFonts w:eastAsia="Cambria"/>
          <w:lang w:val="x-none"/>
        </w:rPr>
        <w:t xml:space="preserve"> </w:t>
      </w:r>
      <w:r>
        <w:rPr>
          <w:rFonts w:eastAsia="Cambria"/>
          <w:lang w:val="en-US"/>
        </w:rPr>
        <w:t>m</w:t>
      </w:r>
      <w:r w:rsidRPr="00A70AED">
        <w:rPr>
          <w:rFonts w:eastAsia="Cambria"/>
          <w:lang w:val="x-none"/>
        </w:rPr>
        <w:t xml:space="preserve">aking social policy work for women at a workshop </w:t>
      </w:r>
      <w:r>
        <w:rPr>
          <w:rFonts w:eastAsia="Cambria"/>
          <w:lang w:val="en-US"/>
        </w:rPr>
        <w:t>titled</w:t>
      </w:r>
      <w:r w:rsidRPr="00A70AED">
        <w:rPr>
          <w:rFonts w:eastAsia="Cambria"/>
          <w:lang w:val="x-none"/>
        </w:rPr>
        <w:t xml:space="preserve"> “Substantive equality for women: connecting human rights and public policy” organi</w:t>
      </w:r>
      <w:r>
        <w:rPr>
          <w:rFonts w:eastAsia="Cambria"/>
          <w:lang w:val="en-US"/>
        </w:rPr>
        <w:t>z</w:t>
      </w:r>
      <w:r w:rsidRPr="00A70AED">
        <w:rPr>
          <w:rFonts w:eastAsia="Cambria"/>
          <w:lang w:val="x-none"/>
        </w:rPr>
        <w:t xml:space="preserve">ed by </w:t>
      </w:r>
      <w:r>
        <w:rPr>
          <w:rFonts w:eastAsia="Cambria"/>
          <w:lang w:val="en-US"/>
        </w:rPr>
        <w:t>the United Nations Entity for Gender Equality and the Empowerment of Women (</w:t>
      </w:r>
      <w:r w:rsidRPr="00A70AED">
        <w:rPr>
          <w:rFonts w:eastAsia="Cambria"/>
          <w:lang w:val="x-none"/>
        </w:rPr>
        <w:t>UN</w:t>
      </w:r>
      <w:r>
        <w:rPr>
          <w:rFonts w:eastAsia="Cambria"/>
          <w:lang w:val="en-US"/>
        </w:rPr>
        <w:t>-</w:t>
      </w:r>
      <w:r w:rsidRPr="00A70AED">
        <w:rPr>
          <w:rFonts w:eastAsia="Cambria"/>
          <w:lang w:val="x-none"/>
        </w:rPr>
        <w:t>Women</w:t>
      </w:r>
      <w:r>
        <w:rPr>
          <w:rFonts w:eastAsia="Cambria"/>
          <w:lang w:val="en-US"/>
        </w:rPr>
        <w:t>)</w:t>
      </w:r>
      <w:r w:rsidRPr="00A70AED">
        <w:rPr>
          <w:rFonts w:eastAsia="Cambria"/>
          <w:lang w:val="x-none"/>
        </w:rPr>
        <w:t xml:space="preserve">, </w:t>
      </w:r>
      <w:r>
        <w:rPr>
          <w:rFonts w:eastAsia="Cambria"/>
          <w:lang w:val="en-US"/>
        </w:rPr>
        <w:t>the United Nations Institute for Social Development</w:t>
      </w:r>
      <w:r w:rsidRPr="00A70AED">
        <w:rPr>
          <w:rFonts w:eastAsia="Cambria"/>
          <w:lang w:val="x-none"/>
        </w:rPr>
        <w:t xml:space="preserve"> and OHCHR. </w:t>
      </w:r>
    </w:p>
    <w:p w:rsidR="00CA109F" w:rsidRPr="008E46B2" w:rsidRDefault="00CA109F" w:rsidP="00CA109F">
      <w:pPr>
        <w:pStyle w:val="SingleTxtG"/>
        <w:rPr>
          <w:rFonts w:eastAsia="Cambria"/>
        </w:rPr>
      </w:pPr>
      <w:r>
        <w:rPr>
          <w:rFonts w:eastAsia="Cambria"/>
        </w:rPr>
        <w:t>9.</w:t>
      </w:r>
      <w:r>
        <w:rPr>
          <w:rFonts w:eastAsia="Cambria"/>
        </w:rPr>
        <w:tab/>
        <w:t>T</w:t>
      </w:r>
      <w:r w:rsidRPr="00A70AED">
        <w:rPr>
          <w:rFonts w:eastAsia="Cambria"/>
          <w:lang w:val="x-none"/>
        </w:rPr>
        <w:t xml:space="preserve">he Working Group, jointly with several </w:t>
      </w:r>
      <w:r>
        <w:rPr>
          <w:rFonts w:eastAsia="Cambria"/>
          <w:lang w:val="en-US"/>
        </w:rPr>
        <w:t>s</w:t>
      </w:r>
      <w:r w:rsidRPr="00A70AED">
        <w:rPr>
          <w:rFonts w:eastAsia="Cambria"/>
          <w:lang w:val="x-none"/>
        </w:rPr>
        <w:t xml:space="preserve">pecial </w:t>
      </w:r>
      <w:r>
        <w:rPr>
          <w:rFonts w:eastAsia="Cambria"/>
          <w:lang w:val="en-US"/>
        </w:rPr>
        <w:t>p</w:t>
      </w:r>
      <w:r w:rsidRPr="00A70AED">
        <w:rPr>
          <w:rFonts w:eastAsia="Cambria"/>
          <w:lang w:val="x-none"/>
        </w:rPr>
        <w:t xml:space="preserve">rocedures, </w:t>
      </w:r>
      <w:r>
        <w:rPr>
          <w:rFonts w:eastAsia="Cambria"/>
          <w:lang w:val="en-US"/>
        </w:rPr>
        <w:t>sent</w:t>
      </w:r>
      <w:r w:rsidRPr="00A70AED">
        <w:rPr>
          <w:rFonts w:eastAsia="Cambria"/>
          <w:lang w:val="x-none"/>
        </w:rPr>
        <w:t xml:space="preserve"> </w:t>
      </w:r>
      <w:r w:rsidRPr="00A70AED">
        <w:rPr>
          <w:rFonts w:eastAsia="Cambria"/>
        </w:rPr>
        <w:t xml:space="preserve">an open letter </w:t>
      </w:r>
      <w:r w:rsidRPr="00A70AED">
        <w:rPr>
          <w:rFonts w:eastAsia="Cambria"/>
          <w:lang w:val="x-none"/>
        </w:rPr>
        <w:t xml:space="preserve">to the President </w:t>
      </w:r>
      <w:r>
        <w:rPr>
          <w:rFonts w:eastAsia="Cambria"/>
          <w:lang w:val="en-US"/>
        </w:rPr>
        <w:t xml:space="preserve">of the Human Rights Council </w:t>
      </w:r>
      <w:r w:rsidRPr="00A70AED">
        <w:rPr>
          <w:rFonts w:eastAsia="Cambria"/>
          <w:lang w:val="x-none"/>
        </w:rPr>
        <w:t>on 3 July 2015</w:t>
      </w:r>
      <w:r w:rsidRPr="00A70AED">
        <w:rPr>
          <w:rFonts w:eastAsia="Cambria"/>
        </w:rPr>
        <w:t xml:space="preserve">, </w:t>
      </w:r>
      <w:r>
        <w:rPr>
          <w:rFonts w:eastAsia="Cambria"/>
        </w:rPr>
        <w:t xml:space="preserve">in which it </w:t>
      </w:r>
      <w:r w:rsidRPr="00A70AED">
        <w:rPr>
          <w:rFonts w:eastAsia="Cambria"/>
          <w:lang w:val="x-none"/>
        </w:rPr>
        <w:t>emphasiz</w:t>
      </w:r>
      <w:r w:rsidRPr="00A70AED">
        <w:rPr>
          <w:rFonts w:eastAsia="Cambria"/>
        </w:rPr>
        <w:t>ed</w:t>
      </w:r>
      <w:r w:rsidRPr="00A70AED">
        <w:rPr>
          <w:rFonts w:eastAsia="Cambria"/>
          <w:lang w:val="x-none"/>
        </w:rPr>
        <w:t xml:space="preserve"> the importance of placing women’s right to equality </w:t>
      </w:r>
      <w:r>
        <w:rPr>
          <w:rFonts w:eastAsia="Cambria"/>
          <w:lang w:val="en-US"/>
        </w:rPr>
        <w:t>at the centre of discussions in the Council on</w:t>
      </w:r>
      <w:r w:rsidRPr="00A70AED">
        <w:rPr>
          <w:rFonts w:eastAsia="Cambria"/>
          <w:lang w:val="x-none"/>
        </w:rPr>
        <w:t xml:space="preserve"> the protection of the family.</w:t>
      </w:r>
    </w:p>
    <w:p w:rsidR="00CA109F" w:rsidRPr="00A70AED" w:rsidRDefault="00CA109F" w:rsidP="00CA109F">
      <w:pPr>
        <w:pStyle w:val="SingleTxtG"/>
        <w:rPr>
          <w:rFonts w:eastAsia="Cambria"/>
        </w:rPr>
      </w:pPr>
      <w:r>
        <w:rPr>
          <w:rFonts w:eastAsia="Cambria"/>
        </w:rPr>
        <w:t>10.</w:t>
      </w:r>
      <w:r>
        <w:rPr>
          <w:rFonts w:eastAsia="Cambria"/>
        </w:rPr>
        <w:tab/>
        <w:t xml:space="preserve">A member of the Working Group </w:t>
      </w:r>
      <w:r w:rsidRPr="00A70AED">
        <w:rPr>
          <w:rFonts w:eastAsia="Cambria"/>
          <w:lang w:val="x-none"/>
        </w:rPr>
        <w:t>participated as a panellist in an OHCHR global seminar on the hum</w:t>
      </w:r>
      <w:r>
        <w:rPr>
          <w:rFonts w:eastAsia="Cambria"/>
          <w:lang w:val="en-US"/>
        </w:rPr>
        <w:t>a</w:t>
      </w:r>
      <w:r w:rsidRPr="00A70AED">
        <w:rPr>
          <w:rFonts w:eastAsia="Cambria"/>
          <w:lang w:val="x-none"/>
        </w:rPr>
        <w:t>n rights of migrant domestic workers in an irregular situation</w:t>
      </w:r>
      <w:r>
        <w:rPr>
          <w:rFonts w:eastAsia="Cambria"/>
          <w:lang w:val="en-US"/>
        </w:rPr>
        <w:t>, titled</w:t>
      </w:r>
      <w:r w:rsidRPr="00A70AED">
        <w:rPr>
          <w:rFonts w:eastAsia="Cambria"/>
          <w:lang w:val="x-none"/>
        </w:rPr>
        <w:t xml:space="preserve"> </w:t>
      </w:r>
      <w:r>
        <w:rPr>
          <w:rFonts w:eastAsia="Cambria"/>
          <w:lang w:val="en-US"/>
        </w:rPr>
        <w:t>“</w:t>
      </w:r>
      <w:r w:rsidRPr="00A70AED">
        <w:rPr>
          <w:rFonts w:eastAsia="Cambria"/>
          <w:lang w:val="x-none"/>
        </w:rPr>
        <w:t>Behind closed doors</w:t>
      </w:r>
      <w:r>
        <w:rPr>
          <w:rFonts w:eastAsia="Cambria"/>
          <w:lang w:val="en-US"/>
        </w:rPr>
        <w:t>”, held</w:t>
      </w:r>
      <w:r w:rsidRPr="00A70AED">
        <w:rPr>
          <w:rFonts w:eastAsia="Cambria"/>
          <w:lang w:val="x-none"/>
        </w:rPr>
        <w:t xml:space="preserve"> on 28</w:t>
      </w:r>
      <w:r>
        <w:rPr>
          <w:rFonts w:eastAsia="Cambria"/>
          <w:lang w:val="en-US"/>
        </w:rPr>
        <w:t xml:space="preserve"> and </w:t>
      </w:r>
      <w:r w:rsidRPr="00A70AED">
        <w:rPr>
          <w:rFonts w:eastAsia="Cambria"/>
          <w:lang w:val="x-none"/>
        </w:rPr>
        <w:t>29 September 2015 in Bangkok.</w:t>
      </w:r>
    </w:p>
    <w:p w:rsidR="00CA109F" w:rsidRPr="00FD06BE" w:rsidRDefault="00CA109F" w:rsidP="00CA109F">
      <w:pPr>
        <w:pStyle w:val="SingleTxtG"/>
        <w:rPr>
          <w:rFonts w:eastAsia="Cambria"/>
          <w:lang w:val="en-CA"/>
        </w:rPr>
      </w:pPr>
      <w:r>
        <w:rPr>
          <w:rFonts w:eastAsia="Cambria"/>
        </w:rPr>
        <w:t>11.</w:t>
      </w:r>
      <w:r>
        <w:rPr>
          <w:rFonts w:eastAsia="Cambria"/>
        </w:rPr>
        <w:tab/>
        <w:t xml:space="preserve">A </w:t>
      </w:r>
      <w:r w:rsidRPr="00A70AED">
        <w:rPr>
          <w:rFonts w:eastAsia="Cambria"/>
        </w:rPr>
        <w:t>member</w:t>
      </w:r>
      <w:r>
        <w:rPr>
          <w:rFonts w:eastAsia="Cambria"/>
        </w:rPr>
        <w:t xml:space="preserve"> of the Working Group</w:t>
      </w:r>
      <w:r w:rsidRPr="00A70AED">
        <w:rPr>
          <w:rFonts w:eastAsia="Cambria"/>
        </w:rPr>
        <w:t xml:space="preserve"> </w:t>
      </w:r>
      <w:r>
        <w:rPr>
          <w:rFonts w:eastAsia="Cambria"/>
        </w:rPr>
        <w:t>gave</w:t>
      </w:r>
      <w:r w:rsidRPr="00A70AED">
        <w:rPr>
          <w:rFonts w:eastAsia="Cambria"/>
        </w:rPr>
        <w:t xml:space="preserve"> a presentation </w:t>
      </w:r>
      <w:r w:rsidRPr="00A70AED">
        <w:rPr>
          <w:rFonts w:eastAsia="Cambria"/>
          <w:lang w:val="x-none"/>
        </w:rPr>
        <w:t xml:space="preserve">at the expert consultation on </w:t>
      </w:r>
      <w:r>
        <w:rPr>
          <w:rFonts w:eastAsia="Cambria"/>
          <w:lang w:val="en-US"/>
        </w:rPr>
        <w:t>g</w:t>
      </w:r>
      <w:r w:rsidRPr="00A70AED">
        <w:rPr>
          <w:rFonts w:eastAsia="Cambria"/>
          <w:lang w:val="x-none"/>
        </w:rPr>
        <w:t xml:space="preserve">ender perspectives on torture and other cruel, inhuman or degrading treatment or punishment </w:t>
      </w:r>
      <w:r w:rsidRPr="00A70AED">
        <w:rPr>
          <w:rFonts w:eastAsia="Cambria"/>
        </w:rPr>
        <w:t xml:space="preserve">organized </w:t>
      </w:r>
      <w:r w:rsidRPr="00A70AED">
        <w:rPr>
          <w:rFonts w:eastAsia="Cambria"/>
          <w:lang w:val="x-none"/>
        </w:rPr>
        <w:t>on 5 and 6 November 2015</w:t>
      </w:r>
      <w:r w:rsidRPr="009247D9">
        <w:rPr>
          <w:rFonts w:eastAsia="Cambria"/>
        </w:rPr>
        <w:t xml:space="preserve"> by th</w:t>
      </w:r>
      <w:r>
        <w:rPr>
          <w:rFonts w:eastAsia="Cambria"/>
        </w:rPr>
        <w:t>e Special Rapporteur on torture and other cruel, inhuman or degrading treatment or punishment</w:t>
      </w:r>
      <w:r w:rsidRPr="00A70AED">
        <w:rPr>
          <w:rFonts w:eastAsia="Cambria"/>
          <w:lang w:val="x-none"/>
        </w:rPr>
        <w:t xml:space="preserve">. </w:t>
      </w:r>
    </w:p>
    <w:p w:rsidR="00CA109F" w:rsidRPr="00F377AB" w:rsidRDefault="00CA109F" w:rsidP="00CA109F">
      <w:pPr>
        <w:pStyle w:val="HChG"/>
        <w:rPr>
          <w:rFonts w:eastAsia="Cambria"/>
          <w:lang w:val="x-none"/>
        </w:rPr>
      </w:pPr>
      <w:bookmarkStart w:id="15" w:name="_Toc433579666"/>
      <w:bookmarkStart w:id="16" w:name="_Toc437186754"/>
      <w:bookmarkStart w:id="17" w:name="_Toc437187396"/>
      <w:bookmarkStart w:id="18" w:name="_Toc437599732"/>
      <w:r w:rsidRPr="00FD06BE">
        <w:rPr>
          <w:rFonts w:eastAsia="Cambria"/>
          <w:lang w:val="en-CA"/>
        </w:rPr>
        <w:tab/>
        <w:t>III.</w:t>
      </w:r>
      <w:r w:rsidRPr="00FD06BE">
        <w:rPr>
          <w:rFonts w:eastAsia="Cambria"/>
          <w:lang w:val="en-CA"/>
        </w:rPr>
        <w:tab/>
      </w:r>
      <w:bookmarkEnd w:id="15"/>
      <w:bookmarkEnd w:id="16"/>
      <w:bookmarkEnd w:id="17"/>
      <w:bookmarkEnd w:id="18"/>
      <w:r w:rsidRPr="00F377AB">
        <w:rPr>
          <w:rFonts w:eastAsia="Cambria"/>
          <w:bCs/>
          <w:lang w:val="x-none"/>
        </w:rPr>
        <w:t>Thematic analysis: eliminating discrimination against women with regard to health and safety</w:t>
      </w:r>
      <w:r w:rsidRPr="007366FA">
        <w:rPr>
          <w:rFonts w:eastAsia="Cambria"/>
          <w:b w:val="0"/>
          <w:sz w:val="18"/>
          <w:szCs w:val="18"/>
          <w:vertAlign w:val="superscript"/>
          <w:lang w:val="x-none"/>
        </w:rPr>
        <w:footnoteReference w:id="1"/>
      </w:r>
    </w:p>
    <w:p w:rsidR="00CA109F" w:rsidRDefault="00CA109F" w:rsidP="00CA109F">
      <w:pPr>
        <w:pStyle w:val="H1G"/>
        <w:rPr>
          <w:rFonts w:eastAsia="Cambria"/>
          <w:lang w:val="en-CA"/>
        </w:rPr>
      </w:pPr>
      <w:bookmarkStart w:id="19" w:name="_Toc433579667"/>
      <w:bookmarkStart w:id="20" w:name="_Toc437186755"/>
      <w:bookmarkStart w:id="21" w:name="_Toc437187397"/>
      <w:bookmarkStart w:id="22" w:name="_Toc437599733"/>
      <w:r w:rsidRPr="00FD06BE">
        <w:rPr>
          <w:rFonts w:eastAsia="Cambria"/>
          <w:lang w:val="en-CA"/>
        </w:rPr>
        <w:tab/>
        <w:t>A</w:t>
      </w:r>
      <w:r>
        <w:rPr>
          <w:rFonts w:eastAsia="Cambria"/>
          <w:lang w:val="en-CA"/>
        </w:rPr>
        <w:t>.</w:t>
      </w:r>
      <w:r w:rsidRPr="00FD06BE">
        <w:rPr>
          <w:rFonts w:eastAsia="Cambria"/>
          <w:lang w:val="en-CA"/>
        </w:rPr>
        <w:tab/>
      </w:r>
      <w:bookmarkEnd w:id="19"/>
      <w:bookmarkEnd w:id="20"/>
      <w:bookmarkEnd w:id="21"/>
      <w:bookmarkEnd w:id="22"/>
      <w:r>
        <w:rPr>
          <w:rFonts w:eastAsia="Cambria"/>
          <w:lang w:val="en-CA"/>
        </w:rPr>
        <w:t>Conceptual framework</w:t>
      </w:r>
      <w:bookmarkStart w:id="23" w:name="_Toc433579668"/>
      <w:bookmarkStart w:id="24" w:name="_Toc437186756"/>
      <w:bookmarkStart w:id="25" w:name="_Toc437187398"/>
      <w:bookmarkStart w:id="26" w:name="_Toc437599734"/>
    </w:p>
    <w:p w:rsidR="00CA109F" w:rsidRPr="000610B7" w:rsidRDefault="00CA109F" w:rsidP="00CA109F">
      <w:pPr>
        <w:pStyle w:val="SingleTxtG"/>
        <w:rPr>
          <w:rFonts w:eastAsia="Cambria"/>
          <w:lang w:val="en-CA"/>
        </w:rPr>
      </w:pPr>
      <w:r>
        <w:rPr>
          <w:rFonts w:eastAsia="Cambria"/>
        </w:rPr>
        <w:t>12.</w:t>
      </w:r>
      <w:r>
        <w:rPr>
          <w:rFonts w:eastAsia="Cambria"/>
        </w:rPr>
        <w:tab/>
      </w:r>
      <w:r w:rsidRPr="008E46B2">
        <w:rPr>
          <w:rFonts w:eastAsia="Cambria"/>
        </w:rPr>
        <w:t>Th</w:t>
      </w:r>
      <w:r>
        <w:rPr>
          <w:rFonts w:eastAsia="Cambria"/>
        </w:rPr>
        <w:t>e present</w:t>
      </w:r>
      <w:r w:rsidRPr="008E46B2">
        <w:rPr>
          <w:rFonts w:eastAsia="Cambria"/>
        </w:rPr>
        <w:t xml:space="preserve"> report aims </w:t>
      </w:r>
      <w:r>
        <w:rPr>
          <w:rFonts w:eastAsia="Cambria"/>
        </w:rPr>
        <w:t>to</w:t>
      </w:r>
      <w:r w:rsidRPr="008E46B2">
        <w:rPr>
          <w:rFonts w:eastAsia="Cambria"/>
        </w:rPr>
        <w:t xml:space="preserve"> clarify the meaning of equality in the area of health and safety, identify discriminatory practi</w:t>
      </w:r>
      <w:r>
        <w:rPr>
          <w:rFonts w:eastAsia="Cambria"/>
        </w:rPr>
        <w:t>ces, expose the instrumentaliz</w:t>
      </w:r>
      <w:r w:rsidRPr="008E46B2">
        <w:rPr>
          <w:rFonts w:eastAsia="Cambria"/>
        </w:rPr>
        <w:t xml:space="preserve">ation of women’s bodies in violation of their human dignity and reveal the barriers to women’s autonomous, effective and affordable access to </w:t>
      </w:r>
      <w:r>
        <w:rPr>
          <w:rFonts w:eastAsia="Cambria"/>
        </w:rPr>
        <w:t>health care</w:t>
      </w:r>
      <w:r w:rsidRPr="008E46B2">
        <w:rPr>
          <w:rFonts w:eastAsia="Cambria"/>
        </w:rPr>
        <w:t>.</w:t>
      </w:r>
      <w:r>
        <w:rPr>
          <w:rFonts w:eastAsia="Cambria"/>
        </w:rPr>
        <w:t xml:space="preserve"> </w:t>
      </w:r>
      <w:r>
        <w:rPr>
          <w:rFonts w:eastAsia="Cambria"/>
          <w:lang w:val="en-CA"/>
        </w:rPr>
        <w:t>Instrumentaliz</w:t>
      </w:r>
      <w:r w:rsidRPr="003A1579">
        <w:rPr>
          <w:rFonts w:eastAsia="Cambria"/>
          <w:lang w:val="en-CA"/>
        </w:rPr>
        <w:t xml:space="preserve">ation is </w:t>
      </w:r>
      <w:r>
        <w:rPr>
          <w:rFonts w:eastAsia="Cambria"/>
          <w:lang w:val="en-CA"/>
        </w:rPr>
        <w:t xml:space="preserve">defined as </w:t>
      </w:r>
      <w:r w:rsidRPr="003A1579">
        <w:rPr>
          <w:rFonts w:eastAsia="Cambria"/>
          <w:lang w:val="en-CA"/>
        </w:rPr>
        <w:t xml:space="preserve">the subjection of women’s natural biological functions to a politicized patriarchal agenda, which aims at maintaining </w:t>
      </w:r>
      <w:r>
        <w:rPr>
          <w:rFonts w:eastAsia="Cambria"/>
          <w:lang w:val="en-CA"/>
        </w:rPr>
        <w:t xml:space="preserve">and perpetrating </w:t>
      </w:r>
      <w:r w:rsidRPr="003A1579">
        <w:rPr>
          <w:rFonts w:eastAsia="Cambria"/>
          <w:lang w:val="en-CA"/>
        </w:rPr>
        <w:t>certain idea</w:t>
      </w:r>
      <w:r>
        <w:rPr>
          <w:rFonts w:eastAsia="Cambria"/>
          <w:lang w:val="en-CA"/>
        </w:rPr>
        <w:t>s of femininity versus</w:t>
      </w:r>
      <w:r w:rsidRPr="003A1579">
        <w:rPr>
          <w:rFonts w:eastAsia="Cambria"/>
          <w:lang w:val="en-CA"/>
        </w:rPr>
        <w:t xml:space="preserve"> masculinity or of women’s subordinate role in society.</w:t>
      </w:r>
    </w:p>
    <w:p w:rsidR="00CA109F" w:rsidRPr="008E46B2" w:rsidRDefault="00CA109F" w:rsidP="00CA109F">
      <w:pPr>
        <w:pStyle w:val="SingleTxtG"/>
        <w:rPr>
          <w:rFonts w:eastAsia="Cambria"/>
        </w:rPr>
      </w:pPr>
      <w:r>
        <w:rPr>
          <w:rFonts w:eastAsia="Cambria"/>
        </w:rPr>
        <w:t>13.</w:t>
      </w:r>
      <w:r>
        <w:rPr>
          <w:rFonts w:eastAsia="Cambria"/>
        </w:rPr>
        <w:tab/>
        <w:t>Women’s rights</w:t>
      </w:r>
      <w:r w:rsidRPr="008E46B2">
        <w:rPr>
          <w:rFonts w:eastAsia="Cambria"/>
        </w:rPr>
        <w:t xml:space="preserve"> to equality </w:t>
      </w:r>
      <w:r>
        <w:rPr>
          <w:rFonts w:eastAsia="Cambria"/>
        </w:rPr>
        <w:t xml:space="preserve">and to </w:t>
      </w:r>
      <w:r w:rsidRPr="008E46B2">
        <w:rPr>
          <w:rFonts w:eastAsia="Cambria"/>
        </w:rPr>
        <w:t xml:space="preserve">the highest attainable standards of health, to enjoy the benefits of scientific progress and to </w:t>
      </w:r>
      <w:r>
        <w:rPr>
          <w:rFonts w:eastAsia="Cambria"/>
        </w:rPr>
        <w:t>health-care</w:t>
      </w:r>
      <w:r w:rsidRPr="008E46B2">
        <w:rPr>
          <w:rFonts w:eastAsia="Cambria"/>
        </w:rPr>
        <w:t xml:space="preserve"> services, including those related to </w:t>
      </w:r>
      <w:r>
        <w:rPr>
          <w:rFonts w:eastAsia="Cambria"/>
        </w:rPr>
        <w:t>reproductive and sexual health</w:t>
      </w:r>
      <w:r w:rsidRPr="008E46B2">
        <w:rPr>
          <w:rFonts w:eastAsia="Cambria"/>
        </w:rPr>
        <w:t>, are enshrined in international and regional human rights instruments, reaffirmed in consensus agreements</w:t>
      </w:r>
      <w:r>
        <w:rPr>
          <w:rFonts w:eastAsia="Cambria"/>
        </w:rPr>
        <w:t>,</w:t>
      </w:r>
      <w:r w:rsidRPr="008E46B2">
        <w:rPr>
          <w:rFonts w:eastAsia="Cambria"/>
        </w:rPr>
        <w:t xml:space="preserve"> including the Programme of Action of the </w:t>
      </w:r>
      <w:r w:rsidRPr="008E46B2">
        <w:rPr>
          <w:rFonts w:eastAsia="Cambria"/>
        </w:rPr>
        <w:lastRenderedPageBreak/>
        <w:t>International Conference on Population and Development</w:t>
      </w:r>
      <w:r>
        <w:rPr>
          <w:rFonts w:eastAsia="Cambria"/>
        </w:rPr>
        <w:t xml:space="preserve"> and</w:t>
      </w:r>
      <w:r w:rsidRPr="008E46B2">
        <w:rPr>
          <w:rFonts w:eastAsia="Cambria"/>
        </w:rPr>
        <w:t xml:space="preserve"> the Beijing Platform for Action </w:t>
      </w:r>
      <w:r>
        <w:rPr>
          <w:rFonts w:eastAsia="Cambria"/>
        </w:rPr>
        <w:t xml:space="preserve">adopted at the Fourth World Conference on Women </w:t>
      </w:r>
      <w:r w:rsidRPr="008E46B2">
        <w:rPr>
          <w:rFonts w:eastAsia="Cambria"/>
        </w:rPr>
        <w:t xml:space="preserve">and the outcome documents of the review </w:t>
      </w:r>
      <w:r>
        <w:rPr>
          <w:rFonts w:eastAsia="Cambria"/>
        </w:rPr>
        <w:t xml:space="preserve">and appraisal </w:t>
      </w:r>
      <w:r w:rsidRPr="008E46B2">
        <w:rPr>
          <w:rFonts w:eastAsia="Cambria"/>
        </w:rPr>
        <w:t>conferences, and recognized by international, regional and national mechanisms and jurisprudence.</w:t>
      </w:r>
      <w:r w:rsidR="006A7F20" w:rsidRPr="006A7F20">
        <w:rPr>
          <w:rStyle w:val="Heading4Char"/>
          <w:color w:val="262626"/>
        </w:rPr>
        <w:t xml:space="preserve"> </w:t>
      </w:r>
      <w:r w:rsidR="006A7F20" w:rsidRPr="00037A83">
        <w:rPr>
          <w:rStyle w:val="FootnoteReference"/>
          <w:color w:val="262626"/>
        </w:rPr>
        <w:footnoteReference w:id="2"/>
      </w:r>
      <w:r w:rsidRPr="008E46B2">
        <w:rPr>
          <w:rFonts w:eastAsia="Cambria"/>
        </w:rPr>
        <w:t xml:space="preserve"> </w:t>
      </w:r>
      <w:r w:rsidRPr="006D25EA">
        <w:rPr>
          <w:rFonts w:eastAsia="Cambria"/>
        </w:rPr>
        <w:t xml:space="preserve">The </w:t>
      </w:r>
      <w:r w:rsidRPr="008E46B2">
        <w:rPr>
          <w:rFonts w:eastAsia="Cambria"/>
        </w:rPr>
        <w:t>International Conference on Population and Development</w:t>
      </w:r>
      <w:r>
        <w:rPr>
          <w:rFonts w:eastAsia="Cambria"/>
        </w:rPr>
        <w:t xml:space="preserve">, held </w:t>
      </w:r>
      <w:r w:rsidRPr="006D25EA">
        <w:rPr>
          <w:rFonts w:eastAsia="Cambria"/>
        </w:rPr>
        <w:t>in 1994</w:t>
      </w:r>
      <w:r>
        <w:rPr>
          <w:rFonts w:eastAsia="Cambria"/>
        </w:rPr>
        <w:t>,</w:t>
      </w:r>
      <w:r w:rsidRPr="006D25EA">
        <w:rPr>
          <w:rFonts w:eastAsia="Cambria"/>
        </w:rPr>
        <w:t xml:space="preserve"> recogni</w:t>
      </w:r>
      <w:r>
        <w:rPr>
          <w:rFonts w:eastAsia="Cambria"/>
        </w:rPr>
        <w:t>z</w:t>
      </w:r>
      <w:r w:rsidRPr="006D25EA">
        <w:rPr>
          <w:rFonts w:eastAsia="Cambria"/>
        </w:rPr>
        <w:t>ed women’s rights to reproductive and sexual health as being key to women’s health</w:t>
      </w:r>
      <w:r>
        <w:rPr>
          <w:rFonts w:eastAsia="Cambria"/>
        </w:rPr>
        <w:t>.</w:t>
      </w:r>
      <w:r w:rsidR="006A7F20" w:rsidRPr="006A7F20">
        <w:rPr>
          <w:rStyle w:val="Heading4Char"/>
          <w:rFonts w:eastAsia="Cambria"/>
        </w:rPr>
        <w:t xml:space="preserve"> </w:t>
      </w:r>
      <w:r w:rsidR="006A7F20">
        <w:rPr>
          <w:rStyle w:val="FootnoteReference"/>
          <w:rFonts w:eastAsia="Cambria"/>
        </w:rPr>
        <w:footnoteReference w:id="3"/>
      </w:r>
      <w:r>
        <w:rPr>
          <w:rFonts w:eastAsia="Cambria"/>
        </w:rPr>
        <w:t xml:space="preserve"> </w:t>
      </w:r>
      <w:r w:rsidRPr="008E46B2">
        <w:rPr>
          <w:rFonts w:eastAsia="Cambria"/>
        </w:rPr>
        <w:t xml:space="preserve">Discrimination against women in </w:t>
      </w:r>
      <w:r>
        <w:rPr>
          <w:rFonts w:eastAsia="Cambria"/>
        </w:rPr>
        <w:t xml:space="preserve">the area of </w:t>
      </w:r>
      <w:r w:rsidRPr="008E46B2">
        <w:rPr>
          <w:rFonts w:eastAsia="Cambria"/>
        </w:rPr>
        <w:t>health and safety and denial of their right to control their own bodies severely violate their human dignity, which, along with equality, is recognized in the Universal Declaration of Human Rights as the foundation of freedom, justice and peace in the world.</w:t>
      </w:r>
      <w:r w:rsidR="006A7F20" w:rsidRPr="006A7F20">
        <w:rPr>
          <w:rStyle w:val="Heading4Char"/>
          <w:rFonts w:eastAsia="Cambria"/>
        </w:rPr>
        <w:t xml:space="preserve"> </w:t>
      </w:r>
      <w:r w:rsidR="006A7F20">
        <w:rPr>
          <w:rStyle w:val="FootnoteReference"/>
          <w:rFonts w:eastAsia="Cambria"/>
        </w:rPr>
        <w:footnoteReference w:id="4"/>
      </w:r>
    </w:p>
    <w:p w:rsidR="00CA109F" w:rsidRPr="006A7F20" w:rsidRDefault="00CA109F" w:rsidP="00CA109F">
      <w:pPr>
        <w:pStyle w:val="SingleTxtG"/>
        <w:rPr>
          <w:rFonts w:eastAsia="Cambria"/>
          <w:lang w:val="en-CA"/>
        </w:rPr>
      </w:pPr>
      <w:r>
        <w:rPr>
          <w:rFonts w:eastAsia="Cambria"/>
        </w:rPr>
        <w:t>14.</w:t>
      </w:r>
      <w:r>
        <w:rPr>
          <w:rFonts w:eastAsia="Cambria"/>
        </w:rPr>
        <w:tab/>
      </w:r>
      <w:r w:rsidRPr="008E46B2">
        <w:rPr>
          <w:rFonts w:eastAsia="Cambria"/>
        </w:rPr>
        <w:t xml:space="preserve">States are obliged to secure women’s rights to the highest attainable standard of health and safety, </w:t>
      </w:r>
      <w:r w:rsidRPr="00616683">
        <w:rPr>
          <w:rFonts w:eastAsia="Cambria"/>
        </w:rPr>
        <w:t xml:space="preserve">including </w:t>
      </w:r>
      <w:r>
        <w:rPr>
          <w:rFonts w:eastAsia="Cambria"/>
        </w:rPr>
        <w:t>their</w:t>
      </w:r>
      <w:r w:rsidRPr="00616683">
        <w:rPr>
          <w:rFonts w:eastAsia="Cambria"/>
        </w:rPr>
        <w:t xml:space="preserve"> underlying determinants</w:t>
      </w:r>
      <w:r>
        <w:rPr>
          <w:rFonts w:eastAsia="Cambria"/>
        </w:rPr>
        <w:t>,</w:t>
      </w:r>
      <w:r w:rsidRPr="008E46B2">
        <w:rPr>
          <w:rFonts w:eastAsia="Cambria"/>
        </w:rPr>
        <w:t xml:space="preserve"> and </w:t>
      </w:r>
      <w:r>
        <w:rPr>
          <w:rFonts w:eastAsia="Cambria"/>
        </w:rPr>
        <w:t xml:space="preserve">women’s </w:t>
      </w:r>
      <w:r w:rsidRPr="008E46B2">
        <w:rPr>
          <w:rFonts w:eastAsia="Cambria"/>
        </w:rPr>
        <w:t xml:space="preserve">equal access to </w:t>
      </w:r>
      <w:r>
        <w:rPr>
          <w:rFonts w:eastAsia="Cambria"/>
        </w:rPr>
        <w:t>health-care</w:t>
      </w:r>
      <w:r w:rsidRPr="008E46B2">
        <w:rPr>
          <w:rFonts w:eastAsia="Cambria"/>
        </w:rPr>
        <w:t xml:space="preserve"> services, including those related to family planning</w:t>
      </w:r>
      <w:r>
        <w:rPr>
          <w:rFonts w:eastAsia="Cambria"/>
        </w:rPr>
        <w:t xml:space="preserve">, as well as their </w:t>
      </w:r>
      <w:r w:rsidRPr="008E46B2">
        <w:rPr>
          <w:rFonts w:eastAsia="Cambria"/>
        </w:rPr>
        <w:t xml:space="preserve">rights to privacy, </w:t>
      </w:r>
      <w:r w:rsidRPr="00616683">
        <w:rPr>
          <w:rFonts w:eastAsia="Cambria"/>
        </w:rPr>
        <w:t xml:space="preserve">information </w:t>
      </w:r>
      <w:r>
        <w:rPr>
          <w:rFonts w:eastAsia="Cambria"/>
        </w:rPr>
        <w:t xml:space="preserve">and bodily integrity. </w:t>
      </w:r>
      <w:r w:rsidRPr="008E46B2">
        <w:rPr>
          <w:rFonts w:eastAsia="Cambria"/>
        </w:rPr>
        <w:t xml:space="preserve">The obligation to respect, protect and fulfil women’s right </w:t>
      </w:r>
      <w:r>
        <w:rPr>
          <w:rFonts w:eastAsia="Cambria"/>
        </w:rPr>
        <w:t>to</w:t>
      </w:r>
      <w:r w:rsidRPr="008E46B2">
        <w:rPr>
          <w:rFonts w:eastAsia="Cambria"/>
        </w:rPr>
        <w:t xml:space="preserve"> equal access to </w:t>
      </w:r>
      <w:r>
        <w:rPr>
          <w:rFonts w:eastAsia="Cambria"/>
        </w:rPr>
        <w:t>health-care</w:t>
      </w:r>
      <w:r w:rsidRPr="008E46B2">
        <w:rPr>
          <w:rFonts w:eastAsia="Cambria"/>
        </w:rPr>
        <w:t xml:space="preserve"> services and to eliminate all forms of discrimination against women </w:t>
      </w:r>
      <w:r>
        <w:rPr>
          <w:rFonts w:eastAsia="Cambria"/>
        </w:rPr>
        <w:t>with regard to</w:t>
      </w:r>
      <w:r w:rsidRPr="008E46B2">
        <w:rPr>
          <w:rFonts w:eastAsia="Cambria"/>
        </w:rPr>
        <w:t xml:space="preserve"> their health and safety is violated by neglecting </w:t>
      </w:r>
      <w:r>
        <w:rPr>
          <w:rFonts w:eastAsia="Cambria"/>
        </w:rPr>
        <w:t>women’s health needs</w:t>
      </w:r>
      <w:r w:rsidRPr="008E46B2">
        <w:rPr>
          <w:rFonts w:eastAsia="Cambria"/>
        </w:rPr>
        <w:t>, failing to make gender-sensitive healt</w:t>
      </w:r>
      <w:r>
        <w:rPr>
          <w:rFonts w:eastAsia="Cambria"/>
        </w:rPr>
        <w:t>h interventions, depriving women</w:t>
      </w:r>
      <w:r w:rsidRPr="008E46B2">
        <w:rPr>
          <w:rFonts w:eastAsia="Cambria"/>
        </w:rPr>
        <w:t xml:space="preserve"> of autonomous decision-making capacity</w:t>
      </w:r>
      <w:r>
        <w:rPr>
          <w:rFonts w:eastAsia="Cambria"/>
        </w:rPr>
        <w:t xml:space="preserve"> and criminalizing or </w:t>
      </w:r>
      <w:r w:rsidRPr="008E46B2">
        <w:rPr>
          <w:rFonts w:eastAsia="Cambria"/>
        </w:rPr>
        <w:t xml:space="preserve">denying </w:t>
      </w:r>
      <w:r>
        <w:rPr>
          <w:rFonts w:eastAsia="Cambria"/>
        </w:rPr>
        <w:t xml:space="preserve">them </w:t>
      </w:r>
      <w:r w:rsidRPr="008E46B2">
        <w:rPr>
          <w:rFonts w:eastAsia="Cambria"/>
        </w:rPr>
        <w:t xml:space="preserve">access to health services </w:t>
      </w:r>
      <w:r>
        <w:rPr>
          <w:rFonts w:eastAsia="Cambria"/>
        </w:rPr>
        <w:t>that</w:t>
      </w:r>
      <w:r w:rsidRPr="008E46B2">
        <w:rPr>
          <w:rFonts w:eastAsia="Cambria"/>
        </w:rPr>
        <w:t xml:space="preserve"> only women </w:t>
      </w:r>
      <w:r>
        <w:rPr>
          <w:rFonts w:eastAsia="Cambria"/>
        </w:rPr>
        <w:t>require</w:t>
      </w:r>
      <w:r w:rsidRPr="008E46B2">
        <w:rPr>
          <w:rFonts w:eastAsia="Cambria"/>
        </w:rPr>
        <w:t>.</w:t>
      </w:r>
      <w:r w:rsidR="006A7F20" w:rsidRPr="006A7F20">
        <w:rPr>
          <w:rStyle w:val="Heading4Char"/>
          <w:szCs w:val="22"/>
        </w:rPr>
        <w:t xml:space="preserve"> </w:t>
      </w:r>
      <w:r w:rsidR="006A7F20" w:rsidRPr="00357835">
        <w:rPr>
          <w:rStyle w:val="FootnoteReference"/>
          <w:szCs w:val="22"/>
        </w:rPr>
        <w:footnoteReference w:id="5"/>
      </w:r>
      <w:r w:rsidRPr="008E46B2">
        <w:rPr>
          <w:rFonts w:eastAsia="Cambria"/>
        </w:rPr>
        <w:t xml:space="preserve"> In some situations</w:t>
      </w:r>
      <w:r>
        <w:rPr>
          <w:rFonts w:eastAsia="Cambria"/>
        </w:rPr>
        <w:t>,</w:t>
      </w:r>
      <w:r w:rsidRPr="008E46B2">
        <w:rPr>
          <w:rFonts w:eastAsia="Cambria"/>
        </w:rPr>
        <w:t xml:space="preserve"> failure to protect women’s </w:t>
      </w:r>
      <w:r>
        <w:rPr>
          <w:rFonts w:eastAsia="Cambria"/>
        </w:rPr>
        <w:t xml:space="preserve">rights to </w:t>
      </w:r>
      <w:r w:rsidRPr="008E46B2">
        <w:rPr>
          <w:rFonts w:eastAsia="Cambria"/>
        </w:rPr>
        <w:t>health and safety may amount to cruel, inhuman or degrading treatment or punishment</w:t>
      </w:r>
      <w:r w:rsidRPr="00854EDF">
        <w:t xml:space="preserve"> </w:t>
      </w:r>
      <w:r>
        <w:t xml:space="preserve">or </w:t>
      </w:r>
      <w:r w:rsidRPr="008E46B2">
        <w:rPr>
          <w:rFonts w:eastAsia="Cambria"/>
        </w:rPr>
        <w:t>torture</w:t>
      </w:r>
      <w:r>
        <w:rPr>
          <w:rFonts w:eastAsia="Cambria"/>
        </w:rPr>
        <w:t>, or even a</w:t>
      </w:r>
      <w:r w:rsidRPr="008E46B2">
        <w:rPr>
          <w:rFonts w:eastAsia="Cambria"/>
        </w:rPr>
        <w:t xml:space="preserve"> </w:t>
      </w:r>
      <w:r w:rsidRPr="00854EDF">
        <w:rPr>
          <w:rFonts w:eastAsia="Cambria"/>
        </w:rPr>
        <w:t>violation of their right to life.</w:t>
      </w:r>
      <w:r w:rsidR="006A7F20" w:rsidRPr="006A7F20">
        <w:rPr>
          <w:rStyle w:val="Heading4Char"/>
          <w:color w:val="000007"/>
        </w:rPr>
        <w:t xml:space="preserve"> </w:t>
      </w:r>
      <w:r w:rsidR="006A7F20" w:rsidRPr="00037A83">
        <w:rPr>
          <w:rStyle w:val="FootnoteReference"/>
          <w:color w:val="000007"/>
        </w:rPr>
        <w:footnoteReference w:id="6"/>
      </w:r>
    </w:p>
    <w:p w:rsidR="00CA109F" w:rsidRPr="008E46B2" w:rsidRDefault="00CA109F" w:rsidP="007C0ECD">
      <w:pPr>
        <w:pStyle w:val="SingleTxtG"/>
        <w:rPr>
          <w:rFonts w:eastAsia="Cambria"/>
        </w:rPr>
      </w:pPr>
      <w:r>
        <w:rPr>
          <w:rFonts w:eastAsia="Cambria"/>
        </w:rPr>
        <w:t>15.</w:t>
      </w:r>
      <w:r>
        <w:rPr>
          <w:rFonts w:eastAsia="Cambria"/>
        </w:rPr>
        <w:tab/>
        <w:t xml:space="preserve">WHO defines </w:t>
      </w:r>
      <w:r w:rsidRPr="008E46B2">
        <w:rPr>
          <w:rFonts w:eastAsia="Cambria"/>
        </w:rPr>
        <w:t>health as not merely the absence of disease or infirmity</w:t>
      </w:r>
      <w:r>
        <w:rPr>
          <w:rFonts w:eastAsia="Cambria"/>
        </w:rPr>
        <w:t>, but as</w:t>
      </w:r>
      <w:r w:rsidRPr="008E46B2">
        <w:rPr>
          <w:rFonts w:eastAsia="Cambria"/>
        </w:rPr>
        <w:t xml:space="preserve"> a state of complete physical, mental and social well-</w:t>
      </w:r>
      <w:proofErr w:type="gramStart"/>
      <w:r w:rsidRPr="008E46B2">
        <w:rPr>
          <w:rFonts w:eastAsia="Cambria"/>
        </w:rPr>
        <w:t>being</w:t>
      </w:r>
      <w:r>
        <w:rPr>
          <w:rFonts w:eastAsia="Cambria"/>
        </w:rPr>
        <w:t>.</w:t>
      </w:r>
      <w:proofErr w:type="gramEnd"/>
      <w:r w:rsidR="006A7F20">
        <w:rPr>
          <w:rStyle w:val="FootnoteReference"/>
          <w:rFonts w:eastAsia="Cambria"/>
        </w:rPr>
        <w:footnoteReference w:id="7"/>
      </w:r>
      <w:r w:rsidRPr="008E46B2">
        <w:rPr>
          <w:rFonts w:eastAsia="Cambria"/>
        </w:rPr>
        <w:t xml:space="preserve"> </w:t>
      </w:r>
      <w:r>
        <w:rPr>
          <w:rFonts w:eastAsia="Cambria"/>
        </w:rPr>
        <w:t>In the present report the Working Group addresses w</w:t>
      </w:r>
      <w:r w:rsidRPr="008E46B2">
        <w:rPr>
          <w:rFonts w:eastAsia="Cambria"/>
        </w:rPr>
        <w:t>omen’s safety as an in</w:t>
      </w:r>
      <w:r w:rsidR="00CA1D87">
        <w:rPr>
          <w:rFonts w:eastAsia="Cambria"/>
        </w:rPr>
        <w:t xml:space="preserve">tegral aspect of their health. </w:t>
      </w:r>
      <w:r w:rsidRPr="008E46B2">
        <w:rPr>
          <w:rFonts w:eastAsia="Cambria"/>
        </w:rPr>
        <w:t>Women’s exposure to gender-based violence in both the public and private spheres, including in conflict situations, is a major component of women’s physical and mental ill</w:t>
      </w:r>
      <w:r>
        <w:rPr>
          <w:rFonts w:eastAsia="Cambria"/>
        </w:rPr>
        <w:t xml:space="preserve"> </w:t>
      </w:r>
      <w:r w:rsidRPr="008E46B2">
        <w:rPr>
          <w:rFonts w:eastAsia="Cambria"/>
        </w:rPr>
        <w:t>health and the destruction of their well-being</w:t>
      </w:r>
      <w:r>
        <w:rPr>
          <w:rFonts w:eastAsia="Cambria"/>
        </w:rPr>
        <w:t>,</w:t>
      </w:r>
      <w:r w:rsidRPr="008E46B2">
        <w:rPr>
          <w:rFonts w:eastAsia="Cambria"/>
        </w:rPr>
        <w:t xml:space="preserve"> and constitutes </w:t>
      </w:r>
      <w:r>
        <w:rPr>
          <w:rFonts w:eastAsia="Cambria"/>
        </w:rPr>
        <w:t>a</w:t>
      </w:r>
      <w:r w:rsidRPr="008E46B2">
        <w:rPr>
          <w:rFonts w:eastAsia="Cambria"/>
        </w:rPr>
        <w:t xml:space="preserve"> violation of </w:t>
      </w:r>
      <w:r>
        <w:rPr>
          <w:rFonts w:eastAsia="Cambria"/>
        </w:rPr>
        <w:t xml:space="preserve">their </w:t>
      </w:r>
      <w:r w:rsidRPr="008E46B2">
        <w:rPr>
          <w:rFonts w:eastAsia="Cambria"/>
        </w:rPr>
        <w:t>human rights.</w:t>
      </w:r>
      <w:r w:rsidR="00F87FF3">
        <w:rPr>
          <w:rStyle w:val="FootnoteReference"/>
          <w:rFonts w:eastAsia="Cambria"/>
        </w:rPr>
        <w:footnoteReference w:id="8"/>
      </w:r>
    </w:p>
    <w:p w:rsidR="00CA109F" w:rsidRPr="008E46B2" w:rsidRDefault="00CA109F" w:rsidP="00CA109F">
      <w:pPr>
        <w:pStyle w:val="SingleTxtG"/>
        <w:rPr>
          <w:rFonts w:eastAsia="Cambria"/>
        </w:rPr>
      </w:pPr>
      <w:r>
        <w:rPr>
          <w:rFonts w:eastAsia="Cambria"/>
        </w:rPr>
        <w:lastRenderedPageBreak/>
        <w:t>16.</w:t>
      </w:r>
      <w:r>
        <w:rPr>
          <w:rFonts w:eastAsia="Cambria"/>
        </w:rPr>
        <w:tab/>
        <w:t>Substantive e</w:t>
      </w:r>
      <w:r w:rsidRPr="008E46B2">
        <w:rPr>
          <w:rFonts w:eastAsia="Cambria"/>
        </w:rPr>
        <w:t>quality in the area of health and safety requires differential treatment. Throughout their life cycle from childhood to old age, women have health needs and vulnerabilities</w:t>
      </w:r>
      <w:r>
        <w:rPr>
          <w:rFonts w:eastAsia="Cambria"/>
        </w:rPr>
        <w:t xml:space="preserve"> that are </w:t>
      </w:r>
      <w:r w:rsidRPr="008E46B2">
        <w:rPr>
          <w:rFonts w:eastAsia="Cambria"/>
        </w:rPr>
        <w:t xml:space="preserve">distinctively different </w:t>
      </w:r>
      <w:r>
        <w:rPr>
          <w:rFonts w:eastAsia="Cambria"/>
        </w:rPr>
        <w:t>from those of men</w:t>
      </w:r>
      <w:r w:rsidRPr="008E46B2">
        <w:rPr>
          <w:rFonts w:eastAsia="Cambria"/>
        </w:rPr>
        <w:t xml:space="preserve">. </w:t>
      </w:r>
      <w:r>
        <w:rPr>
          <w:rFonts w:eastAsia="Cambria"/>
        </w:rPr>
        <w:t>W</w:t>
      </w:r>
      <w:r w:rsidRPr="008E46B2">
        <w:rPr>
          <w:rFonts w:eastAsia="Cambria"/>
        </w:rPr>
        <w:t xml:space="preserve">omen have specific biological functions, are exposed to health problems </w:t>
      </w:r>
      <w:r>
        <w:rPr>
          <w:rFonts w:eastAsia="Cambria"/>
        </w:rPr>
        <w:t>that</w:t>
      </w:r>
      <w:r w:rsidRPr="008E46B2">
        <w:rPr>
          <w:rFonts w:eastAsia="Cambria"/>
        </w:rPr>
        <w:t xml:space="preserve"> </w:t>
      </w:r>
      <w:r>
        <w:rPr>
          <w:rFonts w:eastAsia="Cambria"/>
        </w:rPr>
        <w:t>affect only women</w:t>
      </w:r>
      <w:r w:rsidRPr="008E46B2">
        <w:rPr>
          <w:rFonts w:eastAsia="Cambria"/>
        </w:rPr>
        <w:t>, are victim</w:t>
      </w:r>
      <w:r>
        <w:rPr>
          <w:rFonts w:eastAsia="Cambria"/>
        </w:rPr>
        <w:t>s</w:t>
      </w:r>
      <w:r w:rsidRPr="008E46B2">
        <w:rPr>
          <w:rFonts w:eastAsia="Cambria"/>
        </w:rPr>
        <w:t xml:space="preserve"> </w:t>
      </w:r>
      <w:r>
        <w:rPr>
          <w:rFonts w:eastAsia="Cambria"/>
        </w:rPr>
        <w:t>of</w:t>
      </w:r>
      <w:r w:rsidRPr="008E46B2">
        <w:rPr>
          <w:rFonts w:eastAsia="Cambria"/>
        </w:rPr>
        <w:t xml:space="preserve"> pervasive gender-based violence and, statistically speaking, live longer than men, resulting in their greater need to access health services frequently and into older age. Hence</w:t>
      </w:r>
      <w:r>
        <w:rPr>
          <w:rFonts w:eastAsia="Cambria"/>
        </w:rPr>
        <w:t>,</w:t>
      </w:r>
      <w:r w:rsidRPr="008E46B2">
        <w:rPr>
          <w:rFonts w:eastAsia="Cambria"/>
        </w:rPr>
        <w:t xml:space="preserve"> women </w:t>
      </w:r>
      <w:r>
        <w:rPr>
          <w:rFonts w:eastAsia="Cambria"/>
        </w:rPr>
        <w:t xml:space="preserve">and girls </w:t>
      </w:r>
      <w:r w:rsidRPr="008E46B2">
        <w:rPr>
          <w:rFonts w:eastAsia="Cambria"/>
        </w:rPr>
        <w:t>experience the negative effects of insufficiencies in health</w:t>
      </w:r>
      <w:r>
        <w:rPr>
          <w:rFonts w:eastAsia="Cambria"/>
        </w:rPr>
        <w:t>-</w:t>
      </w:r>
      <w:r w:rsidRPr="008E46B2">
        <w:rPr>
          <w:rFonts w:eastAsia="Cambria"/>
        </w:rPr>
        <w:t xml:space="preserve">care services more intensively than men. </w:t>
      </w:r>
    </w:p>
    <w:p w:rsidR="00CA109F" w:rsidRPr="008E46B2" w:rsidRDefault="00CA109F" w:rsidP="00CA109F">
      <w:pPr>
        <w:pStyle w:val="SingleTxtG"/>
        <w:rPr>
          <w:rFonts w:eastAsia="Cambria"/>
        </w:rPr>
      </w:pPr>
      <w:r>
        <w:rPr>
          <w:rFonts w:eastAsia="Cambria"/>
        </w:rPr>
        <w:t>17.</w:t>
      </w:r>
      <w:r>
        <w:rPr>
          <w:rFonts w:eastAsia="Cambria"/>
        </w:rPr>
        <w:tab/>
      </w:r>
      <w:r w:rsidRPr="008E46B2">
        <w:rPr>
          <w:rFonts w:eastAsia="Cambria"/>
        </w:rPr>
        <w:t xml:space="preserve">Women face </w:t>
      </w:r>
      <w:r>
        <w:rPr>
          <w:rFonts w:eastAsia="Cambria"/>
        </w:rPr>
        <w:t>a disproportionate</w:t>
      </w:r>
      <w:r w:rsidRPr="008E46B2">
        <w:rPr>
          <w:rFonts w:eastAsia="Cambria"/>
        </w:rPr>
        <w:t xml:space="preserve"> risk of being subjected to humiliating and degrading treatment in </w:t>
      </w:r>
      <w:r>
        <w:rPr>
          <w:rFonts w:eastAsia="Cambria"/>
        </w:rPr>
        <w:t>health-care</w:t>
      </w:r>
      <w:r w:rsidRPr="008E46B2">
        <w:rPr>
          <w:rFonts w:eastAsia="Cambria"/>
        </w:rPr>
        <w:t xml:space="preserve"> facilities</w:t>
      </w:r>
      <w:r>
        <w:rPr>
          <w:rFonts w:eastAsia="Cambria"/>
        </w:rPr>
        <w:t>,</w:t>
      </w:r>
      <w:r w:rsidRPr="008E46B2">
        <w:rPr>
          <w:rFonts w:eastAsia="Cambria"/>
        </w:rPr>
        <w:t xml:space="preserve"> especially during pregnancy, childbirth and the post-partum period.</w:t>
      </w:r>
      <w:r w:rsidR="006A7F20" w:rsidRPr="006A7F20">
        <w:rPr>
          <w:rStyle w:val="Heading4Char"/>
          <w:rFonts w:eastAsia="Cambria"/>
        </w:rPr>
        <w:t xml:space="preserve"> </w:t>
      </w:r>
      <w:r w:rsidR="006A7F20">
        <w:rPr>
          <w:rStyle w:val="FootnoteReference"/>
          <w:rFonts w:eastAsia="Cambria"/>
        </w:rPr>
        <w:footnoteReference w:id="9"/>
      </w:r>
      <w:r w:rsidRPr="008E46B2">
        <w:rPr>
          <w:rFonts w:eastAsia="Cambria"/>
        </w:rPr>
        <w:t xml:space="preserve"> Furthermore, they are especially vulnerable to degrading treatment in situations where they are deprived of liberty</w:t>
      </w:r>
      <w:r w:rsidR="006A7F20">
        <w:rPr>
          <w:rStyle w:val="FootnoteReference"/>
          <w:rFonts w:eastAsia="Cambria"/>
        </w:rPr>
        <w:footnoteReference w:id="10"/>
      </w:r>
      <w:r w:rsidRPr="008E46B2">
        <w:rPr>
          <w:rFonts w:eastAsia="Cambria"/>
        </w:rPr>
        <w:t xml:space="preserve">, </w:t>
      </w:r>
      <w:r>
        <w:rPr>
          <w:rFonts w:eastAsia="Cambria"/>
        </w:rPr>
        <w:t>including in</w:t>
      </w:r>
      <w:r w:rsidRPr="008E46B2">
        <w:rPr>
          <w:rFonts w:eastAsia="Cambria"/>
        </w:rPr>
        <w:t xml:space="preserve"> migrant detention fac</w:t>
      </w:r>
      <w:r w:rsidR="00CA1D87">
        <w:rPr>
          <w:rFonts w:eastAsia="Cambria"/>
        </w:rPr>
        <w:t>ilities or mental institutions.</w:t>
      </w:r>
      <w:r w:rsidRPr="008E46B2">
        <w:rPr>
          <w:rFonts w:eastAsia="Cambria"/>
        </w:rPr>
        <w:t xml:space="preserve"> They are subjected to humiliating treatment within the health</w:t>
      </w:r>
      <w:r>
        <w:rPr>
          <w:rFonts w:eastAsia="Cambria"/>
        </w:rPr>
        <w:t>-</w:t>
      </w:r>
      <w:r w:rsidRPr="008E46B2">
        <w:rPr>
          <w:rFonts w:eastAsia="Cambria"/>
        </w:rPr>
        <w:t xml:space="preserve">care system </w:t>
      </w:r>
      <w:r>
        <w:rPr>
          <w:rFonts w:eastAsia="Cambria"/>
        </w:rPr>
        <w:t>because of their gender</w:t>
      </w:r>
      <w:r w:rsidRPr="008E46B2">
        <w:rPr>
          <w:rFonts w:eastAsia="Cambria"/>
        </w:rPr>
        <w:t xml:space="preserve"> identity and </w:t>
      </w:r>
      <w:r>
        <w:rPr>
          <w:rFonts w:eastAsia="Cambria"/>
        </w:rPr>
        <w:t xml:space="preserve">sexual </w:t>
      </w:r>
      <w:r w:rsidRPr="008E46B2">
        <w:rPr>
          <w:rFonts w:eastAsia="Cambria"/>
        </w:rPr>
        <w:t xml:space="preserve">orientation, sometimes expressly in the name of morality or religion, as a way of punishing what is considered </w:t>
      </w:r>
      <w:r>
        <w:rPr>
          <w:rFonts w:eastAsia="Cambria"/>
        </w:rPr>
        <w:t>“</w:t>
      </w:r>
      <w:r w:rsidRPr="008E46B2">
        <w:rPr>
          <w:rFonts w:eastAsia="Cambria"/>
        </w:rPr>
        <w:t>immoral</w:t>
      </w:r>
      <w:r>
        <w:rPr>
          <w:rFonts w:eastAsia="Cambria"/>
        </w:rPr>
        <w:t>”</w:t>
      </w:r>
      <w:r w:rsidRPr="008E46B2">
        <w:rPr>
          <w:rFonts w:eastAsia="Cambria"/>
        </w:rPr>
        <w:t xml:space="preserve"> behaviour. </w:t>
      </w:r>
      <w:r w:rsidR="0034417B">
        <w:rPr>
          <w:rStyle w:val="FootnoteReference"/>
          <w:rFonts w:eastAsia="Cambria"/>
        </w:rPr>
        <w:footnoteReference w:id="11"/>
      </w:r>
    </w:p>
    <w:p w:rsidR="00CA109F" w:rsidRPr="008E46B2" w:rsidRDefault="00CA109F" w:rsidP="00CA109F">
      <w:pPr>
        <w:pStyle w:val="SingleTxtG"/>
        <w:rPr>
          <w:rFonts w:eastAsia="Cambria"/>
        </w:rPr>
      </w:pPr>
      <w:r>
        <w:rPr>
          <w:rFonts w:eastAsia="Cambria"/>
        </w:rPr>
        <w:t>18.</w:t>
      </w:r>
      <w:r>
        <w:rPr>
          <w:rFonts w:eastAsia="Cambria"/>
        </w:rPr>
        <w:tab/>
      </w:r>
      <w:r w:rsidRPr="008E46B2">
        <w:rPr>
          <w:rFonts w:eastAsia="Cambria"/>
        </w:rPr>
        <w:t>W</w:t>
      </w:r>
      <w:r>
        <w:rPr>
          <w:rFonts w:eastAsia="Cambria"/>
        </w:rPr>
        <w:t>omen’s bodies are instrumentaliz</w:t>
      </w:r>
      <w:r w:rsidRPr="008E46B2">
        <w:rPr>
          <w:rFonts w:eastAsia="Cambria"/>
        </w:rPr>
        <w:t xml:space="preserve">ed for cultural, political and economic purposes rooted in patriarchal traditions. </w:t>
      </w:r>
      <w:r>
        <w:rPr>
          <w:rFonts w:eastAsia="Cambria"/>
        </w:rPr>
        <w:t>Instrumentalization</w:t>
      </w:r>
      <w:r w:rsidRPr="008E46B2">
        <w:rPr>
          <w:rFonts w:eastAsia="Cambria"/>
        </w:rPr>
        <w:t xml:space="preserve"> occurs within and beyond the health sector and is deeply embedded in multiple forms of social and political control over women. It aims at perpet</w:t>
      </w:r>
      <w:r>
        <w:rPr>
          <w:rFonts w:eastAsia="Cambria"/>
        </w:rPr>
        <w:t>u</w:t>
      </w:r>
      <w:r w:rsidRPr="008E46B2">
        <w:rPr>
          <w:rFonts w:eastAsia="Cambria"/>
        </w:rPr>
        <w:t xml:space="preserve">ating taboos </w:t>
      </w:r>
      <w:r>
        <w:rPr>
          <w:rFonts w:eastAsia="Cambria"/>
        </w:rPr>
        <w:t>and stigmas concerning</w:t>
      </w:r>
      <w:r w:rsidRPr="008E46B2">
        <w:rPr>
          <w:rFonts w:eastAsia="Cambria"/>
        </w:rPr>
        <w:t xml:space="preserve"> women’s bodies and their traditional roles in society, especially in relation to their sexuality and </w:t>
      </w:r>
      <w:r>
        <w:rPr>
          <w:rFonts w:eastAsia="Cambria"/>
        </w:rPr>
        <w:t xml:space="preserve">to </w:t>
      </w:r>
      <w:r w:rsidRPr="008E46B2">
        <w:rPr>
          <w:rFonts w:eastAsia="Cambria"/>
        </w:rPr>
        <w:t>reproduction. As</w:t>
      </w:r>
      <w:r>
        <w:rPr>
          <w:rFonts w:eastAsia="Cambria"/>
        </w:rPr>
        <w:t xml:space="preserve"> a result</w:t>
      </w:r>
      <w:r w:rsidRPr="008E46B2">
        <w:rPr>
          <w:rFonts w:eastAsia="Cambria"/>
        </w:rPr>
        <w:t xml:space="preserve">, women face continuous challenges in accessing </w:t>
      </w:r>
      <w:r>
        <w:rPr>
          <w:rFonts w:eastAsia="Cambria"/>
        </w:rPr>
        <w:t>health care</w:t>
      </w:r>
      <w:r w:rsidRPr="008E46B2">
        <w:rPr>
          <w:rFonts w:eastAsia="Cambria"/>
        </w:rPr>
        <w:t xml:space="preserve"> and in maintaining autonomous control in decision-making about their own bodies.</w:t>
      </w:r>
      <w:r w:rsidR="006A7F20" w:rsidRPr="006A7F20">
        <w:rPr>
          <w:rStyle w:val="Heading4Char"/>
          <w:rFonts w:eastAsia="Minion Pro"/>
          <w:color w:val="000000"/>
          <w:sz w:val="22"/>
          <w:szCs w:val="22"/>
        </w:rPr>
        <w:t xml:space="preserve"> </w:t>
      </w:r>
      <w:r w:rsidR="006A7F20" w:rsidRPr="00605D5A">
        <w:rPr>
          <w:rStyle w:val="FootnoteReference"/>
          <w:rFonts w:eastAsia="Minion Pro"/>
          <w:color w:val="000000"/>
          <w:sz w:val="22"/>
          <w:szCs w:val="22"/>
        </w:rPr>
        <w:footnoteReference w:id="12"/>
      </w:r>
      <w:r w:rsidRPr="008E46B2">
        <w:rPr>
          <w:rFonts w:eastAsia="Cambria"/>
        </w:rPr>
        <w:t xml:space="preserve"> </w:t>
      </w:r>
      <w:r>
        <w:rPr>
          <w:rFonts w:eastAsia="Cambria"/>
        </w:rPr>
        <w:t xml:space="preserve">Understanding and eliminating the </w:t>
      </w:r>
      <w:proofErr w:type="spellStart"/>
      <w:r>
        <w:rPr>
          <w:rFonts w:eastAsia="Cambria"/>
        </w:rPr>
        <w:t>instrumentalization</w:t>
      </w:r>
      <w:proofErr w:type="spellEnd"/>
      <w:r>
        <w:rPr>
          <w:rFonts w:eastAsia="Cambria"/>
        </w:rPr>
        <w:t xml:space="preserve"> of women’s bodies, which is based on harmful cultural norms and stereotypes, and its detrimental impact on women’s health, is critical for change to occur</w:t>
      </w:r>
      <w:r w:rsidRPr="008E46B2">
        <w:rPr>
          <w:rFonts w:eastAsia="Cambria"/>
        </w:rPr>
        <w:t>.</w:t>
      </w:r>
      <w:r w:rsidR="00C74484">
        <w:rPr>
          <w:rStyle w:val="FootnoteReference"/>
          <w:rFonts w:eastAsia="Cambria"/>
        </w:rPr>
        <w:footnoteReference w:id="13"/>
      </w:r>
    </w:p>
    <w:p w:rsidR="00CA109F" w:rsidRPr="008E46B2" w:rsidRDefault="00CA109F" w:rsidP="00CA109F">
      <w:pPr>
        <w:pStyle w:val="SingleTxtG"/>
        <w:rPr>
          <w:rFonts w:eastAsia="Cambria"/>
        </w:rPr>
      </w:pPr>
      <w:r>
        <w:rPr>
          <w:rFonts w:eastAsia="Cambria"/>
        </w:rPr>
        <w:t>19.</w:t>
      </w:r>
      <w:r>
        <w:rPr>
          <w:rFonts w:eastAsia="Cambria"/>
        </w:rPr>
        <w:tab/>
      </w:r>
      <w:r w:rsidRPr="008E46B2">
        <w:rPr>
          <w:rFonts w:eastAsia="Cambria"/>
        </w:rPr>
        <w:t xml:space="preserve">A wide range of actors, both public and private, play a role </w:t>
      </w:r>
      <w:r>
        <w:rPr>
          <w:rFonts w:eastAsia="Cambria"/>
        </w:rPr>
        <w:t>that</w:t>
      </w:r>
      <w:r w:rsidRPr="008E46B2">
        <w:rPr>
          <w:rFonts w:eastAsia="Cambria"/>
        </w:rPr>
        <w:t xml:space="preserve"> affects women’s health and access to health</w:t>
      </w:r>
      <w:r>
        <w:rPr>
          <w:rFonts w:eastAsia="Cambria"/>
        </w:rPr>
        <w:t xml:space="preserve"> </w:t>
      </w:r>
      <w:r w:rsidRPr="008E46B2">
        <w:rPr>
          <w:rFonts w:eastAsia="Cambria"/>
        </w:rPr>
        <w:t>care and each of the actors bears responsibility for its actions or inactions. In particular, the significant role of the principles enshrined in the de</w:t>
      </w:r>
      <w:r>
        <w:rPr>
          <w:rFonts w:eastAsia="Cambria"/>
        </w:rPr>
        <w:t xml:space="preserve">ontological codes of different medical professionals and in </w:t>
      </w:r>
      <w:r w:rsidRPr="008E46B2">
        <w:rPr>
          <w:rFonts w:eastAsia="Cambria"/>
        </w:rPr>
        <w:t xml:space="preserve">the rules </w:t>
      </w:r>
      <w:r>
        <w:rPr>
          <w:rFonts w:eastAsia="Cambria"/>
        </w:rPr>
        <w:t>governing the</w:t>
      </w:r>
      <w:r w:rsidRPr="008E46B2">
        <w:rPr>
          <w:rFonts w:eastAsia="Cambria"/>
        </w:rPr>
        <w:t xml:space="preserve"> corporate social responsibility </w:t>
      </w:r>
      <w:r>
        <w:rPr>
          <w:rFonts w:eastAsia="Cambria"/>
        </w:rPr>
        <w:t xml:space="preserve">of the pharmaceutical industry </w:t>
      </w:r>
      <w:r w:rsidRPr="008E46B2">
        <w:rPr>
          <w:rFonts w:eastAsia="Cambria"/>
        </w:rPr>
        <w:t xml:space="preserve">are an essential locus for establishing gender-sensitive research, medicines and treatments. </w:t>
      </w:r>
    </w:p>
    <w:p w:rsidR="00CA109F" w:rsidRPr="008E46B2" w:rsidRDefault="00CA109F" w:rsidP="00CA109F">
      <w:pPr>
        <w:pStyle w:val="SingleTxtG"/>
        <w:rPr>
          <w:rFonts w:eastAsia="Cambria"/>
        </w:rPr>
      </w:pPr>
      <w:r>
        <w:rPr>
          <w:rFonts w:eastAsia="Cambria"/>
        </w:rPr>
        <w:t>20.</w:t>
      </w:r>
      <w:r>
        <w:rPr>
          <w:rFonts w:eastAsia="Cambria"/>
        </w:rPr>
        <w:tab/>
      </w:r>
      <w:r w:rsidRPr="008E46B2">
        <w:rPr>
          <w:rFonts w:eastAsia="Cambria"/>
        </w:rPr>
        <w:t xml:space="preserve">The State is accountable for fulfilling its international human rights obligation </w:t>
      </w:r>
      <w:r>
        <w:rPr>
          <w:rFonts w:eastAsia="Cambria"/>
        </w:rPr>
        <w:t>to</w:t>
      </w:r>
      <w:r w:rsidRPr="008E46B2">
        <w:rPr>
          <w:rFonts w:eastAsia="Cambria"/>
        </w:rPr>
        <w:t xml:space="preserve"> </w:t>
      </w:r>
      <w:r>
        <w:rPr>
          <w:rFonts w:eastAsia="Cambria"/>
        </w:rPr>
        <w:t xml:space="preserve">ensure that women are provided </w:t>
      </w:r>
      <w:r w:rsidRPr="008E46B2">
        <w:rPr>
          <w:rFonts w:eastAsia="Cambria"/>
        </w:rPr>
        <w:t>with gender</w:t>
      </w:r>
      <w:r>
        <w:rPr>
          <w:rFonts w:eastAsia="Cambria"/>
        </w:rPr>
        <w:t>-</w:t>
      </w:r>
      <w:r w:rsidRPr="008E46B2">
        <w:rPr>
          <w:rFonts w:eastAsia="Cambria"/>
        </w:rPr>
        <w:t>responsive scientific research, medicines and health interventions</w:t>
      </w:r>
      <w:r>
        <w:rPr>
          <w:rFonts w:eastAsia="Cambria"/>
        </w:rPr>
        <w:t xml:space="preserve"> and for providing appropriate and adequate </w:t>
      </w:r>
      <w:r w:rsidRPr="008E46B2">
        <w:rPr>
          <w:rFonts w:eastAsia="Cambria"/>
        </w:rPr>
        <w:t>gender-based resource</w:t>
      </w:r>
      <w:r>
        <w:rPr>
          <w:rFonts w:eastAsia="Cambria"/>
        </w:rPr>
        <w:t>s</w:t>
      </w:r>
      <w:r w:rsidRPr="008E46B2">
        <w:rPr>
          <w:rFonts w:eastAsia="Cambria"/>
        </w:rPr>
        <w:t xml:space="preserve"> and a system of effective monitoring, budgeting, remedies and redress. It is also obligated to provide women </w:t>
      </w:r>
      <w:r>
        <w:rPr>
          <w:rFonts w:eastAsia="Cambria"/>
        </w:rPr>
        <w:t xml:space="preserve">with </w:t>
      </w:r>
      <w:r w:rsidRPr="008E46B2">
        <w:rPr>
          <w:rFonts w:eastAsia="Cambria"/>
        </w:rPr>
        <w:t xml:space="preserve">autonomous, effective and affordable access to </w:t>
      </w:r>
      <w:r>
        <w:rPr>
          <w:rFonts w:eastAsia="Cambria"/>
        </w:rPr>
        <w:t>health care</w:t>
      </w:r>
      <w:r w:rsidRPr="008E46B2">
        <w:rPr>
          <w:rFonts w:eastAsia="Cambria"/>
        </w:rPr>
        <w:t xml:space="preserve">. The State has </w:t>
      </w:r>
      <w:r>
        <w:rPr>
          <w:rFonts w:eastAsia="Cambria"/>
        </w:rPr>
        <w:t>a</w:t>
      </w:r>
      <w:r w:rsidRPr="008E46B2">
        <w:rPr>
          <w:rFonts w:eastAsia="Cambria"/>
        </w:rPr>
        <w:t xml:space="preserve"> responsibility to ensure </w:t>
      </w:r>
      <w:r>
        <w:rPr>
          <w:rFonts w:eastAsia="Cambria"/>
        </w:rPr>
        <w:t>that</w:t>
      </w:r>
      <w:r w:rsidRPr="008E46B2">
        <w:rPr>
          <w:rFonts w:eastAsia="Cambria"/>
        </w:rPr>
        <w:t xml:space="preserve"> barriers to women’s enjoyment of </w:t>
      </w:r>
      <w:r>
        <w:rPr>
          <w:rFonts w:eastAsia="Cambria"/>
        </w:rPr>
        <w:t xml:space="preserve">the right to </w:t>
      </w:r>
      <w:r w:rsidRPr="008E46B2">
        <w:rPr>
          <w:rFonts w:eastAsia="Cambria"/>
        </w:rPr>
        <w:t xml:space="preserve">the highest </w:t>
      </w:r>
      <w:r w:rsidRPr="008E46B2">
        <w:rPr>
          <w:rFonts w:eastAsia="Cambria"/>
        </w:rPr>
        <w:lastRenderedPageBreak/>
        <w:t>attainable standard of physical and mental health</w:t>
      </w:r>
      <w:r>
        <w:rPr>
          <w:rFonts w:eastAsia="Cambria"/>
        </w:rPr>
        <w:t xml:space="preserve"> are dismantled, including by exercising due diligence</w:t>
      </w:r>
      <w:r w:rsidR="00A415B5">
        <w:rPr>
          <w:rStyle w:val="FootnoteReference"/>
          <w:rFonts w:eastAsia="Cambria"/>
        </w:rPr>
        <w:footnoteReference w:id="14"/>
      </w:r>
      <w:r w:rsidRPr="008E46B2">
        <w:rPr>
          <w:rFonts w:eastAsia="Cambria"/>
        </w:rPr>
        <w:t>.</w:t>
      </w:r>
    </w:p>
    <w:p w:rsidR="00CA109F" w:rsidRPr="008E46B2" w:rsidRDefault="00CA109F" w:rsidP="00CA109F">
      <w:pPr>
        <w:pStyle w:val="SingleTxtG"/>
        <w:rPr>
          <w:rFonts w:eastAsia="Cambria"/>
        </w:rPr>
      </w:pPr>
      <w:r>
        <w:rPr>
          <w:rFonts w:eastAsia="Cambria"/>
        </w:rPr>
        <w:t>21.</w:t>
      </w:r>
      <w:r>
        <w:rPr>
          <w:rFonts w:eastAsia="Cambria"/>
        </w:rPr>
        <w:tab/>
      </w:r>
      <w:r w:rsidRPr="008E46B2">
        <w:rPr>
          <w:rFonts w:eastAsia="Cambria"/>
        </w:rPr>
        <w:t>A number of other factors and developments which have serious implications for women’s health and safety are not tackled in th</w:t>
      </w:r>
      <w:r>
        <w:rPr>
          <w:rFonts w:eastAsia="Cambria"/>
        </w:rPr>
        <w:t>e present</w:t>
      </w:r>
      <w:r w:rsidRPr="008E46B2">
        <w:rPr>
          <w:rFonts w:eastAsia="Cambria"/>
        </w:rPr>
        <w:t xml:space="preserve"> report </w:t>
      </w:r>
      <w:r>
        <w:rPr>
          <w:rFonts w:eastAsia="Cambria"/>
        </w:rPr>
        <w:t>owing</w:t>
      </w:r>
      <w:r w:rsidRPr="008E46B2">
        <w:rPr>
          <w:rFonts w:eastAsia="Cambria"/>
        </w:rPr>
        <w:t xml:space="preserve"> to space restriction</w:t>
      </w:r>
      <w:r>
        <w:rPr>
          <w:rFonts w:eastAsia="Cambria"/>
        </w:rPr>
        <w:t>s.</w:t>
      </w:r>
      <w:r w:rsidRPr="008E46B2">
        <w:rPr>
          <w:rFonts w:eastAsia="Cambria"/>
        </w:rPr>
        <w:t xml:space="preserve"> </w:t>
      </w:r>
      <w:r>
        <w:rPr>
          <w:rFonts w:eastAsia="Cambria"/>
        </w:rPr>
        <w:t>These include</w:t>
      </w:r>
      <w:r w:rsidRPr="008E46B2">
        <w:rPr>
          <w:rFonts w:eastAsia="Cambria"/>
        </w:rPr>
        <w:t xml:space="preserve"> climate change and other environmental catastrophes and degradation and gender-based violence in armed conflicts.</w:t>
      </w:r>
    </w:p>
    <w:p w:rsidR="00CA109F" w:rsidRPr="003B22CF" w:rsidRDefault="00CA109F" w:rsidP="00CA109F">
      <w:pPr>
        <w:pStyle w:val="H1G"/>
        <w:rPr>
          <w:rFonts w:eastAsia="Cambria"/>
          <w:lang w:val="en-CA"/>
        </w:rPr>
      </w:pPr>
      <w:r w:rsidRPr="00FD06BE">
        <w:rPr>
          <w:rFonts w:eastAsia="Cambria"/>
          <w:lang w:val="en-CA"/>
        </w:rPr>
        <w:tab/>
      </w:r>
      <w:bookmarkEnd w:id="23"/>
      <w:bookmarkEnd w:id="24"/>
      <w:bookmarkEnd w:id="25"/>
      <w:bookmarkEnd w:id="26"/>
      <w:r w:rsidRPr="003B22CF">
        <w:rPr>
          <w:rFonts w:eastAsia="Cambria"/>
          <w:lang w:val="en-CA"/>
        </w:rPr>
        <w:t>B.</w:t>
      </w:r>
      <w:r w:rsidRPr="003B22CF">
        <w:rPr>
          <w:rFonts w:eastAsia="Cambria"/>
          <w:lang w:val="en-CA"/>
        </w:rPr>
        <w:tab/>
        <w:t xml:space="preserve">Meaning of equality in women’s health and safety </w:t>
      </w:r>
    </w:p>
    <w:p w:rsidR="00CA109F" w:rsidRPr="003A1579" w:rsidRDefault="00CA109F" w:rsidP="00CA109F">
      <w:pPr>
        <w:pStyle w:val="SingleTxtG"/>
        <w:rPr>
          <w:rFonts w:eastAsia="Cambria"/>
          <w:lang w:val="en-CA"/>
        </w:rPr>
      </w:pPr>
      <w:r>
        <w:rPr>
          <w:rFonts w:eastAsia="Cambria"/>
          <w:lang w:val="en-CA"/>
        </w:rPr>
        <w:t>22</w:t>
      </w:r>
      <w:r w:rsidRPr="003A1579">
        <w:rPr>
          <w:rFonts w:eastAsia="Cambria"/>
          <w:lang w:val="en-CA"/>
        </w:rPr>
        <w:t>.</w:t>
      </w:r>
      <w:r w:rsidRPr="003A1579">
        <w:rPr>
          <w:rFonts w:eastAsia="Cambria"/>
          <w:lang w:val="en-CA"/>
        </w:rPr>
        <w:tab/>
        <w:t xml:space="preserve">In the area of health, the distinctly different biological and reproductive functions of women and men necessitate differential treatment and proper algorithms are required to make sure that women have equal access to </w:t>
      </w:r>
      <w:r>
        <w:rPr>
          <w:rFonts w:eastAsia="Cambria"/>
          <w:lang w:val="en-CA"/>
        </w:rPr>
        <w:t xml:space="preserve">and enjoy </w:t>
      </w:r>
      <w:r w:rsidRPr="003A1579">
        <w:rPr>
          <w:rFonts w:eastAsia="Cambria"/>
          <w:lang w:val="en-CA"/>
        </w:rPr>
        <w:t xml:space="preserve">the highest achievable level of health treatment. An identical approach to treatment, medication, budgeting and accessibility would in fact constitute discrimination. </w:t>
      </w:r>
    </w:p>
    <w:p w:rsidR="00CA109F" w:rsidRPr="003A1579" w:rsidRDefault="00CA109F" w:rsidP="00CA109F">
      <w:pPr>
        <w:pStyle w:val="SingleTxtG"/>
        <w:rPr>
          <w:rFonts w:eastAsia="Cambria"/>
          <w:lang w:val="en-CA"/>
        </w:rPr>
      </w:pPr>
      <w:r>
        <w:rPr>
          <w:rFonts w:eastAsia="Cambria"/>
          <w:lang w:val="en-CA"/>
        </w:rPr>
        <w:t>23</w:t>
      </w:r>
      <w:r w:rsidRPr="003A1579">
        <w:rPr>
          <w:rFonts w:eastAsia="Cambria"/>
          <w:lang w:val="en-CA"/>
        </w:rPr>
        <w:t>.</w:t>
      </w:r>
      <w:r w:rsidRPr="003A1579">
        <w:rPr>
          <w:rFonts w:eastAsia="Cambria"/>
          <w:lang w:val="en-CA"/>
        </w:rPr>
        <w:tab/>
        <w:t xml:space="preserve">Central among women’s and girls’ health needs </w:t>
      </w:r>
      <w:proofErr w:type="gramStart"/>
      <w:r w:rsidRPr="003A1579">
        <w:rPr>
          <w:rFonts w:eastAsia="Cambria"/>
          <w:lang w:val="en-CA"/>
        </w:rPr>
        <w:t>are</w:t>
      </w:r>
      <w:proofErr w:type="gramEnd"/>
      <w:r w:rsidRPr="003A1579">
        <w:rPr>
          <w:rFonts w:eastAsia="Cambria"/>
          <w:lang w:val="en-CA"/>
        </w:rPr>
        <w:t xml:space="preserve"> those </w:t>
      </w:r>
      <w:r>
        <w:rPr>
          <w:rFonts w:eastAsia="Cambria"/>
          <w:lang w:val="en-CA"/>
        </w:rPr>
        <w:t xml:space="preserve">relating to their </w:t>
      </w:r>
      <w:r w:rsidRPr="003A1579">
        <w:rPr>
          <w:rFonts w:eastAsia="Cambria"/>
          <w:lang w:val="en-CA"/>
        </w:rPr>
        <w:t xml:space="preserve">reproductive </w:t>
      </w:r>
      <w:r>
        <w:rPr>
          <w:rFonts w:eastAsia="Cambria"/>
          <w:lang w:val="en-CA"/>
        </w:rPr>
        <w:t xml:space="preserve">and sexual </w:t>
      </w:r>
      <w:r w:rsidRPr="003A1579">
        <w:rPr>
          <w:rFonts w:eastAsia="Cambria"/>
          <w:lang w:val="en-CA"/>
        </w:rPr>
        <w:t xml:space="preserve">health. </w:t>
      </w:r>
      <w:r>
        <w:rPr>
          <w:rFonts w:eastAsia="Cambria"/>
          <w:lang w:val="en-CA"/>
        </w:rPr>
        <w:t>S</w:t>
      </w:r>
      <w:r w:rsidRPr="00E65E90">
        <w:rPr>
          <w:rFonts w:eastAsia="Cambria"/>
          <w:lang w:val="en-CA"/>
        </w:rPr>
        <w:t xml:space="preserve">ubstantive equality requires that States attend to the risk factors that predominantly affect women. </w:t>
      </w:r>
      <w:r>
        <w:rPr>
          <w:rFonts w:eastAsia="Cambria"/>
          <w:lang w:val="en-CA"/>
        </w:rPr>
        <w:t>For instance, s</w:t>
      </w:r>
      <w:r w:rsidRPr="00E65E90">
        <w:rPr>
          <w:rFonts w:eastAsia="Cambria"/>
          <w:lang w:val="en-CA"/>
        </w:rPr>
        <w:t>ince</w:t>
      </w:r>
      <w:r>
        <w:rPr>
          <w:rFonts w:eastAsia="Cambria"/>
          <w:lang w:val="en-CA"/>
        </w:rPr>
        <w:t xml:space="preserve"> only women can become pregnant, a</w:t>
      </w:r>
      <w:r w:rsidRPr="00E65E90">
        <w:rPr>
          <w:rFonts w:eastAsia="Cambria"/>
          <w:lang w:val="en-CA"/>
        </w:rPr>
        <w:t xml:space="preserve"> lack of access to contraceptives is bound to affect their health disproportionately</w:t>
      </w:r>
      <w:r>
        <w:rPr>
          <w:rFonts w:eastAsia="Cambria"/>
          <w:lang w:val="en-CA"/>
        </w:rPr>
        <w:t>. E</w:t>
      </w:r>
      <w:r w:rsidRPr="003A1579">
        <w:rPr>
          <w:rFonts w:eastAsia="Cambria"/>
          <w:lang w:val="en-CA"/>
        </w:rPr>
        <w:t xml:space="preserve">quality </w:t>
      </w:r>
      <w:r>
        <w:rPr>
          <w:rFonts w:eastAsia="Cambria"/>
          <w:lang w:val="en-CA"/>
        </w:rPr>
        <w:t xml:space="preserve">in reproductive health </w:t>
      </w:r>
      <w:r w:rsidRPr="003A1579">
        <w:rPr>
          <w:rFonts w:eastAsia="Cambria"/>
          <w:lang w:val="en-CA"/>
        </w:rPr>
        <w:t xml:space="preserve">requires </w:t>
      </w:r>
      <w:r w:rsidRPr="006654D1">
        <w:rPr>
          <w:rFonts w:eastAsia="Cambria"/>
          <w:lang w:val="en-CA"/>
        </w:rPr>
        <w:t xml:space="preserve">access, without discrimination, to </w:t>
      </w:r>
      <w:r w:rsidRPr="003A1579">
        <w:rPr>
          <w:rFonts w:eastAsia="Cambria"/>
          <w:lang w:val="en-CA"/>
        </w:rPr>
        <w:t>affordable</w:t>
      </w:r>
      <w:r>
        <w:rPr>
          <w:rFonts w:eastAsia="Cambria"/>
          <w:lang w:val="en-CA"/>
        </w:rPr>
        <w:t>,</w:t>
      </w:r>
      <w:r w:rsidRPr="003A1579">
        <w:rPr>
          <w:rFonts w:eastAsia="Cambria"/>
          <w:lang w:val="en-CA"/>
        </w:rPr>
        <w:t xml:space="preserve"> quality contraception</w:t>
      </w:r>
      <w:r>
        <w:rPr>
          <w:rFonts w:eastAsia="Cambria"/>
          <w:lang w:val="en-CA"/>
        </w:rPr>
        <w:t>;</w:t>
      </w:r>
      <w:r w:rsidRPr="003A1579">
        <w:rPr>
          <w:rFonts w:eastAsia="Cambria"/>
          <w:lang w:val="en-CA"/>
        </w:rPr>
        <w:t xml:space="preserve"> </w:t>
      </w:r>
      <w:r w:rsidRPr="006654D1">
        <w:rPr>
          <w:rFonts w:eastAsia="Cambria"/>
          <w:lang w:val="en-CA"/>
        </w:rPr>
        <w:t xml:space="preserve">maternal </w:t>
      </w:r>
      <w:r>
        <w:rPr>
          <w:rFonts w:eastAsia="Cambria"/>
          <w:lang w:val="en-CA"/>
        </w:rPr>
        <w:t>health care</w:t>
      </w:r>
      <w:r w:rsidRPr="006654D1">
        <w:rPr>
          <w:rFonts w:eastAsia="Cambria"/>
          <w:lang w:val="en-CA"/>
        </w:rPr>
        <w:t>, including</w:t>
      </w:r>
      <w:r w:rsidRPr="003A1579">
        <w:rPr>
          <w:rFonts w:eastAsia="Cambria"/>
          <w:lang w:val="en-CA"/>
        </w:rPr>
        <w:t xml:space="preserve"> </w:t>
      </w:r>
      <w:r>
        <w:rPr>
          <w:rFonts w:eastAsia="Cambria"/>
          <w:lang w:val="en-CA"/>
        </w:rPr>
        <w:t xml:space="preserve">during </w:t>
      </w:r>
      <w:r w:rsidRPr="003A1579">
        <w:rPr>
          <w:rFonts w:eastAsia="Cambria"/>
          <w:lang w:val="en-CA"/>
        </w:rPr>
        <w:t xml:space="preserve">childbirth and </w:t>
      </w:r>
      <w:r>
        <w:rPr>
          <w:rFonts w:eastAsia="Cambria"/>
          <w:lang w:val="en-CA"/>
        </w:rPr>
        <w:t xml:space="preserve">the </w:t>
      </w:r>
      <w:r w:rsidRPr="003A1579">
        <w:rPr>
          <w:rFonts w:eastAsia="Cambria"/>
          <w:lang w:val="en-CA"/>
        </w:rPr>
        <w:t>post-partum period</w:t>
      </w:r>
      <w:r>
        <w:rPr>
          <w:rFonts w:eastAsia="Cambria"/>
          <w:lang w:val="en-CA"/>
        </w:rPr>
        <w:t xml:space="preserve">; </w:t>
      </w:r>
      <w:r w:rsidRPr="003A1579">
        <w:rPr>
          <w:rFonts w:eastAsia="Cambria"/>
          <w:lang w:val="en-CA"/>
        </w:rPr>
        <w:t xml:space="preserve">access to safe </w:t>
      </w:r>
      <w:r>
        <w:rPr>
          <w:rFonts w:eastAsia="Cambria"/>
          <w:lang w:val="en-CA"/>
        </w:rPr>
        <w:t>termination of pregnancy;</w:t>
      </w:r>
      <w:r w:rsidRPr="003A1579">
        <w:rPr>
          <w:rFonts w:eastAsia="Cambria"/>
          <w:lang w:val="en-CA"/>
        </w:rPr>
        <w:t xml:space="preserve"> access to effective screening and early treatment for breast and cervical cancer</w:t>
      </w:r>
      <w:r>
        <w:rPr>
          <w:rFonts w:eastAsia="Cambria"/>
          <w:lang w:val="en-CA"/>
        </w:rPr>
        <w:t>;</w:t>
      </w:r>
      <w:r w:rsidRPr="003A1579">
        <w:rPr>
          <w:rFonts w:eastAsia="Cambria"/>
          <w:lang w:val="en-CA"/>
        </w:rPr>
        <w:t xml:space="preserve"> and special attention to the high rate of HIV infections </w:t>
      </w:r>
      <w:r>
        <w:rPr>
          <w:rFonts w:eastAsia="Cambria"/>
          <w:lang w:val="en-CA"/>
        </w:rPr>
        <w:t>among</w:t>
      </w:r>
      <w:r w:rsidRPr="003A1579">
        <w:rPr>
          <w:rFonts w:eastAsia="Cambria"/>
          <w:lang w:val="en-CA"/>
        </w:rPr>
        <w:t xml:space="preserve"> young women and treatment to prevent mother-to-infant transmission.</w:t>
      </w:r>
    </w:p>
    <w:p w:rsidR="00CA109F" w:rsidRPr="003A1579" w:rsidRDefault="00CA109F" w:rsidP="00CA109F">
      <w:pPr>
        <w:pStyle w:val="SingleTxtG"/>
        <w:rPr>
          <w:rFonts w:eastAsia="Cambria"/>
          <w:lang w:val="en-CA"/>
        </w:rPr>
      </w:pPr>
      <w:r>
        <w:rPr>
          <w:rFonts w:eastAsia="Cambria"/>
          <w:lang w:val="en-CA"/>
        </w:rPr>
        <w:t>24</w:t>
      </w:r>
      <w:r w:rsidRPr="003A1579">
        <w:rPr>
          <w:rFonts w:eastAsia="Cambria"/>
          <w:lang w:val="en-CA"/>
        </w:rPr>
        <w:t>.</w:t>
      </w:r>
      <w:r w:rsidRPr="003A1579">
        <w:rPr>
          <w:rFonts w:eastAsia="Cambria"/>
          <w:lang w:val="en-CA"/>
        </w:rPr>
        <w:tab/>
        <w:t xml:space="preserve">Equality </w:t>
      </w:r>
      <w:r>
        <w:rPr>
          <w:rFonts w:eastAsia="Cambria"/>
          <w:lang w:val="en-CA"/>
        </w:rPr>
        <w:t>also</w:t>
      </w:r>
      <w:r w:rsidRPr="003A1579">
        <w:rPr>
          <w:rFonts w:eastAsia="Cambria"/>
          <w:lang w:val="en-CA"/>
        </w:rPr>
        <w:t xml:space="preserve"> requires health policy to be based solely on women’s health needs</w:t>
      </w:r>
      <w:r>
        <w:rPr>
          <w:rFonts w:eastAsia="Cambria"/>
          <w:lang w:val="en-CA"/>
        </w:rPr>
        <w:t xml:space="preserve"> and</w:t>
      </w:r>
      <w:r w:rsidRPr="003A1579">
        <w:rPr>
          <w:rFonts w:eastAsia="Cambria"/>
          <w:lang w:val="en-CA"/>
        </w:rPr>
        <w:t xml:space="preserve"> not </w:t>
      </w:r>
      <w:r>
        <w:rPr>
          <w:rFonts w:eastAsia="Cambria"/>
          <w:lang w:val="en-CA"/>
        </w:rPr>
        <w:t xml:space="preserve">to be </w:t>
      </w:r>
      <w:r w:rsidRPr="003A1579">
        <w:rPr>
          <w:rFonts w:eastAsia="Cambria"/>
          <w:lang w:val="en-CA"/>
        </w:rPr>
        <w:t>influenced by instrumentalization and politici</w:t>
      </w:r>
      <w:r>
        <w:rPr>
          <w:rFonts w:eastAsia="Cambria"/>
          <w:lang w:val="en-CA"/>
        </w:rPr>
        <w:t>z</w:t>
      </w:r>
      <w:r w:rsidRPr="003A1579">
        <w:rPr>
          <w:rFonts w:eastAsia="Cambria"/>
          <w:lang w:val="en-CA"/>
        </w:rPr>
        <w:t xml:space="preserve">ation. Political contestation around </w:t>
      </w:r>
      <w:r>
        <w:rPr>
          <w:rFonts w:eastAsia="Cambria"/>
          <w:lang w:val="en-CA"/>
        </w:rPr>
        <w:t xml:space="preserve">rights to </w:t>
      </w:r>
      <w:r w:rsidRPr="003A1579">
        <w:rPr>
          <w:rFonts w:eastAsia="Cambria"/>
          <w:lang w:val="en-CA"/>
        </w:rPr>
        <w:t xml:space="preserve">reproductive </w:t>
      </w:r>
      <w:r>
        <w:rPr>
          <w:rFonts w:eastAsia="Cambria"/>
          <w:lang w:val="en-CA"/>
        </w:rPr>
        <w:t xml:space="preserve">and sexual </w:t>
      </w:r>
      <w:r w:rsidRPr="003A1579">
        <w:rPr>
          <w:rFonts w:eastAsia="Cambria"/>
          <w:lang w:val="en-CA"/>
        </w:rPr>
        <w:t>health remains a global challenge</w:t>
      </w:r>
      <w:r>
        <w:rPr>
          <w:rFonts w:eastAsia="Cambria"/>
          <w:lang w:val="en-CA"/>
        </w:rPr>
        <w:t>,</w:t>
      </w:r>
      <w:r w:rsidRPr="003A1579">
        <w:rPr>
          <w:rFonts w:eastAsia="Cambria"/>
          <w:lang w:val="en-CA"/>
        </w:rPr>
        <w:t xml:space="preserve"> resulting in women paying a high price </w:t>
      </w:r>
      <w:r>
        <w:rPr>
          <w:rFonts w:eastAsia="Cambria"/>
          <w:lang w:val="en-CA"/>
        </w:rPr>
        <w:t>in terms of</w:t>
      </w:r>
      <w:r w:rsidRPr="003A1579">
        <w:rPr>
          <w:rFonts w:eastAsia="Cambria"/>
          <w:lang w:val="en-CA"/>
        </w:rPr>
        <w:t xml:space="preserve"> their health and lives. In adopting the 2030 Agenda for Sustainable Development, </w:t>
      </w:r>
      <w:r>
        <w:rPr>
          <w:rFonts w:eastAsia="Cambria"/>
          <w:lang w:val="en-CA"/>
        </w:rPr>
        <w:t>States</w:t>
      </w:r>
      <w:r w:rsidRPr="003A1579">
        <w:rPr>
          <w:rFonts w:eastAsia="Cambria"/>
          <w:lang w:val="en-CA"/>
        </w:rPr>
        <w:t xml:space="preserve"> committed to ensuring universal access to sexual and reproductive health-care services, including for family planning, information and education, and the integration of reproductive health into national strategies and programmes.</w:t>
      </w:r>
      <w:r w:rsidR="008A119E" w:rsidRPr="008A119E">
        <w:rPr>
          <w:rStyle w:val="Heading4Char"/>
          <w:rFonts w:eastAsia="Cambria"/>
          <w:lang w:val="en-CA"/>
        </w:rPr>
        <w:t xml:space="preserve"> </w:t>
      </w:r>
      <w:r w:rsidR="008A119E">
        <w:rPr>
          <w:rStyle w:val="FootnoteReference"/>
          <w:rFonts w:eastAsia="Cambria"/>
          <w:lang w:val="en-CA"/>
        </w:rPr>
        <w:footnoteReference w:id="15"/>
      </w:r>
      <w:r w:rsidRPr="003A1579">
        <w:rPr>
          <w:rFonts w:eastAsia="Cambria"/>
          <w:lang w:val="en-CA"/>
        </w:rPr>
        <w:t xml:space="preserve"> A strong commitment to women’s sexual and reproductive rights in international and national law, policies and programmes is crucial for achieving gender equality and ensuring women’s and girl’s right to health and well</w:t>
      </w:r>
      <w:r>
        <w:rPr>
          <w:rFonts w:eastAsia="Cambria"/>
          <w:lang w:val="en-CA"/>
        </w:rPr>
        <w:t>-</w:t>
      </w:r>
      <w:r w:rsidRPr="003A1579">
        <w:rPr>
          <w:rFonts w:eastAsia="Cambria"/>
          <w:lang w:val="en-CA"/>
        </w:rPr>
        <w:t>being.</w:t>
      </w:r>
    </w:p>
    <w:p w:rsidR="00CA109F" w:rsidRPr="003A1579" w:rsidRDefault="00CA109F" w:rsidP="00CA109F">
      <w:pPr>
        <w:pStyle w:val="SingleTxtG"/>
        <w:rPr>
          <w:rFonts w:eastAsia="Cambria"/>
          <w:lang w:val="en-CA"/>
        </w:rPr>
      </w:pPr>
      <w:r>
        <w:rPr>
          <w:rFonts w:eastAsia="Cambria"/>
          <w:lang w:val="en-CA"/>
        </w:rPr>
        <w:t>25</w:t>
      </w:r>
      <w:r w:rsidRPr="003A1579">
        <w:rPr>
          <w:rFonts w:eastAsia="Cambria"/>
          <w:lang w:val="en-CA"/>
        </w:rPr>
        <w:t>.</w:t>
      </w:r>
      <w:r w:rsidRPr="003A1579">
        <w:rPr>
          <w:rFonts w:eastAsia="Cambria"/>
          <w:lang w:val="en-CA"/>
        </w:rPr>
        <w:tab/>
        <w:t xml:space="preserve">Many drug therapy protocols and other medical treatments and interventions administered to women are based on research </w:t>
      </w:r>
      <w:r>
        <w:rPr>
          <w:rFonts w:eastAsia="Cambria"/>
          <w:lang w:val="en-CA"/>
        </w:rPr>
        <w:t xml:space="preserve">conducted </w:t>
      </w:r>
      <w:r w:rsidRPr="003A1579">
        <w:rPr>
          <w:rFonts w:eastAsia="Cambria"/>
          <w:lang w:val="en-CA"/>
        </w:rPr>
        <w:t xml:space="preserve">on </w:t>
      </w:r>
      <w:r>
        <w:rPr>
          <w:rFonts w:eastAsia="Cambria"/>
          <w:lang w:val="en-CA"/>
        </w:rPr>
        <w:t xml:space="preserve">the </w:t>
      </w:r>
      <w:r w:rsidRPr="003A1579">
        <w:rPr>
          <w:rFonts w:eastAsia="Cambria"/>
          <w:lang w:val="en-CA"/>
        </w:rPr>
        <w:t xml:space="preserve">male </w:t>
      </w:r>
      <w:r>
        <w:rPr>
          <w:rFonts w:eastAsia="Cambria"/>
          <w:lang w:val="en-CA"/>
        </w:rPr>
        <w:t xml:space="preserve">of the </w:t>
      </w:r>
      <w:r w:rsidRPr="003A1579">
        <w:rPr>
          <w:rFonts w:eastAsia="Cambria"/>
          <w:lang w:val="en-CA"/>
        </w:rPr>
        <w:t>species without any investigation and adjustment for biological and gender differences.</w:t>
      </w:r>
      <w:r w:rsidR="008A119E" w:rsidRPr="008A119E">
        <w:rPr>
          <w:rStyle w:val="Heading4Char"/>
          <w:rFonts w:eastAsiaTheme="minorEastAsia"/>
          <w:sz w:val="22"/>
          <w:szCs w:val="22"/>
        </w:rPr>
        <w:t xml:space="preserve"> </w:t>
      </w:r>
      <w:r w:rsidR="008A119E" w:rsidRPr="00605D5A">
        <w:rPr>
          <w:rStyle w:val="FootnoteReference"/>
          <w:rFonts w:eastAsiaTheme="minorEastAsia"/>
          <w:sz w:val="22"/>
          <w:szCs w:val="22"/>
        </w:rPr>
        <w:footnoteReference w:id="16"/>
      </w:r>
      <w:r w:rsidRPr="003A1579">
        <w:rPr>
          <w:rFonts w:eastAsia="Cambria"/>
          <w:lang w:val="en-CA"/>
        </w:rPr>
        <w:t xml:space="preserve"> </w:t>
      </w:r>
      <w:r>
        <w:rPr>
          <w:rFonts w:eastAsia="Cambria"/>
          <w:lang w:val="en-CA"/>
        </w:rPr>
        <w:t>E</w:t>
      </w:r>
      <w:r w:rsidRPr="003A1579">
        <w:rPr>
          <w:rFonts w:eastAsia="Cambria"/>
          <w:lang w:val="en-CA"/>
        </w:rPr>
        <w:t xml:space="preserve">quality requires the conduct of medical research on the basis of women’s experience and biological </w:t>
      </w:r>
      <w:r>
        <w:rPr>
          <w:rFonts w:eastAsia="Cambria"/>
          <w:lang w:val="en-CA"/>
        </w:rPr>
        <w:t>differences</w:t>
      </w:r>
      <w:r w:rsidRPr="003A1579">
        <w:rPr>
          <w:rFonts w:eastAsia="Cambria"/>
          <w:lang w:val="en-CA"/>
        </w:rPr>
        <w:t xml:space="preserve">. It also requires adequate attention to </w:t>
      </w:r>
      <w:r>
        <w:rPr>
          <w:rFonts w:eastAsia="Cambria"/>
          <w:lang w:val="en-CA"/>
        </w:rPr>
        <w:t xml:space="preserve">be paid to </w:t>
      </w:r>
      <w:r w:rsidRPr="003A1579">
        <w:rPr>
          <w:rFonts w:eastAsia="Cambria"/>
          <w:lang w:val="en-CA"/>
        </w:rPr>
        <w:t xml:space="preserve">the particular health risks </w:t>
      </w:r>
      <w:r>
        <w:rPr>
          <w:rFonts w:eastAsia="Cambria"/>
          <w:lang w:val="en-CA"/>
        </w:rPr>
        <w:t xml:space="preserve">to </w:t>
      </w:r>
      <w:r>
        <w:rPr>
          <w:rFonts w:eastAsia="Cambria"/>
          <w:lang w:val="en-CA"/>
        </w:rPr>
        <w:lastRenderedPageBreak/>
        <w:t xml:space="preserve">which </w:t>
      </w:r>
      <w:r w:rsidRPr="003A1579">
        <w:rPr>
          <w:rFonts w:eastAsia="Cambria"/>
          <w:lang w:val="en-CA"/>
        </w:rPr>
        <w:t>women are</w:t>
      </w:r>
      <w:r>
        <w:rPr>
          <w:rFonts w:eastAsia="Cambria"/>
          <w:lang w:val="en-CA"/>
        </w:rPr>
        <w:t xml:space="preserve"> disproportionately</w:t>
      </w:r>
      <w:r w:rsidRPr="003A1579">
        <w:rPr>
          <w:rFonts w:eastAsia="Cambria"/>
          <w:lang w:val="en-CA"/>
        </w:rPr>
        <w:t xml:space="preserve"> exposed</w:t>
      </w:r>
      <w:r>
        <w:rPr>
          <w:rFonts w:eastAsia="Cambria"/>
          <w:lang w:val="en-CA"/>
        </w:rPr>
        <w:t>,</w:t>
      </w:r>
      <w:r w:rsidRPr="003A1579">
        <w:rPr>
          <w:rFonts w:eastAsia="Cambria"/>
          <w:lang w:val="en-CA"/>
        </w:rPr>
        <w:t xml:space="preserve"> such as depression and suicide</w:t>
      </w:r>
      <w:r w:rsidR="008A119E" w:rsidRPr="00DE6329">
        <w:rPr>
          <w:rStyle w:val="FootnoteReference"/>
        </w:rPr>
        <w:footnoteReference w:id="17"/>
      </w:r>
      <w:r w:rsidRPr="009C38EA">
        <w:rPr>
          <w:rFonts w:eastAsia="Cambria"/>
          <w:lang w:val="en-CA"/>
        </w:rPr>
        <w:t xml:space="preserve">, </w:t>
      </w:r>
      <w:r w:rsidRPr="003A1579">
        <w:rPr>
          <w:rFonts w:eastAsia="Cambria"/>
          <w:lang w:val="en-CA"/>
        </w:rPr>
        <w:t xml:space="preserve">and proper </w:t>
      </w:r>
      <w:r>
        <w:rPr>
          <w:rFonts w:eastAsia="Cambria"/>
          <w:lang w:val="en-CA"/>
        </w:rPr>
        <w:t xml:space="preserve">gender-sensitive </w:t>
      </w:r>
      <w:r w:rsidRPr="003A1579">
        <w:rPr>
          <w:rFonts w:eastAsia="Cambria"/>
          <w:lang w:val="en-CA"/>
        </w:rPr>
        <w:t>treatment of diseases which tend to be considered</w:t>
      </w:r>
      <w:r>
        <w:rPr>
          <w:rFonts w:eastAsia="Cambria"/>
          <w:lang w:val="en-CA"/>
        </w:rPr>
        <w:t>,</w:t>
      </w:r>
      <w:r w:rsidRPr="003A1579">
        <w:rPr>
          <w:rFonts w:eastAsia="Cambria"/>
          <w:lang w:val="en-CA"/>
        </w:rPr>
        <w:t xml:space="preserve"> </w:t>
      </w:r>
      <w:r>
        <w:rPr>
          <w:rFonts w:eastAsia="Cambria"/>
          <w:lang w:val="en-CA"/>
        </w:rPr>
        <w:t xml:space="preserve">inaccurately, as </w:t>
      </w:r>
      <w:r w:rsidRPr="003A1579">
        <w:rPr>
          <w:rFonts w:eastAsia="Cambria"/>
          <w:lang w:val="en-CA"/>
        </w:rPr>
        <w:t>typically masculine</w:t>
      </w:r>
      <w:r>
        <w:rPr>
          <w:rFonts w:eastAsia="Cambria"/>
          <w:lang w:val="en-CA"/>
        </w:rPr>
        <w:t>,</w:t>
      </w:r>
      <w:r w:rsidRPr="009C38EA">
        <w:t xml:space="preserve"> </w:t>
      </w:r>
      <w:r w:rsidRPr="009C38EA">
        <w:rPr>
          <w:rFonts w:eastAsia="Cambria"/>
          <w:lang w:val="en-CA"/>
        </w:rPr>
        <w:t>such as cardiovascular diseases</w:t>
      </w:r>
      <w:r w:rsidR="00CA1D87">
        <w:rPr>
          <w:rFonts w:eastAsia="Cambria"/>
          <w:lang w:val="en-CA"/>
        </w:rPr>
        <w:t>.</w:t>
      </w:r>
      <w:r w:rsidR="008A119E" w:rsidRPr="008A119E">
        <w:rPr>
          <w:rStyle w:val="Heading4Char"/>
        </w:rPr>
        <w:t xml:space="preserve"> </w:t>
      </w:r>
      <w:r w:rsidR="008A119E" w:rsidRPr="00DE6329">
        <w:rPr>
          <w:rStyle w:val="FootnoteReference"/>
        </w:rPr>
        <w:footnoteReference w:id="18"/>
      </w:r>
      <w:r w:rsidR="00CA1D87">
        <w:rPr>
          <w:rFonts w:eastAsia="Cambria"/>
          <w:lang w:val="en-CA"/>
        </w:rPr>
        <w:t xml:space="preserve"> </w:t>
      </w:r>
    </w:p>
    <w:p w:rsidR="00CA109F" w:rsidRDefault="00CA109F" w:rsidP="00CA109F">
      <w:pPr>
        <w:pStyle w:val="SingleTxtG"/>
        <w:rPr>
          <w:rFonts w:eastAsia="Cambria"/>
          <w:lang w:val="en-CA"/>
        </w:rPr>
      </w:pPr>
      <w:r>
        <w:rPr>
          <w:rFonts w:eastAsia="Cambria"/>
          <w:lang w:val="en-CA"/>
        </w:rPr>
        <w:t>26</w:t>
      </w:r>
      <w:r w:rsidRPr="003A1579">
        <w:rPr>
          <w:rFonts w:eastAsia="Cambria"/>
          <w:lang w:val="en-CA"/>
        </w:rPr>
        <w:t>.</w:t>
      </w:r>
      <w:r w:rsidRPr="003A1579">
        <w:rPr>
          <w:rFonts w:eastAsia="Cambria"/>
          <w:lang w:val="en-CA"/>
        </w:rPr>
        <w:tab/>
        <w:t>Women’s specific health and safety needs require protection against gender-based violence</w:t>
      </w:r>
      <w:r>
        <w:rPr>
          <w:rFonts w:eastAsia="Cambria"/>
          <w:lang w:val="en-CA"/>
        </w:rPr>
        <w:t xml:space="preserve"> that affects their physical integrity and mental health</w:t>
      </w:r>
      <w:r w:rsidRPr="003A1579">
        <w:rPr>
          <w:rFonts w:eastAsia="Cambria"/>
          <w:lang w:val="en-CA"/>
        </w:rPr>
        <w:t>, including in health</w:t>
      </w:r>
      <w:r>
        <w:rPr>
          <w:rFonts w:eastAsia="Cambria"/>
          <w:lang w:val="en-CA"/>
        </w:rPr>
        <w:t>-</w:t>
      </w:r>
      <w:r w:rsidRPr="003A1579">
        <w:rPr>
          <w:rFonts w:eastAsia="Cambria"/>
          <w:lang w:val="en-CA"/>
        </w:rPr>
        <w:t>care settings</w:t>
      </w:r>
      <w:r>
        <w:rPr>
          <w:rFonts w:eastAsia="Cambria"/>
          <w:lang w:val="en-CA"/>
        </w:rPr>
        <w:t>.</w:t>
      </w:r>
    </w:p>
    <w:p w:rsidR="00CA109F" w:rsidRDefault="00CA109F" w:rsidP="00CA109F">
      <w:pPr>
        <w:pStyle w:val="SingleTxtG"/>
      </w:pPr>
      <w:r>
        <w:rPr>
          <w:rFonts w:eastAsia="Cambria"/>
          <w:lang w:val="en-CA"/>
        </w:rPr>
        <w:t>27.</w:t>
      </w:r>
      <w:r>
        <w:rPr>
          <w:rFonts w:eastAsia="Cambria"/>
          <w:lang w:val="en-CA"/>
        </w:rPr>
        <w:tab/>
      </w:r>
      <w:r w:rsidRPr="003A1579">
        <w:rPr>
          <w:rFonts w:eastAsia="Cambria"/>
          <w:lang w:val="en-CA"/>
        </w:rPr>
        <w:t>The social, religious and cultur</w:t>
      </w:r>
      <w:r>
        <w:rPr>
          <w:rFonts w:eastAsia="Cambria"/>
          <w:lang w:val="en-CA"/>
        </w:rPr>
        <w:t>al</w:t>
      </w:r>
      <w:r w:rsidRPr="003A1579">
        <w:rPr>
          <w:rFonts w:eastAsia="Cambria"/>
          <w:lang w:val="en-CA"/>
        </w:rPr>
        <w:t xml:space="preserve"> factors </w:t>
      </w:r>
      <w:r>
        <w:rPr>
          <w:rFonts w:eastAsia="Cambria"/>
          <w:lang w:val="en-CA"/>
        </w:rPr>
        <w:t>that disregard</w:t>
      </w:r>
      <w:r w:rsidRPr="003A1579">
        <w:rPr>
          <w:rFonts w:eastAsia="Cambria"/>
          <w:lang w:val="en-CA"/>
        </w:rPr>
        <w:t xml:space="preserve"> </w:t>
      </w:r>
      <w:r>
        <w:rPr>
          <w:rFonts w:eastAsia="Cambria"/>
          <w:lang w:val="en-CA"/>
        </w:rPr>
        <w:t xml:space="preserve">the dignity of </w:t>
      </w:r>
      <w:r w:rsidRPr="003A1579">
        <w:rPr>
          <w:rFonts w:eastAsia="Cambria"/>
          <w:lang w:val="en-CA"/>
        </w:rPr>
        <w:t>girls and women must be tackled to achieve women’s right to equality in health and safety.</w:t>
      </w:r>
      <w:r w:rsidRPr="003A1579">
        <w:t xml:space="preserve"> </w:t>
      </w:r>
    </w:p>
    <w:p w:rsidR="00CA109F" w:rsidRPr="003B22CF" w:rsidRDefault="00CA109F" w:rsidP="00CA109F">
      <w:pPr>
        <w:pStyle w:val="H1G"/>
        <w:rPr>
          <w:rFonts w:eastAsia="Cambria"/>
          <w:lang w:val="en-CA"/>
        </w:rPr>
      </w:pPr>
      <w:r>
        <w:rPr>
          <w:rFonts w:eastAsia="Cambria"/>
          <w:lang w:val="en-CA"/>
        </w:rPr>
        <w:tab/>
      </w:r>
      <w:r w:rsidRPr="003B22CF">
        <w:rPr>
          <w:rFonts w:eastAsia="Cambria"/>
          <w:lang w:val="en-CA"/>
        </w:rPr>
        <w:t>C.</w:t>
      </w:r>
      <w:r w:rsidRPr="003B22CF">
        <w:rPr>
          <w:rFonts w:eastAsia="Cambria"/>
          <w:lang w:val="en-CA"/>
        </w:rPr>
        <w:tab/>
        <w:t xml:space="preserve">Discriminatory practices </w:t>
      </w:r>
    </w:p>
    <w:p w:rsidR="00CA109F" w:rsidRDefault="00CA109F" w:rsidP="00CA109F">
      <w:pPr>
        <w:pStyle w:val="SingleTxtG"/>
        <w:rPr>
          <w:rFonts w:eastAsia="Cambria"/>
          <w:lang w:val="en-CA"/>
        </w:rPr>
      </w:pPr>
      <w:r>
        <w:rPr>
          <w:rFonts w:eastAsia="Cambria"/>
          <w:lang w:val="en-CA"/>
        </w:rPr>
        <w:t>28</w:t>
      </w:r>
      <w:r w:rsidRPr="003A1579">
        <w:rPr>
          <w:rFonts w:eastAsia="Cambria"/>
          <w:lang w:val="en-CA"/>
        </w:rPr>
        <w:t>.</w:t>
      </w:r>
      <w:r w:rsidRPr="003A1579">
        <w:rPr>
          <w:rFonts w:eastAsia="Cambria"/>
          <w:lang w:val="en-CA"/>
        </w:rPr>
        <w:tab/>
        <w:t xml:space="preserve">Discriminatory practices </w:t>
      </w:r>
      <w:r>
        <w:rPr>
          <w:rFonts w:eastAsia="Cambria"/>
          <w:lang w:val="en-CA"/>
        </w:rPr>
        <w:t xml:space="preserve">in the area of health and safety </w:t>
      </w:r>
      <w:r w:rsidRPr="003A1579">
        <w:rPr>
          <w:rFonts w:eastAsia="Cambria"/>
          <w:lang w:val="en-CA"/>
        </w:rPr>
        <w:t xml:space="preserve">occur at all stages of women’s </w:t>
      </w:r>
      <w:r>
        <w:rPr>
          <w:rFonts w:eastAsia="Cambria"/>
          <w:lang w:val="en-CA"/>
        </w:rPr>
        <w:t>life cycle</w:t>
      </w:r>
      <w:r w:rsidRPr="003A1579">
        <w:rPr>
          <w:rFonts w:eastAsia="Cambria"/>
          <w:lang w:val="en-CA"/>
        </w:rPr>
        <w:t xml:space="preserve">. </w:t>
      </w:r>
      <w:r>
        <w:rPr>
          <w:rFonts w:eastAsia="Cambria"/>
          <w:lang w:val="en-CA"/>
        </w:rPr>
        <w:t>Multiple</w:t>
      </w:r>
      <w:r w:rsidRPr="003A1579">
        <w:rPr>
          <w:rFonts w:eastAsia="Cambria"/>
          <w:lang w:val="en-CA"/>
        </w:rPr>
        <w:t xml:space="preserve"> discrimination merits particular consideration and remed</w:t>
      </w:r>
      <w:r>
        <w:rPr>
          <w:rFonts w:eastAsia="Cambria"/>
          <w:lang w:val="en-CA"/>
        </w:rPr>
        <w:t>ies</w:t>
      </w:r>
      <w:r w:rsidRPr="003A1579">
        <w:rPr>
          <w:rFonts w:eastAsia="Cambria"/>
          <w:lang w:val="en-CA"/>
        </w:rPr>
        <w:t>.</w:t>
      </w:r>
      <w:r>
        <w:rPr>
          <w:rFonts w:eastAsia="Cambria"/>
          <w:lang w:val="en-CA"/>
        </w:rPr>
        <w:t xml:space="preserve"> </w:t>
      </w:r>
      <w:r w:rsidRPr="009577EC">
        <w:rPr>
          <w:rFonts w:eastAsia="Cambria"/>
          <w:lang w:val="en-CA"/>
        </w:rPr>
        <w:t>Denying women access to services which only they require and failing to address their specific health and safety, including their reproductive and sexual health</w:t>
      </w:r>
      <w:r>
        <w:rPr>
          <w:rFonts w:eastAsia="Cambria"/>
          <w:lang w:val="en-CA"/>
        </w:rPr>
        <w:t xml:space="preserve"> needs</w:t>
      </w:r>
      <w:r w:rsidRPr="009577EC">
        <w:rPr>
          <w:rFonts w:eastAsia="Cambria"/>
          <w:lang w:val="en-CA"/>
        </w:rPr>
        <w:t xml:space="preserve">, are inherently discriminatory and prevent women from </w:t>
      </w:r>
      <w:r>
        <w:rPr>
          <w:rFonts w:eastAsia="Cambria"/>
          <w:lang w:val="en-CA"/>
        </w:rPr>
        <w:t>exercising</w:t>
      </w:r>
      <w:r w:rsidRPr="009577EC">
        <w:rPr>
          <w:rFonts w:eastAsia="Cambria"/>
          <w:lang w:val="en-CA"/>
        </w:rPr>
        <w:t xml:space="preserve"> control over their own bodies and lives. Gender-based discrimination in the administration of medical services </w:t>
      </w:r>
      <w:r>
        <w:rPr>
          <w:rFonts w:eastAsia="Cambria"/>
          <w:lang w:val="en-CA"/>
        </w:rPr>
        <w:t xml:space="preserve">also </w:t>
      </w:r>
      <w:r w:rsidRPr="009577EC">
        <w:rPr>
          <w:rFonts w:eastAsia="Cambria"/>
          <w:lang w:val="en-CA"/>
        </w:rPr>
        <w:t>violates women’s human rights and dignity.</w:t>
      </w:r>
      <w:r w:rsidRPr="003A1579">
        <w:rPr>
          <w:rFonts w:eastAsia="Cambria"/>
          <w:lang w:val="en-CA"/>
        </w:rPr>
        <w:tab/>
      </w:r>
      <w:r>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29</w:t>
      </w:r>
      <w:r w:rsidRPr="003A1579">
        <w:rPr>
          <w:rFonts w:eastAsia="Cambria"/>
          <w:lang w:val="en-CA"/>
        </w:rPr>
        <w:t>.</w:t>
      </w:r>
      <w:r w:rsidRPr="003A1579">
        <w:rPr>
          <w:rFonts w:eastAsia="Cambria"/>
          <w:lang w:val="en-CA"/>
        </w:rPr>
        <w:tab/>
        <w:t xml:space="preserve">Denial of access to essential health services </w:t>
      </w:r>
      <w:r>
        <w:rPr>
          <w:rFonts w:eastAsia="Cambria"/>
          <w:lang w:val="en-CA"/>
        </w:rPr>
        <w:t>with respect to</w:t>
      </w:r>
      <w:r w:rsidRPr="003A1579">
        <w:rPr>
          <w:rFonts w:eastAsia="Cambria"/>
          <w:lang w:val="en-CA"/>
        </w:rPr>
        <w:t xml:space="preserve"> </w:t>
      </w:r>
      <w:r>
        <w:rPr>
          <w:rFonts w:eastAsia="Cambria"/>
          <w:lang w:val="en-CA"/>
        </w:rPr>
        <w:t>termination of pregnancy</w:t>
      </w:r>
      <w:r w:rsidRPr="003A1579">
        <w:rPr>
          <w:rFonts w:eastAsia="Cambria"/>
          <w:lang w:val="en-CA"/>
        </w:rPr>
        <w:t xml:space="preserve">, contraception, treatment for sexually transmitted diseases and infertility treatment has particularly serious consequences for women’s health and </w:t>
      </w:r>
      <w:r>
        <w:rPr>
          <w:rFonts w:eastAsia="Cambria"/>
          <w:lang w:val="en-CA"/>
        </w:rPr>
        <w:t>lives</w:t>
      </w:r>
      <w:r w:rsidRPr="003A1579">
        <w:rPr>
          <w:rFonts w:eastAsia="Cambria"/>
          <w:lang w:val="en-CA"/>
        </w:rPr>
        <w:t xml:space="preserve">. </w:t>
      </w:r>
      <w:r>
        <w:rPr>
          <w:rFonts w:eastAsia="Cambria"/>
          <w:lang w:val="en-CA"/>
        </w:rPr>
        <w:t>Women may be denied s</w:t>
      </w:r>
      <w:r w:rsidRPr="003A1579">
        <w:rPr>
          <w:rFonts w:eastAsia="Cambria"/>
          <w:lang w:val="en-CA"/>
        </w:rPr>
        <w:t>uch services through criminalization, reduction of availability, stigmatization</w:t>
      </w:r>
      <w:r>
        <w:rPr>
          <w:rFonts w:eastAsia="Cambria"/>
          <w:lang w:val="en-CA"/>
        </w:rPr>
        <w:t>,</w:t>
      </w:r>
      <w:r w:rsidRPr="003A1579">
        <w:rPr>
          <w:rFonts w:eastAsia="Cambria"/>
          <w:lang w:val="en-CA"/>
        </w:rPr>
        <w:t xml:space="preserve"> deterrence</w:t>
      </w:r>
      <w:r>
        <w:rPr>
          <w:rFonts w:eastAsia="Cambria"/>
          <w:lang w:val="en-CA"/>
        </w:rPr>
        <w:t xml:space="preserve"> or</w:t>
      </w:r>
      <w:r w:rsidRPr="003A1579">
        <w:rPr>
          <w:rFonts w:eastAsia="Cambria"/>
          <w:lang w:val="en-CA"/>
        </w:rPr>
        <w:t xml:space="preserve"> </w:t>
      </w:r>
      <w:r>
        <w:rPr>
          <w:rFonts w:eastAsia="Cambria"/>
          <w:lang w:val="en-CA"/>
        </w:rPr>
        <w:t>derogatory attitudes of health-care</w:t>
      </w:r>
      <w:r w:rsidRPr="003A1579">
        <w:rPr>
          <w:rFonts w:eastAsia="Cambria"/>
          <w:lang w:val="en-CA"/>
        </w:rPr>
        <w:t xml:space="preserve"> professionals</w:t>
      </w:r>
      <w:r>
        <w:rPr>
          <w:rFonts w:eastAsia="Cambria"/>
          <w:lang w:val="en-CA"/>
        </w:rPr>
        <w:t xml:space="preserve">. </w:t>
      </w:r>
      <w:r w:rsidRPr="003A1579">
        <w:rPr>
          <w:rFonts w:eastAsia="Cambria"/>
          <w:lang w:val="en-CA"/>
        </w:rPr>
        <w:t xml:space="preserve">In reality, denial of access </w:t>
      </w:r>
      <w:r>
        <w:rPr>
          <w:rFonts w:eastAsia="Cambria"/>
          <w:lang w:val="en-CA"/>
        </w:rPr>
        <w:t xml:space="preserve">drives </w:t>
      </w:r>
      <w:r w:rsidRPr="003A1579">
        <w:rPr>
          <w:rFonts w:eastAsia="Cambria"/>
          <w:lang w:val="en-CA"/>
        </w:rPr>
        <w:t xml:space="preserve">service provision </w:t>
      </w:r>
      <w:r>
        <w:rPr>
          <w:rFonts w:eastAsia="Cambria"/>
          <w:lang w:val="en-CA"/>
        </w:rPr>
        <w:t xml:space="preserve">underground </w:t>
      </w:r>
      <w:r w:rsidRPr="003A1579">
        <w:rPr>
          <w:rFonts w:eastAsia="Cambria"/>
          <w:lang w:val="en-CA"/>
        </w:rPr>
        <w:t>into the hands of unqualified practitioners. This exacerbates the risks to the health and safety of the affected women.</w:t>
      </w:r>
      <w:r>
        <w:rPr>
          <w:rFonts w:eastAsia="Cambria"/>
          <w:lang w:val="en-CA"/>
        </w:rPr>
        <w:t xml:space="preserve"> Persistently </w:t>
      </w:r>
      <w:r w:rsidRPr="00781DB7">
        <w:rPr>
          <w:rFonts w:eastAsia="Cambria"/>
          <w:lang w:val="en-CA"/>
        </w:rPr>
        <w:t xml:space="preserve">high maternal mortality rates often reflect a lack of investment </w:t>
      </w:r>
      <w:r>
        <w:rPr>
          <w:rFonts w:eastAsia="Cambria"/>
          <w:lang w:val="en-CA"/>
        </w:rPr>
        <w:t xml:space="preserve">in </w:t>
      </w:r>
      <w:r w:rsidRPr="00781DB7">
        <w:rPr>
          <w:rFonts w:eastAsia="Cambria"/>
          <w:lang w:val="en-CA"/>
        </w:rPr>
        <w:t>and underprioritization of services required only by women</w:t>
      </w:r>
      <w:r w:rsidR="008A119E">
        <w:rPr>
          <w:rFonts w:eastAsia="Cambria"/>
          <w:lang w:val="en-CA"/>
        </w:rPr>
        <w:t xml:space="preserve">. </w:t>
      </w:r>
      <w:r w:rsidR="008A119E" w:rsidRPr="004165D0">
        <w:rPr>
          <w:rFonts w:eastAsia="Cambria"/>
          <w:vertAlign w:val="superscript"/>
        </w:rPr>
        <w:footnoteReference w:id="19"/>
      </w:r>
    </w:p>
    <w:p w:rsidR="00CA109F" w:rsidRPr="003A1579" w:rsidRDefault="00CA109F" w:rsidP="00CA109F">
      <w:pPr>
        <w:pStyle w:val="SingleTxtG"/>
        <w:rPr>
          <w:rFonts w:eastAsia="Cambria"/>
          <w:lang w:val="en-CA"/>
        </w:rPr>
      </w:pPr>
      <w:r>
        <w:rPr>
          <w:rFonts w:eastAsia="Cambria"/>
          <w:lang w:val="en-CA"/>
        </w:rPr>
        <w:t>30</w:t>
      </w:r>
      <w:r w:rsidRPr="003A1579">
        <w:rPr>
          <w:rFonts w:eastAsia="Cambria"/>
          <w:lang w:val="en-CA"/>
        </w:rPr>
        <w:t>.</w:t>
      </w:r>
      <w:r w:rsidRPr="003A1579">
        <w:rPr>
          <w:rFonts w:eastAsia="Cambria"/>
          <w:lang w:val="en-CA"/>
        </w:rPr>
        <w:tab/>
      </w:r>
      <w:r>
        <w:rPr>
          <w:rFonts w:eastAsia="Cambria"/>
          <w:lang w:val="en-CA"/>
        </w:rPr>
        <w:t>Discrimination is sometimes</w:t>
      </w:r>
      <w:r w:rsidRPr="00017A9C">
        <w:rPr>
          <w:rFonts w:eastAsia="Cambria"/>
          <w:lang w:val="en-CA"/>
        </w:rPr>
        <w:t xml:space="preserve"> manifested </w:t>
      </w:r>
      <w:r>
        <w:rPr>
          <w:rFonts w:eastAsia="Cambria"/>
          <w:lang w:val="en-CA"/>
        </w:rPr>
        <w:t>in</w:t>
      </w:r>
      <w:r w:rsidRPr="00017A9C">
        <w:rPr>
          <w:rFonts w:eastAsia="Cambria"/>
          <w:lang w:val="en-CA"/>
        </w:rPr>
        <w:t xml:space="preserve"> humiliating treatment women </w:t>
      </w:r>
      <w:r>
        <w:rPr>
          <w:rFonts w:eastAsia="Cambria"/>
          <w:lang w:val="en-CA"/>
        </w:rPr>
        <w:t xml:space="preserve">that may </w:t>
      </w:r>
      <w:r w:rsidRPr="00017A9C">
        <w:rPr>
          <w:rFonts w:eastAsia="Cambria"/>
          <w:lang w:val="en-CA"/>
        </w:rPr>
        <w:t>face in</w:t>
      </w:r>
      <w:r>
        <w:rPr>
          <w:rFonts w:eastAsia="Cambria"/>
          <w:lang w:val="en-CA"/>
        </w:rPr>
        <w:t xml:space="preserve"> facilities that are dedicated exclusively to them, such as birthing facilities where, as repeatedly stressed by United Nations human rights mechanisms and WHO, they are too often subjected to degrading and sometimes violent treatment.</w:t>
      </w:r>
      <w:r w:rsidR="008A119E" w:rsidRPr="008A119E">
        <w:rPr>
          <w:rStyle w:val="Heading4Char"/>
        </w:rPr>
        <w:t xml:space="preserve"> </w:t>
      </w:r>
      <w:r w:rsidR="008A119E" w:rsidRPr="004165D0">
        <w:rPr>
          <w:rStyle w:val="FootnoteReference"/>
        </w:rPr>
        <w:footnoteReference w:id="20"/>
      </w:r>
    </w:p>
    <w:p w:rsidR="00CA109F" w:rsidRPr="003A1579" w:rsidRDefault="00CA109F" w:rsidP="00CA109F">
      <w:pPr>
        <w:pStyle w:val="SingleTxtG"/>
        <w:rPr>
          <w:rFonts w:eastAsia="Cambria"/>
          <w:lang w:val="en-CA"/>
        </w:rPr>
      </w:pPr>
      <w:r>
        <w:rPr>
          <w:rFonts w:eastAsia="Cambria"/>
          <w:lang w:val="en-CA"/>
        </w:rPr>
        <w:t>31</w:t>
      </w:r>
      <w:r w:rsidRPr="003A1579">
        <w:rPr>
          <w:rFonts w:eastAsia="Cambria"/>
          <w:lang w:val="en-CA"/>
        </w:rPr>
        <w:t>.</w:t>
      </w:r>
      <w:r w:rsidRPr="003A1579">
        <w:rPr>
          <w:rFonts w:eastAsia="Cambria"/>
          <w:lang w:val="en-CA"/>
        </w:rPr>
        <w:tab/>
        <w:t xml:space="preserve">Discrimination against women </w:t>
      </w:r>
      <w:r>
        <w:rPr>
          <w:rFonts w:eastAsia="Cambria"/>
          <w:lang w:val="en-CA"/>
        </w:rPr>
        <w:t xml:space="preserve">is </w:t>
      </w:r>
      <w:r w:rsidRPr="003A1579">
        <w:rPr>
          <w:rFonts w:eastAsia="Cambria"/>
          <w:lang w:val="en-CA"/>
        </w:rPr>
        <w:t xml:space="preserve">also manifest in the unequal provision of health services required by both women and men. This has been especially severe in countries where women have been excluded from receiving medical treatment by male doctors on </w:t>
      </w:r>
      <w:r>
        <w:rPr>
          <w:rFonts w:eastAsia="Cambria"/>
          <w:lang w:val="en-CA"/>
        </w:rPr>
        <w:t xml:space="preserve">the </w:t>
      </w:r>
      <w:r w:rsidRPr="003A1579">
        <w:rPr>
          <w:rFonts w:eastAsia="Cambria"/>
          <w:lang w:val="en-CA"/>
        </w:rPr>
        <w:t xml:space="preserve">grounds of </w:t>
      </w:r>
      <w:r>
        <w:rPr>
          <w:rFonts w:eastAsia="Cambria"/>
          <w:lang w:val="en-CA"/>
        </w:rPr>
        <w:t>“</w:t>
      </w:r>
      <w:r w:rsidRPr="003A1579">
        <w:rPr>
          <w:rFonts w:eastAsia="Cambria"/>
          <w:lang w:val="en-CA"/>
        </w:rPr>
        <w:t>modesty</w:t>
      </w:r>
      <w:r>
        <w:rPr>
          <w:rFonts w:eastAsia="Cambria"/>
          <w:lang w:val="en-CA"/>
        </w:rPr>
        <w:t>”</w:t>
      </w:r>
      <w:r w:rsidR="00AC77C5">
        <w:rPr>
          <w:rFonts w:eastAsia="Cambria"/>
          <w:lang w:val="en-CA"/>
        </w:rPr>
        <w:t>.</w:t>
      </w:r>
    </w:p>
    <w:p w:rsidR="00CA109F" w:rsidRDefault="00CA109F" w:rsidP="00CA109F">
      <w:pPr>
        <w:pStyle w:val="SingleTxtG"/>
        <w:rPr>
          <w:rFonts w:eastAsia="Cambria"/>
          <w:lang w:val="en-CA"/>
        </w:rPr>
      </w:pPr>
      <w:r>
        <w:rPr>
          <w:rFonts w:eastAsia="Cambria"/>
          <w:lang w:val="en-CA"/>
        </w:rPr>
        <w:t>32</w:t>
      </w:r>
      <w:r w:rsidRPr="003A1579">
        <w:rPr>
          <w:rFonts w:eastAsia="Cambria"/>
          <w:lang w:val="en-CA"/>
        </w:rPr>
        <w:t>.</w:t>
      </w:r>
      <w:r w:rsidRPr="003A1579">
        <w:rPr>
          <w:rFonts w:eastAsia="Cambria"/>
          <w:lang w:val="en-CA"/>
        </w:rPr>
        <w:tab/>
        <w:t>Discriminatory laws and practices have contributed to a deplor</w:t>
      </w:r>
      <w:r>
        <w:rPr>
          <w:rFonts w:eastAsia="Cambria"/>
          <w:lang w:val="en-CA"/>
        </w:rPr>
        <w:t>able</w:t>
      </w:r>
      <w:r w:rsidRPr="003A1579">
        <w:rPr>
          <w:rFonts w:eastAsia="Cambria"/>
          <w:lang w:val="en-CA"/>
        </w:rPr>
        <w:t xml:space="preserve"> global </w:t>
      </w:r>
      <w:r>
        <w:rPr>
          <w:rFonts w:eastAsia="Cambria"/>
          <w:lang w:val="en-CA"/>
        </w:rPr>
        <w:t>situation</w:t>
      </w:r>
      <w:r w:rsidRPr="003A1579">
        <w:rPr>
          <w:rFonts w:eastAsia="Cambria"/>
          <w:lang w:val="en-CA"/>
        </w:rPr>
        <w:t xml:space="preserve"> </w:t>
      </w:r>
      <w:r>
        <w:rPr>
          <w:rFonts w:eastAsia="Cambria"/>
          <w:lang w:val="en-CA"/>
        </w:rPr>
        <w:t>with respect to</w:t>
      </w:r>
      <w:r w:rsidRPr="003A1579">
        <w:rPr>
          <w:rFonts w:eastAsia="Cambria"/>
          <w:lang w:val="en-CA"/>
        </w:rPr>
        <w:t xml:space="preserve"> women’s health and safety which calls for urgent, immediate and effective actions. According to WHO, an estimated 225 million women are deprived of access to </w:t>
      </w:r>
      <w:r w:rsidRPr="003A1579">
        <w:rPr>
          <w:rFonts w:eastAsia="Cambria"/>
          <w:lang w:val="en-CA"/>
        </w:rPr>
        <w:lastRenderedPageBreak/>
        <w:t>e</w:t>
      </w:r>
      <w:r w:rsidR="00AC77C5">
        <w:rPr>
          <w:rFonts w:eastAsia="Cambria"/>
          <w:lang w:val="en-CA"/>
        </w:rPr>
        <w:t>ssential modern contraception.</w:t>
      </w:r>
      <w:r w:rsidR="008A119E" w:rsidRPr="008A119E">
        <w:rPr>
          <w:rStyle w:val="Heading4Char"/>
        </w:rPr>
        <w:t xml:space="preserve"> </w:t>
      </w:r>
      <w:r w:rsidR="008A119E" w:rsidRPr="004165D0">
        <w:rPr>
          <w:rStyle w:val="FootnoteReference"/>
        </w:rPr>
        <w:footnoteReference w:id="21"/>
      </w:r>
      <w:r w:rsidR="008A119E" w:rsidRPr="004165D0">
        <w:rPr>
          <w:rFonts w:eastAsia="Cambria"/>
          <w:lang w:val="en-CA"/>
        </w:rPr>
        <w:t xml:space="preserve"> </w:t>
      </w:r>
      <w:r w:rsidR="00AC77C5">
        <w:rPr>
          <w:rFonts w:eastAsia="Cambria"/>
          <w:lang w:val="en-CA"/>
        </w:rPr>
        <w:t xml:space="preserve"> </w:t>
      </w:r>
      <w:r w:rsidRPr="003A1579">
        <w:rPr>
          <w:rFonts w:eastAsia="Cambria"/>
          <w:lang w:val="en-CA"/>
        </w:rPr>
        <w:t>Pregnancy and childbirth-related complications resulted in the death</w:t>
      </w:r>
      <w:r>
        <w:rPr>
          <w:rFonts w:eastAsia="Cambria"/>
          <w:lang w:val="en-CA"/>
        </w:rPr>
        <w:t>s</w:t>
      </w:r>
      <w:r w:rsidRPr="003A1579">
        <w:rPr>
          <w:rFonts w:eastAsia="Cambria"/>
          <w:lang w:val="en-CA"/>
        </w:rPr>
        <w:t xml:space="preserve"> of almost 300</w:t>
      </w:r>
      <w:r>
        <w:rPr>
          <w:rFonts w:eastAsia="Cambria"/>
          <w:lang w:val="en-CA"/>
        </w:rPr>
        <w:t>,</w:t>
      </w:r>
      <w:r w:rsidRPr="003A1579">
        <w:rPr>
          <w:rFonts w:eastAsia="Cambria"/>
          <w:lang w:val="en-CA"/>
        </w:rPr>
        <w:t>000 women worldwide</w:t>
      </w:r>
      <w:r>
        <w:rPr>
          <w:rFonts w:eastAsia="Cambria"/>
          <w:lang w:val="en-CA"/>
        </w:rPr>
        <w:t xml:space="preserve"> </w:t>
      </w:r>
      <w:r w:rsidR="00AC77C5">
        <w:rPr>
          <w:rFonts w:eastAsia="Cambria"/>
          <w:lang w:val="en-CA"/>
        </w:rPr>
        <w:t xml:space="preserve">in 2013. </w:t>
      </w:r>
      <w:r w:rsidRPr="003A1579">
        <w:rPr>
          <w:rFonts w:eastAsia="Cambria"/>
          <w:lang w:val="en-CA"/>
        </w:rPr>
        <w:t>About 22 million unsafe abortions take place annually and an estimated 47</w:t>
      </w:r>
      <w:r>
        <w:rPr>
          <w:rFonts w:eastAsia="Cambria"/>
          <w:lang w:val="en-CA"/>
        </w:rPr>
        <w:t>,</w:t>
      </w:r>
      <w:r w:rsidRPr="003A1579">
        <w:rPr>
          <w:rFonts w:eastAsia="Cambria"/>
          <w:lang w:val="en-CA"/>
        </w:rPr>
        <w:t xml:space="preserve">000 women die from complications </w:t>
      </w:r>
      <w:r>
        <w:rPr>
          <w:rFonts w:eastAsia="Cambria"/>
          <w:lang w:val="en-CA"/>
        </w:rPr>
        <w:t>resulting from</w:t>
      </w:r>
      <w:r w:rsidRPr="003A1579">
        <w:rPr>
          <w:rFonts w:eastAsia="Cambria"/>
          <w:lang w:val="en-CA"/>
        </w:rPr>
        <w:t xml:space="preserve"> unsafe abortion each year.</w:t>
      </w:r>
      <w:r w:rsidR="008A119E" w:rsidRPr="008A119E">
        <w:rPr>
          <w:rStyle w:val="Heading4Char"/>
        </w:rPr>
        <w:t xml:space="preserve"> </w:t>
      </w:r>
      <w:r w:rsidR="008A119E" w:rsidRPr="004165D0">
        <w:rPr>
          <w:rStyle w:val="FootnoteReference"/>
        </w:rPr>
        <w:footnoteReference w:id="22"/>
      </w:r>
      <w:r w:rsidRPr="003A1579">
        <w:rPr>
          <w:rFonts w:eastAsia="Cambria"/>
          <w:lang w:val="en-CA"/>
        </w:rPr>
        <w:t xml:space="preserve"> Breast and cervical cancer remain the leading cancers among </w:t>
      </w:r>
      <w:r w:rsidR="00AC77C5">
        <w:rPr>
          <w:rFonts w:eastAsia="Cambria"/>
          <w:lang w:val="en-CA"/>
        </w:rPr>
        <w:t>women aged 20-</w:t>
      </w:r>
      <w:r w:rsidRPr="003A1579">
        <w:rPr>
          <w:rFonts w:eastAsia="Cambria"/>
          <w:lang w:val="en-CA"/>
        </w:rPr>
        <w:t xml:space="preserve">59 years, resulting in </w:t>
      </w:r>
      <w:r>
        <w:rPr>
          <w:rFonts w:eastAsia="Cambria"/>
          <w:lang w:val="en-CA"/>
        </w:rPr>
        <w:t>1</w:t>
      </w:r>
      <w:r w:rsidRPr="003A1579">
        <w:rPr>
          <w:rFonts w:eastAsia="Cambria"/>
          <w:lang w:val="en-CA"/>
        </w:rPr>
        <w:t xml:space="preserve"> million deaths, the majority in low</w:t>
      </w:r>
      <w:r>
        <w:rPr>
          <w:rFonts w:eastAsia="Cambria"/>
          <w:lang w:val="en-CA"/>
        </w:rPr>
        <w:t>-</w:t>
      </w:r>
      <w:r w:rsidRPr="003A1579">
        <w:rPr>
          <w:rFonts w:eastAsia="Cambria"/>
          <w:lang w:val="en-CA"/>
        </w:rPr>
        <w:t xml:space="preserve"> and middle</w:t>
      </w:r>
      <w:r>
        <w:rPr>
          <w:rFonts w:eastAsia="Cambria"/>
          <w:lang w:val="en-CA"/>
        </w:rPr>
        <w:t>-</w:t>
      </w:r>
      <w:r w:rsidRPr="003A1579">
        <w:rPr>
          <w:rFonts w:eastAsia="Cambria"/>
          <w:lang w:val="en-CA"/>
        </w:rPr>
        <w:t>income countries where screening, prevention and treatment are almost non-existent.</w:t>
      </w:r>
      <w:r w:rsidR="008A119E" w:rsidRPr="008A119E">
        <w:rPr>
          <w:rStyle w:val="Heading4Char"/>
        </w:rPr>
        <w:t xml:space="preserve"> </w:t>
      </w:r>
      <w:r w:rsidR="008A119E" w:rsidRPr="004165D0">
        <w:rPr>
          <w:rStyle w:val="FootnoteReference"/>
        </w:rPr>
        <w:footnoteReference w:id="23"/>
      </w:r>
      <w:r w:rsidR="008A119E" w:rsidRPr="004165D0">
        <w:rPr>
          <w:rFonts w:eastAsia="Cambria"/>
          <w:lang w:val="en-CA"/>
        </w:rPr>
        <w:t xml:space="preserve"> </w:t>
      </w:r>
      <w:r w:rsidRPr="003A1579">
        <w:rPr>
          <w:rFonts w:eastAsia="Cambria"/>
          <w:lang w:val="en-CA"/>
        </w:rPr>
        <w:t xml:space="preserve"> Young women bear the brunt of new HIV infections.</w:t>
      </w:r>
      <w:r w:rsidR="008A119E" w:rsidRPr="008A119E">
        <w:rPr>
          <w:rStyle w:val="Heading4Char"/>
        </w:rPr>
        <w:t xml:space="preserve"> </w:t>
      </w:r>
      <w:r w:rsidR="008A119E" w:rsidRPr="004165D0">
        <w:rPr>
          <w:rStyle w:val="FootnoteReference"/>
        </w:rPr>
        <w:footnoteReference w:id="24"/>
      </w:r>
      <w:r w:rsidRPr="003A1579">
        <w:rPr>
          <w:rFonts w:eastAsia="Cambria"/>
          <w:lang w:val="en-CA"/>
        </w:rPr>
        <w:t xml:space="preserve"> One in three women under 50 has experienced physical and/or sexual violence by an intimate partner or </w:t>
      </w:r>
      <w:r>
        <w:rPr>
          <w:rFonts w:eastAsia="Cambria"/>
          <w:lang w:val="en-CA"/>
        </w:rPr>
        <w:t>family member</w:t>
      </w:r>
      <w:r w:rsidRPr="003A1579">
        <w:rPr>
          <w:rFonts w:eastAsia="Cambria"/>
          <w:lang w:val="en-CA"/>
        </w:rPr>
        <w:t>.</w:t>
      </w:r>
      <w:r w:rsidR="008A119E" w:rsidRPr="008A119E">
        <w:rPr>
          <w:rStyle w:val="Heading4Char"/>
        </w:rPr>
        <w:t xml:space="preserve"> </w:t>
      </w:r>
      <w:r w:rsidR="008A119E" w:rsidRPr="004165D0">
        <w:rPr>
          <w:rStyle w:val="FootnoteReference"/>
        </w:rPr>
        <w:footnoteReference w:id="25"/>
      </w:r>
      <w:r w:rsidRPr="003A1579">
        <w:rPr>
          <w:rFonts w:eastAsia="Cambria"/>
          <w:lang w:val="en-CA"/>
        </w:rPr>
        <w:t xml:space="preserve"> At least 200 million women and girls have been subjected to female genital mutilation.</w:t>
      </w:r>
      <w:r w:rsidR="008A119E" w:rsidRPr="008A119E">
        <w:rPr>
          <w:rStyle w:val="Heading4Char"/>
        </w:rPr>
        <w:t xml:space="preserve"> </w:t>
      </w:r>
      <w:r w:rsidR="008A119E" w:rsidRPr="004165D0">
        <w:rPr>
          <w:rStyle w:val="FootnoteReference"/>
        </w:rPr>
        <w:footnoteReference w:id="26"/>
      </w:r>
    </w:p>
    <w:p w:rsidR="00CA109F" w:rsidRPr="003B22CF" w:rsidRDefault="00CA109F" w:rsidP="00CA109F">
      <w:pPr>
        <w:pStyle w:val="H23G"/>
        <w:rPr>
          <w:rFonts w:eastAsia="Cambria"/>
          <w:lang w:val="en-CA"/>
        </w:rPr>
      </w:pPr>
      <w:r>
        <w:rPr>
          <w:rFonts w:eastAsia="Cambria"/>
          <w:lang w:val="en-CA"/>
        </w:rPr>
        <w:tab/>
      </w:r>
      <w:r w:rsidRPr="003B22CF">
        <w:rPr>
          <w:rFonts w:eastAsia="Cambria"/>
          <w:lang w:val="en-CA"/>
        </w:rPr>
        <w:t>1.</w:t>
      </w:r>
      <w:r w:rsidRPr="003B22CF">
        <w:rPr>
          <w:rFonts w:eastAsia="Cambria"/>
          <w:lang w:val="en-CA"/>
        </w:rPr>
        <w:tab/>
      </w:r>
      <w:r>
        <w:rPr>
          <w:rFonts w:eastAsia="Cambria"/>
          <w:lang w:val="en-CA"/>
        </w:rPr>
        <w:t>Discrimination t</w:t>
      </w:r>
      <w:r w:rsidRPr="003B22CF">
        <w:rPr>
          <w:rFonts w:eastAsia="Cambria"/>
          <w:lang w:val="en-CA"/>
        </w:rPr>
        <w:t>hroughout a woman’s life cycle</w:t>
      </w:r>
    </w:p>
    <w:p w:rsidR="00CA109F" w:rsidRPr="003A1579" w:rsidRDefault="00CA109F" w:rsidP="00CA109F">
      <w:pPr>
        <w:pStyle w:val="SingleTxtG"/>
        <w:rPr>
          <w:rFonts w:eastAsia="Cambria"/>
          <w:lang w:val="en-CA"/>
        </w:rPr>
      </w:pPr>
      <w:r>
        <w:rPr>
          <w:rFonts w:eastAsia="Cambria"/>
          <w:lang w:val="en-CA"/>
        </w:rPr>
        <w:t>33</w:t>
      </w:r>
      <w:r w:rsidRPr="003A1579">
        <w:rPr>
          <w:rFonts w:eastAsia="Cambria"/>
          <w:lang w:val="en-CA"/>
        </w:rPr>
        <w:t>.</w:t>
      </w:r>
      <w:r w:rsidRPr="003A1579">
        <w:rPr>
          <w:rFonts w:eastAsia="Cambria"/>
          <w:lang w:val="en-CA"/>
        </w:rPr>
        <w:tab/>
        <w:t xml:space="preserve">The </w:t>
      </w:r>
      <w:r>
        <w:rPr>
          <w:rFonts w:eastAsia="Cambria"/>
          <w:lang w:val="en-CA"/>
        </w:rPr>
        <w:t>Working G</w:t>
      </w:r>
      <w:r w:rsidRPr="003A1579">
        <w:rPr>
          <w:rFonts w:eastAsia="Cambria"/>
          <w:lang w:val="en-CA"/>
        </w:rPr>
        <w:t xml:space="preserve">roup notes with concern </w:t>
      </w:r>
      <w:r>
        <w:rPr>
          <w:rFonts w:eastAsia="Cambria"/>
          <w:lang w:val="en-CA"/>
        </w:rPr>
        <w:t xml:space="preserve">that issues relating to </w:t>
      </w:r>
      <w:r w:rsidRPr="003A1579">
        <w:rPr>
          <w:rFonts w:eastAsia="Cambria"/>
          <w:lang w:val="en-CA"/>
        </w:rPr>
        <w:t xml:space="preserve">women’s health </w:t>
      </w:r>
      <w:r>
        <w:rPr>
          <w:rFonts w:eastAsia="Cambria"/>
          <w:lang w:val="en-CA"/>
        </w:rPr>
        <w:t>are not addressed in a holistic manner o</w:t>
      </w:r>
      <w:r w:rsidRPr="003A1579">
        <w:rPr>
          <w:rFonts w:eastAsia="Cambria"/>
          <w:lang w:val="en-CA"/>
        </w:rPr>
        <w:t xml:space="preserve">n political and health agendas at the national and international levels. </w:t>
      </w:r>
      <w:r>
        <w:rPr>
          <w:rFonts w:eastAsia="Cambria"/>
          <w:lang w:val="en-CA"/>
        </w:rPr>
        <w:t>Policies regarding w</w:t>
      </w:r>
      <w:r w:rsidRPr="003A1579">
        <w:rPr>
          <w:rFonts w:eastAsia="Cambria"/>
          <w:lang w:val="en-CA"/>
        </w:rPr>
        <w:t xml:space="preserve">omen’s health services </w:t>
      </w:r>
      <w:r>
        <w:rPr>
          <w:rFonts w:eastAsia="Cambria"/>
          <w:lang w:val="en-CA"/>
        </w:rPr>
        <w:t>are often limited to questions of “</w:t>
      </w:r>
      <w:r w:rsidRPr="003A1579">
        <w:rPr>
          <w:rFonts w:eastAsia="Cambria"/>
          <w:lang w:val="en-CA"/>
        </w:rPr>
        <w:t>maternal health</w:t>
      </w:r>
      <w:r>
        <w:rPr>
          <w:rFonts w:eastAsia="Cambria"/>
          <w:lang w:val="en-CA"/>
        </w:rPr>
        <w:t>”</w:t>
      </w:r>
      <w:r w:rsidRPr="003A1579">
        <w:rPr>
          <w:rFonts w:eastAsia="Cambria"/>
          <w:lang w:val="en-CA"/>
        </w:rPr>
        <w:t xml:space="preserve">. </w:t>
      </w:r>
      <w:r>
        <w:rPr>
          <w:rFonts w:eastAsia="Cambria"/>
          <w:lang w:val="en-CA"/>
        </w:rPr>
        <w:t>Despite the importance of prioritizing this issue</w:t>
      </w:r>
      <w:r w:rsidRPr="003A1579">
        <w:rPr>
          <w:rFonts w:eastAsia="Cambria"/>
          <w:lang w:val="en-CA"/>
        </w:rPr>
        <w:t xml:space="preserve">, such </w:t>
      </w:r>
      <w:r>
        <w:rPr>
          <w:rFonts w:eastAsia="Cambria"/>
          <w:lang w:val="en-CA"/>
        </w:rPr>
        <w:t>a restrictive focus</w:t>
      </w:r>
      <w:r w:rsidRPr="003A1579">
        <w:rPr>
          <w:rFonts w:eastAsia="Cambria"/>
          <w:lang w:val="en-CA"/>
        </w:rPr>
        <w:t xml:space="preserve"> fails to recognize</w:t>
      </w:r>
      <w:r>
        <w:rPr>
          <w:rFonts w:eastAsia="Cambria"/>
          <w:lang w:val="en-CA"/>
        </w:rPr>
        <w:t xml:space="preserve"> </w:t>
      </w:r>
      <w:r w:rsidRPr="00FB7518">
        <w:rPr>
          <w:rFonts w:eastAsia="Cambria"/>
          <w:lang w:val="en-CA"/>
        </w:rPr>
        <w:t xml:space="preserve">the full spectrum of </w:t>
      </w:r>
      <w:r>
        <w:rPr>
          <w:rFonts w:eastAsia="Cambria"/>
          <w:lang w:val="en-CA"/>
        </w:rPr>
        <w:t xml:space="preserve">women’s rights to </w:t>
      </w:r>
      <w:r w:rsidRPr="00FB7518">
        <w:rPr>
          <w:rFonts w:eastAsia="Cambria"/>
          <w:lang w:val="en-CA"/>
        </w:rPr>
        <w:t xml:space="preserve">sexual and reproductive health </w:t>
      </w:r>
      <w:r w:rsidRPr="003A1579">
        <w:rPr>
          <w:rFonts w:eastAsia="Cambria"/>
          <w:lang w:val="en-CA"/>
        </w:rPr>
        <w:t>at all stages of their life cycle and contributes to the instrumentalization of women’s bodies</w:t>
      </w:r>
      <w:r>
        <w:rPr>
          <w:rFonts w:eastAsia="Cambria"/>
          <w:lang w:val="en-CA"/>
        </w:rPr>
        <w:t>, viewing them</w:t>
      </w:r>
      <w:r w:rsidRPr="003A1579">
        <w:rPr>
          <w:rFonts w:eastAsia="Cambria"/>
          <w:lang w:val="en-CA"/>
        </w:rPr>
        <w:t xml:space="preserve"> mainly as a means of reproduction. </w:t>
      </w:r>
      <w:r w:rsidR="008A119E" w:rsidRPr="00D2009A">
        <w:rPr>
          <w:rStyle w:val="FootnoteReference"/>
          <w:szCs w:val="24"/>
        </w:rPr>
        <w:footnoteReference w:id="27"/>
      </w:r>
    </w:p>
    <w:p w:rsidR="00CA109F" w:rsidRPr="003A1579" w:rsidRDefault="00CA109F" w:rsidP="00CA109F">
      <w:pPr>
        <w:pStyle w:val="SingleTxtG"/>
        <w:rPr>
          <w:rFonts w:eastAsia="Cambria"/>
          <w:lang w:val="en-CA"/>
        </w:rPr>
      </w:pPr>
      <w:r>
        <w:rPr>
          <w:rFonts w:eastAsia="Cambria"/>
          <w:lang w:val="en-CA"/>
        </w:rPr>
        <w:t>34</w:t>
      </w:r>
      <w:r w:rsidRPr="003A1579">
        <w:rPr>
          <w:rFonts w:eastAsia="Cambria"/>
          <w:lang w:val="en-CA"/>
        </w:rPr>
        <w:t>.</w:t>
      </w:r>
      <w:r w:rsidRPr="003A1579">
        <w:rPr>
          <w:rFonts w:eastAsia="Cambria"/>
          <w:lang w:val="en-CA"/>
        </w:rPr>
        <w:tab/>
        <w:t xml:space="preserve">Many girls are exposed to a wide variety of </w:t>
      </w:r>
      <w:r>
        <w:rPr>
          <w:rFonts w:eastAsia="Cambria"/>
          <w:lang w:val="en-CA"/>
        </w:rPr>
        <w:t>practices</w:t>
      </w:r>
      <w:r w:rsidRPr="003A1579">
        <w:rPr>
          <w:rFonts w:eastAsia="Cambria"/>
          <w:lang w:val="en-CA"/>
        </w:rPr>
        <w:t xml:space="preserve"> which are harmful to their health and well-being, such as female genital mutilation, discrimination in food allocation resulting in malnutrition and discrimination in access to professional </w:t>
      </w:r>
      <w:r>
        <w:rPr>
          <w:rFonts w:eastAsia="Cambria"/>
          <w:lang w:val="en-CA"/>
        </w:rPr>
        <w:t>health care</w:t>
      </w:r>
      <w:r w:rsidRPr="003A1579">
        <w:rPr>
          <w:rFonts w:eastAsia="Cambria"/>
          <w:lang w:val="en-CA"/>
        </w:rPr>
        <w:t xml:space="preserve">. Furthermore, early marriage and adolescent pregnancy </w:t>
      </w:r>
      <w:r>
        <w:rPr>
          <w:rFonts w:eastAsia="Cambria"/>
          <w:lang w:val="en-CA"/>
        </w:rPr>
        <w:t>have</w:t>
      </w:r>
      <w:r w:rsidRPr="003A1579">
        <w:rPr>
          <w:rFonts w:eastAsia="Cambria"/>
          <w:lang w:val="en-CA"/>
        </w:rPr>
        <w:t xml:space="preserve"> </w:t>
      </w:r>
      <w:r>
        <w:rPr>
          <w:rFonts w:eastAsia="Cambria"/>
          <w:lang w:val="en-CA"/>
        </w:rPr>
        <w:t xml:space="preserve">a </w:t>
      </w:r>
      <w:r w:rsidRPr="003A1579">
        <w:rPr>
          <w:rFonts w:eastAsia="Cambria"/>
          <w:lang w:val="en-CA"/>
        </w:rPr>
        <w:t xml:space="preserve">long-lasting </w:t>
      </w:r>
      <w:r>
        <w:rPr>
          <w:rFonts w:eastAsia="Cambria"/>
          <w:lang w:val="en-CA"/>
        </w:rPr>
        <w:t>impact on</w:t>
      </w:r>
      <w:r w:rsidRPr="003A1579">
        <w:rPr>
          <w:rFonts w:eastAsia="Cambria"/>
          <w:lang w:val="en-CA"/>
        </w:rPr>
        <w:t xml:space="preserve"> </w:t>
      </w:r>
      <w:r>
        <w:rPr>
          <w:rFonts w:eastAsia="Cambria"/>
          <w:lang w:val="en-CA"/>
        </w:rPr>
        <w:t>girls’</w:t>
      </w:r>
      <w:r w:rsidRPr="003A1579">
        <w:rPr>
          <w:rFonts w:eastAsia="Cambria"/>
          <w:lang w:val="en-CA"/>
        </w:rPr>
        <w:t xml:space="preserve"> physical integrity and mental health. </w:t>
      </w:r>
      <w:r>
        <w:rPr>
          <w:rFonts w:eastAsia="Cambria"/>
          <w:lang w:val="en-CA"/>
        </w:rPr>
        <w:t>P</w:t>
      </w:r>
      <w:r w:rsidRPr="003A1579">
        <w:rPr>
          <w:rFonts w:eastAsia="Cambria"/>
          <w:lang w:val="en-CA"/>
        </w:rPr>
        <w:t xml:space="preserve">regnancy and </w:t>
      </w:r>
      <w:r>
        <w:rPr>
          <w:rFonts w:eastAsia="Cambria"/>
          <w:lang w:val="en-CA"/>
        </w:rPr>
        <w:t>childbirth</w:t>
      </w:r>
      <w:r w:rsidRPr="003A1579">
        <w:rPr>
          <w:rFonts w:eastAsia="Cambria"/>
          <w:lang w:val="en-CA"/>
        </w:rPr>
        <w:t xml:space="preserve"> are </w:t>
      </w:r>
      <w:r>
        <w:rPr>
          <w:rFonts w:eastAsia="Cambria"/>
          <w:lang w:val="en-CA"/>
        </w:rPr>
        <w:t xml:space="preserve">together </w:t>
      </w:r>
      <w:r w:rsidRPr="003A1579">
        <w:rPr>
          <w:rFonts w:eastAsia="Cambria"/>
          <w:lang w:val="en-CA"/>
        </w:rPr>
        <w:t>the second leading cause of death among 15-</w:t>
      </w:r>
      <w:r>
        <w:rPr>
          <w:rFonts w:eastAsia="Cambria"/>
          <w:lang w:val="en-CA"/>
        </w:rPr>
        <w:t xml:space="preserve"> to </w:t>
      </w:r>
      <w:r w:rsidRPr="003A1579">
        <w:rPr>
          <w:rFonts w:eastAsia="Cambria"/>
          <w:lang w:val="en-CA"/>
        </w:rPr>
        <w:t>19</w:t>
      </w:r>
      <w:r>
        <w:rPr>
          <w:rFonts w:eastAsia="Cambria"/>
          <w:lang w:val="en-CA"/>
        </w:rPr>
        <w:t>-</w:t>
      </w:r>
      <w:r w:rsidRPr="003A1579">
        <w:rPr>
          <w:rFonts w:eastAsia="Cambria"/>
          <w:lang w:val="en-CA"/>
        </w:rPr>
        <w:t>year</w:t>
      </w:r>
      <w:r>
        <w:rPr>
          <w:rFonts w:eastAsia="Cambria"/>
          <w:lang w:val="en-CA"/>
        </w:rPr>
        <w:t>-</w:t>
      </w:r>
      <w:r w:rsidRPr="003A1579">
        <w:rPr>
          <w:rFonts w:eastAsia="Cambria"/>
          <w:lang w:val="en-CA"/>
        </w:rPr>
        <w:t>old girls globally</w:t>
      </w:r>
      <w:r w:rsidRPr="002B0F13">
        <w:rPr>
          <w:rFonts w:eastAsia="Cambria"/>
          <w:lang w:val="en-CA"/>
        </w:rPr>
        <w:t xml:space="preserve">, </w:t>
      </w:r>
      <w:r>
        <w:rPr>
          <w:rFonts w:eastAsia="Cambria"/>
          <w:lang w:val="en-CA"/>
        </w:rPr>
        <w:t xml:space="preserve">putting them at the highest </w:t>
      </w:r>
      <w:r w:rsidRPr="002B0F13">
        <w:rPr>
          <w:rFonts w:eastAsia="Cambria"/>
          <w:lang w:val="en-CA"/>
        </w:rPr>
        <w:t xml:space="preserve">risk of dying </w:t>
      </w:r>
      <w:r>
        <w:rPr>
          <w:rFonts w:eastAsia="Cambria"/>
          <w:lang w:val="en-CA"/>
        </w:rPr>
        <w:t>or</w:t>
      </w:r>
      <w:r w:rsidRPr="002B0F13">
        <w:rPr>
          <w:rFonts w:eastAsia="Cambria"/>
          <w:lang w:val="en-CA"/>
        </w:rPr>
        <w:t xml:space="preserve"> suffering serious lifelong injuries</w:t>
      </w:r>
      <w:r>
        <w:rPr>
          <w:rFonts w:eastAsia="Cambria"/>
          <w:lang w:val="en-CA"/>
        </w:rPr>
        <w:t xml:space="preserve"> as a result of pregnancy.</w:t>
      </w:r>
      <w:r w:rsidR="008A119E" w:rsidRPr="008A119E">
        <w:rPr>
          <w:rStyle w:val="Heading4Char"/>
          <w:rFonts w:eastAsia="Cambria"/>
          <w:lang w:val="en-CA"/>
        </w:rPr>
        <w:t xml:space="preserve"> </w:t>
      </w:r>
      <w:r w:rsidR="008A119E">
        <w:rPr>
          <w:rStyle w:val="FootnoteReference"/>
          <w:rFonts w:eastAsia="Cambria"/>
          <w:lang w:val="en-CA"/>
        </w:rPr>
        <w:footnoteReference w:id="28"/>
      </w:r>
      <w:r w:rsidR="008A119E">
        <w:rPr>
          <w:rFonts w:eastAsia="Cambria"/>
          <w:lang w:val="en-CA"/>
        </w:rPr>
        <w:t xml:space="preserve"> </w:t>
      </w:r>
      <w:r>
        <w:rPr>
          <w:rFonts w:eastAsia="Cambria"/>
          <w:lang w:val="en-CA"/>
        </w:rPr>
        <w:t xml:space="preserve"> For example, up to </w:t>
      </w:r>
      <w:r w:rsidRPr="003A1579">
        <w:rPr>
          <w:rFonts w:eastAsia="Cambria"/>
          <w:lang w:val="en-CA"/>
        </w:rPr>
        <w:t>65</w:t>
      </w:r>
      <w:r>
        <w:rPr>
          <w:rFonts w:eastAsia="Cambria"/>
          <w:lang w:val="en-CA"/>
        </w:rPr>
        <w:t xml:space="preserve"> per cent</w:t>
      </w:r>
      <w:r w:rsidRPr="003A1579">
        <w:rPr>
          <w:rFonts w:eastAsia="Cambria"/>
          <w:lang w:val="en-CA"/>
        </w:rPr>
        <w:t xml:space="preserve"> of </w:t>
      </w:r>
      <w:r>
        <w:rPr>
          <w:rFonts w:eastAsia="Cambria"/>
          <w:lang w:val="en-CA"/>
        </w:rPr>
        <w:t xml:space="preserve">women with </w:t>
      </w:r>
      <w:r w:rsidRPr="003A1579">
        <w:rPr>
          <w:rFonts w:eastAsia="Cambria"/>
          <w:lang w:val="en-CA"/>
        </w:rPr>
        <w:t>obstetric fistula, which is a severely disabling condition and often results in social exclusion</w:t>
      </w:r>
      <w:r>
        <w:rPr>
          <w:rFonts w:eastAsia="Cambria"/>
          <w:lang w:val="en-CA"/>
        </w:rPr>
        <w:t>, develop this condition as adolescents</w:t>
      </w:r>
      <w:r w:rsidRPr="003A1579">
        <w:rPr>
          <w:rFonts w:eastAsia="Cambria"/>
          <w:lang w:val="en-CA"/>
        </w:rPr>
        <w:t>.</w:t>
      </w:r>
      <w:r w:rsidR="008A119E" w:rsidRPr="008A119E">
        <w:rPr>
          <w:rStyle w:val="Heading4Char"/>
          <w:rFonts w:eastAsia="Cambria"/>
          <w:lang w:val="en-CA"/>
        </w:rPr>
        <w:t xml:space="preserve"> </w:t>
      </w:r>
      <w:r w:rsidR="008A119E">
        <w:rPr>
          <w:rStyle w:val="FootnoteReference"/>
          <w:rFonts w:eastAsia="Cambria"/>
          <w:lang w:val="en-CA"/>
        </w:rPr>
        <w:footnoteReference w:id="29"/>
      </w:r>
    </w:p>
    <w:p w:rsidR="00CA109F" w:rsidRPr="003A1579" w:rsidRDefault="00CA109F" w:rsidP="00CA109F">
      <w:pPr>
        <w:pStyle w:val="SingleTxtG"/>
        <w:rPr>
          <w:rFonts w:eastAsia="Cambria"/>
          <w:lang w:val="en-CA"/>
        </w:rPr>
      </w:pPr>
      <w:r>
        <w:rPr>
          <w:rFonts w:eastAsia="Cambria"/>
          <w:lang w:val="en-CA"/>
        </w:rPr>
        <w:t>35</w:t>
      </w:r>
      <w:r w:rsidRPr="003A1579">
        <w:rPr>
          <w:rFonts w:eastAsia="Cambria"/>
          <w:lang w:val="en-CA"/>
        </w:rPr>
        <w:t>.</w:t>
      </w:r>
      <w:r w:rsidRPr="003A1579">
        <w:rPr>
          <w:rFonts w:eastAsia="Cambria"/>
          <w:lang w:val="en-CA"/>
        </w:rPr>
        <w:tab/>
        <w:t xml:space="preserve">Adolescent girls </w:t>
      </w:r>
      <w:r>
        <w:rPr>
          <w:rFonts w:eastAsia="Cambria"/>
          <w:lang w:val="en-CA"/>
        </w:rPr>
        <w:t>are particularly</w:t>
      </w:r>
      <w:r w:rsidRPr="003A1579">
        <w:rPr>
          <w:rFonts w:eastAsia="Cambria"/>
          <w:lang w:val="en-CA"/>
        </w:rPr>
        <w:t xml:space="preserve"> exposed to gender-based violence in the family and on their way to or at school, with extremely </w:t>
      </w:r>
      <w:r>
        <w:rPr>
          <w:rFonts w:eastAsia="Cambria"/>
          <w:lang w:val="en-CA"/>
        </w:rPr>
        <w:t>harmful</w:t>
      </w:r>
      <w:r w:rsidRPr="003A1579">
        <w:rPr>
          <w:rFonts w:eastAsia="Cambria"/>
          <w:lang w:val="en-CA"/>
        </w:rPr>
        <w:t xml:space="preserve"> impact</w:t>
      </w:r>
      <w:r>
        <w:rPr>
          <w:rFonts w:eastAsia="Cambria"/>
          <w:lang w:val="en-CA"/>
        </w:rPr>
        <w:t>s</w:t>
      </w:r>
      <w:r w:rsidRPr="003A1579">
        <w:rPr>
          <w:rFonts w:eastAsia="Cambria"/>
          <w:lang w:val="en-CA"/>
        </w:rPr>
        <w:t xml:space="preserve"> on their physical and mental health. </w:t>
      </w:r>
      <w:r>
        <w:rPr>
          <w:rFonts w:eastAsia="Cambria"/>
          <w:lang w:val="en-CA"/>
        </w:rPr>
        <w:t>I</w:t>
      </w:r>
      <w:r w:rsidRPr="003A1579">
        <w:rPr>
          <w:rFonts w:eastAsia="Cambria"/>
          <w:lang w:val="en-CA"/>
        </w:rPr>
        <w:t xml:space="preserve">n its resolution </w:t>
      </w:r>
      <w:r>
        <w:rPr>
          <w:rFonts w:eastAsia="Cambria"/>
          <w:lang w:val="en-CA"/>
        </w:rPr>
        <w:t>70/137 the General Assembly called upon all</w:t>
      </w:r>
      <w:r w:rsidRPr="003A1579">
        <w:rPr>
          <w:rFonts w:eastAsia="Cambria"/>
          <w:lang w:val="en-CA"/>
        </w:rPr>
        <w:t xml:space="preserve"> States to improve the safety of girls on the way to and from school, taking steps to ensure that all schools are accessible, safe, secure and free from violence and providing separate and adequate sanitation facilities that provide privacy and dignity.</w:t>
      </w:r>
      <w:r w:rsidR="008A119E" w:rsidRPr="008A119E">
        <w:rPr>
          <w:rStyle w:val="Heading4Char"/>
          <w:rFonts w:eastAsia="Cambria"/>
          <w:lang w:val="en-CA"/>
        </w:rPr>
        <w:t xml:space="preserve"> </w:t>
      </w:r>
      <w:r w:rsidR="008A119E">
        <w:rPr>
          <w:rStyle w:val="FootnoteReference"/>
          <w:rFonts w:eastAsia="Cambria"/>
          <w:lang w:val="en-CA"/>
        </w:rPr>
        <w:footnoteReference w:id="30"/>
      </w:r>
    </w:p>
    <w:p w:rsidR="00CA109F" w:rsidRPr="003A1579" w:rsidRDefault="00CA109F" w:rsidP="00CA109F">
      <w:pPr>
        <w:pStyle w:val="SingleTxtG"/>
        <w:rPr>
          <w:rFonts w:eastAsia="Cambria"/>
          <w:lang w:val="en-CA"/>
        </w:rPr>
      </w:pPr>
      <w:r>
        <w:rPr>
          <w:rFonts w:eastAsia="Cambria"/>
          <w:lang w:val="en-CA"/>
        </w:rPr>
        <w:lastRenderedPageBreak/>
        <w:t>36</w:t>
      </w:r>
      <w:r w:rsidRPr="003A1579">
        <w:rPr>
          <w:rFonts w:eastAsia="Cambria"/>
          <w:lang w:val="en-CA"/>
        </w:rPr>
        <w:t>.</w:t>
      </w:r>
      <w:r w:rsidRPr="003A1579">
        <w:rPr>
          <w:rFonts w:eastAsia="Cambria"/>
          <w:lang w:val="en-CA"/>
        </w:rPr>
        <w:tab/>
        <w:t xml:space="preserve">In some countries, adolescent girls </w:t>
      </w:r>
      <w:r>
        <w:rPr>
          <w:rFonts w:eastAsia="Cambria"/>
          <w:lang w:val="en-CA"/>
        </w:rPr>
        <w:t>are deterred from</w:t>
      </w:r>
      <w:r w:rsidRPr="003A1579">
        <w:rPr>
          <w:rFonts w:eastAsia="Cambria"/>
          <w:lang w:val="en-CA"/>
        </w:rPr>
        <w:t xml:space="preserve"> ac</w:t>
      </w:r>
      <w:r>
        <w:rPr>
          <w:rFonts w:eastAsia="Cambria"/>
          <w:lang w:val="en-CA"/>
        </w:rPr>
        <w:t>cessing information and services for family planning and termination of pregnancy</w:t>
      </w:r>
      <w:r w:rsidRPr="003A1579">
        <w:rPr>
          <w:rFonts w:eastAsia="Cambria"/>
          <w:lang w:val="en-CA"/>
        </w:rPr>
        <w:t xml:space="preserve"> </w:t>
      </w:r>
      <w:r>
        <w:rPr>
          <w:rFonts w:eastAsia="Cambria"/>
          <w:lang w:val="en-CA"/>
        </w:rPr>
        <w:t xml:space="preserve">that are </w:t>
      </w:r>
      <w:r w:rsidRPr="003A1579">
        <w:rPr>
          <w:rFonts w:eastAsia="Cambria"/>
          <w:lang w:val="en-CA"/>
        </w:rPr>
        <w:t>needed to protect their health and safety and prevent unwanted high</w:t>
      </w:r>
      <w:r>
        <w:rPr>
          <w:rFonts w:eastAsia="Cambria"/>
          <w:lang w:val="en-CA"/>
        </w:rPr>
        <w:t>-</w:t>
      </w:r>
      <w:r w:rsidRPr="003A1579">
        <w:rPr>
          <w:rFonts w:eastAsia="Cambria"/>
          <w:lang w:val="en-CA"/>
        </w:rPr>
        <w:t>risk pregnancies, including the requirement of third party authorization.</w:t>
      </w:r>
      <w:r w:rsidR="008A119E" w:rsidRPr="008A119E">
        <w:rPr>
          <w:rStyle w:val="Heading4Char"/>
          <w:rFonts w:eastAsia="Cambria"/>
          <w:lang w:val="en-CA"/>
        </w:rPr>
        <w:t xml:space="preserve"> </w:t>
      </w:r>
      <w:r w:rsidR="008A119E">
        <w:rPr>
          <w:rStyle w:val="FootnoteReference"/>
          <w:rFonts w:eastAsia="Cambria"/>
          <w:lang w:val="en-CA"/>
        </w:rPr>
        <w:footnoteReference w:id="31"/>
      </w:r>
      <w:r w:rsidR="008A119E" w:rsidRPr="003A1579">
        <w:rPr>
          <w:rFonts w:eastAsia="Cambria"/>
          <w:lang w:val="en-CA"/>
        </w:rPr>
        <w:t xml:space="preserve"> </w:t>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37</w:t>
      </w:r>
      <w:r w:rsidRPr="003A1579">
        <w:rPr>
          <w:rFonts w:eastAsia="Cambria"/>
          <w:lang w:val="en-CA"/>
        </w:rPr>
        <w:t>.</w:t>
      </w:r>
      <w:r w:rsidRPr="003A1579">
        <w:rPr>
          <w:rFonts w:eastAsia="Cambria"/>
          <w:lang w:val="en-CA"/>
        </w:rPr>
        <w:tab/>
        <w:t xml:space="preserve">During </w:t>
      </w:r>
      <w:r>
        <w:rPr>
          <w:rFonts w:eastAsia="Cambria"/>
          <w:lang w:val="en-CA"/>
        </w:rPr>
        <w:t>pregnancy</w:t>
      </w:r>
      <w:r w:rsidRPr="003A1579">
        <w:rPr>
          <w:rFonts w:eastAsia="Cambria"/>
          <w:lang w:val="en-CA"/>
        </w:rPr>
        <w:t xml:space="preserve">, many women are </w:t>
      </w:r>
      <w:r>
        <w:rPr>
          <w:rFonts w:eastAsia="Cambria"/>
          <w:lang w:val="en-CA"/>
        </w:rPr>
        <w:t>vulnerable</w:t>
      </w:r>
      <w:r w:rsidRPr="003A1579">
        <w:rPr>
          <w:rFonts w:eastAsia="Cambria"/>
          <w:lang w:val="en-CA"/>
        </w:rPr>
        <w:t xml:space="preserve"> to malnutrition </w:t>
      </w:r>
      <w:r>
        <w:rPr>
          <w:rFonts w:eastAsia="Cambria"/>
          <w:lang w:val="en-CA"/>
        </w:rPr>
        <w:t>owing to d</w:t>
      </w:r>
      <w:r w:rsidRPr="003A1579">
        <w:rPr>
          <w:rFonts w:eastAsia="Cambria"/>
          <w:lang w:val="en-CA"/>
        </w:rPr>
        <w:t xml:space="preserve">iscrimination </w:t>
      </w:r>
      <w:r>
        <w:rPr>
          <w:rFonts w:eastAsia="Cambria"/>
          <w:lang w:val="en-CA"/>
        </w:rPr>
        <w:t>in the allocation of</w:t>
      </w:r>
      <w:r w:rsidRPr="003A1579">
        <w:rPr>
          <w:rFonts w:eastAsia="Cambria"/>
          <w:lang w:val="en-CA"/>
        </w:rPr>
        <w:t xml:space="preserve"> food</w:t>
      </w:r>
      <w:r>
        <w:rPr>
          <w:rFonts w:eastAsia="Cambria"/>
          <w:lang w:val="en-CA"/>
        </w:rPr>
        <w:t>. This</w:t>
      </w:r>
      <w:r w:rsidRPr="003A1579">
        <w:rPr>
          <w:rFonts w:eastAsia="Cambria"/>
          <w:lang w:val="en-CA"/>
        </w:rPr>
        <w:t xml:space="preserve"> can </w:t>
      </w:r>
      <w:r>
        <w:rPr>
          <w:rFonts w:eastAsia="Cambria"/>
          <w:lang w:val="en-CA"/>
        </w:rPr>
        <w:t>result</w:t>
      </w:r>
      <w:r w:rsidRPr="003A1579">
        <w:rPr>
          <w:rFonts w:eastAsia="Cambria"/>
          <w:lang w:val="en-CA"/>
        </w:rPr>
        <w:t xml:space="preserve"> in </w:t>
      </w:r>
      <w:r>
        <w:rPr>
          <w:rFonts w:eastAsia="Cambria"/>
          <w:lang w:val="en-CA"/>
        </w:rPr>
        <w:t xml:space="preserve">a </w:t>
      </w:r>
      <w:r w:rsidRPr="003A1579">
        <w:rPr>
          <w:rFonts w:eastAsia="Cambria"/>
          <w:lang w:val="en-CA"/>
        </w:rPr>
        <w:t>serious</w:t>
      </w:r>
      <w:r>
        <w:rPr>
          <w:rFonts w:eastAsia="Cambria"/>
          <w:lang w:val="en-CA"/>
        </w:rPr>
        <w:t xml:space="preserve"> and</w:t>
      </w:r>
      <w:r w:rsidRPr="003A1579">
        <w:rPr>
          <w:rFonts w:eastAsia="Cambria"/>
          <w:lang w:val="en-CA"/>
        </w:rPr>
        <w:t xml:space="preserve"> irreversible deterioration of </w:t>
      </w:r>
      <w:r>
        <w:rPr>
          <w:rFonts w:eastAsia="Cambria"/>
          <w:lang w:val="en-CA"/>
        </w:rPr>
        <w:t>women’s</w:t>
      </w:r>
      <w:r w:rsidRPr="003A1579">
        <w:rPr>
          <w:rFonts w:eastAsia="Cambria"/>
          <w:lang w:val="en-CA"/>
        </w:rPr>
        <w:t xml:space="preserve"> general health and increas</w:t>
      </w:r>
      <w:r>
        <w:rPr>
          <w:rFonts w:eastAsia="Cambria"/>
          <w:lang w:val="en-CA"/>
        </w:rPr>
        <w:t>e</w:t>
      </w:r>
      <w:r w:rsidRPr="003A1579">
        <w:rPr>
          <w:rFonts w:eastAsia="Cambria"/>
          <w:lang w:val="en-CA"/>
        </w:rPr>
        <w:t xml:space="preserve"> the risk of premature delivery, low birth weight and birth defects.</w:t>
      </w:r>
      <w:r w:rsidR="008A119E" w:rsidRPr="008A119E">
        <w:rPr>
          <w:rStyle w:val="Heading4Char"/>
        </w:rPr>
        <w:t xml:space="preserve"> </w:t>
      </w:r>
      <w:r w:rsidR="008A119E" w:rsidRPr="00F05B27">
        <w:rPr>
          <w:rStyle w:val="FootnoteReference"/>
        </w:rPr>
        <w:footnoteReference w:id="32"/>
      </w:r>
      <w:r w:rsidRPr="003A1579">
        <w:rPr>
          <w:rFonts w:eastAsia="Cambria"/>
          <w:lang w:val="en-CA"/>
        </w:rPr>
        <w:t xml:space="preserve"> </w:t>
      </w:r>
      <w:r>
        <w:rPr>
          <w:rFonts w:eastAsia="Cambria"/>
          <w:lang w:val="en-CA"/>
        </w:rPr>
        <w:t xml:space="preserve">After childbirth, such discrimination can continue to affect women’s health, including in connection with breastfeeding. </w:t>
      </w:r>
      <w:r w:rsidRPr="003A1579">
        <w:rPr>
          <w:rFonts w:eastAsia="Cambria"/>
          <w:lang w:val="en-CA"/>
        </w:rPr>
        <w:t>Furthermore, as stated by the Special Rapporteur on the right to food, structural violence is an underexamined barrier to women’s right to adequate food and nutrition. Gender-based violence, which is a primary form of discrimination, can impede women from accessing adequate food and nutrition.</w:t>
      </w:r>
      <w:r w:rsidR="008A119E" w:rsidRPr="008A119E">
        <w:rPr>
          <w:rStyle w:val="Heading4Char"/>
        </w:rPr>
        <w:t xml:space="preserve"> </w:t>
      </w:r>
      <w:r w:rsidR="008A119E" w:rsidRPr="00F05B27">
        <w:rPr>
          <w:rStyle w:val="FootnoteReference"/>
        </w:rPr>
        <w:footnoteReference w:id="33"/>
      </w:r>
    </w:p>
    <w:p w:rsidR="00CA109F" w:rsidRPr="003A1579" w:rsidRDefault="00CA109F" w:rsidP="00CA109F">
      <w:pPr>
        <w:pStyle w:val="SingleTxtG"/>
        <w:rPr>
          <w:rFonts w:eastAsia="Cambria"/>
          <w:lang w:val="en-CA"/>
        </w:rPr>
      </w:pPr>
      <w:r>
        <w:rPr>
          <w:rFonts w:eastAsia="Cambria"/>
          <w:lang w:val="en-CA"/>
        </w:rPr>
        <w:t>38</w:t>
      </w:r>
      <w:r w:rsidRPr="003A1579">
        <w:rPr>
          <w:rFonts w:eastAsia="Cambria"/>
          <w:lang w:val="en-CA"/>
        </w:rPr>
        <w:t>.</w:t>
      </w:r>
      <w:r w:rsidRPr="003A1579">
        <w:rPr>
          <w:rFonts w:eastAsia="Cambria"/>
          <w:lang w:val="en-CA"/>
        </w:rPr>
        <w:tab/>
      </w:r>
      <w:r>
        <w:rPr>
          <w:rFonts w:eastAsia="Cambria"/>
          <w:lang w:val="en-CA"/>
        </w:rPr>
        <w:t>D</w:t>
      </w:r>
      <w:r w:rsidRPr="00901717">
        <w:rPr>
          <w:rFonts w:eastAsia="Cambria"/>
          <w:lang w:val="en-CA"/>
        </w:rPr>
        <w:t xml:space="preserve">elays in seeking appropriate medical care, in reaching an appropriate health facility and in receiving appropriate care once at a facility, along with the lack of </w:t>
      </w:r>
      <w:r>
        <w:rPr>
          <w:rFonts w:eastAsia="Cambria"/>
          <w:lang w:val="en-CA"/>
        </w:rPr>
        <w:t>accessible</w:t>
      </w:r>
      <w:r w:rsidRPr="00901717">
        <w:rPr>
          <w:rFonts w:eastAsia="Cambria"/>
          <w:lang w:val="en-CA"/>
        </w:rPr>
        <w:t xml:space="preserve"> maternal health</w:t>
      </w:r>
      <w:r>
        <w:rPr>
          <w:rFonts w:eastAsia="Cambria"/>
          <w:lang w:val="en-CA"/>
        </w:rPr>
        <w:t xml:space="preserve"> </w:t>
      </w:r>
      <w:r w:rsidRPr="00901717">
        <w:rPr>
          <w:rFonts w:eastAsia="Cambria"/>
          <w:lang w:val="en-CA"/>
        </w:rPr>
        <w:t>care</w:t>
      </w:r>
      <w:r>
        <w:rPr>
          <w:rFonts w:eastAsia="Cambria"/>
          <w:lang w:val="en-CA"/>
        </w:rPr>
        <w:t>,</w:t>
      </w:r>
      <w:r w:rsidRPr="00901717">
        <w:rPr>
          <w:rFonts w:eastAsia="Cambria"/>
          <w:lang w:val="en-CA"/>
        </w:rPr>
        <w:t xml:space="preserve"> are the main reasons behind high rates of maternal mortality and morbidity. </w:t>
      </w:r>
      <w:r>
        <w:rPr>
          <w:rFonts w:eastAsia="Cambria"/>
          <w:lang w:val="en-CA"/>
        </w:rPr>
        <w:t>A</w:t>
      </w:r>
      <w:r w:rsidRPr="00901717">
        <w:rPr>
          <w:rFonts w:eastAsia="Cambria"/>
          <w:lang w:val="en-CA"/>
        </w:rPr>
        <w:t xml:space="preserve"> human right</w:t>
      </w:r>
      <w:r>
        <w:rPr>
          <w:rFonts w:eastAsia="Cambria"/>
          <w:lang w:val="en-CA"/>
        </w:rPr>
        <w:t>s-</w:t>
      </w:r>
      <w:r w:rsidRPr="00901717">
        <w:rPr>
          <w:rFonts w:eastAsia="Cambria"/>
          <w:lang w:val="en-CA"/>
        </w:rPr>
        <w:t>based approach</w:t>
      </w:r>
      <w:r>
        <w:rPr>
          <w:rFonts w:eastAsia="Cambria"/>
          <w:lang w:val="en-CA"/>
        </w:rPr>
        <w:t xml:space="preserve"> that provides</w:t>
      </w:r>
      <w:r w:rsidRPr="00901717">
        <w:rPr>
          <w:rFonts w:eastAsia="Cambria"/>
          <w:lang w:val="en-CA"/>
        </w:rPr>
        <w:t xml:space="preserve"> a functioning health system with adequate supplies, equipment</w:t>
      </w:r>
      <w:r>
        <w:rPr>
          <w:rFonts w:eastAsia="Cambria"/>
          <w:lang w:val="en-CA"/>
        </w:rPr>
        <w:t xml:space="preserve"> and infrastructure as </w:t>
      </w:r>
      <w:r w:rsidRPr="00901717">
        <w:rPr>
          <w:rFonts w:eastAsia="Cambria"/>
          <w:lang w:val="en-CA"/>
        </w:rPr>
        <w:t>well as an efficient system of communication, referral</w:t>
      </w:r>
      <w:r>
        <w:rPr>
          <w:rFonts w:eastAsia="Cambria"/>
          <w:lang w:val="en-CA"/>
        </w:rPr>
        <w:t xml:space="preserve"> and transport</w:t>
      </w:r>
      <w:r w:rsidRPr="00901717">
        <w:rPr>
          <w:rFonts w:eastAsia="Cambria"/>
          <w:lang w:val="en-CA"/>
        </w:rPr>
        <w:t xml:space="preserve"> </w:t>
      </w:r>
      <w:r>
        <w:rPr>
          <w:rFonts w:eastAsia="Cambria"/>
          <w:lang w:val="en-CA"/>
        </w:rPr>
        <w:t>are</w:t>
      </w:r>
      <w:r w:rsidRPr="00901717">
        <w:rPr>
          <w:rFonts w:eastAsia="Cambria"/>
          <w:lang w:val="en-CA"/>
        </w:rPr>
        <w:t xml:space="preserve"> </w:t>
      </w:r>
      <w:r>
        <w:rPr>
          <w:rFonts w:eastAsia="Cambria"/>
          <w:lang w:val="en-CA"/>
        </w:rPr>
        <w:t xml:space="preserve">therefore </w:t>
      </w:r>
      <w:r w:rsidRPr="00901717">
        <w:rPr>
          <w:rFonts w:eastAsia="Cambria"/>
          <w:lang w:val="en-CA"/>
        </w:rPr>
        <w:t>essential to eliminate these preventable deaths and to ensu</w:t>
      </w:r>
      <w:r>
        <w:rPr>
          <w:rFonts w:eastAsia="Cambria"/>
          <w:lang w:val="en-CA"/>
        </w:rPr>
        <w:t>re women’s rights to health and</w:t>
      </w:r>
      <w:r w:rsidRPr="00901717">
        <w:rPr>
          <w:rFonts w:eastAsia="Cambria"/>
          <w:lang w:val="en-CA"/>
        </w:rPr>
        <w:t xml:space="preserve"> life</w:t>
      </w:r>
      <w:r>
        <w:rPr>
          <w:rFonts w:eastAsia="Cambria"/>
          <w:lang w:val="en-CA"/>
        </w:rPr>
        <w:t xml:space="preserve">. </w:t>
      </w:r>
      <w:r w:rsidR="008A119E">
        <w:rPr>
          <w:rStyle w:val="FootnoteReference"/>
          <w:rFonts w:eastAsia="Cambria"/>
          <w:lang w:val="en-CA"/>
        </w:rPr>
        <w:footnoteReference w:id="34"/>
      </w:r>
    </w:p>
    <w:p w:rsidR="00CA109F" w:rsidRPr="003A1579" w:rsidRDefault="00CA109F" w:rsidP="00CA109F">
      <w:pPr>
        <w:pStyle w:val="SingleTxtG"/>
        <w:rPr>
          <w:rFonts w:eastAsia="Cambria"/>
          <w:lang w:val="en-CA"/>
        </w:rPr>
      </w:pPr>
      <w:r>
        <w:rPr>
          <w:rFonts w:eastAsia="Cambria"/>
          <w:lang w:val="en-CA"/>
        </w:rPr>
        <w:t>39</w:t>
      </w:r>
      <w:r w:rsidRPr="003A1579">
        <w:rPr>
          <w:rFonts w:eastAsia="Cambria"/>
          <w:lang w:val="en-CA"/>
        </w:rPr>
        <w:t>.</w:t>
      </w:r>
      <w:r w:rsidRPr="003A1579">
        <w:rPr>
          <w:rFonts w:eastAsia="Cambria"/>
          <w:lang w:val="en-CA"/>
        </w:rPr>
        <w:tab/>
        <w:t xml:space="preserve">Women’s mental health during pregnancy, childbirth and </w:t>
      </w:r>
      <w:r>
        <w:rPr>
          <w:rFonts w:eastAsia="Cambria"/>
          <w:lang w:val="en-CA"/>
        </w:rPr>
        <w:t xml:space="preserve">the </w:t>
      </w:r>
      <w:r w:rsidRPr="003A1579">
        <w:rPr>
          <w:rFonts w:eastAsia="Cambria"/>
          <w:lang w:val="en-CA"/>
        </w:rPr>
        <w:t>post-partum period requires both stability in their environment and emotional support. Reports of disrespect</w:t>
      </w:r>
      <w:r>
        <w:rPr>
          <w:rFonts w:eastAsia="Cambria"/>
          <w:lang w:val="en-CA"/>
        </w:rPr>
        <w:t xml:space="preserve"> </w:t>
      </w:r>
      <w:r w:rsidRPr="003A1579">
        <w:rPr>
          <w:rFonts w:eastAsia="Cambria"/>
          <w:lang w:val="en-CA"/>
        </w:rPr>
        <w:t xml:space="preserve">and ill treatment during childbirth in health facilities in many countries provide a deeply distressing picture of </w:t>
      </w:r>
      <w:r>
        <w:rPr>
          <w:rFonts w:eastAsia="Cambria"/>
          <w:lang w:val="en-CA"/>
        </w:rPr>
        <w:t xml:space="preserve">the extent of </w:t>
      </w:r>
      <w:r w:rsidRPr="003A1579">
        <w:rPr>
          <w:rFonts w:eastAsia="Cambria"/>
          <w:lang w:val="en-CA"/>
        </w:rPr>
        <w:t>women’s exposure to degrading treatment, lack of privacy</w:t>
      </w:r>
      <w:r>
        <w:rPr>
          <w:rFonts w:eastAsia="Cambria"/>
          <w:lang w:val="en-CA"/>
        </w:rPr>
        <w:t>,</w:t>
      </w:r>
      <w:r w:rsidRPr="003A1579">
        <w:rPr>
          <w:rFonts w:eastAsia="Cambria"/>
          <w:lang w:val="en-CA"/>
        </w:rPr>
        <w:t xml:space="preserve"> and even verbal and physical violence.</w:t>
      </w:r>
      <w:r w:rsidR="008A119E" w:rsidRPr="008A119E">
        <w:rPr>
          <w:rStyle w:val="Heading4Char"/>
        </w:rPr>
        <w:t xml:space="preserve"> </w:t>
      </w:r>
      <w:r w:rsidR="008A119E" w:rsidRPr="005A39EC">
        <w:rPr>
          <w:rStyle w:val="FootnoteReference"/>
        </w:rPr>
        <w:footnoteReference w:id="35"/>
      </w:r>
      <w:r>
        <w:rPr>
          <w:rFonts w:eastAsia="Cambria"/>
          <w:lang w:val="en-CA"/>
        </w:rPr>
        <w:t xml:space="preserve"> Pregnant women are sometimes refused pain relief during labour or anaesthesia during a termination of pregnancy by curettage.</w:t>
      </w:r>
      <w:r w:rsidR="008A119E" w:rsidRPr="008A119E">
        <w:rPr>
          <w:rStyle w:val="Heading4Char"/>
        </w:rPr>
        <w:t xml:space="preserve"> </w:t>
      </w:r>
      <w:r w:rsidR="008A119E" w:rsidRPr="005A39EC">
        <w:rPr>
          <w:rStyle w:val="FootnoteReference"/>
        </w:rPr>
        <w:footnoteReference w:id="36"/>
      </w:r>
      <w:r w:rsidR="008A119E">
        <w:rPr>
          <w:rFonts w:eastAsia="Cambria"/>
          <w:lang w:val="en-CA"/>
        </w:rPr>
        <w:t xml:space="preserve"> </w:t>
      </w:r>
      <w:r>
        <w:rPr>
          <w:rFonts w:eastAsia="Cambria"/>
          <w:lang w:val="en-CA"/>
        </w:rPr>
        <w:t xml:space="preserve"> The use in some countries of custodial or punitive rather than educative measures to prevent injury to the fetus as result of drug or alcohol consumption by addicted pregnant women is another manifestation of gender discrimination.</w:t>
      </w:r>
      <w:r w:rsidR="00B628F0">
        <w:rPr>
          <w:rStyle w:val="FootnoteReference"/>
          <w:rFonts w:eastAsia="Cambria"/>
          <w:lang w:val="en-CA"/>
        </w:rPr>
        <w:footnoteReference w:id="37"/>
      </w:r>
    </w:p>
    <w:p w:rsidR="00CA109F" w:rsidRPr="003A1579" w:rsidRDefault="00CA109F" w:rsidP="00CA109F">
      <w:pPr>
        <w:pStyle w:val="SingleTxtG"/>
        <w:rPr>
          <w:rFonts w:eastAsia="Cambria"/>
          <w:lang w:val="en-CA"/>
        </w:rPr>
      </w:pPr>
      <w:r>
        <w:rPr>
          <w:rFonts w:eastAsia="Cambria"/>
          <w:lang w:val="en-CA"/>
        </w:rPr>
        <w:t>40</w:t>
      </w:r>
      <w:r w:rsidRPr="003A1579">
        <w:rPr>
          <w:rFonts w:eastAsia="Cambria"/>
          <w:lang w:val="en-CA"/>
        </w:rPr>
        <w:t>.</w:t>
      </w:r>
      <w:r w:rsidRPr="003A1579">
        <w:rPr>
          <w:rFonts w:eastAsia="Cambria"/>
          <w:lang w:val="en-CA"/>
        </w:rPr>
        <w:tab/>
        <w:t xml:space="preserve">Women have a longer life expectancy and are particularly exposed to neglect and abuse in older age, including in </w:t>
      </w:r>
      <w:r>
        <w:rPr>
          <w:rFonts w:eastAsia="Cambria"/>
          <w:lang w:val="en-CA"/>
        </w:rPr>
        <w:t>health-care</w:t>
      </w:r>
      <w:r w:rsidRPr="003A1579">
        <w:rPr>
          <w:rFonts w:eastAsia="Cambria"/>
          <w:lang w:val="en-CA"/>
        </w:rPr>
        <w:t xml:space="preserve"> settings</w:t>
      </w:r>
      <w:r>
        <w:rPr>
          <w:rFonts w:eastAsia="Cambria"/>
          <w:lang w:val="en-CA"/>
        </w:rPr>
        <w:t>,</w:t>
      </w:r>
      <w:r w:rsidRPr="003A1579">
        <w:rPr>
          <w:rFonts w:eastAsia="Cambria"/>
          <w:lang w:val="en-CA"/>
        </w:rPr>
        <w:t xml:space="preserve"> and </w:t>
      </w:r>
      <w:r>
        <w:rPr>
          <w:rFonts w:eastAsia="Cambria"/>
          <w:lang w:val="en-CA"/>
        </w:rPr>
        <w:t xml:space="preserve">higher </w:t>
      </w:r>
      <w:r w:rsidRPr="003A1579">
        <w:rPr>
          <w:rFonts w:eastAsia="Cambria"/>
          <w:lang w:val="en-CA"/>
        </w:rPr>
        <w:t xml:space="preserve">risks of diseases such as </w:t>
      </w:r>
      <w:r w:rsidRPr="00D34457">
        <w:rPr>
          <w:rFonts w:eastAsia="Cambria"/>
          <w:lang w:val="en-CA"/>
        </w:rPr>
        <w:t>Alzheimer</w:t>
      </w:r>
      <w:r>
        <w:rPr>
          <w:rFonts w:eastAsia="Cambria"/>
          <w:lang w:val="en-CA"/>
        </w:rPr>
        <w:t xml:space="preserve">’s disease </w:t>
      </w:r>
      <w:r w:rsidRPr="003A1579">
        <w:rPr>
          <w:rFonts w:eastAsia="Cambria"/>
          <w:lang w:val="en-CA"/>
        </w:rPr>
        <w:t>and</w:t>
      </w:r>
      <w:r>
        <w:rPr>
          <w:rFonts w:eastAsia="Cambria"/>
          <w:lang w:val="en-CA"/>
        </w:rPr>
        <w:t xml:space="preserve"> other forms of </w:t>
      </w:r>
      <w:r w:rsidRPr="003A1579">
        <w:rPr>
          <w:rFonts w:eastAsia="Cambria"/>
          <w:lang w:val="en-CA"/>
        </w:rPr>
        <w:t>dementia</w:t>
      </w:r>
      <w:r w:rsidRPr="00D34457">
        <w:rPr>
          <w:rFonts w:eastAsia="Cambria"/>
          <w:lang w:val="en-CA"/>
        </w:rPr>
        <w:t>.</w:t>
      </w:r>
      <w:r w:rsidR="00C64C2A">
        <w:rPr>
          <w:rStyle w:val="FootnoteReference"/>
          <w:rFonts w:eastAsia="Cambria"/>
          <w:lang w:val="en-CA"/>
        </w:rPr>
        <w:footnoteReference w:id="38"/>
      </w:r>
      <w:r w:rsidRPr="00D34457">
        <w:rPr>
          <w:rFonts w:eastAsia="Cambria"/>
          <w:lang w:val="en-CA"/>
        </w:rPr>
        <w:t xml:space="preserve"> A gender</w:t>
      </w:r>
      <w:r>
        <w:rPr>
          <w:rFonts w:eastAsia="Cambria"/>
          <w:lang w:val="en-CA"/>
        </w:rPr>
        <w:t>-</w:t>
      </w:r>
      <w:r w:rsidRPr="00D34457">
        <w:rPr>
          <w:rFonts w:eastAsia="Cambria"/>
          <w:lang w:val="en-CA"/>
        </w:rPr>
        <w:t xml:space="preserve"> and age-sensitive approach needs to take into account </w:t>
      </w:r>
      <w:r>
        <w:rPr>
          <w:rFonts w:eastAsia="Cambria"/>
          <w:lang w:val="en-CA"/>
        </w:rPr>
        <w:t xml:space="preserve">the </w:t>
      </w:r>
      <w:r w:rsidRPr="00D34457">
        <w:rPr>
          <w:rFonts w:eastAsia="Cambria"/>
          <w:lang w:val="en-CA"/>
        </w:rPr>
        <w:t>specific needs</w:t>
      </w:r>
      <w:r w:rsidRPr="003A1579">
        <w:rPr>
          <w:rFonts w:eastAsia="Cambria"/>
          <w:lang w:val="en-CA"/>
        </w:rPr>
        <w:t xml:space="preserve"> for care and protection </w:t>
      </w:r>
      <w:r>
        <w:rPr>
          <w:rFonts w:eastAsia="Cambria"/>
          <w:lang w:val="en-CA"/>
        </w:rPr>
        <w:t xml:space="preserve">of </w:t>
      </w:r>
      <w:r w:rsidRPr="00D34457">
        <w:rPr>
          <w:rFonts w:eastAsia="Cambria"/>
          <w:lang w:val="en-CA"/>
        </w:rPr>
        <w:t>older women</w:t>
      </w:r>
      <w:r>
        <w:rPr>
          <w:rFonts w:eastAsia="Cambria"/>
          <w:lang w:val="en-CA"/>
        </w:rPr>
        <w:t>,</w:t>
      </w:r>
      <w:r w:rsidRPr="00D34457">
        <w:rPr>
          <w:rFonts w:eastAsia="Cambria"/>
          <w:lang w:val="en-CA"/>
        </w:rPr>
        <w:t xml:space="preserve"> </w:t>
      </w:r>
      <w:r w:rsidRPr="003A1579">
        <w:rPr>
          <w:rFonts w:eastAsia="Cambria"/>
          <w:lang w:val="en-CA"/>
        </w:rPr>
        <w:t xml:space="preserve">including those widowed, living alone or displaced, those with dementia or other disability, </w:t>
      </w:r>
      <w:r w:rsidRPr="003A1579">
        <w:rPr>
          <w:rFonts w:eastAsia="Cambria"/>
          <w:lang w:val="en-CA"/>
        </w:rPr>
        <w:lastRenderedPageBreak/>
        <w:t>those in need of palliative and geriatric care and those in emergency situations</w:t>
      </w:r>
      <w:r>
        <w:rPr>
          <w:rFonts w:eastAsia="Cambria"/>
          <w:lang w:val="en-CA"/>
        </w:rPr>
        <w:t>;</w:t>
      </w:r>
      <w:r w:rsidRPr="003A1579">
        <w:rPr>
          <w:rFonts w:eastAsia="Cambria"/>
          <w:lang w:val="en-CA"/>
        </w:rPr>
        <w:t xml:space="preserve"> </w:t>
      </w:r>
      <w:r>
        <w:rPr>
          <w:rFonts w:eastAsia="Cambria"/>
          <w:lang w:val="en-CA"/>
        </w:rPr>
        <w:t>these women</w:t>
      </w:r>
      <w:r w:rsidRPr="003A1579">
        <w:rPr>
          <w:rFonts w:eastAsia="Cambria"/>
          <w:lang w:val="en-CA"/>
        </w:rPr>
        <w:t xml:space="preserve"> are most at risk of multiple forms of discrimination, violence and poverty.</w:t>
      </w:r>
      <w:r w:rsidR="00C64C2A">
        <w:rPr>
          <w:rStyle w:val="FootnoteReference"/>
          <w:rFonts w:eastAsia="Cambria"/>
          <w:lang w:val="en-CA"/>
        </w:rPr>
        <w:footnoteReference w:id="39"/>
      </w:r>
    </w:p>
    <w:p w:rsidR="00CA109F" w:rsidRDefault="00CA109F" w:rsidP="00CA109F">
      <w:pPr>
        <w:pStyle w:val="SingleTxtG"/>
      </w:pPr>
      <w:r>
        <w:rPr>
          <w:rFonts w:eastAsia="Cambria"/>
          <w:lang w:val="en-CA"/>
        </w:rPr>
        <w:t>41</w:t>
      </w:r>
      <w:r w:rsidRPr="003A1579">
        <w:rPr>
          <w:rFonts w:eastAsia="Cambria"/>
          <w:lang w:val="en-CA"/>
        </w:rPr>
        <w:t>.</w:t>
      </w:r>
      <w:r w:rsidRPr="003A1579">
        <w:rPr>
          <w:rFonts w:eastAsia="Cambria"/>
          <w:lang w:val="en-CA"/>
        </w:rPr>
        <w:tab/>
        <w:t xml:space="preserve">In addition, </w:t>
      </w:r>
      <w:r>
        <w:rPr>
          <w:rFonts w:eastAsia="Cambria"/>
          <w:lang w:val="en-CA"/>
        </w:rPr>
        <w:t xml:space="preserve">problems associated with </w:t>
      </w:r>
      <w:r w:rsidRPr="003A1579">
        <w:rPr>
          <w:rFonts w:eastAsia="Cambria"/>
          <w:lang w:val="en-CA"/>
        </w:rPr>
        <w:t>ageing affect</w:t>
      </w:r>
      <w:r>
        <w:rPr>
          <w:rFonts w:eastAsia="Cambria"/>
          <w:lang w:val="en-CA"/>
        </w:rPr>
        <w:t xml:space="preserve"> </w:t>
      </w:r>
      <w:r w:rsidRPr="003A1579">
        <w:rPr>
          <w:rFonts w:eastAsia="Cambria"/>
          <w:lang w:val="en-CA"/>
        </w:rPr>
        <w:t xml:space="preserve">women disproportionally as a result of the cumulative </w:t>
      </w:r>
      <w:r>
        <w:rPr>
          <w:rFonts w:eastAsia="Cambria"/>
          <w:lang w:val="en-CA"/>
        </w:rPr>
        <w:t>effect</w:t>
      </w:r>
      <w:r w:rsidRPr="003A1579">
        <w:rPr>
          <w:rFonts w:eastAsia="Cambria"/>
          <w:lang w:val="en-CA"/>
        </w:rPr>
        <w:t xml:space="preserve"> </w:t>
      </w:r>
      <w:r>
        <w:rPr>
          <w:rFonts w:eastAsia="Cambria"/>
          <w:lang w:val="en-CA"/>
        </w:rPr>
        <w:t>of</w:t>
      </w:r>
      <w:r w:rsidRPr="003A1579">
        <w:rPr>
          <w:rFonts w:eastAsia="Cambria"/>
          <w:lang w:val="en-CA"/>
        </w:rPr>
        <w:t xml:space="preserve"> discriminatory practices women face over the course of their </w:t>
      </w:r>
      <w:r>
        <w:rPr>
          <w:rFonts w:eastAsia="Cambria"/>
          <w:lang w:val="en-CA"/>
        </w:rPr>
        <w:t>lives</w:t>
      </w:r>
      <w:r w:rsidRPr="003A1579">
        <w:rPr>
          <w:rFonts w:eastAsia="Cambria"/>
          <w:lang w:val="en-CA"/>
        </w:rPr>
        <w:t xml:space="preserve">, as the </w:t>
      </w:r>
      <w:r>
        <w:rPr>
          <w:rFonts w:eastAsia="Cambria"/>
          <w:lang w:val="en-CA"/>
        </w:rPr>
        <w:t xml:space="preserve">Working </w:t>
      </w:r>
      <w:r w:rsidRPr="003A1579">
        <w:rPr>
          <w:rFonts w:eastAsia="Cambria"/>
          <w:lang w:val="en-CA"/>
        </w:rPr>
        <w:t xml:space="preserve">Group </w:t>
      </w:r>
      <w:r>
        <w:rPr>
          <w:rFonts w:eastAsia="Cambria"/>
          <w:lang w:val="en-CA"/>
        </w:rPr>
        <w:t>described</w:t>
      </w:r>
      <w:r w:rsidRPr="003A1579">
        <w:rPr>
          <w:rFonts w:eastAsia="Cambria"/>
          <w:lang w:val="en-CA"/>
        </w:rPr>
        <w:t xml:space="preserve"> in its report on </w:t>
      </w:r>
      <w:r>
        <w:rPr>
          <w:rFonts w:eastAsia="Cambria"/>
          <w:lang w:val="en-CA"/>
        </w:rPr>
        <w:t xml:space="preserve">discrimination against women in </w:t>
      </w:r>
      <w:r w:rsidRPr="003A1579">
        <w:rPr>
          <w:rFonts w:eastAsia="Cambria"/>
          <w:lang w:val="en-CA"/>
        </w:rPr>
        <w:t xml:space="preserve">economic and social life </w:t>
      </w:r>
      <w:r>
        <w:rPr>
          <w:rFonts w:eastAsia="Cambria"/>
          <w:lang w:val="en-CA"/>
        </w:rPr>
        <w:t>(A/HRC/26/39)</w:t>
      </w:r>
      <w:r w:rsidRPr="003A1579">
        <w:rPr>
          <w:rFonts w:eastAsia="Cambria"/>
          <w:lang w:val="en-CA"/>
        </w:rPr>
        <w:t xml:space="preserve">. </w:t>
      </w:r>
      <w:r>
        <w:rPr>
          <w:rFonts w:eastAsia="Cambria"/>
          <w:lang w:val="en-CA"/>
        </w:rPr>
        <w:t>Women</w:t>
      </w:r>
      <w:r w:rsidRPr="003A1579">
        <w:rPr>
          <w:rFonts w:eastAsia="Cambria"/>
          <w:lang w:val="en-CA"/>
        </w:rPr>
        <w:t xml:space="preserve"> are more likely to take care of men</w:t>
      </w:r>
      <w:r>
        <w:rPr>
          <w:rFonts w:eastAsia="Cambria"/>
          <w:lang w:val="en-CA"/>
        </w:rPr>
        <w:t xml:space="preserve"> and to be</w:t>
      </w:r>
      <w:r w:rsidRPr="003A1579">
        <w:rPr>
          <w:rFonts w:eastAsia="Cambria"/>
          <w:lang w:val="en-CA"/>
        </w:rPr>
        <w:t xml:space="preserve"> left without spousal support. At the same time</w:t>
      </w:r>
      <w:r>
        <w:rPr>
          <w:rFonts w:eastAsia="Cambria"/>
          <w:lang w:val="en-CA"/>
        </w:rPr>
        <w:t>,</w:t>
      </w:r>
      <w:r w:rsidRPr="003A1579">
        <w:rPr>
          <w:rFonts w:eastAsia="Cambria"/>
          <w:lang w:val="en-CA"/>
        </w:rPr>
        <w:t xml:space="preserve"> they are more likely to </w:t>
      </w:r>
      <w:r>
        <w:rPr>
          <w:rFonts w:eastAsia="Cambria"/>
          <w:lang w:val="en-CA"/>
        </w:rPr>
        <w:t xml:space="preserve">suffer economic disadvantages, exacerbated by discriminatory pension systems that fail to produce equal outcomes for women, and to </w:t>
      </w:r>
      <w:r w:rsidRPr="003A1579">
        <w:rPr>
          <w:rFonts w:eastAsia="Cambria"/>
          <w:lang w:val="en-CA"/>
        </w:rPr>
        <w:t>be excluded from social security and health insurance schemes</w:t>
      </w:r>
      <w:r>
        <w:rPr>
          <w:rFonts w:eastAsia="Cambria"/>
          <w:lang w:val="en-CA"/>
        </w:rPr>
        <w:t>.</w:t>
      </w:r>
      <w:r w:rsidR="008A119E" w:rsidRPr="008A119E">
        <w:rPr>
          <w:vertAlign w:val="superscript"/>
        </w:rPr>
        <w:t xml:space="preserve"> </w:t>
      </w:r>
      <w:r w:rsidR="008A119E" w:rsidRPr="00AC26F3">
        <w:rPr>
          <w:vertAlign w:val="superscript"/>
        </w:rPr>
        <w:footnoteReference w:id="40"/>
      </w:r>
      <w:r>
        <w:rPr>
          <w:rFonts w:eastAsia="Cambria"/>
          <w:lang w:val="en-CA"/>
        </w:rPr>
        <w:t xml:space="preserve"> They are thus</w:t>
      </w:r>
      <w:r w:rsidRPr="003A1579">
        <w:rPr>
          <w:rFonts w:eastAsia="Cambria"/>
          <w:lang w:val="en-CA"/>
        </w:rPr>
        <w:t xml:space="preserve"> at greater risk </w:t>
      </w:r>
      <w:r>
        <w:rPr>
          <w:rFonts w:eastAsia="Cambria"/>
          <w:lang w:val="en-CA"/>
        </w:rPr>
        <w:t>of living</w:t>
      </w:r>
      <w:r w:rsidRPr="003A1579">
        <w:rPr>
          <w:rFonts w:eastAsia="Cambria"/>
          <w:lang w:val="en-CA"/>
        </w:rPr>
        <w:t xml:space="preserve"> in poverty. The mere recognition of equal rights for all, without distinction, is thus insufficient to ensur</w:t>
      </w:r>
      <w:r>
        <w:rPr>
          <w:rFonts w:eastAsia="Cambria"/>
          <w:lang w:val="en-CA"/>
        </w:rPr>
        <w:t>e</w:t>
      </w:r>
      <w:r w:rsidRPr="003A1579">
        <w:rPr>
          <w:rFonts w:eastAsia="Cambria"/>
          <w:lang w:val="en-CA"/>
        </w:rPr>
        <w:t xml:space="preserve"> in practice the enjoyment by older women of all human rights, including the right to health. </w:t>
      </w:r>
    </w:p>
    <w:p w:rsidR="00CA109F" w:rsidRPr="003B22CF" w:rsidRDefault="00CA109F" w:rsidP="00CA109F">
      <w:pPr>
        <w:pStyle w:val="H23G"/>
        <w:rPr>
          <w:rFonts w:eastAsia="Cambria"/>
          <w:lang w:val="en-CA"/>
        </w:rPr>
      </w:pPr>
      <w:r>
        <w:rPr>
          <w:rFonts w:eastAsia="Cambria"/>
          <w:lang w:val="en-CA"/>
        </w:rPr>
        <w:tab/>
      </w:r>
      <w:r w:rsidRPr="003B22CF">
        <w:rPr>
          <w:rFonts w:eastAsia="Cambria"/>
          <w:lang w:val="en-CA"/>
        </w:rPr>
        <w:t>2.</w:t>
      </w:r>
      <w:r w:rsidRPr="003B22CF">
        <w:rPr>
          <w:rFonts w:eastAsia="Cambria"/>
          <w:lang w:val="en-CA"/>
        </w:rPr>
        <w:tab/>
        <w:t xml:space="preserve">Women facing multiple and intersecting forms of discrimination </w:t>
      </w:r>
    </w:p>
    <w:p w:rsidR="00CA109F" w:rsidRPr="003A1579" w:rsidRDefault="00CA109F" w:rsidP="00CA109F">
      <w:pPr>
        <w:pStyle w:val="SingleTxtG"/>
        <w:rPr>
          <w:rFonts w:eastAsia="Cambria"/>
          <w:lang w:val="en-CA"/>
        </w:rPr>
      </w:pPr>
      <w:r>
        <w:rPr>
          <w:rFonts w:eastAsia="Cambria"/>
          <w:lang w:val="en-CA"/>
        </w:rPr>
        <w:t>42</w:t>
      </w:r>
      <w:r w:rsidRPr="003A1579">
        <w:rPr>
          <w:rFonts w:eastAsia="Cambria"/>
          <w:lang w:val="en-CA"/>
        </w:rPr>
        <w:t>.</w:t>
      </w:r>
      <w:r w:rsidRPr="003A1579">
        <w:rPr>
          <w:rFonts w:eastAsia="Cambria"/>
          <w:lang w:val="en-CA"/>
        </w:rPr>
        <w:tab/>
        <w:t>Recognizing and addressing the nature and consequences of multiple and intersectional discrimination against women in national laws and practices is essential for protecting women’s health and safety. Factors such as socioeconomic, minority</w:t>
      </w:r>
      <w:r>
        <w:rPr>
          <w:rFonts w:eastAsia="Cambria"/>
          <w:lang w:val="en-CA"/>
        </w:rPr>
        <w:t xml:space="preserve"> and</w:t>
      </w:r>
      <w:r w:rsidRPr="003A1579">
        <w:rPr>
          <w:rFonts w:eastAsia="Cambria"/>
          <w:lang w:val="en-CA"/>
        </w:rPr>
        <w:t xml:space="preserve"> ethnic status, religion, race, sexual orientation, gender identity and expression, disability and bodily diversity exacerbate the discrimination </w:t>
      </w:r>
      <w:r>
        <w:rPr>
          <w:rFonts w:eastAsia="Cambria"/>
          <w:lang w:val="en-CA"/>
        </w:rPr>
        <w:t xml:space="preserve">that </w:t>
      </w:r>
      <w:r w:rsidRPr="003A1579">
        <w:rPr>
          <w:rFonts w:eastAsia="Cambria"/>
          <w:lang w:val="en-CA"/>
        </w:rPr>
        <w:t xml:space="preserve">women face and infringe </w:t>
      </w:r>
      <w:r>
        <w:rPr>
          <w:rFonts w:eastAsia="Cambria"/>
          <w:lang w:val="en-CA"/>
        </w:rPr>
        <w:t xml:space="preserve">upon </w:t>
      </w:r>
      <w:r w:rsidRPr="003A1579">
        <w:rPr>
          <w:rFonts w:eastAsia="Cambria"/>
          <w:lang w:val="en-CA"/>
        </w:rPr>
        <w:t>their ability to protect their health and safety.</w:t>
      </w:r>
      <w:r w:rsidR="008A119E" w:rsidRPr="008A119E">
        <w:rPr>
          <w:rStyle w:val="Heading4Char"/>
          <w:color w:val="1A1A19"/>
        </w:rPr>
        <w:t xml:space="preserve"> </w:t>
      </w:r>
      <w:r w:rsidR="008A119E" w:rsidRPr="00AC26F3">
        <w:rPr>
          <w:rStyle w:val="FootnoteReference"/>
          <w:color w:val="1A1A19"/>
        </w:rPr>
        <w:footnoteReference w:id="41"/>
      </w:r>
    </w:p>
    <w:p w:rsidR="00CA109F" w:rsidRPr="003B22CF" w:rsidRDefault="00CA109F" w:rsidP="00CA109F">
      <w:pPr>
        <w:pStyle w:val="H4G"/>
        <w:rPr>
          <w:rFonts w:eastAsia="Cambria"/>
          <w:lang w:val="en-CA"/>
        </w:rPr>
      </w:pPr>
      <w:r>
        <w:rPr>
          <w:rFonts w:eastAsia="Cambria"/>
          <w:lang w:val="en-CA"/>
        </w:rPr>
        <w:tab/>
      </w:r>
      <w:r>
        <w:rPr>
          <w:rFonts w:eastAsia="Cambria"/>
          <w:lang w:val="en-CA"/>
        </w:rPr>
        <w:tab/>
      </w:r>
      <w:r w:rsidRPr="003B22CF">
        <w:rPr>
          <w:rFonts w:eastAsia="Cambria"/>
          <w:lang w:val="en-CA"/>
        </w:rPr>
        <w:t>Women and poverty</w:t>
      </w:r>
    </w:p>
    <w:p w:rsidR="00CA109F" w:rsidRPr="003A1579" w:rsidRDefault="00CA109F" w:rsidP="00CA109F">
      <w:pPr>
        <w:pStyle w:val="SingleTxtG"/>
        <w:rPr>
          <w:rFonts w:eastAsia="Cambria"/>
          <w:lang w:val="en-CA"/>
        </w:rPr>
      </w:pPr>
      <w:r>
        <w:rPr>
          <w:rFonts w:eastAsia="Cambria"/>
          <w:lang w:val="en-CA"/>
        </w:rPr>
        <w:t>43</w:t>
      </w:r>
      <w:r w:rsidRPr="003A1579">
        <w:rPr>
          <w:rFonts w:eastAsia="Cambria"/>
          <w:lang w:val="en-CA"/>
        </w:rPr>
        <w:t>.</w:t>
      </w:r>
      <w:r w:rsidRPr="003A1579">
        <w:rPr>
          <w:rFonts w:eastAsia="Cambria"/>
          <w:lang w:val="en-CA"/>
        </w:rPr>
        <w:tab/>
        <w:t>The</w:t>
      </w:r>
      <w:r>
        <w:rPr>
          <w:rFonts w:eastAsia="Cambria"/>
          <w:lang w:val="en-CA"/>
        </w:rPr>
        <w:t xml:space="preserve"> Working </w:t>
      </w:r>
      <w:r w:rsidRPr="003A1579">
        <w:rPr>
          <w:rFonts w:eastAsia="Cambria"/>
          <w:lang w:val="en-CA"/>
        </w:rPr>
        <w:t xml:space="preserve">Group is particularly concerned about the discrimination experienced by women </w:t>
      </w:r>
      <w:r>
        <w:rPr>
          <w:rFonts w:eastAsia="Cambria"/>
          <w:lang w:val="en-CA"/>
        </w:rPr>
        <w:t>because of</w:t>
      </w:r>
      <w:r w:rsidRPr="003A1579">
        <w:rPr>
          <w:rFonts w:eastAsia="Cambria"/>
          <w:lang w:val="en-CA"/>
        </w:rPr>
        <w:t xml:space="preserve"> their economic status. It has witnessed first-h</w:t>
      </w:r>
      <w:r>
        <w:rPr>
          <w:rFonts w:eastAsia="Cambria"/>
          <w:lang w:val="en-CA"/>
        </w:rPr>
        <w:t xml:space="preserve">and during its country visits that </w:t>
      </w:r>
      <w:r w:rsidRPr="003A1579">
        <w:rPr>
          <w:rFonts w:eastAsia="Cambria"/>
          <w:lang w:val="en-CA"/>
        </w:rPr>
        <w:t xml:space="preserve">women </w:t>
      </w:r>
      <w:r>
        <w:rPr>
          <w:rFonts w:eastAsia="Cambria"/>
          <w:lang w:val="en-CA"/>
        </w:rPr>
        <w:t xml:space="preserve">living in poverty </w:t>
      </w:r>
      <w:r w:rsidRPr="003A1579">
        <w:rPr>
          <w:rFonts w:eastAsia="Cambria"/>
          <w:lang w:val="en-CA"/>
        </w:rPr>
        <w:t xml:space="preserve">are disparately affected </w:t>
      </w:r>
      <w:r>
        <w:rPr>
          <w:rFonts w:eastAsia="Cambria"/>
          <w:lang w:val="en-CA"/>
        </w:rPr>
        <w:t>in</w:t>
      </w:r>
      <w:r w:rsidRPr="003A1579">
        <w:rPr>
          <w:rFonts w:eastAsia="Cambria"/>
          <w:lang w:val="en-CA"/>
        </w:rPr>
        <w:t xml:space="preserve"> their access to health services</w:t>
      </w:r>
      <w:r>
        <w:rPr>
          <w:rFonts w:eastAsia="Cambria"/>
          <w:lang w:val="en-CA"/>
        </w:rPr>
        <w:t>,</w:t>
      </w:r>
      <w:r w:rsidRPr="003A1579">
        <w:rPr>
          <w:rFonts w:eastAsia="Cambria"/>
          <w:lang w:val="en-CA"/>
        </w:rPr>
        <w:t xml:space="preserve"> particularly reproductive and sexual health and preventive </w:t>
      </w:r>
      <w:r>
        <w:rPr>
          <w:rFonts w:eastAsia="Cambria"/>
          <w:lang w:val="en-CA"/>
        </w:rPr>
        <w:t>health care</w:t>
      </w:r>
      <w:r w:rsidRPr="003A1579">
        <w:rPr>
          <w:rFonts w:eastAsia="Cambria"/>
          <w:lang w:val="en-CA"/>
        </w:rPr>
        <w:t>.</w:t>
      </w:r>
      <w:r w:rsidR="008A119E" w:rsidRPr="008A119E">
        <w:rPr>
          <w:rStyle w:val="Heading4Char"/>
          <w:color w:val="000007"/>
          <w:szCs w:val="24"/>
          <w:lang w:val="en-US"/>
        </w:rPr>
        <w:t xml:space="preserve"> </w:t>
      </w:r>
      <w:r w:rsidR="008A119E" w:rsidRPr="00AC26F3">
        <w:rPr>
          <w:rStyle w:val="FootnoteReference"/>
          <w:color w:val="000007"/>
          <w:szCs w:val="24"/>
          <w:lang w:val="en-US"/>
        </w:rPr>
        <w:footnoteReference w:id="42"/>
      </w:r>
      <w:r w:rsidR="008A119E" w:rsidRPr="00AC26F3">
        <w:rPr>
          <w:rFonts w:eastAsia="Cambria"/>
          <w:sz w:val="16"/>
          <w:lang w:val="en-CA"/>
        </w:rPr>
        <w:t xml:space="preserve"> </w:t>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44</w:t>
      </w:r>
      <w:r w:rsidRPr="003A1579">
        <w:rPr>
          <w:rFonts w:eastAsia="Cambria"/>
          <w:lang w:val="en-CA"/>
        </w:rPr>
        <w:t>.</w:t>
      </w:r>
      <w:r w:rsidRPr="003A1579">
        <w:rPr>
          <w:rFonts w:eastAsia="Cambria"/>
          <w:lang w:val="en-CA"/>
        </w:rPr>
        <w:tab/>
        <w:t>There is growing concern about the feminization of poverty and the disparate impact of global economic crises, austerity measures and climate change on women’s health and safety.</w:t>
      </w:r>
      <w:r w:rsidR="008A119E" w:rsidRPr="008A119E">
        <w:rPr>
          <w:rStyle w:val="Heading4Char"/>
          <w:rFonts w:eastAsia="Cambria"/>
          <w:lang w:val="en-CA"/>
        </w:rPr>
        <w:t xml:space="preserve"> </w:t>
      </w:r>
      <w:r w:rsidR="008A119E">
        <w:rPr>
          <w:rStyle w:val="FootnoteReference"/>
          <w:rFonts w:eastAsia="Cambria"/>
          <w:lang w:val="en-CA"/>
        </w:rPr>
        <w:footnoteReference w:id="43"/>
      </w:r>
      <w:r w:rsidRPr="003A1579">
        <w:rPr>
          <w:rFonts w:eastAsia="Cambria"/>
          <w:lang w:val="en-CA"/>
        </w:rPr>
        <w:t xml:space="preserve"> Gender inequality persists in all regions, and women and girls continue to be overre</w:t>
      </w:r>
      <w:r>
        <w:rPr>
          <w:rFonts w:eastAsia="Cambria"/>
          <w:lang w:val="en-CA"/>
        </w:rPr>
        <w:t>presented among the world’s population living in poverty</w:t>
      </w:r>
      <w:r w:rsidRPr="003A1579">
        <w:rPr>
          <w:rFonts w:eastAsia="Cambria"/>
          <w:lang w:val="en-CA"/>
        </w:rPr>
        <w:t xml:space="preserve">. Women and girls, particularly those living in the global </w:t>
      </w:r>
      <w:proofErr w:type="gramStart"/>
      <w:r>
        <w:rPr>
          <w:rFonts w:eastAsia="Cambria"/>
          <w:lang w:val="en-CA"/>
        </w:rPr>
        <w:t>S</w:t>
      </w:r>
      <w:r w:rsidRPr="003A1579">
        <w:rPr>
          <w:rFonts w:eastAsia="Cambria"/>
          <w:lang w:val="en-CA"/>
        </w:rPr>
        <w:t>outh</w:t>
      </w:r>
      <w:proofErr w:type="gramEnd"/>
      <w:r w:rsidRPr="003A1579">
        <w:rPr>
          <w:rFonts w:eastAsia="Cambria"/>
          <w:lang w:val="en-CA"/>
        </w:rPr>
        <w:t>, are disproportionately burdened by the costs of these rapid changes</w:t>
      </w:r>
      <w:r>
        <w:rPr>
          <w:rFonts w:eastAsia="Cambria"/>
          <w:lang w:val="en-CA"/>
        </w:rPr>
        <w:t>,</w:t>
      </w:r>
      <w:r w:rsidRPr="003A1579">
        <w:rPr>
          <w:rFonts w:eastAsia="Cambria"/>
          <w:lang w:val="en-CA"/>
        </w:rPr>
        <w:t xml:space="preserve"> to the detriment of their personal health and well-being.</w:t>
      </w:r>
      <w:r w:rsidR="00CA1D87">
        <w:rPr>
          <w:rFonts w:eastAsia="Cambria"/>
          <w:lang w:val="en-CA"/>
        </w:rPr>
        <w:t xml:space="preserve"> </w:t>
      </w:r>
      <w:r w:rsidR="008A119E" w:rsidRPr="00AC26F3">
        <w:rPr>
          <w:rStyle w:val="FootnoteReference"/>
          <w:rFonts w:eastAsia="Calibri"/>
          <w:color w:val="000007"/>
        </w:rPr>
        <w:footnoteReference w:id="44"/>
      </w:r>
    </w:p>
    <w:p w:rsidR="00CA109F" w:rsidRPr="003B22CF" w:rsidRDefault="00CA109F" w:rsidP="00CA109F">
      <w:pPr>
        <w:pStyle w:val="H4G"/>
        <w:rPr>
          <w:rFonts w:eastAsia="Cambria"/>
          <w:lang w:val="en-CA"/>
        </w:rPr>
      </w:pPr>
      <w:r>
        <w:rPr>
          <w:rFonts w:eastAsia="Cambria"/>
          <w:lang w:val="en-CA"/>
        </w:rPr>
        <w:tab/>
      </w:r>
      <w:r>
        <w:rPr>
          <w:rFonts w:eastAsia="Cambria"/>
          <w:lang w:val="en-CA"/>
        </w:rPr>
        <w:tab/>
      </w:r>
      <w:r w:rsidRPr="003B22CF">
        <w:rPr>
          <w:rFonts w:eastAsia="Cambria"/>
          <w:lang w:val="en-CA"/>
        </w:rPr>
        <w:t>Women with disabilities</w:t>
      </w:r>
    </w:p>
    <w:p w:rsidR="00CA109F" w:rsidRPr="003A1579" w:rsidRDefault="00CA109F" w:rsidP="00CA109F">
      <w:pPr>
        <w:pStyle w:val="SingleTxtG"/>
        <w:rPr>
          <w:rFonts w:eastAsia="Cambria"/>
          <w:lang w:val="en-CA"/>
        </w:rPr>
      </w:pPr>
      <w:r>
        <w:rPr>
          <w:rFonts w:eastAsia="Cambria"/>
          <w:lang w:val="en-CA"/>
        </w:rPr>
        <w:t>45</w:t>
      </w:r>
      <w:r w:rsidRPr="003A1579">
        <w:rPr>
          <w:rFonts w:eastAsia="Cambria"/>
          <w:lang w:val="en-CA"/>
        </w:rPr>
        <w:t>.</w:t>
      </w:r>
      <w:r w:rsidRPr="003A1579">
        <w:rPr>
          <w:rFonts w:eastAsia="Cambria"/>
          <w:lang w:val="en-CA"/>
        </w:rPr>
        <w:tab/>
        <w:t>Women with disabilities face particular barriers in accessing health</w:t>
      </w:r>
      <w:r>
        <w:rPr>
          <w:rFonts w:eastAsia="Cambria"/>
          <w:lang w:val="en-CA"/>
        </w:rPr>
        <w:t xml:space="preserve"> </w:t>
      </w:r>
      <w:r w:rsidRPr="003A1579">
        <w:rPr>
          <w:rFonts w:eastAsia="Cambria"/>
          <w:lang w:val="en-CA"/>
        </w:rPr>
        <w:t xml:space="preserve">care </w:t>
      </w:r>
      <w:r>
        <w:rPr>
          <w:rFonts w:eastAsia="Cambria"/>
          <w:lang w:val="en-CA"/>
        </w:rPr>
        <w:t xml:space="preserve">for reasons of </w:t>
      </w:r>
      <w:r w:rsidRPr="003A1579">
        <w:rPr>
          <w:rFonts w:eastAsia="Cambria"/>
          <w:lang w:val="en-CA"/>
        </w:rPr>
        <w:t>cost, distance, discriminatory attitudes</w:t>
      </w:r>
      <w:r>
        <w:rPr>
          <w:rFonts w:eastAsia="Cambria"/>
          <w:lang w:val="en-CA"/>
        </w:rPr>
        <w:t>,</w:t>
      </w:r>
      <w:r w:rsidRPr="003A1579">
        <w:rPr>
          <w:rFonts w:eastAsia="Cambria"/>
          <w:lang w:val="en-CA"/>
        </w:rPr>
        <w:t xml:space="preserve"> and lack of physical </w:t>
      </w:r>
      <w:r>
        <w:rPr>
          <w:rFonts w:eastAsia="Cambria"/>
          <w:lang w:val="en-CA"/>
        </w:rPr>
        <w:t xml:space="preserve">access </w:t>
      </w:r>
      <w:r w:rsidRPr="003A1579">
        <w:rPr>
          <w:rFonts w:eastAsia="Cambria"/>
          <w:lang w:val="en-CA"/>
        </w:rPr>
        <w:t>or information</w:t>
      </w:r>
      <w:r>
        <w:rPr>
          <w:rFonts w:eastAsia="Cambria"/>
          <w:lang w:val="en-CA"/>
        </w:rPr>
        <w:t>.</w:t>
      </w:r>
      <w:r w:rsidR="008A119E" w:rsidRPr="008A119E">
        <w:rPr>
          <w:rStyle w:val="Heading4Char"/>
          <w:color w:val="000007"/>
        </w:rPr>
        <w:t xml:space="preserve"> </w:t>
      </w:r>
      <w:r w:rsidR="008A119E" w:rsidRPr="007E05AA">
        <w:rPr>
          <w:rStyle w:val="FootnoteReference"/>
          <w:color w:val="000007"/>
        </w:rPr>
        <w:footnoteReference w:id="45"/>
      </w:r>
      <w:r w:rsidR="008A119E" w:rsidRPr="00A547A0">
        <w:rPr>
          <w:color w:val="000007"/>
          <w:sz w:val="24"/>
          <w:szCs w:val="24"/>
        </w:rPr>
        <w:t xml:space="preserve"> </w:t>
      </w:r>
      <w:r w:rsidRPr="003A1579">
        <w:rPr>
          <w:rFonts w:eastAsia="Cambria"/>
          <w:lang w:val="en-CA"/>
        </w:rPr>
        <w:t xml:space="preserve"> </w:t>
      </w:r>
      <w:r>
        <w:rPr>
          <w:rFonts w:eastAsia="Cambria"/>
          <w:lang w:val="en-CA"/>
        </w:rPr>
        <w:t xml:space="preserve">This </w:t>
      </w:r>
      <w:r w:rsidRPr="003A1579">
        <w:rPr>
          <w:rFonts w:eastAsia="Cambria"/>
          <w:lang w:val="en-CA"/>
        </w:rPr>
        <w:t>seriously limit</w:t>
      </w:r>
      <w:r>
        <w:rPr>
          <w:rFonts w:eastAsia="Cambria"/>
          <w:lang w:val="en-CA"/>
        </w:rPr>
        <w:t>s</w:t>
      </w:r>
      <w:r w:rsidRPr="003A1579">
        <w:rPr>
          <w:rFonts w:eastAsia="Cambria"/>
          <w:lang w:val="en-CA"/>
        </w:rPr>
        <w:t xml:space="preserve"> their access to immuni</w:t>
      </w:r>
      <w:r>
        <w:rPr>
          <w:rFonts w:eastAsia="Cambria"/>
          <w:lang w:val="en-CA"/>
        </w:rPr>
        <w:t>z</w:t>
      </w:r>
      <w:r w:rsidRPr="003A1579">
        <w:rPr>
          <w:rFonts w:eastAsia="Cambria"/>
          <w:lang w:val="en-CA"/>
        </w:rPr>
        <w:t>ation, reproductive health</w:t>
      </w:r>
      <w:r>
        <w:rPr>
          <w:rFonts w:eastAsia="Cambria"/>
          <w:lang w:val="en-CA"/>
        </w:rPr>
        <w:t xml:space="preserve"> </w:t>
      </w:r>
      <w:r w:rsidR="00CA1D87">
        <w:rPr>
          <w:rFonts w:eastAsia="Cambria"/>
          <w:lang w:val="en-CA"/>
        </w:rPr>
        <w:t xml:space="preserve">care and cancer </w:t>
      </w:r>
      <w:r w:rsidR="00CA1D87">
        <w:rPr>
          <w:rFonts w:eastAsia="Cambria"/>
          <w:lang w:val="en-CA"/>
        </w:rPr>
        <w:lastRenderedPageBreak/>
        <w:t>screening.</w:t>
      </w:r>
      <w:r w:rsidRPr="003A1579">
        <w:rPr>
          <w:rFonts w:eastAsia="Cambria"/>
          <w:lang w:val="en-CA"/>
        </w:rPr>
        <w:t xml:space="preserve"> In some settings women with disabilities, particularly intellectual disabilities,</w:t>
      </w:r>
      <w:r>
        <w:rPr>
          <w:rFonts w:eastAsia="Cambria"/>
          <w:lang w:val="en-CA"/>
        </w:rPr>
        <w:t xml:space="preserve"> </w:t>
      </w:r>
      <w:r w:rsidRPr="003A1579">
        <w:rPr>
          <w:rFonts w:eastAsia="Cambria"/>
          <w:lang w:val="en-CA"/>
        </w:rPr>
        <w:t xml:space="preserve">are subjected to forced sterilization or </w:t>
      </w:r>
      <w:r>
        <w:rPr>
          <w:rFonts w:eastAsia="Cambria"/>
          <w:lang w:val="en-CA"/>
        </w:rPr>
        <w:t>termination of pregnancy</w:t>
      </w:r>
      <w:r w:rsidRPr="003A1579">
        <w:rPr>
          <w:rFonts w:eastAsia="Cambria"/>
          <w:lang w:val="en-CA"/>
        </w:rPr>
        <w:t xml:space="preserve"> or to long-term contraception, with </w:t>
      </w:r>
      <w:r>
        <w:rPr>
          <w:rFonts w:eastAsia="Cambria"/>
          <w:lang w:val="en-CA"/>
        </w:rPr>
        <w:t>relatives or doctors</w:t>
      </w:r>
      <w:r w:rsidRPr="003A1579">
        <w:rPr>
          <w:rFonts w:eastAsia="Cambria"/>
          <w:lang w:val="en-CA"/>
        </w:rPr>
        <w:t xml:space="preserve"> taking decisions on their behalf</w:t>
      </w:r>
      <w:r w:rsidRPr="00FE32CC">
        <w:t xml:space="preserve"> </w:t>
      </w:r>
      <w:r w:rsidRPr="00FE32CC">
        <w:rPr>
          <w:rFonts w:eastAsia="Cambria"/>
          <w:lang w:val="en-CA"/>
        </w:rPr>
        <w:t>without their informed consen</w:t>
      </w:r>
      <w:r>
        <w:rPr>
          <w:rFonts w:eastAsia="Cambria"/>
          <w:lang w:val="en-CA"/>
        </w:rPr>
        <w:t>t</w:t>
      </w:r>
      <w:r w:rsidR="008A119E" w:rsidRPr="007E05AA">
        <w:rPr>
          <w:rStyle w:val="FootnoteReference"/>
          <w:color w:val="000007"/>
        </w:rPr>
        <w:footnoteReference w:id="46"/>
      </w:r>
      <w:r w:rsidRPr="003A1579">
        <w:rPr>
          <w:rFonts w:eastAsia="Cambria"/>
          <w:lang w:val="en-CA"/>
        </w:rPr>
        <w:t xml:space="preserve">, </w:t>
      </w:r>
      <w:r>
        <w:rPr>
          <w:rFonts w:eastAsia="Cambria"/>
          <w:lang w:val="en-CA"/>
        </w:rPr>
        <w:t>in violation of</w:t>
      </w:r>
      <w:r w:rsidRPr="003A1579">
        <w:rPr>
          <w:rFonts w:eastAsia="Cambria"/>
          <w:lang w:val="en-CA"/>
        </w:rPr>
        <w:t xml:space="preserve"> their ri</w:t>
      </w:r>
      <w:r>
        <w:rPr>
          <w:rFonts w:eastAsia="Cambria"/>
          <w:lang w:val="en-CA"/>
        </w:rPr>
        <w:t xml:space="preserve">ght to exercise legal capacity </w:t>
      </w:r>
      <w:r w:rsidRPr="003A1579">
        <w:rPr>
          <w:rFonts w:eastAsia="Cambria"/>
          <w:lang w:val="en-CA"/>
        </w:rPr>
        <w:t xml:space="preserve">guaranteed under </w:t>
      </w:r>
      <w:r>
        <w:rPr>
          <w:rFonts w:eastAsia="Cambria"/>
          <w:lang w:val="en-CA"/>
        </w:rPr>
        <w:t>the Convention on the Rights of Persons with Disabilities</w:t>
      </w:r>
      <w:r w:rsidR="00CA1D87">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46</w:t>
      </w:r>
      <w:r w:rsidRPr="003A1579">
        <w:rPr>
          <w:rFonts w:eastAsia="Cambria"/>
          <w:lang w:val="en-CA"/>
        </w:rPr>
        <w:t>.</w:t>
      </w:r>
      <w:r>
        <w:rPr>
          <w:rFonts w:eastAsia="Cambria"/>
          <w:lang w:val="en-CA"/>
        </w:rPr>
        <w:tab/>
      </w:r>
      <w:r w:rsidRPr="003A1579">
        <w:rPr>
          <w:rFonts w:eastAsia="Cambria"/>
          <w:lang w:val="en-CA"/>
        </w:rPr>
        <w:t>Women with disabilities are disproportionately subject to intimate</w:t>
      </w:r>
      <w:r>
        <w:rPr>
          <w:rFonts w:eastAsia="Cambria"/>
          <w:lang w:val="en-CA"/>
        </w:rPr>
        <w:t>-</w:t>
      </w:r>
      <w:r w:rsidRPr="003A1579">
        <w:rPr>
          <w:rFonts w:eastAsia="Cambria"/>
          <w:lang w:val="en-CA"/>
        </w:rPr>
        <w:t xml:space="preserve">partner violence, </w:t>
      </w:r>
      <w:r>
        <w:rPr>
          <w:rFonts w:eastAsia="Cambria"/>
          <w:lang w:val="en-CA"/>
        </w:rPr>
        <w:t>owing</w:t>
      </w:r>
      <w:r w:rsidRPr="003A1579">
        <w:rPr>
          <w:rFonts w:eastAsia="Cambria"/>
          <w:lang w:val="en-CA"/>
        </w:rPr>
        <w:t xml:space="preserve"> to the mutually reinforcing dynamics of gender and disability. </w:t>
      </w:r>
      <w:r w:rsidR="00B628F0">
        <w:rPr>
          <w:rStyle w:val="FootnoteReference"/>
          <w:rFonts w:eastAsia="Cambria"/>
          <w:lang w:val="en-CA"/>
        </w:rPr>
        <w:footnoteReference w:id="47"/>
      </w:r>
    </w:p>
    <w:p w:rsidR="00CA109F" w:rsidRPr="003A1579" w:rsidRDefault="00CA109F" w:rsidP="00CA109F">
      <w:pPr>
        <w:pStyle w:val="SingleTxtG"/>
        <w:rPr>
          <w:rFonts w:eastAsia="Cambria"/>
          <w:lang w:val="en-CA"/>
        </w:rPr>
      </w:pPr>
      <w:r w:rsidRPr="003A1579">
        <w:rPr>
          <w:rFonts w:eastAsia="Cambria"/>
          <w:lang w:val="en-CA"/>
        </w:rPr>
        <w:t>4</w:t>
      </w:r>
      <w:r>
        <w:rPr>
          <w:rFonts w:eastAsia="Cambria"/>
          <w:lang w:val="en-CA"/>
        </w:rPr>
        <w:t>7.</w:t>
      </w:r>
      <w:r>
        <w:rPr>
          <w:rFonts w:eastAsia="Cambria"/>
          <w:lang w:val="en-CA"/>
        </w:rPr>
        <w:tab/>
      </w:r>
      <w:r w:rsidRPr="003A1579">
        <w:rPr>
          <w:rFonts w:eastAsia="Cambria"/>
          <w:lang w:val="en-CA"/>
        </w:rPr>
        <w:t>The Special Rapporteur on the rights of persons with disabilit</w:t>
      </w:r>
      <w:r>
        <w:rPr>
          <w:rFonts w:eastAsia="Cambria"/>
          <w:lang w:val="en-CA"/>
        </w:rPr>
        <w:t>ies</w:t>
      </w:r>
      <w:r w:rsidRPr="003A1579">
        <w:rPr>
          <w:rFonts w:eastAsia="Cambria"/>
          <w:lang w:val="en-CA"/>
        </w:rPr>
        <w:t xml:space="preserve"> has called on States to guarantee women with disabilities safe participation in matters affecting their lives, especially in relation to sexual and reproductive rights</w:t>
      </w:r>
      <w:r>
        <w:rPr>
          <w:rFonts w:eastAsia="Cambria"/>
          <w:lang w:val="en-CA"/>
        </w:rPr>
        <w:t xml:space="preserve"> and</w:t>
      </w:r>
      <w:r w:rsidRPr="003A1579">
        <w:rPr>
          <w:rFonts w:eastAsia="Cambria"/>
          <w:lang w:val="en-CA"/>
        </w:rPr>
        <w:t xml:space="preserve"> gender-based violence</w:t>
      </w:r>
      <w:r>
        <w:rPr>
          <w:rFonts w:eastAsia="Cambria"/>
          <w:lang w:val="en-CA"/>
        </w:rPr>
        <w:t>,</w:t>
      </w:r>
      <w:r w:rsidRPr="003A1579">
        <w:rPr>
          <w:rFonts w:eastAsia="Cambria"/>
          <w:lang w:val="en-CA"/>
        </w:rPr>
        <w:t xml:space="preserve"> </w:t>
      </w:r>
      <w:r>
        <w:rPr>
          <w:rFonts w:eastAsia="Cambria"/>
          <w:lang w:val="en-CA"/>
        </w:rPr>
        <w:t>including</w:t>
      </w:r>
      <w:r w:rsidRPr="003A1579">
        <w:rPr>
          <w:rFonts w:eastAsia="Cambria"/>
          <w:lang w:val="en-CA"/>
        </w:rPr>
        <w:t xml:space="preserve"> sexual violence</w:t>
      </w:r>
      <w:r w:rsidR="008A119E" w:rsidRPr="007E05AA">
        <w:rPr>
          <w:rStyle w:val="FootnoteReference"/>
          <w:color w:val="000007"/>
        </w:rPr>
        <w:footnoteReference w:id="48"/>
      </w:r>
      <w:r w:rsidRPr="003A1579">
        <w:rPr>
          <w:rFonts w:eastAsia="Cambria"/>
          <w:lang w:val="en-CA"/>
        </w:rPr>
        <w:t xml:space="preserve">, </w:t>
      </w:r>
      <w:r>
        <w:rPr>
          <w:rFonts w:eastAsia="Cambria"/>
          <w:lang w:val="en-CA"/>
        </w:rPr>
        <w:t>matters</w:t>
      </w:r>
      <w:r w:rsidRPr="003A1579">
        <w:rPr>
          <w:rFonts w:eastAsia="Cambria"/>
          <w:lang w:val="en-CA"/>
        </w:rPr>
        <w:t xml:space="preserve"> which are cited in a recent study</w:t>
      </w:r>
      <w:r>
        <w:rPr>
          <w:rFonts w:eastAsia="Cambria"/>
          <w:lang w:val="en-CA"/>
        </w:rPr>
        <w:t xml:space="preserve"> </w:t>
      </w:r>
      <w:r w:rsidRPr="003A1579">
        <w:rPr>
          <w:rFonts w:eastAsia="Cambria"/>
          <w:lang w:val="en-CA"/>
        </w:rPr>
        <w:t>as high</w:t>
      </w:r>
      <w:r>
        <w:rPr>
          <w:rFonts w:eastAsia="Cambria"/>
          <w:lang w:val="en-CA"/>
        </w:rPr>
        <w:t>-</w:t>
      </w:r>
      <w:r w:rsidRPr="003A1579">
        <w:rPr>
          <w:rFonts w:eastAsia="Cambria"/>
          <w:lang w:val="en-CA"/>
        </w:rPr>
        <w:t>priority concerns for women and girls with disabilities.</w:t>
      </w:r>
      <w:r w:rsidR="008A119E" w:rsidRPr="008A119E">
        <w:rPr>
          <w:rStyle w:val="Heading4Char"/>
          <w:color w:val="000007"/>
        </w:rPr>
        <w:t xml:space="preserve"> </w:t>
      </w:r>
      <w:r w:rsidR="008A119E" w:rsidRPr="007E05AA">
        <w:rPr>
          <w:rStyle w:val="FootnoteReference"/>
          <w:color w:val="000007"/>
        </w:rPr>
        <w:footnoteReference w:id="49"/>
      </w:r>
    </w:p>
    <w:p w:rsidR="00CA109F" w:rsidRPr="003B22CF" w:rsidRDefault="00CA109F" w:rsidP="00CA109F">
      <w:pPr>
        <w:pStyle w:val="H4G"/>
        <w:rPr>
          <w:rFonts w:eastAsia="Cambria"/>
          <w:lang w:val="en-CA"/>
        </w:rPr>
      </w:pPr>
      <w:r>
        <w:rPr>
          <w:rFonts w:eastAsia="Cambria"/>
          <w:lang w:val="en-CA"/>
        </w:rPr>
        <w:tab/>
      </w:r>
      <w:r>
        <w:rPr>
          <w:rFonts w:eastAsia="Cambria"/>
          <w:lang w:val="en-CA"/>
        </w:rPr>
        <w:tab/>
      </w:r>
      <w:r w:rsidRPr="003B22CF">
        <w:rPr>
          <w:rFonts w:eastAsia="Cambria"/>
          <w:lang w:val="en-CA"/>
        </w:rPr>
        <w:t>Women and HIV</w:t>
      </w:r>
      <w:r>
        <w:rPr>
          <w:rFonts w:eastAsia="Cambria"/>
          <w:lang w:val="en-CA"/>
        </w:rPr>
        <w:t>/AIDS</w:t>
      </w:r>
      <w:r w:rsidRPr="003B22CF">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48</w:t>
      </w:r>
      <w:r w:rsidRPr="003A1579">
        <w:rPr>
          <w:rFonts w:eastAsia="Cambria"/>
          <w:lang w:val="en-CA"/>
        </w:rPr>
        <w:t>.</w:t>
      </w:r>
      <w:r w:rsidRPr="003A1579">
        <w:rPr>
          <w:rFonts w:eastAsia="Cambria"/>
          <w:lang w:val="en-CA"/>
        </w:rPr>
        <w:tab/>
        <w:t>Women are disproportionately vulnerable to HIV</w:t>
      </w:r>
      <w:r>
        <w:rPr>
          <w:rFonts w:eastAsia="Cambria"/>
          <w:lang w:val="en-CA"/>
        </w:rPr>
        <w:t>/AIDS</w:t>
      </w:r>
      <w:r w:rsidRPr="003A1579">
        <w:rPr>
          <w:rFonts w:eastAsia="Cambria"/>
          <w:lang w:val="en-CA"/>
        </w:rPr>
        <w:t xml:space="preserve"> </w:t>
      </w:r>
      <w:r>
        <w:rPr>
          <w:rFonts w:eastAsia="Cambria"/>
          <w:lang w:val="en-CA"/>
        </w:rPr>
        <w:t>owing</w:t>
      </w:r>
      <w:r w:rsidRPr="003A1579">
        <w:rPr>
          <w:rFonts w:eastAsia="Cambria"/>
          <w:lang w:val="en-CA"/>
        </w:rPr>
        <w:t xml:space="preserve"> to various factors, including gender-based violence and lack of autonomy to negotiate safe </w:t>
      </w:r>
      <w:r>
        <w:rPr>
          <w:rFonts w:eastAsia="Cambria"/>
          <w:lang w:val="en-CA"/>
        </w:rPr>
        <w:t xml:space="preserve">and responsible </w:t>
      </w:r>
      <w:r w:rsidRPr="003A1579">
        <w:rPr>
          <w:rFonts w:eastAsia="Cambria"/>
          <w:lang w:val="en-CA"/>
        </w:rPr>
        <w:t>sex</w:t>
      </w:r>
      <w:r>
        <w:rPr>
          <w:rFonts w:eastAsia="Cambria"/>
          <w:lang w:val="en-CA"/>
        </w:rPr>
        <w:t>ual practices</w:t>
      </w:r>
      <w:r w:rsidRPr="001935B5">
        <w:t xml:space="preserve"> </w:t>
      </w:r>
      <w:r>
        <w:t xml:space="preserve">and </w:t>
      </w:r>
      <w:r w:rsidRPr="001935B5">
        <w:rPr>
          <w:rFonts w:eastAsia="Cambria"/>
          <w:lang w:val="en-CA"/>
        </w:rPr>
        <w:t>make informed health-related decisions</w:t>
      </w:r>
      <w:r w:rsidRPr="003A1579">
        <w:rPr>
          <w:rFonts w:eastAsia="Cambria"/>
          <w:lang w:val="en-CA"/>
        </w:rPr>
        <w:t>.</w:t>
      </w:r>
      <w:r w:rsidR="008A119E" w:rsidRPr="008A119E">
        <w:rPr>
          <w:rStyle w:val="Heading4Char"/>
          <w:color w:val="000007"/>
        </w:rPr>
        <w:t xml:space="preserve"> </w:t>
      </w:r>
      <w:r w:rsidR="008A119E" w:rsidRPr="007E05AA">
        <w:rPr>
          <w:rStyle w:val="FootnoteReference"/>
          <w:color w:val="000007"/>
        </w:rPr>
        <w:footnoteReference w:id="50"/>
      </w:r>
      <w:r w:rsidRPr="003A1579">
        <w:rPr>
          <w:rFonts w:eastAsia="Cambria"/>
          <w:lang w:val="en-CA"/>
        </w:rPr>
        <w:t xml:space="preserve"> Even when women living with HIV</w:t>
      </w:r>
      <w:r>
        <w:rPr>
          <w:rFonts w:eastAsia="Cambria"/>
          <w:lang w:val="en-CA"/>
        </w:rPr>
        <w:t>/AIDS</w:t>
      </w:r>
      <w:r w:rsidRPr="003A1579">
        <w:rPr>
          <w:rFonts w:eastAsia="Cambria"/>
          <w:lang w:val="en-CA"/>
        </w:rPr>
        <w:t xml:space="preserve"> are able to access health services, they often face stigma and discrimination </w:t>
      </w:r>
      <w:r>
        <w:rPr>
          <w:rFonts w:eastAsia="Cambria"/>
          <w:lang w:val="en-CA"/>
        </w:rPr>
        <w:t>on the part of</w:t>
      </w:r>
      <w:r w:rsidRPr="003A1579">
        <w:rPr>
          <w:rFonts w:eastAsia="Cambria"/>
          <w:lang w:val="en-CA"/>
        </w:rPr>
        <w:t xml:space="preserve"> </w:t>
      </w:r>
      <w:r>
        <w:rPr>
          <w:rFonts w:eastAsia="Cambria"/>
          <w:lang w:val="en-CA"/>
        </w:rPr>
        <w:t>health-care</w:t>
      </w:r>
      <w:r w:rsidRPr="003A1579">
        <w:rPr>
          <w:rFonts w:eastAsia="Cambria"/>
          <w:lang w:val="en-CA"/>
        </w:rPr>
        <w:t xml:space="preserve"> professionals, ranging from abuse to denial of services.</w:t>
      </w:r>
      <w:r w:rsidR="00983B43" w:rsidRPr="00983B43">
        <w:rPr>
          <w:rStyle w:val="Heading4Char"/>
          <w:color w:val="000007"/>
        </w:rPr>
        <w:t xml:space="preserve"> </w:t>
      </w:r>
      <w:r w:rsidR="00983B43" w:rsidRPr="007E05AA">
        <w:rPr>
          <w:rStyle w:val="FootnoteReference"/>
          <w:color w:val="000007"/>
        </w:rPr>
        <w:footnoteReference w:id="51"/>
      </w:r>
      <w:r w:rsidR="00983B43" w:rsidRPr="007E05AA">
        <w:rPr>
          <w:rFonts w:eastAsia="Cambria"/>
          <w:lang w:val="en-CA"/>
        </w:rPr>
        <w:t xml:space="preserve"> </w:t>
      </w:r>
      <w:r w:rsidRPr="003A1579">
        <w:rPr>
          <w:rFonts w:eastAsia="Cambria"/>
          <w:lang w:val="en-CA"/>
        </w:rPr>
        <w:t xml:space="preserve"> Laws, policies and practices that prevent women living with HIV from </w:t>
      </w:r>
      <w:r>
        <w:rPr>
          <w:rFonts w:eastAsia="Cambria"/>
          <w:lang w:val="en-CA"/>
        </w:rPr>
        <w:t>bearing</w:t>
      </w:r>
      <w:r w:rsidRPr="003A1579">
        <w:rPr>
          <w:rFonts w:eastAsia="Cambria"/>
          <w:lang w:val="en-CA"/>
        </w:rPr>
        <w:t xml:space="preserve"> children through</w:t>
      </w:r>
      <w:r>
        <w:rPr>
          <w:rFonts w:eastAsia="Cambria"/>
          <w:lang w:val="en-CA"/>
        </w:rPr>
        <w:t>, for example,</w:t>
      </w:r>
      <w:r w:rsidRPr="003A1579">
        <w:rPr>
          <w:rFonts w:eastAsia="Cambria"/>
          <w:lang w:val="en-CA"/>
        </w:rPr>
        <w:t xml:space="preserve"> forced </w:t>
      </w:r>
      <w:r>
        <w:rPr>
          <w:rFonts w:eastAsia="Cambria"/>
          <w:lang w:val="en-CA"/>
        </w:rPr>
        <w:t>termination of pregnancy</w:t>
      </w:r>
      <w:r w:rsidRPr="003A1579">
        <w:rPr>
          <w:rFonts w:eastAsia="Cambria"/>
          <w:lang w:val="en-CA"/>
        </w:rPr>
        <w:t xml:space="preserve"> and forced sterilization constitute an extreme form of discrimination.</w:t>
      </w:r>
      <w:r w:rsidR="00CA1D87">
        <w:rPr>
          <w:rFonts w:eastAsia="Cambria"/>
          <w:lang w:val="en-CA"/>
        </w:rPr>
        <w:t xml:space="preserve"> </w:t>
      </w:r>
      <w:r w:rsidR="00983B43" w:rsidRPr="007E05AA">
        <w:rPr>
          <w:rStyle w:val="FootnoteReference"/>
          <w:color w:val="000007"/>
        </w:rPr>
        <w:footnoteReference w:id="52"/>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Women migrants</w:t>
      </w:r>
    </w:p>
    <w:p w:rsidR="00CA109F" w:rsidRPr="003A1579" w:rsidRDefault="00CA109F" w:rsidP="00CA109F">
      <w:pPr>
        <w:pStyle w:val="SingleTxtG"/>
        <w:rPr>
          <w:rFonts w:eastAsia="Cambria"/>
          <w:lang w:val="en-CA"/>
        </w:rPr>
      </w:pPr>
      <w:r>
        <w:rPr>
          <w:rFonts w:eastAsia="Cambria"/>
          <w:lang w:val="en-CA"/>
        </w:rPr>
        <w:t>49</w:t>
      </w:r>
      <w:r w:rsidRPr="003A1579">
        <w:rPr>
          <w:rFonts w:eastAsia="Cambria"/>
          <w:lang w:val="en-CA"/>
        </w:rPr>
        <w:t>.</w:t>
      </w:r>
      <w:r w:rsidRPr="003A1579">
        <w:rPr>
          <w:rFonts w:eastAsia="Cambria"/>
          <w:lang w:val="en-CA"/>
        </w:rPr>
        <w:tab/>
      </w:r>
      <w:r>
        <w:rPr>
          <w:rFonts w:eastAsia="Cambria"/>
          <w:lang w:val="en-CA"/>
        </w:rPr>
        <w:t>Women m</w:t>
      </w:r>
      <w:r w:rsidRPr="003A1579">
        <w:rPr>
          <w:rFonts w:eastAsia="Cambria"/>
          <w:lang w:val="en-CA"/>
        </w:rPr>
        <w:t>igrant</w:t>
      </w:r>
      <w:r>
        <w:rPr>
          <w:rFonts w:eastAsia="Cambria"/>
          <w:lang w:val="en-CA"/>
        </w:rPr>
        <w:t>s</w:t>
      </w:r>
      <w:r w:rsidRPr="003A1579">
        <w:rPr>
          <w:rFonts w:eastAsia="Cambria"/>
          <w:lang w:val="en-CA"/>
        </w:rPr>
        <w:t xml:space="preserve"> are often at great risk of </w:t>
      </w:r>
      <w:r>
        <w:rPr>
          <w:rFonts w:eastAsia="Cambria"/>
          <w:lang w:val="en-CA"/>
        </w:rPr>
        <w:t>being subjected</w:t>
      </w:r>
      <w:r w:rsidRPr="003A1579">
        <w:rPr>
          <w:rFonts w:eastAsia="Cambria"/>
          <w:lang w:val="en-CA"/>
        </w:rPr>
        <w:t xml:space="preserve"> by public authorities or private individuals to all </w:t>
      </w:r>
      <w:r>
        <w:rPr>
          <w:rFonts w:eastAsia="Cambria"/>
          <w:lang w:val="en-CA"/>
        </w:rPr>
        <w:t>manner</w:t>
      </w:r>
      <w:r w:rsidRPr="003A1579">
        <w:rPr>
          <w:rFonts w:eastAsia="Cambria"/>
          <w:lang w:val="en-CA"/>
        </w:rPr>
        <w:t xml:space="preserve"> of violence, exploitation, trafficking and slavery while in transit or in detention</w:t>
      </w:r>
      <w:r>
        <w:rPr>
          <w:rFonts w:eastAsia="Cambria"/>
          <w:lang w:val="en-CA"/>
        </w:rPr>
        <w:t>. These practices</w:t>
      </w:r>
      <w:r w:rsidRPr="003A1579">
        <w:rPr>
          <w:rFonts w:eastAsia="Cambria"/>
          <w:lang w:val="en-CA"/>
        </w:rPr>
        <w:t xml:space="preserve"> can amount to cruel, inhuman </w:t>
      </w:r>
      <w:r>
        <w:rPr>
          <w:rFonts w:eastAsia="Cambria"/>
          <w:lang w:val="en-CA"/>
        </w:rPr>
        <w:t>or</w:t>
      </w:r>
      <w:r w:rsidRPr="003A1579">
        <w:rPr>
          <w:rFonts w:eastAsia="Cambria"/>
          <w:lang w:val="en-CA"/>
        </w:rPr>
        <w:t xml:space="preserve"> degrading treatment</w:t>
      </w:r>
      <w:r>
        <w:rPr>
          <w:rFonts w:eastAsia="Cambria"/>
          <w:lang w:val="en-CA"/>
        </w:rPr>
        <w:t xml:space="preserve"> or </w:t>
      </w:r>
      <w:r w:rsidRPr="003A1579">
        <w:rPr>
          <w:rFonts w:eastAsia="Cambria"/>
          <w:lang w:val="en-CA"/>
        </w:rPr>
        <w:t xml:space="preserve">torture. </w:t>
      </w:r>
      <w:r w:rsidR="00983B43" w:rsidRPr="007E05AA">
        <w:rPr>
          <w:rStyle w:val="FootnoteReference"/>
          <w:color w:val="000007"/>
        </w:rPr>
        <w:footnoteReference w:id="53"/>
      </w:r>
    </w:p>
    <w:p w:rsidR="00CA109F" w:rsidRPr="003A1579" w:rsidRDefault="00CA109F" w:rsidP="00CA109F">
      <w:pPr>
        <w:pStyle w:val="SingleTxtG"/>
        <w:rPr>
          <w:rFonts w:eastAsia="Cambria"/>
          <w:lang w:val="en-CA"/>
        </w:rPr>
      </w:pPr>
      <w:r>
        <w:rPr>
          <w:rFonts w:eastAsia="Cambria"/>
          <w:lang w:val="en-CA"/>
        </w:rPr>
        <w:t>50</w:t>
      </w:r>
      <w:r w:rsidRPr="003A1579">
        <w:rPr>
          <w:rFonts w:eastAsia="Cambria"/>
          <w:lang w:val="en-CA"/>
        </w:rPr>
        <w:t>.</w:t>
      </w:r>
      <w:r w:rsidRPr="003A1579">
        <w:rPr>
          <w:rFonts w:eastAsia="Cambria"/>
          <w:lang w:val="en-CA"/>
        </w:rPr>
        <w:tab/>
        <w:t xml:space="preserve">Women migrant workers, especially </w:t>
      </w:r>
      <w:r>
        <w:rPr>
          <w:rFonts w:eastAsia="Cambria"/>
          <w:lang w:val="en-CA"/>
        </w:rPr>
        <w:t xml:space="preserve">those </w:t>
      </w:r>
      <w:r w:rsidRPr="003A1579">
        <w:rPr>
          <w:rFonts w:eastAsia="Cambria"/>
          <w:lang w:val="en-CA"/>
        </w:rPr>
        <w:t>in irregular situations, have greater difficult</w:t>
      </w:r>
      <w:r>
        <w:rPr>
          <w:rFonts w:eastAsia="Cambria"/>
          <w:lang w:val="en-CA"/>
        </w:rPr>
        <w:t>y</w:t>
      </w:r>
      <w:r w:rsidRPr="003A1579">
        <w:rPr>
          <w:rFonts w:eastAsia="Cambria"/>
          <w:lang w:val="en-CA"/>
        </w:rPr>
        <w:t xml:space="preserve"> in accessing almost all forms of </w:t>
      </w:r>
      <w:r>
        <w:rPr>
          <w:rFonts w:eastAsia="Cambria"/>
          <w:lang w:val="en-CA"/>
        </w:rPr>
        <w:t>health care</w:t>
      </w:r>
      <w:r w:rsidRPr="003A1579">
        <w:rPr>
          <w:rFonts w:eastAsia="Cambria"/>
          <w:lang w:val="en-CA"/>
        </w:rPr>
        <w:t>, including maternal care, emergency care and treatment for chronic diseases and mental health problems</w:t>
      </w:r>
      <w:r>
        <w:rPr>
          <w:rFonts w:eastAsia="Cambria"/>
          <w:lang w:val="en-CA"/>
        </w:rPr>
        <w:t>,</w:t>
      </w:r>
      <w:r w:rsidRPr="003A1579">
        <w:rPr>
          <w:rFonts w:eastAsia="Cambria"/>
          <w:lang w:val="en-CA"/>
        </w:rPr>
        <w:t xml:space="preserve"> because they are often denied these rights </w:t>
      </w:r>
      <w:r>
        <w:rPr>
          <w:rFonts w:eastAsia="Cambria"/>
          <w:lang w:val="en-CA"/>
        </w:rPr>
        <w:t>legally</w:t>
      </w:r>
      <w:r w:rsidRPr="003A1579">
        <w:rPr>
          <w:rFonts w:eastAsia="Cambria"/>
          <w:lang w:val="en-CA"/>
        </w:rPr>
        <w:t xml:space="preserve"> and</w:t>
      </w:r>
      <w:r>
        <w:rPr>
          <w:rFonts w:eastAsia="Cambria"/>
          <w:lang w:val="en-CA"/>
        </w:rPr>
        <w:t>/or</w:t>
      </w:r>
      <w:r w:rsidRPr="003A1579">
        <w:rPr>
          <w:rFonts w:eastAsia="Cambria"/>
          <w:lang w:val="en-CA"/>
        </w:rPr>
        <w:t xml:space="preserve"> they fear arrest and deportation.</w:t>
      </w:r>
      <w:r w:rsidR="00983B43" w:rsidRPr="00983B43">
        <w:rPr>
          <w:rStyle w:val="Heading4Char"/>
          <w:color w:val="000007"/>
        </w:rPr>
        <w:t xml:space="preserve"> </w:t>
      </w:r>
      <w:r w:rsidR="00983B43" w:rsidRPr="00B80B5D">
        <w:rPr>
          <w:rStyle w:val="FootnoteReference"/>
          <w:color w:val="000007"/>
        </w:rPr>
        <w:footnoteReference w:id="54"/>
      </w:r>
      <w:r w:rsidRPr="003A1579">
        <w:rPr>
          <w:rFonts w:eastAsia="Cambria"/>
          <w:lang w:val="en-CA"/>
        </w:rPr>
        <w:t xml:space="preserve"> In some countries, </w:t>
      </w:r>
      <w:r w:rsidRPr="003A1579">
        <w:rPr>
          <w:rFonts w:eastAsia="Cambria"/>
          <w:lang w:val="en-CA"/>
        </w:rPr>
        <w:lastRenderedPageBreak/>
        <w:t xml:space="preserve">while legal access to </w:t>
      </w:r>
      <w:r>
        <w:rPr>
          <w:rFonts w:eastAsia="Cambria"/>
          <w:lang w:val="en-CA"/>
        </w:rPr>
        <w:t>health care</w:t>
      </w:r>
      <w:r w:rsidRPr="003A1579">
        <w:rPr>
          <w:rFonts w:eastAsia="Cambria"/>
          <w:lang w:val="en-CA"/>
        </w:rPr>
        <w:t xml:space="preserve"> for migrant women has been expanded, they still do not receive needed medical services </w:t>
      </w:r>
      <w:r>
        <w:rPr>
          <w:rFonts w:eastAsia="Cambria"/>
          <w:lang w:val="en-CA"/>
        </w:rPr>
        <w:t>because</w:t>
      </w:r>
      <w:r w:rsidRPr="003A1579">
        <w:rPr>
          <w:rFonts w:eastAsia="Cambria"/>
          <w:lang w:val="en-CA"/>
        </w:rPr>
        <w:t xml:space="preserve"> </w:t>
      </w:r>
      <w:r>
        <w:rPr>
          <w:rFonts w:eastAsia="Cambria"/>
          <w:lang w:val="en-CA"/>
        </w:rPr>
        <w:t>health-care</w:t>
      </w:r>
      <w:r w:rsidRPr="003A1579">
        <w:rPr>
          <w:rFonts w:eastAsia="Cambria"/>
          <w:lang w:val="en-CA"/>
        </w:rPr>
        <w:t xml:space="preserve"> providers </w:t>
      </w:r>
      <w:r>
        <w:rPr>
          <w:rFonts w:eastAsia="Cambria"/>
          <w:lang w:val="en-CA"/>
        </w:rPr>
        <w:t>often</w:t>
      </w:r>
      <w:r w:rsidRPr="003A1579">
        <w:rPr>
          <w:rFonts w:eastAsia="Cambria"/>
          <w:lang w:val="en-CA"/>
        </w:rPr>
        <w:t xml:space="preserve"> refus</w:t>
      </w:r>
      <w:r>
        <w:rPr>
          <w:rFonts w:eastAsia="Cambria"/>
          <w:lang w:val="en-CA"/>
        </w:rPr>
        <w:t>e</w:t>
      </w:r>
      <w:r w:rsidRPr="003A1579">
        <w:rPr>
          <w:rFonts w:eastAsia="Cambria"/>
          <w:lang w:val="en-CA"/>
        </w:rPr>
        <w:t xml:space="preserve"> </w:t>
      </w:r>
      <w:r>
        <w:rPr>
          <w:rFonts w:eastAsia="Cambria"/>
          <w:lang w:val="en-CA"/>
        </w:rPr>
        <w:t>treat them</w:t>
      </w:r>
      <w:r w:rsidR="00CA1D87">
        <w:rPr>
          <w:rFonts w:eastAsia="Cambria"/>
          <w:lang w:val="en-CA"/>
        </w:rPr>
        <w:t xml:space="preserve">. </w:t>
      </w:r>
      <w:r w:rsidR="00983B43" w:rsidRPr="003D6CCF">
        <w:rPr>
          <w:iCs/>
          <w:color w:val="000007"/>
          <w:vertAlign w:val="superscript"/>
        </w:rPr>
        <w:footnoteReference w:id="55"/>
      </w:r>
    </w:p>
    <w:p w:rsidR="00CA109F" w:rsidRPr="003A1579" w:rsidRDefault="00CA109F" w:rsidP="00CA109F">
      <w:pPr>
        <w:pStyle w:val="SingleTxtG"/>
        <w:rPr>
          <w:rFonts w:eastAsia="Cambria"/>
          <w:lang w:val="en-CA"/>
        </w:rPr>
      </w:pPr>
      <w:r>
        <w:rPr>
          <w:rFonts w:eastAsia="Cambria"/>
          <w:lang w:val="en-CA"/>
        </w:rPr>
        <w:t>51</w:t>
      </w:r>
      <w:r w:rsidRPr="003A1579">
        <w:rPr>
          <w:rFonts w:eastAsia="Cambria"/>
          <w:lang w:val="en-CA"/>
        </w:rPr>
        <w:t>.</w:t>
      </w:r>
      <w:r w:rsidRPr="003A1579">
        <w:rPr>
          <w:rFonts w:eastAsia="Cambria"/>
          <w:lang w:val="en-CA"/>
        </w:rPr>
        <w:tab/>
      </w:r>
      <w:r>
        <w:rPr>
          <w:rFonts w:eastAsia="Cambria"/>
          <w:lang w:val="en-CA"/>
        </w:rPr>
        <w:t>E</w:t>
      </w:r>
      <w:r w:rsidRPr="003A1579">
        <w:rPr>
          <w:rFonts w:eastAsia="Cambria"/>
          <w:lang w:val="en-CA"/>
        </w:rPr>
        <w:t xml:space="preserve">ven where </w:t>
      </w:r>
      <w:r>
        <w:rPr>
          <w:rFonts w:eastAsia="Cambria"/>
          <w:lang w:val="en-CA"/>
        </w:rPr>
        <w:t xml:space="preserve">they are </w:t>
      </w:r>
      <w:r w:rsidRPr="003A1579">
        <w:rPr>
          <w:rFonts w:eastAsia="Cambria"/>
          <w:lang w:val="en-CA"/>
        </w:rPr>
        <w:t xml:space="preserve">entitled to emergency </w:t>
      </w:r>
      <w:r>
        <w:rPr>
          <w:rFonts w:eastAsia="Cambria"/>
          <w:lang w:val="en-CA"/>
        </w:rPr>
        <w:t>health care</w:t>
      </w:r>
      <w:r w:rsidRPr="003A1579">
        <w:rPr>
          <w:rFonts w:eastAsia="Cambria"/>
          <w:lang w:val="en-CA"/>
        </w:rPr>
        <w:t xml:space="preserve">, </w:t>
      </w:r>
      <w:r>
        <w:rPr>
          <w:rFonts w:eastAsia="Cambria"/>
          <w:lang w:val="en-CA"/>
        </w:rPr>
        <w:t>w</w:t>
      </w:r>
      <w:r w:rsidRPr="003A1579">
        <w:rPr>
          <w:rFonts w:eastAsia="Cambria"/>
          <w:lang w:val="en-CA"/>
        </w:rPr>
        <w:t>omen migrant domestic workers are often exc</w:t>
      </w:r>
      <w:r>
        <w:rPr>
          <w:rFonts w:eastAsia="Cambria"/>
          <w:lang w:val="en-CA"/>
        </w:rPr>
        <w:t>luded from preventive</w:t>
      </w:r>
      <w:r w:rsidRPr="003A1579">
        <w:rPr>
          <w:rFonts w:eastAsia="Cambria"/>
          <w:lang w:val="en-CA"/>
        </w:rPr>
        <w:t xml:space="preserve"> reproductive</w:t>
      </w:r>
      <w:r>
        <w:rPr>
          <w:rFonts w:eastAsia="Cambria"/>
          <w:lang w:val="en-CA"/>
        </w:rPr>
        <w:t xml:space="preserve"> and sexual</w:t>
      </w:r>
      <w:r w:rsidRPr="003A1579">
        <w:rPr>
          <w:rFonts w:eastAsia="Cambria"/>
          <w:lang w:val="en-CA"/>
        </w:rPr>
        <w:t xml:space="preserve"> health services, </w:t>
      </w:r>
      <w:r>
        <w:rPr>
          <w:rFonts w:eastAsia="Cambria"/>
          <w:lang w:val="en-CA"/>
        </w:rPr>
        <w:t>as well as</w:t>
      </w:r>
      <w:r w:rsidRPr="003A1579">
        <w:rPr>
          <w:rFonts w:eastAsia="Cambria"/>
          <w:lang w:val="en-CA"/>
        </w:rPr>
        <w:t xml:space="preserve"> gynaecological and obstetric care, because of their status and </w:t>
      </w:r>
      <w:r>
        <w:rPr>
          <w:rFonts w:eastAsia="Cambria"/>
          <w:lang w:val="en-CA"/>
        </w:rPr>
        <w:t>lack of</w:t>
      </w:r>
      <w:r w:rsidRPr="003A1579">
        <w:rPr>
          <w:rFonts w:eastAsia="Cambria"/>
          <w:lang w:val="en-CA"/>
        </w:rPr>
        <w:t xml:space="preserve"> access to insurance or national health schemes. </w:t>
      </w:r>
      <w:r w:rsidR="00983B43" w:rsidRPr="003D6CCF">
        <w:rPr>
          <w:rStyle w:val="FootnoteReference"/>
        </w:rPr>
        <w:footnoteReference w:id="56"/>
      </w:r>
    </w:p>
    <w:p w:rsidR="00CA109F" w:rsidRPr="003A1579" w:rsidRDefault="00CA109F" w:rsidP="00CA109F">
      <w:pPr>
        <w:pStyle w:val="SingleTxtG"/>
        <w:rPr>
          <w:rFonts w:eastAsia="Cambria"/>
          <w:lang w:val="en-CA"/>
        </w:rPr>
      </w:pPr>
      <w:r>
        <w:rPr>
          <w:rFonts w:eastAsia="Cambria"/>
          <w:lang w:val="en-CA"/>
        </w:rPr>
        <w:t>52</w:t>
      </w:r>
      <w:r w:rsidRPr="003A1579">
        <w:rPr>
          <w:rFonts w:eastAsia="Cambria"/>
          <w:lang w:val="en-CA"/>
        </w:rPr>
        <w:t>.</w:t>
      </w:r>
      <w:r w:rsidRPr="003A1579">
        <w:rPr>
          <w:rFonts w:eastAsia="Cambria"/>
          <w:lang w:val="en-CA"/>
        </w:rPr>
        <w:tab/>
      </w:r>
      <w:r w:rsidRPr="00EF2AB1">
        <w:rPr>
          <w:rFonts w:eastAsia="Cambria"/>
          <w:lang w:val="en-CA"/>
        </w:rPr>
        <w:t xml:space="preserve">The pattern of physical, sexual and psychological abuse </w:t>
      </w:r>
      <w:r>
        <w:rPr>
          <w:rFonts w:eastAsia="Cambria"/>
          <w:lang w:val="en-CA"/>
        </w:rPr>
        <w:t>of</w:t>
      </w:r>
      <w:r w:rsidRPr="00EF2AB1">
        <w:rPr>
          <w:rFonts w:eastAsia="Cambria"/>
          <w:lang w:val="en-CA"/>
        </w:rPr>
        <w:t xml:space="preserve"> migrant domestic workers </w:t>
      </w:r>
      <w:r>
        <w:rPr>
          <w:rFonts w:eastAsia="Cambria"/>
          <w:lang w:val="en-CA"/>
        </w:rPr>
        <w:t>is</w:t>
      </w:r>
      <w:r w:rsidRPr="00EF2AB1">
        <w:rPr>
          <w:rFonts w:eastAsia="Cambria"/>
          <w:lang w:val="en-CA"/>
        </w:rPr>
        <w:t xml:space="preserve"> widespread</w:t>
      </w:r>
      <w:r>
        <w:rPr>
          <w:rFonts w:eastAsia="Cambria"/>
          <w:lang w:val="en-CA"/>
        </w:rPr>
        <w:t>.</w:t>
      </w:r>
      <w:r w:rsidRPr="00EF2AB1">
        <w:rPr>
          <w:rFonts w:eastAsia="Cambria"/>
          <w:lang w:val="en-CA"/>
        </w:rPr>
        <w:t xml:space="preserve"> </w:t>
      </w:r>
      <w:r>
        <w:rPr>
          <w:rFonts w:eastAsia="Cambria"/>
          <w:lang w:val="en-CA"/>
        </w:rPr>
        <w:t xml:space="preserve">These women </w:t>
      </w:r>
      <w:r w:rsidRPr="00EF2AB1">
        <w:rPr>
          <w:rFonts w:eastAsia="Cambria"/>
          <w:lang w:val="en-CA"/>
        </w:rPr>
        <w:t xml:space="preserve">are often exposed to health and safety </w:t>
      </w:r>
      <w:r>
        <w:rPr>
          <w:rFonts w:eastAsia="Cambria"/>
          <w:lang w:val="en-CA"/>
        </w:rPr>
        <w:t>risks</w:t>
      </w:r>
      <w:r w:rsidRPr="00EF2AB1">
        <w:rPr>
          <w:rFonts w:eastAsia="Cambria"/>
          <w:lang w:val="en-CA"/>
        </w:rPr>
        <w:t xml:space="preserve"> without being provided with proper information </w:t>
      </w:r>
      <w:r>
        <w:rPr>
          <w:rFonts w:eastAsia="Cambria"/>
          <w:lang w:val="en-CA"/>
        </w:rPr>
        <w:t xml:space="preserve">or </w:t>
      </w:r>
      <w:r w:rsidRPr="00EF2AB1">
        <w:rPr>
          <w:rFonts w:eastAsia="Cambria"/>
          <w:lang w:val="en-CA"/>
        </w:rPr>
        <w:t>adequate protection.</w:t>
      </w:r>
      <w:r w:rsidR="00983B43" w:rsidRPr="00983B43">
        <w:rPr>
          <w:rStyle w:val="Heading4Char"/>
          <w:color w:val="000007"/>
        </w:rPr>
        <w:t xml:space="preserve"> </w:t>
      </w:r>
      <w:r w:rsidR="00983B43" w:rsidRPr="003D6CCF">
        <w:rPr>
          <w:rStyle w:val="FootnoteReference"/>
          <w:color w:val="000007"/>
        </w:rPr>
        <w:footnoteReference w:id="57"/>
      </w:r>
      <w:r>
        <w:rPr>
          <w:rFonts w:eastAsia="Cambria"/>
          <w:lang w:val="en-CA"/>
        </w:rPr>
        <w:t xml:space="preserve"> </w:t>
      </w:r>
      <w:r w:rsidRPr="00EF2AB1">
        <w:rPr>
          <w:rFonts w:eastAsia="Cambria"/>
          <w:lang w:val="en-CA"/>
        </w:rPr>
        <w:t>Furthermore, the working and living conditions of many undocumented domestic workers</w:t>
      </w:r>
      <w:r>
        <w:rPr>
          <w:rFonts w:eastAsia="Cambria"/>
          <w:lang w:val="en-CA"/>
        </w:rPr>
        <w:t>, which are tantamount to slavery,</w:t>
      </w:r>
      <w:r w:rsidRPr="003A1579">
        <w:rPr>
          <w:rFonts w:eastAsia="Cambria"/>
          <w:lang w:val="en-CA"/>
        </w:rPr>
        <w:t xml:space="preserve"> </w:t>
      </w:r>
      <w:r w:rsidRPr="00EF2AB1">
        <w:rPr>
          <w:rFonts w:eastAsia="Cambria"/>
          <w:lang w:val="en-CA"/>
        </w:rPr>
        <w:t xml:space="preserve">and </w:t>
      </w:r>
      <w:r>
        <w:rPr>
          <w:rFonts w:eastAsia="Cambria"/>
          <w:lang w:val="en-CA"/>
        </w:rPr>
        <w:t xml:space="preserve">the </w:t>
      </w:r>
      <w:r w:rsidRPr="00EF2AB1">
        <w:rPr>
          <w:rFonts w:eastAsia="Cambria"/>
          <w:lang w:val="en-CA"/>
        </w:rPr>
        <w:t>separation</w:t>
      </w:r>
      <w:r w:rsidRPr="003A1579">
        <w:rPr>
          <w:rFonts w:eastAsia="Cambria"/>
          <w:lang w:val="en-CA"/>
        </w:rPr>
        <w:t xml:space="preserve"> from family members cause serious health, particularly mental health, problems.</w:t>
      </w:r>
      <w:r w:rsidR="00641FAC">
        <w:rPr>
          <w:rStyle w:val="FootnoteReference"/>
          <w:rFonts w:eastAsia="Cambria"/>
          <w:lang w:val="en-CA"/>
        </w:rPr>
        <w:footnoteReference w:id="58"/>
      </w:r>
    </w:p>
    <w:p w:rsidR="00CA109F" w:rsidRPr="003A1579" w:rsidRDefault="00CA109F" w:rsidP="00CA109F">
      <w:pPr>
        <w:pStyle w:val="SingleTxtG"/>
        <w:rPr>
          <w:rFonts w:eastAsia="Cambria"/>
          <w:lang w:val="en-CA"/>
        </w:rPr>
      </w:pPr>
      <w:r>
        <w:rPr>
          <w:rFonts w:eastAsia="Cambria"/>
          <w:lang w:val="en-CA"/>
        </w:rPr>
        <w:t>53</w:t>
      </w:r>
      <w:r w:rsidRPr="003A1579">
        <w:rPr>
          <w:rFonts w:eastAsia="Cambria"/>
          <w:lang w:val="en-CA"/>
        </w:rPr>
        <w:t>.</w:t>
      </w:r>
      <w:r w:rsidRPr="003A1579">
        <w:rPr>
          <w:rFonts w:eastAsia="Cambria"/>
          <w:lang w:val="en-CA"/>
        </w:rPr>
        <w:tab/>
        <w:t>Migrant women may be subject to mandatory pregnancy tests upon arrival in some countries</w:t>
      </w:r>
      <w:r>
        <w:rPr>
          <w:rFonts w:eastAsia="Cambria"/>
          <w:lang w:val="en-CA"/>
        </w:rPr>
        <w:t>;</w:t>
      </w:r>
      <w:r w:rsidRPr="003A1579">
        <w:rPr>
          <w:rFonts w:eastAsia="Cambria"/>
          <w:lang w:val="en-CA"/>
        </w:rPr>
        <w:t xml:space="preserve"> if the test is positive</w:t>
      </w:r>
      <w:r>
        <w:rPr>
          <w:rFonts w:eastAsia="Cambria"/>
          <w:lang w:val="en-CA"/>
        </w:rPr>
        <w:t>, they are</w:t>
      </w:r>
      <w:r w:rsidRPr="003A1579">
        <w:rPr>
          <w:rFonts w:eastAsia="Cambria"/>
          <w:lang w:val="en-CA"/>
        </w:rPr>
        <w:t xml:space="preserve"> </w:t>
      </w:r>
      <w:r>
        <w:rPr>
          <w:rFonts w:eastAsia="Cambria"/>
          <w:lang w:val="en-CA"/>
        </w:rPr>
        <w:t>dismissed</w:t>
      </w:r>
      <w:r w:rsidRPr="003A1579">
        <w:rPr>
          <w:rFonts w:eastAsia="Cambria"/>
          <w:lang w:val="en-CA"/>
        </w:rPr>
        <w:t xml:space="preserve"> and/or deport</w:t>
      </w:r>
      <w:r>
        <w:rPr>
          <w:rFonts w:eastAsia="Cambria"/>
          <w:lang w:val="en-CA"/>
        </w:rPr>
        <w:t>ed</w:t>
      </w:r>
      <w:r w:rsidRPr="003A1579">
        <w:rPr>
          <w:rFonts w:eastAsia="Cambria"/>
          <w:lang w:val="en-CA"/>
        </w:rPr>
        <w:t>.</w:t>
      </w:r>
      <w:r w:rsidR="00983B43" w:rsidRPr="00983B43">
        <w:rPr>
          <w:rStyle w:val="Heading4Char"/>
          <w:color w:val="000007"/>
        </w:rPr>
        <w:t xml:space="preserve"> </w:t>
      </w:r>
      <w:r w:rsidR="00983B43" w:rsidRPr="003D6CCF">
        <w:rPr>
          <w:rStyle w:val="FootnoteReference"/>
          <w:color w:val="000007"/>
        </w:rPr>
        <w:footnoteReference w:id="59"/>
      </w:r>
      <w:r w:rsidRPr="003A1579">
        <w:rPr>
          <w:rFonts w:eastAsia="Cambria"/>
          <w:lang w:val="en-CA"/>
        </w:rPr>
        <w:t xml:space="preserve"> Furthermore, pregnancy tests can be imposed on migrant domestic workers </w:t>
      </w:r>
      <w:r>
        <w:rPr>
          <w:rFonts w:eastAsia="Cambria"/>
          <w:lang w:val="en-CA"/>
        </w:rPr>
        <w:t>during</w:t>
      </w:r>
      <w:r w:rsidRPr="003A1579">
        <w:rPr>
          <w:rFonts w:eastAsia="Cambria"/>
          <w:lang w:val="en-CA"/>
        </w:rPr>
        <w:t xml:space="preserve"> the course of their employment, </w:t>
      </w:r>
      <w:r>
        <w:rPr>
          <w:rFonts w:eastAsia="Cambria"/>
          <w:lang w:val="en-CA"/>
        </w:rPr>
        <w:t>leading to</w:t>
      </w:r>
      <w:r w:rsidRPr="003A1579">
        <w:rPr>
          <w:rFonts w:eastAsia="Cambria"/>
          <w:lang w:val="en-CA"/>
        </w:rPr>
        <w:t xml:space="preserve"> pregnant women </w:t>
      </w:r>
      <w:r>
        <w:rPr>
          <w:rFonts w:eastAsia="Cambria"/>
          <w:lang w:val="en-CA"/>
        </w:rPr>
        <w:t>losing</w:t>
      </w:r>
      <w:r w:rsidRPr="003A1579">
        <w:rPr>
          <w:rFonts w:eastAsia="Cambria"/>
          <w:lang w:val="en-CA"/>
        </w:rPr>
        <w:t xml:space="preserve"> their jobs and/or seek</w:t>
      </w:r>
      <w:r>
        <w:rPr>
          <w:rFonts w:eastAsia="Cambria"/>
          <w:lang w:val="en-CA"/>
        </w:rPr>
        <w:t>ing</w:t>
      </w:r>
      <w:r w:rsidRPr="003A1579">
        <w:rPr>
          <w:rFonts w:eastAsia="Cambria"/>
          <w:lang w:val="en-CA"/>
        </w:rPr>
        <w:t xml:space="preserve"> </w:t>
      </w:r>
      <w:r>
        <w:rPr>
          <w:rFonts w:eastAsia="Cambria"/>
          <w:lang w:val="en-CA"/>
        </w:rPr>
        <w:t>termination of the pregnancy</w:t>
      </w:r>
      <w:r w:rsidRPr="003A1579">
        <w:rPr>
          <w:rFonts w:eastAsia="Cambria"/>
          <w:lang w:val="en-CA"/>
        </w:rPr>
        <w:t xml:space="preserve">, sometimes </w:t>
      </w:r>
      <w:r>
        <w:rPr>
          <w:rFonts w:eastAsia="Cambria"/>
          <w:lang w:val="en-CA"/>
        </w:rPr>
        <w:t>by means</w:t>
      </w:r>
      <w:r w:rsidRPr="003A1579">
        <w:rPr>
          <w:rFonts w:eastAsia="Cambria"/>
          <w:lang w:val="en-CA"/>
        </w:rPr>
        <w:t xml:space="preserve"> </w:t>
      </w:r>
      <w:r>
        <w:rPr>
          <w:rFonts w:eastAsia="Cambria"/>
          <w:lang w:val="en-CA"/>
        </w:rPr>
        <w:t xml:space="preserve">of </w:t>
      </w:r>
      <w:r w:rsidRPr="003A1579">
        <w:rPr>
          <w:rFonts w:eastAsia="Cambria"/>
          <w:lang w:val="en-CA"/>
        </w:rPr>
        <w:t>unsafe practices</w:t>
      </w:r>
      <w:r w:rsidR="00983B43" w:rsidRPr="002A167C">
        <w:rPr>
          <w:rStyle w:val="FootnoteReference"/>
        </w:rPr>
        <w:footnoteReference w:id="60"/>
      </w:r>
      <w:r>
        <w:rPr>
          <w:rFonts w:eastAsia="Cambria"/>
          <w:lang w:val="en-CA"/>
        </w:rPr>
        <w:t>,</w:t>
      </w:r>
      <w:r w:rsidRPr="003A1579">
        <w:rPr>
          <w:rFonts w:eastAsia="Cambria"/>
          <w:lang w:val="en-CA"/>
        </w:rPr>
        <w:t xml:space="preserve"> especially in countries that criminalize </w:t>
      </w:r>
      <w:r>
        <w:rPr>
          <w:rFonts w:eastAsia="Cambria"/>
          <w:lang w:val="en-CA"/>
        </w:rPr>
        <w:t>induced termination</w:t>
      </w:r>
      <w:r w:rsidRPr="003A1579">
        <w:rPr>
          <w:rFonts w:eastAsia="Cambria"/>
          <w:lang w:val="en-CA"/>
        </w:rPr>
        <w:t>.</w:t>
      </w:r>
      <w:r w:rsidR="00983B43" w:rsidRPr="00983B43">
        <w:rPr>
          <w:rStyle w:val="Heading4Char"/>
        </w:rPr>
        <w:t xml:space="preserve"> </w:t>
      </w:r>
      <w:r w:rsidR="00983B43" w:rsidRPr="002A167C">
        <w:rPr>
          <w:rStyle w:val="FootnoteReference"/>
        </w:rPr>
        <w:footnoteReference w:id="61"/>
      </w:r>
      <w:r w:rsidR="00983B43" w:rsidRPr="002A167C">
        <w:t xml:space="preserve"> </w:t>
      </w:r>
      <w:r>
        <w:rPr>
          <w:rFonts w:eastAsia="Cambria"/>
          <w:lang w:val="en-CA"/>
        </w:rPr>
        <w:t>M</w:t>
      </w:r>
      <w:r w:rsidRPr="003A1579">
        <w:rPr>
          <w:rFonts w:eastAsia="Cambria"/>
          <w:lang w:val="en-CA"/>
        </w:rPr>
        <w:t xml:space="preserve">igrant women </w:t>
      </w:r>
      <w:r>
        <w:rPr>
          <w:rFonts w:eastAsia="Cambria"/>
          <w:lang w:val="en-CA"/>
        </w:rPr>
        <w:t>have been</w:t>
      </w:r>
      <w:r w:rsidRPr="003A1579">
        <w:rPr>
          <w:rFonts w:eastAsia="Cambria"/>
          <w:lang w:val="en-CA"/>
        </w:rPr>
        <w:t xml:space="preserve"> charged with “illegal sexual relationships” when they bec</w:t>
      </w:r>
      <w:r>
        <w:rPr>
          <w:rFonts w:eastAsia="Cambria"/>
          <w:lang w:val="en-CA"/>
        </w:rPr>
        <w:t>o</w:t>
      </w:r>
      <w:r w:rsidRPr="003A1579">
        <w:rPr>
          <w:rFonts w:eastAsia="Cambria"/>
          <w:lang w:val="en-CA"/>
        </w:rPr>
        <w:t>me pregnant</w:t>
      </w:r>
      <w:r>
        <w:rPr>
          <w:rFonts w:eastAsia="Cambria"/>
          <w:lang w:val="en-CA"/>
        </w:rPr>
        <w:t>, including</w:t>
      </w:r>
      <w:r w:rsidRPr="003A1579">
        <w:rPr>
          <w:rFonts w:eastAsia="Cambria"/>
          <w:lang w:val="en-CA"/>
        </w:rPr>
        <w:t xml:space="preserve"> </w:t>
      </w:r>
      <w:r>
        <w:rPr>
          <w:rFonts w:eastAsia="Cambria"/>
          <w:lang w:val="en-CA"/>
        </w:rPr>
        <w:t>following</w:t>
      </w:r>
      <w:r w:rsidRPr="003A1579">
        <w:rPr>
          <w:rFonts w:eastAsia="Cambria"/>
          <w:lang w:val="en-CA"/>
        </w:rPr>
        <w:t xml:space="preserve"> rape</w:t>
      </w:r>
      <w:r>
        <w:rPr>
          <w:rFonts w:eastAsia="Cambria"/>
          <w:lang w:val="en-CA"/>
        </w:rPr>
        <w:t>. They</w:t>
      </w:r>
      <w:r w:rsidRPr="003A1579">
        <w:rPr>
          <w:rFonts w:eastAsia="Cambria"/>
          <w:lang w:val="en-CA"/>
        </w:rPr>
        <w:t xml:space="preserve"> are held in detention centres in deplorable conditions pending their deportation</w:t>
      </w:r>
      <w:r w:rsidR="00983B43" w:rsidRPr="002A167C">
        <w:rPr>
          <w:rStyle w:val="FootnoteReference"/>
        </w:rPr>
        <w:footnoteReference w:id="62"/>
      </w:r>
      <w:r w:rsidRPr="003A1579">
        <w:rPr>
          <w:rFonts w:eastAsia="Cambria"/>
          <w:lang w:val="en-CA"/>
        </w:rPr>
        <w:t>, or fac</w:t>
      </w:r>
      <w:r>
        <w:rPr>
          <w:rFonts w:eastAsia="Cambria"/>
          <w:lang w:val="en-CA"/>
        </w:rPr>
        <w:t>e</w:t>
      </w:r>
      <w:r w:rsidRPr="003A1579">
        <w:rPr>
          <w:rFonts w:eastAsia="Cambria"/>
          <w:lang w:val="en-CA"/>
        </w:rPr>
        <w:t xml:space="preserve"> severe punishment</w:t>
      </w:r>
      <w:r>
        <w:rPr>
          <w:rFonts w:eastAsia="Cambria"/>
          <w:lang w:val="en-CA"/>
        </w:rPr>
        <w:t>,</w:t>
      </w:r>
      <w:r w:rsidRPr="003A1579">
        <w:rPr>
          <w:rFonts w:eastAsia="Cambria"/>
          <w:lang w:val="en-CA"/>
        </w:rPr>
        <w:t xml:space="preserve"> including </w:t>
      </w:r>
      <w:r>
        <w:rPr>
          <w:rFonts w:eastAsia="Cambria"/>
          <w:lang w:val="en-CA"/>
        </w:rPr>
        <w:t xml:space="preserve">the </w:t>
      </w:r>
      <w:r w:rsidRPr="003A1579">
        <w:rPr>
          <w:rFonts w:eastAsia="Cambria"/>
          <w:lang w:val="en-CA"/>
        </w:rPr>
        <w:t>death penalty in countries where sexual relationship</w:t>
      </w:r>
      <w:r>
        <w:rPr>
          <w:rFonts w:eastAsia="Cambria"/>
          <w:lang w:val="en-CA"/>
        </w:rPr>
        <w:t>s</w:t>
      </w:r>
      <w:r w:rsidRPr="003A1579">
        <w:rPr>
          <w:rFonts w:eastAsia="Cambria"/>
          <w:lang w:val="en-CA"/>
        </w:rPr>
        <w:t xml:space="preserve"> outside marriage </w:t>
      </w:r>
      <w:r>
        <w:rPr>
          <w:rFonts w:eastAsia="Cambria"/>
          <w:lang w:val="en-CA"/>
        </w:rPr>
        <w:t>are</w:t>
      </w:r>
      <w:r w:rsidRPr="003A1579">
        <w:rPr>
          <w:rFonts w:eastAsia="Cambria"/>
          <w:lang w:val="en-CA"/>
        </w:rPr>
        <w:t xml:space="preserve"> criminalized.</w:t>
      </w:r>
      <w:r w:rsidR="00983B43" w:rsidRPr="00983B43">
        <w:rPr>
          <w:rStyle w:val="Heading4Char"/>
          <w:color w:val="000007"/>
          <w:szCs w:val="22"/>
        </w:rPr>
        <w:t xml:space="preserve"> </w:t>
      </w:r>
      <w:r w:rsidR="00983B43" w:rsidRPr="0036242B">
        <w:rPr>
          <w:rStyle w:val="FootnoteReference"/>
          <w:color w:val="000007"/>
          <w:szCs w:val="22"/>
        </w:rPr>
        <w:footnoteReference w:id="63"/>
      </w:r>
      <w:r w:rsidR="00983B43" w:rsidRPr="0036242B">
        <w:rPr>
          <w:rFonts w:eastAsia="Cambria"/>
          <w:sz w:val="18"/>
          <w:lang w:val="en-CA"/>
        </w:rPr>
        <w:t xml:space="preserve"> </w:t>
      </w:r>
      <w:r w:rsidRPr="003A1579">
        <w:rPr>
          <w:rFonts w:eastAsia="Cambria"/>
          <w:lang w:val="en-CA"/>
        </w:rPr>
        <w:t xml:space="preserve"> </w:t>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Indigenous women</w:t>
      </w:r>
    </w:p>
    <w:p w:rsidR="00CA109F" w:rsidRPr="003A1579" w:rsidRDefault="00CA109F" w:rsidP="00CA109F">
      <w:pPr>
        <w:pStyle w:val="SingleTxtG"/>
        <w:rPr>
          <w:rFonts w:eastAsia="Cambria"/>
          <w:lang w:val="en-CA"/>
        </w:rPr>
      </w:pPr>
      <w:r w:rsidRPr="003A1579">
        <w:rPr>
          <w:rFonts w:eastAsia="Cambria"/>
          <w:lang w:val="en-CA"/>
        </w:rPr>
        <w:t>5</w:t>
      </w:r>
      <w:r>
        <w:rPr>
          <w:rFonts w:eastAsia="Cambria"/>
          <w:lang w:val="en-CA"/>
        </w:rPr>
        <w:t>4</w:t>
      </w:r>
      <w:r w:rsidRPr="003A1579">
        <w:rPr>
          <w:rFonts w:eastAsia="Cambria"/>
          <w:lang w:val="en-CA"/>
        </w:rPr>
        <w:t>.</w:t>
      </w:r>
      <w:r w:rsidRPr="003A1579">
        <w:rPr>
          <w:rFonts w:eastAsia="Cambria"/>
          <w:lang w:val="en-CA"/>
        </w:rPr>
        <w:tab/>
        <w:t>Indigenous women experience a complex spectrum of mutually reinforcing human rights abuses which is influenced by intersecting forms of discrimination and marginalization</w:t>
      </w:r>
      <w:r>
        <w:rPr>
          <w:rFonts w:eastAsia="Cambria"/>
          <w:lang w:val="en-CA"/>
        </w:rPr>
        <w:t>,</w:t>
      </w:r>
      <w:r w:rsidRPr="003A1579">
        <w:rPr>
          <w:rFonts w:eastAsia="Cambria"/>
          <w:lang w:val="en-CA"/>
        </w:rPr>
        <w:t xml:space="preserve"> reinforced by patriarchal power structures and past and present forms of violations of the right to self-determination and control of resources. These intersecting forms of discrimination have profound health consequences</w:t>
      </w:r>
      <w:r>
        <w:rPr>
          <w:rFonts w:eastAsia="Cambria"/>
          <w:lang w:val="en-CA"/>
        </w:rPr>
        <w:t xml:space="preserve"> for indigenous women</w:t>
      </w:r>
      <w:r w:rsidRPr="003A1579">
        <w:rPr>
          <w:rFonts w:eastAsia="Cambria"/>
          <w:lang w:val="en-CA"/>
        </w:rPr>
        <w:t xml:space="preserve">, especially </w:t>
      </w:r>
      <w:r>
        <w:rPr>
          <w:rFonts w:eastAsia="Cambria"/>
          <w:lang w:val="en-CA"/>
        </w:rPr>
        <w:t>for</w:t>
      </w:r>
      <w:r w:rsidRPr="003A1579">
        <w:rPr>
          <w:rFonts w:eastAsia="Cambria"/>
          <w:lang w:val="en-CA"/>
        </w:rPr>
        <w:t xml:space="preserve"> their r</w:t>
      </w:r>
      <w:r w:rsidR="00CA1D87">
        <w:rPr>
          <w:rFonts w:eastAsia="Cambria"/>
          <w:lang w:val="en-CA"/>
        </w:rPr>
        <w:t xml:space="preserve">eproductive and sexual health. </w:t>
      </w:r>
      <w:r>
        <w:rPr>
          <w:rFonts w:eastAsia="Cambria"/>
          <w:lang w:val="en-CA"/>
        </w:rPr>
        <w:t>T</w:t>
      </w:r>
      <w:r w:rsidRPr="003A1579">
        <w:rPr>
          <w:rFonts w:eastAsia="Cambria"/>
          <w:lang w:val="en-CA"/>
        </w:rPr>
        <w:t xml:space="preserve">he Special Rapporteur on the rights of indigenous peoples </w:t>
      </w:r>
      <w:r>
        <w:rPr>
          <w:rFonts w:eastAsia="Cambria"/>
          <w:lang w:val="en-CA"/>
        </w:rPr>
        <w:t xml:space="preserve">has </w:t>
      </w:r>
      <w:r w:rsidRPr="003A1579">
        <w:rPr>
          <w:rFonts w:eastAsia="Cambria"/>
          <w:lang w:val="en-CA"/>
        </w:rPr>
        <w:t xml:space="preserve">reported </w:t>
      </w:r>
      <w:r>
        <w:rPr>
          <w:rFonts w:eastAsia="Cambria"/>
          <w:lang w:val="en-CA"/>
        </w:rPr>
        <w:t xml:space="preserve">(see A/HRC/30/41) </w:t>
      </w:r>
      <w:r w:rsidRPr="003A1579">
        <w:rPr>
          <w:rFonts w:eastAsia="Cambria"/>
          <w:lang w:val="en-CA"/>
        </w:rPr>
        <w:t>about the barriers to reproductive</w:t>
      </w:r>
      <w:r>
        <w:rPr>
          <w:rFonts w:eastAsia="Cambria"/>
          <w:lang w:val="en-CA"/>
        </w:rPr>
        <w:t xml:space="preserve"> and sexual</w:t>
      </w:r>
      <w:r w:rsidRPr="003A1579">
        <w:rPr>
          <w:rFonts w:eastAsia="Cambria"/>
          <w:lang w:val="en-CA"/>
        </w:rPr>
        <w:t xml:space="preserve"> health services </w:t>
      </w:r>
      <w:r>
        <w:rPr>
          <w:rFonts w:eastAsia="Cambria"/>
          <w:lang w:val="en-CA"/>
        </w:rPr>
        <w:t>encountered</w:t>
      </w:r>
      <w:r w:rsidRPr="003A1579">
        <w:rPr>
          <w:rFonts w:eastAsia="Cambria"/>
          <w:lang w:val="en-CA"/>
        </w:rPr>
        <w:t xml:space="preserve"> by indigenous women as well as past and recurrent human rights</w:t>
      </w:r>
      <w:r>
        <w:rPr>
          <w:rFonts w:eastAsia="Cambria"/>
          <w:lang w:val="en-CA"/>
        </w:rPr>
        <w:t xml:space="preserve"> v</w:t>
      </w:r>
      <w:r w:rsidRPr="003A1579">
        <w:rPr>
          <w:rFonts w:eastAsia="Cambria"/>
          <w:lang w:val="en-CA"/>
        </w:rPr>
        <w:t>iolations in relation to their sexual and reproductive rights.</w:t>
      </w:r>
      <w:r w:rsidR="00983B43" w:rsidRPr="00983B43">
        <w:rPr>
          <w:rStyle w:val="Heading4Char"/>
          <w:color w:val="000000"/>
        </w:rPr>
        <w:t xml:space="preserve"> </w:t>
      </w:r>
      <w:r w:rsidR="00983B43" w:rsidRPr="002A167C">
        <w:rPr>
          <w:rStyle w:val="FootnoteReference"/>
          <w:color w:val="000000"/>
        </w:rPr>
        <w:footnoteReference w:id="64"/>
      </w:r>
      <w:r w:rsidRPr="003A1579">
        <w:rPr>
          <w:rFonts w:eastAsia="Cambria"/>
          <w:lang w:val="en-CA"/>
        </w:rPr>
        <w:t xml:space="preserve"> For example, indigenous women experience disproportionately higher levels of maternal mortality</w:t>
      </w:r>
      <w:r>
        <w:rPr>
          <w:rFonts w:eastAsia="Cambria"/>
          <w:lang w:val="en-CA"/>
        </w:rPr>
        <w:t>,</w:t>
      </w:r>
      <w:r w:rsidRPr="003A1579">
        <w:rPr>
          <w:rFonts w:eastAsia="Cambria"/>
          <w:lang w:val="en-CA"/>
        </w:rPr>
        <w:t xml:space="preserve"> indigenous girls are overrepresented </w:t>
      </w:r>
      <w:r>
        <w:rPr>
          <w:rFonts w:eastAsia="Cambria"/>
          <w:lang w:val="en-CA"/>
        </w:rPr>
        <w:t>among pregnant</w:t>
      </w:r>
      <w:r w:rsidRPr="003A1579">
        <w:rPr>
          <w:rFonts w:eastAsia="Cambria"/>
          <w:lang w:val="en-CA"/>
        </w:rPr>
        <w:t xml:space="preserve"> teenage</w:t>
      </w:r>
      <w:r>
        <w:rPr>
          <w:rFonts w:eastAsia="Cambria"/>
          <w:lang w:val="en-CA"/>
        </w:rPr>
        <w:t>rs and</w:t>
      </w:r>
      <w:r w:rsidRPr="003A1579">
        <w:rPr>
          <w:rFonts w:eastAsia="Cambria"/>
          <w:lang w:val="en-CA"/>
        </w:rPr>
        <w:t xml:space="preserve"> </w:t>
      </w:r>
      <w:r>
        <w:rPr>
          <w:rFonts w:eastAsia="Cambria"/>
          <w:lang w:val="en-CA"/>
        </w:rPr>
        <w:t>indigenous women have lower</w:t>
      </w:r>
      <w:r w:rsidRPr="003A1579">
        <w:rPr>
          <w:rFonts w:eastAsia="Cambria"/>
          <w:lang w:val="en-CA"/>
        </w:rPr>
        <w:t xml:space="preserve"> rates of contraceptive </w:t>
      </w:r>
      <w:r>
        <w:rPr>
          <w:rFonts w:eastAsia="Cambria"/>
          <w:lang w:val="en-CA"/>
        </w:rPr>
        <w:t>use</w:t>
      </w:r>
      <w:r w:rsidRPr="003A1579">
        <w:rPr>
          <w:rFonts w:eastAsia="Cambria"/>
          <w:lang w:val="en-CA"/>
        </w:rPr>
        <w:t xml:space="preserve"> and high</w:t>
      </w:r>
      <w:r>
        <w:rPr>
          <w:rFonts w:eastAsia="Cambria"/>
          <w:lang w:val="en-CA"/>
        </w:rPr>
        <w:t>er</w:t>
      </w:r>
      <w:r w:rsidRPr="003A1579">
        <w:rPr>
          <w:rFonts w:eastAsia="Cambria"/>
          <w:lang w:val="en-CA"/>
        </w:rPr>
        <w:t xml:space="preserve"> rates of sexually transmitted diseases</w:t>
      </w:r>
      <w:r>
        <w:rPr>
          <w:rFonts w:eastAsia="Cambria"/>
          <w:lang w:val="en-CA"/>
        </w:rPr>
        <w:t>,</w:t>
      </w:r>
      <w:r w:rsidRPr="003A1579">
        <w:rPr>
          <w:rFonts w:eastAsia="Cambria"/>
          <w:lang w:val="en-CA"/>
        </w:rPr>
        <w:t xml:space="preserve"> </w:t>
      </w:r>
      <w:r w:rsidRPr="003A1579">
        <w:rPr>
          <w:rFonts w:eastAsia="Cambria"/>
          <w:lang w:val="en-CA"/>
        </w:rPr>
        <w:lastRenderedPageBreak/>
        <w:t>including HIV/AIDS.</w:t>
      </w:r>
      <w:r w:rsidR="00983B43" w:rsidRPr="00983B43">
        <w:rPr>
          <w:rStyle w:val="Heading4Char"/>
          <w:rFonts w:eastAsia="Cambria"/>
          <w:lang w:val="en-CA"/>
        </w:rPr>
        <w:t xml:space="preserve"> </w:t>
      </w:r>
      <w:r w:rsidR="00983B43">
        <w:rPr>
          <w:rStyle w:val="FootnoteReference"/>
          <w:rFonts w:eastAsia="Cambria"/>
          <w:lang w:val="en-CA"/>
        </w:rPr>
        <w:footnoteReference w:id="65"/>
      </w:r>
      <w:r w:rsidR="00983B43" w:rsidRPr="003A1579">
        <w:rPr>
          <w:rFonts w:eastAsia="Cambria"/>
          <w:lang w:val="en-CA"/>
        </w:rPr>
        <w:t xml:space="preserve"> </w:t>
      </w:r>
      <w:r>
        <w:rPr>
          <w:rFonts w:eastAsia="Cambria"/>
          <w:lang w:val="en-CA"/>
        </w:rPr>
        <w:t>Historically, there</w:t>
      </w:r>
      <w:r w:rsidRPr="003A1579">
        <w:rPr>
          <w:rFonts w:eastAsia="Cambria"/>
          <w:lang w:val="en-CA"/>
        </w:rPr>
        <w:t xml:space="preserve"> have also been </w:t>
      </w:r>
      <w:r>
        <w:rPr>
          <w:rFonts w:eastAsia="Cambria"/>
          <w:lang w:val="en-CA"/>
        </w:rPr>
        <w:t xml:space="preserve">instances of serious </w:t>
      </w:r>
      <w:r w:rsidRPr="003A1579">
        <w:rPr>
          <w:rFonts w:eastAsia="Cambria"/>
          <w:lang w:val="en-CA"/>
        </w:rPr>
        <w:t>violations of indige</w:t>
      </w:r>
      <w:r>
        <w:rPr>
          <w:rFonts w:eastAsia="Cambria"/>
          <w:lang w:val="en-CA"/>
        </w:rPr>
        <w:t xml:space="preserve">nous women’s rights to </w:t>
      </w:r>
      <w:r w:rsidRPr="003A1579">
        <w:rPr>
          <w:rFonts w:eastAsia="Cambria"/>
          <w:lang w:val="en-CA"/>
        </w:rPr>
        <w:t>reproductive</w:t>
      </w:r>
      <w:r>
        <w:rPr>
          <w:rFonts w:eastAsia="Cambria"/>
          <w:lang w:val="en-CA"/>
        </w:rPr>
        <w:t xml:space="preserve"> </w:t>
      </w:r>
      <w:r w:rsidRPr="003A1579">
        <w:rPr>
          <w:rFonts w:eastAsia="Cambria"/>
          <w:lang w:val="en-CA"/>
        </w:rPr>
        <w:t xml:space="preserve">health in the context of </w:t>
      </w:r>
      <w:r>
        <w:rPr>
          <w:rFonts w:eastAsia="Cambria"/>
          <w:lang w:val="en-CA"/>
        </w:rPr>
        <w:t xml:space="preserve">the </w:t>
      </w:r>
      <w:r w:rsidRPr="003A1579">
        <w:rPr>
          <w:rFonts w:eastAsia="Cambria"/>
          <w:lang w:val="en-CA"/>
        </w:rPr>
        <w:t xml:space="preserve">denial of the rights </w:t>
      </w:r>
      <w:r>
        <w:rPr>
          <w:rFonts w:eastAsia="Cambria"/>
          <w:lang w:val="en-CA"/>
        </w:rPr>
        <w:t xml:space="preserve">of indigenous peoples </w:t>
      </w:r>
      <w:r w:rsidRPr="003A1579">
        <w:rPr>
          <w:rFonts w:eastAsia="Cambria"/>
          <w:lang w:val="en-CA"/>
        </w:rPr>
        <w:t xml:space="preserve">to self-determination and cultural autonomy. Those violations include forced sterilization of indigenous women and attempts to force </w:t>
      </w:r>
      <w:r>
        <w:rPr>
          <w:rFonts w:eastAsia="Cambria"/>
          <w:lang w:val="en-CA"/>
        </w:rPr>
        <w:t>them</w:t>
      </w:r>
      <w:r w:rsidRPr="003A1579">
        <w:rPr>
          <w:rFonts w:eastAsia="Cambria"/>
          <w:lang w:val="en-CA"/>
        </w:rPr>
        <w:t xml:space="preserve"> to have children with non</w:t>
      </w:r>
      <w:r>
        <w:rPr>
          <w:rFonts w:eastAsia="Cambria"/>
          <w:lang w:val="en-CA"/>
        </w:rPr>
        <w:t>-</w:t>
      </w:r>
      <w:r w:rsidRPr="003A1579">
        <w:rPr>
          <w:rFonts w:eastAsia="Cambria"/>
          <w:lang w:val="en-CA"/>
        </w:rPr>
        <w:t>indigenous men as part of policies of cultural assimilation. Indigenous women may also face barriers to preventive care services that support their right to health, such as screening for ovarian and breast cancer.</w:t>
      </w:r>
      <w:r w:rsidR="00983B43" w:rsidRPr="00983B43">
        <w:rPr>
          <w:rStyle w:val="Heading4Char"/>
          <w:rFonts w:eastAsia="Cambria"/>
          <w:lang w:val="en-CA"/>
        </w:rPr>
        <w:t xml:space="preserve"> </w:t>
      </w:r>
      <w:r w:rsidR="00983B43">
        <w:rPr>
          <w:rStyle w:val="FootnoteReference"/>
          <w:rFonts w:eastAsia="Cambria"/>
          <w:lang w:val="en-CA"/>
        </w:rPr>
        <w:footnoteReference w:id="66"/>
      </w:r>
    </w:p>
    <w:p w:rsidR="00CA109F" w:rsidRPr="003A1579" w:rsidRDefault="00CA109F" w:rsidP="00CA109F">
      <w:pPr>
        <w:pStyle w:val="SingleTxtG"/>
        <w:rPr>
          <w:rFonts w:eastAsia="Cambria"/>
          <w:lang w:val="en-CA"/>
        </w:rPr>
      </w:pPr>
      <w:r>
        <w:rPr>
          <w:rFonts w:eastAsia="Cambria"/>
          <w:lang w:val="en-CA"/>
        </w:rPr>
        <w:t>55</w:t>
      </w:r>
      <w:r w:rsidRPr="003A1579">
        <w:rPr>
          <w:rFonts w:eastAsia="Cambria"/>
          <w:lang w:val="en-CA"/>
        </w:rPr>
        <w:t>.</w:t>
      </w:r>
      <w:r w:rsidRPr="003A1579">
        <w:rPr>
          <w:rFonts w:eastAsia="Cambria"/>
          <w:lang w:val="en-CA"/>
        </w:rPr>
        <w:tab/>
        <w:t xml:space="preserve">The deplorable health outcomes </w:t>
      </w:r>
      <w:r>
        <w:rPr>
          <w:rFonts w:eastAsia="Cambria"/>
          <w:lang w:val="en-CA"/>
        </w:rPr>
        <w:t>for</w:t>
      </w:r>
      <w:r w:rsidRPr="003A1579">
        <w:rPr>
          <w:rFonts w:eastAsia="Cambria"/>
          <w:lang w:val="en-CA"/>
        </w:rPr>
        <w:t xml:space="preserve"> indigenous women are linked to decades of oppression and human rights violations against indigenous peoples, and </w:t>
      </w:r>
      <w:r>
        <w:rPr>
          <w:rFonts w:eastAsia="Cambria"/>
          <w:lang w:val="en-CA"/>
        </w:rPr>
        <w:t xml:space="preserve">against </w:t>
      </w:r>
      <w:r w:rsidRPr="003A1579">
        <w:rPr>
          <w:rFonts w:eastAsia="Cambria"/>
          <w:lang w:val="en-CA"/>
        </w:rPr>
        <w:t>indigenous women</w:t>
      </w:r>
      <w:r>
        <w:rPr>
          <w:rFonts w:eastAsia="Cambria"/>
          <w:lang w:val="en-CA"/>
        </w:rPr>
        <w:t xml:space="preserve"> in particular</w:t>
      </w:r>
      <w:r w:rsidRPr="003A1579">
        <w:rPr>
          <w:rFonts w:eastAsia="Cambria"/>
          <w:lang w:val="en-CA"/>
        </w:rPr>
        <w:t>. Furthermore, non</w:t>
      </w:r>
      <w:r>
        <w:rPr>
          <w:rFonts w:eastAsia="Cambria"/>
          <w:lang w:val="en-CA"/>
        </w:rPr>
        <w:t>-</w:t>
      </w:r>
      <w:r w:rsidRPr="003A1579">
        <w:rPr>
          <w:rFonts w:eastAsia="Cambria"/>
          <w:lang w:val="en-CA"/>
        </w:rPr>
        <w:t>indigenous health systems generally do not take into account the indigenous concept of health</w:t>
      </w:r>
      <w:r>
        <w:rPr>
          <w:rFonts w:eastAsia="Cambria"/>
          <w:lang w:val="en-CA"/>
        </w:rPr>
        <w:t xml:space="preserve"> and health care</w:t>
      </w:r>
      <w:r w:rsidRPr="003A1579">
        <w:rPr>
          <w:rFonts w:eastAsia="Cambria"/>
          <w:lang w:val="en-CA"/>
        </w:rPr>
        <w:t xml:space="preserve">, </w:t>
      </w:r>
      <w:r>
        <w:rPr>
          <w:rFonts w:eastAsia="Cambria"/>
          <w:lang w:val="en-CA"/>
        </w:rPr>
        <w:t>thereby creating</w:t>
      </w:r>
      <w:r w:rsidRPr="003A1579">
        <w:rPr>
          <w:rFonts w:eastAsia="Cambria"/>
          <w:lang w:val="en-CA"/>
        </w:rPr>
        <w:t xml:space="preserve"> barriers to access by indigenous women. </w:t>
      </w:r>
      <w:r>
        <w:rPr>
          <w:rFonts w:eastAsia="Cambria"/>
          <w:lang w:val="en-CA"/>
        </w:rPr>
        <w:t>D</w:t>
      </w:r>
      <w:r w:rsidRPr="003A1579">
        <w:rPr>
          <w:rFonts w:eastAsia="Cambria"/>
          <w:lang w:val="en-CA"/>
        </w:rPr>
        <w:t>ata usually fail to capture information on indigenous communities</w:t>
      </w:r>
      <w:r>
        <w:rPr>
          <w:rFonts w:eastAsia="Cambria"/>
          <w:lang w:val="en-CA"/>
        </w:rPr>
        <w:t>,</w:t>
      </w:r>
      <w:r w:rsidRPr="003A1579">
        <w:rPr>
          <w:rFonts w:eastAsia="Cambria"/>
          <w:lang w:val="en-CA"/>
        </w:rPr>
        <w:t xml:space="preserve"> </w:t>
      </w:r>
      <w:r>
        <w:rPr>
          <w:rFonts w:eastAsia="Cambria"/>
          <w:lang w:val="en-CA"/>
        </w:rPr>
        <w:t>rendering</w:t>
      </w:r>
      <w:r w:rsidRPr="003A1579">
        <w:rPr>
          <w:rFonts w:eastAsia="Cambria"/>
          <w:lang w:val="en-CA"/>
        </w:rPr>
        <w:t xml:space="preserve"> them “invisible”</w:t>
      </w:r>
      <w:r>
        <w:rPr>
          <w:rFonts w:eastAsia="Cambria"/>
          <w:lang w:val="en-CA"/>
        </w:rPr>
        <w:t>. E</w:t>
      </w:r>
      <w:r w:rsidRPr="003A1579">
        <w:rPr>
          <w:rFonts w:eastAsia="Cambria"/>
          <w:lang w:val="en-CA"/>
        </w:rPr>
        <w:t xml:space="preserve">ven when </w:t>
      </w:r>
      <w:r>
        <w:rPr>
          <w:rFonts w:eastAsia="Cambria"/>
          <w:lang w:val="en-CA"/>
        </w:rPr>
        <w:t>such information exists,</w:t>
      </w:r>
      <w:r w:rsidRPr="003A1579">
        <w:rPr>
          <w:rFonts w:eastAsia="Cambria"/>
          <w:lang w:val="en-CA"/>
        </w:rPr>
        <w:t xml:space="preserve"> it is generally not </w:t>
      </w:r>
      <w:r>
        <w:rPr>
          <w:rFonts w:eastAsia="Cambria"/>
          <w:lang w:val="en-CA"/>
        </w:rPr>
        <w:t>disaggregated by sex</w:t>
      </w:r>
      <w:r w:rsidRPr="003A1579">
        <w:rPr>
          <w:rFonts w:eastAsia="Cambria"/>
          <w:lang w:val="en-CA"/>
        </w:rPr>
        <w:t>.</w:t>
      </w:r>
      <w:r w:rsidR="00983B43" w:rsidRPr="00983B43">
        <w:rPr>
          <w:rStyle w:val="Heading4Char"/>
          <w:rFonts w:eastAsia="Cambria"/>
          <w:lang w:val="en-CA"/>
        </w:rPr>
        <w:t xml:space="preserve"> </w:t>
      </w:r>
      <w:r w:rsidR="00983B43">
        <w:rPr>
          <w:rStyle w:val="FootnoteReference"/>
          <w:rFonts w:eastAsia="Cambria"/>
          <w:lang w:val="en-CA"/>
        </w:rPr>
        <w:footnoteReference w:id="67"/>
      </w:r>
      <w:r w:rsidRPr="003A1579">
        <w:rPr>
          <w:rFonts w:eastAsia="Cambria"/>
          <w:lang w:val="en-CA"/>
        </w:rPr>
        <w:t xml:space="preserve"> Additionally, indigenous women are disproportionately affected by illness owing to reduced coping capacity caused by the denial of </w:t>
      </w:r>
      <w:r>
        <w:rPr>
          <w:rFonts w:eastAsia="Cambria"/>
          <w:lang w:val="en-CA"/>
        </w:rPr>
        <w:t xml:space="preserve">other human </w:t>
      </w:r>
      <w:r w:rsidRPr="003A1579">
        <w:rPr>
          <w:rFonts w:eastAsia="Cambria"/>
          <w:lang w:val="en-CA"/>
        </w:rPr>
        <w:t xml:space="preserve">rights and </w:t>
      </w:r>
      <w:r>
        <w:rPr>
          <w:rFonts w:eastAsia="Cambria"/>
          <w:lang w:val="en-CA"/>
        </w:rPr>
        <w:t xml:space="preserve">by </w:t>
      </w:r>
      <w:r w:rsidRPr="003A1579">
        <w:rPr>
          <w:rFonts w:eastAsia="Cambria"/>
          <w:lang w:val="en-CA"/>
        </w:rPr>
        <w:t>extreme poverty.</w:t>
      </w:r>
      <w:r w:rsidR="00983B43" w:rsidRPr="00983B43">
        <w:rPr>
          <w:rStyle w:val="Heading4Char"/>
          <w:rFonts w:eastAsia="Cambria"/>
          <w:lang w:val="en-CA"/>
        </w:rPr>
        <w:t xml:space="preserve"> </w:t>
      </w:r>
      <w:r w:rsidR="00983B43">
        <w:rPr>
          <w:rStyle w:val="FootnoteReference"/>
          <w:rFonts w:eastAsia="Cambria"/>
          <w:lang w:val="en-CA"/>
        </w:rPr>
        <w:footnoteReference w:id="68"/>
      </w:r>
      <w:r w:rsidRPr="003A1579">
        <w:rPr>
          <w:rFonts w:eastAsia="Cambria"/>
          <w:lang w:val="en-CA"/>
        </w:rPr>
        <w:t xml:space="preserve">  </w:t>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Rural women</w:t>
      </w:r>
    </w:p>
    <w:p w:rsidR="00CA109F" w:rsidRPr="003A1579" w:rsidRDefault="00CA109F" w:rsidP="00CA109F">
      <w:pPr>
        <w:pStyle w:val="SingleTxtG"/>
        <w:rPr>
          <w:rFonts w:eastAsia="Cambria"/>
          <w:lang w:val="en-CA"/>
        </w:rPr>
      </w:pPr>
      <w:r>
        <w:rPr>
          <w:rFonts w:eastAsia="Cambria"/>
          <w:lang w:val="en-CA"/>
        </w:rPr>
        <w:t>56</w:t>
      </w:r>
      <w:r w:rsidRPr="003A1579">
        <w:rPr>
          <w:rFonts w:eastAsia="Cambria"/>
          <w:lang w:val="en-CA"/>
        </w:rPr>
        <w:t>.</w:t>
      </w:r>
      <w:r w:rsidRPr="003A1579">
        <w:rPr>
          <w:rFonts w:eastAsia="Cambria"/>
          <w:lang w:val="en-CA"/>
        </w:rPr>
        <w:tab/>
        <w:t xml:space="preserve">Rural women are particularly </w:t>
      </w:r>
      <w:r>
        <w:rPr>
          <w:rFonts w:eastAsia="Cambria"/>
          <w:lang w:val="en-CA"/>
        </w:rPr>
        <w:t xml:space="preserve">affected by </w:t>
      </w:r>
      <w:r w:rsidRPr="003A1579">
        <w:rPr>
          <w:rFonts w:eastAsia="Cambria"/>
          <w:lang w:val="en-CA"/>
        </w:rPr>
        <w:t xml:space="preserve">patriarchal gender stereotypes and roles and are </w:t>
      </w:r>
      <w:r>
        <w:rPr>
          <w:rFonts w:eastAsia="Cambria"/>
          <w:lang w:val="en-CA"/>
        </w:rPr>
        <w:t xml:space="preserve">extremely </w:t>
      </w:r>
      <w:r w:rsidRPr="003A1579">
        <w:rPr>
          <w:rFonts w:eastAsia="Cambria"/>
          <w:lang w:val="en-CA"/>
        </w:rPr>
        <w:t>vulnerable to harmful practices such as early or forced marriage</w:t>
      </w:r>
      <w:r>
        <w:rPr>
          <w:rFonts w:eastAsia="Cambria"/>
          <w:lang w:val="en-CA"/>
        </w:rPr>
        <w:t xml:space="preserve"> and</w:t>
      </w:r>
      <w:r w:rsidRPr="003A1579">
        <w:rPr>
          <w:rFonts w:eastAsia="Cambria"/>
          <w:lang w:val="en-CA"/>
        </w:rPr>
        <w:t xml:space="preserve"> female genital mutilation, as well as to </w:t>
      </w:r>
      <w:r>
        <w:rPr>
          <w:rFonts w:eastAsia="Cambria"/>
          <w:lang w:val="en-CA"/>
        </w:rPr>
        <w:t xml:space="preserve">violence and </w:t>
      </w:r>
      <w:r w:rsidRPr="003A1579">
        <w:rPr>
          <w:rFonts w:eastAsia="Cambria"/>
          <w:lang w:val="en-CA"/>
        </w:rPr>
        <w:t xml:space="preserve">poverty. </w:t>
      </w:r>
      <w:r>
        <w:rPr>
          <w:rFonts w:eastAsia="Cambria"/>
          <w:lang w:val="en-CA"/>
        </w:rPr>
        <w:t>T</w:t>
      </w:r>
      <w:r w:rsidRPr="003A1579">
        <w:rPr>
          <w:rFonts w:eastAsia="Cambria"/>
          <w:lang w:val="en-CA"/>
        </w:rPr>
        <w:t xml:space="preserve">hese </w:t>
      </w:r>
      <w:r>
        <w:rPr>
          <w:rFonts w:eastAsia="Cambria"/>
          <w:lang w:val="en-CA"/>
        </w:rPr>
        <w:t xml:space="preserve">practices </w:t>
      </w:r>
      <w:r w:rsidRPr="003A1579">
        <w:rPr>
          <w:rFonts w:eastAsia="Cambria"/>
          <w:lang w:val="en-CA"/>
        </w:rPr>
        <w:t>have a negative impact on their right to health</w:t>
      </w:r>
      <w:r>
        <w:rPr>
          <w:rFonts w:eastAsia="Cambria"/>
          <w:lang w:val="en-CA"/>
        </w:rPr>
        <w:t>. Rural women</w:t>
      </w:r>
      <w:r w:rsidRPr="003A1579">
        <w:rPr>
          <w:rFonts w:eastAsia="Cambria"/>
          <w:lang w:val="en-CA"/>
        </w:rPr>
        <w:t xml:space="preserve"> are usually particularly disadvantaged in accessing </w:t>
      </w:r>
      <w:r>
        <w:rPr>
          <w:rFonts w:eastAsia="Cambria"/>
          <w:lang w:val="en-CA"/>
        </w:rPr>
        <w:t>health-care</w:t>
      </w:r>
      <w:r w:rsidRPr="003A1579">
        <w:rPr>
          <w:rFonts w:eastAsia="Cambria"/>
          <w:lang w:val="en-CA"/>
        </w:rPr>
        <w:t xml:space="preserve"> services, including reproductive and sexual health services.</w:t>
      </w:r>
      <w:r w:rsidR="00983B43" w:rsidRPr="00983B43">
        <w:rPr>
          <w:rStyle w:val="Heading4Char"/>
          <w:color w:val="000007"/>
          <w:szCs w:val="22"/>
        </w:rPr>
        <w:t xml:space="preserve"> </w:t>
      </w:r>
      <w:r w:rsidR="00983B43" w:rsidRPr="00AD72BC">
        <w:rPr>
          <w:rStyle w:val="FootnoteReference"/>
          <w:color w:val="000007"/>
          <w:szCs w:val="22"/>
        </w:rPr>
        <w:footnoteReference w:id="69"/>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Minority women</w:t>
      </w:r>
    </w:p>
    <w:p w:rsidR="00CA109F" w:rsidRDefault="00CA109F" w:rsidP="00CA109F">
      <w:pPr>
        <w:pStyle w:val="SingleTxtG"/>
        <w:rPr>
          <w:rFonts w:eastAsia="Cambria"/>
          <w:lang w:val="en-CA"/>
        </w:rPr>
      </w:pPr>
      <w:r>
        <w:rPr>
          <w:rFonts w:eastAsia="Cambria"/>
          <w:lang w:val="en-CA"/>
        </w:rPr>
        <w:t>57.</w:t>
      </w:r>
      <w:r w:rsidRPr="003A1579">
        <w:rPr>
          <w:rFonts w:eastAsia="Cambria"/>
          <w:lang w:val="en-CA"/>
        </w:rPr>
        <w:tab/>
        <w:t>As highlighted by the Special Rapporteur on minority issues</w:t>
      </w:r>
      <w:r>
        <w:rPr>
          <w:rFonts w:eastAsia="Cambria"/>
          <w:lang w:val="en-CA"/>
        </w:rPr>
        <w:t xml:space="preserve"> (A/HRC/31/56)</w:t>
      </w:r>
      <w:r w:rsidRPr="003A1579">
        <w:rPr>
          <w:rFonts w:eastAsia="Cambria"/>
          <w:lang w:val="en-CA"/>
        </w:rPr>
        <w:t>, minority women, including women</w:t>
      </w:r>
      <w:r>
        <w:rPr>
          <w:rFonts w:eastAsia="Cambria"/>
          <w:lang w:val="en-CA"/>
        </w:rPr>
        <w:t xml:space="preserve"> affected by discrimination based on caste</w:t>
      </w:r>
      <w:r w:rsidRPr="003A1579">
        <w:rPr>
          <w:rFonts w:eastAsia="Cambria"/>
          <w:lang w:val="en-CA"/>
        </w:rPr>
        <w:t>, are particularly vulnerable to violations of their right to health, including r</w:t>
      </w:r>
      <w:r w:rsidR="00CA1D87">
        <w:rPr>
          <w:rFonts w:eastAsia="Cambria"/>
          <w:lang w:val="en-CA"/>
        </w:rPr>
        <w:t>eproductive and sexual health.</w:t>
      </w:r>
      <w:r w:rsidR="00983B43" w:rsidRPr="00983B43">
        <w:rPr>
          <w:rStyle w:val="Heading4Char"/>
          <w:rFonts w:eastAsia="Cambria"/>
          <w:lang w:val="en-CA"/>
        </w:rPr>
        <w:t xml:space="preserve"> </w:t>
      </w:r>
      <w:r w:rsidR="00983B43">
        <w:rPr>
          <w:rStyle w:val="FootnoteReference"/>
          <w:rFonts w:eastAsia="Cambria"/>
          <w:lang w:val="en-CA"/>
        </w:rPr>
        <w:footnoteReference w:id="70"/>
      </w:r>
      <w:r w:rsidR="00CA1D87">
        <w:rPr>
          <w:rFonts w:eastAsia="Cambria"/>
          <w:lang w:val="en-CA"/>
        </w:rPr>
        <w:t xml:space="preserve"> </w:t>
      </w:r>
      <w:r w:rsidRPr="003A1579">
        <w:rPr>
          <w:rFonts w:eastAsia="Cambria"/>
          <w:lang w:val="en-CA"/>
        </w:rPr>
        <w:t xml:space="preserve">Women </w:t>
      </w:r>
      <w:r>
        <w:rPr>
          <w:rFonts w:eastAsia="Cambria"/>
          <w:lang w:val="en-CA"/>
        </w:rPr>
        <w:t>members</w:t>
      </w:r>
      <w:r w:rsidRPr="003A1579">
        <w:rPr>
          <w:rFonts w:eastAsia="Cambria"/>
          <w:lang w:val="en-CA"/>
        </w:rPr>
        <w:t xml:space="preserve"> </w:t>
      </w:r>
      <w:r>
        <w:rPr>
          <w:rFonts w:eastAsia="Cambria"/>
          <w:lang w:val="en-CA"/>
        </w:rPr>
        <w:t>of “</w:t>
      </w:r>
      <w:r w:rsidRPr="003A1579">
        <w:rPr>
          <w:rFonts w:eastAsia="Cambria"/>
          <w:lang w:val="en-CA"/>
        </w:rPr>
        <w:t>lower caste</w:t>
      </w:r>
      <w:r>
        <w:rPr>
          <w:rFonts w:eastAsia="Cambria"/>
          <w:lang w:val="en-CA"/>
        </w:rPr>
        <w:t>” groups</w:t>
      </w:r>
      <w:r w:rsidRPr="003A1579">
        <w:rPr>
          <w:rFonts w:eastAsia="Cambria"/>
          <w:lang w:val="en-CA"/>
        </w:rPr>
        <w:t xml:space="preserve"> present the worst health outcomes, especially </w:t>
      </w:r>
      <w:r>
        <w:rPr>
          <w:rFonts w:eastAsia="Cambria"/>
          <w:lang w:val="en-CA"/>
        </w:rPr>
        <w:t>in terms of</w:t>
      </w:r>
      <w:r w:rsidRPr="003A1579">
        <w:rPr>
          <w:rFonts w:eastAsia="Cambria"/>
          <w:lang w:val="en-CA"/>
        </w:rPr>
        <w:t xml:space="preserve"> life expectancy, access to maternal care, nutrition and </w:t>
      </w:r>
      <w:r>
        <w:rPr>
          <w:rFonts w:eastAsia="Cambria"/>
          <w:lang w:val="en-CA"/>
        </w:rPr>
        <w:t xml:space="preserve">incidence of </w:t>
      </w:r>
      <w:r w:rsidRPr="003A1579">
        <w:rPr>
          <w:rFonts w:eastAsia="Cambria"/>
          <w:lang w:val="en-CA"/>
        </w:rPr>
        <w:t>infections.</w:t>
      </w:r>
      <w:r w:rsidR="00983B43" w:rsidRPr="00983B43">
        <w:rPr>
          <w:rStyle w:val="Heading4Char"/>
          <w:rFonts w:eastAsia="Cambria"/>
          <w:lang w:val="en-CA"/>
        </w:rPr>
        <w:t xml:space="preserve"> </w:t>
      </w:r>
      <w:r w:rsidR="00983B43">
        <w:rPr>
          <w:rStyle w:val="FootnoteReference"/>
          <w:rFonts w:eastAsia="Cambria"/>
          <w:lang w:val="en-CA"/>
        </w:rPr>
        <w:footnoteReference w:id="71"/>
      </w:r>
      <w:r w:rsidR="00983B43" w:rsidRPr="003A1579">
        <w:rPr>
          <w:rFonts w:eastAsia="Cambria"/>
          <w:lang w:val="en-CA"/>
        </w:rPr>
        <w:t xml:space="preserve"> </w:t>
      </w:r>
      <w:r w:rsidRPr="003A1579">
        <w:rPr>
          <w:rFonts w:eastAsia="Cambria"/>
          <w:lang w:val="en-CA"/>
        </w:rPr>
        <w:t xml:space="preserve"> Roma women are </w:t>
      </w:r>
      <w:r>
        <w:rPr>
          <w:rFonts w:eastAsia="Cambria"/>
          <w:lang w:val="en-CA"/>
        </w:rPr>
        <w:t>the subjects of</w:t>
      </w:r>
      <w:r w:rsidRPr="003A1579">
        <w:rPr>
          <w:rFonts w:eastAsia="Cambria"/>
          <w:lang w:val="en-CA"/>
        </w:rPr>
        <w:t xml:space="preserve"> degrading stereotypes</w:t>
      </w:r>
      <w:r>
        <w:rPr>
          <w:rFonts w:eastAsia="Cambria"/>
          <w:lang w:val="en-CA"/>
        </w:rPr>
        <w:t>,</w:t>
      </w:r>
      <w:r w:rsidRPr="003A1579">
        <w:rPr>
          <w:rFonts w:eastAsia="Cambria"/>
          <w:lang w:val="en-CA"/>
        </w:rPr>
        <w:t xml:space="preserve"> depicted as “fertile” and “promiscuous”</w:t>
      </w:r>
      <w:r>
        <w:rPr>
          <w:rFonts w:eastAsia="Cambria"/>
          <w:lang w:val="en-CA"/>
        </w:rPr>
        <w:t>;</w:t>
      </w:r>
      <w:r w:rsidRPr="003A1579">
        <w:rPr>
          <w:rFonts w:eastAsia="Cambria"/>
          <w:lang w:val="en-CA"/>
        </w:rPr>
        <w:t xml:space="preserve"> </w:t>
      </w:r>
      <w:r>
        <w:rPr>
          <w:rFonts w:eastAsia="Cambria"/>
          <w:lang w:val="en-CA"/>
        </w:rPr>
        <w:t>this</w:t>
      </w:r>
      <w:r w:rsidRPr="003A1579">
        <w:rPr>
          <w:rFonts w:eastAsia="Cambria"/>
          <w:lang w:val="en-CA"/>
        </w:rPr>
        <w:t xml:space="preserve"> </w:t>
      </w:r>
      <w:r>
        <w:rPr>
          <w:rFonts w:eastAsia="Cambria"/>
          <w:lang w:val="en-CA"/>
        </w:rPr>
        <w:t>increases</w:t>
      </w:r>
      <w:r w:rsidRPr="003A1579">
        <w:rPr>
          <w:rFonts w:eastAsia="Cambria"/>
          <w:lang w:val="en-CA"/>
        </w:rPr>
        <w:t xml:space="preserve"> their vulnerability to gender-based violence and forced sterilization.</w:t>
      </w:r>
      <w:r w:rsidR="00983B43" w:rsidRPr="00983B43">
        <w:rPr>
          <w:rStyle w:val="Heading4Char"/>
          <w:rFonts w:eastAsia="Cambria"/>
          <w:lang w:val="en-CA"/>
        </w:rPr>
        <w:t xml:space="preserve"> </w:t>
      </w:r>
      <w:r w:rsidR="00983B43">
        <w:rPr>
          <w:rStyle w:val="FootnoteReference"/>
          <w:rFonts w:eastAsia="Cambria"/>
          <w:lang w:val="en-CA"/>
        </w:rPr>
        <w:footnoteReference w:id="72"/>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Women</w:t>
      </w:r>
      <w:r>
        <w:rPr>
          <w:rFonts w:eastAsia="Cambria"/>
          <w:lang w:val="en-CA"/>
        </w:rPr>
        <w:t xml:space="preserve">’s </w:t>
      </w:r>
      <w:r w:rsidRPr="003A1579">
        <w:rPr>
          <w:rFonts w:eastAsia="Cambria"/>
          <w:lang w:val="en-CA"/>
        </w:rPr>
        <w:t xml:space="preserve">sexual orientation and </w:t>
      </w:r>
      <w:r>
        <w:rPr>
          <w:rFonts w:eastAsia="Cambria"/>
          <w:lang w:val="en-CA"/>
        </w:rPr>
        <w:t xml:space="preserve">gender </w:t>
      </w:r>
      <w:r w:rsidRPr="003A1579">
        <w:rPr>
          <w:rFonts w:eastAsia="Cambria"/>
          <w:lang w:val="en-CA"/>
        </w:rPr>
        <w:t>identity</w:t>
      </w:r>
    </w:p>
    <w:p w:rsidR="00CA109F" w:rsidRPr="003A1579" w:rsidRDefault="00CA109F" w:rsidP="00CA109F">
      <w:pPr>
        <w:pStyle w:val="SingleTxtG"/>
        <w:rPr>
          <w:rFonts w:eastAsia="Cambria"/>
          <w:lang w:val="en-CA"/>
        </w:rPr>
      </w:pPr>
      <w:r>
        <w:rPr>
          <w:rFonts w:eastAsia="Cambria"/>
          <w:lang w:val="en-CA"/>
        </w:rPr>
        <w:t>58</w:t>
      </w:r>
      <w:r w:rsidRPr="003A1579">
        <w:rPr>
          <w:rFonts w:eastAsia="Cambria"/>
          <w:lang w:val="en-CA"/>
        </w:rPr>
        <w:t>.</w:t>
      </w:r>
      <w:r w:rsidRPr="003A1579">
        <w:rPr>
          <w:rFonts w:eastAsia="Cambria"/>
          <w:lang w:val="en-CA"/>
        </w:rPr>
        <w:tab/>
        <w:t xml:space="preserve">In many settings, especially where same-sex consensual sexual behaviour is prohibited, </w:t>
      </w:r>
      <w:r>
        <w:rPr>
          <w:rFonts w:eastAsia="Cambria"/>
          <w:lang w:val="en-CA"/>
        </w:rPr>
        <w:t>lesbian, bisexual and transgender persons</w:t>
      </w:r>
      <w:r w:rsidRPr="003A1579">
        <w:rPr>
          <w:rFonts w:eastAsia="Cambria"/>
          <w:lang w:val="en-CA"/>
        </w:rPr>
        <w:t xml:space="preserve"> are deterred from seeking health services out of fear of being arrested and prosecuted. Even in countries </w:t>
      </w:r>
      <w:r w:rsidRPr="00EF2AB1">
        <w:rPr>
          <w:rFonts w:eastAsia="Cambria"/>
          <w:lang w:val="en-CA"/>
        </w:rPr>
        <w:t xml:space="preserve">where same-sex sexual orientation is not </w:t>
      </w:r>
      <w:r>
        <w:rPr>
          <w:rFonts w:eastAsia="Cambria"/>
          <w:lang w:val="en-CA"/>
        </w:rPr>
        <w:t>criminaliz</w:t>
      </w:r>
      <w:r w:rsidRPr="00EF2AB1">
        <w:rPr>
          <w:rFonts w:eastAsia="Cambria"/>
          <w:lang w:val="en-CA"/>
        </w:rPr>
        <w:t xml:space="preserve">ed, lesbians are often discriminated against and </w:t>
      </w:r>
      <w:r w:rsidRPr="00EF2AB1">
        <w:rPr>
          <w:rFonts w:eastAsia="Cambria"/>
          <w:lang w:val="en-CA"/>
        </w:rPr>
        <w:lastRenderedPageBreak/>
        <w:t>mistreated by medical providers, which deters them from seeking health services.</w:t>
      </w:r>
      <w:r w:rsidR="00983B43" w:rsidRPr="00983B43">
        <w:rPr>
          <w:rStyle w:val="Heading4Char"/>
          <w:rFonts w:eastAsia="Cambria"/>
          <w:lang w:val="en-CA"/>
        </w:rPr>
        <w:t xml:space="preserve"> </w:t>
      </w:r>
      <w:r w:rsidR="00983B43">
        <w:rPr>
          <w:rStyle w:val="FootnoteReference"/>
          <w:rFonts w:eastAsia="Cambria"/>
          <w:lang w:val="en-CA"/>
        </w:rPr>
        <w:footnoteReference w:id="73"/>
      </w:r>
      <w:r w:rsidRPr="00EF2AB1">
        <w:rPr>
          <w:rFonts w:eastAsia="Cambria"/>
          <w:lang w:val="en-CA"/>
        </w:rPr>
        <w:t xml:space="preserve"> In some settings, they are subjected to coercive, inhumane and degrading practices such as </w:t>
      </w:r>
      <w:r>
        <w:rPr>
          <w:rFonts w:eastAsia="Cambria"/>
          <w:lang w:val="en-CA"/>
        </w:rPr>
        <w:t>“</w:t>
      </w:r>
      <w:r w:rsidRPr="00EF2AB1">
        <w:rPr>
          <w:rFonts w:eastAsia="Cambria"/>
          <w:lang w:val="en-CA"/>
        </w:rPr>
        <w:t>corrective</w:t>
      </w:r>
      <w:r>
        <w:rPr>
          <w:rFonts w:eastAsia="Cambria"/>
          <w:lang w:val="en-CA"/>
        </w:rPr>
        <w:t>”</w:t>
      </w:r>
      <w:r w:rsidRPr="003A1579">
        <w:rPr>
          <w:rFonts w:eastAsia="Cambria"/>
          <w:lang w:val="en-CA"/>
        </w:rPr>
        <w:t xml:space="preserve"> </w:t>
      </w:r>
      <w:r>
        <w:rPr>
          <w:rFonts w:eastAsia="Cambria"/>
          <w:lang w:val="en-CA"/>
        </w:rPr>
        <w:t xml:space="preserve">or punitive </w:t>
      </w:r>
      <w:r w:rsidRPr="003A1579">
        <w:rPr>
          <w:rFonts w:eastAsia="Cambria"/>
          <w:lang w:val="en-CA"/>
        </w:rPr>
        <w:t>rape.</w:t>
      </w:r>
      <w:r w:rsidR="00983B43" w:rsidRPr="00983B43">
        <w:rPr>
          <w:rStyle w:val="Heading4Char"/>
          <w:color w:val="000007"/>
          <w:szCs w:val="24"/>
        </w:rPr>
        <w:t xml:space="preserve"> </w:t>
      </w:r>
      <w:r w:rsidR="00983B43" w:rsidRPr="000C19E8">
        <w:rPr>
          <w:rStyle w:val="FootnoteReference"/>
          <w:color w:val="000007"/>
          <w:szCs w:val="24"/>
        </w:rPr>
        <w:footnoteReference w:id="74"/>
      </w:r>
      <w:r w:rsidRPr="003A1579">
        <w:rPr>
          <w:rFonts w:eastAsia="Cambria"/>
          <w:lang w:val="en-CA"/>
        </w:rPr>
        <w:t xml:space="preserve"> Transgender persons are often subjected in law and practice to compulsory medical interventions without </w:t>
      </w:r>
      <w:r>
        <w:rPr>
          <w:rFonts w:eastAsia="Cambria"/>
          <w:lang w:val="en-CA"/>
        </w:rPr>
        <w:t xml:space="preserve">being given </w:t>
      </w:r>
      <w:r w:rsidRPr="003A1579">
        <w:rPr>
          <w:rFonts w:eastAsia="Cambria"/>
          <w:lang w:val="en-CA"/>
        </w:rPr>
        <w:t>an opportunity for inform</w:t>
      </w:r>
      <w:r w:rsidR="00CA1D87">
        <w:rPr>
          <w:rFonts w:eastAsia="Cambria"/>
          <w:lang w:val="en-CA"/>
        </w:rPr>
        <w:t>ed decision-making and choice.</w:t>
      </w:r>
      <w:r w:rsidR="00983B43" w:rsidRPr="00983B43">
        <w:rPr>
          <w:rStyle w:val="Heading4Char"/>
          <w:color w:val="000007"/>
        </w:rPr>
        <w:t xml:space="preserve"> </w:t>
      </w:r>
      <w:r w:rsidR="00983B43" w:rsidRPr="004B7E2A">
        <w:rPr>
          <w:rStyle w:val="FootnoteReference"/>
          <w:color w:val="000007"/>
        </w:rPr>
        <w:footnoteReference w:id="75"/>
      </w:r>
      <w:r w:rsidR="00CA1D87">
        <w:rPr>
          <w:rFonts w:eastAsia="Cambria"/>
          <w:lang w:val="en-CA"/>
        </w:rPr>
        <w:t xml:space="preserve"> </w:t>
      </w:r>
      <w:r w:rsidRPr="003A1579">
        <w:rPr>
          <w:rFonts w:eastAsia="Cambria"/>
          <w:lang w:val="en-CA"/>
        </w:rPr>
        <w:t xml:space="preserve">Their gender identity is </w:t>
      </w:r>
      <w:proofErr w:type="spellStart"/>
      <w:r w:rsidRPr="003A1579">
        <w:rPr>
          <w:rFonts w:eastAsia="Cambria"/>
          <w:lang w:val="en-CA"/>
        </w:rPr>
        <w:t>pathologized</w:t>
      </w:r>
      <w:proofErr w:type="spellEnd"/>
      <w:r w:rsidRPr="003A1579">
        <w:rPr>
          <w:rFonts w:eastAsia="Cambria"/>
          <w:lang w:val="en-CA"/>
        </w:rPr>
        <w:t xml:space="preserve"> in many countries and they are often subjected to mental and physical examinations</w:t>
      </w:r>
      <w:r>
        <w:rPr>
          <w:rFonts w:eastAsia="Cambria"/>
          <w:lang w:val="en-CA"/>
        </w:rPr>
        <w:t xml:space="preserve"> and</w:t>
      </w:r>
      <w:r w:rsidRPr="003A1579">
        <w:rPr>
          <w:rFonts w:eastAsia="Cambria"/>
          <w:lang w:val="en-CA"/>
        </w:rPr>
        <w:t xml:space="preserve"> treatments and forced to undergo </w:t>
      </w:r>
      <w:r>
        <w:rPr>
          <w:rFonts w:eastAsia="Cambria"/>
          <w:lang w:val="en-CA"/>
        </w:rPr>
        <w:t>“</w:t>
      </w:r>
      <w:r w:rsidRPr="003A1579">
        <w:rPr>
          <w:rFonts w:eastAsia="Cambria"/>
          <w:lang w:val="en-CA"/>
        </w:rPr>
        <w:t>conversion therapies</w:t>
      </w:r>
      <w:r>
        <w:rPr>
          <w:rFonts w:eastAsia="Cambria"/>
          <w:lang w:val="en-CA"/>
        </w:rPr>
        <w:t>”</w:t>
      </w:r>
      <w:r w:rsidR="00CA1D87">
        <w:rPr>
          <w:rFonts w:eastAsia="Cambria"/>
          <w:lang w:val="en-CA"/>
        </w:rPr>
        <w:t>.</w:t>
      </w:r>
      <w:r w:rsidR="00983B43" w:rsidRPr="00983B43">
        <w:rPr>
          <w:rStyle w:val="Heading4Char"/>
        </w:rPr>
        <w:t xml:space="preserve"> </w:t>
      </w:r>
      <w:r w:rsidR="00983B43" w:rsidRPr="004B7E2A">
        <w:rPr>
          <w:rStyle w:val="FootnoteReference"/>
        </w:rPr>
        <w:footnoteReference w:id="76"/>
      </w:r>
      <w:r w:rsidR="00CA1D87">
        <w:rPr>
          <w:rFonts w:eastAsia="Cambria"/>
          <w:lang w:val="en-CA"/>
        </w:rPr>
        <w:t xml:space="preserve"> </w:t>
      </w:r>
      <w:r w:rsidRPr="003A1579">
        <w:rPr>
          <w:rFonts w:eastAsia="Cambria"/>
          <w:lang w:val="en-CA"/>
        </w:rPr>
        <w:t>Transgender</w:t>
      </w:r>
      <w:r>
        <w:rPr>
          <w:rFonts w:eastAsia="Cambria"/>
          <w:lang w:val="en-CA"/>
        </w:rPr>
        <w:t xml:space="preserve"> persons’ </w:t>
      </w:r>
      <w:r w:rsidRPr="003A1579">
        <w:rPr>
          <w:rFonts w:eastAsia="Cambria"/>
          <w:lang w:val="en-CA"/>
        </w:rPr>
        <w:t xml:space="preserve">biological needs, such as </w:t>
      </w:r>
      <w:r>
        <w:rPr>
          <w:rFonts w:eastAsia="Cambria"/>
          <w:lang w:val="en-CA"/>
        </w:rPr>
        <w:t xml:space="preserve">transition-related medical services, </w:t>
      </w:r>
      <w:r w:rsidRPr="003A1579">
        <w:rPr>
          <w:rFonts w:eastAsia="Cambria"/>
          <w:lang w:val="en-CA"/>
        </w:rPr>
        <w:t xml:space="preserve">screening for cervical cancer, </w:t>
      </w:r>
      <w:r>
        <w:rPr>
          <w:rFonts w:eastAsia="Cambria"/>
          <w:lang w:val="en-CA"/>
        </w:rPr>
        <w:t xml:space="preserve">termination of pregnancy and </w:t>
      </w:r>
      <w:r w:rsidRPr="003A1579">
        <w:rPr>
          <w:rFonts w:eastAsia="Cambria"/>
          <w:lang w:val="en-CA"/>
        </w:rPr>
        <w:t xml:space="preserve">contraception, are often </w:t>
      </w:r>
      <w:r>
        <w:rPr>
          <w:rFonts w:eastAsia="Cambria"/>
          <w:lang w:val="en-CA"/>
        </w:rPr>
        <w:t>refused</w:t>
      </w:r>
      <w:r w:rsidRPr="003A1579">
        <w:rPr>
          <w:rFonts w:eastAsia="Cambria"/>
          <w:lang w:val="en-CA"/>
        </w:rPr>
        <w:t xml:space="preserve"> by service providers. </w:t>
      </w:r>
      <w:r w:rsidR="00983B43" w:rsidRPr="004B7E2A">
        <w:rPr>
          <w:rStyle w:val="FootnoteReference"/>
        </w:rPr>
        <w:footnoteReference w:id="77"/>
      </w:r>
      <w:r w:rsidRPr="003A1579">
        <w:rPr>
          <w:rFonts w:eastAsia="Cambria"/>
          <w:lang w:val="en-CA"/>
        </w:rPr>
        <w:t xml:space="preserve"> </w:t>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Women deprived of liberty</w:t>
      </w:r>
    </w:p>
    <w:p w:rsidR="00CA109F" w:rsidRPr="003A1579" w:rsidRDefault="00CA109F" w:rsidP="00CA109F">
      <w:pPr>
        <w:pStyle w:val="SingleTxtG"/>
        <w:rPr>
          <w:rFonts w:eastAsia="Cambria"/>
          <w:lang w:val="en-CA"/>
        </w:rPr>
      </w:pPr>
      <w:r>
        <w:rPr>
          <w:rFonts w:eastAsia="Cambria"/>
          <w:lang w:val="en-CA"/>
        </w:rPr>
        <w:t>59.</w:t>
      </w:r>
      <w:r>
        <w:rPr>
          <w:rFonts w:eastAsia="Cambria"/>
          <w:lang w:val="en-CA"/>
        </w:rPr>
        <w:tab/>
      </w:r>
      <w:r w:rsidRPr="003A1579">
        <w:rPr>
          <w:rFonts w:eastAsia="Cambria"/>
          <w:lang w:val="en-CA"/>
        </w:rPr>
        <w:t xml:space="preserve">Women in detention have specific health needs, particularly in terms of </w:t>
      </w:r>
      <w:r>
        <w:rPr>
          <w:rFonts w:eastAsia="Cambria"/>
          <w:lang w:val="en-CA"/>
        </w:rPr>
        <w:t xml:space="preserve">mental and </w:t>
      </w:r>
      <w:r w:rsidRPr="003A1579">
        <w:rPr>
          <w:rFonts w:eastAsia="Cambria"/>
          <w:lang w:val="en-CA"/>
        </w:rPr>
        <w:t xml:space="preserve">reproductive </w:t>
      </w:r>
      <w:r>
        <w:rPr>
          <w:rFonts w:eastAsia="Cambria"/>
          <w:lang w:val="en-CA"/>
        </w:rPr>
        <w:t>health care</w:t>
      </w:r>
      <w:r w:rsidRPr="003A1579">
        <w:rPr>
          <w:rFonts w:eastAsia="Cambria"/>
          <w:lang w:val="en-CA"/>
        </w:rPr>
        <w:t xml:space="preserve">, that are often neglected. </w:t>
      </w:r>
      <w:r>
        <w:rPr>
          <w:rFonts w:eastAsia="Cambria"/>
          <w:lang w:val="en-CA"/>
        </w:rPr>
        <w:t>P</w:t>
      </w:r>
      <w:r w:rsidRPr="003A1579">
        <w:rPr>
          <w:rFonts w:eastAsia="Cambria"/>
          <w:lang w:val="en-CA"/>
        </w:rPr>
        <w:t>reventive services related to cervical and breast cancer are often unavailable</w:t>
      </w:r>
      <w:r w:rsidR="00983B43" w:rsidRPr="004B7E2A">
        <w:rPr>
          <w:rStyle w:val="FootnoteReference"/>
        </w:rPr>
        <w:footnoteReference w:id="78"/>
      </w:r>
      <w:r w:rsidRPr="003A1579">
        <w:rPr>
          <w:rFonts w:eastAsia="Cambria"/>
          <w:lang w:val="en-CA"/>
        </w:rPr>
        <w:t xml:space="preserve"> and antiretroviral therapy, even for pregnant women living with HIV</w:t>
      </w:r>
      <w:r>
        <w:rPr>
          <w:rFonts w:eastAsia="Cambria"/>
          <w:lang w:val="en-CA"/>
        </w:rPr>
        <w:t>/AIDS</w:t>
      </w:r>
      <w:r w:rsidRPr="003A1579">
        <w:rPr>
          <w:rFonts w:eastAsia="Cambria"/>
          <w:lang w:val="en-CA"/>
        </w:rPr>
        <w:t xml:space="preserve">, is completely </w:t>
      </w:r>
      <w:r>
        <w:rPr>
          <w:rFonts w:eastAsia="Cambria"/>
          <w:lang w:val="en-CA"/>
        </w:rPr>
        <w:t>absent</w:t>
      </w:r>
      <w:r w:rsidRPr="003A1579">
        <w:rPr>
          <w:rFonts w:eastAsia="Cambria"/>
          <w:lang w:val="en-CA"/>
        </w:rPr>
        <w:t xml:space="preserve"> in some facilities.</w:t>
      </w:r>
      <w:r w:rsidR="00983B43" w:rsidRPr="00983B43">
        <w:rPr>
          <w:rStyle w:val="Heading4Char"/>
        </w:rPr>
        <w:t xml:space="preserve"> </w:t>
      </w:r>
      <w:r w:rsidR="00983B43" w:rsidRPr="004B7E2A">
        <w:rPr>
          <w:rStyle w:val="FootnoteReference"/>
        </w:rPr>
        <w:footnoteReference w:id="79"/>
      </w:r>
      <w:r w:rsidRPr="003A1579">
        <w:rPr>
          <w:rFonts w:eastAsia="Cambria"/>
          <w:lang w:val="en-CA"/>
        </w:rPr>
        <w:t xml:space="preserve"> The lack of adequate access to hygiene facilities and products for women prisoners is a typical and crucial concern in all regions of the world, jeopardi</w:t>
      </w:r>
      <w:r>
        <w:rPr>
          <w:rFonts w:eastAsia="Cambria"/>
          <w:lang w:val="en-CA"/>
        </w:rPr>
        <w:t>z</w:t>
      </w:r>
      <w:r w:rsidRPr="003A1579">
        <w:rPr>
          <w:rFonts w:eastAsia="Cambria"/>
          <w:lang w:val="en-CA"/>
        </w:rPr>
        <w:t>ing the dignity and health of women prisoners.</w:t>
      </w:r>
      <w:r w:rsidR="00983B43" w:rsidRPr="00983B43">
        <w:rPr>
          <w:rStyle w:val="Heading4Char"/>
        </w:rPr>
        <w:t xml:space="preserve"> </w:t>
      </w:r>
      <w:r w:rsidR="00983B43" w:rsidRPr="004B7E2A">
        <w:rPr>
          <w:rStyle w:val="FootnoteReference"/>
        </w:rPr>
        <w:footnoteReference w:id="80"/>
      </w:r>
      <w:r w:rsidR="00983B43" w:rsidRPr="004B7E2A">
        <w:rPr>
          <w:rFonts w:eastAsia="Cambria"/>
          <w:lang w:val="en-CA"/>
        </w:rPr>
        <w:t xml:space="preserve"> </w:t>
      </w:r>
      <w:r w:rsidRPr="003A1579">
        <w:rPr>
          <w:rFonts w:eastAsia="Cambria"/>
          <w:lang w:val="en-CA"/>
        </w:rPr>
        <w:t xml:space="preserve">Practices </w:t>
      </w:r>
      <w:r>
        <w:rPr>
          <w:rFonts w:eastAsia="Cambria"/>
          <w:lang w:val="en-CA"/>
        </w:rPr>
        <w:t>such as</w:t>
      </w:r>
      <w:r w:rsidRPr="003A1579">
        <w:rPr>
          <w:rFonts w:eastAsia="Cambria"/>
          <w:lang w:val="en-CA"/>
        </w:rPr>
        <w:t xml:space="preserve"> shackling </w:t>
      </w:r>
      <w:r>
        <w:rPr>
          <w:rFonts w:eastAsia="Cambria"/>
          <w:lang w:val="en-CA"/>
        </w:rPr>
        <w:t xml:space="preserve">pregnant inmates during labour </w:t>
      </w:r>
      <w:r w:rsidRPr="003A1579">
        <w:rPr>
          <w:rFonts w:eastAsia="Cambria"/>
          <w:lang w:val="en-CA"/>
        </w:rPr>
        <w:t xml:space="preserve">still occur in </w:t>
      </w:r>
      <w:r>
        <w:rPr>
          <w:rFonts w:eastAsia="Cambria"/>
          <w:lang w:val="en-CA"/>
        </w:rPr>
        <w:t>some</w:t>
      </w:r>
      <w:r w:rsidRPr="003A1579">
        <w:rPr>
          <w:rFonts w:eastAsia="Cambria"/>
          <w:lang w:val="en-CA"/>
        </w:rPr>
        <w:t xml:space="preserve"> countries.</w:t>
      </w:r>
      <w:r w:rsidR="00983B43" w:rsidRPr="00983B43">
        <w:rPr>
          <w:rStyle w:val="Heading4Char"/>
        </w:rPr>
        <w:t xml:space="preserve"> </w:t>
      </w:r>
      <w:r w:rsidR="00983B43" w:rsidRPr="00A640F0">
        <w:rPr>
          <w:rStyle w:val="FootnoteReference"/>
        </w:rPr>
        <w:footnoteReference w:id="81"/>
      </w:r>
      <w:r w:rsidRPr="003A1579">
        <w:rPr>
          <w:rFonts w:eastAsia="Cambria"/>
          <w:lang w:val="en-CA"/>
        </w:rPr>
        <w:t xml:space="preserve"> </w:t>
      </w:r>
      <w:r>
        <w:rPr>
          <w:rFonts w:eastAsia="Cambria"/>
          <w:lang w:val="en-CA"/>
        </w:rPr>
        <w:t>Detained women</w:t>
      </w:r>
      <w:r w:rsidRPr="003A1579">
        <w:rPr>
          <w:rFonts w:eastAsia="Cambria"/>
          <w:lang w:val="en-CA"/>
        </w:rPr>
        <w:t xml:space="preserve"> also fa</w:t>
      </w:r>
      <w:r>
        <w:rPr>
          <w:rFonts w:eastAsia="Cambria"/>
          <w:lang w:val="en-CA"/>
        </w:rPr>
        <w:t>ce</w:t>
      </w:r>
      <w:r w:rsidRPr="003A1579">
        <w:rPr>
          <w:rFonts w:eastAsia="Cambria"/>
          <w:lang w:val="en-CA"/>
        </w:rPr>
        <w:t xml:space="preserve"> violence, including sexual violence from other prisoners or by staff.</w:t>
      </w:r>
      <w:r w:rsidR="00983B43" w:rsidRPr="00983B43">
        <w:rPr>
          <w:rStyle w:val="Heading4Char"/>
        </w:rPr>
        <w:t xml:space="preserve"> </w:t>
      </w:r>
      <w:r w:rsidR="00983B43" w:rsidRPr="004B7E2A">
        <w:rPr>
          <w:rStyle w:val="FootnoteReference"/>
        </w:rPr>
        <w:footnoteReference w:id="82"/>
      </w:r>
      <w:r w:rsidR="00983B43" w:rsidRPr="004B7E2A">
        <w:rPr>
          <w:rFonts w:eastAsia="Cambria"/>
          <w:lang w:val="en-CA"/>
        </w:rPr>
        <w:t xml:space="preserve"> </w:t>
      </w:r>
      <w:r w:rsidRPr="003A1579">
        <w:rPr>
          <w:rFonts w:eastAsia="Cambria"/>
          <w:lang w:val="en-CA"/>
        </w:rPr>
        <w:t xml:space="preserve"> </w:t>
      </w:r>
    </w:p>
    <w:p w:rsidR="00CA109F" w:rsidRDefault="00CA109F" w:rsidP="00CA109F">
      <w:pPr>
        <w:pStyle w:val="SingleTxtG"/>
      </w:pPr>
      <w:r>
        <w:rPr>
          <w:rFonts w:eastAsia="Cambria"/>
          <w:lang w:val="en-CA"/>
        </w:rPr>
        <w:t>60.</w:t>
      </w:r>
      <w:r>
        <w:rPr>
          <w:rFonts w:eastAsia="Cambria"/>
          <w:lang w:val="en-CA"/>
        </w:rPr>
        <w:tab/>
        <w:t>Women prisoners show high rates of mental health problems owing to violence and trauma to which they had been exposed and which are exacerbated by imprisonment. C</w:t>
      </w:r>
      <w:r w:rsidRPr="007C0DAC">
        <w:rPr>
          <w:rFonts w:eastAsia="Cambria"/>
          <w:lang w:val="en-CA"/>
        </w:rPr>
        <w:t xml:space="preserve">oncerns </w:t>
      </w:r>
      <w:r>
        <w:rPr>
          <w:rFonts w:eastAsia="Cambria"/>
          <w:lang w:val="en-CA"/>
        </w:rPr>
        <w:t xml:space="preserve">about their children </w:t>
      </w:r>
      <w:r w:rsidRPr="007C0DAC">
        <w:rPr>
          <w:rFonts w:eastAsia="Cambria"/>
          <w:lang w:val="en-CA"/>
        </w:rPr>
        <w:t xml:space="preserve">also have a significant impact on </w:t>
      </w:r>
      <w:r>
        <w:rPr>
          <w:rFonts w:eastAsia="Cambria"/>
          <w:lang w:val="en-CA"/>
        </w:rPr>
        <w:t xml:space="preserve">the mental health of </w:t>
      </w:r>
      <w:r w:rsidRPr="007C0DAC">
        <w:rPr>
          <w:rFonts w:eastAsia="Cambria"/>
          <w:lang w:val="en-CA"/>
        </w:rPr>
        <w:t>women</w:t>
      </w:r>
      <w:r>
        <w:rPr>
          <w:rFonts w:eastAsia="Cambria"/>
          <w:lang w:val="en-CA"/>
        </w:rPr>
        <w:t xml:space="preserve"> prisoners</w:t>
      </w:r>
      <w:r w:rsidRPr="007C0DAC">
        <w:rPr>
          <w:rFonts w:eastAsia="Cambria"/>
          <w:lang w:val="en-CA"/>
        </w:rPr>
        <w:t xml:space="preserve">, especially when </w:t>
      </w:r>
      <w:r>
        <w:rPr>
          <w:rFonts w:eastAsia="Cambria"/>
          <w:lang w:val="en-CA"/>
        </w:rPr>
        <w:t>they</w:t>
      </w:r>
      <w:r w:rsidRPr="007C0DAC">
        <w:rPr>
          <w:rFonts w:eastAsia="Cambria"/>
          <w:lang w:val="en-CA"/>
        </w:rPr>
        <w:t xml:space="preserve"> are breastfeeding</w:t>
      </w:r>
      <w:r>
        <w:rPr>
          <w:rFonts w:eastAsia="Cambria"/>
          <w:lang w:val="en-CA"/>
        </w:rPr>
        <w:t>; separation</w:t>
      </w:r>
      <w:r w:rsidRPr="007C0DAC">
        <w:rPr>
          <w:rFonts w:eastAsia="Cambria"/>
          <w:lang w:val="en-CA"/>
        </w:rPr>
        <w:t xml:space="preserve"> from their children</w:t>
      </w:r>
      <w:r>
        <w:rPr>
          <w:rFonts w:eastAsia="Cambria"/>
          <w:lang w:val="en-CA"/>
        </w:rPr>
        <w:t xml:space="preserve"> </w:t>
      </w:r>
      <w:r w:rsidRPr="007C0DAC">
        <w:rPr>
          <w:rFonts w:eastAsia="Cambria"/>
          <w:lang w:val="en-CA"/>
        </w:rPr>
        <w:t xml:space="preserve">creates </w:t>
      </w:r>
      <w:r>
        <w:rPr>
          <w:rFonts w:eastAsia="Cambria"/>
          <w:lang w:val="en-CA"/>
        </w:rPr>
        <w:t xml:space="preserve">anxiety and </w:t>
      </w:r>
      <w:r w:rsidRPr="007C0DAC">
        <w:rPr>
          <w:rFonts w:eastAsia="Cambria"/>
          <w:lang w:val="en-CA"/>
        </w:rPr>
        <w:t>guilt</w:t>
      </w:r>
      <w:r>
        <w:rPr>
          <w:rFonts w:eastAsia="Cambria"/>
          <w:lang w:val="en-CA"/>
        </w:rPr>
        <w:t>,</w:t>
      </w:r>
      <w:r w:rsidRPr="007C0DAC">
        <w:rPr>
          <w:rFonts w:eastAsia="Cambria"/>
          <w:lang w:val="en-CA"/>
        </w:rPr>
        <w:t xml:space="preserve"> result</w:t>
      </w:r>
      <w:r>
        <w:rPr>
          <w:rFonts w:eastAsia="Cambria"/>
          <w:lang w:val="en-CA"/>
        </w:rPr>
        <w:t>ing</w:t>
      </w:r>
      <w:r w:rsidRPr="007C0DAC">
        <w:rPr>
          <w:rFonts w:eastAsia="Cambria"/>
          <w:lang w:val="en-CA"/>
        </w:rPr>
        <w:t xml:space="preserve"> in great suffering. </w:t>
      </w:r>
      <w:r>
        <w:rPr>
          <w:rFonts w:eastAsia="Cambria"/>
          <w:lang w:val="en-CA"/>
        </w:rPr>
        <w:t>W</w:t>
      </w:r>
      <w:r w:rsidRPr="007C0DAC">
        <w:rPr>
          <w:rFonts w:eastAsia="Cambria"/>
          <w:lang w:val="en-CA"/>
        </w:rPr>
        <w:t>omen are more likely to harm themselves or attempt suicide while in detention</w:t>
      </w:r>
      <w:r>
        <w:rPr>
          <w:rFonts w:eastAsia="Cambria"/>
          <w:lang w:val="en-CA"/>
        </w:rPr>
        <w:t xml:space="preserve"> than men</w:t>
      </w:r>
      <w:r w:rsidRPr="007C0DAC">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83"/>
      </w:r>
      <w:r>
        <w:rPr>
          <w:rFonts w:eastAsia="Cambria"/>
          <w:lang w:val="en-CA"/>
        </w:rPr>
        <w:t xml:space="preserve"> E</w:t>
      </w:r>
      <w:r w:rsidRPr="00BC0365">
        <w:rPr>
          <w:rFonts w:eastAsia="Cambria"/>
          <w:lang w:val="en-CA"/>
        </w:rPr>
        <w:t xml:space="preserve">xtensive </w:t>
      </w:r>
      <w:r>
        <w:rPr>
          <w:rFonts w:eastAsia="Cambria"/>
          <w:lang w:val="en-CA"/>
        </w:rPr>
        <w:t>reliance on preventive</w:t>
      </w:r>
      <w:r w:rsidRPr="00BC0365">
        <w:rPr>
          <w:rFonts w:eastAsia="Cambria"/>
          <w:lang w:val="en-CA"/>
        </w:rPr>
        <w:t xml:space="preserve"> use of psychotropic medication for </w:t>
      </w:r>
      <w:r>
        <w:rPr>
          <w:rFonts w:eastAsia="Cambria"/>
          <w:lang w:val="en-CA"/>
        </w:rPr>
        <w:t>“</w:t>
      </w:r>
      <w:r w:rsidRPr="00BC0365">
        <w:rPr>
          <w:rFonts w:eastAsia="Cambria"/>
          <w:lang w:val="en-CA"/>
        </w:rPr>
        <w:t>safety</w:t>
      </w:r>
      <w:r>
        <w:rPr>
          <w:rFonts w:eastAsia="Cambria"/>
          <w:lang w:val="en-CA"/>
        </w:rPr>
        <w:t>”</w:t>
      </w:r>
      <w:r w:rsidRPr="00BC0365">
        <w:rPr>
          <w:rFonts w:eastAsia="Cambria"/>
          <w:lang w:val="en-CA"/>
        </w:rPr>
        <w:t xml:space="preserve"> reasons in such situation</w:t>
      </w:r>
      <w:r>
        <w:rPr>
          <w:rFonts w:eastAsia="Cambria"/>
          <w:lang w:val="en-CA"/>
        </w:rPr>
        <w:t>s is an example of overmedicaliz</w:t>
      </w:r>
      <w:r w:rsidRPr="00BC0365">
        <w:rPr>
          <w:rFonts w:eastAsia="Cambria"/>
          <w:lang w:val="en-CA"/>
        </w:rPr>
        <w:t xml:space="preserve">ation. </w:t>
      </w:r>
      <w:r w:rsidRPr="003A1579">
        <w:t xml:space="preserve"> </w:t>
      </w:r>
    </w:p>
    <w:p w:rsidR="00CA109F" w:rsidRPr="003B22CF" w:rsidRDefault="00CA109F" w:rsidP="00CA109F">
      <w:pPr>
        <w:pStyle w:val="H1G"/>
        <w:rPr>
          <w:rFonts w:eastAsia="Cambria"/>
          <w:lang w:val="en-CA"/>
        </w:rPr>
      </w:pPr>
      <w:r>
        <w:rPr>
          <w:rFonts w:eastAsia="Cambria"/>
          <w:lang w:val="en-CA"/>
        </w:rPr>
        <w:lastRenderedPageBreak/>
        <w:tab/>
        <w:t>D.</w:t>
      </w:r>
      <w:r>
        <w:rPr>
          <w:rFonts w:eastAsia="Cambria"/>
          <w:lang w:val="en-CA"/>
        </w:rPr>
        <w:tab/>
      </w:r>
      <w:r w:rsidRPr="00C21881">
        <w:rPr>
          <w:rFonts w:eastAsia="Cambria"/>
        </w:rPr>
        <w:t>Instrumentalization</w:t>
      </w:r>
      <w:r w:rsidRPr="003B22CF">
        <w:rPr>
          <w:rFonts w:eastAsia="Cambria"/>
          <w:lang w:val="en-CA"/>
        </w:rPr>
        <w:t xml:space="preserve"> of women’s bodies</w:t>
      </w:r>
    </w:p>
    <w:p w:rsidR="00CA109F" w:rsidRPr="003A1579" w:rsidRDefault="00CA109F" w:rsidP="00CA109F">
      <w:pPr>
        <w:pStyle w:val="SingleTxtG"/>
        <w:rPr>
          <w:rFonts w:eastAsia="Cambria"/>
          <w:lang w:val="en-CA"/>
        </w:rPr>
      </w:pPr>
      <w:r>
        <w:rPr>
          <w:rFonts w:eastAsia="Cambria"/>
          <w:lang w:val="en-CA"/>
        </w:rPr>
        <w:t>61</w:t>
      </w:r>
      <w:r w:rsidRPr="003A1579">
        <w:rPr>
          <w:rFonts w:eastAsia="Cambria"/>
          <w:lang w:val="en-CA"/>
        </w:rPr>
        <w:t>.</w:t>
      </w:r>
      <w:r w:rsidRPr="003A1579">
        <w:rPr>
          <w:rFonts w:eastAsia="Cambria"/>
          <w:lang w:val="en-CA"/>
        </w:rPr>
        <w:tab/>
        <w:t>Throughout the</w:t>
      </w:r>
      <w:r>
        <w:rPr>
          <w:rFonts w:eastAsia="Cambria"/>
          <w:lang w:val="en-CA"/>
        </w:rPr>
        <w:t>ir</w:t>
      </w:r>
      <w:r w:rsidRPr="003A1579">
        <w:rPr>
          <w:rFonts w:eastAsia="Cambria"/>
          <w:lang w:val="en-CA"/>
        </w:rPr>
        <w:t xml:space="preserve"> life cycle</w:t>
      </w:r>
      <w:r>
        <w:rPr>
          <w:rFonts w:eastAsia="Cambria"/>
          <w:lang w:val="en-CA"/>
        </w:rPr>
        <w:t>, women’s bodies are instrumentaliz</w:t>
      </w:r>
      <w:r w:rsidRPr="003A1579">
        <w:rPr>
          <w:rFonts w:eastAsia="Cambria"/>
          <w:lang w:val="en-CA"/>
        </w:rPr>
        <w:t xml:space="preserve">ed and their biological functions and needs </w:t>
      </w:r>
      <w:r>
        <w:rPr>
          <w:rFonts w:eastAsia="Cambria"/>
          <w:lang w:val="en-CA"/>
        </w:rPr>
        <w:t>are</w:t>
      </w:r>
      <w:r w:rsidRPr="003A1579">
        <w:rPr>
          <w:rFonts w:eastAsia="Cambria"/>
          <w:lang w:val="en-CA"/>
        </w:rPr>
        <w:t xml:space="preserve"> </w:t>
      </w:r>
      <w:r>
        <w:rPr>
          <w:rFonts w:eastAsia="Cambria"/>
          <w:lang w:val="en-CA"/>
        </w:rPr>
        <w:t xml:space="preserve">stigmatized and subjected to a politicized patriarchal agenda. </w:t>
      </w:r>
      <w:r w:rsidRPr="00D76D5D">
        <w:rPr>
          <w:rFonts w:eastAsia="Cambria"/>
          <w:lang w:val="en-CA"/>
        </w:rPr>
        <w:t xml:space="preserve">States have also often treated women instrumentally as tools </w:t>
      </w:r>
      <w:r>
        <w:rPr>
          <w:rFonts w:eastAsia="Cambria"/>
          <w:lang w:val="en-CA"/>
        </w:rPr>
        <w:t>with</w:t>
      </w:r>
      <w:r w:rsidRPr="00D76D5D">
        <w:rPr>
          <w:rFonts w:eastAsia="Cambria"/>
          <w:lang w:val="en-CA"/>
        </w:rPr>
        <w:t xml:space="preserve"> which to implement population programmes and policies</w:t>
      </w:r>
      <w:r>
        <w:rPr>
          <w:rFonts w:eastAsia="Cambria"/>
          <w:lang w:val="en-CA"/>
        </w:rPr>
        <w:t xml:space="preserve">. This </w:t>
      </w:r>
      <w:r w:rsidRPr="003A1579">
        <w:rPr>
          <w:rFonts w:eastAsia="Cambria"/>
          <w:lang w:val="en-CA"/>
        </w:rPr>
        <w:t xml:space="preserve">is sometimes carried out through the use of criminal sanctions and often </w:t>
      </w:r>
      <w:r>
        <w:rPr>
          <w:rFonts w:eastAsia="Cambria"/>
          <w:lang w:val="en-CA"/>
        </w:rPr>
        <w:t>under the guise</w:t>
      </w:r>
      <w:r w:rsidRPr="003A1579">
        <w:rPr>
          <w:rFonts w:eastAsia="Cambria"/>
          <w:lang w:val="en-CA"/>
        </w:rPr>
        <w:t xml:space="preserve"> of protecting women’s health and safety and with cultural or religious justifications.</w:t>
      </w:r>
      <w:r>
        <w:rPr>
          <w:rFonts w:eastAsia="Cambria"/>
          <w:lang w:val="en-CA"/>
        </w:rPr>
        <w:t xml:space="preserve"> </w:t>
      </w:r>
    </w:p>
    <w:p w:rsidR="00CA109F" w:rsidRDefault="00CA109F" w:rsidP="00CA109F">
      <w:pPr>
        <w:pStyle w:val="SingleTxtG"/>
        <w:rPr>
          <w:rFonts w:eastAsia="Cambria"/>
          <w:lang w:val="en-CA"/>
        </w:rPr>
      </w:pPr>
      <w:r>
        <w:rPr>
          <w:rFonts w:eastAsia="Cambria"/>
          <w:lang w:val="en-CA"/>
        </w:rPr>
        <w:t>62</w:t>
      </w:r>
      <w:r w:rsidRPr="003A1579">
        <w:rPr>
          <w:rFonts w:eastAsia="Cambria"/>
          <w:lang w:val="en-CA"/>
        </w:rPr>
        <w:t>.</w:t>
      </w:r>
      <w:r w:rsidRPr="003A1579">
        <w:rPr>
          <w:rFonts w:eastAsia="Cambria"/>
          <w:lang w:val="en-CA"/>
        </w:rPr>
        <w:tab/>
        <w:t>Much of the discrimination in access to health services and the resulting preventable ill health of women</w:t>
      </w:r>
      <w:r>
        <w:rPr>
          <w:rFonts w:eastAsia="Cambria"/>
          <w:lang w:val="en-CA"/>
        </w:rPr>
        <w:t>,</w:t>
      </w:r>
      <w:r w:rsidRPr="003A1579">
        <w:rPr>
          <w:rFonts w:eastAsia="Cambria"/>
          <w:lang w:val="en-CA"/>
        </w:rPr>
        <w:t xml:space="preserve"> including maternal mortality and morbidity and infertility</w:t>
      </w:r>
      <w:r>
        <w:rPr>
          <w:rFonts w:eastAsia="Cambria"/>
          <w:lang w:val="en-CA"/>
        </w:rPr>
        <w:t>,</w:t>
      </w:r>
      <w:r w:rsidRPr="003A1579">
        <w:rPr>
          <w:rFonts w:eastAsia="Cambria"/>
          <w:lang w:val="en-CA"/>
        </w:rPr>
        <w:t xml:space="preserve"> can be attributed to the instrumentali</w:t>
      </w:r>
      <w:r>
        <w:rPr>
          <w:rFonts w:eastAsia="Cambria"/>
          <w:lang w:val="en-CA"/>
        </w:rPr>
        <w:t>z</w:t>
      </w:r>
      <w:r w:rsidRPr="003A1579">
        <w:rPr>
          <w:rFonts w:eastAsia="Cambria"/>
          <w:lang w:val="en-CA"/>
        </w:rPr>
        <w:t xml:space="preserve">ation of women’s bodies for political, cultural, religious and economic purposes. </w:t>
      </w:r>
    </w:p>
    <w:p w:rsidR="00CA109F" w:rsidRDefault="00CA109F" w:rsidP="00CA109F">
      <w:pPr>
        <w:pStyle w:val="H23G"/>
        <w:rPr>
          <w:rFonts w:eastAsia="Cambria"/>
          <w:lang w:val="en-CA"/>
        </w:rPr>
      </w:pPr>
      <w:r>
        <w:rPr>
          <w:rFonts w:eastAsia="Cambria"/>
          <w:lang w:val="en-CA"/>
        </w:rPr>
        <w:tab/>
      </w:r>
      <w:r w:rsidRPr="003B22CF">
        <w:rPr>
          <w:rFonts w:eastAsia="Cambria"/>
          <w:lang w:val="en-CA"/>
        </w:rPr>
        <w:t>1.</w:t>
      </w:r>
      <w:r w:rsidRPr="003B22CF">
        <w:rPr>
          <w:rFonts w:eastAsia="Cambria"/>
          <w:lang w:val="en-CA"/>
        </w:rPr>
        <w:tab/>
      </w:r>
      <w:r>
        <w:rPr>
          <w:rFonts w:eastAsia="Cambria"/>
          <w:lang w:val="en-CA"/>
        </w:rPr>
        <w:t>Negation of autonomy</w:t>
      </w:r>
    </w:p>
    <w:p w:rsidR="00CA109F" w:rsidRPr="004853FB" w:rsidRDefault="00CA109F" w:rsidP="00CA109F">
      <w:pPr>
        <w:pStyle w:val="SingleTxtG"/>
        <w:rPr>
          <w:rFonts w:eastAsia="Cambria"/>
          <w:lang w:val="en-CA"/>
        </w:rPr>
      </w:pPr>
      <w:r>
        <w:rPr>
          <w:rFonts w:eastAsia="Cambria"/>
          <w:lang w:val="en-CA"/>
        </w:rPr>
        <w:t>63.</w:t>
      </w:r>
      <w:r>
        <w:rPr>
          <w:rFonts w:eastAsia="Cambria"/>
          <w:lang w:val="en-CA"/>
        </w:rPr>
        <w:tab/>
        <w:t>The instrumentalization of women’s bodies may result in conditioning women’s access to medical assistance on the consent of a spouse or male guardian, causing withholding or delay of treatment, curtailment of women’s autonomy and denial of respect for privacy and obstructing their access to health care, particularly reproductive and sexual health care. Patriarchal negation of women’s autonomy in decision-making leads to violation of women’s rights to health, privacy, reproductive and sexual self-determination, physical integrity and even to life.</w:t>
      </w:r>
      <w:r w:rsidR="000A445F">
        <w:rPr>
          <w:rStyle w:val="FootnoteReference"/>
          <w:rFonts w:eastAsia="Cambria"/>
          <w:lang w:val="en-CA"/>
        </w:rPr>
        <w:footnoteReference w:id="84"/>
      </w:r>
    </w:p>
    <w:p w:rsidR="00CA109F" w:rsidRPr="003B22CF" w:rsidRDefault="00CA109F" w:rsidP="00CA109F">
      <w:pPr>
        <w:pStyle w:val="H23G"/>
        <w:rPr>
          <w:rFonts w:eastAsia="Cambria"/>
          <w:lang w:val="en-CA"/>
        </w:rPr>
      </w:pPr>
      <w:r>
        <w:rPr>
          <w:rFonts w:eastAsia="Cambria"/>
          <w:lang w:val="en-CA"/>
        </w:rPr>
        <w:tab/>
        <w:t>2</w:t>
      </w:r>
      <w:r w:rsidRPr="003B22CF">
        <w:rPr>
          <w:rFonts w:eastAsia="Cambria"/>
          <w:lang w:val="en-CA"/>
        </w:rPr>
        <w:t>.</w:t>
      </w:r>
      <w:r w:rsidRPr="003B22CF">
        <w:rPr>
          <w:rFonts w:eastAsia="Cambria"/>
          <w:lang w:val="en-CA"/>
        </w:rPr>
        <w:tab/>
        <w:t>Effects of son preference</w:t>
      </w:r>
    </w:p>
    <w:p w:rsidR="00CA109F" w:rsidRPr="003A1579" w:rsidRDefault="00CA109F" w:rsidP="00CA109F">
      <w:pPr>
        <w:pStyle w:val="SingleTxtG"/>
        <w:rPr>
          <w:rFonts w:eastAsia="Cambria"/>
          <w:lang w:val="en-CA"/>
        </w:rPr>
      </w:pPr>
      <w:r>
        <w:rPr>
          <w:rFonts w:eastAsia="Cambria"/>
          <w:lang w:val="en-CA"/>
        </w:rPr>
        <w:t>64</w:t>
      </w:r>
      <w:r w:rsidRPr="003A1579">
        <w:rPr>
          <w:rFonts w:eastAsia="Cambria"/>
          <w:lang w:val="en-CA"/>
        </w:rPr>
        <w:t>.</w:t>
      </w:r>
      <w:r w:rsidRPr="003A1579">
        <w:rPr>
          <w:rFonts w:eastAsia="Cambria"/>
          <w:lang w:val="en-CA"/>
        </w:rPr>
        <w:tab/>
        <w:t xml:space="preserve">In patriarchal cultures, the preference </w:t>
      </w:r>
      <w:r>
        <w:rPr>
          <w:rFonts w:eastAsia="Cambria"/>
          <w:lang w:val="en-CA"/>
        </w:rPr>
        <w:t>for</w:t>
      </w:r>
      <w:r w:rsidRPr="003A1579">
        <w:rPr>
          <w:rFonts w:eastAsia="Cambria"/>
          <w:lang w:val="en-CA"/>
        </w:rPr>
        <w:t xml:space="preserve"> sons leads to the priori</w:t>
      </w:r>
      <w:r>
        <w:rPr>
          <w:rFonts w:eastAsia="Cambria"/>
          <w:lang w:val="en-CA"/>
        </w:rPr>
        <w:t>ti</w:t>
      </w:r>
      <w:r w:rsidRPr="003A1579">
        <w:rPr>
          <w:rFonts w:eastAsia="Cambria"/>
          <w:lang w:val="en-CA"/>
        </w:rPr>
        <w:t>zation of boys’ and men’s health before that of women and girls</w:t>
      </w:r>
      <w:r>
        <w:rPr>
          <w:rFonts w:eastAsia="Cambria"/>
          <w:lang w:val="en-CA"/>
        </w:rPr>
        <w:t>,</w:t>
      </w:r>
      <w:r w:rsidRPr="003A1579">
        <w:rPr>
          <w:rFonts w:eastAsia="Cambria"/>
          <w:lang w:val="en-CA"/>
        </w:rPr>
        <w:t xml:space="preserve"> resulting in discriminat</w:t>
      </w:r>
      <w:r>
        <w:rPr>
          <w:rFonts w:eastAsia="Cambria"/>
          <w:lang w:val="en-CA"/>
        </w:rPr>
        <w:t>ory</w:t>
      </w:r>
      <w:r w:rsidRPr="003A1579">
        <w:rPr>
          <w:rFonts w:eastAsia="Cambria"/>
          <w:lang w:val="en-CA"/>
        </w:rPr>
        <w:t xml:space="preserve"> practices such as female infanticide.</w:t>
      </w:r>
      <w:r w:rsidR="00835100" w:rsidRPr="00835100">
        <w:rPr>
          <w:rStyle w:val="Heading4Char"/>
          <w:bCs/>
          <w:iCs/>
        </w:rPr>
        <w:t xml:space="preserve"> </w:t>
      </w:r>
      <w:r w:rsidR="00835100" w:rsidRPr="00907D69">
        <w:rPr>
          <w:rStyle w:val="FootnoteReference"/>
          <w:bCs/>
          <w:iCs/>
        </w:rPr>
        <w:footnoteReference w:id="85"/>
      </w:r>
      <w:r w:rsidRPr="003A1579">
        <w:rPr>
          <w:rFonts w:eastAsia="Cambria"/>
          <w:lang w:val="en-CA"/>
        </w:rPr>
        <w:t xml:space="preserve"> This is evident in cultural customs</w:t>
      </w:r>
      <w:r>
        <w:rPr>
          <w:rFonts w:eastAsia="Cambria"/>
          <w:lang w:val="en-CA"/>
        </w:rPr>
        <w:t xml:space="preserve"> relating to food</w:t>
      </w:r>
      <w:r w:rsidRPr="003A1579">
        <w:rPr>
          <w:rFonts w:eastAsia="Cambria"/>
          <w:lang w:val="en-CA"/>
        </w:rPr>
        <w:t xml:space="preserve"> which cause girls and women, including pregnant </w:t>
      </w:r>
      <w:r>
        <w:rPr>
          <w:rFonts w:eastAsia="Cambria"/>
          <w:lang w:val="en-CA"/>
        </w:rPr>
        <w:t>and</w:t>
      </w:r>
      <w:r w:rsidRPr="003A1579">
        <w:rPr>
          <w:rFonts w:eastAsia="Cambria"/>
          <w:lang w:val="en-CA"/>
        </w:rPr>
        <w:t xml:space="preserve"> nursing </w:t>
      </w:r>
      <w:r>
        <w:rPr>
          <w:rFonts w:eastAsia="Cambria"/>
          <w:lang w:val="en-CA"/>
        </w:rPr>
        <w:t>women,</w:t>
      </w:r>
      <w:r w:rsidRPr="003A1579">
        <w:rPr>
          <w:rFonts w:eastAsia="Cambria"/>
          <w:lang w:val="en-CA"/>
        </w:rPr>
        <w:t xml:space="preserve"> to suffer </w:t>
      </w:r>
      <w:r>
        <w:rPr>
          <w:rFonts w:eastAsia="Cambria"/>
          <w:lang w:val="en-CA"/>
        </w:rPr>
        <w:t>disproportionately from</w:t>
      </w:r>
      <w:r w:rsidRPr="003A1579">
        <w:rPr>
          <w:rFonts w:eastAsia="Cambria"/>
          <w:lang w:val="en-CA"/>
        </w:rPr>
        <w:t xml:space="preserve"> malnutrition. </w:t>
      </w:r>
      <w:r w:rsidR="00835100" w:rsidRPr="00907D69">
        <w:rPr>
          <w:rStyle w:val="FootnoteReference"/>
          <w:bCs/>
          <w:iCs/>
        </w:rPr>
        <w:footnoteReference w:id="86"/>
      </w:r>
      <w:r w:rsidRPr="003A1579">
        <w:rPr>
          <w:rFonts w:eastAsia="Cambria"/>
          <w:lang w:val="en-CA"/>
        </w:rPr>
        <w:t xml:space="preserve"> </w:t>
      </w:r>
    </w:p>
    <w:p w:rsidR="00CA109F" w:rsidRDefault="00CA109F" w:rsidP="00CA109F">
      <w:pPr>
        <w:pStyle w:val="H23G"/>
        <w:rPr>
          <w:rFonts w:eastAsia="Cambria"/>
          <w:lang w:val="en-CA"/>
        </w:rPr>
      </w:pPr>
      <w:r>
        <w:rPr>
          <w:rFonts w:eastAsia="Cambria"/>
          <w:lang w:val="en-CA"/>
        </w:rPr>
        <w:tab/>
        <w:t>3</w:t>
      </w:r>
      <w:r w:rsidRPr="003B22CF">
        <w:rPr>
          <w:rFonts w:eastAsia="Cambria"/>
          <w:lang w:val="en-CA"/>
        </w:rPr>
        <w:t>.</w:t>
      </w:r>
      <w:r w:rsidRPr="003B22CF">
        <w:rPr>
          <w:rFonts w:eastAsia="Cambria"/>
          <w:lang w:val="en-CA"/>
        </w:rPr>
        <w:tab/>
      </w:r>
      <w:r>
        <w:rPr>
          <w:rFonts w:eastAsia="Cambria"/>
          <w:lang w:val="en-CA"/>
        </w:rPr>
        <w:t xml:space="preserve">Harmful gender stereotypes  </w:t>
      </w:r>
    </w:p>
    <w:p w:rsidR="00CA109F" w:rsidRPr="006E0873" w:rsidRDefault="00CA109F" w:rsidP="00CA109F">
      <w:pPr>
        <w:pStyle w:val="H4G"/>
        <w:rPr>
          <w:rFonts w:eastAsia="Cambria"/>
          <w:lang w:val="en-CA"/>
        </w:rPr>
      </w:pPr>
      <w:r>
        <w:rPr>
          <w:rFonts w:eastAsia="Cambria"/>
          <w:lang w:val="en-CA"/>
        </w:rPr>
        <w:tab/>
      </w:r>
      <w:r>
        <w:rPr>
          <w:rFonts w:eastAsia="Cambria"/>
          <w:lang w:val="en-CA"/>
        </w:rPr>
        <w:tab/>
      </w:r>
      <w:r w:rsidRPr="006E0873">
        <w:rPr>
          <w:rFonts w:eastAsia="Cambria"/>
          <w:lang w:val="en-CA"/>
        </w:rPr>
        <w:t>Objectification of women</w:t>
      </w:r>
    </w:p>
    <w:p w:rsidR="00CA109F" w:rsidRPr="003A1579" w:rsidRDefault="00CA109F" w:rsidP="00CA109F">
      <w:pPr>
        <w:pStyle w:val="SingleTxtG"/>
        <w:rPr>
          <w:rFonts w:eastAsia="Cambria"/>
          <w:lang w:val="en-CA"/>
        </w:rPr>
      </w:pPr>
      <w:r>
        <w:rPr>
          <w:rFonts w:eastAsia="Cambria"/>
          <w:lang w:val="en-CA"/>
        </w:rPr>
        <w:t>65.</w:t>
      </w:r>
      <w:r>
        <w:rPr>
          <w:rFonts w:eastAsia="Cambria"/>
          <w:lang w:val="en-CA"/>
        </w:rPr>
        <w:tab/>
        <w:t>The instrumentaliz</w:t>
      </w:r>
      <w:r w:rsidRPr="003A1579">
        <w:rPr>
          <w:rFonts w:eastAsia="Cambria"/>
          <w:lang w:val="en-CA"/>
        </w:rPr>
        <w:t xml:space="preserve">ation of women’s bodies as </w:t>
      </w:r>
      <w:r w:rsidRPr="00EF2AB1">
        <w:rPr>
          <w:rFonts w:eastAsia="Cambria"/>
          <w:lang w:val="en-CA"/>
        </w:rPr>
        <w:t>object</w:t>
      </w:r>
      <w:r>
        <w:rPr>
          <w:rFonts w:eastAsia="Cambria"/>
          <w:lang w:val="en-CA"/>
        </w:rPr>
        <w:t>s</w:t>
      </w:r>
      <w:r w:rsidRPr="00EF2AB1">
        <w:rPr>
          <w:rFonts w:eastAsia="Cambria"/>
          <w:lang w:val="en-CA"/>
        </w:rPr>
        <w:t xml:space="preserve"> </w:t>
      </w:r>
      <w:r>
        <w:rPr>
          <w:rFonts w:eastAsia="Cambria"/>
          <w:lang w:val="en-CA"/>
        </w:rPr>
        <w:t xml:space="preserve">to serve </w:t>
      </w:r>
      <w:r w:rsidRPr="00EF2AB1">
        <w:rPr>
          <w:rFonts w:eastAsia="Cambria"/>
          <w:lang w:val="en-CA"/>
        </w:rPr>
        <w:t xml:space="preserve">sexual and other purposes leads to practices such as </w:t>
      </w:r>
      <w:r>
        <w:rPr>
          <w:rFonts w:eastAsia="Cambria"/>
          <w:lang w:val="en-CA"/>
        </w:rPr>
        <w:t>invasive</w:t>
      </w:r>
      <w:r w:rsidRPr="00EF2AB1">
        <w:rPr>
          <w:rFonts w:eastAsia="Cambria"/>
          <w:lang w:val="en-CA"/>
        </w:rPr>
        <w:t xml:space="preserve"> cosmetic procedures</w:t>
      </w:r>
      <w:r>
        <w:rPr>
          <w:rFonts w:eastAsia="Cambria"/>
          <w:lang w:val="en-CA"/>
        </w:rPr>
        <w:t>. U</w:t>
      </w:r>
      <w:r w:rsidRPr="003A1579">
        <w:rPr>
          <w:rFonts w:eastAsia="Cambria"/>
          <w:lang w:val="en-CA"/>
        </w:rPr>
        <w:t>nhealthy dieting</w:t>
      </w:r>
      <w:r>
        <w:rPr>
          <w:rFonts w:eastAsia="Cambria"/>
          <w:lang w:val="en-CA"/>
        </w:rPr>
        <w:t>,</w:t>
      </w:r>
      <w:r w:rsidRPr="003A1579">
        <w:rPr>
          <w:rFonts w:eastAsia="Cambria"/>
          <w:lang w:val="en-CA"/>
        </w:rPr>
        <w:t xml:space="preserve"> particularly among adolescent girls</w:t>
      </w:r>
      <w:r>
        <w:rPr>
          <w:rFonts w:eastAsia="Cambria"/>
          <w:lang w:val="en-CA"/>
        </w:rPr>
        <w:t>,</w:t>
      </w:r>
      <w:r w:rsidRPr="003A1579">
        <w:rPr>
          <w:rFonts w:eastAsia="Cambria"/>
          <w:lang w:val="en-CA"/>
        </w:rPr>
        <w:t xml:space="preserve"> can have disastrous health consequences</w:t>
      </w:r>
      <w:r>
        <w:rPr>
          <w:rFonts w:eastAsia="Cambria"/>
          <w:lang w:val="en-CA"/>
        </w:rPr>
        <w:t>,</w:t>
      </w:r>
      <w:r w:rsidRPr="003A1579">
        <w:rPr>
          <w:rFonts w:eastAsia="Cambria"/>
          <w:lang w:val="en-CA"/>
        </w:rPr>
        <w:t xml:space="preserve"> including eating disorders such as anorexia and bulimia. </w:t>
      </w:r>
    </w:p>
    <w:p w:rsidR="00CA109F" w:rsidRPr="003A1579" w:rsidRDefault="00CA109F" w:rsidP="00CA109F">
      <w:pPr>
        <w:pStyle w:val="SingleTxtG"/>
        <w:rPr>
          <w:rFonts w:eastAsia="Cambria"/>
          <w:lang w:val="en-CA"/>
        </w:rPr>
      </w:pPr>
      <w:r>
        <w:rPr>
          <w:rFonts w:eastAsia="Cambria"/>
          <w:lang w:val="en-CA"/>
        </w:rPr>
        <w:t>66</w:t>
      </w:r>
      <w:r w:rsidRPr="003A1579">
        <w:rPr>
          <w:rFonts w:eastAsia="Cambria"/>
          <w:lang w:val="en-CA"/>
        </w:rPr>
        <w:t>.</w:t>
      </w:r>
      <w:r w:rsidRPr="003A1579">
        <w:rPr>
          <w:rFonts w:eastAsia="Cambria"/>
          <w:lang w:val="en-CA"/>
        </w:rPr>
        <w:tab/>
        <w:t xml:space="preserve">According to WHO, </w:t>
      </w:r>
      <w:r>
        <w:rPr>
          <w:rFonts w:eastAsia="Cambria"/>
          <w:lang w:val="en-CA"/>
        </w:rPr>
        <w:t>a body mass index</w:t>
      </w:r>
      <w:r w:rsidRPr="003A1579">
        <w:rPr>
          <w:rFonts w:eastAsia="Cambria"/>
          <w:lang w:val="en-CA"/>
        </w:rPr>
        <w:t xml:space="preserve"> under 16 </w:t>
      </w:r>
      <w:r>
        <w:rPr>
          <w:rFonts w:eastAsia="Cambria"/>
          <w:lang w:val="en-CA"/>
        </w:rPr>
        <w:t>represents</w:t>
      </w:r>
      <w:r w:rsidRPr="003A1579">
        <w:rPr>
          <w:rFonts w:eastAsia="Cambria"/>
          <w:lang w:val="en-CA"/>
        </w:rPr>
        <w:t xml:space="preserve"> </w:t>
      </w:r>
      <w:r>
        <w:rPr>
          <w:rFonts w:eastAsia="Cambria"/>
          <w:lang w:val="en-CA"/>
        </w:rPr>
        <w:t>severe</w:t>
      </w:r>
      <w:r w:rsidRPr="003A1579">
        <w:rPr>
          <w:rFonts w:eastAsia="Cambria"/>
          <w:lang w:val="en-CA"/>
        </w:rPr>
        <w:t xml:space="preserve"> </w:t>
      </w:r>
      <w:proofErr w:type="gramStart"/>
      <w:r>
        <w:rPr>
          <w:rFonts w:eastAsia="Cambria"/>
          <w:lang w:val="en-CA"/>
        </w:rPr>
        <w:t>thinness</w:t>
      </w:r>
      <w:r w:rsidRPr="003A1579">
        <w:rPr>
          <w:rFonts w:eastAsia="Cambria"/>
          <w:lang w:val="en-CA"/>
        </w:rPr>
        <w:t>.</w:t>
      </w:r>
      <w:proofErr w:type="gramEnd"/>
      <w:r w:rsidR="00835100" w:rsidRPr="00835100">
        <w:rPr>
          <w:rStyle w:val="Heading4Char"/>
          <w:rFonts w:eastAsia="serif"/>
          <w:color w:val="000000"/>
        </w:rPr>
        <w:t xml:space="preserve"> </w:t>
      </w:r>
      <w:r w:rsidR="00835100" w:rsidRPr="00907D69">
        <w:rPr>
          <w:rStyle w:val="FootnoteReference"/>
          <w:rFonts w:eastAsia="serif"/>
          <w:color w:val="000000"/>
        </w:rPr>
        <w:footnoteReference w:id="87"/>
      </w:r>
      <w:r w:rsidR="00835100" w:rsidRPr="003A1579">
        <w:rPr>
          <w:rFonts w:eastAsia="Cambria"/>
          <w:lang w:val="en-CA"/>
        </w:rPr>
        <w:t xml:space="preserve"> </w:t>
      </w:r>
      <w:r>
        <w:rPr>
          <w:rFonts w:eastAsia="Cambria"/>
          <w:lang w:val="en-CA"/>
        </w:rPr>
        <w:t>S</w:t>
      </w:r>
      <w:r w:rsidRPr="003A1579">
        <w:rPr>
          <w:rFonts w:eastAsia="Cambria"/>
          <w:lang w:val="en-CA"/>
        </w:rPr>
        <w:t>etting minimum standards of weight for fashion models</w:t>
      </w:r>
      <w:r w:rsidRPr="003A6D8F">
        <w:t xml:space="preserve"> </w:t>
      </w:r>
      <w:r w:rsidRPr="003A6D8F">
        <w:rPr>
          <w:rFonts w:eastAsia="Cambria"/>
          <w:lang w:val="en-CA"/>
        </w:rPr>
        <w:t>in line with health guidance</w:t>
      </w:r>
      <w:r w:rsidRPr="003A1579">
        <w:rPr>
          <w:rFonts w:eastAsia="Cambria"/>
          <w:lang w:val="en-CA"/>
        </w:rPr>
        <w:t xml:space="preserve"> via national legislation and policies and/or regulations by model</w:t>
      </w:r>
      <w:r>
        <w:rPr>
          <w:rFonts w:eastAsia="Cambria"/>
          <w:lang w:val="en-CA"/>
        </w:rPr>
        <w:t>ling</w:t>
      </w:r>
      <w:r w:rsidRPr="003A1579">
        <w:rPr>
          <w:rFonts w:eastAsia="Cambria"/>
          <w:lang w:val="en-CA"/>
        </w:rPr>
        <w:t xml:space="preserve"> agencies as well as advertising campaigns embracing the diversity of female forms are good practices. T</w:t>
      </w:r>
      <w:r>
        <w:rPr>
          <w:rFonts w:eastAsia="Cambria"/>
          <w:lang w:val="en-CA"/>
        </w:rPr>
        <w:t xml:space="preserve">he </w:t>
      </w:r>
      <w:r>
        <w:rPr>
          <w:rFonts w:eastAsia="Cambria"/>
          <w:lang w:val="en-CA"/>
        </w:rPr>
        <w:lastRenderedPageBreak/>
        <w:t xml:space="preserve">development of new models of </w:t>
      </w:r>
      <w:r w:rsidRPr="003A1579">
        <w:rPr>
          <w:rFonts w:eastAsia="Cambria"/>
          <w:lang w:val="en-CA"/>
        </w:rPr>
        <w:t xml:space="preserve">dolls with body proportions corresponding to </w:t>
      </w:r>
      <w:r>
        <w:rPr>
          <w:rFonts w:eastAsia="Cambria"/>
          <w:lang w:val="en-CA"/>
        </w:rPr>
        <w:t xml:space="preserve">those of </w:t>
      </w:r>
      <w:r w:rsidRPr="003A1579">
        <w:rPr>
          <w:rFonts w:eastAsia="Cambria"/>
          <w:lang w:val="en-CA"/>
        </w:rPr>
        <w:t xml:space="preserve">healthy women is </w:t>
      </w:r>
      <w:r>
        <w:rPr>
          <w:rFonts w:eastAsia="Cambria"/>
          <w:lang w:val="en-CA"/>
        </w:rPr>
        <w:t>another</w:t>
      </w:r>
      <w:r w:rsidRPr="003A1579">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88"/>
      </w:r>
      <w:r w:rsidR="00835100" w:rsidRPr="003A1579">
        <w:rPr>
          <w:rFonts w:eastAsia="Cambria"/>
          <w:lang w:val="en-CA"/>
        </w:rPr>
        <w:t xml:space="preserve"> </w:t>
      </w:r>
      <w:r w:rsidRPr="003A1579">
        <w:rPr>
          <w:rFonts w:eastAsia="Cambria"/>
          <w:lang w:val="en-CA"/>
        </w:rPr>
        <w:t xml:space="preserve"> </w:t>
      </w:r>
    </w:p>
    <w:p w:rsidR="00CA109F" w:rsidRPr="00254E73" w:rsidRDefault="00CA109F" w:rsidP="00CA109F">
      <w:pPr>
        <w:pStyle w:val="H4G"/>
        <w:rPr>
          <w:rFonts w:eastAsia="Cambria"/>
          <w:lang w:val="en-CA"/>
        </w:rPr>
      </w:pPr>
      <w:r w:rsidRPr="003B22CF">
        <w:rPr>
          <w:rFonts w:eastAsia="Cambria"/>
          <w:b/>
          <w:lang w:val="en-CA"/>
        </w:rPr>
        <w:tab/>
      </w:r>
      <w:r>
        <w:rPr>
          <w:rFonts w:eastAsia="Cambria"/>
          <w:b/>
          <w:lang w:val="en-CA"/>
        </w:rPr>
        <w:tab/>
      </w:r>
      <w:r w:rsidRPr="00254E73">
        <w:rPr>
          <w:rFonts w:eastAsia="Cambria"/>
          <w:lang w:val="en-CA"/>
        </w:rPr>
        <w:t xml:space="preserve">Stigmatization of women’s health </w:t>
      </w:r>
    </w:p>
    <w:p w:rsidR="00CA109F" w:rsidRPr="003A1579" w:rsidRDefault="00CA109F" w:rsidP="00CA109F">
      <w:pPr>
        <w:pStyle w:val="SingleTxtG"/>
        <w:rPr>
          <w:rFonts w:eastAsia="Cambria"/>
          <w:lang w:val="en-CA"/>
        </w:rPr>
      </w:pPr>
      <w:r>
        <w:rPr>
          <w:rFonts w:eastAsia="Cambria"/>
          <w:lang w:val="en-CA"/>
        </w:rPr>
        <w:t>67</w:t>
      </w:r>
      <w:r w:rsidRPr="003A1579">
        <w:rPr>
          <w:rFonts w:eastAsia="Cambria"/>
          <w:lang w:val="en-CA"/>
        </w:rPr>
        <w:t>.</w:t>
      </w:r>
      <w:r w:rsidRPr="003A1579">
        <w:rPr>
          <w:rFonts w:eastAsia="Cambria"/>
          <w:lang w:val="en-CA"/>
        </w:rPr>
        <w:tab/>
        <w:t xml:space="preserve">Stigma is a deeply entrenched social and cultural phenomenon which lies at the root of many human rights violations and results in entire population groups being disadvantaged and excluded, as the Special Rapporteur on </w:t>
      </w:r>
      <w:r>
        <w:rPr>
          <w:rFonts w:eastAsia="Cambria"/>
          <w:lang w:val="en-CA"/>
        </w:rPr>
        <w:t xml:space="preserve">the </w:t>
      </w:r>
      <w:r w:rsidRPr="003A1579">
        <w:rPr>
          <w:rFonts w:eastAsia="Cambria"/>
          <w:lang w:val="en-CA"/>
        </w:rPr>
        <w:t xml:space="preserve">right to water and sanitation </w:t>
      </w:r>
      <w:r>
        <w:rPr>
          <w:rFonts w:eastAsia="Cambria"/>
          <w:lang w:val="en-CA"/>
        </w:rPr>
        <w:t xml:space="preserve">has </w:t>
      </w:r>
      <w:r w:rsidRPr="003A1579">
        <w:rPr>
          <w:rFonts w:eastAsia="Cambria"/>
          <w:lang w:val="en-CA"/>
        </w:rPr>
        <w:t>noted</w:t>
      </w:r>
      <w:r>
        <w:rPr>
          <w:rFonts w:eastAsia="Cambria"/>
          <w:lang w:val="en-CA"/>
        </w:rPr>
        <w:t xml:space="preserve"> (A/HRC/30/39)</w:t>
      </w:r>
      <w:r w:rsidRPr="003A1579">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89"/>
      </w:r>
      <w:r w:rsidRPr="003A1579">
        <w:rPr>
          <w:rFonts w:eastAsia="Cambria"/>
          <w:lang w:val="en-CA"/>
        </w:rPr>
        <w:t xml:space="preserve"> Women are exposed to harmful </w:t>
      </w:r>
      <w:r>
        <w:rPr>
          <w:rFonts w:eastAsia="Cambria"/>
          <w:lang w:val="en-CA"/>
        </w:rPr>
        <w:t xml:space="preserve">gender </w:t>
      </w:r>
      <w:r w:rsidRPr="003A1579">
        <w:rPr>
          <w:rFonts w:eastAsia="Cambria"/>
          <w:lang w:val="en-CA"/>
        </w:rPr>
        <w:t xml:space="preserve">stereotypes or taboos regarding natural and biological functions such as menstruation, breastfeeding and menopause. </w:t>
      </w:r>
      <w:r>
        <w:rPr>
          <w:rFonts w:eastAsia="Cambria"/>
          <w:lang w:val="en-CA"/>
        </w:rPr>
        <w:t>Diagnosis of mental illnesses in w</w:t>
      </w:r>
      <w:r w:rsidRPr="003A1579">
        <w:rPr>
          <w:rFonts w:eastAsia="Cambria"/>
          <w:lang w:val="en-CA"/>
        </w:rPr>
        <w:t xml:space="preserve">omen is biased </w:t>
      </w:r>
      <w:r>
        <w:rPr>
          <w:rFonts w:eastAsia="Cambria"/>
          <w:lang w:val="en-CA"/>
        </w:rPr>
        <w:t>so as</w:t>
      </w:r>
      <w:r w:rsidRPr="003A1579">
        <w:rPr>
          <w:rFonts w:eastAsia="Cambria"/>
          <w:lang w:val="en-CA"/>
        </w:rPr>
        <w:t xml:space="preserve"> to stigmati</w:t>
      </w:r>
      <w:r>
        <w:rPr>
          <w:rFonts w:eastAsia="Cambria"/>
          <w:lang w:val="en-CA"/>
        </w:rPr>
        <w:t>z</w:t>
      </w:r>
      <w:r w:rsidRPr="003A1579">
        <w:rPr>
          <w:rFonts w:eastAsia="Cambria"/>
          <w:lang w:val="en-CA"/>
        </w:rPr>
        <w:t>e them and ha</w:t>
      </w:r>
      <w:r>
        <w:rPr>
          <w:rFonts w:eastAsia="Cambria"/>
          <w:lang w:val="en-CA"/>
        </w:rPr>
        <w:t>s</w:t>
      </w:r>
      <w:r w:rsidRPr="003A1579">
        <w:rPr>
          <w:rFonts w:eastAsia="Cambria"/>
          <w:lang w:val="en-CA"/>
        </w:rPr>
        <w:t xml:space="preserve"> been used </w:t>
      </w:r>
      <w:r>
        <w:rPr>
          <w:rFonts w:eastAsia="Cambria"/>
          <w:lang w:val="en-CA"/>
        </w:rPr>
        <w:t>as a justification for</w:t>
      </w:r>
      <w:r w:rsidRPr="003A1579">
        <w:rPr>
          <w:rFonts w:eastAsia="Cambria"/>
          <w:lang w:val="en-CA"/>
        </w:rPr>
        <w:t xml:space="preserve"> institutionali</w:t>
      </w:r>
      <w:r>
        <w:rPr>
          <w:rFonts w:eastAsia="Cambria"/>
          <w:lang w:val="en-CA"/>
        </w:rPr>
        <w:t>zing</w:t>
      </w:r>
      <w:r w:rsidRPr="003A1579">
        <w:rPr>
          <w:rFonts w:eastAsia="Cambria"/>
          <w:lang w:val="en-CA"/>
        </w:rPr>
        <w:t xml:space="preserve"> </w:t>
      </w:r>
      <w:r>
        <w:rPr>
          <w:rFonts w:eastAsia="Cambria"/>
          <w:lang w:val="en-CA"/>
        </w:rPr>
        <w:t>women</w:t>
      </w:r>
      <w:r w:rsidRPr="003A1579">
        <w:rPr>
          <w:rFonts w:eastAsia="Cambria"/>
          <w:lang w:val="en-CA"/>
        </w:rPr>
        <w:t xml:space="preserve"> unnecessarily against their will. </w:t>
      </w:r>
    </w:p>
    <w:p w:rsidR="00CA109F" w:rsidRPr="003A1579" w:rsidRDefault="00CA109F" w:rsidP="00CA109F">
      <w:pPr>
        <w:pStyle w:val="SingleTxtG"/>
        <w:rPr>
          <w:rFonts w:eastAsia="Cambria"/>
          <w:lang w:val="en-CA"/>
        </w:rPr>
      </w:pPr>
      <w:r>
        <w:rPr>
          <w:rFonts w:eastAsia="Cambria"/>
          <w:lang w:val="en-CA"/>
        </w:rPr>
        <w:t>68</w:t>
      </w:r>
      <w:r w:rsidRPr="003A1579">
        <w:rPr>
          <w:rFonts w:eastAsia="Cambria"/>
          <w:lang w:val="en-CA"/>
        </w:rPr>
        <w:t>.</w:t>
      </w:r>
      <w:r w:rsidRPr="003A1579">
        <w:rPr>
          <w:rFonts w:eastAsia="Cambria"/>
          <w:lang w:val="en-CA"/>
        </w:rPr>
        <w:tab/>
        <w:t>Menstruation is surrounded by stigma</w:t>
      </w:r>
      <w:r>
        <w:rPr>
          <w:rFonts w:eastAsia="Cambria"/>
          <w:lang w:val="en-CA"/>
        </w:rPr>
        <w:t>,</w:t>
      </w:r>
      <w:r w:rsidRPr="003A1579">
        <w:rPr>
          <w:rFonts w:eastAsia="Cambria"/>
          <w:lang w:val="en-CA"/>
        </w:rPr>
        <w:t xml:space="preserve"> resulting in </w:t>
      </w:r>
      <w:r>
        <w:rPr>
          <w:rFonts w:eastAsia="Cambria"/>
          <w:lang w:val="en-CA"/>
        </w:rPr>
        <w:t xml:space="preserve">the ostracism of and discrimination against </w:t>
      </w:r>
      <w:r w:rsidRPr="003A1579">
        <w:rPr>
          <w:rFonts w:eastAsia="Cambria"/>
          <w:lang w:val="en-CA"/>
        </w:rPr>
        <w:t xml:space="preserve">women and girls. </w:t>
      </w:r>
      <w:r>
        <w:rPr>
          <w:rFonts w:eastAsia="Cambria"/>
          <w:lang w:val="en-CA"/>
        </w:rPr>
        <w:t>I</w:t>
      </w:r>
      <w:r w:rsidRPr="003A1579">
        <w:rPr>
          <w:rFonts w:eastAsia="Cambria"/>
          <w:lang w:val="en-CA"/>
        </w:rPr>
        <w:t xml:space="preserve">n some cultures </w:t>
      </w:r>
      <w:r>
        <w:rPr>
          <w:rFonts w:eastAsia="Cambria"/>
          <w:lang w:val="en-CA"/>
        </w:rPr>
        <w:t>me</w:t>
      </w:r>
      <w:r w:rsidRPr="003A1579">
        <w:rPr>
          <w:rFonts w:eastAsia="Cambria"/>
          <w:lang w:val="en-CA"/>
        </w:rPr>
        <w:t xml:space="preserve">nstruating women and girls are considered </w:t>
      </w:r>
      <w:r>
        <w:rPr>
          <w:rFonts w:eastAsia="Cambria"/>
          <w:lang w:val="en-CA"/>
        </w:rPr>
        <w:t>to be</w:t>
      </w:r>
      <w:r w:rsidRPr="003A1579">
        <w:rPr>
          <w:rFonts w:eastAsia="Cambria"/>
          <w:lang w:val="en-CA"/>
        </w:rPr>
        <w:t xml:space="preserve"> contaminated and impure and restrictions and interdictions during menstruation</w:t>
      </w:r>
      <w:r>
        <w:rPr>
          <w:rFonts w:eastAsia="Cambria"/>
          <w:lang w:val="en-CA"/>
        </w:rPr>
        <w:t xml:space="preserve"> are imposed on them</w:t>
      </w:r>
      <w:r w:rsidR="00CA1D87">
        <w:rPr>
          <w:rFonts w:eastAsia="Cambria"/>
          <w:lang w:val="en-CA"/>
        </w:rPr>
        <w:t>.</w:t>
      </w:r>
      <w:r w:rsidR="00835100" w:rsidRPr="00835100">
        <w:rPr>
          <w:rStyle w:val="Heading4Char"/>
          <w:rFonts w:eastAsia="SimSun"/>
          <w:lang w:eastAsia="zh-CN"/>
        </w:rPr>
        <w:t xml:space="preserve"> </w:t>
      </w:r>
      <w:r w:rsidR="00835100" w:rsidRPr="00B0036F">
        <w:rPr>
          <w:rStyle w:val="FootnoteReference"/>
          <w:rFonts w:eastAsia="SimSun"/>
          <w:lang w:eastAsia="zh-CN"/>
        </w:rPr>
        <w:footnoteReference w:id="90"/>
      </w:r>
      <w:r w:rsidR="00CA1D87">
        <w:rPr>
          <w:rFonts w:eastAsia="Cambria"/>
          <w:lang w:val="en-CA"/>
        </w:rPr>
        <w:t xml:space="preserve"> </w:t>
      </w:r>
      <w:r w:rsidRPr="003A1579">
        <w:rPr>
          <w:rFonts w:eastAsia="Cambria"/>
          <w:lang w:val="en-CA"/>
        </w:rPr>
        <w:t xml:space="preserve">Women and girls may continue to harbour internalized stigma and are embarrassed to discuss menstruation even where there are no restrictions. They live with </w:t>
      </w:r>
      <w:r>
        <w:rPr>
          <w:rFonts w:eastAsia="Cambria"/>
          <w:lang w:val="en-CA"/>
        </w:rPr>
        <w:t>a</w:t>
      </w:r>
      <w:r w:rsidRPr="003A1579">
        <w:rPr>
          <w:rFonts w:eastAsia="Cambria"/>
          <w:lang w:val="en-CA"/>
        </w:rPr>
        <w:t xml:space="preserve"> lack of privacy for cleaning and washing, </w:t>
      </w:r>
      <w:r>
        <w:rPr>
          <w:rFonts w:eastAsia="Cambria"/>
          <w:lang w:val="en-CA"/>
        </w:rPr>
        <w:t>a</w:t>
      </w:r>
      <w:r w:rsidRPr="003A1579">
        <w:rPr>
          <w:rFonts w:eastAsia="Cambria"/>
          <w:lang w:val="en-CA"/>
        </w:rPr>
        <w:t xml:space="preserve"> fear of staining and smelling and </w:t>
      </w:r>
      <w:r>
        <w:rPr>
          <w:rFonts w:eastAsia="Cambria"/>
          <w:lang w:val="en-CA"/>
        </w:rPr>
        <w:t>a</w:t>
      </w:r>
      <w:r w:rsidRPr="003A1579">
        <w:rPr>
          <w:rFonts w:eastAsia="Cambria"/>
          <w:lang w:val="en-CA"/>
        </w:rPr>
        <w:t xml:space="preserve"> lack of hygiene in school toilets</w:t>
      </w:r>
      <w:r w:rsidRPr="003A6D8F">
        <w:t xml:space="preserve"> </w:t>
      </w:r>
      <w:r>
        <w:rPr>
          <w:rFonts w:eastAsia="Cambria"/>
          <w:lang w:val="en-CA"/>
        </w:rPr>
        <w:t xml:space="preserve">or </w:t>
      </w:r>
      <w:r w:rsidRPr="003A6D8F">
        <w:rPr>
          <w:rFonts w:eastAsia="Cambria"/>
          <w:lang w:val="en-CA"/>
        </w:rPr>
        <w:t>separate sanitation facilities</w:t>
      </w:r>
      <w:r w:rsidRPr="003A1579">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91"/>
      </w:r>
    </w:p>
    <w:p w:rsidR="00CA109F" w:rsidRPr="003A1579" w:rsidRDefault="00CA109F" w:rsidP="00CA109F">
      <w:pPr>
        <w:pStyle w:val="SingleTxtG"/>
        <w:rPr>
          <w:rFonts w:eastAsia="Cambria"/>
          <w:lang w:val="en-CA"/>
        </w:rPr>
      </w:pPr>
      <w:r>
        <w:rPr>
          <w:rFonts w:eastAsia="Cambria"/>
          <w:lang w:val="en-CA"/>
        </w:rPr>
        <w:t>69.</w:t>
      </w:r>
      <w:r>
        <w:rPr>
          <w:rFonts w:eastAsia="Cambria"/>
          <w:lang w:val="en-CA"/>
        </w:rPr>
        <w:tab/>
      </w:r>
      <w:r w:rsidRPr="003A1579">
        <w:rPr>
          <w:rFonts w:eastAsia="Cambria"/>
          <w:lang w:val="en-CA"/>
        </w:rPr>
        <w:t>Furthermore, many girls do not receive sexuality education</w:t>
      </w:r>
      <w:r>
        <w:rPr>
          <w:rFonts w:eastAsia="Cambria"/>
          <w:lang w:val="en-CA"/>
        </w:rPr>
        <w:t>,</w:t>
      </w:r>
      <w:r w:rsidRPr="003A1579">
        <w:rPr>
          <w:rFonts w:eastAsia="Cambria"/>
          <w:lang w:val="en-CA"/>
        </w:rPr>
        <w:t xml:space="preserve"> including knowledge about the functioning of their bod</w:t>
      </w:r>
      <w:r>
        <w:rPr>
          <w:rFonts w:eastAsia="Cambria"/>
          <w:lang w:val="en-CA"/>
        </w:rPr>
        <w:t>ies</w:t>
      </w:r>
      <w:r w:rsidR="00835100" w:rsidRPr="00B0036F">
        <w:rPr>
          <w:rStyle w:val="FootnoteReference"/>
          <w:rFonts w:eastAsia="SimSun"/>
          <w:lang w:eastAsia="zh-CN"/>
        </w:rPr>
        <w:footnoteReference w:id="92"/>
      </w:r>
      <w:r>
        <w:rPr>
          <w:rFonts w:eastAsia="Cambria"/>
          <w:lang w:val="en-CA"/>
        </w:rPr>
        <w:t>,</w:t>
      </w:r>
      <w:r w:rsidRPr="003A1579">
        <w:rPr>
          <w:rFonts w:eastAsia="Cambria"/>
          <w:lang w:val="en-CA"/>
        </w:rPr>
        <w:t xml:space="preserve"> and hygienic materials for menstruation are either unavailable or too costly. They are forced to use improvised</w:t>
      </w:r>
      <w:r>
        <w:rPr>
          <w:rFonts w:eastAsia="Cambria"/>
          <w:lang w:val="en-CA"/>
        </w:rPr>
        <w:t>,</w:t>
      </w:r>
      <w:r w:rsidRPr="003A1579">
        <w:rPr>
          <w:rFonts w:eastAsia="Cambria"/>
          <w:lang w:val="en-CA"/>
        </w:rPr>
        <w:t xml:space="preserve"> unhygienic materials that may lead to leak</w:t>
      </w:r>
      <w:r>
        <w:rPr>
          <w:rFonts w:eastAsia="Cambria"/>
          <w:lang w:val="en-CA"/>
        </w:rPr>
        <w:t xml:space="preserve">ing </w:t>
      </w:r>
      <w:r w:rsidRPr="003A1579">
        <w:rPr>
          <w:rFonts w:eastAsia="Cambria"/>
          <w:lang w:val="en-CA"/>
        </w:rPr>
        <w:t>and infections.</w:t>
      </w:r>
      <w:r w:rsidR="00835100" w:rsidRPr="00835100">
        <w:rPr>
          <w:rStyle w:val="Heading4Char"/>
          <w:rFonts w:eastAsia="SimSun"/>
          <w:lang w:eastAsia="zh-CN"/>
        </w:rPr>
        <w:t xml:space="preserve"> </w:t>
      </w:r>
      <w:r w:rsidR="00835100" w:rsidRPr="00B0036F">
        <w:rPr>
          <w:rStyle w:val="FootnoteReference"/>
          <w:rFonts w:eastAsia="SimSun"/>
          <w:lang w:eastAsia="zh-CN"/>
        </w:rPr>
        <w:footnoteReference w:id="93"/>
      </w:r>
      <w:r w:rsidR="00835100" w:rsidRPr="003A1579">
        <w:rPr>
          <w:rFonts w:eastAsia="Cambria"/>
          <w:lang w:val="en-CA"/>
        </w:rPr>
        <w:t xml:space="preserve"> </w:t>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70.</w:t>
      </w:r>
      <w:r>
        <w:rPr>
          <w:rFonts w:eastAsia="Cambria"/>
          <w:lang w:val="en-CA"/>
        </w:rPr>
        <w:tab/>
      </w:r>
      <w:r w:rsidRPr="003A1579">
        <w:rPr>
          <w:rFonts w:eastAsia="Cambria"/>
          <w:lang w:val="en-CA"/>
        </w:rPr>
        <w:t>The stigma and shame generated by stereotypes around menstruation have severe impacts on all aspects of women</w:t>
      </w:r>
      <w:r>
        <w:rPr>
          <w:rFonts w:eastAsia="Cambria"/>
          <w:lang w:val="en-CA"/>
        </w:rPr>
        <w:t>’s</w:t>
      </w:r>
      <w:r w:rsidRPr="003A1579">
        <w:rPr>
          <w:rFonts w:eastAsia="Cambria"/>
          <w:lang w:val="en-CA"/>
        </w:rPr>
        <w:t xml:space="preserve"> and girls’ lives, on their dignity</w:t>
      </w:r>
      <w:r>
        <w:rPr>
          <w:rFonts w:eastAsia="Cambria"/>
          <w:lang w:val="en-CA"/>
        </w:rPr>
        <w:t xml:space="preserve"> and</w:t>
      </w:r>
      <w:r w:rsidRPr="003A1579">
        <w:rPr>
          <w:rFonts w:eastAsia="Cambria"/>
          <w:lang w:val="en-CA"/>
        </w:rPr>
        <w:t xml:space="preserve"> well-being as well </w:t>
      </w:r>
      <w:r>
        <w:rPr>
          <w:rFonts w:eastAsia="Cambria"/>
          <w:lang w:val="en-CA"/>
        </w:rPr>
        <w:t xml:space="preserve">as </w:t>
      </w:r>
      <w:r w:rsidRPr="003A1579">
        <w:rPr>
          <w:rFonts w:eastAsia="Cambria"/>
          <w:lang w:val="en-CA"/>
        </w:rPr>
        <w:t>on their right to education and to employment</w:t>
      </w:r>
      <w:r>
        <w:rPr>
          <w:rFonts w:eastAsia="Cambria"/>
          <w:lang w:val="en-CA"/>
        </w:rPr>
        <w:t>,</w:t>
      </w:r>
      <w:r w:rsidRPr="003A1579">
        <w:rPr>
          <w:rFonts w:eastAsia="Cambria"/>
          <w:lang w:val="en-CA"/>
        </w:rPr>
        <w:t xml:space="preserve"> </w:t>
      </w:r>
      <w:r>
        <w:rPr>
          <w:rFonts w:eastAsia="Cambria"/>
          <w:lang w:val="en-CA"/>
        </w:rPr>
        <w:t>as</w:t>
      </w:r>
      <w:r w:rsidRPr="003A1579">
        <w:rPr>
          <w:rFonts w:eastAsia="Cambria"/>
          <w:lang w:val="en-CA"/>
        </w:rPr>
        <w:t xml:space="preserve"> they </w:t>
      </w:r>
      <w:r>
        <w:rPr>
          <w:rFonts w:eastAsia="Cambria"/>
          <w:lang w:val="en-CA"/>
        </w:rPr>
        <w:t xml:space="preserve">may </w:t>
      </w:r>
      <w:r w:rsidRPr="003A1579">
        <w:rPr>
          <w:rFonts w:eastAsia="Cambria"/>
          <w:lang w:val="en-CA"/>
        </w:rPr>
        <w:t xml:space="preserve">feel obliged to </w:t>
      </w:r>
      <w:r>
        <w:rPr>
          <w:rFonts w:eastAsia="Cambria"/>
          <w:lang w:val="en-CA"/>
        </w:rPr>
        <w:t>stay home from</w:t>
      </w:r>
      <w:r w:rsidRPr="003A1579">
        <w:rPr>
          <w:rFonts w:eastAsia="Cambria"/>
          <w:lang w:val="en-CA"/>
        </w:rPr>
        <w:t xml:space="preserve"> school or work every month </w:t>
      </w:r>
      <w:r>
        <w:rPr>
          <w:rFonts w:eastAsia="Cambria"/>
          <w:lang w:val="en-CA"/>
        </w:rPr>
        <w:t>because</w:t>
      </w:r>
      <w:r w:rsidRPr="003A1579">
        <w:rPr>
          <w:rFonts w:eastAsia="Cambria"/>
          <w:lang w:val="en-CA"/>
        </w:rPr>
        <w:t xml:space="preserve"> </w:t>
      </w:r>
      <w:r>
        <w:rPr>
          <w:rFonts w:eastAsia="Cambria"/>
          <w:lang w:val="en-CA"/>
        </w:rPr>
        <w:t xml:space="preserve">of appropriate </w:t>
      </w:r>
      <w:r w:rsidRPr="003A1579">
        <w:rPr>
          <w:rFonts w:eastAsia="Cambria"/>
          <w:lang w:val="en-CA"/>
        </w:rPr>
        <w:t xml:space="preserve">facilities </w:t>
      </w:r>
      <w:r w:rsidRPr="003A6D8F">
        <w:rPr>
          <w:rFonts w:eastAsia="Cambria"/>
          <w:lang w:val="en-CA"/>
        </w:rPr>
        <w:t xml:space="preserve">and </w:t>
      </w:r>
      <w:r>
        <w:rPr>
          <w:rFonts w:eastAsia="Cambria"/>
          <w:lang w:val="en-CA"/>
        </w:rPr>
        <w:t>hygienic items</w:t>
      </w:r>
      <w:r w:rsidRPr="003A6D8F">
        <w:rPr>
          <w:rFonts w:eastAsia="Cambria"/>
          <w:lang w:val="en-CA"/>
        </w:rPr>
        <w:t xml:space="preserve"> </w:t>
      </w:r>
      <w:r>
        <w:rPr>
          <w:rFonts w:eastAsia="Cambria"/>
          <w:lang w:val="en-CA"/>
        </w:rPr>
        <w:t xml:space="preserve">are </w:t>
      </w:r>
      <w:r w:rsidRPr="003A6D8F">
        <w:rPr>
          <w:rFonts w:eastAsia="Cambria"/>
          <w:lang w:val="en-CA"/>
        </w:rPr>
        <w:t>not available</w:t>
      </w:r>
      <w:r w:rsidRPr="003A1579">
        <w:rPr>
          <w:rFonts w:eastAsia="Cambria"/>
          <w:lang w:val="en-CA"/>
        </w:rPr>
        <w:t>.</w:t>
      </w:r>
      <w:r w:rsidR="00835100" w:rsidRPr="00835100">
        <w:rPr>
          <w:rStyle w:val="Heading4Char"/>
        </w:rPr>
        <w:t xml:space="preserve"> </w:t>
      </w:r>
      <w:r w:rsidR="00835100" w:rsidRPr="007E3E0C">
        <w:rPr>
          <w:rStyle w:val="FootnoteReference"/>
        </w:rPr>
        <w:footnoteReference w:id="94"/>
      </w:r>
      <w:r w:rsidRPr="003A1579">
        <w:rPr>
          <w:rFonts w:eastAsia="Cambria"/>
          <w:lang w:val="en-CA"/>
        </w:rPr>
        <w:t xml:space="preserve"> </w:t>
      </w:r>
      <w:r>
        <w:rPr>
          <w:rFonts w:eastAsia="Cambria"/>
          <w:lang w:val="en-CA"/>
        </w:rPr>
        <w:t>Characterizing</w:t>
      </w:r>
      <w:r w:rsidRPr="003A1579">
        <w:rPr>
          <w:rFonts w:eastAsia="Cambria"/>
          <w:lang w:val="en-CA"/>
        </w:rPr>
        <w:t xml:space="preserve"> women’s </w:t>
      </w:r>
      <w:r>
        <w:rPr>
          <w:rFonts w:eastAsia="Cambria"/>
          <w:lang w:val="en-CA"/>
        </w:rPr>
        <w:t xml:space="preserve">menstrual </w:t>
      </w:r>
      <w:r w:rsidRPr="003A1579">
        <w:rPr>
          <w:rFonts w:eastAsia="Cambria"/>
          <w:lang w:val="en-CA"/>
        </w:rPr>
        <w:t xml:space="preserve">pain as </w:t>
      </w:r>
      <w:r>
        <w:rPr>
          <w:rFonts w:eastAsia="Cambria"/>
          <w:lang w:val="en-CA"/>
        </w:rPr>
        <w:t>“</w:t>
      </w:r>
      <w:r w:rsidRPr="003A1579">
        <w:rPr>
          <w:rFonts w:eastAsia="Cambria"/>
          <w:lang w:val="en-CA"/>
        </w:rPr>
        <w:t>neurotic</w:t>
      </w:r>
      <w:r>
        <w:rPr>
          <w:rFonts w:eastAsia="Cambria"/>
          <w:lang w:val="en-CA"/>
        </w:rPr>
        <w:t>”</w:t>
      </w:r>
      <w:r w:rsidRPr="003A1579">
        <w:rPr>
          <w:rFonts w:eastAsia="Cambria"/>
          <w:lang w:val="en-CA"/>
        </w:rPr>
        <w:t xml:space="preserve"> tend</w:t>
      </w:r>
      <w:r>
        <w:rPr>
          <w:rFonts w:eastAsia="Cambria"/>
          <w:lang w:val="en-CA"/>
        </w:rPr>
        <w:t>s</w:t>
      </w:r>
      <w:r w:rsidRPr="003A1579">
        <w:rPr>
          <w:rFonts w:eastAsia="Cambria"/>
          <w:lang w:val="en-CA"/>
        </w:rPr>
        <w:t xml:space="preserve"> to </w:t>
      </w:r>
      <w:r>
        <w:rPr>
          <w:rFonts w:eastAsia="Cambria"/>
          <w:lang w:val="en-CA"/>
        </w:rPr>
        <w:t>make</w:t>
      </w:r>
      <w:r w:rsidRPr="003A1579">
        <w:rPr>
          <w:rFonts w:eastAsia="Cambria"/>
          <w:lang w:val="en-CA"/>
        </w:rPr>
        <w:t xml:space="preserve"> women </w:t>
      </w:r>
      <w:r>
        <w:rPr>
          <w:rFonts w:eastAsia="Cambria"/>
          <w:lang w:val="en-CA"/>
        </w:rPr>
        <w:t xml:space="preserve">reluctant </w:t>
      </w:r>
      <w:r w:rsidRPr="003A1579">
        <w:rPr>
          <w:rFonts w:eastAsia="Cambria"/>
          <w:lang w:val="en-CA"/>
        </w:rPr>
        <w:t>to seek help</w:t>
      </w:r>
      <w:r>
        <w:rPr>
          <w:rFonts w:eastAsia="Cambria"/>
          <w:lang w:val="en-CA"/>
        </w:rPr>
        <w:t>,</w:t>
      </w:r>
      <w:r w:rsidRPr="003A1579">
        <w:rPr>
          <w:rFonts w:eastAsia="Cambria"/>
          <w:lang w:val="en-CA"/>
        </w:rPr>
        <w:t xml:space="preserve"> </w:t>
      </w:r>
      <w:r>
        <w:rPr>
          <w:rFonts w:eastAsia="Cambria"/>
          <w:lang w:val="en-CA"/>
        </w:rPr>
        <w:t>which can</w:t>
      </w:r>
      <w:r w:rsidRPr="003A1579">
        <w:rPr>
          <w:rFonts w:eastAsia="Cambria"/>
          <w:lang w:val="en-CA"/>
        </w:rPr>
        <w:t xml:space="preserve"> delay diagnosis of</w:t>
      </w:r>
      <w:r>
        <w:rPr>
          <w:rFonts w:eastAsia="Cambria"/>
          <w:lang w:val="en-CA"/>
        </w:rPr>
        <w:t>, for example,</w:t>
      </w:r>
      <w:r w:rsidRPr="003A1579">
        <w:rPr>
          <w:rFonts w:eastAsia="Cambria"/>
          <w:lang w:val="en-CA"/>
        </w:rPr>
        <w:t xml:space="preserve"> the severely disabling disease of endometriosis, in which tissue that normally grows inside the uterus grows in an abnormal anatomical location</w:t>
      </w:r>
      <w:r w:rsidR="0009316F">
        <w:rPr>
          <w:rStyle w:val="FootnoteReference"/>
          <w:rFonts w:eastAsia="Cambria"/>
          <w:lang w:val="en-CA"/>
        </w:rPr>
        <w:footnoteReference w:id="95"/>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lastRenderedPageBreak/>
        <w:t>71</w:t>
      </w:r>
      <w:r w:rsidRPr="003A1579">
        <w:rPr>
          <w:rFonts w:eastAsia="Cambria"/>
          <w:lang w:val="en-CA"/>
        </w:rPr>
        <w:t>.</w:t>
      </w:r>
      <w:r w:rsidRPr="003A1579">
        <w:rPr>
          <w:rFonts w:eastAsia="Cambria"/>
          <w:lang w:val="en-CA"/>
        </w:rPr>
        <w:tab/>
      </w:r>
      <w:r>
        <w:rPr>
          <w:rFonts w:eastAsia="Cambria"/>
          <w:lang w:val="en-CA"/>
        </w:rPr>
        <w:t>Prejudices surrounding m</w:t>
      </w:r>
      <w:r w:rsidRPr="003A1579">
        <w:rPr>
          <w:rFonts w:eastAsia="Cambria"/>
          <w:lang w:val="en-CA"/>
        </w:rPr>
        <w:t xml:space="preserve">enopause may affect women’s confidence in professional and public life, </w:t>
      </w:r>
      <w:r>
        <w:rPr>
          <w:rFonts w:eastAsia="Cambria"/>
          <w:lang w:val="en-CA"/>
        </w:rPr>
        <w:t xml:space="preserve">owing to age-based discrimination in the </w:t>
      </w:r>
      <w:r w:rsidRPr="003A1579">
        <w:rPr>
          <w:rFonts w:eastAsia="Cambria"/>
          <w:lang w:val="en-CA"/>
        </w:rPr>
        <w:t>workplace.</w:t>
      </w:r>
      <w:r w:rsidR="00835100" w:rsidRPr="00835100">
        <w:rPr>
          <w:rStyle w:val="Heading4Char"/>
          <w:rFonts w:eastAsia="Cambria"/>
          <w:lang w:val="en-CA"/>
        </w:rPr>
        <w:t xml:space="preserve"> </w:t>
      </w:r>
      <w:r w:rsidR="00835100">
        <w:rPr>
          <w:rStyle w:val="FootnoteReference"/>
          <w:rFonts w:eastAsia="Cambria"/>
          <w:lang w:val="en-CA"/>
        </w:rPr>
        <w:footnoteReference w:id="96"/>
      </w:r>
      <w:r w:rsidRPr="003A1579">
        <w:rPr>
          <w:rFonts w:eastAsia="Cambria"/>
          <w:lang w:val="en-CA"/>
        </w:rPr>
        <w:t xml:space="preserve"> </w:t>
      </w:r>
      <w:r>
        <w:rPr>
          <w:rFonts w:eastAsia="Cambria"/>
          <w:lang w:val="en-CA"/>
        </w:rPr>
        <w:t>I</w:t>
      </w:r>
      <w:r w:rsidRPr="003A1579">
        <w:rPr>
          <w:rFonts w:eastAsia="Cambria"/>
          <w:lang w:val="en-CA"/>
        </w:rPr>
        <w:t>n some societies</w:t>
      </w:r>
      <w:r>
        <w:rPr>
          <w:rFonts w:eastAsia="Cambria"/>
          <w:lang w:val="en-CA"/>
        </w:rPr>
        <w:t>,</w:t>
      </w:r>
      <w:r w:rsidRPr="003A1579">
        <w:rPr>
          <w:rFonts w:eastAsia="Cambria"/>
          <w:lang w:val="en-CA"/>
        </w:rPr>
        <w:t xml:space="preserve"> </w:t>
      </w:r>
      <w:r>
        <w:rPr>
          <w:rFonts w:eastAsia="Cambria"/>
          <w:lang w:val="en-CA"/>
        </w:rPr>
        <w:t>this question is</w:t>
      </w:r>
      <w:r w:rsidRPr="003A1579">
        <w:rPr>
          <w:rFonts w:eastAsia="Cambria"/>
          <w:lang w:val="en-CA"/>
        </w:rPr>
        <w:t xml:space="preserve"> poorly addressed and understood</w:t>
      </w:r>
      <w:r>
        <w:rPr>
          <w:rFonts w:eastAsia="Cambria"/>
          <w:lang w:val="en-CA"/>
        </w:rPr>
        <w:t>, if at all</w:t>
      </w:r>
      <w:r w:rsidRPr="003A1579">
        <w:rPr>
          <w:rFonts w:eastAsia="Cambria"/>
          <w:lang w:val="en-CA"/>
        </w:rPr>
        <w:t xml:space="preserve">. </w:t>
      </w:r>
      <w:r>
        <w:rPr>
          <w:rFonts w:eastAsia="Cambria"/>
          <w:lang w:val="en-CA"/>
        </w:rPr>
        <w:t>M</w:t>
      </w:r>
      <w:r w:rsidRPr="003A1579">
        <w:rPr>
          <w:rFonts w:eastAsia="Cambria"/>
          <w:lang w:val="en-CA"/>
        </w:rPr>
        <w:t>edicalization through hormone replacement therapy</w:t>
      </w:r>
      <w:r>
        <w:rPr>
          <w:rFonts w:eastAsia="Cambria"/>
          <w:lang w:val="en-CA"/>
        </w:rPr>
        <w:t>,</w:t>
      </w:r>
      <w:r w:rsidRPr="003A1579">
        <w:rPr>
          <w:rFonts w:eastAsia="Cambria"/>
          <w:lang w:val="en-CA"/>
        </w:rPr>
        <w:t xml:space="preserve"> and pressure on active women to use it, even </w:t>
      </w:r>
      <w:r>
        <w:rPr>
          <w:rFonts w:eastAsia="Cambria"/>
          <w:lang w:val="en-CA"/>
        </w:rPr>
        <w:t>where there are health contraindications, can</w:t>
      </w:r>
      <w:r w:rsidRPr="003A1579">
        <w:rPr>
          <w:rFonts w:eastAsia="Cambria"/>
          <w:lang w:val="en-CA"/>
        </w:rPr>
        <w:t xml:space="preserve"> have </w:t>
      </w:r>
      <w:r>
        <w:rPr>
          <w:rFonts w:eastAsia="Cambria"/>
          <w:lang w:val="en-CA"/>
        </w:rPr>
        <w:t xml:space="preserve">a </w:t>
      </w:r>
      <w:r w:rsidRPr="003A1579">
        <w:rPr>
          <w:rFonts w:eastAsia="Cambria"/>
          <w:lang w:val="en-CA"/>
        </w:rPr>
        <w:t>detrimental effect on women’s mental health.</w:t>
      </w:r>
      <w:r w:rsidR="00835100" w:rsidRPr="00835100">
        <w:rPr>
          <w:rStyle w:val="Heading4Char"/>
          <w:rFonts w:eastAsia="Cambria"/>
          <w:lang w:val="en-CA"/>
        </w:rPr>
        <w:t xml:space="preserve"> </w:t>
      </w:r>
      <w:r w:rsidR="00835100">
        <w:rPr>
          <w:rStyle w:val="FootnoteReference"/>
          <w:rFonts w:eastAsia="Cambria"/>
          <w:lang w:val="en-CA"/>
        </w:rPr>
        <w:footnoteReference w:id="97"/>
      </w:r>
      <w:r w:rsidR="00835100" w:rsidRPr="003A1579">
        <w:rPr>
          <w:rFonts w:eastAsia="Cambria"/>
          <w:lang w:val="en-CA"/>
        </w:rPr>
        <w:t xml:space="preserve"> </w:t>
      </w:r>
      <w:r w:rsidRPr="003A1579">
        <w:rPr>
          <w:rFonts w:eastAsia="Cambria"/>
          <w:lang w:val="en-CA"/>
        </w:rPr>
        <w:t xml:space="preserve"> </w:t>
      </w:r>
    </w:p>
    <w:p w:rsidR="00CA109F" w:rsidRDefault="00CA109F" w:rsidP="00CA109F">
      <w:pPr>
        <w:pStyle w:val="SingleTxtG"/>
        <w:rPr>
          <w:rFonts w:eastAsia="Cambria"/>
          <w:lang w:val="en-CA"/>
        </w:rPr>
      </w:pPr>
      <w:r>
        <w:rPr>
          <w:rFonts w:eastAsia="Cambria"/>
          <w:lang w:val="en-CA"/>
        </w:rPr>
        <w:t>72.</w:t>
      </w:r>
      <w:r>
        <w:rPr>
          <w:rFonts w:eastAsia="Cambria"/>
          <w:lang w:val="en-CA"/>
        </w:rPr>
        <w:tab/>
        <w:t>Similarly, instrumentaliz</w:t>
      </w:r>
      <w:r w:rsidRPr="003A1579">
        <w:rPr>
          <w:rFonts w:eastAsia="Cambria"/>
          <w:lang w:val="en-CA"/>
        </w:rPr>
        <w:t>ation and stigmati</w:t>
      </w:r>
      <w:r>
        <w:rPr>
          <w:rFonts w:eastAsia="Cambria"/>
          <w:lang w:val="en-CA"/>
        </w:rPr>
        <w:t>z</w:t>
      </w:r>
      <w:r w:rsidRPr="003A1579">
        <w:rPr>
          <w:rFonts w:eastAsia="Cambria"/>
          <w:lang w:val="en-CA"/>
        </w:rPr>
        <w:t xml:space="preserve">ation </w:t>
      </w:r>
      <w:r>
        <w:rPr>
          <w:rFonts w:eastAsia="Cambria"/>
          <w:lang w:val="en-CA"/>
        </w:rPr>
        <w:t xml:space="preserve">are at work regarding </w:t>
      </w:r>
      <w:r w:rsidRPr="003A1579">
        <w:rPr>
          <w:rFonts w:eastAsia="Cambria"/>
          <w:lang w:val="en-CA"/>
        </w:rPr>
        <w:t>breastfeeding in public space</w:t>
      </w:r>
      <w:r>
        <w:rPr>
          <w:rFonts w:eastAsia="Cambria"/>
          <w:lang w:val="en-CA"/>
        </w:rPr>
        <w:t>s</w:t>
      </w:r>
      <w:r w:rsidRPr="003A1579">
        <w:rPr>
          <w:rFonts w:eastAsia="Cambria"/>
          <w:lang w:val="en-CA"/>
        </w:rPr>
        <w:t xml:space="preserve"> and at workplaces. </w:t>
      </w:r>
      <w:r>
        <w:rPr>
          <w:rFonts w:eastAsia="Cambria"/>
          <w:lang w:val="en-CA"/>
        </w:rPr>
        <w:t>Aside from the fact that b</w:t>
      </w:r>
      <w:r w:rsidRPr="003A1579">
        <w:rPr>
          <w:rFonts w:eastAsia="Cambria"/>
          <w:lang w:val="en-CA"/>
        </w:rPr>
        <w:t>reastfeeding is often promoted or discouraged for economic reasons</w:t>
      </w:r>
      <w:r>
        <w:rPr>
          <w:rFonts w:eastAsia="Cambria"/>
          <w:lang w:val="en-CA"/>
        </w:rPr>
        <w:t>,</w:t>
      </w:r>
      <w:r w:rsidRPr="003A1579">
        <w:rPr>
          <w:rFonts w:eastAsia="Cambria"/>
          <w:lang w:val="en-CA"/>
        </w:rPr>
        <w:t xml:space="preserve"> </w:t>
      </w:r>
      <w:r>
        <w:rPr>
          <w:rFonts w:eastAsia="Cambria"/>
          <w:lang w:val="en-CA"/>
        </w:rPr>
        <w:t>it</w:t>
      </w:r>
      <w:r w:rsidRPr="003A1579">
        <w:rPr>
          <w:rFonts w:eastAsia="Cambria"/>
          <w:lang w:val="en-CA"/>
        </w:rPr>
        <w:t xml:space="preserve"> may be viewed as inappropriate even in countries where the practice is legally protected, exposing women to unnecessary stress and pressure from intimidation and harassment. According to </w:t>
      </w:r>
      <w:r>
        <w:rPr>
          <w:rFonts w:eastAsia="Cambria"/>
          <w:lang w:val="en-CA"/>
        </w:rPr>
        <w:t>the United Nations Children’s Fund (</w:t>
      </w:r>
      <w:r w:rsidRPr="003A1579">
        <w:rPr>
          <w:rFonts w:eastAsia="Cambria"/>
          <w:lang w:val="en-CA"/>
        </w:rPr>
        <w:t>UNICEF</w:t>
      </w:r>
      <w:r>
        <w:rPr>
          <w:rFonts w:eastAsia="Cambria"/>
          <w:lang w:val="en-CA"/>
        </w:rPr>
        <w:t>)</w:t>
      </w:r>
      <w:r w:rsidRPr="003A1579">
        <w:rPr>
          <w:rFonts w:eastAsia="Cambria"/>
          <w:lang w:val="en-CA"/>
        </w:rPr>
        <w:t xml:space="preserve">, the majority of the approximately 830 million women workers </w:t>
      </w:r>
      <w:r>
        <w:rPr>
          <w:rFonts w:eastAsia="Cambria"/>
          <w:lang w:val="en-CA"/>
        </w:rPr>
        <w:t>worldwide</w:t>
      </w:r>
      <w:r w:rsidRPr="003A1579">
        <w:rPr>
          <w:rFonts w:eastAsia="Cambria"/>
          <w:lang w:val="en-CA"/>
        </w:rPr>
        <w:t xml:space="preserve"> do not </w:t>
      </w:r>
      <w:r>
        <w:rPr>
          <w:rFonts w:eastAsia="Cambria"/>
          <w:lang w:val="en-CA"/>
        </w:rPr>
        <w:t>enjoy</w:t>
      </w:r>
      <w:r w:rsidRPr="003A1579">
        <w:rPr>
          <w:rFonts w:eastAsia="Cambria"/>
          <w:lang w:val="en-CA"/>
        </w:rPr>
        <w:t xml:space="preserve"> workplace policies that support nursing mothers.</w:t>
      </w:r>
      <w:r w:rsidR="00835100" w:rsidRPr="00835100">
        <w:rPr>
          <w:rStyle w:val="Heading4Char"/>
          <w:rFonts w:eastAsia="Cambria"/>
          <w:lang w:val="en-CA"/>
        </w:rPr>
        <w:t xml:space="preserve"> </w:t>
      </w:r>
      <w:r w:rsidR="00835100">
        <w:rPr>
          <w:rStyle w:val="FootnoteReference"/>
          <w:rFonts w:eastAsia="Cambria"/>
          <w:lang w:val="en-CA"/>
        </w:rPr>
        <w:footnoteReference w:id="98"/>
      </w:r>
      <w:r w:rsidRPr="003A1579">
        <w:rPr>
          <w:rFonts w:eastAsia="Cambria"/>
          <w:lang w:val="en-CA"/>
        </w:rPr>
        <w:t xml:space="preserve"> </w:t>
      </w:r>
    </w:p>
    <w:p w:rsidR="00CA109F" w:rsidRPr="003B22CF" w:rsidRDefault="00CA109F" w:rsidP="00CA109F">
      <w:pPr>
        <w:pStyle w:val="H23G"/>
        <w:rPr>
          <w:rFonts w:eastAsia="Cambria"/>
          <w:lang w:val="en-CA"/>
        </w:rPr>
      </w:pPr>
      <w:r>
        <w:rPr>
          <w:rFonts w:eastAsia="Cambria"/>
          <w:lang w:val="en-CA"/>
        </w:rPr>
        <w:tab/>
        <w:t>4.</w:t>
      </w:r>
      <w:r>
        <w:rPr>
          <w:rFonts w:eastAsia="Cambria"/>
          <w:lang w:val="en-CA"/>
        </w:rPr>
        <w:tab/>
      </w:r>
      <w:r w:rsidRPr="003B22CF">
        <w:rPr>
          <w:rFonts w:eastAsia="Cambria"/>
          <w:lang w:val="en-CA"/>
        </w:rPr>
        <w:t xml:space="preserve">Pathologization and overmedicalization of women </w:t>
      </w:r>
    </w:p>
    <w:p w:rsidR="00CA109F" w:rsidRPr="003A1579" w:rsidRDefault="00CA109F" w:rsidP="00CA109F">
      <w:pPr>
        <w:pStyle w:val="SingleTxtG"/>
        <w:rPr>
          <w:rFonts w:eastAsia="Cambria"/>
          <w:lang w:val="en-CA"/>
        </w:rPr>
      </w:pPr>
      <w:r>
        <w:rPr>
          <w:rFonts w:eastAsia="Cambria"/>
          <w:lang w:val="en-CA"/>
        </w:rPr>
        <w:t>73</w:t>
      </w:r>
      <w:r w:rsidRPr="003A1579">
        <w:rPr>
          <w:rFonts w:eastAsia="Cambria"/>
          <w:lang w:val="en-CA"/>
        </w:rPr>
        <w:t>.</w:t>
      </w:r>
      <w:r w:rsidRPr="003A1579">
        <w:rPr>
          <w:rFonts w:eastAsia="Cambria"/>
          <w:lang w:val="en-CA"/>
        </w:rPr>
        <w:tab/>
      </w:r>
      <w:r>
        <w:rPr>
          <w:rFonts w:eastAsia="Cambria"/>
          <w:lang w:val="en-CA"/>
        </w:rPr>
        <w:t>Viewing</w:t>
      </w:r>
      <w:r w:rsidRPr="003A1579">
        <w:rPr>
          <w:rFonts w:eastAsia="Cambria"/>
          <w:lang w:val="en-CA"/>
        </w:rPr>
        <w:t xml:space="preserve"> women’s behavio</w:t>
      </w:r>
      <w:r>
        <w:rPr>
          <w:rFonts w:eastAsia="Cambria"/>
          <w:lang w:val="en-CA"/>
        </w:rPr>
        <w:t>u</w:t>
      </w:r>
      <w:r w:rsidRPr="003A1579">
        <w:rPr>
          <w:rFonts w:eastAsia="Cambria"/>
          <w:lang w:val="en-CA"/>
        </w:rPr>
        <w:t>r and biological physiology, in particular their reproductive functions and sexuality</w:t>
      </w:r>
      <w:r>
        <w:rPr>
          <w:rFonts w:eastAsia="Cambria"/>
          <w:lang w:val="en-CA"/>
        </w:rPr>
        <w:t>,</w:t>
      </w:r>
      <w:r w:rsidRPr="003A1579">
        <w:rPr>
          <w:rFonts w:eastAsia="Cambria"/>
          <w:lang w:val="en-CA"/>
        </w:rPr>
        <w:t xml:space="preserve"> as symptomatic of medical problems reflects a history of gendered pathologization. Historically, pathologization, unnecessary medicalization and institutionalization in mental care facilities have functioned as forms of social control </w:t>
      </w:r>
      <w:r>
        <w:rPr>
          <w:rFonts w:eastAsia="Cambria"/>
          <w:lang w:val="en-CA"/>
        </w:rPr>
        <w:t xml:space="preserve">exercised </w:t>
      </w:r>
      <w:r w:rsidRPr="003A1579">
        <w:rPr>
          <w:rFonts w:eastAsia="Cambria"/>
          <w:lang w:val="en-CA"/>
        </w:rPr>
        <w:t>by patriarchal establishments to preserve the gender roles of women. Pathologization of women’s behaviour has been evidenced in psychiatric diagnoses, which often directly target perceived immoral activity such as unconventional sexual activity or intellectual independence as a source of mental illness</w:t>
      </w:r>
      <w:r>
        <w:rPr>
          <w:rFonts w:eastAsia="Cambria"/>
          <w:lang w:val="en-CA"/>
        </w:rPr>
        <w:t xml:space="preserve"> or disorder</w:t>
      </w:r>
      <w:r w:rsidRPr="003A1579">
        <w:rPr>
          <w:rFonts w:eastAsia="Cambria"/>
          <w:lang w:val="en-CA"/>
        </w:rPr>
        <w:t>.</w:t>
      </w:r>
      <w:r w:rsidR="00835100" w:rsidRPr="00835100">
        <w:rPr>
          <w:rStyle w:val="Heading4Char"/>
          <w:bCs/>
          <w:color w:val="000007"/>
        </w:rPr>
        <w:t xml:space="preserve"> </w:t>
      </w:r>
      <w:r w:rsidR="00835100" w:rsidRPr="00B0036F">
        <w:rPr>
          <w:rStyle w:val="FootnoteReference"/>
          <w:bCs/>
          <w:color w:val="000007"/>
        </w:rPr>
        <w:footnoteReference w:id="99"/>
      </w:r>
      <w:r w:rsidR="00835100" w:rsidRPr="003A1579">
        <w:rPr>
          <w:rFonts w:eastAsia="Cambria"/>
          <w:lang w:val="en-CA"/>
        </w:rPr>
        <w:t xml:space="preserve"> </w:t>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74.</w:t>
      </w:r>
      <w:r>
        <w:rPr>
          <w:rFonts w:eastAsia="Cambria"/>
          <w:lang w:val="en-CA"/>
        </w:rPr>
        <w:tab/>
        <w:t xml:space="preserve">The Working </w:t>
      </w:r>
      <w:r w:rsidRPr="003A1579">
        <w:rPr>
          <w:rFonts w:eastAsia="Cambria"/>
          <w:lang w:val="en-CA"/>
        </w:rPr>
        <w:t xml:space="preserve">Group is concerned that many national laws and policies </w:t>
      </w:r>
      <w:r>
        <w:rPr>
          <w:rFonts w:eastAsia="Cambria"/>
          <w:lang w:val="en-CA"/>
        </w:rPr>
        <w:t xml:space="preserve">provide for </w:t>
      </w:r>
      <w:r w:rsidRPr="003A1579">
        <w:rPr>
          <w:rFonts w:eastAsia="Cambria"/>
          <w:lang w:val="en-CA"/>
        </w:rPr>
        <w:t>overmedicaliz</w:t>
      </w:r>
      <w:r>
        <w:rPr>
          <w:rFonts w:eastAsia="Cambria"/>
          <w:lang w:val="en-CA"/>
        </w:rPr>
        <w:t>ation of</w:t>
      </w:r>
      <w:r w:rsidRPr="003A1579">
        <w:rPr>
          <w:rFonts w:eastAsia="Cambria"/>
          <w:lang w:val="en-CA"/>
        </w:rPr>
        <w:t xml:space="preserve"> certain services that women need to preserve their health without </w:t>
      </w:r>
      <w:r>
        <w:rPr>
          <w:rFonts w:eastAsia="Cambria"/>
          <w:lang w:val="en-CA"/>
        </w:rPr>
        <w:t>a justified medical reason</w:t>
      </w:r>
      <w:r w:rsidRPr="003A1579">
        <w:rPr>
          <w:rFonts w:eastAsia="Cambria"/>
          <w:lang w:val="en-CA"/>
        </w:rPr>
        <w:t xml:space="preserve">. </w:t>
      </w:r>
      <w:r>
        <w:rPr>
          <w:rFonts w:eastAsia="Cambria"/>
          <w:lang w:val="en-CA"/>
        </w:rPr>
        <w:t>These</w:t>
      </w:r>
      <w:r w:rsidRPr="003A1579">
        <w:rPr>
          <w:rFonts w:eastAsia="Cambria"/>
          <w:lang w:val="en-CA"/>
        </w:rPr>
        <w:t xml:space="preserve"> include requirements that only doctors can perform certain services, such as </w:t>
      </w:r>
      <w:r>
        <w:rPr>
          <w:rFonts w:eastAsia="Cambria"/>
          <w:lang w:val="en-CA"/>
        </w:rPr>
        <w:t xml:space="preserve">pharmaceutical </w:t>
      </w:r>
      <w:r w:rsidRPr="003A1579">
        <w:rPr>
          <w:rFonts w:eastAsia="Cambria"/>
          <w:lang w:val="en-CA"/>
        </w:rPr>
        <w:t>termination of pregnanc</w:t>
      </w:r>
      <w:r>
        <w:rPr>
          <w:rFonts w:eastAsia="Cambria"/>
          <w:lang w:val="en-CA"/>
        </w:rPr>
        <w:t>y or obstetric care.</w:t>
      </w:r>
      <w:r w:rsidR="00835100" w:rsidRPr="00835100">
        <w:rPr>
          <w:rStyle w:val="Heading4Char"/>
          <w:color w:val="000007"/>
        </w:rPr>
        <w:t xml:space="preserve"> </w:t>
      </w:r>
      <w:r w:rsidR="00835100" w:rsidRPr="002965F7">
        <w:rPr>
          <w:rStyle w:val="FootnoteReference"/>
          <w:color w:val="000007"/>
        </w:rPr>
        <w:footnoteReference w:id="100"/>
      </w:r>
      <w:r>
        <w:rPr>
          <w:rFonts w:eastAsia="Cambria"/>
          <w:lang w:val="en-CA"/>
        </w:rPr>
        <w:t xml:space="preserve"> In many countries, </w:t>
      </w:r>
      <w:r w:rsidRPr="003A1579">
        <w:rPr>
          <w:rFonts w:eastAsia="Cambria"/>
          <w:lang w:val="en-CA"/>
        </w:rPr>
        <w:t xml:space="preserve">women are not given a free choice between different ways of giving birth. </w:t>
      </w:r>
      <w:r>
        <w:rPr>
          <w:rFonts w:eastAsia="Cambria"/>
          <w:lang w:val="en-CA"/>
        </w:rPr>
        <w:t xml:space="preserve">Caesarian sections, </w:t>
      </w:r>
      <w:r w:rsidRPr="00200CA0">
        <w:rPr>
          <w:rFonts w:eastAsia="Cambria"/>
          <w:lang w:val="en-CA"/>
        </w:rPr>
        <w:t>when medically justified</w:t>
      </w:r>
      <w:r>
        <w:rPr>
          <w:rFonts w:eastAsia="Cambria"/>
          <w:lang w:val="en-CA"/>
        </w:rPr>
        <w:t>,</w:t>
      </w:r>
      <w:r w:rsidRPr="00200CA0">
        <w:rPr>
          <w:rFonts w:eastAsia="Cambria"/>
          <w:lang w:val="en-CA"/>
        </w:rPr>
        <w:t xml:space="preserve"> </w:t>
      </w:r>
      <w:r>
        <w:rPr>
          <w:rFonts w:eastAsia="Cambria"/>
          <w:lang w:val="en-CA"/>
        </w:rPr>
        <w:t xml:space="preserve">can be </w:t>
      </w:r>
      <w:r w:rsidRPr="00200CA0">
        <w:rPr>
          <w:rFonts w:eastAsia="Cambria"/>
          <w:lang w:val="en-CA"/>
        </w:rPr>
        <w:t xml:space="preserve">crucial </w:t>
      </w:r>
      <w:r>
        <w:rPr>
          <w:rFonts w:eastAsia="Cambria"/>
          <w:lang w:val="en-CA"/>
        </w:rPr>
        <w:t>in</w:t>
      </w:r>
      <w:r w:rsidRPr="00200CA0">
        <w:rPr>
          <w:rFonts w:eastAsia="Cambria"/>
          <w:lang w:val="en-CA"/>
        </w:rPr>
        <w:t xml:space="preserve"> prevent</w:t>
      </w:r>
      <w:r>
        <w:rPr>
          <w:rFonts w:eastAsia="Cambria"/>
          <w:lang w:val="en-CA"/>
        </w:rPr>
        <w:t>ing</w:t>
      </w:r>
      <w:r w:rsidRPr="00200CA0">
        <w:rPr>
          <w:rFonts w:eastAsia="Cambria"/>
          <w:lang w:val="en-CA"/>
        </w:rPr>
        <w:t xml:space="preserve"> maternal and perinatal mortality and morbidity</w:t>
      </w:r>
      <w:r>
        <w:rPr>
          <w:rFonts w:eastAsia="Cambria"/>
          <w:lang w:val="en-CA"/>
        </w:rPr>
        <w:t>.</w:t>
      </w:r>
      <w:r w:rsidRPr="00200CA0">
        <w:rPr>
          <w:rFonts w:eastAsia="Cambria"/>
          <w:lang w:val="en-CA"/>
        </w:rPr>
        <w:t xml:space="preserve"> </w:t>
      </w:r>
      <w:r>
        <w:rPr>
          <w:rFonts w:eastAsia="Cambria"/>
          <w:lang w:val="en-CA"/>
        </w:rPr>
        <w:t xml:space="preserve">However, </w:t>
      </w:r>
      <w:r w:rsidRPr="00200CA0">
        <w:rPr>
          <w:rFonts w:eastAsia="Cambria"/>
          <w:lang w:val="en-CA"/>
        </w:rPr>
        <w:t xml:space="preserve">studies conducted by WHO </w:t>
      </w:r>
      <w:r>
        <w:rPr>
          <w:rFonts w:eastAsia="Cambria"/>
          <w:lang w:val="en-CA"/>
        </w:rPr>
        <w:t xml:space="preserve">demonstrated </w:t>
      </w:r>
      <w:r w:rsidRPr="00200CA0">
        <w:rPr>
          <w:rFonts w:eastAsia="Cambria"/>
          <w:lang w:val="en-CA"/>
        </w:rPr>
        <w:t xml:space="preserve">that </w:t>
      </w:r>
      <w:r>
        <w:rPr>
          <w:rFonts w:eastAsia="Cambria"/>
          <w:lang w:val="en-CA"/>
        </w:rPr>
        <w:t>performing</w:t>
      </w:r>
      <w:r w:rsidRPr="00200CA0">
        <w:rPr>
          <w:rFonts w:eastAsia="Cambria"/>
          <w:lang w:val="en-CA"/>
        </w:rPr>
        <w:t xml:space="preserve"> caesarian sections </w:t>
      </w:r>
      <w:r>
        <w:rPr>
          <w:rFonts w:eastAsia="Cambria"/>
          <w:lang w:val="en-CA"/>
        </w:rPr>
        <w:t>on more than</w:t>
      </w:r>
      <w:r w:rsidRPr="00200CA0">
        <w:rPr>
          <w:rFonts w:eastAsia="Cambria"/>
          <w:lang w:val="en-CA"/>
        </w:rPr>
        <w:t xml:space="preserve"> 10</w:t>
      </w:r>
      <w:r>
        <w:rPr>
          <w:rFonts w:eastAsia="Cambria"/>
          <w:lang w:val="en-CA"/>
        </w:rPr>
        <w:t xml:space="preserve"> per cent of women</w:t>
      </w:r>
      <w:r w:rsidRPr="00200CA0">
        <w:rPr>
          <w:rFonts w:eastAsia="Cambria"/>
          <w:lang w:val="en-CA"/>
        </w:rPr>
        <w:t xml:space="preserve"> does not </w:t>
      </w:r>
      <w:r>
        <w:rPr>
          <w:rFonts w:eastAsia="Cambria"/>
          <w:lang w:val="en-CA"/>
        </w:rPr>
        <w:t>lead to</w:t>
      </w:r>
      <w:r w:rsidRPr="00200CA0">
        <w:rPr>
          <w:rFonts w:eastAsia="Cambria"/>
          <w:lang w:val="en-CA"/>
        </w:rPr>
        <w:t xml:space="preserve"> </w:t>
      </w:r>
      <w:r>
        <w:rPr>
          <w:rFonts w:eastAsia="Cambria"/>
          <w:lang w:val="en-CA"/>
        </w:rPr>
        <w:t xml:space="preserve">improvement in </w:t>
      </w:r>
      <w:r w:rsidRPr="00200CA0">
        <w:rPr>
          <w:rFonts w:eastAsia="Cambria"/>
          <w:lang w:val="en-CA"/>
        </w:rPr>
        <w:t>mortality rate</w:t>
      </w:r>
      <w:r>
        <w:rPr>
          <w:rFonts w:eastAsia="Cambria"/>
          <w:lang w:val="en-CA"/>
        </w:rPr>
        <w:t>s</w:t>
      </w:r>
      <w:r w:rsidRPr="00200CA0">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101"/>
      </w:r>
      <w:r w:rsidRPr="00200CA0">
        <w:rPr>
          <w:rFonts w:eastAsia="Cambria"/>
          <w:lang w:val="en-CA"/>
        </w:rPr>
        <w:t xml:space="preserve"> </w:t>
      </w:r>
      <w:r>
        <w:rPr>
          <w:rFonts w:eastAsia="Cambria"/>
          <w:lang w:val="en-CA"/>
        </w:rPr>
        <w:t>C</w:t>
      </w:r>
      <w:r w:rsidRPr="00200CA0">
        <w:rPr>
          <w:rFonts w:eastAsia="Cambria"/>
          <w:lang w:val="en-CA"/>
        </w:rPr>
        <w:t xml:space="preserve">aesarean section rates </w:t>
      </w:r>
      <w:r>
        <w:rPr>
          <w:rFonts w:eastAsia="Cambria"/>
          <w:lang w:val="en-CA"/>
        </w:rPr>
        <w:t xml:space="preserve">of </w:t>
      </w:r>
      <w:r w:rsidRPr="00200CA0">
        <w:rPr>
          <w:rFonts w:eastAsia="Cambria"/>
          <w:lang w:val="en-CA"/>
        </w:rPr>
        <w:t>30</w:t>
      </w:r>
      <w:r>
        <w:rPr>
          <w:rFonts w:eastAsia="Cambria"/>
          <w:lang w:val="en-CA"/>
        </w:rPr>
        <w:t xml:space="preserve"> per cent</w:t>
      </w:r>
      <w:r w:rsidRPr="00200CA0">
        <w:rPr>
          <w:rFonts w:eastAsia="Cambria"/>
          <w:lang w:val="en-CA"/>
        </w:rPr>
        <w:t xml:space="preserve"> in some </w:t>
      </w:r>
      <w:r>
        <w:rPr>
          <w:rFonts w:eastAsia="Cambria"/>
          <w:lang w:val="en-CA"/>
        </w:rPr>
        <w:lastRenderedPageBreak/>
        <w:t>countries</w:t>
      </w:r>
      <w:r w:rsidR="00835100">
        <w:rPr>
          <w:rStyle w:val="FootnoteReference"/>
          <w:rFonts w:eastAsia="Cambria"/>
          <w:lang w:val="en-CA"/>
        </w:rPr>
        <w:footnoteReference w:id="102"/>
      </w:r>
      <w:r>
        <w:rPr>
          <w:rFonts w:eastAsia="Cambria"/>
          <w:lang w:val="en-CA"/>
        </w:rPr>
        <w:t xml:space="preserve"> </w:t>
      </w:r>
      <w:r w:rsidRPr="00200CA0">
        <w:rPr>
          <w:rFonts w:eastAsia="Cambria"/>
          <w:lang w:val="en-CA"/>
        </w:rPr>
        <w:t>demonstrat</w:t>
      </w:r>
      <w:r>
        <w:rPr>
          <w:rFonts w:eastAsia="Cambria"/>
          <w:lang w:val="en-CA"/>
        </w:rPr>
        <w:t>e</w:t>
      </w:r>
      <w:r w:rsidRPr="00200CA0">
        <w:rPr>
          <w:rFonts w:eastAsia="Cambria"/>
          <w:lang w:val="en-CA"/>
        </w:rPr>
        <w:t xml:space="preserve"> </w:t>
      </w:r>
      <w:proofErr w:type="spellStart"/>
      <w:r w:rsidRPr="00200CA0">
        <w:rPr>
          <w:rFonts w:eastAsia="Cambria"/>
          <w:lang w:val="en-CA"/>
        </w:rPr>
        <w:t>overm</w:t>
      </w:r>
      <w:r>
        <w:rPr>
          <w:rFonts w:eastAsia="Cambria"/>
          <w:lang w:val="en-CA"/>
        </w:rPr>
        <w:t>edicalization</w:t>
      </w:r>
      <w:proofErr w:type="spellEnd"/>
      <w:r>
        <w:rPr>
          <w:rFonts w:eastAsia="Cambria"/>
          <w:lang w:val="en-CA"/>
        </w:rPr>
        <w:t xml:space="preserve"> of childbirth, with the risks of</w:t>
      </w:r>
      <w:r w:rsidRPr="003A1579">
        <w:rPr>
          <w:rFonts w:eastAsia="Cambria"/>
          <w:lang w:val="en-CA"/>
        </w:rPr>
        <w:t xml:space="preserve"> obstetrical complications and health problems.</w:t>
      </w:r>
      <w:r w:rsidR="00835100" w:rsidRPr="00835100">
        <w:rPr>
          <w:rStyle w:val="Heading4Char"/>
          <w:rFonts w:eastAsia="Cambria"/>
          <w:lang w:val="en-CA"/>
        </w:rPr>
        <w:t xml:space="preserve"> </w:t>
      </w:r>
      <w:r w:rsidR="00835100">
        <w:rPr>
          <w:rStyle w:val="FootnoteReference"/>
          <w:rFonts w:eastAsia="Cambria"/>
          <w:lang w:val="en-CA"/>
        </w:rPr>
        <w:footnoteReference w:id="103"/>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75</w:t>
      </w:r>
      <w:r w:rsidRPr="003A1579">
        <w:rPr>
          <w:rFonts w:eastAsia="Cambria"/>
          <w:lang w:val="en-CA"/>
        </w:rPr>
        <w:t>.</w:t>
      </w:r>
      <w:r w:rsidRPr="003A1579">
        <w:rPr>
          <w:rFonts w:eastAsia="Cambria"/>
          <w:lang w:val="en-CA"/>
        </w:rPr>
        <w:tab/>
      </w:r>
      <w:r>
        <w:rPr>
          <w:rFonts w:eastAsia="Cambria"/>
          <w:lang w:val="en-CA"/>
        </w:rPr>
        <w:t>Overmedicalization may</w:t>
      </w:r>
      <w:r w:rsidRPr="003A1579">
        <w:rPr>
          <w:rFonts w:eastAsia="Cambria"/>
          <w:lang w:val="en-CA"/>
        </w:rPr>
        <w:t xml:space="preserve"> result in </w:t>
      </w:r>
      <w:r>
        <w:rPr>
          <w:rFonts w:eastAsia="Cambria"/>
          <w:lang w:val="en-CA"/>
        </w:rPr>
        <w:t>reduced</w:t>
      </w:r>
      <w:r w:rsidRPr="003A1579">
        <w:rPr>
          <w:rFonts w:eastAsia="Cambria"/>
          <w:lang w:val="en-CA"/>
        </w:rPr>
        <w:t xml:space="preserve"> access </w:t>
      </w:r>
      <w:r>
        <w:rPr>
          <w:rFonts w:eastAsia="Cambria"/>
          <w:lang w:val="en-CA"/>
        </w:rPr>
        <w:t xml:space="preserve">to </w:t>
      </w:r>
      <w:r w:rsidRPr="003A1579">
        <w:rPr>
          <w:rFonts w:eastAsia="Cambria"/>
          <w:lang w:val="en-CA"/>
        </w:rPr>
        <w:t xml:space="preserve">or affordability </w:t>
      </w:r>
      <w:r>
        <w:rPr>
          <w:rFonts w:eastAsia="Cambria"/>
          <w:lang w:val="en-CA"/>
        </w:rPr>
        <w:t>of</w:t>
      </w:r>
      <w:r w:rsidRPr="003A1579">
        <w:rPr>
          <w:rFonts w:eastAsia="Cambria"/>
          <w:lang w:val="en-CA"/>
        </w:rPr>
        <w:t xml:space="preserve"> services </w:t>
      </w:r>
      <w:r>
        <w:rPr>
          <w:rFonts w:eastAsia="Cambria"/>
          <w:lang w:val="en-CA"/>
        </w:rPr>
        <w:t>needed</w:t>
      </w:r>
      <w:r w:rsidRPr="003A1579">
        <w:rPr>
          <w:rFonts w:eastAsia="Cambria"/>
          <w:lang w:val="en-CA"/>
        </w:rPr>
        <w:t xml:space="preserve"> </w:t>
      </w:r>
      <w:r>
        <w:rPr>
          <w:rFonts w:eastAsia="Cambria"/>
          <w:lang w:val="en-CA"/>
        </w:rPr>
        <w:t>by</w:t>
      </w:r>
      <w:r w:rsidRPr="003A1579">
        <w:rPr>
          <w:rFonts w:eastAsia="Cambria"/>
          <w:lang w:val="en-CA"/>
        </w:rPr>
        <w:t xml:space="preserve"> women and a barrier to developing adequate alternative services which can be competently provided by nurses, midwives or auxiliary nurses</w:t>
      </w:r>
      <w:r>
        <w:rPr>
          <w:rFonts w:eastAsia="Cambria"/>
          <w:lang w:val="en-CA"/>
        </w:rPr>
        <w:t>,</w:t>
      </w:r>
      <w:r w:rsidR="00890BB4">
        <w:rPr>
          <w:rFonts w:eastAsia="Cambria"/>
          <w:lang w:val="en-CA"/>
        </w:rPr>
        <w:t xml:space="preserve"> either at clinics or at home. </w:t>
      </w:r>
      <w:r>
        <w:rPr>
          <w:rFonts w:eastAsia="Cambria"/>
          <w:lang w:val="en-CA"/>
        </w:rPr>
        <w:t>Such</w:t>
      </w:r>
      <w:r w:rsidRPr="003A1579">
        <w:rPr>
          <w:rFonts w:eastAsia="Cambria"/>
          <w:lang w:val="en-CA"/>
        </w:rPr>
        <w:t xml:space="preserve"> “task shifting”</w:t>
      </w:r>
      <w:r>
        <w:rPr>
          <w:rFonts w:eastAsia="Cambria"/>
          <w:lang w:val="en-CA"/>
        </w:rPr>
        <w:t>, p</w:t>
      </w:r>
      <w:r w:rsidRPr="003A1579">
        <w:rPr>
          <w:rFonts w:eastAsia="Cambria"/>
          <w:lang w:val="en-CA"/>
        </w:rPr>
        <w:t xml:space="preserve">articularly in places where there are few qualified doctors, would </w:t>
      </w:r>
      <w:r>
        <w:rPr>
          <w:rFonts w:eastAsia="Cambria"/>
          <w:lang w:val="en-CA"/>
        </w:rPr>
        <w:t>make</w:t>
      </w:r>
      <w:r w:rsidRPr="003A1579">
        <w:rPr>
          <w:rFonts w:eastAsia="Cambria"/>
          <w:lang w:val="en-CA"/>
        </w:rPr>
        <w:t xml:space="preserve"> services more accessible.</w:t>
      </w:r>
      <w:r>
        <w:rPr>
          <w:rFonts w:eastAsia="Cambria"/>
          <w:lang w:val="en-CA"/>
        </w:rPr>
        <w:t xml:space="preserve"> </w:t>
      </w:r>
      <w:r w:rsidRPr="003A1579">
        <w:rPr>
          <w:rFonts w:eastAsia="Cambria"/>
          <w:lang w:val="en-CA"/>
        </w:rPr>
        <w:t>Similarly</w:t>
      </w:r>
      <w:r>
        <w:rPr>
          <w:rFonts w:eastAsia="Cambria"/>
          <w:lang w:val="en-CA"/>
        </w:rPr>
        <w:t>,</w:t>
      </w:r>
      <w:r w:rsidRPr="003A1579">
        <w:rPr>
          <w:rFonts w:eastAsia="Cambria"/>
          <w:lang w:val="en-CA"/>
        </w:rPr>
        <w:t xml:space="preserve"> </w:t>
      </w:r>
      <w:r>
        <w:rPr>
          <w:rFonts w:eastAsia="Cambria"/>
          <w:lang w:val="en-CA"/>
        </w:rPr>
        <w:t xml:space="preserve">restricting authorization for the use of contraceptives </w:t>
      </w:r>
      <w:r w:rsidRPr="003A1579">
        <w:rPr>
          <w:rFonts w:eastAsia="Cambria"/>
          <w:lang w:val="en-CA"/>
        </w:rPr>
        <w:t xml:space="preserve">to a medical </w:t>
      </w:r>
      <w:r>
        <w:rPr>
          <w:rFonts w:eastAsia="Cambria"/>
          <w:lang w:val="en-CA"/>
        </w:rPr>
        <w:t>practitioner</w:t>
      </w:r>
      <w:r w:rsidRPr="003A1579">
        <w:rPr>
          <w:rFonts w:eastAsia="Cambria"/>
          <w:lang w:val="en-CA"/>
        </w:rPr>
        <w:t xml:space="preserve"> </w:t>
      </w:r>
      <w:r>
        <w:rPr>
          <w:rFonts w:eastAsia="Cambria"/>
          <w:lang w:val="en-CA"/>
        </w:rPr>
        <w:t>is</w:t>
      </w:r>
      <w:r w:rsidRPr="003A1579">
        <w:rPr>
          <w:rFonts w:eastAsia="Cambria"/>
          <w:lang w:val="en-CA"/>
        </w:rPr>
        <w:t xml:space="preserve"> a barrier to access</w:t>
      </w:r>
      <w:r>
        <w:rPr>
          <w:rFonts w:eastAsia="Cambria"/>
          <w:lang w:val="en-CA"/>
        </w:rPr>
        <w:t>.</w:t>
      </w:r>
      <w:r w:rsidRPr="003A1579">
        <w:rPr>
          <w:rFonts w:eastAsia="Cambria"/>
          <w:lang w:val="en-CA"/>
        </w:rPr>
        <w:t xml:space="preserve"> </w:t>
      </w:r>
      <w:r>
        <w:rPr>
          <w:rFonts w:eastAsia="Cambria"/>
          <w:lang w:val="en-CA"/>
        </w:rPr>
        <w:t>Allowing</w:t>
      </w:r>
      <w:r w:rsidRPr="003A1579">
        <w:rPr>
          <w:rFonts w:eastAsia="Cambria"/>
          <w:lang w:val="en-CA"/>
        </w:rPr>
        <w:t xml:space="preserve"> pharmacists to provide contraceptives</w:t>
      </w:r>
      <w:r>
        <w:rPr>
          <w:rFonts w:eastAsia="Cambria"/>
          <w:lang w:val="en-CA"/>
        </w:rPr>
        <w:t>,</w:t>
      </w:r>
      <w:r w:rsidRPr="003A1579">
        <w:rPr>
          <w:rFonts w:eastAsia="Cambria"/>
          <w:lang w:val="en-CA"/>
        </w:rPr>
        <w:t xml:space="preserve"> </w:t>
      </w:r>
      <w:r w:rsidRPr="007964C9">
        <w:rPr>
          <w:rFonts w:eastAsia="Cambria"/>
          <w:lang w:val="en-CA"/>
        </w:rPr>
        <w:t>including emergency contracepti</w:t>
      </w:r>
      <w:r>
        <w:rPr>
          <w:rFonts w:eastAsia="Cambria"/>
          <w:lang w:val="en-CA"/>
        </w:rPr>
        <w:t>ves</w:t>
      </w:r>
      <w:r w:rsidRPr="007964C9">
        <w:rPr>
          <w:rFonts w:eastAsia="Cambria"/>
          <w:lang w:val="en-CA"/>
        </w:rPr>
        <w:t xml:space="preserve">, </w:t>
      </w:r>
      <w:r>
        <w:rPr>
          <w:rFonts w:eastAsia="Cambria"/>
          <w:lang w:val="en-CA"/>
        </w:rPr>
        <w:t>over</w:t>
      </w:r>
      <w:r w:rsidRPr="003A1579">
        <w:rPr>
          <w:rFonts w:eastAsia="Cambria"/>
          <w:lang w:val="en-CA"/>
        </w:rPr>
        <w:t xml:space="preserve"> the counter is essential for effective </w:t>
      </w:r>
      <w:r>
        <w:rPr>
          <w:rFonts w:eastAsia="Cambria"/>
          <w:lang w:val="en-CA"/>
        </w:rPr>
        <w:t xml:space="preserve">availability, especially for economically disadvantaged </w:t>
      </w:r>
      <w:r w:rsidRPr="003A1579">
        <w:rPr>
          <w:rFonts w:eastAsia="Cambria"/>
          <w:lang w:val="en-CA"/>
        </w:rPr>
        <w:t>women or adolescent girls.</w:t>
      </w:r>
      <w:r w:rsidR="005E4577">
        <w:rPr>
          <w:rStyle w:val="FootnoteReference"/>
          <w:rFonts w:eastAsia="Cambria"/>
          <w:lang w:val="en-CA"/>
        </w:rPr>
        <w:footnoteReference w:id="104"/>
      </w:r>
    </w:p>
    <w:p w:rsidR="00CA109F" w:rsidRPr="003B22CF" w:rsidRDefault="00CA109F" w:rsidP="00CA109F">
      <w:pPr>
        <w:pStyle w:val="H23G"/>
        <w:rPr>
          <w:rFonts w:eastAsia="Cambria"/>
          <w:lang w:val="en-CA"/>
        </w:rPr>
      </w:pPr>
      <w:r>
        <w:rPr>
          <w:rFonts w:eastAsia="Cambria"/>
          <w:lang w:val="en-CA"/>
        </w:rPr>
        <w:tab/>
        <w:t>5</w:t>
      </w:r>
      <w:r w:rsidRPr="003B22CF">
        <w:rPr>
          <w:rFonts w:eastAsia="Cambria"/>
          <w:lang w:val="en-CA"/>
        </w:rPr>
        <w:t>.</w:t>
      </w:r>
      <w:r w:rsidRPr="003B22CF">
        <w:rPr>
          <w:rFonts w:eastAsia="Cambria"/>
          <w:lang w:val="en-CA"/>
        </w:rPr>
        <w:tab/>
      </w:r>
      <w:r w:rsidRPr="00D22E4C">
        <w:rPr>
          <w:rFonts w:eastAsia="Cambria"/>
          <w:lang w:val="en-CA"/>
        </w:rPr>
        <w:t xml:space="preserve">Discriminatory use of the criminal law </w:t>
      </w:r>
    </w:p>
    <w:p w:rsidR="00CA109F" w:rsidRPr="003A1579" w:rsidRDefault="00CA109F" w:rsidP="00CA109F">
      <w:pPr>
        <w:pStyle w:val="SingleTxtG"/>
        <w:rPr>
          <w:rFonts w:eastAsia="Cambria"/>
          <w:lang w:val="en-CA"/>
        </w:rPr>
      </w:pPr>
      <w:r>
        <w:rPr>
          <w:rFonts w:eastAsia="Cambria"/>
          <w:lang w:val="en-CA"/>
        </w:rPr>
        <w:t>76</w:t>
      </w:r>
      <w:r w:rsidRPr="003A1579">
        <w:rPr>
          <w:rFonts w:eastAsia="Cambria"/>
          <w:lang w:val="en-CA"/>
        </w:rPr>
        <w:t>.</w:t>
      </w:r>
      <w:r w:rsidRPr="003A1579">
        <w:rPr>
          <w:rFonts w:eastAsia="Cambria"/>
          <w:lang w:val="en-CA"/>
        </w:rPr>
        <w:tab/>
        <w:t xml:space="preserve">The discriminatory use of criminal law, punitive sanctions and legal restrictions to regulate women’s control over their own bodies is a severe and unjustified form of </w:t>
      </w:r>
      <w:r>
        <w:rPr>
          <w:rFonts w:eastAsia="Cambria"/>
          <w:lang w:val="en-CA"/>
        </w:rPr>
        <w:t>S</w:t>
      </w:r>
      <w:r w:rsidRPr="003A1579">
        <w:rPr>
          <w:rFonts w:eastAsia="Cambria"/>
          <w:lang w:val="en-CA"/>
        </w:rPr>
        <w:t>tate</w:t>
      </w:r>
      <w:r>
        <w:rPr>
          <w:rFonts w:eastAsia="Cambria"/>
          <w:lang w:val="en-CA"/>
        </w:rPr>
        <w:t xml:space="preserve"> </w:t>
      </w:r>
      <w:r w:rsidRPr="003A1579">
        <w:rPr>
          <w:rFonts w:eastAsia="Cambria"/>
          <w:lang w:val="en-CA"/>
        </w:rPr>
        <w:t xml:space="preserve">control. This can include </w:t>
      </w:r>
      <w:r>
        <w:rPr>
          <w:rFonts w:eastAsia="Cambria"/>
          <w:lang w:val="en-CA"/>
        </w:rPr>
        <w:t xml:space="preserve">punitive </w:t>
      </w:r>
      <w:r w:rsidRPr="003A1579">
        <w:rPr>
          <w:rFonts w:eastAsia="Cambria"/>
          <w:lang w:val="en-CA"/>
        </w:rPr>
        <w:t xml:space="preserve">provisions in criminal, civil and administrative laws and regulations </w:t>
      </w:r>
      <w:r>
        <w:rPr>
          <w:rFonts w:eastAsia="Cambria"/>
          <w:lang w:val="en-CA"/>
        </w:rPr>
        <w:t>governing</w:t>
      </w:r>
      <w:r w:rsidRPr="003A1579">
        <w:rPr>
          <w:rFonts w:eastAsia="Cambria"/>
          <w:lang w:val="en-CA"/>
        </w:rPr>
        <w:t xml:space="preserve"> extramarital consensual sex, same-sex consensual adult relations, gender non-conforming expr</w:t>
      </w:r>
      <w:r>
        <w:rPr>
          <w:rFonts w:eastAsia="Cambria"/>
          <w:lang w:val="en-CA"/>
        </w:rPr>
        <w:t>essions, provision of</w:t>
      </w:r>
      <w:r w:rsidRPr="003A1579">
        <w:rPr>
          <w:rFonts w:eastAsia="Cambria"/>
          <w:lang w:val="en-CA"/>
        </w:rPr>
        <w:t xml:space="preserve"> reproductive</w:t>
      </w:r>
      <w:r>
        <w:rPr>
          <w:rFonts w:eastAsia="Cambria"/>
          <w:lang w:val="en-CA"/>
        </w:rPr>
        <w:t xml:space="preserve"> and sexual</w:t>
      </w:r>
      <w:r w:rsidRPr="003A1579">
        <w:rPr>
          <w:rFonts w:eastAsia="Cambria"/>
          <w:lang w:val="en-CA"/>
        </w:rPr>
        <w:t xml:space="preserve"> edu</w:t>
      </w:r>
      <w:r>
        <w:rPr>
          <w:rFonts w:eastAsia="Cambria"/>
          <w:lang w:val="en-CA"/>
        </w:rPr>
        <w:t>cation and information, termination of pregnancy</w:t>
      </w:r>
      <w:r w:rsidRPr="003A1579">
        <w:rPr>
          <w:rFonts w:eastAsia="Cambria"/>
          <w:lang w:val="en-CA"/>
        </w:rPr>
        <w:t xml:space="preserve"> and prostitution</w:t>
      </w:r>
      <w:r>
        <w:rPr>
          <w:rFonts w:eastAsia="Cambria"/>
          <w:lang w:val="en-CA"/>
        </w:rPr>
        <w:t>/</w:t>
      </w:r>
      <w:r w:rsidRPr="003A1579">
        <w:rPr>
          <w:rFonts w:eastAsia="Cambria"/>
          <w:lang w:val="en-CA"/>
        </w:rPr>
        <w:t xml:space="preserve">sex work. </w:t>
      </w:r>
      <w:r>
        <w:rPr>
          <w:rFonts w:eastAsia="Cambria"/>
          <w:lang w:val="en-CA"/>
        </w:rPr>
        <w:t>The enforcement</w:t>
      </w:r>
      <w:r w:rsidRPr="003A1579">
        <w:rPr>
          <w:rFonts w:eastAsia="Cambria"/>
          <w:lang w:val="en-CA"/>
        </w:rPr>
        <w:t xml:space="preserve"> of </w:t>
      </w:r>
      <w:r>
        <w:rPr>
          <w:rFonts w:eastAsia="Cambria"/>
          <w:lang w:val="en-CA"/>
        </w:rPr>
        <w:t xml:space="preserve">such provisions </w:t>
      </w:r>
      <w:r w:rsidRPr="003A1579">
        <w:rPr>
          <w:rFonts w:eastAsia="Cambria"/>
          <w:lang w:val="en-CA"/>
        </w:rPr>
        <w:t>generates stigma and discrimination and violates women’s human rights.</w:t>
      </w:r>
      <w:r w:rsidR="00835100" w:rsidRPr="00835100">
        <w:rPr>
          <w:vertAlign w:val="superscript"/>
        </w:rPr>
        <w:t xml:space="preserve"> </w:t>
      </w:r>
      <w:r w:rsidR="00835100" w:rsidRPr="00B0036F">
        <w:rPr>
          <w:vertAlign w:val="superscript"/>
        </w:rPr>
        <w:footnoteReference w:id="105"/>
      </w:r>
      <w:r>
        <w:rPr>
          <w:rFonts w:eastAsia="Cambria"/>
          <w:lang w:val="en-CA"/>
        </w:rPr>
        <w:t xml:space="preserve"> </w:t>
      </w:r>
      <w:r w:rsidRPr="003A1579">
        <w:rPr>
          <w:rFonts w:eastAsia="Cambria"/>
          <w:lang w:val="en-CA"/>
        </w:rPr>
        <w:t>It infringes women’s dignity and bodily integrity by restricting their autonomy to make decisions about their own lives and health.</w:t>
      </w:r>
    </w:p>
    <w:p w:rsidR="00CA109F" w:rsidRPr="003A1579" w:rsidRDefault="00CA109F" w:rsidP="00CA109F">
      <w:pPr>
        <w:pStyle w:val="SingleTxtG"/>
        <w:rPr>
          <w:rFonts w:eastAsia="Cambria"/>
          <w:lang w:val="en-CA"/>
        </w:rPr>
      </w:pPr>
      <w:r>
        <w:rPr>
          <w:rFonts w:eastAsia="Cambria"/>
          <w:lang w:val="en-CA"/>
        </w:rPr>
        <w:t>77</w:t>
      </w:r>
      <w:r w:rsidRPr="003A1579">
        <w:rPr>
          <w:rFonts w:eastAsia="Cambria"/>
          <w:lang w:val="en-CA"/>
        </w:rPr>
        <w:t>.</w:t>
      </w:r>
      <w:r w:rsidRPr="003A1579">
        <w:rPr>
          <w:rFonts w:eastAsia="Cambria"/>
          <w:lang w:val="en-CA"/>
        </w:rPr>
        <w:tab/>
        <w:t xml:space="preserve">States </w:t>
      </w:r>
      <w:r>
        <w:rPr>
          <w:rFonts w:eastAsia="Cambria"/>
          <w:lang w:val="en-CA"/>
        </w:rPr>
        <w:t xml:space="preserve">also </w:t>
      </w:r>
      <w:r w:rsidRPr="003A1579">
        <w:rPr>
          <w:rFonts w:eastAsia="Cambria"/>
          <w:lang w:val="en-CA"/>
        </w:rPr>
        <w:t xml:space="preserve">violate women’s right to health and safety where </w:t>
      </w:r>
      <w:r>
        <w:rPr>
          <w:rFonts w:eastAsia="Cambria"/>
          <w:lang w:val="en-CA"/>
        </w:rPr>
        <w:t>women are</w:t>
      </w:r>
      <w:r w:rsidRPr="003A1579">
        <w:rPr>
          <w:rFonts w:eastAsia="Cambria"/>
          <w:lang w:val="en-CA"/>
        </w:rPr>
        <w:t xml:space="preserve"> penalize</w:t>
      </w:r>
      <w:r>
        <w:rPr>
          <w:rFonts w:eastAsia="Cambria"/>
          <w:lang w:val="en-CA"/>
        </w:rPr>
        <w:t>d</w:t>
      </w:r>
      <w:r w:rsidRPr="003A1579">
        <w:rPr>
          <w:rFonts w:eastAsia="Cambria"/>
          <w:lang w:val="en-CA"/>
        </w:rPr>
        <w:t xml:space="preserve"> for sexual or reproductive conduct that should not be criminall</w:t>
      </w:r>
      <w:r>
        <w:rPr>
          <w:rFonts w:eastAsia="Cambria"/>
          <w:lang w:val="en-CA"/>
        </w:rPr>
        <w:t>y prohibited, such as adultery,</w:t>
      </w:r>
      <w:r w:rsidRPr="003A1579">
        <w:rPr>
          <w:rFonts w:eastAsia="Cambria"/>
          <w:lang w:val="en-CA"/>
        </w:rPr>
        <w:t xml:space="preserve"> prostitution or </w:t>
      </w:r>
      <w:r>
        <w:rPr>
          <w:rFonts w:eastAsia="Cambria"/>
          <w:lang w:val="en-CA"/>
        </w:rPr>
        <w:t>termination of pregnancy;</w:t>
      </w:r>
      <w:r w:rsidRPr="003A1579">
        <w:rPr>
          <w:rFonts w:eastAsia="Cambria"/>
          <w:lang w:val="en-CA"/>
        </w:rPr>
        <w:t xml:space="preserve"> </w:t>
      </w:r>
      <w:r>
        <w:rPr>
          <w:rFonts w:eastAsia="Cambria"/>
          <w:lang w:val="en-CA"/>
        </w:rPr>
        <w:t>States</w:t>
      </w:r>
      <w:r w:rsidRPr="003A1579">
        <w:rPr>
          <w:rFonts w:eastAsia="Cambria"/>
          <w:lang w:val="en-CA"/>
        </w:rPr>
        <w:t xml:space="preserve"> also violate the Convention </w:t>
      </w:r>
      <w:r>
        <w:rPr>
          <w:rFonts w:eastAsia="Cambria"/>
          <w:lang w:val="en-CA"/>
        </w:rPr>
        <w:t>a</w:t>
      </w:r>
      <w:r w:rsidRPr="003A1579">
        <w:rPr>
          <w:rFonts w:eastAsia="Cambria"/>
          <w:lang w:val="en-CA"/>
        </w:rPr>
        <w:t xml:space="preserve">gainst Torture </w:t>
      </w:r>
      <w:r>
        <w:rPr>
          <w:rFonts w:eastAsia="Cambria"/>
          <w:lang w:val="en-CA"/>
        </w:rPr>
        <w:t xml:space="preserve">and Other Cruel, Inhuman or Degrading Treatment or Punishment </w:t>
      </w:r>
      <w:r w:rsidRPr="003A1579">
        <w:rPr>
          <w:rFonts w:eastAsia="Cambria"/>
          <w:lang w:val="en-CA"/>
        </w:rPr>
        <w:t>where they impose penalties such as stoning and lashing.</w:t>
      </w:r>
      <w:r w:rsidR="00835100" w:rsidRPr="00835100">
        <w:rPr>
          <w:rStyle w:val="Heading4Char"/>
        </w:rPr>
        <w:t xml:space="preserve"> </w:t>
      </w:r>
      <w:r w:rsidR="00835100" w:rsidRPr="00B0036F">
        <w:rPr>
          <w:rStyle w:val="FootnoteReference"/>
        </w:rPr>
        <w:footnoteReference w:id="106"/>
      </w:r>
    </w:p>
    <w:p w:rsidR="00CA109F" w:rsidRPr="003A1579" w:rsidRDefault="00CA109F" w:rsidP="00CA109F">
      <w:pPr>
        <w:pStyle w:val="SingleTxtG"/>
        <w:rPr>
          <w:rFonts w:eastAsia="Cambria"/>
          <w:lang w:val="en-CA"/>
        </w:rPr>
      </w:pPr>
      <w:r>
        <w:rPr>
          <w:rFonts w:eastAsia="Cambria"/>
          <w:lang w:val="en-CA"/>
        </w:rPr>
        <w:t>78</w:t>
      </w:r>
      <w:r w:rsidRPr="003A1579">
        <w:rPr>
          <w:rFonts w:eastAsia="Cambria"/>
          <w:lang w:val="en-CA"/>
        </w:rPr>
        <w:t>.</w:t>
      </w:r>
      <w:r w:rsidRPr="003A1579">
        <w:rPr>
          <w:rFonts w:eastAsia="Cambria"/>
          <w:lang w:val="en-CA"/>
        </w:rPr>
        <w:tab/>
        <w:t>Criminalization of behavio</w:t>
      </w:r>
      <w:r>
        <w:rPr>
          <w:rFonts w:eastAsia="Cambria"/>
          <w:lang w:val="en-CA"/>
        </w:rPr>
        <w:t>u</w:t>
      </w:r>
      <w:r w:rsidRPr="003A1579">
        <w:rPr>
          <w:rFonts w:eastAsia="Cambria"/>
          <w:lang w:val="en-CA"/>
        </w:rPr>
        <w:t xml:space="preserve">r </w:t>
      </w:r>
      <w:r>
        <w:rPr>
          <w:rFonts w:eastAsia="Cambria"/>
          <w:lang w:val="en-CA"/>
        </w:rPr>
        <w:t>that</w:t>
      </w:r>
      <w:r w:rsidRPr="003A1579">
        <w:rPr>
          <w:rFonts w:eastAsia="Cambria"/>
          <w:lang w:val="en-CA"/>
        </w:rPr>
        <w:t xml:space="preserve"> is attributed only to women is discriminatory per se and generates and perpetuates stigma. The threat of criminal punishment restricts women’s access to sexual and reproductive health-care services and information and acts as a deterrent </w:t>
      </w:r>
      <w:r>
        <w:rPr>
          <w:rFonts w:eastAsia="Cambria"/>
          <w:lang w:val="en-CA"/>
        </w:rPr>
        <w:t>to</w:t>
      </w:r>
      <w:r w:rsidRPr="003A1579">
        <w:rPr>
          <w:rFonts w:eastAsia="Cambria"/>
          <w:lang w:val="en-CA"/>
        </w:rPr>
        <w:t xml:space="preserve"> health-care professionals</w:t>
      </w:r>
      <w:r>
        <w:rPr>
          <w:rFonts w:eastAsia="Cambria"/>
          <w:lang w:val="en-CA"/>
        </w:rPr>
        <w:t>,</w:t>
      </w:r>
      <w:r w:rsidRPr="003A1579">
        <w:rPr>
          <w:rFonts w:eastAsia="Cambria"/>
          <w:lang w:val="en-CA"/>
        </w:rPr>
        <w:t xml:space="preserve"> thus barring women’s and girls’ access to health-care services.</w:t>
      </w:r>
      <w:r w:rsidR="00835100" w:rsidRPr="00835100">
        <w:rPr>
          <w:rStyle w:val="Heading4Char"/>
          <w:rFonts w:eastAsia="Calibri"/>
        </w:rPr>
        <w:t xml:space="preserve"> </w:t>
      </w:r>
      <w:r w:rsidR="00835100" w:rsidRPr="00B0036F">
        <w:rPr>
          <w:rStyle w:val="FootnoteReference"/>
          <w:rFonts w:eastAsia="Calibri"/>
        </w:rPr>
        <w:footnoteReference w:id="107"/>
      </w:r>
      <w:r w:rsidR="00835100" w:rsidRPr="003A1579">
        <w:rPr>
          <w:rFonts w:eastAsia="Cambria"/>
          <w:lang w:val="en-CA"/>
        </w:rPr>
        <w:t xml:space="preserve"> </w:t>
      </w:r>
      <w:r w:rsidRPr="003A1579">
        <w:rPr>
          <w:rFonts w:eastAsia="Cambria"/>
          <w:lang w:val="en-CA"/>
        </w:rPr>
        <w:t xml:space="preserve"> </w:t>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Criminalizing and restricting the provision</w:t>
      </w:r>
      <w:r>
        <w:rPr>
          <w:rFonts w:eastAsia="Cambria"/>
          <w:lang w:val="en-CA"/>
        </w:rPr>
        <w:t xml:space="preserve"> of </w:t>
      </w:r>
      <w:r w:rsidRPr="003A1579">
        <w:rPr>
          <w:rFonts w:eastAsia="Cambria"/>
          <w:lang w:val="en-CA"/>
        </w:rPr>
        <w:t>an</w:t>
      </w:r>
      <w:r>
        <w:rPr>
          <w:rFonts w:eastAsia="Cambria"/>
          <w:lang w:val="en-CA"/>
        </w:rPr>
        <w:t>d access to safe, legal</w:t>
      </w:r>
      <w:r w:rsidRPr="003A1579">
        <w:rPr>
          <w:rFonts w:eastAsia="Cambria"/>
          <w:lang w:val="en-CA"/>
        </w:rPr>
        <w:t xml:space="preserve"> services</w:t>
      </w:r>
      <w:r>
        <w:rPr>
          <w:rFonts w:eastAsia="Cambria"/>
          <w:lang w:val="en-CA"/>
        </w:rPr>
        <w:t xml:space="preserve"> for termination of pregnancy</w:t>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79.</w:t>
      </w:r>
      <w:r>
        <w:rPr>
          <w:rFonts w:eastAsia="Cambria"/>
          <w:lang w:val="en-CA"/>
        </w:rPr>
        <w:tab/>
        <w:t>Criminalization of termination of pregnancy</w:t>
      </w:r>
      <w:r w:rsidRPr="003A1579">
        <w:rPr>
          <w:rFonts w:eastAsia="Cambria"/>
          <w:lang w:val="en-CA"/>
        </w:rPr>
        <w:t xml:space="preserve"> is one of the most damaging ways of instrumentali</w:t>
      </w:r>
      <w:r>
        <w:rPr>
          <w:rFonts w:eastAsia="Cambria"/>
          <w:lang w:val="en-CA"/>
        </w:rPr>
        <w:t>z</w:t>
      </w:r>
      <w:r w:rsidRPr="003A1579">
        <w:rPr>
          <w:rFonts w:eastAsia="Cambria"/>
          <w:lang w:val="en-CA"/>
        </w:rPr>
        <w:t xml:space="preserve">ing and politicizing women’s bodies and lives, subjecting them to risks </w:t>
      </w:r>
      <w:r>
        <w:rPr>
          <w:rFonts w:eastAsia="Cambria"/>
          <w:lang w:val="en-CA"/>
        </w:rPr>
        <w:t>to their</w:t>
      </w:r>
      <w:r w:rsidRPr="003A1579">
        <w:rPr>
          <w:rFonts w:eastAsia="Cambria"/>
          <w:lang w:val="en-CA"/>
        </w:rPr>
        <w:t xml:space="preserve"> </w:t>
      </w:r>
      <w:r>
        <w:rPr>
          <w:rFonts w:eastAsia="Cambria"/>
          <w:lang w:val="en-CA"/>
        </w:rPr>
        <w:t>lives</w:t>
      </w:r>
      <w:r w:rsidRPr="003A1579">
        <w:rPr>
          <w:rFonts w:eastAsia="Cambria"/>
          <w:lang w:val="en-CA"/>
        </w:rPr>
        <w:t xml:space="preserve"> or health </w:t>
      </w:r>
      <w:r>
        <w:rPr>
          <w:rFonts w:eastAsia="Cambria"/>
          <w:lang w:val="en-CA"/>
        </w:rPr>
        <w:t xml:space="preserve">in order to preserve their function as reproductive agents </w:t>
      </w:r>
      <w:r w:rsidRPr="003A1579">
        <w:rPr>
          <w:rFonts w:eastAsia="Cambria"/>
          <w:lang w:val="en-CA"/>
        </w:rPr>
        <w:t xml:space="preserve">and depriving them of autonomy in decision-making about their own </w:t>
      </w:r>
      <w:r>
        <w:rPr>
          <w:rFonts w:eastAsia="Cambria"/>
          <w:lang w:val="en-CA"/>
        </w:rPr>
        <w:t>bodies. Restrictive</w:t>
      </w:r>
      <w:r w:rsidRPr="003A1579">
        <w:rPr>
          <w:rFonts w:eastAsia="Cambria"/>
          <w:lang w:val="en-CA"/>
        </w:rPr>
        <w:t xml:space="preserve"> laws apply to 40</w:t>
      </w:r>
      <w:r>
        <w:rPr>
          <w:rFonts w:eastAsia="Cambria"/>
          <w:lang w:val="en-CA"/>
        </w:rPr>
        <w:t xml:space="preserve"> </w:t>
      </w:r>
      <w:r>
        <w:rPr>
          <w:rFonts w:eastAsia="Cambria"/>
          <w:lang w:val="en-CA"/>
        </w:rPr>
        <w:lastRenderedPageBreak/>
        <w:t>per cent of</w:t>
      </w:r>
      <w:r w:rsidRPr="003A1579">
        <w:rPr>
          <w:rFonts w:eastAsia="Cambria"/>
          <w:lang w:val="en-CA"/>
        </w:rPr>
        <w:t xml:space="preserve"> women</w:t>
      </w:r>
      <w:r>
        <w:rPr>
          <w:rFonts w:eastAsia="Cambria"/>
          <w:lang w:val="en-CA"/>
        </w:rPr>
        <w:t xml:space="preserve"> worldwide</w:t>
      </w:r>
      <w:r w:rsidRPr="003A1579">
        <w:rPr>
          <w:rFonts w:eastAsia="Cambria"/>
          <w:lang w:val="en-CA"/>
        </w:rPr>
        <w:t>.</w:t>
      </w:r>
      <w:r w:rsidR="00835100" w:rsidRPr="00835100">
        <w:rPr>
          <w:rStyle w:val="Heading4Char"/>
          <w:rFonts w:eastAsia="Cambria"/>
          <w:lang w:val="en-CA"/>
        </w:rPr>
        <w:t xml:space="preserve"> </w:t>
      </w:r>
      <w:r w:rsidR="00835100">
        <w:rPr>
          <w:rStyle w:val="FootnoteReference"/>
          <w:rFonts w:eastAsia="Cambria"/>
          <w:lang w:val="en-CA"/>
        </w:rPr>
        <w:footnoteReference w:id="108"/>
      </w:r>
      <w:r w:rsidRPr="003A1579">
        <w:rPr>
          <w:rFonts w:eastAsia="Cambria"/>
          <w:lang w:val="en-CA"/>
        </w:rPr>
        <w:t xml:space="preserve"> In some countries, as a result of retrogressive anti-abortion laws, women are imprisoned for </w:t>
      </w:r>
      <w:r>
        <w:rPr>
          <w:rFonts w:eastAsia="Cambria"/>
          <w:lang w:val="en-CA"/>
        </w:rPr>
        <w:t xml:space="preserve">having had a </w:t>
      </w:r>
      <w:r w:rsidRPr="003A1579">
        <w:rPr>
          <w:rFonts w:eastAsia="Cambria"/>
          <w:lang w:val="en-CA"/>
        </w:rPr>
        <w:t>miscarriage, imposing an intolerable cost on the women, their families and their societies.</w:t>
      </w:r>
      <w:r w:rsidR="00835100" w:rsidRPr="00835100">
        <w:rPr>
          <w:rStyle w:val="Heading4Char"/>
          <w:rFonts w:eastAsia="Cambria"/>
          <w:lang w:val="en-CA"/>
        </w:rPr>
        <w:t xml:space="preserve"> </w:t>
      </w:r>
      <w:r w:rsidR="00835100">
        <w:rPr>
          <w:rStyle w:val="FootnoteReference"/>
          <w:rFonts w:eastAsia="Cambria"/>
          <w:lang w:val="en-CA"/>
        </w:rPr>
        <w:footnoteReference w:id="109"/>
      </w:r>
    </w:p>
    <w:p w:rsidR="00CA109F" w:rsidRDefault="00CA109F" w:rsidP="00CA109F">
      <w:pPr>
        <w:pStyle w:val="SingleTxtG"/>
        <w:rPr>
          <w:rFonts w:eastAsia="Cambria"/>
          <w:lang w:val="en-CA"/>
        </w:rPr>
      </w:pPr>
      <w:r>
        <w:rPr>
          <w:rFonts w:eastAsia="Cambria"/>
          <w:lang w:val="en-CA"/>
        </w:rPr>
        <w:t>80</w:t>
      </w:r>
      <w:r w:rsidRPr="003A1579">
        <w:rPr>
          <w:rFonts w:eastAsia="Cambria"/>
          <w:lang w:val="en-CA"/>
        </w:rPr>
        <w:t>.</w:t>
      </w:r>
      <w:r w:rsidRPr="003A1579">
        <w:rPr>
          <w:rFonts w:eastAsia="Cambria"/>
          <w:lang w:val="en-CA"/>
        </w:rPr>
        <w:tab/>
        <w:t>As demonstrated by WH</w:t>
      </w:r>
      <w:r>
        <w:rPr>
          <w:rFonts w:eastAsia="Cambria"/>
          <w:lang w:val="en-CA"/>
        </w:rPr>
        <w:t>O data, criminalizing termination of pregnancy</w:t>
      </w:r>
      <w:r w:rsidRPr="003A1579">
        <w:rPr>
          <w:rFonts w:eastAsia="Cambria"/>
          <w:lang w:val="en-CA"/>
        </w:rPr>
        <w:t xml:space="preserve"> does not reduce the need for it. Rather</w:t>
      </w:r>
      <w:r>
        <w:rPr>
          <w:rFonts w:eastAsia="Cambria"/>
          <w:lang w:val="en-CA"/>
        </w:rPr>
        <w:t>,</w:t>
      </w:r>
      <w:r w:rsidRPr="003A1579">
        <w:rPr>
          <w:rFonts w:eastAsia="Cambria"/>
          <w:lang w:val="en-CA"/>
        </w:rPr>
        <w:t xml:space="preserve"> it is likely to increase the number of women seeking clandestine and unsafe </w:t>
      </w:r>
      <w:r>
        <w:rPr>
          <w:rFonts w:eastAsia="Cambria"/>
          <w:lang w:val="en-CA"/>
        </w:rPr>
        <w:t>solutions</w:t>
      </w:r>
      <w:r w:rsidRPr="003A1579">
        <w:rPr>
          <w:rFonts w:eastAsia="Cambria"/>
          <w:lang w:val="en-CA"/>
        </w:rPr>
        <w:t>.</w:t>
      </w:r>
      <w:r w:rsidR="00835100" w:rsidRPr="00835100">
        <w:rPr>
          <w:vertAlign w:val="superscript"/>
          <w:lang w:val="en-US"/>
        </w:rPr>
        <w:t xml:space="preserve"> </w:t>
      </w:r>
      <w:r w:rsidR="00835100" w:rsidRPr="000E7DB3">
        <w:rPr>
          <w:vertAlign w:val="superscript"/>
          <w:lang w:val="en-US"/>
        </w:rPr>
        <w:footnoteReference w:id="110"/>
      </w:r>
      <w:r w:rsidRPr="003A1579">
        <w:rPr>
          <w:rFonts w:eastAsia="Cambria"/>
          <w:lang w:val="en-CA"/>
        </w:rPr>
        <w:t xml:space="preserve"> </w:t>
      </w:r>
      <w:r>
        <w:rPr>
          <w:rFonts w:eastAsia="Cambria"/>
          <w:lang w:val="en-CA"/>
        </w:rPr>
        <w:t>Countries in Northern Europe, where women gained the right to termination of pregnancy in the 1970s or 1980s and are provided with access to information and to all methods of contraception, have the lowest rates of termination of pregnancy.</w:t>
      </w:r>
      <w:r w:rsidR="00835100" w:rsidRPr="00835100">
        <w:rPr>
          <w:rStyle w:val="Heading4Char"/>
          <w:rFonts w:eastAsia="Cambria"/>
          <w:lang w:val="en-CA"/>
        </w:rPr>
        <w:t xml:space="preserve"> </w:t>
      </w:r>
      <w:r w:rsidR="00835100">
        <w:rPr>
          <w:rStyle w:val="FootnoteReference"/>
          <w:rFonts w:eastAsia="Cambria"/>
          <w:lang w:val="en-CA"/>
        </w:rPr>
        <w:footnoteReference w:id="111"/>
      </w:r>
      <w:r>
        <w:rPr>
          <w:rFonts w:eastAsia="Cambria"/>
          <w:lang w:val="en-CA"/>
        </w:rPr>
        <w:t xml:space="preserve"> </w:t>
      </w:r>
      <w:r w:rsidRPr="003A1579">
        <w:rPr>
          <w:rFonts w:eastAsia="Cambria"/>
          <w:lang w:val="en-CA"/>
        </w:rPr>
        <w:t>Ul</w:t>
      </w:r>
      <w:r>
        <w:rPr>
          <w:rFonts w:eastAsia="Cambria"/>
          <w:lang w:val="en-CA"/>
        </w:rPr>
        <w:t>timately, criminalization</w:t>
      </w:r>
      <w:r w:rsidRPr="003A1579">
        <w:rPr>
          <w:rFonts w:eastAsia="Cambria"/>
          <w:lang w:val="en-CA"/>
        </w:rPr>
        <w:t xml:space="preserve"> do</w:t>
      </w:r>
      <w:r>
        <w:rPr>
          <w:rFonts w:eastAsia="Cambria"/>
          <w:lang w:val="en-CA"/>
        </w:rPr>
        <w:t>es</w:t>
      </w:r>
      <w:r w:rsidRPr="003A1579">
        <w:rPr>
          <w:rFonts w:eastAsia="Cambria"/>
          <w:lang w:val="en-CA"/>
        </w:rPr>
        <w:t xml:space="preserve"> grave harm to women’s health and human rights by stigmatizing a safe and needed medical procedure. In </w:t>
      </w:r>
      <w:r>
        <w:rPr>
          <w:rFonts w:eastAsia="Cambria"/>
          <w:lang w:val="en-CA"/>
        </w:rPr>
        <w:t xml:space="preserve">countries where induced termination of pregnancy is </w:t>
      </w:r>
      <w:r w:rsidRPr="003A1579">
        <w:rPr>
          <w:rFonts w:eastAsia="Cambria"/>
          <w:lang w:val="en-CA"/>
        </w:rPr>
        <w:t>restricted</w:t>
      </w:r>
      <w:r>
        <w:rPr>
          <w:rFonts w:eastAsia="Cambria"/>
          <w:lang w:val="en-CA"/>
        </w:rPr>
        <w:t xml:space="preserve"> by law</w:t>
      </w:r>
      <w:r w:rsidRPr="003A1579">
        <w:rPr>
          <w:rFonts w:eastAsia="Cambria"/>
          <w:lang w:val="en-CA"/>
        </w:rPr>
        <w:t xml:space="preserve"> and/or otherwise unavailable, </w:t>
      </w:r>
      <w:r>
        <w:rPr>
          <w:rFonts w:eastAsia="Cambria"/>
          <w:lang w:val="en-CA"/>
        </w:rPr>
        <w:t xml:space="preserve">safe </w:t>
      </w:r>
      <w:r w:rsidRPr="00DC286B">
        <w:rPr>
          <w:rFonts w:eastAsia="Cambria"/>
          <w:lang w:val="en-CA"/>
        </w:rPr>
        <w:t>termination of pregnancy</w:t>
      </w:r>
      <w:r w:rsidRPr="003A1579">
        <w:rPr>
          <w:rFonts w:eastAsia="Cambria"/>
          <w:lang w:val="en-CA"/>
        </w:rPr>
        <w:t xml:space="preserve"> is a privile</w:t>
      </w:r>
      <w:r>
        <w:rPr>
          <w:rFonts w:eastAsia="Cambria"/>
          <w:lang w:val="en-CA"/>
        </w:rPr>
        <w:t xml:space="preserve">ge of the rich, while </w:t>
      </w:r>
      <w:r w:rsidRPr="003A1579">
        <w:rPr>
          <w:rFonts w:eastAsia="Cambria"/>
          <w:lang w:val="en-CA"/>
        </w:rPr>
        <w:t xml:space="preserve">women </w:t>
      </w:r>
      <w:r>
        <w:rPr>
          <w:rFonts w:eastAsia="Cambria"/>
          <w:lang w:val="en-CA"/>
        </w:rPr>
        <w:t xml:space="preserve">with limited resources </w:t>
      </w:r>
      <w:r w:rsidRPr="003A1579">
        <w:rPr>
          <w:rFonts w:eastAsia="Cambria"/>
          <w:lang w:val="en-CA"/>
        </w:rPr>
        <w:t xml:space="preserve">have little choice </w:t>
      </w:r>
      <w:r>
        <w:rPr>
          <w:rFonts w:eastAsia="Cambria"/>
          <w:lang w:val="en-CA"/>
        </w:rPr>
        <w:t>but</w:t>
      </w:r>
      <w:r w:rsidRPr="003A1579">
        <w:rPr>
          <w:rFonts w:eastAsia="Cambria"/>
          <w:lang w:val="en-CA"/>
        </w:rPr>
        <w:t xml:space="preserve"> to resort to unsafe providers and practices.</w:t>
      </w:r>
      <w:r w:rsidR="00835100" w:rsidRPr="00835100">
        <w:rPr>
          <w:vertAlign w:val="superscript"/>
          <w:lang w:val="en-US"/>
        </w:rPr>
        <w:t xml:space="preserve"> </w:t>
      </w:r>
      <w:r w:rsidR="00835100" w:rsidRPr="000E7DB3">
        <w:rPr>
          <w:vertAlign w:val="superscript"/>
          <w:lang w:val="en-US"/>
        </w:rPr>
        <w:footnoteReference w:id="112"/>
      </w:r>
      <w:r w:rsidRPr="003A1579">
        <w:rPr>
          <w:rFonts w:eastAsia="Cambria"/>
          <w:lang w:val="en-CA"/>
        </w:rPr>
        <w:t xml:space="preserve"> This results in severe discrimination against economically disadvantaged women, which the </w:t>
      </w:r>
      <w:r>
        <w:rPr>
          <w:rFonts w:eastAsia="Cambria"/>
          <w:lang w:val="en-CA"/>
        </w:rPr>
        <w:t xml:space="preserve">Working </w:t>
      </w:r>
      <w:r w:rsidRPr="003A1579">
        <w:rPr>
          <w:rFonts w:eastAsia="Cambria"/>
          <w:lang w:val="en-CA"/>
        </w:rPr>
        <w:t xml:space="preserve">Group has highlighted during its country visits. </w:t>
      </w:r>
      <w:r w:rsidR="00835100" w:rsidRPr="000E7DB3">
        <w:rPr>
          <w:rStyle w:val="FootnoteReference"/>
          <w:rFonts w:eastAsia="Cambria"/>
          <w:lang w:val="en-US"/>
        </w:rPr>
        <w:footnoteReference w:id="113"/>
      </w:r>
    </w:p>
    <w:p w:rsidR="00CA109F" w:rsidRPr="003A1579" w:rsidRDefault="00CA109F" w:rsidP="00CA109F">
      <w:pPr>
        <w:pStyle w:val="SingleTxtG"/>
        <w:rPr>
          <w:rFonts w:eastAsia="Cambria"/>
          <w:lang w:val="en-CA"/>
        </w:rPr>
      </w:pPr>
      <w:r>
        <w:rPr>
          <w:rFonts w:eastAsia="Cambria"/>
          <w:lang w:val="en-CA"/>
        </w:rPr>
        <w:t>81</w:t>
      </w:r>
      <w:r w:rsidRPr="003A1579">
        <w:rPr>
          <w:rFonts w:eastAsia="Cambria"/>
          <w:lang w:val="en-CA"/>
        </w:rPr>
        <w:t>.</w:t>
      </w:r>
      <w:r w:rsidRPr="003A1579">
        <w:rPr>
          <w:rFonts w:eastAsia="Cambria"/>
          <w:lang w:val="en-CA"/>
        </w:rPr>
        <w:tab/>
        <w:t xml:space="preserve">It is important to recall that the use of effective contraception can result in lowering the incidence of unintended pregnancy. However, contraception cannot eliminate women’s </w:t>
      </w:r>
      <w:r>
        <w:rPr>
          <w:rFonts w:eastAsia="Cambria"/>
          <w:lang w:val="en-CA"/>
        </w:rPr>
        <w:t>need for access to</w:t>
      </w:r>
      <w:r w:rsidRPr="003A1579">
        <w:rPr>
          <w:rFonts w:eastAsia="Cambria"/>
          <w:lang w:val="en-CA"/>
        </w:rPr>
        <w:t xml:space="preserve"> </w:t>
      </w:r>
      <w:r>
        <w:rPr>
          <w:rFonts w:eastAsia="Cambria"/>
          <w:lang w:val="en-CA"/>
        </w:rPr>
        <w:t>termination of pregnancy, for example</w:t>
      </w:r>
      <w:r w:rsidRPr="003A1579">
        <w:rPr>
          <w:rFonts w:eastAsia="Cambria"/>
          <w:lang w:val="en-CA"/>
        </w:rPr>
        <w:t xml:space="preserve"> in </w:t>
      </w:r>
      <w:r>
        <w:rPr>
          <w:rFonts w:eastAsia="Cambria"/>
          <w:lang w:val="en-CA"/>
        </w:rPr>
        <w:t xml:space="preserve">the </w:t>
      </w:r>
      <w:r w:rsidRPr="003A1579">
        <w:rPr>
          <w:rFonts w:eastAsia="Cambria"/>
          <w:lang w:val="en-CA"/>
        </w:rPr>
        <w:t xml:space="preserve">case of rape. In addition, no method </w:t>
      </w:r>
      <w:r>
        <w:rPr>
          <w:rFonts w:eastAsia="Cambria"/>
          <w:lang w:val="en-CA"/>
        </w:rPr>
        <w:t xml:space="preserve">of contraception </w:t>
      </w:r>
      <w:r w:rsidRPr="003A1579">
        <w:rPr>
          <w:rFonts w:eastAsia="Cambria"/>
          <w:lang w:val="en-CA"/>
        </w:rPr>
        <w:t>is 100</w:t>
      </w:r>
      <w:r>
        <w:rPr>
          <w:rFonts w:eastAsia="Cambria"/>
          <w:lang w:val="en-CA"/>
        </w:rPr>
        <w:t xml:space="preserve"> per cent</w:t>
      </w:r>
      <w:r w:rsidRPr="003A1579">
        <w:rPr>
          <w:rFonts w:eastAsia="Cambria"/>
          <w:lang w:val="en-CA"/>
        </w:rPr>
        <w:t xml:space="preserve"> effective in preventing pregnancy. </w:t>
      </w:r>
      <w:r w:rsidR="00835100" w:rsidRPr="00E12104">
        <w:rPr>
          <w:vertAlign w:val="superscript"/>
          <w:lang w:val="en-US"/>
        </w:rPr>
        <w:footnoteReference w:id="114"/>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82</w:t>
      </w:r>
      <w:r w:rsidRPr="003A1579">
        <w:rPr>
          <w:rFonts w:eastAsia="Cambria"/>
          <w:lang w:val="en-CA"/>
        </w:rPr>
        <w:t>.</w:t>
      </w:r>
      <w:r w:rsidRPr="003A1579">
        <w:rPr>
          <w:rFonts w:eastAsia="Cambria"/>
          <w:lang w:val="en-CA"/>
        </w:rPr>
        <w:tab/>
        <w:t xml:space="preserve">In addition, restrictions </w:t>
      </w:r>
      <w:r>
        <w:rPr>
          <w:rFonts w:eastAsia="Cambria"/>
          <w:lang w:val="en-CA"/>
        </w:rPr>
        <w:t>on</w:t>
      </w:r>
      <w:r w:rsidRPr="003A1579">
        <w:rPr>
          <w:rFonts w:eastAsia="Cambria"/>
          <w:lang w:val="en-CA"/>
        </w:rPr>
        <w:t xml:space="preserve"> access to information </w:t>
      </w:r>
      <w:r>
        <w:rPr>
          <w:rFonts w:eastAsia="Cambria"/>
          <w:lang w:val="en-CA"/>
        </w:rPr>
        <w:t xml:space="preserve">on </w:t>
      </w:r>
      <w:r w:rsidRPr="004750BD">
        <w:rPr>
          <w:rFonts w:eastAsia="Cambria"/>
          <w:lang w:val="en-CA"/>
        </w:rPr>
        <w:t>termination of pregnancy</w:t>
      </w:r>
      <w:r w:rsidRPr="003A1579">
        <w:rPr>
          <w:rFonts w:eastAsia="Cambria"/>
          <w:lang w:val="en-CA"/>
        </w:rPr>
        <w:t xml:space="preserve"> and services can deter women from seeking professional medical attention</w:t>
      </w:r>
      <w:r>
        <w:rPr>
          <w:rFonts w:eastAsia="Cambria"/>
          <w:lang w:val="en-CA"/>
        </w:rPr>
        <w:t>,</w:t>
      </w:r>
      <w:r w:rsidRPr="003A1579">
        <w:rPr>
          <w:rFonts w:eastAsia="Cambria"/>
          <w:lang w:val="en-CA"/>
        </w:rPr>
        <w:t xml:space="preserve"> with detrimental consequences for their health and safety.</w:t>
      </w:r>
      <w:r w:rsidR="00835100" w:rsidRPr="00835100">
        <w:rPr>
          <w:vertAlign w:val="superscript"/>
          <w:lang w:val="en-US"/>
        </w:rPr>
        <w:t xml:space="preserve"> </w:t>
      </w:r>
      <w:r w:rsidR="00835100" w:rsidRPr="00E12104">
        <w:rPr>
          <w:vertAlign w:val="superscript"/>
          <w:lang w:val="en-US"/>
        </w:rPr>
        <w:footnoteReference w:id="115"/>
      </w:r>
      <w:r w:rsidRPr="003A1579">
        <w:rPr>
          <w:rFonts w:eastAsia="Cambria"/>
          <w:lang w:val="en-CA"/>
        </w:rPr>
        <w:t xml:space="preserve"> Examples of restrictions include </w:t>
      </w:r>
      <w:r w:rsidRPr="004379DB">
        <w:rPr>
          <w:rFonts w:eastAsia="Cambria"/>
          <w:lang w:val="en-CA"/>
        </w:rPr>
        <w:t>criminali</w:t>
      </w:r>
      <w:r>
        <w:rPr>
          <w:rFonts w:eastAsia="Cambria"/>
          <w:lang w:val="en-CA"/>
        </w:rPr>
        <w:t>z</w:t>
      </w:r>
      <w:r w:rsidRPr="004379DB">
        <w:rPr>
          <w:rFonts w:eastAsia="Cambria"/>
          <w:lang w:val="en-CA"/>
        </w:rPr>
        <w:t xml:space="preserve">ation of medical practitioners who provide these services; </w:t>
      </w:r>
      <w:r w:rsidRPr="003A1579">
        <w:rPr>
          <w:rFonts w:eastAsia="Cambria"/>
          <w:lang w:val="en-CA"/>
        </w:rPr>
        <w:t xml:space="preserve">prohibiting access to information on legal </w:t>
      </w:r>
      <w:r w:rsidRPr="004750BD">
        <w:rPr>
          <w:rFonts w:eastAsia="Cambria"/>
          <w:lang w:val="en-CA"/>
        </w:rPr>
        <w:t>termination of pregnancy</w:t>
      </w:r>
      <w:r>
        <w:rPr>
          <w:rFonts w:eastAsia="Cambria"/>
          <w:lang w:val="en-CA"/>
        </w:rPr>
        <w:t>;</w:t>
      </w:r>
      <w:r w:rsidRPr="003A1579">
        <w:rPr>
          <w:rFonts w:eastAsia="Cambria"/>
          <w:lang w:val="en-CA"/>
        </w:rPr>
        <w:t xml:space="preserve"> requiring third-party authorization from one or more medical professionals, a hospital committee, </w:t>
      </w:r>
      <w:r>
        <w:rPr>
          <w:rFonts w:eastAsia="Cambria"/>
          <w:lang w:val="en-CA"/>
        </w:rPr>
        <w:t xml:space="preserve">a </w:t>
      </w:r>
      <w:r w:rsidRPr="003A1579">
        <w:rPr>
          <w:rFonts w:eastAsia="Cambria"/>
          <w:lang w:val="en-CA"/>
        </w:rPr>
        <w:t xml:space="preserve">parent, guardian or spouse; </w:t>
      </w:r>
      <w:r w:rsidRPr="004379DB">
        <w:rPr>
          <w:rFonts w:eastAsia="Cambria"/>
          <w:lang w:val="en-CA"/>
        </w:rPr>
        <w:t xml:space="preserve">conscientious objection by health practitioners without provision of an alternative; </w:t>
      </w:r>
      <w:r w:rsidRPr="003A1579">
        <w:rPr>
          <w:rFonts w:eastAsia="Cambria"/>
          <w:lang w:val="en-CA"/>
        </w:rPr>
        <w:t xml:space="preserve">requiring compulsory waiting periods; and excluding coverage for </w:t>
      </w:r>
      <w:r w:rsidRPr="004750BD">
        <w:rPr>
          <w:rFonts w:eastAsia="Cambria"/>
          <w:lang w:val="en-CA"/>
        </w:rPr>
        <w:t>termination of pregnancy</w:t>
      </w:r>
      <w:r w:rsidRPr="003A1579">
        <w:rPr>
          <w:rFonts w:eastAsia="Cambria"/>
          <w:lang w:val="en-CA"/>
        </w:rPr>
        <w:t xml:space="preserve"> services under health insurance. None of these requirements is justified on health grounds.</w:t>
      </w:r>
      <w:r w:rsidR="00835100" w:rsidRPr="00835100">
        <w:rPr>
          <w:vertAlign w:val="superscript"/>
          <w:lang w:val="en-US"/>
        </w:rPr>
        <w:t xml:space="preserve"> </w:t>
      </w:r>
      <w:r w:rsidR="00835100" w:rsidRPr="00E12104">
        <w:rPr>
          <w:vertAlign w:val="superscript"/>
          <w:lang w:val="en-US"/>
        </w:rPr>
        <w:footnoteReference w:id="116"/>
      </w:r>
      <w:r w:rsidRPr="003A1579">
        <w:rPr>
          <w:rFonts w:eastAsia="Cambria"/>
          <w:lang w:val="en-CA"/>
        </w:rPr>
        <w:t xml:space="preserve">   </w:t>
      </w:r>
    </w:p>
    <w:p w:rsidR="00CA109F" w:rsidRPr="003A1579" w:rsidRDefault="00CA109F" w:rsidP="00CA109F">
      <w:pPr>
        <w:pStyle w:val="SingleTxtG"/>
        <w:rPr>
          <w:rFonts w:eastAsia="Cambria"/>
          <w:lang w:val="en-CA"/>
        </w:rPr>
      </w:pPr>
      <w:r>
        <w:rPr>
          <w:rFonts w:eastAsia="Cambria"/>
          <w:lang w:val="en-CA"/>
        </w:rPr>
        <w:t>83</w:t>
      </w:r>
      <w:r w:rsidRPr="003A1579">
        <w:rPr>
          <w:rFonts w:eastAsia="Cambria"/>
          <w:lang w:val="en-CA"/>
        </w:rPr>
        <w:t>.</w:t>
      </w:r>
      <w:r w:rsidRPr="003A1579">
        <w:rPr>
          <w:rFonts w:eastAsia="Cambria"/>
          <w:lang w:val="en-CA"/>
        </w:rPr>
        <w:tab/>
        <w:t xml:space="preserve">International and regional human rights bodies have called on States to decriminalize access to </w:t>
      </w:r>
      <w:r w:rsidRPr="004750BD">
        <w:rPr>
          <w:rFonts w:eastAsia="Cambria"/>
          <w:lang w:val="en-CA"/>
        </w:rPr>
        <w:t>termination of pregnancy</w:t>
      </w:r>
      <w:r w:rsidRPr="003A1579">
        <w:rPr>
          <w:rFonts w:eastAsia="Cambria"/>
          <w:lang w:val="en-CA"/>
        </w:rPr>
        <w:t xml:space="preserve"> and to liberalize laws and policies in order to guarantee women</w:t>
      </w:r>
      <w:r>
        <w:rPr>
          <w:rFonts w:eastAsia="Cambria"/>
          <w:lang w:val="en-CA"/>
        </w:rPr>
        <w:t>’s</w:t>
      </w:r>
      <w:r w:rsidRPr="003A1579">
        <w:rPr>
          <w:rFonts w:eastAsia="Cambria"/>
          <w:lang w:val="en-CA"/>
        </w:rPr>
        <w:t xml:space="preserve"> access to safe services.</w:t>
      </w:r>
      <w:r w:rsidR="00835100" w:rsidRPr="00835100">
        <w:rPr>
          <w:rFonts w:eastAsia="Cambria"/>
          <w:vertAlign w:val="superscript"/>
          <w:lang w:val="en-US"/>
        </w:rPr>
        <w:t xml:space="preserve"> </w:t>
      </w:r>
      <w:r w:rsidR="00835100" w:rsidRPr="00E12104">
        <w:rPr>
          <w:rFonts w:eastAsia="Cambria"/>
          <w:vertAlign w:val="superscript"/>
          <w:lang w:val="en-US"/>
        </w:rPr>
        <w:footnoteReference w:id="117"/>
      </w:r>
      <w:r w:rsidRPr="003A1579">
        <w:rPr>
          <w:rFonts w:eastAsia="Cambria"/>
          <w:lang w:val="en-CA"/>
        </w:rPr>
        <w:t xml:space="preserve"> </w:t>
      </w:r>
      <w:r>
        <w:rPr>
          <w:rFonts w:eastAsia="Cambria"/>
          <w:lang w:val="en-CA"/>
        </w:rPr>
        <w:t>T</w:t>
      </w:r>
      <w:r w:rsidRPr="003A1579">
        <w:rPr>
          <w:rFonts w:eastAsia="Cambria"/>
          <w:lang w:val="en-CA"/>
        </w:rPr>
        <w:t>reaty bodies</w:t>
      </w:r>
      <w:r>
        <w:rPr>
          <w:rFonts w:eastAsia="Cambria"/>
          <w:lang w:val="en-CA"/>
        </w:rPr>
        <w:t>,</w:t>
      </w:r>
      <w:r w:rsidRPr="003A1579">
        <w:rPr>
          <w:rFonts w:eastAsia="Cambria"/>
          <w:lang w:val="en-CA"/>
        </w:rPr>
        <w:t xml:space="preserve"> including </w:t>
      </w:r>
      <w:r>
        <w:rPr>
          <w:rFonts w:eastAsia="Cambria"/>
          <w:lang w:val="en-CA"/>
        </w:rPr>
        <w:t xml:space="preserve">the Committee on the </w:t>
      </w:r>
      <w:r>
        <w:rPr>
          <w:rFonts w:eastAsia="Cambria"/>
          <w:lang w:val="en-CA"/>
        </w:rPr>
        <w:lastRenderedPageBreak/>
        <w:t>Elimination of Discrimination against Women</w:t>
      </w:r>
      <w:r w:rsidRPr="003A1579">
        <w:rPr>
          <w:rFonts w:eastAsia="Cambria"/>
          <w:lang w:val="en-CA"/>
        </w:rPr>
        <w:t xml:space="preserve"> </w:t>
      </w:r>
      <w:r>
        <w:rPr>
          <w:rFonts w:eastAsia="Cambria"/>
          <w:lang w:val="en-CA"/>
        </w:rPr>
        <w:t xml:space="preserve">and the </w:t>
      </w:r>
      <w:r w:rsidRPr="003A1579">
        <w:rPr>
          <w:rFonts w:eastAsia="Cambria"/>
          <w:lang w:val="en-CA"/>
        </w:rPr>
        <w:t xml:space="preserve">Committee </w:t>
      </w:r>
      <w:r>
        <w:rPr>
          <w:rFonts w:eastAsia="Cambria"/>
          <w:lang w:val="en-CA"/>
        </w:rPr>
        <w:t xml:space="preserve">on Economic, Social and Cultural Rights, </w:t>
      </w:r>
      <w:r w:rsidRPr="003A1579">
        <w:rPr>
          <w:rFonts w:eastAsia="Cambria"/>
          <w:lang w:val="en-CA"/>
        </w:rPr>
        <w:t xml:space="preserve">have requested States, through their jurisprudence, their </w:t>
      </w:r>
      <w:r>
        <w:rPr>
          <w:rFonts w:eastAsia="Cambria"/>
          <w:lang w:val="en-CA"/>
        </w:rPr>
        <w:t>g</w:t>
      </w:r>
      <w:r w:rsidRPr="003A1579">
        <w:rPr>
          <w:rFonts w:eastAsia="Cambria"/>
          <w:lang w:val="en-CA"/>
        </w:rPr>
        <w:t xml:space="preserve">eneral </w:t>
      </w:r>
      <w:r>
        <w:rPr>
          <w:rFonts w:eastAsia="Cambria"/>
          <w:lang w:val="en-CA"/>
        </w:rPr>
        <w:t>c</w:t>
      </w:r>
      <w:r w:rsidRPr="003A1579">
        <w:rPr>
          <w:rFonts w:eastAsia="Cambria"/>
          <w:lang w:val="en-CA"/>
        </w:rPr>
        <w:t>omments/</w:t>
      </w:r>
      <w:r>
        <w:rPr>
          <w:rFonts w:eastAsia="Cambria"/>
          <w:lang w:val="en-CA"/>
        </w:rPr>
        <w:t>r</w:t>
      </w:r>
      <w:r w:rsidRPr="003A1579">
        <w:rPr>
          <w:rFonts w:eastAsia="Cambria"/>
          <w:lang w:val="en-CA"/>
        </w:rPr>
        <w:t xml:space="preserve">ecommendations </w:t>
      </w:r>
      <w:r>
        <w:rPr>
          <w:rFonts w:eastAsia="Cambria"/>
          <w:lang w:val="en-CA"/>
        </w:rPr>
        <w:t>and</w:t>
      </w:r>
      <w:r w:rsidRPr="003A1579">
        <w:rPr>
          <w:rFonts w:eastAsia="Cambria"/>
          <w:lang w:val="en-CA"/>
        </w:rPr>
        <w:t xml:space="preserve"> their </w:t>
      </w:r>
      <w:r>
        <w:rPr>
          <w:rFonts w:eastAsia="Cambria"/>
          <w:lang w:val="en-CA"/>
        </w:rPr>
        <w:t>c</w:t>
      </w:r>
      <w:r w:rsidRPr="003A1579">
        <w:rPr>
          <w:rFonts w:eastAsia="Cambria"/>
          <w:lang w:val="en-CA"/>
        </w:rPr>
        <w:t xml:space="preserve">oncluding </w:t>
      </w:r>
      <w:r>
        <w:rPr>
          <w:rFonts w:eastAsia="Cambria"/>
          <w:lang w:val="en-CA"/>
        </w:rPr>
        <w:t>o</w:t>
      </w:r>
      <w:r w:rsidRPr="003A1579">
        <w:rPr>
          <w:rFonts w:eastAsia="Cambria"/>
          <w:lang w:val="en-CA"/>
        </w:rPr>
        <w:t>bservations</w:t>
      </w:r>
      <w:r>
        <w:rPr>
          <w:rFonts w:eastAsia="Cambria"/>
          <w:lang w:val="en-CA"/>
        </w:rPr>
        <w:t>,</w:t>
      </w:r>
      <w:r w:rsidRPr="003A1579">
        <w:rPr>
          <w:rFonts w:eastAsia="Cambria"/>
          <w:lang w:val="en-CA"/>
        </w:rPr>
        <w:t xml:space="preserve"> to review national legislation </w:t>
      </w:r>
      <w:r>
        <w:rPr>
          <w:rFonts w:eastAsia="Cambria"/>
          <w:lang w:val="en-CA"/>
        </w:rPr>
        <w:t xml:space="preserve">with a view </w:t>
      </w:r>
      <w:r w:rsidRPr="003A1579">
        <w:rPr>
          <w:rFonts w:eastAsia="Cambria"/>
          <w:lang w:val="en-CA"/>
        </w:rPr>
        <w:t>to decriminaliz</w:t>
      </w:r>
      <w:r>
        <w:rPr>
          <w:rFonts w:eastAsia="Cambria"/>
          <w:lang w:val="en-CA"/>
        </w:rPr>
        <w:t>ing</w:t>
      </w:r>
      <w:r w:rsidRPr="003A1579">
        <w:rPr>
          <w:rFonts w:eastAsia="Cambria"/>
          <w:lang w:val="en-CA"/>
        </w:rPr>
        <w:t xml:space="preserve"> </w:t>
      </w:r>
      <w:r w:rsidRPr="000053FE">
        <w:rPr>
          <w:rFonts w:eastAsia="Cambria"/>
          <w:lang w:val="en-CA"/>
        </w:rPr>
        <w:t>termination of pregnancy</w:t>
      </w:r>
      <w:r w:rsidRPr="003A1579">
        <w:rPr>
          <w:rFonts w:eastAsia="Cambria"/>
          <w:lang w:val="en-CA"/>
        </w:rPr>
        <w:t xml:space="preserve"> and to ensure </w:t>
      </w:r>
      <w:r>
        <w:rPr>
          <w:rFonts w:eastAsia="Cambria"/>
          <w:lang w:val="en-CA"/>
        </w:rPr>
        <w:t xml:space="preserve">a </w:t>
      </w:r>
      <w:r w:rsidRPr="003A1579">
        <w:rPr>
          <w:rFonts w:eastAsia="Cambria"/>
          <w:lang w:val="en-CA"/>
        </w:rPr>
        <w:t>wom</w:t>
      </w:r>
      <w:r>
        <w:rPr>
          <w:rFonts w:eastAsia="Cambria"/>
          <w:lang w:val="en-CA"/>
        </w:rPr>
        <w:t>a</w:t>
      </w:r>
      <w:r w:rsidRPr="003A1579">
        <w:rPr>
          <w:rFonts w:eastAsia="Cambria"/>
          <w:lang w:val="en-CA"/>
        </w:rPr>
        <w:t xml:space="preserve">n’s right to </w:t>
      </w:r>
      <w:r w:rsidRPr="000053FE">
        <w:rPr>
          <w:rFonts w:eastAsia="Cambria"/>
          <w:lang w:val="en-CA"/>
        </w:rPr>
        <w:t>termination of pregnancy</w:t>
      </w:r>
      <w:r w:rsidRPr="003A1579">
        <w:rPr>
          <w:rFonts w:eastAsia="Cambria"/>
          <w:lang w:val="en-CA"/>
        </w:rPr>
        <w:t xml:space="preserve"> where there is a threat to </w:t>
      </w:r>
      <w:r>
        <w:rPr>
          <w:rFonts w:eastAsia="Cambria"/>
          <w:lang w:val="en-CA"/>
        </w:rPr>
        <w:t>her</w:t>
      </w:r>
      <w:r w:rsidRPr="003A1579">
        <w:rPr>
          <w:rFonts w:eastAsia="Cambria"/>
          <w:lang w:val="en-CA"/>
        </w:rPr>
        <w:t xml:space="preserve"> life or health, or where the pregnancy is the result of rape or </w:t>
      </w:r>
      <w:r w:rsidR="00890BB4">
        <w:rPr>
          <w:rFonts w:eastAsia="Cambria"/>
          <w:lang w:val="en-CA"/>
        </w:rPr>
        <w:t xml:space="preserve">incest. </w:t>
      </w:r>
      <w:r>
        <w:rPr>
          <w:rFonts w:eastAsia="Cambria"/>
          <w:lang w:val="en-CA"/>
        </w:rPr>
        <w:t>The Committee against Torture and the Human Rights Committee have determined that, i</w:t>
      </w:r>
      <w:r w:rsidRPr="00EF2AB1">
        <w:rPr>
          <w:rFonts w:eastAsia="Cambria"/>
          <w:lang w:val="en-CA"/>
        </w:rPr>
        <w:t>n some cases,</w:t>
      </w:r>
      <w:r>
        <w:rPr>
          <w:rFonts w:eastAsia="Cambria"/>
          <w:lang w:val="en-CA"/>
        </w:rPr>
        <w:t xml:space="preserve"> </w:t>
      </w:r>
      <w:r w:rsidRPr="00EF2AB1">
        <w:rPr>
          <w:rFonts w:eastAsia="Cambria"/>
          <w:lang w:val="en-CA"/>
        </w:rPr>
        <w:t xml:space="preserve">being forced to carry an unwanted pregnancy to term </w:t>
      </w:r>
      <w:r>
        <w:rPr>
          <w:rFonts w:eastAsia="Cambria"/>
          <w:lang w:val="en-CA"/>
        </w:rPr>
        <w:t>amounts</w:t>
      </w:r>
      <w:r w:rsidRPr="00EF2AB1">
        <w:rPr>
          <w:rFonts w:eastAsia="Cambria"/>
          <w:lang w:val="en-CA"/>
        </w:rPr>
        <w:t xml:space="preserve"> to cruel and inhuman treatment.</w:t>
      </w:r>
      <w:r w:rsidR="00BC22D9" w:rsidRPr="00BC22D9">
        <w:rPr>
          <w:rStyle w:val="Heading4Char"/>
          <w:rFonts w:eastAsia="Cambria"/>
          <w:lang w:val="en-CA"/>
        </w:rPr>
        <w:t xml:space="preserve"> </w:t>
      </w:r>
      <w:r w:rsidR="00BC22D9">
        <w:rPr>
          <w:rStyle w:val="FootnoteReference"/>
          <w:rFonts w:eastAsia="Cambria"/>
          <w:lang w:val="en-CA"/>
        </w:rPr>
        <w:footnoteReference w:id="118"/>
      </w:r>
      <w:r w:rsidRPr="003A1579">
        <w:rPr>
          <w:rFonts w:eastAsia="Cambria"/>
          <w:lang w:val="en-CA"/>
        </w:rPr>
        <w:t xml:space="preserve">  </w:t>
      </w:r>
    </w:p>
    <w:p w:rsidR="00CA109F" w:rsidRPr="003A1579" w:rsidRDefault="00CA109F" w:rsidP="00CA109F">
      <w:pPr>
        <w:pStyle w:val="H4G"/>
        <w:rPr>
          <w:rFonts w:eastAsia="Cambria"/>
          <w:lang w:val="en-CA"/>
        </w:rPr>
      </w:pPr>
      <w:r>
        <w:rPr>
          <w:rFonts w:eastAsia="Cambria"/>
          <w:lang w:val="en-CA"/>
        </w:rPr>
        <w:tab/>
      </w:r>
      <w:r>
        <w:rPr>
          <w:rFonts w:eastAsia="Cambria"/>
          <w:lang w:val="en-CA"/>
        </w:rPr>
        <w:tab/>
      </w:r>
      <w:r w:rsidRPr="003A1579">
        <w:rPr>
          <w:rFonts w:eastAsia="Cambria"/>
          <w:lang w:val="en-CA"/>
        </w:rPr>
        <w:t xml:space="preserve">Criminalization of women who engage in prostitution/sex work </w:t>
      </w:r>
    </w:p>
    <w:p w:rsidR="00CA109F" w:rsidRPr="003A1579" w:rsidRDefault="00CA109F" w:rsidP="00CA109F">
      <w:pPr>
        <w:pStyle w:val="SingleTxtG"/>
        <w:rPr>
          <w:rFonts w:eastAsia="Cambria"/>
          <w:lang w:val="en-CA"/>
        </w:rPr>
      </w:pPr>
      <w:r>
        <w:rPr>
          <w:rFonts w:eastAsia="Cambria"/>
          <w:lang w:val="en-CA"/>
        </w:rPr>
        <w:t>84</w:t>
      </w:r>
      <w:r w:rsidRPr="003A1579">
        <w:rPr>
          <w:rFonts w:eastAsia="Cambria"/>
          <w:lang w:val="en-CA"/>
        </w:rPr>
        <w:t>.</w:t>
      </w:r>
      <w:r w:rsidRPr="003A1579">
        <w:rPr>
          <w:rFonts w:eastAsia="Cambria"/>
          <w:lang w:val="en-CA"/>
        </w:rPr>
        <w:tab/>
        <w:t xml:space="preserve">Criminal laws and other punitive regulations have </w:t>
      </w:r>
      <w:r>
        <w:rPr>
          <w:rFonts w:eastAsia="Cambria"/>
          <w:lang w:val="en-CA"/>
        </w:rPr>
        <w:t>imposed</w:t>
      </w:r>
      <w:r w:rsidRPr="003A1579">
        <w:rPr>
          <w:rFonts w:eastAsia="Cambria"/>
          <w:lang w:val="en-CA"/>
        </w:rPr>
        <w:t xml:space="preserve"> custodial sentences on women involved in prostitution/sex work in a manner that has been shown to h</w:t>
      </w:r>
      <w:r>
        <w:rPr>
          <w:rFonts w:eastAsia="Cambria"/>
          <w:lang w:val="en-CA"/>
        </w:rPr>
        <w:t>arm rather than protect them.</w:t>
      </w:r>
      <w:r w:rsidR="00BC22D9" w:rsidRPr="00BC22D9">
        <w:rPr>
          <w:rStyle w:val="Heading4Char"/>
        </w:rPr>
        <w:t xml:space="preserve"> </w:t>
      </w:r>
      <w:r w:rsidRPr="003A1579">
        <w:rPr>
          <w:rFonts w:eastAsia="Cambria"/>
          <w:lang w:val="en-CA"/>
        </w:rPr>
        <w:t xml:space="preserve">The </w:t>
      </w:r>
      <w:r>
        <w:rPr>
          <w:rFonts w:eastAsia="Cambria"/>
          <w:lang w:val="en-CA"/>
        </w:rPr>
        <w:t xml:space="preserve">Working </w:t>
      </w:r>
      <w:r w:rsidRPr="003A1579">
        <w:rPr>
          <w:rFonts w:eastAsia="Cambria"/>
          <w:lang w:val="en-CA"/>
        </w:rPr>
        <w:t>Group considers that the criminalization of women in prostitution</w:t>
      </w:r>
      <w:r>
        <w:rPr>
          <w:rFonts w:eastAsia="Cambria"/>
          <w:lang w:val="en-CA"/>
        </w:rPr>
        <w:t>/sex work</w:t>
      </w:r>
      <w:r w:rsidRPr="003A1579">
        <w:rPr>
          <w:rFonts w:eastAsia="Cambria"/>
          <w:lang w:val="en-CA"/>
        </w:rPr>
        <w:t xml:space="preserve"> places them in a situation of injustice, vulnerability and stigma and is contrary to international human rights law. It notes that the Convention </w:t>
      </w:r>
      <w:r>
        <w:rPr>
          <w:rFonts w:eastAsia="Cambria"/>
          <w:lang w:val="en-CA"/>
        </w:rPr>
        <w:t xml:space="preserve">on the Elimination of All Forms of Discrimination against Women </w:t>
      </w:r>
      <w:r w:rsidRPr="003A1579">
        <w:rPr>
          <w:rFonts w:eastAsia="Cambria"/>
          <w:lang w:val="en-CA"/>
        </w:rPr>
        <w:t xml:space="preserve">calls for prohibition of the exploitation of prostitution and not for punishment of the </w:t>
      </w:r>
      <w:r>
        <w:rPr>
          <w:rFonts w:eastAsia="Cambria"/>
          <w:lang w:val="en-CA"/>
        </w:rPr>
        <w:t xml:space="preserve">women in prostitution/sex work </w:t>
      </w:r>
      <w:r w:rsidRPr="003A1579">
        <w:rPr>
          <w:rFonts w:eastAsia="Cambria"/>
          <w:lang w:val="en-CA"/>
        </w:rPr>
        <w:t>themselves</w:t>
      </w:r>
      <w:r w:rsidR="00BC22D9">
        <w:rPr>
          <w:rStyle w:val="FootnoteReference"/>
          <w:rFonts w:eastAsia="Cambria"/>
          <w:lang w:val="en-CA"/>
        </w:rPr>
        <w:footnoteReference w:id="119"/>
      </w:r>
      <w:r w:rsidRPr="003A1579">
        <w:rPr>
          <w:rFonts w:eastAsia="Cambria"/>
          <w:lang w:val="en-CA"/>
        </w:rPr>
        <w:t xml:space="preserve">; the well-established position of </w:t>
      </w:r>
      <w:r>
        <w:rPr>
          <w:rFonts w:eastAsia="Cambria"/>
          <w:lang w:val="en-CA"/>
        </w:rPr>
        <w:t>the Committee on the Elimination of Discrimination against Women</w:t>
      </w:r>
      <w:r w:rsidRPr="003A1579">
        <w:rPr>
          <w:rFonts w:eastAsia="Cambria"/>
          <w:lang w:val="en-CA"/>
        </w:rPr>
        <w:t xml:space="preserve"> that women should not be criminalized for prostitution; and the stipulation </w:t>
      </w:r>
      <w:r>
        <w:rPr>
          <w:rFonts w:eastAsia="Cambria"/>
          <w:lang w:val="en-CA"/>
        </w:rPr>
        <w:t>in</w:t>
      </w:r>
      <w:r w:rsidRPr="003A1579">
        <w:rPr>
          <w:rFonts w:eastAsia="Cambria"/>
          <w:lang w:val="en-CA"/>
        </w:rPr>
        <w:t xml:space="preserve"> the </w:t>
      </w:r>
      <w:r>
        <w:rPr>
          <w:rFonts w:eastAsia="Cambria"/>
          <w:lang w:val="en-CA"/>
        </w:rPr>
        <w:t>Protocol to Prevent, Suppress and Punish Trafficking in Persons, Especially Women and Children, supplementing the United Nations Convention against Transnational Organized Crime (</w:t>
      </w:r>
      <w:r w:rsidRPr="003A1579">
        <w:rPr>
          <w:rFonts w:eastAsia="Cambria"/>
          <w:lang w:val="en-CA"/>
        </w:rPr>
        <w:t>Palermo Protocol</w:t>
      </w:r>
      <w:r>
        <w:rPr>
          <w:rFonts w:eastAsia="Cambria"/>
          <w:lang w:val="en-CA"/>
        </w:rPr>
        <w:t>)</w:t>
      </w:r>
      <w:r w:rsidRPr="003A1579">
        <w:rPr>
          <w:rFonts w:eastAsia="Cambria"/>
          <w:lang w:val="en-CA"/>
        </w:rPr>
        <w:t xml:space="preserve"> that efforts should be made to discourage the demand that fosters all forms of exploitation of women, including trafficking for sexual exploitation.</w:t>
      </w:r>
      <w:r w:rsidR="00BC22D9" w:rsidRPr="00BC22D9">
        <w:rPr>
          <w:rStyle w:val="Heading4Char"/>
          <w:rFonts w:eastAsia="Cambria"/>
          <w:lang w:val="en-CA"/>
        </w:rPr>
        <w:t xml:space="preserve"> </w:t>
      </w:r>
      <w:r w:rsidR="00BC22D9">
        <w:rPr>
          <w:rStyle w:val="FootnoteReference"/>
          <w:rFonts w:eastAsia="Cambria"/>
          <w:lang w:val="en-CA"/>
        </w:rPr>
        <w:footnoteReference w:id="120"/>
      </w:r>
      <w:r w:rsidRPr="003A1579">
        <w:rPr>
          <w:rFonts w:eastAsia="Cambria"/>
          <w:lang w:val="en-CA"/>
        </w:rPr>
        <w:t xml:space="preserve"> </w:t>
      </w:r>
    </w:p>
    <w:p w:rsidR="00CA109F" w:rsidRDefault="00CA109F" w:rsidP="00CA109F">
      <w:pPr>
        <w:pStyle w:val="SingleTxtG"/>
        <w:rPr>
          <w:rFonts w:eastAsia="Cambria"/>
          <w:lang w:val="en-CA"/>
        </w:rPr>
      </w:pPr>
      <w:r>
        <w:rPr>
          <w:rFonts w:eastAsia="Cambria"/>
          <w:lang w:val="en-CA"/>
        </w:rPr>
        <w:t>85</w:t>
      </w:r>
      <w:r w:rsidRPr="003A1579">
        <w:rPr>
          <w:rFonts w:eastAsia="Cambria"/>
          <w:lang w:val="en-CA"/>
        </w:rPr>
        <w:t>.</w:t>
      </w:r>
      <w:r w:rsidRPr="003A1579">
        <w:rPr>
          <w:rFonts w:eastAsia="Cambria"/>
          <w:lang w:val="en-CA"/>
        </w:rPr>
        <w:tab/>
        <w:t>International organizations and human rights bodies have called on States</w:t>
      </w:r>
      <w:r>
        <w:rPr>
          <w:rFonts w:eastAsia="Cambria"/>
          <w:lang w:val="en-CA"/>
        </w:rPr>
        <w:t xml:space="preserve"> </w:t>
      </w:r>
      <w:r w:rsidRPr="003A1579">
        <w:rPr>
          <w:rFonts w:eastAsia="Cambria"/>
          <w:lang w:val="en-CA"/>
        </w:rPr>
        <w:t>to ensure, at a minimum, that women in prostitution/sex worker</w:t>
      </w:r>
      <w:r>
        <w:rPr>
          <w:rFonts w:eastAsia="Cambria"/>
          <w:lang w:val="en-CA"/>
        </w:rPr>
        <w:t>s</w:t>
      </w:r>
      <w:r w:rsidRPr="003A1579">
        <w:rPr>
          <w:rFonts w:eastAsia="Cambria"/>
          <w:lang w:val="en-CA"/>
        </w:rPr>
        <w:t xml:space="preserve"> have the right to access sexual health services; are free from violence or discrimination, whether </w:t>
      </w:r>
      <w:r>
        <w:rPr>
          <w:rFonts w:eastAsia="Cambria"/>
          <w:lang w:val="en-CA"/>
        </w:rPr>
        <w:t xml:space="preserve">committed </w:t>
      </w:r>
      <w:r w:rsidRPr="003A1579">
        <w:rPr>
          <w:rFonts w:eastAsia="Cambria"/>
          <w:lang w:val="en-CA"/>
        </w:rPr>
        <w:t xml:space="preserve">by </w:t>
      </w:r>
      <w:r>
        <w:rPr>
          <w:rFonts w:eastAsia="Cambria"/>
          <w:lang w:val="en-CA"/>
        </w:rPr>
        <w:t>S</w:t>
      </w:r>
      <w:r w:rsidRPr="003A1579">
        <w:rPr>
          <w:rFonts w:eastAsia="Cambria"/>
          <w:lang w:val="en-CA"/>
        </w:rPr>
        <w:t>tate agents or private persons; and have access to equal protection of the law.</w:t>
      </w:r>
      <w:r w:rsidR="00BC22D9" w:rsidRPr="00BC22D9">
        <w:rPr>
          <w:rStyle w:val="Heading4Char"/>
          <w:color w:val="000007"/>
        </w:rPr>
        <w:t xml:space="preserve"> </w:t>
      </w:r>
      <w:r w:rsidR="00BC22D9" w:rsidRPr="00E12104">
        <w:rPr>
          <w:rStyle w:val="FootnoteReference"/>
          <w:color w:val="000007"/>
        </w:rPr>
        <w:footnoteReference w:id="121"/>
      </w:r>
      <w:r w:rsidRPr="003A1579">
        <w:rPr>
          <w:rFonts w:eastAsia="Cambria"/>
          <w:lang w:val="en-CA"/>
        </w:rPr>
        <w:t xml:space="preserve"> In particular</w:t>
      </w:r>
      <w:r>
        <w:rPr>
          <w:rFonts w:eastAsia="Cambria"/>
          <w:lang w:val="en-CA"/>
        </w:rPr>
        <w:t>,</w:t>
      </w:r>
      <w:r w:rsidRPr="003A1579">
        <w:rPr>
          <w:rFonts w:eastAsia="Cambria"/>
          <w:lang w:val="en-CA"/>
        </w:rPr>
        <w:t xml:space="preserve"> States should also ensure that law enforcement officials serve a protective function, as opposed to engaging in or perpetuating violence against women in prostitution</w:t>
      </w:r>
      <w:r>
        <w:rPr>
          <w:rFonts w:eastAsia="Cambria"/>
          <w:lang w:val="en-CA"/>
        </w:rPr>
        <w:t>/</w:t>
      </w:r>
      <w:r w:rsidRPr="002F50BB">
        <w:rPr>
          <w:rFonts w:eastAsia="Cambria"/>
          <w:lang w:val="en-CA"/>
        </w:rPr>
        <w:t>sex workers</w:t>
      </w:r>
      <w:r w:rsidR="00890BB4">
        <w:rPr>
          <w:rFonts w:eastAsia="Cambria"/>
          <w:lang w:val="en-CA"/>
        </w:rPr>
        <w:t xml:space="preserve">. </w:t>
      </w:r>
      <w:r w:rsidRPr="003A1579">
        <w:rPr>
          <w:rFonts w:eastAsia="Cambria"/>
          <w:lang w:val="en-CA"/>
        </w:rPr>
        <w:t xml:space="preserve">A </w:t>
      </w:r>
      <w:r>
        <w:rPr>
          <w:rFonts w:eastAsia="Cambria"/>
          <w:lang w:val="en-CA"/>
        </w:rPr>
        <w:t>number</w:t>
      </w:r>
      <w:r w:rsidRPr="003A1579">
        <w:rPr>
          <w:rFonts w:eastAsia="Cambria"/>
          <w:lang w:val="en-CA"/>
        </w:rPr>
        <w:t xml:space="preserve"> of States </w:t>
      </w:r>
      <w:r>
        <w:rPr>
          <w:rFonts w:eastAsia="Cambria"/>
          <w:lang w:val="en-CA"/>
        </w:rPr>
        <w:t>have introduced regulations that cover health and safety issues, including access to health services, medical insurance and social security benefits that have had a</w:t>
      </w:r>
      <w:r w:rsidRPr="003A1579">
        <w:rPr>
          <w:rFonts w:eastAsia="Cambria"/>
          <w:lang w:val="en-CA"/>
        </w:rPr>
        <w:t xml:space="preserve"> positive impact</w:t>
      </w:r>
      <w:r>
        <w:rPr>
          <w:rFonts w:eastAsia="Cambria"/>
          <w:lang w:val="en-CA"/>
        </w:rPr>
        <w:t xml:space="preserve"> on women engaged in prostitution/sex work</w:t>
      </w:r>
      <w:r w:rsidRPr="003A1579">
        <w:rPr>
          <w:rFonts w:eastAsia="Cambria"/>
          <w:lang w:val="en-CA"/>
        </w:rPr>
        <w:t xml:space="preserve">. </w:t>
      </w:r>
      <w:r w:rsidR="008B24CD">
        <w:rPr>
          <w:rStyle w:val="FootnoteReference"/>
          <w:rFonts w:eastAsia="Cambria"/>
          <w:lang w:val="en-CA"/>
        </w:rPr>
        <w:footnoteReference w:id="122"/>
      </w:r>
    </w:p>
    <w:p w:rsidR="00CA109F" w:rsidRPr="003B22CF" w:rsidRDefault="00CA109F" w:rsidP="00CA109F">
      <w:pPr>
        <w:pStyle w:val="H1G"/>
        <w:rPr>
          <w:rFonts w:eastAsia="Cambria"/>
          <w:lang w:val="en-CA"/>
        </w:rPr>
      </w:pPr>
      <w:r>
        <w:rPr>
          <w:rFonts w:eastAsia="Cambria"/>
          <w:lang w:val="en-CA"/>
        </w:rPr>
        <w:lastRenderedPageBreak/>
        <w:tab/>
      </w:r>
      <w:r w:rsidRPr="003B22CF">
        <w:rPr>
          <w:rFonts w:eastAsia="Cambria"/>
          <w:lang w:val="en-CA"/>
        </w:rPr>
        <w:t>E.</w:t>
      </w:r>
      <w:r w:rsidRPr="003B22CF">
        <w:rPr>
          <w:rFonts w:eastAsia="Cambria"/>
          <w:lang w:val="en-CA"/>
        </w:rPr>
        <w:tab/>
        <w:t xml:space="preserve">Autonomous, </w:t>
      </w:r>
      <w:r w:rsidRPr="00C21881">
        <w:rPr>
          <w:rFonts w:eastAsia="Cambria"/>
        </w:rPr>
        <w:t>affordable</w:t>
      </w:r>
      <w:r w:rsidRPr="003B22CF">
        <w:rPr>
          <w:rFonts w:eastAsia="Cambria"/>
          <w:lang w:val="en-CA"/>
        </w:rPr>
        <w:t xml:space="preserve"> and effective access to </w:t>
      </w:r>
      <w:r>
        <w:rPr>
          <w:rFonts w:eastAsia="Cambria"/>
          <w:lang w:val="en-CA"/>
        </w:rPr>
        <w:t>health care</w:t>
      </w:r>
    </w:p>
    <w:p w:rsidR="00CA109F" w:rsidRPr="003B22CF" w:rsidRDefault="00CA109F" w:rsidP="00CA109F">
      <w:pPr>
        <w:pStyle w:val="H23G"/>
        <w:rPr>
          <w:rFonts w:eastAsia="Cambria"/>
          <w:lang w:val="en-CA"/>
        </w:rPr>
      </w:pPr>
      <w:r>
        <w:rPr>
          <w:rFonts w:eastAsia="Cambria"/>
          <w:lang w:val="en-CA"/>
        </w:rPr>
        <w:tab/>
      </w:r>
      <w:r w:rsidRPr="003B22CF">
        <w:rPr>
          <w:rFonts w:eastAsia="Cambria"/>
          <w:lang w:val="en-CA"/>
        </w:rPr>
        <w:t>1.</w:t>
      </w:r>
      <w:r w:rsidRPr="003B22CF">
        <w:rPr>
          <w:rFonts w:eastAsia="Cambria"/>
          <w:lang w:val="en-CA"/>
        </w:rPr>
        <w:tab/>
        <w:t>Autonomous access</w:t>
      </w:r>
    </w:p>
    <w:p w:rsidR="00CA109F" w:rsidRPr="00C50799" w:rsidRDefault="00CA109F" w:rsidP="00CA109F">
      <w:pPr>
        <w:pStyle w:val="SingleTxtG"/>
        <w:rPr>
          <w:rFonts w:eastAsia="Cambria"/>
          <w:lang w:val="en-CA"/>
        </w:rPr>
      </w:pPr>
      <w:r>
        <w:rPr>
          <w:rFonts w:eastAsia="Cambria"/>
          <w:lang w:val="en-CA"/>
        </w:rPr>
        <w:t>86.</w:t>
      </w:r>
      <w:r>
        <w:rPr>
          <w:rFonts w:eastAsia="Cambria"/>
          <w:lang w:val="en-CA"/>
        </w:rPr>
        <w:tab/>
      </w:r>
      <w:r w:rsidRPr="00C50799">
        <w:rPr>
          <w:rFonts w:eastAsia="Cambria"/>
          <w:lang w:val="en-CA"/>
        </w:rPr>
        <w:t xml:space="preserve">Autonomous access to </w:t>
      </w:r>
      <w:r>
        <w:rPr>
          <w:rFonts w:eastAsia="Cambria"/>
          <w:lang w:val="en-CA"/>
        </w:rPr>
        <w:t>health care</w:t>
      </w:r>
      <w:r w:rsidRPr="00C50799">
        <w:rPr>
          <w:rFonts w:eastAsia="Cambria"/>
          <w:lang w:val="en-CA"/>
        </w:rPr>
        <w:t xml:space="preserve"> means ensuring </w:t>
      </w:r>
      <w:r>
        <w:rPr>
          <w:rFonts w:eastAsia="Cambria"/>
          <w:lang w:val="en-CA"/>
        </w:rPr>
        <w:t xml:space="preserve">a </w:t>
      </w:r>
      <w:r w:rsidRPr="00C50799">
        <w:rPr>
          <w:rFonts w:eastAsia="Cambria"/>
          <w:lang w:val="en-CA"/>
        </w:rPr>
        <w:t>wom</w:t>
      </w:r>
      <w:r>
        <w:rPr>
          <w:rFonts w:eastAsia="Cambria"/>
          <w:lang w:val="en-CA"/>
        </w:rPr>
        <w:t>an’s right</w:t>
      </w:r>
      <w:r w:rsidRPr="00C50799">
        <w:rPr>
          <w:rFonts w:eastAsia="Cambria"/>
          <w:lang w:val="en-CA"/>
        </w:rPr>
        <w:t xml:space="preserve"> to make decisions concerning her health, fertility and sexuality free of coercion and violence. Key to this is the notion of choice. </w:t>
      </w:r>
      <w:r>
        <w:rPr>
          <w:rFonts w:eastAsia="Cambria"/>
          <w:lang w:val="en-CA"/>
        </w:rPr>
        <w:t>T</w:t>
      </w:r>
      <w:r w:rsidRPr="00C50799">
        <w:rPr>
          <w:rFonts w:eastAsia="Cambria"/>
          <w:lang w:val="en-CA"/>
        </w:rPr>
        <w:t xml:space="preserve">he rights to informed consent and confidentiality are crucial to ensuring </w:t>
      </w:r>
      <w:r>
        <w:rPr>
          <w:rFonts w:eastAsia="Cambria"/>
          <w:lang w:val="en-CA"/>
        </w:rPr>
        <w:t>that women can make decisions freely</w:t>
      </w:r>
      <w:r w:rsidRPr="00C50799">
        <w:rPr>
          <w:rFonts w:eastAsia="Cambria"/>
          <w:lang w:val="en-CA"/>
        </w:rPr>
        <w:t xml:space="preserve">. These rights impose </w:t>
      </w:r>
      <w:r>
        <w:rPr>
          <w:rFonts w:eastAsia="Cambria"/>
          <w:lang w:val="en-CA"/>
        </w:rPr>
        <w:t>corresponding</w:t>
      </w:r>
      <w:r w:rsidRPr="00C50799">
        <w:rPr>
          <w:rFonts w:eastAsia="Cambria"/>
          <w:lang w:val="en-CA"/>
        </w:rPr>
        <w:t xml:space="preserve"> duties upon </w:t>
      </w:r>
      <w:r>
        <w:rPr>
          <w:rFonts w:eastAsia="Cambria"/>
          <w:lang w:val="en-CA"/>
        </w:rPr>
        <w:t>health-care</w:t>
      </w:r>
      <w:r w:rsidRPr="00C50799">
        <w:rPr>
          <w:rFonts w:eastAsia="Cambria"/>
          <w:lang w:val="en-CA"/>
        </w:rPr>
        <w:t xml:space="preserve"> prov</w:t>
      </w:r>
      <w:r>
        <w:rPr>
          <w:rFonts w:eastAsia="Cambria"/>
          <w:lang w:val="en-CA"/>
        </w:rPr>
        <w:t xml:space="preserve">iders, who </w:t>
      </w:r>
      <w:r w:rsidRPr="00C50799">
        <w:rPr>
          <w:rFonts w:eastAsia="Cambria"/>
          <w:lang w:val="en-CA"/>
        </w:rPr>
        <w:t xml:space="preserve">are bound to disclose information </w:t>
      </w:r>
      <w:r>
        <w:rPr>
          <w:rFonts w:eastAsia="Cambria"/>
          <w:lang w:val="en-CA"/>
        </w:rPr>
        <w:t>about</w:t>
      </w:r>
      <w:r w:rsidRPr="00C50799">
        <w:rPr>
          <w:rFonts w:eastAsia="Cambria"/>
          <w:lang w:val="en-CA"/>
        </w:rPr>
        <w:t xml:space="preserve"> proposed treatments and alternatives </w:t>
      </w:r>
      <w:r>
        <w:rPr>
          <w:rFonts w:eastAsia="Cambria"/>
          <w:lang w:val="en-CA"/>
        </w:rPr>
        <w:t xml:space="preserve">in order to aid </w:t>
      </w:r>
      <w:r w:rsidRPr="00C50799">
        <w:rPr>
          <w:rFonts w:eastAsia="Cambria"/>
          <w:lang w:val="en-CA"/>
        </w:rPr>
        <w:t xml:space="preserve">informed consent and </w:t>
      </w:r>
      <w:r>
        <w:rPr>
          <w:rFonts w:eastAsia="Cambria"/>
          <w:lang w:val="en-CA"/>
        </w:rPr>
        <w:t xml:space="preserve">to respect the </w:t>
      </w:r>
      <w:r w:rsidRPr="00C50799">
        <w:rPr>
          <w:rFonts w:eastAsia="Cambria"/>
          <w:lang w:val="en-CA"/>
        </w:rPr>
        <w:t>right to refuse treatment</w:t>
      </w:r>
      <w:r>
        <w:rPr>
          <w:rFonts w:eastAsia="Cambria"/>
          <w:lang w:val="en-CA"/>
        </w:rPr>
        <w:t>;</w:t>
      </w:r>
      <w:r w:rsidRPr="00C50799">
        <w:rPr>
          <w:rFonts w:eastAsia="Cambria"/>
          <w:lang w:val="en-CA"/>
        </w:rPr>
        <w:t xml:space="preserve"> </w:t>
      </w:r>
      <w:r>
        <w:rPr>
          <w:rFonts w:eastAsia="Cambria"/>
          <w:lang w:val="en-CA"/>
        </w:rPr>
        <w:t>l</w:t>
      </w:r>
      <w:r w:rsidRPr="00C50799">
        <w:rPr>
          <w:rFonts w:eastAsia="Cambria"/>
          <w:lang w:val="en-CA"/>
        </w:rPr>
        <w:t xml:space="preserve">ikewise, they are bound to maintain </w:t>
      </w:r>
      <w:r>
        <w:rPr>
          <w:rFonts w:eastAsia="Cambria"/>
          <w:lang w:val="en-CA"/>
        </w:rPr>
        <w:t>confidentiality</w:t>
      </w:r>
      <w:r w:rsidRPr="00C50799">
        <w:rPr>
          <w:rFonts w:eastAsia="Cambria"/>
          <w:lang w:val="en-CA"/>
        </w:rPr>
        <w:t xml:space="preserve"> to allow </w:t>
      </w:r>
      <w:r>
        <w:rPr>
          <w:rFonts w:eastAsia="Cambria"/>
          <w:lang w:val="en-CA"/>
        </w:rPr>
        <w:t>women</w:t>
      </w:r>
      <w:r w:rsidRPr="00C50799">
        <w:rPr>
          <w:rFonts w:eastAsia="Cambria"/>
          <w:lang w:val="en-CA"/>
        </w:rPr>
        <w:t xml:space="preserve"> to make private decisions without the interference of others whom </w:t>
      </w:r>
      <w:r>
        <w:rPr>
          <w:rFonts w:eastAsia="Cambria"/>
          <w:lang w:val="en-CA"/>
        </w:rPr>
        <w:t>they</w:t>
      </w:r>
      <w:r w:rsidRPr="00C50799">
        <w:rPr>
          <w:rFonts w:eastAsia="Cambria"/>
          <w:lang w:val="en-CA"/>
        </w:rPr>
        <w:t xml:space="preserve"> ha</w:t>
      </w:r>
      <w:r>
        <w:rPr>
          <w:rFonts w:eastAsia="Cambria"/>
          <w:lang w:val="en-CA"/>
        </w:rPr>
        <w:t>ve</w:t>
      </w:r>
      <w:r w:rsidRPr="00C50799">
        <w:rPr>
          <w:rFonts w:eastAsia="Cambria"/>
          <w:lang w:val="en-CA"/>
        </w:rPr>
        <w:t xml:space="preserve"> not chosen to consult and who might not have </w:t>
      </w:r>
      <w:r>
        <w:rPr>
          <w:rFonts w:eastAsia="Cambria"/>
          <w:lang w:val="en-CA"/>
        </w:rPr>
        <w:t>their</w:t>
      </w:r>
      <w:r w:rsidRPr="00C50799">
        <w:rPr>
          <w:rFonts w:eastAsia="Cambria"/>
          <w:lang w:val="en-CA"/>
        </w:rPr>
        <w:t xml:space="preserve"> best interests at heart. Autonomy means that a woman seeking </w:t>
      </w:r>
      <w:r>
        <w:rPr>
          <w:rFonts w:eastAsia="Cambria"/>
          <w:lang w:val="en-CA"/>
        </w:rPr>
        <w:t>services</w:t>
      </w:r>
      <w:r w:rsidRPr="00C50799">
        <w:rPr>
          <w:rFonts w:eastAsia="Cambria"/>
          <w:lang w:val="en-CA"/>
        </w:rPr>
        <w:t xml:space="preserve"> in relation to her health, fertility or sexuality is entitled to be treated as an individual in her own right</w:t>
      </w:r>
      <w:r>
        <w:rPr>
          <w:rFonts w:eastAsia="Cambria"/>
          <w:lang w:val="en-CA"/>
        </w:rPr>
        <w:t>,</w:t>
      </w:r>
      <w:r w:rsidRPr="00C50799">
        <w:rPr>
          <w:rFonts w:eastAsia="Cambria"/>
          <w:lang w:val="en-CA"/>
        </w:rPr>
        <w:t xml:space="preserve"> the sole </w:t>
      </w:r>
      <w:r>
        <w:rPr>
          <w:rFonts w:eastAsia="Cambria"/>
          <w:lang w:val="en-CA"/>
        </w:rPr>
        <w:t xml:space="preserve">beneficiary </w:t>
      </w:r>
      <w:r w:rsidRPr="00C50799">
        <w:rPr>
          <w:rFonts w:eastAsia="Cambria"/>
          <w:lang w:val="en-CA"/>
        </w:rPr>
        <w:t xml:space="preserve">of the </w:t>
      </w:r>
      <w:r>
        <w:rPr>
          <w:rFonts w:eastAsia="Cambria"/>
          <w:lang w:val="en-CA"/>
        </w:rPr>
        <w:t>service provided by the health-care</w:t>
      </w:r>
      <w:r w:rsidRPr="00C50799">
        <w:rPr>
          <w:rFonts w:eastAsia="Cambria"/>
          <w:lang w:val="en-CA"/>
        </w:rPr>
        <w:t xml:space="preserve"> </w:t>
      </w:r>
      <w:r>
        <w:rPr>
          <w:rFonts w:eastAsia="Cambria"/>
          <w:lang w:val="en-CA"/>
        </w:rPr>
        <w:t>practitioner</w:t>
      </w:r>
      <w:r w:rsidRPr="00C50799">
        <w:rPr>
          <w:rFonts w:eastAsia="Cambria"/>
          <w:lang w:val="en-CA"/>
        </w:rPr>
        <w:t xml:space="preserve"> and fully competent to make decisions concerning her own health. This is a matter</w:t>
      </w:r>
      <w:r>
        <w:rPr>
          <w:rFonts w:eastAsia="Cambria"/>
          <w:lang w:val="en-CA"/>
        </w:rPr>
        <w:t xml:space="preserve"> of</w:t>
      </w:r>
      <w:r w:rsidRPr="00C50799">
        <w:rPr>
          <w:rFonts w:eastAsia="Cambria"/>
          <w:lang w:val="en-CA"/>
        </w:rPr>
        <w:t xml:space="preserve">, among other things, </w:t>
      </w:r>
      <w:r>
        <w:rPr>
          <w:rFonts w:eastAsia="Cambria"/>
          <w:lang w:val="en-CA"/>
        </w:rPr>
        <w:t>a</w:t>
      </w:r>
      <w:r w:rsidRPr="00C50799">
        <w:rPr>
          <w:rFonts w:eastAsia="Cambria"/>
          <w:lang w:val="en-CA"/>
        </w:rPr>
        <w:t xml:space="preserve"> woman’s right to equality before the law.</w:t>
      </w:r>
      <w:r w:rsidR="00765F9B">
        <w:rPr>
          <w:rStyle w:val="FootnoteReference"/>
          <w:rFonts w:eastAsia="Cambria"/>
          <w:lang w:val="en-CA"/>
        </w:rPr>
        <w:footnoteReference w:id="123"/>
      </w:r>
    </w:p>
    <w:p w:rsidR="00CA109F" w:rsidRPr="003B22CF" w:rsidRDefault="00CA109F" w:rsidP="00CA109F">
      <w:pPr>
        <w:pStyle w:val="H23G"/>
        <w:rPr>
          <w:rFonts w:eastAsia="Cambria"/>
          <w:lang w:val="en-CA"/>
        </w:rPr>
      </w:pPr>
      <w:r>
        <w:rPr>
          <w:rFonts w:eastAsia="Cambria"/>
          <w:lang w:val="en-CA"/>
        </w:rPr>
        <w:tab/>
      </w:r>
      <w:r w:rsidRPr="003B22CF">
        <w:rPr>
          <w:rFonts w:eastAsia="Cambria"/>
          <w:lang w:val="en-CA"/>
        </w:rPr>
        <w:t>2.</w:t>
      </w:r>
      <w:r w:rsidRPr="003B22CF">
        <w:rPr>
          <w:rFonts w:eastAsia="Cambria"/>
          <w:lang w:val="en-CA"/>
        </w:rPr>
        <w:tab/>
        <w:t xml:space="preserve">Affordable </w:t>
      </w:r>
      <w:r>
        <w:rPr>
          <w:rFonts w:eastAsia="Cambria"/>
          <w:lang w:val="en-CA"/>
        </w:rPr>
        <w:t>health care</w:t>
      </w:r>
      <w:r w:rsidRPr="003B22CF">
        <w:rPr>
          <w:rFonts w:eastAsia="Cambria"/>
          <w:lang w:val="en-CA"/>
        </w:rPr>
        <w:t xml:space="preserve"> </w:t>
      </w:r>
    </w:p>
    <w:p w:rsidR="00CA109F" w:rsidRPr="00C50799" w:rsidRDefault="00CA109F" w:rsidP="00CA109F">
      <w:pPr>
        <w:pStyle w:val="SingleTxtG"/>
        <w:rPr>
          <w:rFonts w:eastAsia="Cambria"/>
          <w:lang w:val="en-CA"/>
        </w:rPr>
      </w:pPr>
      <w:r>
        <w:rPr>
          <w:rFonts w:eastAsia="Cambria"/>
          <w:lang w:val="en-CA"/>
        </w:rPr>
        <w:t>87</w:t>
      </w:r>
      <w:r w:rsidRPr="00C50799">
        <w:rPr>
          <w:rFonts w:eastAsia="Cambria"/>
          <w:lang w:val="en-CA"/>
        </w:rPr>
        <w:t>.</w:t>
      </w:r>
      <w:r w:rsidRPr="00C50799">
        <w:rPr>
          <w:rFonts w:eastAsia="Cambria"/>
          <w:lang w:val="en-CA"/>
        </w:rPr>
        <w:tab/>
        <w:t>Even where significant resources are being put in place to provide universal health</w:t>
      </w:r>
      <w:r>
        <w:rPr>
          <w:rFonts w:eastAsia="Cambria"/>
          <w:lang w:val="en-CA"/>
        </w:rPr>
        <w:t xml:space="preserve"> care</w:t>
      </w:r>
      <w:r w:rsidRPr="00C50799">
        <w:rPr>
          <w:rFonts w:eastAsia="Cambria"/>
          <w:lang w:val="en-CA"/>
        </w:rPr>
        <w:t xml:space="preserve">, women continue to have unequal access to good-quality </w:t>
      </w:r>
      <w:r>
        <w:rPr>
          <w:rFonts w:eastAsia="Cambria"/>
          <w:lang w:val="en-CA"/>
        </w:rPr>
        <w:t>health-care</w:t>
      </w:r>
      <w:r w:rsidRPr="00C50799">
        <w:rPr>
          <w:rFonts w:eastAsia="Cambria"/>
          <w:lang w:val="en-CA"/>
        </w:rPr>
        <w:t xml:space="preserve"> services in many countries. This is often </w:t>
      </w:r>
      <w:r>
        <w:rPr>
          <w:rFonts w:eastAsia="Cambria"/>
          <w:lang w:val="en-CA"/>
        </w:rPr>
        <w:t>because</w:t>
      </w:r>
      <w:r w:rsidRPr="00C50799">
        <w:rPr>
          <w:rFonts w:eastAsia="Cambria"/>
          <w:lang w:val="en-CA"/>
        </w:rPr>
        <w:t xml:space="preserve"> </w:t>
      </w:r>
      <w:r>
        <w:rPr>
          <w:rFonts w:eastAsia="Cambria"/>
          <w:lang w:val="en-CA"/>
        </w:rPr>
        <w:t xml:space="preserve">the </w:t>
      </w:r>
      <w:r w:rsidRPr="00C50799">
        <w:rPr>
          <w:rFonts w:eastAsia="Cambria"/>
          <w:lang w:val="en-CA"/>
        </w:rPr>
        <w:t>health services that only women need</w:t>
      </w:r>
      <w:r>
        <w:rPr>
          <w:rFonts w:eastAsia="Cambria"/>
          <w:lang w:val="en-CA"/>
        </w:rPr>
        <w:t xml:space="preserve"> are excluded from insurance coverage and are not affordable</w:t>
      </w:r>
      <w:r w:rsidRPr="00C50799">
        <w:rPr>
          <w:rFonts w:eastAsia="Cambria"/>
          <w:lang w:val="en-CA"/>
        </w:rPr>
        <w:t>.</w:t>
      </w:r>
      <w:r w:rsidR="00BC22D9" w:rsidRPr="00BC22D9">
        <w:rPr>
          <w:rStyle w:val="Heading4Char"/>
        </w:rPr>
        <w:t xml:space="preserve"> </w:t>
      </w:r>
      <w:r w:rsidR="00BC22D9" w:rsidRPr="00914F7F">
        <w:rPr>
          <w:rStyle w:val="FootnoteReference"/>
        </w:rPr>
        <w:footnoteReference w:id="124"/>
      </w:r>
      <w:r w:rsidRPr="00C50799">
        <w:rPr>
          <w:rFonts w:eastAsia="Cambria"/>
          <w:lang w:val="en-CA"/>
        </w:rPr>
        <w:t xml:space="preserve"> </w:t>
      </w:r>
    </w:p>
    <w:p w:rsidR="00CA109F" w:rsidRPr="00C50799" w:rsidRDefault="00CA109F" w:rsidP="00CA109F">
      <w:pPr>
        <w:pStyle w:val="SingleTxtG"/>
        <w:rPr>
          <w:rFonts w:eastAsia="Cambria"/>
          <w:lang w:val="en-CA"/>
        </w:rPr>
      </w:pPr>
      <w:r>
        <w:rPr>
          <w:rFonts w:eastAsia="Cambria"/>
          <w:lang w:val="en-CA"/>
        </w:rPr>
        <w:t>88</w:t>
      </w:r>
      <w:r w:rsidRPr="00C50799">
        <w:rPr>
          <w:rFonts w:eastAsia="Cambria"/>
          <w:lang w:val="en-CA"/>
        </w:rPr>
        <w:t>.</w:t>
      </w:r>
      <w:r w:rsidRPr="00C50799">
        <w:rPr>
          <w:rFonts w:eastAsia="Cambria"/>
          <w:lang w:val="en-CA"/>
        </w:rPr>
        <w:tab/>
        <w:t xml:space="preserve">Economically disadvantaged women who do not have the means </w:t>
      </w:r>
      <w:r>
        <w:rPr>
          <w:rFonts w:eastAsia="Cambria"/>
          <w:lang w:val="en-CA"/>
        </w:rPr>
        <w:t>to access</w:t>
      </w:r>
      <w:r w:rsidRPr="00C50799">
        <w:rPr>
          <w:rFonts w:eastAsia="Cambria"/>
          <w:lang w:val="en-CA"/>
        </w:rPr>
        <w:t xml:space="preserve"> private </w:t>
      </w:r>
      <w:r>
        <w:rPr>
          <w:rFonts w:eastAsia="Cambria"/>
          <w:lang w:val="en-CA"/>
        </w:rPr>
        <w:t>health care</w:t>
      </w:r>
      <w:r w:rsidRPr="00C50799">
        <w:rPr>
          <w:rFonts w:eastAsia="Cambria"/>
          <w:lang w:val="en-CA"/>
        </w:rPr>
        <w:t xml:space="preserve"> and servic</w:t>
      </w:r>
      <w:r>
        <w:rPr>
          <w:rFonts w:eastAsia="Cambria"/>
          <w:lang w:val="en-CA"/>
        </w:rPr>
        <w:t xml:space="preserve">es are disparately affected by </w:t>
      </w:r>
      <w:r w:rsidRPr="00C50799">
        <w:rPr>
          <w:rFonts w:eastAsia="Cambria"/>
          <w:lang w:val="en-CA"/>
        </w:rPr>
        <w:t xml:space="preserve">barriers </w:t>
      </w:r>
      <w:r>
        <w:rPr>
          <w:rFonts w:eastAsia="Cambria"/>
          <w:lang w:val="en-CA"/>
        </w:rPr>
        <w:t>created by</w:t>
      </w:r>
      <w:r w:rsidRPr="00C50799">
        <w:rPr>
          <w:rFonts w:eastAsia="Cambria"/>
          <w:lang w:val="en-CA"/>
        </w:rPr>
        <w:t xml:space="preserve"> unaffordability. It is therefore important for States to ensure that all </w:t>
      </w:r>
      <w:r>
        <w:rPr>
          <w:rFonts w:eastAsia="Cambria"/>
          <w:lang w:val="en-CA"/>
        </w:rPr>
        <w:t>health care</w:t>
      </w:r>
      <w:r w:rsidRPr="00C50799">
        <w:rPr>
          <w:rFonts w:eastAsia="Cambria"/>
          <w:lang w:val="en-CA"/>
        </w:rPr>
        <w:t xml:space="preserve"> is affordable and to remove legal restrictions that in effect discriminat</w:t>
      </w:r>
      <w:r>
        <w:rPr>
          <w:rFonts w:eastAsia="Cambria"/>
          <w:lang w:val="en-CA"/>
        </w:rPr>
        <w:t xml:space="preserve">e against </w:t>
      </w:r>
      <w:r w:rsidRPr="00C50799">
        <w:rPr>
          <w:rFonts w:eastAsia="Cambria"/>
          <w:lang w:val="en-CA"/>
        </w:rPr>
        <w:t>women</w:t>
      </w:r>
      <w:r>
        <w:rPr>
          <w:rFonts w:eastAsia="Cambria"/>
          <w:lang w:val="en-CA"/>
        </w:rPr>
        <w:t xml:space="preserve"> who are economically disadvantaged</w:t>
      </w:r>
      <w:r w:rsidRPr="00C50799">
        <w:rPr>
          <w:rFonts w:eastAsia="Cambria"/>
          <w:lang w:val="en-CA"/>
        </w:rPr>
        <w:t>.</w:t>
      </w:r>
    </w:p>
    <w:p w:rsidR="00CA109F" w:rsidRPr="00C50799" w:rsidRDefault="00CA109F" w:rsidP="00CA109F">
      <w:pPr>
        <w:pStyle w:val="SingleTxtG"/>
        <w:rPr>
          <w:rFonts w:eastAsia="Cambria"/>
          <w:lang w:val="en-CA"/>
        </w:rPr>
      </w:pPr>
      <w:r>
        <w:rPr>
          <w:rFonts w:eastAsia="Cambria"/>
          <w:lang w:val="en-CA"/>
        </w:rPr>
        <w:t>89</w:t>
      </w:r>
      <w:r w:rsidRPr="00C50799">
        <w:rPr>
          <w:rFonts w:eastAsia="Cambria"/>
          <w:lang w:val="en-CA"/>
        </w:rPr>
        <w:t>.</w:t>
      </w:r>
      <w:r w:rsidRPr="00C50799">
        <w:rPr>
          <w:rFonts w:eastAsia="Cambria"/>
          <w:lang w:val="en-CA"/>
        </w:rPr>
        <w:tab/>
      </w:r>
      <w:r>
        <w:rPr>
          <w:rFonts w:eastAsia="Cambria"/>
          <w:lang w:val="en-CA"/>
        </w:rPr>
        <w:t xml:space="preserve">Health care is often unaffordable owing </w:t>
      </w:r>
      <w:r w:rsidRPr="00C50799">
        <w:rPr>
          <w:rFonts w:eastAsia="Cambria"/>
          <w:lang w:val="en-CA"/>
        </w:rPr>
        <w:t xml:space="preserve">to discriminatory health insurance coverage. Some health insurance policies and </w:t>
      </w:r>
      <w:r w:rsidRPr="00EF2AB1">
        <w:rPr>
          <w:rFonts w:eastAsia="Cambria"/>
          <w:lang w:val="en-CA"/>
        </w:rPr>
        <w:t>programmes exclude various aspects of reproductive health</w:t>
      </w:r>
      <w:r>
        <w:rPr>
          <w:rFonts w:eastAsia="Cambria"/>
          <w:lang w:val="en-CA"/>
        </w:rPr>
        <w:t xml:space="preserve"> </w:t>
      </w:r>
      <w:r w:rsidRPr="00EF2AB1">
        <w:rPr>
          <w:rFonts w:eastAsia="Cambria"/>
          <w:lang w:val="en-CA"/>
        </w:rPr>
        <w:t>care, including modern</w:t>
      </w:r>
      <w:r w:rsidRPr="00C50799">
        <w:rPr>
          <w:rFonts w:eastAsia="Cambria"/>
          <w:lang w:val="en-CA"/>
        </w:rPr>
        <w:t xml:space="preserve"> forms of contraception</w:t>
      </w:r>
      <w:r>
        <w:rPr>
          <w:rFonts w:eastAsia="Cambria"/>
          <w:lang w:val="en-CA"/>
        </w:rPr>
        <w:t>, termination of pregnancy</w:t>
      </w:r>
      <w:r w:rsidRPr="00C50799">
        <w:rPr>
          <w:rFonts w:eastAsia="Cambria"/>
          <w:lang w:val="en-CA"/>
        </w:rPr>
        <w:t xml:space="preserve"> and maternal care.</w:t>
      </w:r>
      <w:r w:rsidR="00BC22D9" w:rsidRPr="00BC22D9">
        <w:rPr>
          <w:rStyle w:val="Heading4Char"/>
          <w:bCs/>
          <w:color w:val="000007"/>
        </w:rPr>
        <w:t xml:space="preserve"> </w:t>
      </w:r>
      <w:r w:rsidR="00BC22D9" w:rsidRPr="00914F7F">
        <w:rPr>
          <w:rStyle w:val="FootnoteReference"/>
          <w:bCs/>
          <w:color w:val="000007"/>
        </w:rPr>
        <w:footnoteReference w:id="125"/>
      </w:r>
      <w:r w:rsidRPr="00C50799">
        <w:rPr>
          <w:rFonts w:eastAsia="Cambria"/>
          <w:lang w:val="en-CA"/>
        </w:rPr>
        <w:t xml:space="preserve"> Alternatively, some private health insurance schemes insure women’s reproductive health needs but add a surcharge to </w:t>
      </w:r>
      <w:r>
        <w:rPr>
          <w:rFonts w:eastAsia="Cambria"/>
          <w:lang w:val="en-CA"/>
        </w:rPr>
        <w:t>the</w:t>
      </w:r>
      <w:r w:rsidRPr="00C50799">
        <w:rPr>
          <w:rFonts w:eastAsia="Cambria"/>
          <w:lang w:val="en-CA"/>
        </w:rPr>
        <w:t xml:space="preserve"> premiums paid by women. Good practice includes </w:t>
      </w:r>
      <w:r>
        <w:rPr>
          <w:rFonts w:eastAsia="Cambria"/>
          <w:lang w:val="en-CA"/>
        </w:rPr>
        <w:t xml:space="preserve">measures that discourage insurance companies from </w:t>
      </w:r>
      <w:r w:rsidRPr="00C50799">
        <w:rPr>
          <w:rFonts w:eastAsia="Cambria"/>
          <w:lang w:val="en-CA"/>
        </w:rPr>
        <w:t xml:space="preserve">charging women more for health insurance than men </w:t>
      </w:r>
      <w:r>
        <w:rPr>
          <w:rFonts w:eastAsia="Cambria"/>
          <w:lang w:val="en-CA"/>
        </w:rPr>
        <w:t>because of</w:t>
      </w:r>
      <w:r w:rsidRPr="00C50799">
        <w:rPr>
          <w:rFonts w:eastAsia="Cambria"/>
          <w:lang w:val="en-CA"/>
        </w:rPr>
        <w:t xml:space="preserve"> perceived higher costs associated with women’s reproductive health needs.</w:t>
      </w:r>
      <w:r w:rsidR="00BC22D9" w:rsidRPr="00BC22D9">
        <w:rPr>
          <w:rStyle w:val="Heading4Char"/>
          <w:bCs/>
          <w:color w:val="000007"/>
        </w:rPr>
        <w:t xml:space="preserve"> </w:t>
      </w:r>
      <w:r w:rsidR="00BC22D9" w:rsidRPr="00914F7F">
        <w:rPr>
          <w:rStyle w:val="FootnoteReference"/>
          <w:bCs/>
          <w:color w:val="000007"/>
        </w:rPr>
        <w:footnoteReference w:id="126"/>
      </w:r>
      <w:r w:rsidR="00BC22D9" w:rsidRPr="00914F7F">
        <w:rPr>
          <w:rFonts w:eastAsia="Cambria"/>
          <w:lang w:val="en-CA"/>
        </w:rPr>
        <w:t xml:space="preserve"> </w:t>
      </w:r>
      <w:r w:rsidRPr="00C50799">
        <w:rPr>
          <w:rFonts w:eastAsia="Cambria"/>
          <w:lang w:val="en-CA"/>
        </w:rPr>
        <w:t xml:space="preserve">  </w:t>
      </w:r>
    </w:p>
    <w:p w:rsidR="00CA109F" w:rsidRPr="00C50799" w:rsidRDefault="00CA109F" w:rsidP="00CA109F">
      <w:pPr>
        <w:pStyle w:val="SingleTxtG"/>
        <w:rPr>
          <w:rFonts w:eastAsia="Cambria"/>
          <w:lang w:val="en-CA"/>
        </w:rPr>
      </w:pPr>
      <w:r>
        <w:rPr>
          <w:rFonts w:eastAsia="Cambria"/>
          <w:lang w:val="en-CA"/>
        </w:rPr>
        <w:lastRenderedPageBreak/>
        <w:t>90</w:t>
      </w:r>
      <w:r w:rsidRPr="00C50799">
        <w:rPr>
          <w:rFonts w:eastAsia="Cambria"/>
          <w:lang w:val="en-CA"/>
        </w:rPr>
        <w:t>.</w:t>
      </w:r>
      <w:r w:rsidRPr="00C50799">
        <w:rPr>
          <w:rFonts w:eastAsia="Cambria"/>
          <w:lang w:val="en-CA"/>
        </w:rPr>
        <w:tab/>
        <w:t xml:space="preserve">Public funding is necessary </w:t>
      </w:r>
      <w:r>
        <w:rPr>
          <w:rFonts w:eastAsia="Cambria"/>
          <w:lang w:val="en-CA"/>
        </w:rPr>
        <w:t xml:space="preserve">to subsidize </w:t>
      </w:r>
      <w:r w:rsidRPr="00C50799">
        <w:rPr>
          <w:rFonts w:eastAsia="Cambria"/>
          <w:lang w:val="en-CA"/>
        </w:rPr>
        <w:t>primary health</w:t>
      </w:r>
      <w:r>
        <w:rPr>
          <w:rFonts w:eastAsia="Cambria"/>
          <w:lang w:val="en-CA"/>
        </w:rPr>
        <w:t>-</w:t>
      </w:r>
      <w:r w:rsidRPr="00C50799">
        <w:rPr>
          <w:rFonts w:eastAsia="Cambria"/>
          <w:lang w:val="en-CA"/>
        </w:rPr>
        <w:t xml:space="preserve">care services, </w:t>
      </w:r>
      <w:r>
        <w:rPr>
          <w:rFonts w:eastAsia="Cambria"/>
          <w:lang w:val="en-CA"/>
        </w:rPr>
        <w:t xml:space="preserve">including </w:t>
      </w:r>
      <w:r w:rsidRPr="00C50799">
        <w:rPr>
          <w:rFonts w:eastAsia="Cambria"/>
          <w:lang w:val="en-CA"/>
        </w:rPr>
        <w:t>medications</w:t>
      </w:r>
      <w:r>
        <w:rPr>
          <w:rFonts w:eastAsia="Cambria"/>
          <w:lang w:val="en-CA"/>
        </w:rPr>
        <w:t>,</w:t>
      </w:r>
      <w:r w:rsidRPr="00C50799">
        <w:rPr>
          <w:rFonts w:eastAsia="Cambria"/>
          <w:lang w:val="en-CA"/>
        </w:rPr>
        <w:t xml:space="preserve"> contracepti</w:t>
      </w:r>
      <w:r>
        <w:rPr>
          <w:rFonts w:eastAsia="Cambria"/>
          <w:lang w:val="en-CA"/>
        </w:rPr>
        <w:t>ves</w:t>
      </w:r>
      <w:r w:rsidRPr="00C50799">
        <w:rPr>
          <w:rFonts w:eastAsia="Cambria"/>
          <w:lang w:val="en-CA"/>
        </w:rPr>
        <w:t xml:space="preserve">, legal </w:t>
      </w:r>
      <w:r w:rsidRPr="000053FE">
        <w:rPr>
          <w:rFonts w:eastAsia="Cambria"/>
          <w:lang w:val="en-CA"/>
        </w:rPr>
        <w:t>termination of pregnancy</w:t>
      </w:r>
      <w:r w:rsidRPr="00C50799">
        <w:rPr>
          <w:rFonts w:eastAsia="Cambria"/>
          <w:lang w:val="en-CA"/>
        </w:rPr>
        <w:t xml:space="preserve"> and </w:t>
      </w:r>
      <w:r>
        <w:rPr>
          <w:rFonts w:eastAsia="Cambria"/>
          <w:lang w:val="en-CA"/>
        </w:rPr>
        <w:t>treatment of sexually transmitted infections</w:t>
      </w:r>
      <w:r w:rsidRPr="00C50799">
        <w:rPr>
          <w:rFonts w:eastAsia="Cambria"/>
          <w:lang w:val="en-CA"/>
        </w:rPr>
        <w:t>. Such services should be affordable and</w:t>
      </w:r>
      <w:r>
        <w:rPr>
          <w:rFonts w:eastAsia="Cambria"/>
          <w:lang w:val="en-CA"/>
        </w:rPr>
        <w:t>,</w:t>
      </w:r>
      <w:r w:rsidRPr="00C50799">
        <w:rPr>
          <w:rFonts w:eastAsia="Cambria"/>
          <w:lang w:val="en-CA"/>
        </w:rPr>
        <w:t xml:space="preserve"> in the case of economically disadvantaged w</w:t>
      </w:r>
      <w:r>
        <w:rPr>
          <w:rFonts w:eastAsia="Cambria"/>
          <w:lang w:val="en-CA"/>
        </w:rPr>
        <w:t>omen, provided free of charge</w:t>
      </w:r>
      <w:r w:rsidRPr="00C50799">
        <w:rPr>
          <w:rFonts w:eastAsia="Cambria"/>
          <w:lang w:val="en-CA"/>
        </w:rPr>
        <w:t xml:space="preserve">. </w:t>
      </w:r>
      <w:r>
        <w:rPr>
          <w:rFonts w:eastAsia="Cambria"/>
          <w:lang w:val="en-CA"/>
        </w:rPr>
        <w:t>U</w:t>
      </w:r>
      <w:r w:rsidRPr="00C50799">
        <w:rPr>
          <w:rFonts w:eastAsia="Cambria"/>
          <w:lang w:val="en-CA"/>
        </w:rPr>
        <w:t xml:space="preserve">ser or </w:t>
      </w:r>
      <w:r>
        <w:rPr>
          <w:rFonts w:eastAsia="Cambria"/>
          <w:lang w:val="en-CA"/>
        </w:rPr>
        <w:t>“</w:t>
      </w:r>
      <w:r w:rsidRPr="00C50799">
        <w:rPr>
          <w:rFonts w:eastAsia="Cambria"/>
          <w:lang w:val="en-CA"/>
        </w:rPr>
        <w:t>informal</w:t>
      </w:r>
      <w:r>
        <w:rPr>
          <w:rFonts w:eastAsia="Cambria"/>
          <w:lang w:val="en-CA"/>
        </w:rPr>
        <w:t>”</w:t>
      </w:r>
      <w:r w:rsidRPr="00C50799">
        <w:rPr>
          <w:rFonts w:eastAsia="Cambria"/>
          <w:lang w:val="en-CA"/>
        </w:rPr>
        <w:t xml:space="preserve"> fees for </w:t>
      </w:r>
      <w:r>
        <w:rPr>
          <w:rFonts w:eastAsia="Cambria"/>
          <w:lang w:val="en-CA"/>
        </w:rPr>
        <w:t>health-care</w:t>
      </w:r>
      <w:r w:rsidRPr="00C50799">
        <w:rPr>
          <w:rFonts w:eastAsia="Cambria"/>
          <w:lang w:val="en-CA"/>
        </w:rPr>
        <w:t xml:space="preserve"> services increase the risk </w:t>
      </w:r>
      <w:r>
        <w:rPr>
          <w:rFonts w:eastAsia="Cambria"/>
          <w:lang w:val="en-CA"/>
        </w:rPr>
        <w:t>that</w:t>
      </w:r>
      <w:r w:rsidRPr="00C50799">
        <w:rPr>
          <w:rFonts w:eastAsia="Cambria"/>
          <w:lang w:val="en-CA"/>
        </w:rPr>
        <w:t xml:space="preserve"> these women </w:t>
      </w:r>
      <w:r>
        <w:rPr>
          <w:rFonts w:eastAsia="Cambria"/>
          <w:lang w:val="en-CA"/>
        </w:rPr>
        <w:t xml:space="preserve">will </w:t>
      </w:r>
      <w:r w:rsidRPr="00C50799">
        <w:rPr>
          <w:rFonts w:eastAsia="Cambria"/>
          <w:lang w:val="en-CA"/>
        </w:rPr>
        <w:t xml:space="preserve">either forgo services or </w:t>
      </w:r>
      <w:r>
        <w:rPr>
          <w:rFonts w:eastAsia="Cambria"/>
          <w:lang w:val="en-CA"/>
        </w:rPr>
        <w:t>resort to</w:t>
      </w:r>
      <w:r w:rsidRPr="00C50799">
        <w:rPr>
          <w:rFonts w:eastAsia="Cambria"/>
          <w:lang w:val="en-CA"/>
        </w:rPr>
        <w:t xml:space="preserve"> substandard services, perhaps from unqualified providers.</w:t>
      </w:r>
      <w:r w:rsidR="00684A08" w:rsidRPr="00684A08">
        <w:rPr>
          <w:rStyle w:val="Heading4Char"/>
        </w:rPr>
        <w:t xml:space="preserve"> </w:t>
      </w:r>
      <w:r w:rsidR="00684A08" w:rsidRPr="00914F7F">
        <w:rPr>
          <w:rStyle w:val="FootnoteReference"/>
        </w:rPr>
        <w:footnoteReference w:id="127"/>
      </w:r>
      <w:r w:rsidR="00684A08" w:rsidRPr="00A547A0">
        <w:rPr>
          <w:rStyle w:val="FootnoteReference"/>
          <w:sz w:val="24"/>
          <w:szCs w:val="24"/>
        </w:rPr>
        <w:t xml:space="preserve"> </w:t>
      </w:r>
      <w:r w:rsidRPr="00C50799">
        <w:rPr>
          <w:rFonts w:eastAsia="Cambria"/>
          <w:lang w:val="en-CA"/>
        </w:rPr>
        <w:t xml:space="preserve">  </w:t>
      </w:r>
    </w:p>
    <w:p w:rsidR="00CA109F" w:rsidRPr="00C50799" w:rsidRDefault="00CA109F" w:rsidP="00CA109F">
      <w:pPr>
        <w:pStyle w:val="SingleTxtG"/>
        <w:rPr>
          <w:rFonts w:eastAsia="Cambria"/>
          <w:lang w:val="en-CA"/>
        </w:rPr>
      </w:pPr>
      <w:r>
        <w:rPr>
          <w:rFonts w:eastAsia="Cambria"/>
          <w:lang w:val="en-CA"/>
        </w:rPr>
        <w:t>91</w:t>
      </w:r>
      <w:r w:rsidRPr="00C50799">
        <w:rPr>
          <w:rFonts w:eastAsia="Cambria"/>
          <w:lang w:val="en-CA"/>
        </w:rPr>
        <w:t>.</w:t>
      </w:r>
      <w:r w:rsidRPr="00C50799">
        <w:rPr>
          <w:rFonts w:eastAsia="Cambria"/>
          <w:lang w:val="en-CA"/>
        </w:rPr>
        <w:tab/>
        <w:t>Good practice</w:t>
      </w:r>
      <w:r>
        <w:rPr>
          <w:rFonts w:eastAsia="Cambria"/>
          <w:lang w:val="en-CA"/>
        </w:rPr>
        <w:t>s</w:t>
      </w:r>
      <w:r w:rsidRPr="00C50799">
        <w:rPr>
          <w:rFonts w:eastAsia="Cambria"/>
          <w:lang w:val="en-CA"/>
        </w:rPr>
        <w:t xml:space="preserve"> </w:t>
      </w:r>
      <w:r>
        <w:rPr>
          <w:rFonts w:eastAsia="Cambria"/>
          <w:lang w:val="en-CA"/>
        </w:rPr>
        <w:t>include listing</w:t>
      </w:r>
      <w:r w:rsidRPr="00C50799">
        <w:rPr>
          <w:rFonts w:eastAsia="Cambria"/>
          <w:lang w:val="en-CA"/>
        </w:rPr>
        <w:t xml:space="preserve"> </w:t>
      </w:r>
      <w:r>
        <w:rPr>
          <w:rFonts w:eastAsia="Cambria"/>
          <w:lang w:val="en-CA"/>
        </w:rPr>
        <w:t xml:space="preserve">as </w:t>
      </w:r>
      <w:r w:rsidRPr="00C50799">
        <w:rPr>
          <w:rFonts w:eastAsia="Cambria"/>
          <w:lang w:val="en-CA"/>
        </w:rPr>
        <w:t xml:space="preserve">essential medicines all </w:t>
      </w:r>
      <w:r>
        <w:rPr>
          <w:rFonts w:eastAsia="Cambria"/>
          <w:lang w:val="en-CA"/>
        </w:rPr>
        <w:t>those</w:t>
      </w:r>
      <w:r w:rsidRPr="00C50799">
        <w:rPr>
          <w:rFonts w:eastAsia="Cambria"/>
          <w:lang w:val="en-CA"/>
        </w:rPr>
        <w:t xml:space="preserve"> recommended </w:t>
      </w:r>
      <w:r>
        <w:rPr>
          <w:rFonts w:eastAsia="Cambria"/>
          <w:lang w:val="en-CA"/>
        </w:rPr>
        <w:t xml:space="preserve">as necessary for </w:t>
      </w:r>
      <w:r w:rsidRPr="00C50799">
        <w:rPr>
          <w:rFonts w:eastAsia="Cambria"/>
          <w:lang w:val="en-CA"/>
        </w:rPr>
        <w:t xml:space="preserve">women’s health in </w:t>
      </w:r>
      <w:r>
        <w:rPr>
          <w:rFonts w:eastAsia="Cambria"/>
          <w:lang w:val="en-CA"/>
        </w:rPr>
        <w:t xml:space="preserve">the </w:t>
      </w:r>
      <w:r w:rsidRPr="00C50799">
        <w:rPr>
          <w:rFonts w:eastAsia="Cambria"/>
          <w:lang w:val="en-CA"/>
        </w:rPr>
        <w:t>WHO Model List of Essential Medicines</w:t>
      </w:r>
      <w:r>
        <w:rPr>
          <w:rFonts w:eastAsia="Cambria"/>
          <w:lang w:val="en-CA"/>
        </w:rPr>
        <w:t>,</w:t>
      </w:r>
      <w:r w:rsidRPr="00C50799">
        <w:rPr>
          <w:rFonts w:eastAsia="Cambria"/>
          <w:lang w:val="en-CA"/>
        </w:rPr>
        <w:t xml:space="preserve"> public subsidization of the cost of women’s health</w:t>
      </w:r>
      <w:r>
        <w:rPr>
          <w:rFonts w:eastAsia="Cambria"/>
          <w:lang w:val="en-CA"/>
        </w:rPr>
        <w:t>-</w:t>
      </w:r>
      <w:r w:rsidRPr="00C50799">
        <w:rPr>
          <w:rFonts w:eastAsia="Cambria"/>
          <w:lang w:val="en-CA"/>
        </w:rPr>
        <w:t>related services for everyone</w:t>
      </w:r>
      <w:r>
        <w:rPr>
          <w:rFonts w:eastAsia="Cambria"/>
          <w:lang w:val="en-CA"/>
        </w:rPr>
        <w:t xml:space="preserve"> and </w:t>
      </w:r>
      <w:r w:rsidRPr="00C50799">
        <w:rPr>
          <w:rFonts w:eastAsia="Cambria"/>
          <w:lang w:val="en-CA"/>
        </w:rPr>
        <w:t xml:space="preserve">subsidies to women of a given age or income. </w:t>
      </w:r>
      <w:r w:rsidR="00684A08" w:rsidRPr="00914F7F">
        <w:rPr>
          <w:rStyle w:val="FootnoteReference"/>
        </w:rPr>
        <w:footnoteReference w:id="128"/>
      </w:r>
      <w:r w:rsidR="00684A08" w:rsidRPr="00914F7F">
        <w:rPr>
          <w:rStyle w:val="FootnoteReference"/>
          <w:sz w:val="28"/>
          <w:szCs w:val="24"/>
        </w:rPr>
        <w:t xml:space="preserve"> </w:t>
      </w:r>
      <w:r w:rsidRPr="00C50799">
        <w:rPr>
          <w:rFonts w:eastAsia="Cambria"/>
          <w:lang w:val="en-CA"/>
        </w:rPr>
        <w:t xml:space="preserve">   </w:t>
      </w:r>
    </w:p>
    <w:p w:rsidR="00CA109F" w:rsidRPr="00C50799" w:rsidRDefault="00CA109F" w:rsidP="00CA109F">
      <w:pPr>
        <w:pStyle w:val="SingleTxtG"/>
        <w:rPr>
          <w:rFonts w:eastAsia="Cambria"/>
          <w:lang w:val="en-CA"/>
        </w:rPr>
      </w:pPr>
      <w:r>
        <w:rPr>
          <w:rFonts w:eastAsia="Cambria"/>
          <w:lang w:val="en-CA"/>
        </w:rPr>
        <w:t>92</w:t>
      </w:r>
      <w:r w:rsidRPr="00C50799">
        <w:rPr>
          <w:rFonts w:eastAsia="Cambria"/>
          <w:lang w:val="en-CA"/>
        </w:rPr>
        <w:t>.</w:t>
      </w:r>
      <w:r w:rsidRPr="00C50799">
        <w:rPr>
          <w:rFonts w:eastAsia="Cambria"/>
          <w:lang w:val="en-CA"/>
        </w:rPr>
        <w:tab/>
        <w:t>Unaffordability of medicines is also closely linked to intellectual property laws, many of which provide exclusive patents for new medicines for long periods. However, intellectual property laws that fail to address the medical needs of women obstruct access to medicines by pushing up the price and by impeding the production and distribution of low-cost generic drugs.</w:t>
      </w:r>
      <w:r w:rsidR="00684A08" w:rsidRPr="00684A08">
        <w:rPr>
          <w:rStyle w:val="Heading4Char"/>
          <w:color w:val="000000"/>
        </w:rPr>
        <w:t xml:space="preserve"> </w:t>
      </w:r>
      <w:r w:rsidR="00684A08" w:rsidRPr="00914F7F">
        <w:rPr>
          <w:rStyle w:val="FootnoteReference"/>
          <w:color w:val="000000"/>
        </w:rPr>
        <w:footnoteReference w:id="129"/>
      </w:r>
      <w:r w:rsidRPr="00C50799">
        <w:rPr>
          <w:rFonts w:eastAsia="Cambria"/>
          <w:lang w:val="en-CA"/>
        </w:rPr>
        <w:t xml:space="preserve"> The right to health requires State</w:t>
      </w:r>
      <w:r>
        <w:rPr>
          <w:rFonts w:eastAsia="Cambria"/>
          <w:lang w:val="en-CA"/>
        </w:rPr>
        <w:t>s</w:t>
      </w:r>
      <w:r w:rsidRPr="00C50799">
        <w:rPr>
          <w:rFonts w:eastAsia="Cambria"/>
          <w:lang w:val="en-CA"/>
        </w:rPr>
        <w:t xml:space="preserve"> to ensure that </w:t>
      </w:r>
      <w:r>
        <w:rPr>
          <w:rFonts w:eastAsia="Cambria"/>
          <w:lang w:val="en-CA"/>
        </w:rPr>
        <w:t xml:space="preserve">the </w:t>
      </w:r>
      <w:r w:rsidRPr="00C50799">
        <w:rPr>
          <w:rFonts w:eastAsia="Cambria"/>
          <w:lang w:val="en-CA"/>
        </w:rPr>
        <w:t xml:space="preserve">pharmaceutical companies that hold a patent on essential medicines and </w:t>
      </w:r>
      <w:r>
        <w:rPr>
          <w:rFonts w:eastAsia="Cambria"/>
          <w:lang w:val="en-CA"/>
        </w:rPr>
        <w:t xml:space="preserve">medical </w:t>
      </w:r>
      <w:r w:rsidRPr="00C50799">
        <w:rPr>
          <w:rFonts w:eastAsia="Cambria"/>
          <w:lang w:val="en-CA"/>
        </w:rPr>
        <w:t xml:space="preserve">devices make use of all the arrangements at </w:t>
      </w:r>
      <w:r>
        <w:rPr>
          <w:rFonts w:eastAsia="Cambria"/>
          <w:lang w:val="en-CA"/>
        </w:rPr>
        <w:t>their</w:t>
      </w:r>
      <w:r w:rsidRPr="00C50799">
        <w:rPr>
          <w:rFonts w:eastAsia="Cambria"/>
          <w:lang w:val="en-CA"/>
        </w:rPr>
        <w:t xml:space="preserve"> disposal to render the medicine</w:t>
      </w:r>
      <w:r>
        <w:rPr>
          <w:rFonts w:eastAsia="Cambria"/>
          <w:lang w:val="en-CA"/>
        </w:rPr>
        <w:t>s</w:t>
      </w:r>
      <w:r w:rsidRPr="00C50799">
        <w:rPr>
          <w:rFonts w:eastAsia="Cambria"/>
          <w:lang w:val="en-CA"/>
        </w:rPr>
        <w:t xml:space="preserve"> accessible to all. </w:t>
      </w:r>
      <w:r w:rsidR="00684A08" w:rsidRPr="00914F7F">
        <w:rPr>
          <w:rStyle w:val="FootnoteReference"/>
          <w:color w:val="000000"/>
          <w:szCs w:val="24"/>
        </w:rPr>
        <w:footnoteReference w:id="130"/>
      </w:r>
      <w:r w:rsidR="00684A08" w:rsidRPr="00914F7F">
        <w:rPr>
          <w:rFonts w:eastAsia="Cambria"/>
          <w:sz w:val="16"/>
          <w:lang w:val="en-CA"/>
        </w:rPr>
        <w:t xml:space="preserve">  </w:t>
      </w:r>
      <w:r w:rsidRPr="00C50799">
        <w:rPr>
          <w:rFonts w:eastAsia="Cambria"/>
          <w:lang w:val="en-CA"/>
        </w:rPr>
        <w:t xml:space="preserve"> </w:t>
      </w:r>
    </w:p>
    <w:p w:rsidR="00CA109F" w:rsidRPr="003B22CF" w:rsidRDefault="00CA109F" w:rsidP="00CA109F">
      <w:pPr>
        <w:pStyle w:val="H23G"/>
        <w:rPr>
          <w:rFonts w:eastAsia="Cambria"/>
          <w:lang w:val="en-CA"/>
        </w:rPr>
      </w:pPr>
      <w:r>
        <w:rPr>
          <w:rFonts w:eastAsia="Cambria"/>
          <w:lang w:val="en-CA"/>
        </w:rPr>
        <w:tab/>
      </w:r>
      <w:r w:rsidRPr="003B22CF">
        <w:rPr>
          <w:rFonts w:eastAsia="Cambria"/>
          <w:lang w:val="en-CA"/>
        </w:rPr>
        <w:t>3.</w:t>
      </w:r>
      <w:r w:rsidRPr="003B22CF">
        <w:rPr>
          <w:rFonts w:eastAsia="Cambria"/>
          <w:lang w:val="en-CA"/>
        </w:rPr>
        <w:tab/>
        <w:t xml:space="preserve">Effective access </w:t>
      </w:r>
    </w:p>
    <w:p w:rsidR="00CA109F" w:rsidRPr="00C50799" w:rsidRDefault="00CA109F" w:rsidP="00CA109F">
      <w:pPr>
        <w:pStyle w:val="H4G"/>
        <w:rPr>
          <w:rFonts w:eastAsia="Cambria"/>
          <w:lang w:val="en-CA"/>
        </w:rPr>
      </w:pPr>
      <w:r>
        <w:rPr>
          <w:rFonts w:eastAsia="Cambria"/>
          <w:lang w:val="en-CA"/>
        </w:rPr>
        <w:tab/>
      </w:r>
      <w:r>
        <w:rPr>
          <w:rFonts w:eastAsia="Cambria"/>
          <w:lang w:val="en-CA"/>
        </w:rPr>
        <w:tab/>
      </w:r>
      <w:r w:rsidRPr="00C50799">
        <w:rPr>
          <w:rFonts w:eastAsia="Cambria"/>
          <w:lang w:val="en-CA"/>
        </w:rPr>
        <w:t xml:space="preserve">Conscientious objection to providing health services </w:t>
      </w:r>
    </w:p>
    <w:p w:rsidR="00CA109F" w:rsidRPr="00C50799" w:rsidRDefault="00CA109F" w:rsidP="00CA109F">
      <w:pPr>
        <w:pStyle w:val="SingleTxtG"/>
        <w:rPr>
          <w:rFonts w:eastAsia="Cambria"/>
          <w:lang w:val="en-CA"/>
        </w:rPr>
      </w:pPr>
      <w:r>
        <w:rPr>
          <w:rFonts w:eastAsia="Cambria"/>
          <w:lang w:val="en-CA"/>
        </w:rPr>
        <w:t>93.</w:t>
      </w:r>
      <w:r>
        <w:rPr>
          <w:rFonts w:eastAsia="Cambria"/>
          <w:lang w:val="en-CA"/>
        </w:rPr>
        <w:tab/>
        <w:t>I</w:t>
      </w:r>
      <w:r w:rsidRPr="00C50799">
        <w:rPr>
          <w:rFonts w:eastAsia="Cambria"/>
          <w:lang w:val="en-CA"/>
        </w:rPr>
        <w:t xml:space="preserve">nadequately regulated conscientious objection </w:t>
      </w:r>
      <w:r>
        <w:rPr>
          <w:rFonts w:eastAsia="Cambria"/>
          <w:lang w:val="en-CA"/>
        </w:rPr>
        <w:t xml:space="preserve">may </w:t>
      </w:r>
      <w:r w:rsidRPr="00D77412">
        <w:rPr>
          <w:rFonts w:eastAsia="Cambria"/>
          <w:lang w:val="en-CA"/>
        </w:rPr>
        <w:t xml:space="preserve">constitute a barrier for women when exercising their right to have access to reproductive and sexual </w:t>
      </w:r>
      <w:r>
        <w:rPr>
          <w:rFonts w:eastAsia="Cambria"/>
          <w:lang w:val="en-CA"/>
        </w:rPr>
        <w:t>health services.</w:t>
      </w:r>
      <w:r w:rsidR="00684A08" w:rsidRPr="00684A08">
        <w:rPr>
          <w:rStyle w:val="Heading4Char"/>
          <w:rFonts w:eastAsiaTheme="minorHAnsi"/>
          <w:color w:val="000007"/>
        </w:rPr>
        <w:t xml:space="preserve"> </w:t>
      </w:r>
      <w:r w:rsidR="00684A08" w:rsidRPr="0031478A">
        <w:rPr>
          <w:rStyle w:val="FootnoteReference"/>
          <w:rFonts w:eastAsiaTheme="minorHAnsi"/>
          <w:color w:val="000007"/>
        </w:rPr>
        <w:footnoteReference w:id="131"/>
      </w:r>
      <w:r>
        <w:rPr>
          <w:rFonts w:eastAsia="Cambria"/>
          <w:lang w:val="en-CA"/>
        </w:rPr>
        <w:t xml:space="preserve"> T</w:t>
      </w:r>
      <w:r w:rsidRPr="00C50799">
        <w:rPr>
          <w:rFonts w:eastAsia="Cambria"/>
          <w:lang w:val="en-CA"/>
        </w:rPr>
        <w:t xml:space="preserve">he jurisprudence of human rights treaty </w:t>
      </w:r>
      <w:r>
        <w:rPr>
          <w:rFonts w:eastAsia="Cambria"/>
          <w:lang w:val="en-CA"/>
        </w:rPr>
        <w:t xml:space="preserve">bodies </w:t>
      </w:r>
      <w:r w:rsidRPr="00C50799">
        <w:rPr>
          <w:rFonts w:eastAsia="Cambria"/>
          <w:lang w:val="en-CA"/>
        </w:rPr>
        <w:t xml:space="preserve">states that where conscientious objection is permitted, States still have an obligation to ensure that women’s access to reproductive health services is not limited and that conscientious objection is a personal, not </w:t>
      </w:r>
      <w:r>
        <w:rPr>
          <w:rFonts w:eastAsia="Cambria"/>
          <w:lang w:val="en-CA"/>
        </w:rPr>
        <w:t xml:space="preserve">an </w:t>
      </w:r>
      <w:r w:rsidRPr="00C50799">
        <w:rPr>
          <w:rFonts w:eastAsia="Cambria"/>
          <w:lang w:val="en-CA"/>
        </w:rPr>
        <w:t>institutional, practice.</w:t>
      </w:r>
      <w:r w:rsidR="00684A08" w:rsidRPr="00684A08">
        <w:rPr>
          <w:rStyle w:val="Heading4Char"/>
          <w:bCs/>
        </w:rPr>
        <w:t xml:space="preserve"> </w:t>
      </w:r>
      <w:r w:rsidR="00684A08" w:rsidRPr="0031478A">
        <w:rPr>
          <w:rStyle w:val="FootnoteReference"/>
          <w:bCs/>
        </w:rPr>
        <w:footnoteReference w:id="132"/>
      </w:r>
      <w:r w:rsidR="00684A08" w:rsidRPr="0031478A">
        <w:rPr>
          <w:rFonts w:eastAsia="Cambria"/>
          <w:lang w:val="en-CA"/>
        </w:rPr>
        <w:t xml:space="preserve"> </w:t>
      </w:r>
      <w:r w:rsidRPr="00C50799">
        <w:rPr>
          <w:rFonts w:eastAsia="Cambria"/>
          <w:lang w:val="en-CA"/>
        </w:rPr>
        <w:t xml:space="preserve"> </w:t>
      </w:r>
    </w:p>
    <w:p w:rsidR="00CA109F" w:rsidRDefault="00CA109F" w:rsidP="00CA109F">
      <w:pPr>
        <w:pStyle w:val="SingleTxtG"/>
        <w:rPr>
          <w:rFonts w:eastAsia="Cambria"/>
          <w:lang w:val="en-CA"/>
        </w:rPr>
      </w:pPr>
      <w:r>
        <w:rPr>
          <w:rFonts w:eastAsia="Cambria"/>
          <w:lang w:val="en-CA"/>
        </w:rPr>
        <w:t>94</w:t>
      </w:r>
      <w:r w:rsidRPr="00C50799">
        <w:rPr>
          <w:rFonts w:eastAsia="Cambria"/>
          <w:lang w:val="en-CA"/>
        </w:rPr>
        <w:t>.</w:t>
      </w:r>
      <w:r w:rsidRPr="00C50799">
        <w:rPr>
          <w:rFonts w:eastAsia="Cambria"/>
          <w:lang w:val="en-CA"/>
        </w:rPr>
        <w:tab/>
        <w:t xml:space="preserve">A number of countries have legal guarantees that </w:t>
      </w:r>
      <w:r>
        <w:rPr>
          <w:rFonts w:eastAsia="Cambria"/>
          <w:lang w:val="en-CA"/>
        </w:rPr>
        <w:t>protect</w:t>
      </w:r>
      <w:r w:rsidRPr="00C50799">
        <w:rPr>
          <w:rFonts w:eastAsia="Cambria"/>
          <w:lang w:val="en-CA"/>
        </w:rPr>
        <w:t xml:space="preserve"> women</w:t>
      </w:r>
      <w:r>
        <w:rPr>
          <w:rFonts w:eastAsia="Cambria"/>
          <w:lang w:val="en-CA"/>
        </w:rPr>
        <w:t xml:space="preserve"> in the case of</w:t>
      </w:r>
      <w:r w:rsidRPr="00C50799">
        <w:rPr>
          <w:rFonts w:eastAsia="Cambria"/>
          <w:lang w:val="en-CA"/>
        </w:rPr>
        <w:t xml:space="preserve"> conscience-based refusal of care. They include the requirement of referral to non-objecting providers, registration/written notice to </w:t>
      </w:r>
      <w:r>
        <w:rPr>
          <w:rFonts w:eastAsia="Cambria"/>
          <w:lang w:val="en-CA"/>
        </w:rPr>
        <w:t xml:space="preserve">the </w:t>
      </w:r>
      <w:r w:rsidRPr="00C50799">
        <w:rPr>
          <w:rFonts w:eastAsia="Cambria"/>
          <w:lang w:val="en-CA"/>
        </w:rPr>
        <w:t xml:space="preserve">employer and/or </w:t>
      </w:r>
      <w:r>
        <w:rPr>
          <w:rFonts w:eastAsia="Cambria"/>
          <w:lang w:val="en-CA"/>
        </w:rPr>
        <w:t xml:space="preserve">a </w:t>
      </w:r>
      <w:r w:rsidRPr="00C50799">
        <w:rPr>
          <w:rFonts w:eastAsia="Cambria"/>
          <w:lang w:val="en-CA"/>
        </w:rPr>
        <w:t>government body, disclosure of information to patients about the provider’s status as a conscientious objector, provision of services in cases of emergency</w:t>
      </w:r>
      <w:r>
        <w:rPr>
          <w:rFonts w:eastAsia="Cambria"/>
          <w:lang w:val="en-CA"/>
        </w:rPr>
        <w:t>,</w:t>
      </w:r>
      <w:r w:rsidRPr="00C50799">
        <w:rPr>
          <w:rFonts w:eastAsia="Cambria"/>
          <w:lang w:val="en-CA"/>
        </w:rPr>
        <w:t xml:space="preserve"> and restriction of the right to conscientious objection to the individuals directly involved in the medical intervention and not institutions or those indirectly involved</w:t>
      </w:r>
      <w:r>
        <w:rPr>
          <w:rFonts w:eastAsia="Cambria"/>
          <w:lang w:val="en-CA"/>
        </w:rPr>
        <w:t>,</w:t>
      </w:r>
      <w:r w:rsidRPr="00C50799">
        <w:rPr>
          <w:rFonts w:eastAsia="Cambria"/>
          <w:lang w:val="en-CA"/>
        </w:rPr>
        <w:t xml:space="preserve"> such as pharmacists.</w:t>
      </w:r>
      <w:r w:rsidR="00684A08" w:rsidRPr="00684A08">
        <w:rPr>
          <w:rStyle w:val="Heading4Char"/>
          <w:rFonts w:eastAsiaTheme="minorHAnsi"/>
        </w:rPr>
        <w:t xml:space="preserve"> </w:t>
      </w:r>
      <w:r w:rsidR="00684A08" w:rsidRPr="0031478A">
        <w:rPr>
          <w:rStyle w:val="FootnoteReference"/>
          <w:rFonts w:eastAsiaTheme="minorHAnsi"/>
        </w:rPr>
        <w:footnoteReference w:id="133"/>
      </w:r>
      <w:r>
        <w:rPr>
          <w:rFonts w:eastAsia="Cambria"/>
          <w:lang w:val="en-CA"/>
        </w:rPr>
        <w:t xml:space="preserve"> </w:t>
      </w:r>
      <w:r w:rsidRPr="00E43A83">
        <w:rPr>
          <w:rFonts w:eastAsia="Cambria"/>
          <w:lang w:val="en-CA"/>
        </w:rPr>
        <w:t xml:space="preserve">The Working Group reiterates that </w:t>
      </w:r>
      <w:r>
        <w:rPr>
          <w:rFonts w:eastAsia="Cambria"/>
          <w:lang w:val="en-CA"/>
        </w:rPr>
        <w:t xml:space="preserve">the enjoyment of the right to </w:t>
      </w:r>
      <w:r w:rsidRPr="00E43A83">
        <w:rPr>
          <w:rFonts w:eastAsia="Cambria"/>
          <w:lang w:val="en-CA"/>
        </w:rPr>
        <w:t>freedom of religion</w:t>
      </w:r>
      <w:r>
        <w:rPr>
          <w:rFonts w:eastAsia="Cambria"/>
          <w:lang w:val="en-CA"/>
        </w:rPr>
        <w:t xml:space="preserve"> or belief</w:t>
      </w:r>
      <w:r w:rsidRPr="00E43A83">
        <w:rPr>
          <w:rFonts w:eastAsia="Cambria"/>
          <w:lang w:val="en-CA"/>
        </w:rPr>
        <w:t xml:space="preserve"> cannot be used to justify gender discrimination and therefore should not be regarded as a justification for </w:t>
      </w:r>
      <w:r>
        <w:rPr>
          <w:rFonts w:eastAsia="Cambria"/>
          <w:lang w:val="en-CA"/>
        </w:rPr>
        <w:t xml:space="preserve">hindering the realization of </w:t>
      </w:r>
      <w:r w:rsidRPr="00E43A83">
        <w:rPr>
          <w:rFonts w:eastAsia="Cambria"/>
          <w:lang w:val="en-CA"/>
        </w:rPr>
        <w:t xml:space="preserve">women’s right </w:t>
      </w:r>
      <w:r>
        <w:rPr>
          <w:rFonts w:eastAsia="Cambria"/>
          <w:lang w:val="en-CA"/>
        </w:rPr>
        <w:t xml:space="preserve">to </w:t>
      </w:r>
      <w:r w:rsidRPr="00E43A83">
        <w:rPr>
          <w:rFonts w:eastAsia="Cambria"/>
          <w:lang w:val="en-CA"/>
        </w:rPr>
        <w:t>the highest attainable standard of health.</w:t>
      </w:r>
      <w:r w:rsidR="00684A08" w:rsidRPr="00E43A83">
        <w:rPr>
          <w:rFonts w:eastAsia="Cambria"/>
          <w:lang w:val="en-CA"/>
        </w:rPr>
        <w:t xml:space="preserve"> </w:t>
      </w:r>
      <w:r w:rsidRPr="00E43A83">
        <w:rPr>
          <w:rFonts w:eastAsia="Cambria"/>
          <w:lang w:val="en-CA"/>
        </w:rPr>
        <w:t xml:space="preserve">  </w:t>
      </w:r>
    </w:p>
    <w:p w:rsidR="00CA109F" w:rsidRPr="00C50799" w:rsidRDefault="00CA109F" w:rsidP="00CA109F">
      <w:pPr>
        <w:pStyle w:val="H4G"/>
        <w:rPr>
          <w:rFonts w:eastAsia="Cambria"/>
          <w:lang w:val="en-CA"/>
        </w:rPr>
      </w:pPr>
      <w:r>
        <w:rPr>
          <w:rFonts w:eastAsia="Cambria"/>
          <w:lang w:val="en-CA"/>
        </w:rPr>
        <w:lastRenderedPageBreak/>
        <w:tab/>
      </w:r>
      <w:r>
        <w:rPr>
          <w:rFonts w:eastAsia="Cambria"/>
          <w:lang w:val="en-CA"/>
        </w:rPr>
        <w:tab/>
      </w:r>
      <w:r w:rsidRPr="00C50799">
        <w:rPr>
          <w:rFonts w:eastAsia="Cambria"/>
          <w:lang w:val="en-CA"/>
        </w:rPr>
        <w:t>Education and information</w:t>
      </w:r>
    </w:p>
    <w:p w:rsidR="00CA109F" w:rsidRPr="00C50799" w:rsidRDefault="00CA109F" w:rsidP="00CA109F">
      <w:pPr>
        <w:pStyle w:val="SingleTxtG"/>
        <w:rPr>
          <w:rFonts w:eastAsia="Cambria"/>
          <w:lang w:val="en-CA"/>
        </w:rPr>
      </w:pPr>
      <w:r>
        <w:rPr>
          <w:rFonts w:eastAsia="Cambria"/>
          <w:lang w:val="en-CA"/>
        </w:rPr>
        <w:t>95</w:t>
      </w:r>
      <w:r w:rsidRPr="00C50799">
        <w:rPr>
          <w:rFonts w:eastAsia="Cambria"/>
          <w:lang w:val="en-CA"/>
        </w:rPr>
        <w:t>.</w:t>
      </w:r>
      <w:r w:rsidRPr="00C50799">
        <w:rPr>
          <w:rFonts w:eastAsia="Cambria"/>
          <w:lang w:val="en-CA"/>
        </w:rPr>
        <w:tab/>
        <w:t xml:space="preserve">Restrictions in many countries on girls’ and women’s access to unbiased, quality education, including </w:t>
      </w:r>
      <w:r>
        <w:rPr>
          <w:rFonts w:eastAsia="Cambria"/>
          <w:lang w:val="en-CA"/>
        </w:rPr>
        <w:t>evidence-based</w:t>
      </w:r>
      <w:r w:rsidRPr="00C50799">
        <w:rPr>
          <w:rFonts w:eastAsia="Cambria"/>
          <w:lang w:val="en-CA"/>
        </w:rPr>
        <w:t xml:space="preserve"> comprehensive sexuality education, and information </w:t>
      </w:r>
      <w:r>
        <w:rPr>
          <w:rFonts w:eastAsia="Cambria"/>
          <w:lang w:val="en-CA"/>
        </w:rPr>
        <w:t>about</w:t>
      </w:r>
      <w:r w:rsidRPr="00C50799">
        <w:rPr>
          <w:rFonts w:eastAsia="Cambria"/>
          <w:lang w:val="en-CA"/>
        </w:rPr>
        <w:t xml:space="preserve"> where and how to obtain essential health services prevent women from making free and informed decision</w:t>
      </w:r>
      <w:r>
        <w:rPr>
          <w:rFonts w:eastAsia="Cambria"/>
          <w:lang w:val="en-CA"/>
        </w:rPr>
        <w:t>s</w:t>
      </w:r>
      <w:r w:rsidRPr="00C50799">
        <w:rPr>
          <w:rFonts w:eastAsia="Cambria"/>
          <w:lang w:val="en-CA"/>
        </w:rPr>
        <w:t xml:space="preserve"> about their health and safety and hence obstruct proper, informed access to </w:t>
      </w:r>
      <w:r w:rsidRPr="003929FA">
        <w:rPr>
          <w:rFonts w:eastAsia="Cambria"/>
          <w:lang w:val="en-CA"/>
        </w:rPr>
        <w:t>health</w:t>
      </w:r>
      <w:r>
        <w:rPr>
          <w:rFonts w:eastAsia="Cambria"/>
          <w:lang w:val="en-CA"/>
        </w:rPr>
        <w:t xml:space="preserve"> </w:t>
      </w:r>
      <w:r w:rsidRPr="003929FA">
        <w:rPr>
          <w:rFonts w:eastAsia="Cambria"/>
          <w:lang w:val="en-CA"/>
        </w:rPr>
        <w:t>care.</w:t>
      </w:r>
      <w:r w:rsidR="00684A08" w:rsidRPr="00684A08">
        <w:rPr>
          <w:rStyle w:val="Heading4Char"/>
          <w:rFonts w:eastAsia="HelveticaNeue-Condensed;Arial U"/>
          <w:color w:val="000000"/>
        </w:rPr>
        <w:t xml:space="preserve"> </w:t>
      </w:r>
      <w:r w:rsidR="00684A08" w:rsidRPr="008447F2">
        <w:rPr>
          <w:rStyle w:val="FootnoteReference"/>
          <w:rFonts w:eastAsia="HelveticaNeue-Condensed;Arial U"/>
          <w:color w:val="000000"/>
        </w:rPr>
        <w:footnoteReference w:id="134"/>
      </w:r>
      <w:r w:rsidRPr="003929FA">
        <w:rPr>
          <w:rFonts w:eastAsia="Cambria"/>
          <w:lang w:val="en-CA"/>
        </w:rPr>
        <w:t xml:space="preserve"> This is particularly true for adolescents and marginalized women facing multiple and intersectional </w:t>
      </w:r>
      <w:r>
        <w:rPr>
          <w:rFonts w:eastAsia="Cambria"/>
          <w:lang w:val="en-CA"/>
        </w:rPr>
        <w:t>forms of discrimination</w:t>
      </w:r>
      <w:r w:rsidRPr="003929FA">
        <w:rPr>
          <w:rFonts w:eastAsia="Cambria"/>
          <w:lang w:val="en-CA"/>
        </w:rPr>
        <w:t>. Such restrictions are manifestations of censorship that limit women’s and girls’ choices</w:t>
      </w:r>
      <w:r w:rsidRPr="00C50799">
        <w:rPr>
          <w:rFonts w:eastAsia="Cambria"/>
          <w:lang w:val="en-CA"/>
        </w:rPr>
        <w:t xml:space="preserve">. </w:t>
      </w:r>
      <w:r w:rsidR="00765F9B">
        <w:rPr>
          <w:rStyle w:val="FootnoteReference"/>
          <w:rFonts w:eastAsia="Cambria"/>
          <w:lang w:val="en-CA"/>
        </w:rPr>
        <w:footnoteReference w:id="135"/>
      </w:r>
    </w:p>
    <w:p w:rsidR="00CA109F" w:rsidRPr="00C50799" w:rsidRDefault="00CA109F" w:rsidP="00CA109F">
      <w:pPr>
        <w:pStyle w:val="SingleTxtG"/>
        <w:rPr>
          <w:rFonts w:eastAsia="Cambria"/>
          <w:lang w:val="en-CA"/>
        </w:rPr>
      </w:pPr>
      <w:r>
        <w:rPr>
          <w:rFonts w:eastAsia="Cambria"/>
          <w:lang w:val="en-CA"/>
        </w:rPr>
        <w:t>96</w:t>
      </w:r>
      <w:r w:rsidRPr="00C50799">
        <w:rPr>
          <w:rFonts w:eastAsia="Cambria"/>
          <w:lang w:val="en-CA"/>
        </w:rPr>
        <w:t>.</w:t>
      </w:r>
      <w:r w:rsidRPr="00C50799">
        <w:rPr>
          <w:rFonts w:eastAsia="Cambria"/>
          <w:lang w:val="en-CA"/>
        </w:rPr>
        <w:tab/>
        <w:t>States have an obligation to provide education</w:t>
      </w:r>
      <w:r>
        <w:rPr>
          <w:rFonts w:eastAsia="Cambria"/>
          <w:lang w:val="en-CA"/>
        </w:rPr>
        <w:t>,</w:t>
      </w:r>
      <w:r w:rsidRPr="00C50799">
        <w:rPr>
          <w:rFonts w:eastAsia="Cambria"/>
          <w:lang w:val="en-CA"/>
        </w:rPr>
        <w:t xml:space="preserve"> one of </w:t>
      </w:r>
      <w:r>
        <w:rPr>
          <w:rFonts w:eastAsia="Cambria"/>
          <w:lang w:val="en-CA"/>
        </w:rPr>
        <w:t>whose</w:t>
      </w:r>
      <w:r w:rsidRPr="00C50799">
        <w:rPr>
          <w:rFonts w:eastAsia="Cambria"/>
          <w:lang w:val="en-CA"/>
        </w:rPr>
        <w:t xml:space="preserve"> aims is </w:t>
      </w:r>
      <w:r>
        <w:rPr>
          <w:rFonts w:eastAsia="Cambria"/>
          <w:lang w:val="en-CA"/>
        </w:rPr>
        <w:t xml:space="preserve">to </w:t>
      </w:r>
      <w:r w:rsidRPr="00C50799">
        <w:rPr>
          <w:rFonts w:eastAsia="Cambria"/>
          <w:lang w:val="en-CA"/>
        </w:rPr>
        <w:t>facilitate access to scientific and technical knowledge.</w:t>
      </w:r>
      <w:r w:rsidR="00684A08" w:rsidRPr="00684A08">
        <w:rPr>
          <w:rStyle w:val="Heading4Char"/>
        </w:rPr>
        <w:t xml:space="preserve"> </w:t>
      </w:r>
      <w:r w:rsidR="00684A08" w:rsidRPr="00676B33">
        <w:rPr>
          <w:rStyle w:val="FootnoteReference"/>
        </w:rPr>
        <w:footnoteReference w:id="136"/>
      </w:r>
      <w:r w:rsidRPr="00C50799">
        <w:rPr>
          <w:rFonts w:eastAsia="Cambria"/>
          <w:lang w:val="en-CA"/>
        </w:rPr>
        <w:t xml:space="preserve"> This is of crucial importance </w:t>
      </w:r>
      <w:r>
        <w:rPr>
          <w:rFonts w:eastAsia="Cambria"/>
          <w:lang w:val="en-CA"/>
        </w:rPr>
        <w:t>with respect to questions of</w:t>
      </w:r>
      <w:r w:rsidRPr="00C50799">
        <w:rPr>
          <w:rFonts w:eastAsia="Cambria"/>
          <w:lang w:val="en-CA"/>
        </w:rPr>
        <w:t xml:space="preserve"> sexuality, reproduction and health education. States have an obligation to allow information about health matters to flow freely, without </w:t>
      </w:r>
      <w:r>
        <w:rPr>
          <w:rFonts w:eastAsia="Cambria"/>
          <w:lang w:val="en-CA"/>
        </w:rPr>
        <w:t>S</w:t>
      </w:r>
      <w:r w:rsidRPr="00C50799">
        <w:rPr>
          <w:rFonts w:eastAsia="Cambria"/>
          <w:lang w:val="en-CA"/>
        </w:rPr>
        <w:t>tate interference on moral or other grounds. It also encompasses the possibility for non-</w:t>
      </w:r>
      <w:r>
        <w:rPr>
          <w:rFonts w:eastAsia="Cambria"/>
          <w:lang w:val="en-CA"/>
        </w:rPr>
        <w:t>S</w:t>
      </w:r>
      <w:r w:rsidRPr="00C50799">
        <w:rPr>
          <w:rFonts w:eastAsia="Cambria"/>
          <w:lang w:val="en-CA"/>
        </w:rPr>
        <w:t>tate actors to disseminate information, including in relation to sexuality and sexual an</w:t>
      </w:r>
      <w:r>
        <w:rPr>
          <w:rFonts w:eastAsia="Cambria"/>
          <w:lang w:val="en-CA"/>
        </w:rPr>
        <w:t>d</w:t>
      </w:r>
      <w:r w:rsidRPr="00C50799">
        <w:rPr>
          <w:rFonts w:eastAsia="Cambria"/>
          <w:lang w:val="en-CA"/>
        </w:rPr>
        <w:t xml:space="preserve"> reproductive health services. </w:t>
      </w:r>
      <w:r w:rsidRPr="00790FE4">
        <w:rPr>
          <w:rFonts w:eastAsia="Cambria"/>
          <w:lang w:val="en-CA"/>
        </w:rPr>
        <w:t xml:space="preserve">However, </w:t>
      </w:r>
      <w:r>
        <w:rPr>
          <w:rFonts w:eastAsia="Cambria"/>
          <w:lang w:val="en-CA"/>
        </w:rPr>
        <w:t>S</w:t>
      </w:r>
      <w:r w:rsidRPr="00790FE4">
        <w:rPr>
          <w:rFonts w:eastAsia="Cambria"/>
          <w:lang w:val="en-CA"/>
        </w:rPr>
        <w:t xml:space="preserve">tates also have an obligation to address </w:t>
      </w:r>
      <w:r>
        <w:rPr>
          <w:rFonts w:eastAsia="Cambria"/>
          <w:lang w:val="en-CA"/>
        </w:rPr>
        <w:t>and</w:t>
      </w:r>
      <w:r w:rsidRPr="00790FE4">
        <w:rPr>
          <w:rFonts w:eastAsia="Cambria"/>
          <w:lang w:val="en-CA"/>
        </w:rPr>
        <w:t xml:space="preserve"> eliminate harmful </w:t>
      </w:r>
      <w:r>
        <w:rPr>
          <w:rFonts w:eastAsia="Cambria"/>
          <w:lang w:val="en-CA"/>
        </w:rPr>
        <w:t xml:space="preserve">and wrongful </w:t>
      </w:r>
      <w:r w:rsidRPr="00790FE4">
        <w:rPr>
          <w:rFonts w:eastAsia="Cambria"/>
          <w:lang w:val="en-CA"/>
        </w:rPr>
        <w:t xml:space="preserve">gender stereotypes that contribute to the violation </w:t>
      </w:r>
      <w:r>
        <w:rPr>
          <w:rFonts w:eastAsia="Cambria"/>
          <w:lang w:val="en-CA"/>
        </w:rPr>
        <w:t>of women’s</w:t>
      </w:r>
      <w:r w:rsidRPr="00790FE4">
        <w:rPr>
          <w:rFonts w:eastAsia="Cambria"/>
          <w:lang w:val="en-CA"/>
        </w:rPr>
        <w:t xml:space="preserve"> right to health and safety</w:t>
      </w:r>
      <w:r w:rsidRPr="00C50799">
        <w:rPr>
          <w:rFonts w:eastAsia="Cambria"/>
          <w:lang w:val="en-CA"/>
        </w:rPr>
        <w:t>.</w:t>
      </w:r>
      <w:r w:rsidR="00684A08" w:rsidRPr="00684A08">
        <w:rPr>
          <w:rFonts w:eastAsia="Cambria"/>
          <w:szCs w:val="24"/>
          <w:vertAlign w:val="superscript"/>
          <w:lang w:val="en-US"/>
        </w:rPr>
        <w:t xml:space="preserve"> </w:t>
      </w:r>
      <w:r w:rsidR="00684A08" w:rsidRPr="00676B33">
        <w:rPr>
          <w:rFonts w:eastAsia="Cambria"/>
          <w:szCs w:val="24"/>
          <w:vertAlign w:val="superscript"/>
          <w:lang w:val="en-US"/>
        </w:rPr>
        <w:footnoteReference w:id="137"/>
      </w:r>
      <w:r w:rsidRPr="00C50799">
        <w:rPr>
          <w:rFonts w:eastAsia="Cambria"/>
          <w:lang w:val="en-CA"/>
        </w:rPr>
        <w:t xml:space="preserve"> </w:t>
      </w:r>
    </w:p>
    <w:p w:rsidR="00CA109F" w:rsidRDefault="00CA109F" w:rsidP="00CA109F">
      <w:pPr>
        <w:pStyle w:val="SingleTxtG"/>
      </w:pPr>
      <w:r>
        <w:rPr>
          <w:rFonts w:eastAsia="Cambria"/>
          <w:lang w:val="en-CA"/>
        </w:rPr>
        <w:t>97</w:t>
      </w:r>
      <w:r w:rsidRPr="00C50799">
        <w:rPr>
          <w:rFonts w:eastAsia="Cambria"/>
          <w:lang w:val="en-CA"/>
        </w:rPr>
        <w:t>.</w:t>
      </w:r>
      <w:r w:rsidRPr="00C50799">
        <w:rPr>
          <w:rFonts w:eastAsia="Cambria"/>
          <w:lang w:val="en-CA"/>
        </w:rPr>
        <w:tab/>
        <w:t xml:space="preserve">A growing number of </w:t>
      </w:r>
      <w:r>
        <w:rPr>
          <w:rFonts w:eastAsia="Cambria"/>
          <w:lang w:val="en-CA"/>
        </w:rPr>
        <w:t>States</w:t>
      </w:r>
      <w:r w:rsidRPr="00C50799">
        <w:rPr>
          <w:rFonts w:eastAsia="Cambria"/>
          <w:lang w:val="en-CA"/>
        </w:rPr>
        <w:t xml:space="preserve"> </w:t>
      </w:r>
      <w:r>
        <w:rPr>
          <w:rFonts w:eastAsia="Cambria"/>
          <w:lang w:val="en-CA"/>
        </w:rPr>
        <w:t>worldwide</w:t>
      </w:r>
      <w:r w:rsidRPr="00C50799">
        <w:rPr>
          <w:rFonts w:eastAsia="Cambria"/>
          <w:lang w:val="en-CA"/>
        </w:rPr>
        <w:t xml:space="preserve"> </w:t>
      </w:r>
      <w:r>
        <w:rPr>
          <w:rFonts w:eastAsia="Cambria"/>
          <w:lang w:val="en-CA"/>
        </w:rPr>
        <w:t>have confirmed</w:t>
      </w:r>
      <w:r w:rsidRPr="00C50799">
        <w:rPr>
          <w:rFonts w:eastAsia="Cambria"/>
          <w:lang w:val="en-CA"/>
        </w:rPr>
        <w:t xml:space="preserve"> their commitment to </w:t>
      </w:r>
      <w:r>
        <w:rPr>
          <w:rFonts w:eastAsia="Cambria"/>
          <w:lang w:val="en-CA"/>
        </w:rPr>
        <w:t xml:space="preserve">comprehensive </w:t>
      </w:r>
      <w:r w:rsidRPr="00C50799">
        <w:rPr>
          <w:rFonts w:eastAsia="Cambria"/>
          <w:lang w:val="en-CA"/>
        </w:rPr>
        <w:t>sexuality education as a</w:t>
      </w:r>
      <w:r>
        <w:rPr>
          <w:rFonts w:eastAsia="Cambria"/>
          <w:lang w:val="en-CA"/>
        </w:rPr>
        <w:t>n essential</w:t>
      </w:r>
      <w:r w:rsidRPr="00C50799">
        <w:rPr>
          <w:rFonts w:eastAsia="Cambria"/>
          <w:lang w:val="en-CA"/>
        </w:rPr>
        <w:t xml:space="preserve"> priority </w:t>
      </w:r>
      <w:r>
        <w:rPr>
          <w:rFonts w:eastAsia="Cambria"/>
          <w:lang w:val="en-CA"/>
        </w:rPr>
        <w:t>for</w:t>
      </w:r>
      <w:r w:rsidRPr="00C50799">
        <w:rPr>
          <w:rFonts w:eastAsia="Cambria"/>
          <w:lang w:val="en-CA"/>
        </w:rPr>
        <w:t xml:space="preserve"> achieving national developme</w:t>
      </w:r>
      <w:r w:rsidR="00890BB4">
        <w:rPr>
          <w:rFonts w:eastAsia="Cambria"/>
          <w:lang w:val="en-CA"/>
        </w:rPr>
        <w:t>nt, health and education goals.</w:t>
      </w:r>
      <w:r w:rsidR="00684A08" w:rsidRPr="00684A08">
        <w:rPr>
          <w:rStyle w:val="Heading4Char"/>
        </w:rPr>
        <w:t xml:space="preserve"> </w:t>
      </w:r>
      <w:r w:rsidR="00684A08" w:rsidRPr="00A20E7F">
        <w:rPr>
          <w:rStyle w:val="FootnoteReference"/>
        </w:rPr>
        <w:footnoteReference w:id="138"/>
      </w:r>
      <w:r w:rsidR="00684A08" w:rsidRPr="00A20E7F">
        <w:rPr>
          <w:rFonts w:eastAsia="Cambria"/>
          <w:lang w:val="en-CA"/>
        </w:rPr>
        <w:t xml:space="preserve"> </w:t>
      </w:r>
      <w:r>
        <w:rPr>
          <w:rFonts w:eastAsia="Cambria"/>
          <w:lang w:val="en-CA"/>
        </w:rPr>
        <w:t>In its resolution 70/137, the</w:t>
      </w:r>
      <w:r w:rsidRPr="00C50799">
        <w:rPr>
          <w:rFonts w:eastAsia="Cambria"/>
          <w:lang w:val="en-CA"/>
        </w:rPr>
        <w:t xml:space="preserve"> General Assembly </w:t>
      </w:r>
      <w:r>
        <w:rPr>
          <w:rFonts w:eastAsia="Cambria"/>
          <w:lang w:val="en-CA"/>
        </w:rPr>
        <w:t>called upon all</w:t>
      </w:r>
      <w:r w:rsidRPr="00C50799">
        <w:rPr>
          <w:rFonts w:eastAsia="Cambria"/>
          <w:lang w:val="en-CA"/>
        </w:rPr>
        <w:t xml:space="preserve"> States to develop and implement educational programmes and teaching materials, as well as teacher education and training programmes for both formal and non-formal education, including comprehensive evidence-based education on human sexuality, based on full and accurate information, for all adolescents and youth</w:t>
      </w:r>
      <w:r>
        <w:rPr>
          <w:rFonts w:eastAsia="Cambria"/>
          <w:lang w:val="en-CA"/>
        </w:rPr>
        <w:t>;</w:t>
      </w:r>
      <w:r w:rsidRPr="00C50799">
        <w:rPr>
          <w:rFonts w:eastAsia="Cambria"/>
          <w:lang w:val="en-CA"/>
        </w:rPr>
        <w:t xml:space="preserve"> to modify the social and cultural patterns of conduct of men and women of all ages</w:t>
      </w:r>
      <w:r>
        <w:rPr>
          <w:rFonts w:eastAsia="Cambria"/>
          <w:lang w:val="en-CA"/>
        </w:rPr>
        <w:t>;</w:t>
      </w:r>
      <w:r w:rsidRPr="00C50799">
        <w:rPr>
          <w:rFonts w:eastAsia="Cambria"/>
          <w:lang w:val="en-CA"/>
        </w:rPr>
        <w:t xml:space="preserve"> to eliminate prejudices</w:t>
      </w:r>
      <w:r>
        <w:rPr>
          <w:rFonts w:eastAsia="Cambria"/>
          <w:lang w:val="en-CA"/>
        </w:rPr>
        <w:t xml:space="preserve">; </w:t>
      </w:r>
      <w:r w:rsidRPr="00C50799">
        <w:rPr>
          <w:rFonts w:eastAsia="Cambria"/>
          <w:lang w:val="en-CA"/>
        </w:rPr>
        <w:t>and to promote and build decision-making, communication and risk reduction skills for the development of respectful relationships based on gender equality and human rights.</w:t>
      </w:r>
      <w:r w:rsidR="00684A08" w:rsidRPr="00684A08">
        <w:rPr>
          <w:rStyle w:val="Heading4Char"/>
          <w:rFonts w:eastAsia="Cambria"/>
          <w:lang w:val="en-CA"/>
        </w:rPr>
        <w:t xml:space="preserve"> </w:t>
      </w:r>
      <w:r w:rsidR="00684A08">
        <w:rPr>
          <w:rStyle w:val="FootnoteReference"/>
          <w:rFonts w:eastAsia="Cambria"/>
          <w:lang w:val="en-CA"/>
        </w:rPr>
        <w:footnoteReference w:id="139"/>
      </w:r>
      <w:r w:rsidR="00684A08" w:rsidRPr="00C50799">
        <w:t xml:space="preserve"> </w:t>
      </w:r>
      <w:r w:rsidRPr="00C50799">
        <w:t xml:space="preserve"> </w:t>
      </w:r>
    </w:p>
    <w:p w:rsidR="005F5C96" w:rsidRDefault="005F5C96" w:rsidP="00CA109F">
      <w:pPr>
        <w:pStyle w:val="SingleTxtG"/>
      </w:pPr>
    </w:p>
    <w:p w:rsidR="005F5C96" w:rsidRDefault="005F5C96" w:rsidP="00CA109F">
      <w:pPr>
        <w:pStyle w:val="SingleTxtG"/>
      </w:pPr>
    </w:p>
    <w:p w:rsidR="00CA109F" w:rsidRPr="003B22CF" w:rsidRDefault="00CA109F" w:rsidP="00CA109F">
      <w:pPr>
        <w:pStyle w:val="HChG"/>
        <w:rPr>
          <w:rFonts w:eastAsia="Cambria"/>
          <w:lang w:val="en-CA"/>
        </w:rPr>
      </w:pPr>
      <w:r>
        <w:rPr>
          <w:rFonts w:eastAsia="Cambria"/>
          <w:lang w:val="en-CA"/>
        </w:rPr>
        <w:lastRenderedPageBreak/>
        <w:tab/>
        <w:t>I</w:t>
      </w:r>
      <w:r w:rsidRPr="003B22CF">
        <w:rPr>
          <w:rFonts w:eastAsia="Cambria"/>
          <w:lang w:val="en-CA"/>
        </w:rPr>
        <w:t>V.</w:t>
      </w:r>
      <w:r w:rsidRPr="003B22CF">
        <w:rPr>
          <w:rFonts w:eastAsia="Cambria"/>
          <w:lang w:val="en-CA"/>
        </w:rPr>
        <w:tab/>
        <w:t>Conclusions and recommendations</w:t>
      </w:r>
    </w:p>
    <w:p w:rsidR="00CA109F" w:rsidRPr="00FD3ADB" w:rsidRDefault="00CA109F" w:rsidP="00CA109F">
      <w:pPr>
        <w:pStyle w:val="SingleTxtG"/>
        <w:rPr>
          <w:rFonts w:eastAsia="Cambria"/>
          <w:b/>
          <w:lang w:val="en-CA"/>
        </w:rPr>
      </w:pPr>
      <w:r w:rsidRPr="009243E9">
        <w:rPr>
          <w:rFonts w:eastAsia="Cambria"/>
          <w:bCs/>
          <w:lang w:val="en-CA"/>
        </w:rPr>
        <w:t>98.</w:t>
      </w:r>
      <w:r w:rsidRPr="00AE4C11">
        <w:rPr>
          <w:rFonts w:eastAsia="Cambria"/>
          <w:b/>
          <w:lang w:val="en-CA"/>
        </w:rPr>
        <w:tab/>
      </w:r>
      <w:r>
        <w:rPr>
          <w:rFonts w:eastAsia="Cambria"/>
          <w:b/>
          <w:lang w:val="en-CA"/>
        </w:rPr>
        <w:t>In the context of</w:t>
      </w:r>
      <w:r w:rsidRPr="00FD3ADB">
        <w:rPr>
          <w:rFonts w:eastAsia="Cambria"/>
          <w:b/>
          <w:lang w:val="en-CA"/>
        </w:rPr>
        <w:t xml:space="preserve"> women’s and girls’ health and safety</w:t>
      </w:r>
      <w:r>
        <w:rPr>
          <w:rFonts w:eastAsia="Cambria"/>
          <w:b/>
          <w:lang w:val="en-CA"/>
        </w:rPr>
        <w:t xml:space="preserve">, </w:t>
      </w:r>
      <w:r w:rsidRPr="00FD3ADB">
        <w:rPr>
          <w:rFonts w:eastAsia="Cambria"/>
          <w:b/>
          <w:lang w:val="en-CA"/>
        </w:rPr>
        <w:t xml:space="preserve">equality </w:t>
      </w:r>
      <w:r>
        <w:rPr>
          <w:rFonts w:eastAsia="Cambria"/>
          <w:b/>
          <w:lang w:val="en-CA"/>
        </w:rPr>
        <w:t>means</w:t>
      </w:r>
      <w:r w:rsidRPr="00FD3ADB">
        <w:rPr>
          <w:rFonts w:eastAsia="Cambria"/>
          <w:b/>
          <w:lang w:val="en-CA"/>
        </w:rPr>
        <w:t xml:space="preserve"> the provision of differential services, treatment and medicines in accordance with their specific biological needs, throughout their life cycle. In many countries there is discriminatory exclusion and neglect </w:t>
      </w:r>
      <w:r>
        <w:rPr>
          <w:rFonts w:eastAsia="Cambria"/>
          <w:b/>
          <w:lang w:val="en-CA"/>
        </w:rPr>
        <w:t xml:space="preserve">of women </w:t>
      </w:r>
      <w:r w:rsidRPr="00FD3ADB">
        <w:rPr>
          <w:rFonts w:eastAsia="Cambria"/>
          <w:b/>
          <w:lang w:val="en-CA"/>
        </w:rPr>
        <w:t xml:space="preserve">in providing the highest attainable standard of health for women. Discrimination is particularly evident regarding women’s right to reproductive and sexual health. It is exacerbated in the case of women </w:t>
      </w:r>
      <w:r>
        <w:rPr>
          <w:rFonts w:eastAsia="Cambria"/>
          <w:b/>
          <w:lang w:val="en-CA"/>
        </w:rPr>
        <w:t>members of</w:t>
      </w:r>
      <w:r w:rsidRPr="00FD3ADB">
        <w:rPr>
          <w:rFonts w:eastAsia="Cambria"/>
          <w:b/>
          <w:lang w:val="en-CA"/>
        </w:rPr>
        <w:t xml:space="preserve"> marginali</w:t>
      </w:r>
      <w:r>
        <w:rPr>
          <w:rFonts w:eastAsia="Cambria"/>
          <w:b/>
          <w:lang w:val="en-CA"/>
        </w:rPr>
        <w:t>z</w:t>
      </w:r>
      <w:r w:rsidRPr="00FD3ADB">
        <w:rPr>
          <w:rFonts w:eastAsia="Cambria"/>
          <w:b/>
          <w:lang w:val="en-CA"/>
        </w:rPr>
        <w:t xml:space="preserve">ed groups. Discrimination against women and girls </w:t>
      </w:r>
      <w:r>
        <w:rPr>
          <w:rFonts w:eastAsia="Cambria"/>
          <w:b/>
          <w:lang w:val="en-CA"/>
        </w:rPr>
        <w:t>leading to</w:t>
      </w:r>
      <w:r w:rsidRPr="00FD3ADB">
        <w:rPr>
          <w:rFonts w:eastAsia="Cambria"/>
          <w:b/>
          <w:lang w:val="en-CA"/>
        </w:rPr>
        <w:t xml:space="preserve"> the violation of their right to health and safety denies their right to human dignity.</w:t>
      </w:r>
    </w:p>
    <w:p w:rsidR="00CA109F" w:rsidRPr="00FD3ADB" w:rsidRDefault="00CA109F" w:rsidP="00CA109F">
      <w:pPr>
        <w:pStyle w:val="SingleTxtG"/>
        <w:rPr>
          <w:rFonts w:eastAsia="Cambria"/>
          <w:b/>
          <w:lang w:val="en-CA"/>
        </w:rPr>
      </w:pPr>
      <w:r w:rsidRPr="009243E9">
        <w:rPr>
          <w:rFonts w:eastAsia="Cambria"/>
          <w:bCs/>
          <w:lang w:val="en-CA"/>
        </w:rPr>
        <w:t>99.</w:t>
      </w:r>
      <w:r w:rsidRPr="009F244A">
        <w:rPr>
          <w:rFonts w:eastAsia="Cambria"/>
          <w:b/>
          <w:lang w:val="en-CA"/>
        </w:rPr>
        <w:tab/>
      </w:r>
      <w:r w:rsidRPr="00FD3ADB">
        <w:rPr>
          <w:rFonts w:eastAsia="Cambria"/>
          <w:b/>
          <w:lang w:val="en-CA"/>
        </w:rPr>
        <w:t>The Working Group found that instrumentalization and politicization of women’s biological functions in many countries subjects legislation and policies regarding women’s and girls’ health and safety to patriarchal agendas</w:t>
      </w:r>
      <w:r>
        <w:rPr>
          <w:rFonts w:eastAsia="Cambria"/>
          <w:b/>
          <w:lang w:val="en-CA"/>
        </w:rPr>
        <w:t>,</w:t>
      </w:r>
      <w:r w:rsidRPr="00FD3ADB">
        <w:rPr>
          <w:rFonts w:eastAsia="Cambria"/>
          <w:b/>
          <w:lang w:val="en-CA"/>
        </w:rPr>
        <w:t xml:space="preserve"> especially regarding reproductive and sexual health and mental health. </w:t>
      </w:r>
      <w:r>
        <w:rPr>
          <w:rFonts w:eastAsia="Cambria"/>
          <w:b/>
          <w:lang w:val="en-CA"/>
        </w:rPr>
        <w:t>The Working Group found m</w:t>
      </w:r>
      <w:r w:rsidRPr="00FD3ADB">
        <w:rPr>
          <w:rFonts w:eastAsia="Cambria"/>
          <w:b/>
          <w:lang w:val="en-CA"/>
        </w:rPr>
        <w:t>anifestations in all regions of instrumentalization, taboos</w:t>
      </w:r>
      <w:r>
        <w:rPr>
          <w:rFonts w:eastAsia="Cambria"/>
          <w:b/>
          <w:lang w:val="en-CA"/>
        </w:rPr>
        <w:t xml:space="preserve"> regarding menstruation and breastfeeding</w:t>
      </w:r>
      <w:r w:rsidRPr="00FD3ADB">
        <w:rPr>
          <w:rFonts w:eastAsia="Cambria"/>
          <w:b/>
          <w:lang w:val="en-CA"/>
        </w:rPr>
        <w:t xml:space="preserve"> and stereotypes </w:t>
      </w:r>
      <w:r>
        <w:rPr>
          <w:rFonts w:eastAsia="Cambria"/>
          <w:b/>
          <w:lang w:val="en-CA"/>
        </w:rPr>
        <w:t xml:space="preserve">which </w:t>
      </w:r>
      <w:r w:rsidRPr="00FD3ADB">
        <w:rPr>
          <w:rFonts w:eastAsia="Cambria"/>
          <w:b/>
          <w:lang w:val="en-CA"/>
        </w:rPr>
        <w:t xml:space="preserve">result in harmful practices such as </w:t>
      </w:r>
      <w:r>
        <w:rPr>
          <w:rFonts w:eastAsia="Cambria"/>
          <w:b/>
          <w:lang w:val="en-CA"/>
        </w:rPr>
        <w:t>female genital mutilation</w:t>
      </w:r>
      <w:r w:rsidRPr="00FD3ADB">
        <w:rPr>
          <w:rFonts w:eastAsia="Cambria"/>
          <w:b/>
          <w:lang w:val="en-CA"/>
        </w:rPr>
        <w:t xml:space="preserve"> or </w:t>
      </w:r>
      <w:r>
        <w:rPr>
          <w:rFonts w:eastAsia="Cambria"/>
          <w:b/>
          <w:lang w:val="en-CA"/>
        </w:rPr>
        <w:t xml:space="preserve">which have a </w:t>
      </w:r>
      <w:r w:rsidRPr="00FD3ADB">
        <w:rPr>
          <w:rFonts w:eastAsia="Cambria"/>
          <w:b/>
          <w:lang w:val="en-CA"/>
        </w:rPr>
        <w:t xml:space="preserve">negative impact </w:t>
      </w:r>
      <w:r>
        <w:rPr>
          <w:rFonts w:eastAsia="Cambria"/>
          <w:b/>
          <w:lang w:val="en-CA"/>
        </w:rPr>
        <w:t>on women’s</w:t>
      </w:r>
      <w:r w:rsidRPr="00FD3ADB">
        <w:rPr>
          <w:rFonts w:eastAsia="Cambria"/>
          <w:b/>
          <w:lang w:val="en-CA"/>
        </w:rPr>
        <w:t xml:space="preserve"> body image, lead</w:t>
      </w:r>
      <w:r>
        <w:rPr>
          <w:rFonts w:eastAsia="Cambria"/>
          <w:b/>
          <w:lang w:val="en-CA"/>
        </w:rPr>
        <w:t>ing</w:t>
      </w:r>
      <w:r w:rsidRPr="00FD3ADB">
        <w:rPr>
          <w:rFonts w:eastAsia="Cambria"/>
          <w:b/>
          <w:lang w:val="en-CA"/>
        </w:rPr>
        <w:t xml:space="preserve"> to </w:t>
      </w:r>
      <w:r>
        <w:rPr>
          <w:rFonts w:eastAsia="Cambria"/>
          <w:b/>
          <w:lang w:val="en-CA"/>
        </w:rPr>
        <w:t xml:space="preserve">their seeking invasive </w:t>
      </w:r>
      <w:r w:rsidRPr="00FD3ADB">
        <w:rPr>
          <w:rFonts w:eastAsia="Cambria"/>
          <w:b/>
          <w:lang w:val="en-CA"/>
        </w:rPr>
        <w:t xml:space="preserve">cosmetic procedures. </w:t>
      </w:r>
    </w:p>
    <w:p w:rsidR="00CA109F" w:rsidRPr="00FD3ADB" w:rsidRDefault="00CA109F" w:rsidP="00CA109F">
      <w:pPr>
        <w:pStyle w:val="SingleTxtG"/>
        <w:rPr>
          <w:rFonts w:eastAsia="Cambria"/>
          <w:b/>
          <w:lang w:val="en-CA"/>
        </w:rPr>
      </w:pPr>
      <w:r w:rsidRPr="009243E9">
        <w:rPr>
          <w:rFonts w:eastAsia="Cambria"/>
          <w:bCs/>
          <w:lang w:val="en-CA"/>
        </w:rPr>
        <w:t>100.</w:t>
      </w:r>
      <w:r w:rsidRPr="00FD3ADB">
        <w:rPr>
          <w:rFonts w:eastAsia="Cambria"/>
          <w:b/>
          <w:lang w:val="en-CA"/>
        </w:rPr>
        <w:tab/>
        <w:t xml:space="preserve">Women’s access to health services in many countries is not autonomous, affordable and effective, </w:t>
      </w:r>
      <w:r>
        <w:rPr>
          <w:rFonts w:eastAsia="Cambria"/>
          <w:b/>
          <w:lang w:val="en-CA"/>
        </w:rPr>
        <w:t xml:space="preserve">elements which are </w:t>
      </w:r>
      <w:r w:rsidRPr="00FD3ADB">
        <w:rPr>
          <w:rFonts w:eastAsia="Cambria"/>
          <w:b/>
          <w:lang w:val="en-CA"/>
        </w:rPr>
        <w:t xml:space="preserve">essential for States to respect, protect and fulfil women’s and girls’ rights to life, health, privacy, equality and human dignity. A major barrier is lack of affordability as a result of exclusion from insurance </w:t>
      </w:r>
      <w:r>
        <w:rPr>
          <w:rFonts w:eastAsia="Cambria"/>
          <w:b/>
          <w:lang w:val="en-CA"/>
        </w:rPr>
        <w:t>for</w:t>
      </w:r>
      <w:r w:rsidRPr="00FD3ADB">
        <w:rPr>
          <w:rFonts w:eastAsia="Cambria"/>
          <w:b/>
          <w:lang w:val="en-CA"/>
        </w:rPr>
        <w:t xml:space="preserve"> treatments specifically needed by women and girls or exclusion of groups of women such as migrants. Non-affordability severely discriminates against women living in poverty. Barriers also include restrictive legislative requirements, biased and stigmatized provision of services and conscientious objection to providing services. </w:t>
      </w:r>
    </w:p>
    <w:p w:rsidR="00CA109F" w:rsidRPr="00FD3ADB" w:rsidRDefault="00CA109F" w:rsidP="00CA109F">
      <w:pPr>
        <w:pStyle w:val="SingleTxtG"/>
        <w:rPr>
          <w:rFonts w:eastAsia="Cambria"/>
          <w:b/>
          <w:lang w:val="en-CA"/>
        </w:rPr>
      </w:pPr>
      <w:r w:rsidRPr="009243E9">
        <w:rPr>
          <w:rFonts w:eastAsia="Cambria"/>
          <w:bCs/>
          <w:lang w:val="en-CA"/>
        </w:rPr>
        <w:t>101.</w:t>
      </w:r>
      <w:r w:rsidRPr="009F244A">
        <w:rPr>
          <w:rFonts w:eastAsia="Cambria"/>
          <w:b/>
          <w:lang w:val="en-CA"/>
        </w:rPr>
        <w:tab/>
      </w:r>
      <w:r w:rsidRPr="00FD3ADB">
        <w:rPr>
          <w:rFonts w:eastAsia="Cambria"/>
          <w:b/>
          <w:lang w:val="en-CA"/>
        </w:rPr>
        <w:t xml:space="preserve">Health services are provided by various actors, </w:t>
      </w:r>
      <w:r>
        <w:rPr>
          <w:rFonts w:eastAsia="Cambria"/>
          <w:b/>
          <w:lang w:val="en-CA"/>
        </w:rPr>
        <w:t>S</w:t>
      </w:r>
      <w:r w:rsidRPr="00FD3ADB">
        <w:rPr>
          <w:rFonts w:eastAsia="Cambria"/>
          <w:b/>
          <w:lang w:val="en-CA"/>
        </w:rPr>
        <w:t>tate and non-</w:t>
      </w:r>
      <w:r>
        <w:rPr>
          <w:rFonts w:eastAsia="Cambria"/>
          <w:b/>
          <w:lang w:val="en-CA"/>
        </w:rPr>
        <w:t>S</w:t>
      </w:r>
      <w:r w:rsidRPr="00FD3ADB">
        <w:rPr>
          <w:rFonts w:eastAsia="Cambria"/>
          <w:b/>
          <w:lang w:val="en-CA"/>
        </w:rPr>
        <w:t xml:space="preserve">tate. All actors have some form of responsibility for providing equal access for women to the highest attainable standard of health, including </w:t>
      </w:r>
      <w:r>
        <w:rPr>
          <w:rFonts w:eastAsia="Cambria"/>
          <w:b/>
          <w:lang w:val="en-CA"/>
        </w:rPr>
        <w:t>with</w:t>
      </w:r>
      <w:r w:rsidRPr="00FD3ADB">
        <w:rPr>
          <w:rFonts w:eastAsia="Cambria"/>
          <w:b/>
          <w:lang w:val="en-CA"/>
        </w:rPr>
        <w:t xml:space="preserve"> regard</w:t>
      </w:r>
      <w:r>
        <w:rPr>
          <w:rFonts w:eastAsia="Cambria"/>
          <w:b/>
          <w:lang w:val="en-CA"/>
        </w:rPr>
        <w:t xml:space="preserve"> to</w:t>
      </w:r>
      <w:r w:rsidRPr="00FD3ADB">
        <w:rPr>
          <w:rFonts w:eastAsia="Cambria"/>
          <w:b/>
          <w:lang w:val="en-CA"/>
        </w:rPr>
        <w:t xml:space="preserve"> their reproductive and sexual health. The State has a due diligence obligation to ensure that private actors do not discriminate against women.</w:t>
      </w:r>
    </w:p>
    <w:p w:rsidR="00CA109F" w:rsidRPr="00FD3ADB" w:rsidRDefault="00CA109F" w:rsidP="00CA109F">
      <w:pPr>
        <w:pStyle w:val="SingleTxtG"/>
        <w:rPr>
          <w:rFonts w:eastAsia="Cambria"/>
          <w:b/>
          <w:lang w:val="en-CA"/>
        </w:rPr>
      </w:pPr>
      <w:r w:rsidRPr="009243E9">
        <w:rPr>
          <w:rFonts w:eastAsia="Cambria"/>
          <w:bCs/>
          <w:lang w:val="en-CA"/>
        </w:rPr>
        <w:t>102.</w:t>
      </w:r>
      <w:r w:rsidRPr="00176FA0">
        <w:rPr>
          <w:rFonts w:eastAsia="Cambria"/>
          <w:lang w:val="en-CA"/>
        </w:rPr>
        <w:tab/>
      </w:r>
      <w:r w:rsidRPr="00FD3ADB">
        <w:rPr>
          <w:rFonts w:eastAsia="Cambria"/>
          <w:b/>
          <w:lang w:val="en-CA"/>
        </w:rPr>
        <w:t xml:space="preserve">The result of the various forms of discrimination against women in the provision of health services is </w:t>
      </w:r>
      <w:r>
        <w:rPr>
          <w:rFonts w:eastAsia="Cambria"/>
          <w:b/>
          <w:lang w:val="en-CA"/>
        </w:rPr>
        <w:t>the</w:t>
      </w:r>
      <w:r w:rsidRPr="00FD3ADB">
        <w:rPr>
          <w:rFonts w:eastAsia="Cambria"/>
          <w:b/>
          <w:lang w:val="en-CA"/>
        </w:rPr>
        <w:t xml:space="preserve"> costly and tragic phenomenon of women’s preventable ill</w:t>
      </w:r>
      <w:r>
        <w:rPr>
          <w:rFonts w:eastAsia="Cambria"/>
          <w:b/>
          <w:lang w:val="en-CA"/>
        </w:rPr>
        <w:t xml:space="preserve"> </w:t>
      </w:r>
      <w:r w:rsidRPr="00FD3ADB">
        <w:rPr>
          <w:rFonts w:eastAsia="Cambria"/>
          <w:b/>
          <w:lang w:val="en-CA"/>
        </w:rPr>
        <w:t xml:space="preserve">health. </w:t>
      </w:r>
    </w:p>
    <w:p w:rsidR="00CA109F" w:rsidRPr="00FD3ADB" w:rsidRDefault="00CA109F" w:rsidP="00CA109F">
      <w:pPr>
        <w:pStyle w:val="H1G"/>
        <w:rPr>
          <w:rFonts w:eastAsia="Cambria"/>
          <w:lang w:val="en-CA"/>
        </w:rPr>
      </w:pPr>
      <w:r w:rsidRPr="00FD3ADB">
        <w:rPr>
          <w:rFonts w:eastAsia="Cambria"/>
          <w:lang w:val="en-CA"/>
        </w:rPr>
        <w:tab/>
        <w:t>A.</w:t>
      </w:r>
      <w:r w:rsidRPr="00FD3ADB">
        <w:rPr>
          <w:rFonts w:eastAsia="Cambria"/>
          <w:lang w:val="en-CA"/>
        </w:rPr>
        <w:tab/>
        <w:t>General recommendations</w:t>
      </w:r>
    </w:p>
    <w:p w:rsidR="00CA109F" w:rsidRPr="00FD3ADB" w:rsidRDefault="00CA109F" w:rsidP="00CA109F">
      <w:pPr>
        <w:pStyle w:val="SingleTxtG"/>
        <w:rPr>
          <w:rFonts w:eastAsia="Cambria"/>
          <w:b/>
          <w:lang w:val="en-CA"/>
        </w:rPr>
      </w:pPr>
      <w:r w:rsidRPr="009243E9">
        <w:rPr>
          <w:rFonts w:eastAsia="Cambria"/>
          <w:bCs/>
          <w:lang w:val="en-CA"/>
        </w:rPr>
        <w:t>103.</w:t>
      </w:r>
      <w:r w:rsidRPr="00FD3ADB">
        <w:rPr>
          <w:rFonts w:eastAsia="Cambria"/>
          <w:b/>
          <w:lang w:val="en-CA"/>
        </w:rPr>
        <w:tab/>
        <w:t xml:space="preserve">The Working Group calls upon the Human Rights Council to urge States to take all necessary measures to respect, protect and fulfil women’s right to the enjoyment of the highest attainable standards of health worldwide, including regarding their reproductive and sexual health, and to dedicate priority attention </w:t>
      </w:r>
      <w:r>
        <w:rPr>
          <w:rFonts w:eastAsia="Cambria"/>
          <w:b/>
          <w:lang w:val="en-CA"/>
        </w:rPr>
        <w:t>to</w:t>
      </w:r>
      <w:r w:rsidRPr="00FD3ADB">
        <w:rPr>
          <w:rFonts w:eastAsia="Cambria"/>
          <w:b/>
          <w:lang w:val="en-CA"/>
        </w:rPr>
        <w:t xml:space="preserve"> a thorough stocktaking, including by convening </w:t>
      </w:r>
      <w:r>
        <w:rPr>
          <w:rFonts w:eastAsia="Cambria"/>
          <w:b/>
          <w:lang w:val="en-CA"/>
        </w:rPr>
        <w:t xml:space="preserve">an appropriate forum </w:t>
      </w:r>
      <w:r w:rsidRPr="00FD3ADB">
        <w:rPr>
          <w:rFonts w:eastAsia="Cambria"/>
          <w:b/>
          <w:lang w:val="en-CA"/>
        </w:rPr>
        <w:t xml:space="preserve">to </w:t>
      </w:r>
      <w:r>
        <w:rPr>
          <w:rFonts w:eastAsia="Cambria"/>
          <w:b/>
          <w:lang w:val="en-CA"/>
        </w:rPr>
        <w:t>tackle</w:t>
      </w:r>
      <w:r w:rsidRPr="00FD3ADB">
        <w:rPr>
          <w:rFonts w:eastAsia="Cambria"/>
          <w:b/>
          <w:lang w:val="en-CA"/>
        </w:rPr>
        <w:t xml:space="preserve"> this crucial issue. </w:t>
      </w:r>
    </w:p>
    <w:p w:rsidR="00CA109F" w:rsidRPr="00FD3ADB" w:rsidRDefault="00CA109F" w:rsidP="008752EF">
      <w:pPr>
        <w:pStyle w:val="SingleTxtG"/>
        <w:rPr>
          <w:rFonts w:eastAsia="Cambria"/>
          <w:b/>
          <w:lang w:val="en-CA"/>
        </w:rPr>
      </w:pPr>
      <w:r w:rsidRPr="009243E9">
        <w:rPr>
          <w:rFonts w:eastAsia="Cambria"/>
          <w:bCs/>
          <w:lang w:val="en-CA"/>
        </w:rPr>
        <w:t>104.</w:t>
      </w:r>
      <w:r w:rsidRPr="00176FA0">
        <w:rPr>
          <w:rFonts w:eastAsia="Cambria"/>
          <w:lang w:val="en-CA"/>
        </w:rPr>
        <w:tab/>
      </w:r>
      <w:r w:rsidRPr="00FD3ADB">
        <w:rPr>
          <w:rFonts w:eastAsia="Cambria"/>
          <w:b/>
          <w:lang w:val="en-CA"/>
        </w:rPr>
        <w:t xml:space="preserve">The Working Group calls upon all Member States to reaffirm and respect the commitments they made in Beijing and in Cairo and in the Sustainable Development Goals </w:t>
      </w:r>
      <w:r>
        <w:rPr>
          <w:rFonts w:eastAsia="Cambria"/>
          <w:b/>
          <w:lang w:val="en-CA"/>
        </w:rPr>
        <w:t xml:space="preserve">to </w:t>
      </w:r>
      <w:r w:rsidRPr="00FD3ADB">
        <w:rPr>
          <w:rFonts w:eastAsia="Cambria"/>
          <w:b/>
          <w:lang w:val="en-CA"/>
        </w:rPr>
        <w:t xml:space="preserve">implement the comprehensive provisions concerning women’s health in the agreements </w:t>
      </w:r>
      <w:r>
        <w:rPr>
          <w:rFonts w:eastAsia="Cambria"/>
          <w:b/>
          <w:lang w:val="en-CA"/>
        </w:rPr>
        <w:t xml:space="preserve">they adopted </w:t>
      </w:r>
      <w:r w:rsidRPr="00FD3ADB">
        <w:rPr>
          <w:rFonts w:eastAsia="Cambria"/>
          <w:b/>
          <w:lang w:val="en-CA"/>
        </w:rPr>
        <w:t xml:space="preserve">and </w:t>
      </w:r>
      <w:r>
        <w:rPr>
          <w:rFonts w:eastAsia="Cambria"/>
          <w:b/>
          <w:lang w:val="en-CA"/>
        </w:rPr>
        <w:t xml:space="preserve">to </w:t>
      </w:r>
      <w:r w:rsidRPr="00FD3ADB">
        <w:rPr>
          <w:rFonts w:eastAsia="Cambria"/>
          <w:b/>
          <w:lang w:val="en-CA"/>
        </w:rPr>
        <w:t>develop national law</w:t>
      </w:r>
      <w:r>
        <w:rPr>
          <w:rFonts w:eastAsia="Cambria"/>
          <w:b/>
          <w:lang w:val="en-CA"/>
        </w:rPr>
        <w:t>s</w:t>
      </w:r>
      <w:r w:rsidRPr="00FD3ADB">
        <w:rPr>
          <w:rFonts w:eastAsia="Cambria"/>
          <w:b/>
          <w:lang w:val="en-CA"/>
        </w:rPr>
        <w:t>, policies and programmes within the framework of international human rights standards.</w:t>
      </w:r>
    </w:p>
    <w:p w:rsidR="00CA109F" w:rsidRPr="00FD3ADB" w:rsidRDefault="00CA109F" w:rsidP="00CA109F">
      <w:pPr>
        <w:pStyle w:val="H1G"/>
        <w:rPr>
          <w:rFonts w:eastAsia="Cambria"/>
          <w:lang w:val="en-CA"/>
        </w:rPr>
      </w:pPr>
      <w:r w:rsidRPr="00FD3ADB">
        <w:rPr>
          <w:rFonts w:eastAsia="Cambria"/>
          <w:lang w:val="en-CA"/>
        </w:rPr>
        <w:lastRenderedPageBreak/>
        <w:tab/>
        <w:t>B.</w:t>
      </w:r>
      <w:r w:rsidRPr="00FD3ADB">
        <w:rPr>
          <w:rFonts w:eastAsia="Cambria"/>
          <w:lang w:val="en-CA"/>
        </w:rPr>
        <w:tab/>
        <w:t>Equality and non-discrimination</w:t>
      </w:r>
    </w:p>
    <w:p w:rsidR="00CA109F" w:rsidRDefault="00CA109F" w:rsidP="00CA109F">
      <w:pPr>
        <w:pStyle w:val="SingleTxtG"/>
        <w:rPr>
          <w:rFonts w:eastAsia="Cambria"/>
          <w:b/>
          <w:lang w:val="en-CA"/>
        </w:rPr>
      </w:pPr>
      <w:r w:rsidRPr="009243E9">
        <w:rPr>
          <w:rFonts w:eastAsia="Cambria"/>
          <w:bCs/>
          <w:lang w:val="en-CA"/>
        </w:rPr>
        <w:t>105.</w:t>
      </w:r>
      <w:r w:rsidRPr="009243E9">
        <w:rPr>
          <w:rFonts w:eastAsia="Cambria"/>
          <w:bCs/>
          <w:lang w:val="en-CA"/>
        </w:rPr>
        <w:tab/>
      </w:r>
      <w:r w:rsidRPr="003B5ED3">
        <w:rPr>
          <w:rFonts w:eastAsia="Cambria"/>
          <w:b/>
          <w:lang w:val="en-CA"/>
        </w:rPr>
        <w:t xml:space="preserve">The Working Group recommends </w:t>
      </w:r>
      <w:r>
        <w:rPr>
          <w:rFonts w:eastAsia="Cambria"/>
          <w:b/>
          <w:lang w:val="en-CA"/>
        </w:rPr>
        <w:t xml:space="preserve">that </w:t>
      </w:r>
      <w:r w:rsidRPr="003B5ED3">
        <w:rPr>
          <w:rFonts w:eastAsia="Cambria"/>
          <w:b/>
          <w:lang w:val="en-CA"/>
        </w:rPr>
        <w:t>States:</w:t>
      </w:r>
    </w:p>
    <w:p w:rsidR="00CA109F" w:rsidRPr="00FD3ADB" w:rsidRDefault="00CA109F" w:rsidP="00CA109F">
      <w:pPr>
        <w:pStyle w:val="SingleTxtG"/>
        <w:rPr>
          <w:rFonts w:eastAsia="Cambria"/>
          <w:b/>
          <w:lang w:val="en-CA"/>
        </w:rPr>
      </w:pPr>
      <w:r>
        <w:rPr>
          <w:rFonts w:eastAsia="Cambria"/>
          <w:lang w:val="en-CA"/>
        </w:rPr>
        <w:tab/>
      </w:r>
      <w:r w:rsidRPr="009243E9">
        <w:rPr>
          <w:rFonts w:eastAsia="Cambria"/>
          <w:bCs/>
          <w:lang w:val="en-CA"/>
        </w:rPr>
        <w:t>(a)</w:t>
      </w:r>
      <w:r>
        <w:rPr>
          <w:rFonts w:eastAsia="Cambria"/>
          <w:lang w:val="en-CA"/>
        </w:rPr>
        <w:tab/>
      </w:r>
      <w:r w:rsidRPr="00FD3ADB">
        <w:rPr>
          <w:rFonts w:eastAsia="Cambria"/>
          <w:b/>
          <w:lang w:val="en-CA"/>
        </w:rPr>
        <w:t>Apply human rights standards and principles of equality,</w:t>
      </w:r>
      <w:r>
        <w:rPr>
          <w:rFonts w:eastAsia="Cambria"/>
          <w:b/>
          <w:lang w:val="en-CA"/>
        </w:rPr>
        <w:t xml:space="preserve"> </w:t>
      </w:r>
      <w:r w:rsidRPr="00FD3ADB">
        <w:rPr>
          <w:rFonts w:eastAsia="Cambria"/>
          <w:b/>
          <w:lang w:val="en-CA"/>
        </w:rPr>
        <w:t>non-discrimination and empowerment of women as the framework for all interventions regarding women’s health and safety</w:t>
      </w:r>
      <w:r>
        <w:rPr>
          <w:rFonts w:eastAsia="Cambria"/>
          <w:b/>
          <w:lang w:val="en-CA"/>
        </w:rPr>
        <w:t>;</w:t>
      </w:r>
    </w:p>
    <w:p w:rsidR="00CA109F" w:rsidRPr="00FD3ADB" w:rsidRDefault="00CA109F" w:rsidP="00CA109F">
      <w:pPr>
        <w:pStyle w:val="SingleTxtG"/>
        <w:rPr>
          <w:rFonts w:eastAsia="Cambria"/>
          <w:b/>
          <w:lang w:val="en-CA"/>
        </w:rPr>
      </w:pPr>
      <w:r w:rsidRPr="009243E9">
        <w:rPr>
          <w:rFonts w:eastAsia="Cambria"/>
          <w:bCs/>
          <w:lang w:val="en-CA"/>
        </w:rPr>
        <w:tab/>
        <w:t>(b)</w:t>
      </w:r>
      <w:r>
        <w:rPr>
          <w:rFonts w:eastAsia="Cambria"/>
          <w:b/>
          <w:lang w:val="en-CA"/>
        </w:rPr>
        <w:tab/>
      </w:r>
      <w:r w:rsidRPr="00FD3ADB">
        <w:rPr>
          <w:rFonts w:eastAsia="Cambria"/>
          <w:b/>
          <w:lang w:val="en-CA"/>
        </w:rPr>
        <w:t>Be guided by an understanding of women’s right to equality</w:t>
      </w:r>
      <w:r>
        <w:rPr>
          <w:rFonts w:eastAsia="Cambria"/>
          <w:b/>
          <w:lang w:val="en-CA"/>
        </w:rPr>
        <w:t>,</w:t>
      </w:r>
      <w:r w:rsidRPr="00FD3ADB">
        <w:rPr>
          <w:rFonts w:eastAsia="Cambria"/>
          <w:b/>
          <w:lang w:val="en-CA"/>
        </w:rPr>
        <w:t xml:space="preserve"> which requires differential treatment in health, including and beyond their sexual and reproductive health, in designing policy measures and resource allocations</w:t>
      </w:r>
      <w:r>
        <w:rPr>
          <w:rFonts w:eastAsia="Cambria"/>
          <w:b/>
          <w:lang w:val="en-CA"/>
        </w:rPr>
        <w:t>;</w:t>
      </w:r>
    </w:p>
    <w:p w:rsidR="00CA109F" w:rsidRPr="00FD3ADB" w:rsidRDefault="00CA109F" w:rsidP="00CA109F">
      <w:pPr>
        <w:pStyle w:val="SingleTxtG"/>
        <w:rPr>
          <w:rFonts w:eastAsia="Cambria"/>
          <w:b/>
          <w:lang w:val="en-CA"/>
        </w:rPr>
      </w:pPr>
      <w:r w:rsidRPr="009243E9">
        <w:rPr>
          <w:rFonts w:eastAsia="Cambria"/>
          <w:bCs/>
          <w:lang w:val="en-CA"/>
        </w:rPr>
        <w:tab/>
        <w:t>(c)</w:t>
      </w:r>
      <w:r>
        <w:rPr>
          <w:rFonts w:eastAsia="Cambria"/>
          <w:b/>
          <w:lang w:val="en-CA"/>
        </w:rPr>
        <w:tab/>
      </w:r>
      <w:r w:rsidRPr="00FD3ADB">
        <w:rPr>
          <w:rFonts w:eastAsia="Cambria"/>
          <w:b/>
          <w:lang w:val="en-CA"/>
        </w:rPr>
        <w:t xml:space="preserve">Take into account the impact of women’s safety on their physical and mental health and protect women and girls from violence at home, on their way to or at school </w:t>
      </w:r>
      <w:r>
        <w:rPr>
          <w:rFonts w:eastAsia="Cambria"/>
          <w:b/>
          <w:lang w:val="en-CA"/>
        </w:rPr>
        <w:t>and</w:t>
      </w:r>
      <w:r w:rsidRPr="00FD3ADB">
        <w:rPr>
          <w:rFonts w:eastAsia="Cambria"/>
          <w:b/>
          <w:lang w:val="en-CA"/>
        </w:rPr>
        <w:t xml:space="preserve"> in other public spaces and in health facilities</w:t>
      </w:r>
      <w:r>
        <w:rPr>
          <w:rFonts w:eastAsia="Cambria"/>
          <w:b/>
          <w:lang w:val="en-CA"/>
        </w:rPr>
        <w:t>;</w:t>
      </w:r>
    </w:p>
    <w:p w:rsidR="00CA109F" w:rsidRPr="00FD3ADB" w:rsidRDefault="00CA109F" w:rsidP="00CA109F">
      <w:pPr>
        <w:pStyle w:val="SingleTxtG"/>
        <w:rPr>
          <w:rFonts w:eastAsia="Cambria"/>
          <w:b/>
          <w:lang w:val="en-CA"/>
        </w:rPr>
      </w:pPr>
      <w:r w:rsidRPr="009243E9">
        <w:rPr>
          <w:rFonts w:eastAsia="Cambria"/>
          <w:bCs/>
          <w:lang w:val="en-CA"/>
        </w:rPr>
        <w:tab/>
        <w:t>(d)</w:t>
      </w:r>
      <w:r>
        <w:rPr>
          <w:rFonts w:eastAsia="Cambria"/>
          <w:b/>
          <w:lang w:val="en-CA"/>
        </w:rPr>
        <w:tab/>
      </w:r>
      <w:r w:rsidRPr="00FD3ADB">
        <w:rPr>
          <w:rFonts w:eastAsia="Cambria"/>
          <w:b/>
          <w:lang w:val="en-CA"/>
        </w:rPr>
        <w:t>Adopt a holistic approach towards women’s health and safety by looking at their full life cycle from childhood to old age as interconnected phases with distinct considerations and needs</w:t>
      </w:r>
      <w:r>
        <w:rPr>
          <w:rFonts w:eastAsia="Cambria"/>
          <w:b/>
          <w:lang w:val="en-CA"/>
        </w:rPr>
        <w:t>, and in this regard</w:t>
      </w:r>
      <w:r w:rsidRPr="00FD3ADB">
        <w:rPr>
          <w:rFonts w:eastAsia="Cambria"/>
          <w:b/>
          <w:lang w:val="en-CA"/>
        </w:rPr>
        <w:t>:</w:t>
      </w:r>
    </w:p>
    <w:p w:rsidR="00CA109F" w:rsidRDefault="00CA109F" w:rsidP="008752EF">
      <w:pPr>
        <w:pStyle w:val="Bullet1G"/>
        <w:numPr>
          <w:ilvl w:val="0"/>
          <w:numId w:val="0"/>
        </w:numPr>
        <w:ind w:left="1701"/>
        <w:rPr>
          <w:rFonts w:eastAsia="Cambria"/>
          <w:b/>
          <w:lang w:val="en-CA"/>
        </w:rPr>
      </w:pPr>
      <w:r w:rsidRPr="009243E9">
        <w:rPr>
          <w:rFonts w:eastAsia="Cambria"/>
          <w:bCs/>
          <w:lang w:val="en-CA"/>
        </w:rPr>
        <w:t>(i)</w:t>
      </w:r>
      <w:r w:rsidRPr="009C24F8">
        <w:rPr>
          <w:rFonts w:eastAsia="Cambria"/>
          <w:b/>
          <w:lang w:val="en-CA"/>
        </w:rPr>
        <w:tab/>
        <w:t>Take effective measures to prevent child marriage and adolescent pregnancies and provide girls with comprehensive education based on scientific evidence on matters of health, including sexuality</w:t>
      </w:r>
      <w:r>
        <w:rPr>
          <w:rFonts w:eastAsia="Cambria"/>
          <w:b/>
          <w:lang w:val="en-CA"/>
        </w:rPr>
        <w:t>;</w:t>
      </w:r>
    </w:p>
    <w:p w:rsidR="00CA109F" w:rsidRDefault="00CA109F" w:rsidP="008752EF">
      <w:pPr>
        <w:pStyle w:val="Bullet1G"/>
        <w:numPr>
          <w:ilvl w:val="0"/>
          <w:numId w:val="0"/>
        </w:numPr>
        <w:ind w:left="1701"/>
        <w:rPr>
          <w:rFonts w:eastAsia="Cambria"/>
          <w:b/>
          <w:lang w:val="en-CA"/>
        </w:rPr>
      </w:pPr>
      <w:r w:rsidRPr="009243E9">
        <w:rPr>
          <w:rFonts w:eastAsia="Cambria"/>
          <w:bCs/>
          <w:lang w:val="en-CA"/>
        </w:rPr>
        <w:t>(ii)</w:t>
      </w:r>
      <w:r w:rsidRPr="009C24F8">
        <w:rPr>
          <w:rFonts w:eastAsia="Cambria"/>
          <w:b/>
          <w:lang w:val="en-CA"/>
        </w:rPr>
        <w:tab/>
        <w:t xml:space="preserve">Address </w:t>
      </w:r>
      <w:r>
        <w:rPr>
          <w:rFonts w:eastAsia="Cambria"/>
          <w:b/>
          <w:lang w:val="en-CA"/>
        </w:rPr>
        <w:t xml:space="preserve">the </w:t>
      </w:r>
      <w:r w:rsidRPr="009C24F8">
        <w:rPr>
          <w:rFonts w:eastAsia="Cambria"/>
          <w:b/>
          <w:lang w:val="en-CA"/>
        </w:rPr>
        <w:t>gender discrimination</w:t>
      </w:r>
      <w:r>
        <w:rPr>
          <w:rFonts w:eastAsia="Cambria"/>
          <w:b/>
          <w:lang w:val="en-CA"/>
        </w:rPr>
        <w:t xml:space="preserve"> that</w:t>
      </w:r>
      <w:r w:rsidRPr="009C24F8">
        <w:rPr>
          <w:rFonts w:eastAsia="Cambria"/>
          <w:b/>
          <w:lang w:val="en-CA"/>
        </w:rPr>
        <w:t xml:space="preserve"> exists in some cultures in the provision of food to the girl child, including through the empowerment of women and girls</w:t>
      </w:r>
      <w:r>
        <w:rPr>
          <w:rFonts w:eastAsia="Cambria"/>
          <w:b/>
          <w:lang w:val="en-CA"/>
        </w:rPr>
        <w:t>;</w:t>
      </w:r>
    </w:p>
    <w:p w:rsidR="00CA109F" w:rsidRDefault="00CA109F" w:rsidP="008752EF">
      <w:pPr>
        <w:pStyle w:val="Bullet1G"/>
        <w:numPr>
          <w:ilvl w:val="0"/>
          <w:numId w:val="0"/>
        </w:numPr>
        <w:ind w:left="1701"/>
        <w:rPr>
          <w:rFonts w:eastAsia="Cambria"/>
          <w:b/>
          <w:lang w:val="en-CA"/>
        </w:rPr>
      </w:pPr>
      <w:r w:rsidRPr="009243E9">
        <w:rPr>
          <w:rFonts w:eastAsia="Cambria"/>
          <w:bCs/>
          <w:lang w:val="en-CA"/>
        </w:rPr>
        <w:t>(iii)</w:t>
      </w:r>
      <w:r w:rsidRPr="009C24F8">
        <w:rPr>
          <w:rFonts w:eastAsia="Cambria"/>
          <w:b/>
          <w:lang w:val="en-CA"/>
        </w:rPr>
        <w:tab/>
        <w:t xml:space="preserve">Allow pregnant girls and adolescents to terminate unwanted pregnancies, as </w:t>
      </w:r>
      <w:r>
        <w:rPr>
          <w:rFonts w:eastAsia="Cambria"/>
          <w:b/>
          <w:lang w:val="en-CA"/>
        </w:rPr>
        <w:t xml:space="preserve">a measure of </w:t>
      </w:r>
      <w:r w:rsidRPr="009C24F8">
        <w:rPr>
          <w:rFonts w:eastAsia="Cambria"/>
          <w:b/>
          <w:lang w:val="en-CA"/>
        </w:rPr>
        <w:t>equality and health</w:t>
      </w:r>
      <w:r>
        <w:rPr>
          <w:rFonts w:eastAsia="Cambria"/>
          <w:b/>
          <w:lang w:val="en-CA"/>
        </w:rPr>
        <w:t>,</w:t>
      </w:r>
      <w:r w:rsidRPr="009C24F8">
        <w:rPr>
          <w:rFonts w:eastAsia="Cambria"/>
          <w:b/>
          <w:lang w:val="en-CA"/>
        </w:rPr>
        <w:t xml:space="preserve"> </w:t>
      </w:r>
      <w:r>
        <w:rPr>
          <w:rFonts w:eastAsia="Cambria"/>
          <w:b/>
          <w:lang w:val="en-CA"/>
        </w:rPr>
        <w:t>so that they can</w:t>
      </w:r>
      <w:r w:rsidRPr="009C24F8">
        <w:rPr>
          <w:rFonts w:eastAsia="Cambria"/>
          <w:b/>
          <w:lang w:val="en-CA"/>
        </w:rPr>
        <w:t xml:space="preserve"> complete their school education and protect them from the high risk to life and health, including </w:t>
      </w:r>
      <w:r>
        <w:rPr>
          <w:rFonts w:eastAsia="Cambria"/>
          <w:b/>
          <w:lang w:val="en-CA"/>
        </w:rPr>
        <w:t xml:space="preserve">from </w:t>
      </w:r>
      <w:r w:rsidRPr="009C24F8">
        <w:rPr>
          <w:rFonts w:eastAsia="Cambria"/>
          <w:b/>
          <w:lang w:val="en-CA"/>
        </w:rPr>
        <w:t xml:space="preserve">obstetric fistula, in continuing </w:t>
      </w:r>
      <w:r>
        <w:rPr>
          <w:rFonts w:eastAsia="Cambria"/>
          <w:b/>
          <w:lang w:val="en-CA"/>
        </w:rPr>
        <w:t xml:space="preserve">to bring a </w:t>
      </w:r>
      <w:r w:rsidRPr="009C24F8">
        <w:rPr>
          <w:rFonts w:eastAsia="Cambria"/>
          <w:b/>
          <w:lang w:val="en-CA"/>
        </w:rPr>
        <w:t>pregnancy to term</w:t>
      </w:r>
      <w:r>
        <w:rPr>
          <w:rFonts w:eastAsia="Cambria"/>
          <w:b/>
          <w:lang w:val="en-CA"/>
        </w:rPr>
        <w:t>;</w:t>
      </w:r>
    </w:p>
    <w:p w:rsidR="00CA109F" w:rsidRDefault="00CA109F" w:rsidP="008752EF">
      <w:pPr>
        <w:pStyle w:val="Bullet1G"/>
        <w:numPr>
          <w:ilvl w:val="0"/>
          <w:numId w:val="0"/>
        </w:numPr>
        <w:ind w:left="1701"/>
        <w:rPr>
          <w:rFonts w:eastAsia="Cambria"/>
          <w:b/>
          <w:lang w:val="en-CA"/>
        </w:rPr>
      </w:pPr>
      <w:proofErr w:type="gramStart"/>
      <w:r w:rsidRPr="009243E9">
        <w:rPr>
          <w:rFonts w:eastAsia="Cambria"/>
          <w:bCs/>
          <w:lang w:val="en-CA"/>
        </w:rPr>
        <w:t>(iv)</w:t>
      </w:r>
      <w:r w:rsidRPr="009C24F8">
        <w:rPr>
          <w:rFonts w:eastAsia="Cambria"/>
          <w:b/>
          <w:lang w:val="en-CA"/>
        </w:rPr>
        <w:tab/>
        <w:t>Reduce</w:t>
      </w:r>
      <w:proofErr w:type="gramEnd"/>
      <w:r w:rsidRPr="009C24F8">
        <w:rPr>
          <w:rFonts w:eastAsia="Cambria"/>
          <w:b/>
          <w:lang w:val="en-CA"/>
        </w:rPr>
        <w:t xml:space="preserve"> maternal mortality and morbidity by ensuring proper prenatal, birthing and post-natal care, including</w:t>
      </w:r>
      <w:r>
        <w:rPr>
          <w:rFonts w:eastAsia="Cambria"/>
          <w:b/>
          <w:lang w:val="en-CA"/>
        </w:rPr>
        <w:t>,</w:t>
      </w:r>
      <w:r w:rsidRPr="009C24F8">
        <w:rPr>
          <w:rFonts w:eastAsia="Cambria"/>
          <w:b/>
          <w:lang w:val="en-CA"/>
        </w:rPr>
        <w:t xml:space="preserve"> where necessary</w:t>
      </w:r>
      <w:r>
        <w:rPr>
          <w:rFonts w:eastAsia="Cambria"/>
          <w:b/>
          <w:lang w:val="en-CA"/>
        </w:rPr>
        <w:t>,</w:t>
      </w:r>
      <w:r w:rsidRPr="009C24F8">
        <w:rPr>
          <w:rFonts w:eastAsia="Cambria"/>
          <w:b/>
          <w:lang w:val="en-CA"/>
        </w:rPr>
        <w:t xml:space="preserve"> safe termination of pregnancy. </w:t>
      </w:r>
    </w:p>
    <w:p w:rsidR="00CA109F" w:rsidRDefault="00CA109F" w:rsidP="008752EF">
      <w:pPr>
        <w:pStyle w:val="Bullet1G"/>
        <w:numPr>
          <w:ilvl w:val="0"/>
          <w:numId w:val="0"/>
        </w:numPr>
        <w:ind w:left="1701"/>
        <w:rPr>
          <w:rFonts w:eastAsia="Cambria"/>
          <w:b/>
          <w:lang w:val="en-CA"/>
        </w:rPr>
      </w:pPr>
      <w:r w:rsidRPr="009243E9">
        <w:rPr>
          <w:rFonts w:eastAsia="Cambria"/>
          <w:bCs/>
          <w:lang w:val="en-CA"/>
        </w:rPr>
        <w:t>(v)</w:t>
      </w:r>
      <w:r w:rsidRPr="009C24F8">
        <w:rPr>
          <w:rFonts w:eastAsia="Cambria"/>
          <w:b/>
          <w:lang w:val="en-CA"/>
        </w:rPr>
        <w:tab/>
        <w:t>Reduce the high incidence of maternal mortality among women with HIV/AIDS</w:t>
      </w:r>
      <w:r>
        <w:rPr>
          <w:rFonts w:eastAsia="Cambria"/>
          <w:b/>
          <w:lang w:val="en-CA"/>
        </w:rPr>
        <w:t>,</w:t>
      </w:r>
      <w:r w:rsidRPr="009C24F8">
        <w:rPr>
          <w:rFonts w:eastAsia="Cambria"/>
          <w:b/>
          <w:lang w:val="en-CA"/>
        </w:rPr>
        <w:t xml:space="preserve"> both by preventing infection, particularly of women in prostitution/sex workers, </w:t>
      </w:r>
      <w:r>
        <w:rPr>
          <w:rFonts w:eastAsia="Cambria"/>
          <w:b/>
          <w:lang w:val="en-CA"/>
        </w:rPr>
        <w:t xml:space="preserve">and </w:t>
      </w:r>
      <w:r w:rsidRPr="009C24F8">
        <w:rPr>
          <w:rFonts w:eastAsia="Cambria"/>
          <w:b/>
          <w:lang w:val="en-CA"/>
        </w:rPr>
        <w:t xml:space="preserve">by free and secure provision of condoms and of </w:t>
      </w:r>
      <w:r>
        <w:rPr>
          <w:rFonts w:eastAsia="Cambria"/>
          <w:b/>
          <w:lang w:val="en-CA"/>
        </w:rPr>
        <w:t>anti</w:t>
      </w:r>
      <w:r w:rsidRPr="009C24F8">
        <w:rPr>
          <w:rFonts w:eastAsia="Cambria"/>
          <w:b/>
          <w:lang w:val="en-CA"/>
        </w:rPr>
        <w:t>retroviral treatment for pregnant women</w:t>
      </w:r>
      <w:r>
        <w:rPr>
          <w:rFonts w:eastAsia="Cambria"/>
          <w:b/>
          <w:lang w:val="en-CA"/>
        </w:rPr>
        <w:t>;</w:t>
      </w:r>
    </w:p>
    <w:p w:rsidR="00CA109F" w:rsidRDefault="00CA109F" w:rsidP="008752EF">
      <w:pPr>
        <w:pStyle w:val="Bullet1G"/>
        <w:numPr>
          <w:ilvl w:val="0"/>
          <w:numId w:val="0"/>
        </w:numPr>
        <w:ind w:left="1701"/>
        <w:rPr>
          <w:rFonts w:eastAsia="Cambria"/>
          <w:b/>
          <w:lang w:val="en-CA"/>
        </w:rPr>
      </w:pPr>
      <w:r w:rsidRPr="009243E9">
        <w:rPr>
          <w:rFonts w:eastAsia="Cambria"/>
          <w:bCs/>
          <w:lang w:val="en-CA"/>
        </w:rPr>
        <w:t>(vi)</w:t>
      </w:r>
      <w:r w:rsidRPr="009C24F8">
        <w:rPr>
          <w:rFonts w:eastAsia="Cambria"/>
          <w:b/>
          <w:lang w:val="en-CA"/>
        </w:rPr>
        <w:tab/>
        <w:t xml:space="preserve">Provide adequate nutrition and free services for pregnant and lactating women, as required by </w:t>
      </w:r>
      <w:r>
        <w:rPr>
          <w:rFonts w:eastAsia="Cambria"/>
          <w:b/>
          <w:lang w:val="en-CA"/>
        </w:rPr>
        <w:t>the Committee on Economic, Social and Cultural Rights</w:t>
      </w:r>
      <w:r w:rsidRPr="009C24F8">
        <w:rPr>
          <w:rFonts w:eastAsia="Cambria"/>
          <w:b/>
          <w:lang w:val="en-CA"/>
        </w:rPr>
        <w:t xml:space="preserve"> and </w:t>
      </w:r>
      <w:r>
        <w:rPr>
          <w:rFonts w:eastAsia="Cambria"/>
          <w:b/>
          <w:lang w:val="en-CA"/>
        </w:rPr>
        <w:t>the Committee on the Elimination of Discrimination against Women;</w:t>
      </w:r>
    </w:p>
    <w:p w:rsidR="00CA109F" w:rsidRDefault="00CA109F" w:rsidP="008752EF">
      <w:pPr>
        <w:pStyle w:val="Bullet1G"/>
        <w:numPr>
          <w:ilvl w:val="0"/>
          <w:numId w:val="0"/>
        </w:numPr>
        <w:ind w:left="1701"/>
        <w:rPr>
          <w:rFonts w:eastAsia="Cambria"/>
          <w:b/>
          <w:lang w:val="en-CA"/>
        </w:rPr>
      </w:pPr>
      <w:r w:rsidRPr="009243E9">
        <w:rPr>
          <w:rFonts w:eastAsia="Cambria"/>
          <w:bCs/>
          <w:lang w:val="en-CA"/>
        </w:rPr>
        <w:t>(vii)</w:t>
      </w:r>
      <w:r w:rsidRPr="009C24F8">
        <w:rPr>
          <w:rFonts w:eastAsia="Cambria"/>
          <w:b/>
          <w:lang w:val="en-CA"/>
        </w:rPr>
        <w:tab/>
        <w:t>Ensure that laws, policies and practices mandate respect for women’s autonomy in their decision-making</w:t>
      </w:r>
      <w:r>
        <w:rPr>
          <w:rFonts w:eastAsia="Cambria"/>
          <w:b/>
          <w:lang w:val="en-CA"/>
        </w:rPr>
        <w:t>, especially</w:t>
      </w:r>
      <w:r w:rsidRPr="009C24F8">
        <w:rPr>
          <w:rFonts w:eastAsia="Cambria"/>
          <w:b/>
          <w:lang w:val="en-CA"/>
        </w:rPr>
        <w:t xml:space="preserve"> regarding pregnancy, birthing and postnatal care</w:t>
      </w:r>
      <w:r>
        <w:rPr>
          <w:rFonts w:eastAsia="Cambria"/>
          <w:b/>
          <w:lang w:val="en-CA"/>
        </w:rPr>
        <w:t>;</w:t>
      </w:r>
      <w:r w:rsidRPr="009C24F8">
        <w:rPr>
          <w:rFonts w:eastAsia="Cambria"/>
          <w:b/>
          <w:lang w:val="en-CA"/>
        </w:rPr>
        <w:t xml:space="preserve"> </w:t>
      </w:r>
    </w:p>
    <w:p w:rsidR="00CA109F" w:rsidRPr="009C24F8" w:rsidRDefault="00CA109F" w:rsidP="008752EF">
      <w:pPr>
        <w:pStyle w:val="Bullet1G"/>
        <w:numPr>
          <w:ilvl w:val="0"/>
          <w:numId w:val="0"/>
        </w:numPr>
        <w:ind w:left="1701"/>
        <w:rPr>
          <w:rFonts w:eastAsia="Cambria"/>
          <w:b/>
          <w:lang w:val="en-CA"/>
        </w:rPr>
      </w:pPr>
      <w:r w:rsidRPr="009243E9">
        <w:rPr>
          <w:rFonts w:eastAsia="Cambria"/>
          <w:bCs/>
          <w:lang w:val="en-CA"/>
        </w:rPr>
        <w:t>(viii)</w:t>
      </w:r>
      <w:r w:rsidRPr="009C24F8">
        <w:rPr>
          <w:rFonts w:eastAsia="Cambria"/>
          <w:b/>
          <w:lang w:val="en-CA"/>
        </w:rPr>
        <w:tab/>
        <w:t>Provide gender</w:t>
      </w:r>
      <w:r>
        <w:rPr>
          <w:rFonts w:eastAsia="Cambria"/>
          <w:b/>
          <w:lang w:val="en-CA"/>
        </w:rPr>
        <w:t>-</w:t>
      </w:r>
      <w:r w:rsidRPr="009C24F8">
        <w:rPr>
          <w:rFonts w:eastAsia="Cambria"/>
          <w:b/>
          <w:lang w:val="en-CA"/>
        </w:rPr>
        <w:t xml:space="preserve"> and age</w:t>
      </w:r>
      <w:r>
        <w:rPr>
          <w:rFonts w:eastAsia="Cambria"/>
          <w:b/>
          <w:lang w:val="en-CA"/>
        </w:rPr>
        <w:t>-</w:t>
      </w:r>
      <w:r w:rsidRPr="009C24F8">
        <w:rPr>
          <w:rFonts w:eastAsia="Cambria"/>
          <w:b/>
          <w:lang w:val="en-CA"/>
        </w:rPr>
        <w:t>sensitive health</w:t>
      </w:r>
      <w:r>
        <w:rPr>
          <w:rFonts w:eastAsia="Cambria"/>
          <w:b/>
          <w:lang w:val="en-CA"/>
        </w:rPr>
        <w:t>-</w:t>
      </w:r>
      <w:r w:rsidRPr="009C24F8">
        <w:rPr>
          <w:rFonts w:eastAsia="Cambria"/>
          <w:b/>
          <w:lang w:val="en-CA"/>
        </w:rPr>
        <w:t>care services for older women, taking cogni</w:t>
      </w:r>
      <w:r>
        <w:rPr>
          <w:rFonts w:eastAsia="Cambria"/>
          <w:b/>
          <w:lang w:val="en-CA"/>
        </w:rPr>
        <w:t>z</w:t>
      </w:r>
      <w:r w:rsidRPr="009C24F8">
        <w:rPr>
          <w:rFonts w:eastAsia="Cambria"/>
          <w:b/>
          <w:lang w:val="en-CA"/>
        </w:rPr>
        <w:t>ance of their heightened health and safety vulnerability</w:t>
      </w:r>
      <w:r>
        <w:rPr>
          <w:rFonts w:eastAsia="Cambria"/>
          <w:b/>
          <w:lang w:val="en-CA"/>
        </w:rPr>
        <w:t>;</w:t>
      </w:r>
      <w:r w:rsidRPr="009C24F8">
        <w:rPr>
          <w:rFonts w:eastAsia="Cambria"/>
          <w:b/>
          <w:lang w:val="en-CA"/>
        </w:rPr>
        <w:t xml:space="preserve"> </w:t>
      </w:r>
    </w:p>
    <w:p w:rsidR="00CA109F" w:rsidRDefault="00CA109F" w:rsidP="00CA109F">
      <w:pPr>
        <w:pStyle w:val="SingleTxtG"/>
        <w:rPr>
          <w:rFonts w:eastAsia="Cambria"/>
          <w:b/>
          <w:lang w:val="en-CA"/>
        </w:rPr>
      </w:pPr>
      <w:r>
        <w:rPr>
          <w:rFonts w:eastAsia="Cambria"/>
          <w:b/>
          <w:lang w:val="en-CA"/>
        </w:rPr>
        <w:tab/>
      </w:r>
      <w:r w:rsidRPr="009243E9">
        <w:rPr>
          <w:rFonts w:eastAsia="Cambria"/>
          <w:bCs/>
          <w:lang w:val="en-CA"/>
        </w:rPr>
        <w:t>(e)</w:t>
      </w:r>
      <w:r>
        <w:rPr>
          <w:rFonts w:eastAsia="Cambria"/>
          <w:b/>
          <w:lang w:val="en-CA"/>
        </w:rPr>
        <w:tab/>
      </w:r>
      <w:r w:rsidRPr="00FD3ADB">
        <w:rPr>
          <w:rFonts w:eastAsia="Cambria"/>
          <w:b/>
          <w:lang w:val="en-CA"/>
        </w:rPr>
        <w:t>Provide special protection and support services to women facing multiple forms of discrimination</w:t>
      </w:r>
      <w:r>
        <w:rPr>
          <w:rFonts w:eastAsia="Cambria"/>
          <w:b/>
          <w:lang w:val="en-CA"/>
        </w:rPr>
        <w:t>, and in this regard</w:t>
      </w:r>
      <w:r w:rsidRPr="00FD3ADB">
        <w:rPr>
          <w:rFonts w:eastAsia="Cambria"/>
          <w:b/>
          <w:lang w:val="en-CA"/>
        </w:rPr>
        <w:t>:</w:t>
      </w:r>
    </w:p>
    <w:p w:rsidR="00CA109F" w:rsidRDefault="00CA109F" w:rsidP="00CA109F">
      <w:pPr>
        <w:pStyle w:val="SingleTxtG"/>
        <w:ind w:left="1701"/>
        <w:rPr>
          <w:rFonts w:eastAsia="Cambria"/>
          <w:b/>
          <w:lang w:val="en-CA"/>
        </w:rPr>
      </w:pPr>
      <w:r w:rsidRPr="009243E9">
        <w:rPr>
          <w:rFonts w:eastAsia="Cambria"/>
          <w:bCs/>
          <w:lang w:val="en-CA"/>
        </w:rPr>
        <w:t>(i)</w:t>
      </w:r>
      <w:r w:rsidRPr="009C24F8">
        <w:rPr>
          <w:rFonts w:eastAsia="Cambria"/>
          <w:b/>
          <w:lang w:val="en-CA"/>
        </w:rPr>
        <w:tab/>
        <w:t>Ensure that health services, including reproductive and sexual health</w:t>
      </w:r>
      <w:r>
        <w:rPr>
          <w:rFonts w:eastAsia="Cambria"/>
          <w:b/>
          <w:lang w:val="en-CA"/>
        </w:rPr>
        <w:t>,</w:t>
      </w:r>
      <w:r w:rsidRPr="009C24F8">
        <w:rPr>
          <w:rFonts w:eastAsia="Cambria"/>
          <w:b/>
          <w:lang w:val="en-CA"/>
        </w:rPr>
        <w:t xml:space="preserve"> for women with disabilities are available and accessible on an equal basis with others and that their autonomy and decision-making, including in relation to </w:t>
      </w:r>
      <w:r w:rsidRPr="009C24F8">
        <w:rPr>
          <w:rFonts w:eastAsia="Cambria"/>
          <w:b/>
          <w:lang w:val="en-CA"/>
        </w:rPr>
        <w:lastRenderedPageBreak/>
        <w:t>their sexuality and reproduction</w:t>
      </w:r>
      <w:r>
        <w:rPr>
          <w:rFonts w:eastAsia="Cambria"/>
          <w:b/>
          <w:lang w:val="en-CA"/>
        </w:rPr>
        <w:t>,</w:t>
      </w:r>
      <w:r w:rsidRPr="009C24F8">
        <w:rPr>
          <w:rFonts w:eastAsia="Cambria"/>
          <w:b/>
          <w:lang w:val="en-CA"/>
        </w:rPr>
        <w:t xml:space="preserve"> </w:t>
      </w:r>
      <w:r>
        <w:rPr>
          <w:rFonts w:eastAsia="Cambria"/>
          <w:b/>
          <w:lang w:val="en-CA"/>
        </w:rPr>
        <w:t>are</w:t>
      </w:r>
      <w:r w:rsidRPr="009C24F8">
        <w:rPr>
          <w:rFonts w:eastAsia="Cambria"/>
          <w:b/>
          <w:lang w:val="en-CA"/>
        </w:rPr>
        <w:t xml:space="preserve"> guaranteed </w:t>
      </w:r>
      <w:r>
        <w:rPr>
          <w:rFonts w:eastAsia="Cambria"/>
          <w:b/>
          <w:lang w:val="en-CA"/>
        </w:rPr>
        <w:t>in accordance with</w:t>
      </w:r>
      <w:r w:rsidRPr="009C24F8">
        <w:rPr>
          <w:rFonts w:eastAsia="Cambria"/>
          <w:b/>
          <w:lang w:val="en-CA"/>
        </w:rPr>
        <w:t xml:space="preserve"> the principles of the </w:t>
      </w:r>
      <w:r>
        <w:rPr>
          <w:rFonts w:eastAsia="Cambria"/>
          <w:b/>
          <w:lang w:val="en-CA"/>
        </w:rPr>
        <w:t>Convention on the Rights of Persons with Disabilities</w:t>
      </w:r>
      <w:r w:rsidRPr="009C24F8">
        <w:rPr>
          <w:rFonts w:eastAsia="Cambria"/>
          <w:b/>
          <w:lang w:val="en-CA"/>
        </w:rPr>
        <w:t>;</w:t>
      </w:r>
    </w:p>
    <w:p w:rsidR="00CA109F" w:rsidRDefault="00CA109F" w:rsidP="00CA109F">
      <w:pPr>
        <w:pStyle w:val="SingleTxtG"/>
        <w:ind w:left="1701"/>
        <w:rPr>
          <w:rFonts w:eastAsia="Cambria"/>
          <w:b/>
          <w:lang w:val="en-CA"/>
        </w:rPr>
      </w:pPr>
      <w:r w:rsidRPr="009243E9">
        <w:rPr>
          <w:rFonts w:eastAsia="Cambria"/>
          <w:bCs/>
          <w:lang w:val="en-CA"/>
        </w:rPr>
        <w:t>(ii)</w:t>
      </w:r>
      <w:r w:rsidRPr="009C24F8">
        <w:rPr>
          <w:rFonts w:eastAsia="Cambria"/>
          <w:b/>
          <w:lang w:val="en-CA"/>
        </w:rPr>
        <w:tab/>
        <w:t>Provide health</w:t>
      </w:r>
      <w:r>
        <w:rPr>
          <w:rFonts w:eastAsia="Cambria"/>
          <w:b/>
          <w:lang w:val="en-CA"/>
        </w:rPr>
        <w:t>-</w:t>
      </w:r>
      <w:r w:rsidRPr="009C24F8">
        <w:rPr>
          <w:rFonts w:eastAsia="Cambria"/>
          <w:b/>
          <w:lang w:val="en-CA"/>
        </w:rPr>
        <w:t>care coverage for migrant women</w:t>
      </w:r>
      <w:r>
        <w:rPr>
          <w:rFonts w:eastAsia="Cambria"/>
          <w:b/>
          <w:lang w:val="en-CA"/>
        </w:rPr>
        <w:t xml:space="preserve"> and domestic workers</w:t>
      </w:r>
      <w:r w:rsidRPr="009C24F8">
        <w:rPr>
          <w:rFonts w:eastAsia="Cambria"/>
          <w:b/>
          <w:lang w:val="en-CA"/>
        </w:rPr>
        <w:t>, whose sexual and reproductive health, preventive health</w:t>
      </w:r>
      <w:r>
        <w:rPr>
          <w:rFonts w:eastAsia="Cambria"/>
          <w:b/>
          <w:lang w:val="en-CA"/>
        </w:rPr>
        <w:t xml:space="preserve"> </w:t>
      </w:r>
      <w:r w:rsidRPr="009C24F8">
        <w:rPr>
          <w:rFonts w:eastAsia="Cambria"/>
          <w:b/>
          <w:lang w:val="en-CA"/>
        </w:rPr>
        <w:t xml:space="preserve">care and protection against </w:t>
      </w:r>
      <w:r>
        <w:rPr>
          <w:rFonts w:eastAsia="Cambria"/>
          <w:b/>
          <w:lang w:val="en-CA"/>
        </w:rPr>
        <w:t>gender-based</w:t>
      </w:r>
      <w:r w:rsidRPr="009C24F8">
        <w:rPr>
          <w:rFonts w:eastAsia="Cambria"/>
          <w:b/>
          <w:lang w:val="en-CA"/>
        </w:rPr>
        <w:t xml:space="preserve"> violence are otherwise prejudiced</w:t>
      </w:r>
      <w:r>
        <w:rPr>
          <w:rFonts w:eastAsia="Cambria"/>
          <w:b/>
          <w:lang w:val="en-CA"/>
        </w:rPr>
        <w:t>;</w:t>
      </w:r>
      <w:r w:rsidRPr="009C24F8">
        <w:rPr>
          <w:rFonts w:eastAsia="Cambria"/>
          <w:b/>
          <w:lang w:val="en-CA"/>
        </w:rPr>
        <w:t xml:space="preserve"> </w:t>
      </w:r>
    </w:p>
    <w:p w:rsidR="00CA109F" w:rsidRDefault="00CA109F" w:rsidP="00CA109F">
      <w:pPr>
        <w:pStyle w:val="SingleTxtG"/>
        <w:ind w:left="1701"/>
        <w:rPr>
          <w:rFonts w:eastAsia="Cambria"/>
          <w:b/>
          <w:lang w:val="en-CA"/>
        </w:rPr>
      </w:pPr>
      <w:r w:rsidRPr="009243E9">
        <w:rPr>
          <w:rFonts w:eastAsia="Cambria"/>
          <w:bCs/>
          <w:lang w:val="en-CA"/>
        </w:rPr>
        <w:t>(iii)</w:t>
      </w:r>
      <w:r w:rsidRPr="009C24F8">
        <w:rPr>
          <w:rFonts w:eastAsia="Cambria"/>
          <w:b/>
          <w:lang w:val="en-CA"/>
        </w:rPr>
        <w:tab/>
        <w:t>Ensure social and health</w:t>
      </w:r>
      <w:r>
        <w:rPr>
          <w:rFonts w:eastAsia="Cambria"/>
          <w:b/>
          <w:lang w:val="en-CA"/>
        </w:rPr>
        <w:t>-</w:t>
      </w:r>
      <w:r w:rsidRPr="009C24F8">
        <w:rPr>
          <w:rFonts w:eastAsia="Cambria"/>
          <w:b/>
          <w:lang w:val="en-CA"/>
        </w:rPr>
        <w:t>care benefits, entitlements and protection to lesbians</w:t>
      </w:r>
      <w:r>
        <w:rPr>
          <w:rFonts w:eastAsia="Cambria"/>
          <w:b/>
          <w:lang w:val="en-CA"/>
        </w:rPr>
        <w:t xml:space="preserve"> and</w:t>
      </w:r>
      <w:r w:rsidRPr="009C24F8">
        <w:rPr>
          <w:rFonts w:eastAsia="Cambria"/>
          <w:b/>
          <w:lang w:val="en-CA"/>
        </w:rPr>
        <w:t xml:space="preserve"> bisexual and transgender persons without discrimination</w:t>
      </w:r>
      <w:r>
        <w:rPr>
          <w:rFonts w:eastAsia="Cambria"/>
          <w:b/>
          <w:lang w:val="en-CA"/>
        </w:rPr>
        <w:t>;</w:t>
      </w:r>
    </w:p>
    <w:p w:rsidR="00CA109F" w:rsidRPr="009C24F8" w:rsidRDefault="00CA109F" w:rsidP="00CA109F">
      <w:pPr>
        <w:pStyle w:val="SingleTxtG"/>
        <w:ind w:left="1701"/>
        <w:rPr>
          <w:rFonts w:eastAsia="Cambria"/>
          <w:b/>
          <w:lang w:val="en-CA"/>
        </w:rPr>
      </w:pPr>
      <w:r w:rsidRPr="009243E9">
        <w:rPr>
          <w:rFonts w:eastAsia="Cambria"/>
          <w:bCs/>
          <w:lang w:val="en-CA"/>
        </w:rPr>
        <w:t>(iv)</w:t>
      </w:r>
      <w:r w:rsidRPr="009C24F8">
        <w:rPr>
          <w:rFonts w:eastAsia="Cambria"/>
          <w:b/>
          <w:lang w:val="en-CA"/>
        </w:rPr>
        <w:tab/>
        <w:t xml:space="preserve">Provide access to preventive and remedial health services for women in </w:t>
      </w:r>
      <w:r>
        <w:rPr>
          <w:rFonts w:eastAsia="Cambria"/>
          <w:b/>
          <w:lang w:val="en-CA"/>
        </w:rPr>
        <w:t>prison</w:t>
      </w:r>
      <w:r w:rsidRPr="009C24F8">
        <w:rPr>
          <w:rFonts w:eastAsia="Cambria"/>
          <w:b/>
          <w:lang w:val="en-CA"/>
        </w:rPr>
        <w:t>, including in relation to cervical and breast cancer, contraception, antiretroviral therapy</w:t>
      </w:r>
      <w:r>
        <w:rPr>
          <w:rFonts w:eastAsia="Cambria"/>
          <w:b/>
          <w:lang w:val="en-CA"/>
        </w:rPr>
        <w:t xml:space="preserve"> and</w:t>
      </w:r>
      <w:r w:rsidRPr="009C24F8">
        <w:rPr>
          <w:rFonts w:eastAsia="Cambria"/>
          <w:b/>
          <w:lang w:val="en-CA"/>
        </w:rPr>
        <w:t xml:space="preserve"> gender transition</w:t>
      </w:r>
      <w:r>
        <w:rPr>
          <w:rFonts w:eastAsia="Cambria"/>
          <w:b/>
          <w:lang w:val="en-CA"/>
        </w:rPr>
        <w:t>,</w:t>
      </w:r>
      <w:r w:rsidRPr="009C24F8">
        <w:rPr>
          <w:rFonts w:eastAsia="Cambria"/>
          <w:b/>
          <w:lang w:val="en-CA"/>
        </w:rPr>
        <w:t xml:space="preserve"> and take all necessary measures to protect them from violence</w:t>
      </w:r>
      <w:r>
        <w:rPr>
          <w:rFonts w:eastAsia="Cambria"/>
          <w:b/>
          <w:lang w:val="en-CA"/>
        </w:rPr>
        <w:t>;</w:t>
      </w:r>
    </w:p>
    <w:p w:rsidR="00CA109F" w:rsidRPr="009C24F8" w:rsidRDefault="00CA109F" w:rsidP="008752EF">
      <w:pPr>
        <w:pStyle w:val="SingleTxtG"/>
        <w:ind w:left="1701"/>
        <w:rPr>
          <w:rFonts w:eastAsia="Cambria"/>
          <w:b/>
          <w:lang w:val="en-CA"/>
        </w:rPr>
      </w:pPr>
      <w:r w:rsidRPr="009243E9">
        <w:rPr>
          <w:rFonts w:eastAsia="Cambria"/>
          <w:bCs/>
          <w:lang w:val="en-CA"/>
        </w:rPr>
        <w:t>(v)</w:t>
      </w:r>
      <w:r w:rsidRPr="009C24F8">
        <w:rPr>
          <w:rFonts w:eastAsia="Cambria"/>
          <w:b/>
          <w:lang w:val="en-CA"/>
        </w:rPr>
        <w:tab/>
        <w:t xml:space="preserve">Allow non-custodial sentences for pregnant women and women with dependent children in accordance with the United Nations Rules for the Treatment of Women Prisoners and Non-custodial Measures for Women Offenders (the Bangkok Rules). </w:t>
      </w:r>
    </w:p>
    <w:p w:rsidR="00CA109F" w:rsidRDefault="00CA109F" w:rsidP="00CA109F">
      <w:pPr>
        <w:pStyle w:val="H1G"/>
        <w:rPr>
          <w:rFonts w:eastAsia="Cambria"/>
          <w:lang w:val="en-CA"/>
        </w:rPr>
      </w:pPr>
      <w:r w:rsidRPr="00FD3ADB">
        <w:rPr>
          <w:rFonts w:eastAsia="Cambria"/>
          <w:lang w:val="en-CA"/>
        </w:rPr>
        <w:tab/>
        <w:t>C.</w:t>
      </w:r>
      <w:r w:rsidRPr="00FD3ADB">
        <w:rPr>
          <w:rFonts w:eastAsia="Cambria"/>
          <w:lang w:val="en-CA"/>
        </w:rPr>
        <w:tab/>
        <w:t>Instrumentalization of women’s bodies</w:t>
      </w:r>
    </w:p>
    <w:p w:rsidR="00CA109F" w:rsidRPr="001B2499" w:rsidRDefault="00CA109F" w:rsidP="008752EF">
      <w:pPr>
        <w:pStyle w:val="SingleTxtG"/>
        <w:rPr>
          <w:rFonts w:eastAsia="Cambria"/>
          <w:lang w:val="en-CA"/>
        </w:rPr>
      </w:pPr>
      <w:r w:rsidRPr="009243E9">
        <w:rPr>
          <w:rFonts w:eastAsia="Cambria"/>
          <w:bCs/>
          <w:lang w:val="en-CA"/>
        </w:rPr>
        <w:t>106.</w:t>
      </w:r>
      <w:r w:rsidRPr="009243E9">
        <w:rPr>
          <w:rFonts w:eastAsia="Cambria"/>
          <w:bCs/>
          <w:lang w:val="en-CA"/>
        </w:rPr>
        <w:tab/>
      </w:r>
      <w:r w:rsidRPr="00AE4C11">
        <w:rPr>
          <w:rFonts w:eastAsia="Cambria"/>
          <w:b/>
          <w:lang w:val="en-CA"/>
        </w:rPr>
        <w:t>The Working Group recommends that States:</w:t>
      </w:r>
    </w:p>
    <w:p w:rsidR="00CA109F" w:rsidRDefault="00CA109F" w:rsidP="00CA109F">
      <w:pPr>
        <w:pStyle w:val="SingleTxtG"/>
        <w:rPr>
          <w:rFonts w:eastAsia="Cambria"/>
          <w:b/>
          <w:lang w:val="en-CA"/>
        </w:rPr>
      </w:pPr>
      <w:r>
        <w:rPr>
          <w:rFonts w:eastAsia="Cambria"/>
          <w:lang w:val="en-CA"/>
        </w:rPr>
        <w:tab/>
      </w:r>
      <w:r w:rsidRPr="009243E9">
        <w:rPr>
          <w:rFonts w:eastAsia="Cambria"/>
          <w:bCs/>
          <w:lang w:val="en-CA"/>
        </w:rPr>
        <w:t>(a)</w:t>
      </w:r>
      <w:r>
        <w:rPr>
          <w:rFonts w:eastAsia="Cambria"/>
          <w:lang w:val="en-CA"/>
        </w:rPr>
        <w:tab/>
      </w:r>
      <w:r w:rsidRPr="00FD3ADB">
        <w:rPr>
          <w:rFonts w:eastAsia="Cambria"/>
          <w:b/>
          <w:lang w:val="en-CA"/>
        </w:rPr>
        <w:t>Take measures to combat and eliminate</w:t>
      </w:r>
      <w:r>
        <w:rPr>
          <w:rFonts w:eastAsia="Cambria"/>
          <w:b/>
          <w:lang w:val="en-CA"/>
        </w:rPr>
        <w:t xml:space="preserve">, </w:t>
      </w:r>
      <w:r w:rsidRPr="00FD3ADB">
        <w:rPr>
          <w:rFonts w:eastAsia="Cambria"/>
          <w:b/>
          <w:lang w:val="en-CA"/>
        </w:rPr>
        <w:t>in legislation and policies, cultural practices and social stereotypes</w:t>
      </w:r>
      <w:r>
        <w:rPr>
          <w:rFonts w:eastAsia="Cambria"/>
          <w:b/>
          <w:lang w:val="en-CA"/>
        </w:rPr>
        <w:t>,</w:t>
      </w:r>
      <w:r w:rsidRPr="00FD3ADB">
        <w:rPr>
          <w:rFonts w:eastAsia="Cambria"/>
          <w:b/>
          <w:lang w:val="en-CA"/>
        </w:rPr>
        <w:t xml:space="preserve"> all forms of instrumentalization of women’s bodies and biological functions</w:t>
      </w:r>
      <w:r>
        <w:rPr>
          <w:rFonts w:eastAsia="Cambria"/>
          <w:b/>
          <w:lang w:val="en-CA"/>
        </w:rPr>
        <w:t>;</w:t>
      </w:r>
    </w:p>
    <w:p w:rsidR="00CA109F" w:rsidRDefault="00CA109F" w:rsidP="00CA109F">
      <w:pPr>
        <w:pStyle w:val="SingleTxtG"/>
        <w:rPr>
          <w:rFonts w:eastAsia="Cambria"/>
          <w:b/>
          <w:lang w:val="en-CA"/>
        </w:rPr>
      </w:pPr>
      <w:r>
        <w:rPr>
          <w:rFonts w:eastAsia="Cambria"/>
          <w:b/>
          <w:lang w:val="en-CA"/>
        </w:rPr>
        <w:tab/>
      </w:r>
      <w:r w:rsidRPr="009243E9">
        <w:rPr>
          <w:rFonts w:eastAsia="Cambria"/>
          <w:bCs/>
          <w:lang w:val="en-CA"/>
        </w:rPr>
        <w:t>(b)</w:t>
      </w:r>
      <w:r>
        <w:rPr>
          <w:rFonts w:eastAsia="Cambria"/>
          <w:b/>
          <w:lang w:val="en-CA"/>
        </w:rPr>
        <w:tab/>
        <w:t>Eliminate</w:t>
      </w:r>
      <w:r w:rsidRPr="00FD3ADB">
        <w:rPr>
          <w:rFonts w:eastAsia="Cambria"/>
          <w:b/>
          <w:lang w:val="en-CA"/>
        </w:rPr>
        <w:t xml:space="preserve"> harmful gender stereotypes</w:t>
      </w:r>
      <w:r>
        <w:rPr>
          <w:rFonts w:eastAsia="Cambria"/>
          <w:b/>
          <w:lang w:val="en-CA"/>
        </w:rPr>
        <w:t>,</w:t>
      </w:r>
      <w:r w:rsidRPr="00FD3ADB">
        <w:rPr>
          <w:rFonts w:eastAsia="Cambria"/>
          <w:b/>
          <w:lang w:val="en-CA"/>
        </w:rPr>
        <w:t xml:space="preserve"> which could lead to anorexia and bulimia</w:t>
      </w:r>
      <w:r>
        <w:rPr>
          <w:rFonts w:eastAsia="Cambria"/>
          <w:b/>
          <w:lang w:val="en-CA"/>
        </w:rPr>
        <w:t xml:space="preserve"> and</w:t>
      </w:r>
      <w:r w:rsidRPr="00FD3ADB">
        <w:rPr>
          <w:rFonts w:eastAsia="Cambria"/>
          <w:b/>
          <w:lang w:val="en-CA"/>
        </w:rPr>
        <w:t xml:space="preserve"> </w:t>
      </w:r>
      <w:r>
        <w:rPr>
          <w:rFonts w:eastAsia="Cambria"/>
          <w:b/>
          <w:lang w:val="en-CA"/>
        </w:rPr>
        <w:t>invasive cosmetic procedures;</w:t>
      </w:r>
      <w:r w:rsidRPr="00FD3ADB">
        <w:rPr>
          <w:rFonts w:eastAsia="Cambria"/>
          <w:b/>
          <w:lang w:val="en-CA"/>
        </w:rPr>
        <w:t xml:space="preserve"> </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(c)</w:t>
      </w:r>
      <w:r>
        <w:rPr>
          <w:rFonts w:eastAsia="Cambria"/>
          <w:b/>
          <w:lang w:val="en-CA"/>
        </w:rPr>
        <w:tab/>
        <w:t xml:space="preserve">Prevent </w:t>
      </w:r>
      <w:r w:rsidRPr="00FD3ADB">
        <w:rPr>
          <w:rFonts w:eastAsia="Cambria"/>
          <w:b/>
          <w:lang w:val="en-CA"/>
        </w:rPr>
        <w:t>exclusion from the public space during menstruation or breastfeeding</w:t>
      </w:r>
      <w:r>
        <w:rPr>
          <w:rFonts w:eastAsia="Cambria"/>
          <w:b/>
          <w:lang w:val="en-CA"/>
        </w:rPr>
        <w:t xml:space="preserve"> and prevent discrimination in relation to menopause in the workplace;</w:t>
      </w:r>
      <w:r w:rsidRPr="00FD3ADB">
        <w:rPr>
          <w:rFonts w:eastAsia="Cambria"/>
          <w:b/>
          <w:lang w:val="en-CA"/>
        </w:rPr>
        <w:t xml:space="preserve"> </w:t>
      </w:r>
    </w:p>
    <w:p w:rsidR="00CA109F" w:rsidRDefault="00CA109F" w:rsidP="00CA109F">
      <w:pPr>
        <w:pStyle w:val="SingleTxtG"/>
        <w:rPr>
          <w:rFonts w:eastAsia="Cambria"/>
          <w:lang w:val="en-CA"/>
        </w:rPr>
      </w:pPr>
      <w:r>
        <w:rPr>
          <w:rFonts w:eastAsia="Cambria"/>
          <w:lang w:val="en-CA"/>
        </w:rPr>
        <w:tab/>
      </w:r>
      <w:r w:rsidRPr="009243E9">
        <w:rPr>
          <w:rFonts w:eastAsia="Cambria"/>
          <w:bCs/>
          <w:lang w:val="en-CA"/>
        </w:rPr>
        <w:t>(d)</w:t>
      </w:r>
      <w:r>
        <w:rPr>
          <w:rFonts w:eastAsia="Cambria"/>
          <w:b/>
          <w:lang w:val="en-CA"/>
        </w:rPr>
        <w:tab/>
      </w:r>
      <w:r w:rsidRPr="00FD3ADB">
        <w:rPr>
          <w:rFonts w:eastAsia="Cambria"/>
          <w:b/>
          <w:lang w:val="en-CA"/>
        </w:rPr>
        <w:t xml:space="preserve">Take and implement strong and efficient measures to prevent </w:t>
      </w:r>
      <w:r>
        <w:rPr>
          <w:rFonts w:eastAsia="Cambria"/>
          <w:b/>
          <w:lang w:val="en-CA"/>
        </w:rPr>
        <w:t>female genital mutilation and other harmful practices;</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(e)</w:t>
      </w:r>
      <w:r>
        <w:rPr>
          <w:rFonts w:eastAsia="Cambria"/>
          <w:b/>
          <w:lang w:val="en-CA"/>
        </w:rPr>
        <w:tab/>
      </w:r>
      <w:r w:rsidRPr="00FD3ADB">
        <w:rPr>
          <w:rFonts w:eastAsia="Cambria"/>
          <w:b/>
          <w:lang w:val="en-CA"/>
        </w:rPr>
        <w:t>Decriminali</w:t>
      </w:r>
      <w:r>
        <w:rPr>
          <w:rFonts w:eastAsia="Cambria"/>
          <w:b/>
          <w:lang w:val="en-CA"/>
        </w:rPr>
        <w:t>z</w:t>
      </w:r>
      <w:r w:rsidRPr="00FD3ADB">
        <w:rPr>
          <w:rFonts w:eastAsia="Cambria"/>
          <w:b/>
          <w:lang w:val="en-CA"/>
        </w:rPr>
        <w:t xml:space="preserve">e sexual and reproductive behaviours </w:t>
      </w:r>
      <w:r>
        <w:rPr>
          <w:rFonts w:eastAsia="Cambria"/>
          <w:b/>
          <w:lang w:val="en-CA"/>
        </w:rPr>
        <w:t>that</w:t>
      </w:r>
      <w:r w:rsidRPr="00FD3ADB">
        <w:rPr>
          <w:rFonts w:eastAsia="Cambria"/>
          <w:b/>
          <w:lang w:val="en-CA"/>
        </w:rPr>
        <w:t xml:space="preserve"> are attributed exclusively or mainly to women, including adultery</w:t>
      </w:r>
      <w:r>
        <w:rPr>
          <w:rFonts w:eastAsia="Cambria"/>
          <w:b/>
          <w:lang w:val="en-CA"/>
        </w:rPr>
        <w:t xml:space="preserve"> and</w:t>
      </w:r>
      <w:r w:rsidRPr="00FD3ADB">
        <w:rPr>
          <w:rFonts w:eastAsia="Cambria"/>
          <w:b/>
          <w:lang w:val="en-CA"/>
        </w:rPr>
        <w:t xml:space="preserve"> prostitution</w:t>
      </w:r>
      <w:r>
        <w:rPr>
          <w:rFonts w:eastAsia="Cambria"/>
          <w:b/>
          <w:lang w:val="en-CA"/>
        </w:rPr>
        <w:t>,</w:t>
      </w:r>
      <w:r w:rsidRPr="00FD3ADB">
        <w:rPr>
          <w:rFonts w:eastAsia="Cambria"/>
          <w:b/>
          <w:lang w:val="en-CA"/>
        </w:rPr>
        <w:t xml:space="preserve"> and termination of pregnancy</w:t>
      </w:r>
      <w:r>
        <w:rPr>
          <w:rFonts w:eastAsia="Cambria"/>
          <w:b/>
          <w:lang w:val="en-CA"/>
        </w:rPr>
        <w:t>;</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(f)</w:t>
      </w:r>
      <w:r>
        <w:rPr>
          <w:rFonts w:eastAsia="Cambria"/>
          <w:b/>
          <w:lang w:val="en-CA"/>
        </w:rPr>
        <w:tab/>
      </w:r>
      <w:r w:rsidRPr="00FD3ADB">
        <w:rPr>
          <w:rFonts w:eastAsia="Cambria"/>
          <w:b/>
          <w:lang w:val="en-CA"/>
        </w:rPr>
        <w:t>Combat stereotyping</w:t>
      </w:r>
      <w:r>
        <w:rPr>
          <w:rFonts w:eastAsia="Cambria"/>
          <w:b/>
          <w:lang w:val="en-CA"/>
        </w:rPr>
        <w:t xml:space="preserve"> </w:t>
      </w:r>
      <w:r w:rsidRPr="00FD3ADB">
        <w:rPr>
          <w:rFonts w:eastAsia="Cambria"/>
          <w:b/>
          <w:lang w:val="en-CA"/>
        </w:rPr>
        <w:t xml:space="preserve">and empower girls to take care of their own health and safety from a young age, both at school and at home, and inform and empower women regarding their own bodies at all stages of their </w:t>
      </w:r>
      <w:r>
        <w:rPr>
          <w:rFonts w:eastAsia="Cambria"/>
          <w:b/>
          <w:lang w:val="en-CA"/>
        </w:rPr>
        <w:t>lives;</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(g)</w:t>
      </w:r>
      <w:r>
        <w:rPr>
          <w:rFonts w:eastAsia="Cambria"/>
          <w:b/>
          <w:lang w:val="en-CA"/>
        </w:rPr>
        <w:tab/>
      </w:r>
      <w:r w:rsidRPr="00FD3ADB">
        <w:rPr>
          <w:rFonts w:eastAsia="Cambria"/>
          <w:b/>
          <w:lang w:val="en-CA"/>
        </w:rPr>
        <w:t>Regulate birthing facilities to ensure respect for women’s autonomy and privacy and human dignity, including respect</w:t>
      </w:r>
      <w:r>
        <w:rPr>
          <w:rFonts w:eastAsia="Cambria"/>
          <w:b/>
          <w:lang w:val="en-CA"/>
        </w:rPr>
        <w:t xml:space="preserve"> for</w:t>
      </w:r>
      <w:r w:rsidRPr="00FD3ADB">
        <w:rPr>
          <w:rFonts w:eastAsia="Cambria"/>
          <w:b/>
          <w:lang w:val="en-CA"/>
        </w:rPr>
        <w:t xml:space="preserve"> women’s choice regarding home deliveries provided there are no specific medical contraindications</w:t>
      </w:r>
      <w:r>
        <w:rPr>
          <w:rFonts w:eastAsia="Cambria"/>
          <w:b/>
          <w:lang w:val="en-CA"/>
        </w:rPr>
        <w:t>;</w:t>
      </w:r>
    </w:p>
    <w:p w:rsidR="00CA109F" w:rsidRPr="00FD3ADB" w:rsidRDefault="00CA109F" w:rsidP="00CA109F">
      <w:pPr>
        <w:pStyle w:val="SingleTxtG"/>
        <w:rPr>
          <w:rFonts w:eastAsia="Cambria"/>
          <w:b/>
          <w:lang w:val="en-CA"/>
        </w:rPr>
      </w:pPr>
      <w:r w:rsidRPr="009243E9">
        <w:rPr>
          <w:rFonts w:eastAsia="Cambria"/>
          <w:bCs/>
          <w:lang w:val="en-CA"/>
        </w:rPr>
        <w:tab/>
        <w:t>(h)</w:t>
      </w:r>
      <w:r>
        <w:rPr>
          <w:rFonts w:eastAsia="Cambria"/>
          <w:b/>
          <w:lang w:val="en-CA"/>
        </w:rPr>
        <w:tab/>
      </w:r>
      <w:r w:rsidRPr="00FD3ADB">
        <w:rPr>
          <w:rFonts w:eastAsia="Cambria"/>
          <w:b/>
          <w:lang w:val="en-CA"/>
        </w:rPr>
        <w:t xml:space="preserve">Prevent instrumentalization of women in the birthing process and ensure that penalties are incurred for gynaecological or obstetrical violence, including performing abusive </w:t>
      </w:r>
      <w:r>
        <w:rPr>
          <w:rFonts w:eastAsia="Cambria"/>
          <w:b/>
          <w:lang w:val="en-CA"/>
        </w:rPr>
        <w:t>c</w:t>
      </w:r>
      <w:r w:rsidRPr="00FD3ADB">
        <w:rPr>
          <w:rFonts w:eastAsia="Cambria"/>
          <w:b/>
          <w:lang w:val="en-CA"/>
        </w:rPr>
        <w:t xml:space="preserve">aesarean sections, refusing to give women pain relief during birth or surgical termination of pregnancy and </w:t>
      </w:r>
      <w:r>
        <w:rPr>
          <w:rFonts w:eastAsia="Cambria"/>
          <w:b/>
          <w:lang w:val="en-CA"/>
        </w:rPr>
        <w:t>performing</w:t>
      </w:r>
      <w:r w:rsidRPr="00FD3ADB">
        <w:rPr>
          <w:rFonts w:eastAsia="Cambria"/>
          <w:b/>
          <w:lang w:val="en-CA"/>
        </w:rPr>
        <w:t xml:space="preserve"> unnecessary episiotomies</w:t>
      </w:r>
      <w:r>
        <w:rPr>
          <w:rFonts w:eastAsia="Cambria"/>
          <w:b/>
          <w:lang w:val="en-CA"/>
        </w:rPr>
        <w:t>;</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w:t>
      </w:r>
      <w:proofErr w:type="gramStart"/>
      <w:r w:rsidRPr="009243E9">
        <w:rPr>
          <w:rFonts w:eastAsia="Cambria"/>
          <w:bCs/>
          <w:lang w:val="en-CA"/>
        </w:rPr>
        <w:t>i</w:t>
      </w:r>
      <w:proofErr w:type="gramEnd"/>
      <w:r w:rsidRPr="009243E9">
        <w:rPr>
          <w:rFonts w:eastAsia="Cambria"/>
          <w:bCs/>
          <w:lang w:val="en-CA"/>
        </w:rPr>
        <w:t>)</w:t>
      </w:r>
      <w:r>
        <w:rPr>
          <w:rFonts w:eastAsia="Cambria"/>
          <w:b/>
          <w:lang w:val="en-CA"/>
        </w:rPr>
        <w:tab/>
      </w:r>
      <w:r w:rsidRPr="00FD3ADB">
        <w:rPr>
          <w:rFonts w:eastAsia="Cambria"/>
          <w:b/>
          <w:lang w:val="en-CA"/>
        </w:rPr>
        <w:t>Use educational and social work alternatives instead of custodial or punitive measures to prevent injury to the fetus as a result of drug or alcohol consumption by addicted pregnant women</w:t>
      </w:r>
      <w:r>
        <w:rPr>
          <w:rFonts w:eastAsia="Cambria"/>
          <w:b/>
          <w:lang w:val="en-CA"/>
        </w:rPr>
        <w:t>;</w:t>
      </w:r>
    </w:p>
    <w:p w:rsidR="00CA109F" w:rsidRPr="00FD3ADB" w:rsidRDefault="00CA109F" w:rsidP="00CA109F">
      <w:pPr>
        <w:pStyle w:val="SingleTxtG"/>
        <w:rPr>
          <w:rFonts w:eastAsia="Cambria"/>
          <w:b/>
          <w:lang w:val="en-CA"/>
        </w:rPr>
      </w:pPr>
      <w:r>
        <w:rPr>
          <w:rFonts w:eastAsia="Cambria"/>
          <w:lang w:val="en-CA"/>
        </w:rPr>
        <w:tab/>
        <w:t>(j)</w:t>
      </w:r>
      <w:r>
        <w:rPr>
          <w:rFonts w:eastAsia="Cambria"/>
          <w:lang w:val="en-CA"/>
        </w:rPr>
        <w:tab/>
      </w:r>
      <w:r w:rsidRPr="00FD3ADB">
        <w:rPr>
          <w:rFonts w:eastAsia="Cambria"/>
          <w:b/>
          <w:lang w:val="en-CA"/>
        </w:rPr>
        <w:t>Monitor and prevent the use of mental health to institutionali</w:t>
      </w:r>
      <w:r>
        <w:rPr>
          <w:rFonts w:eastAsia="Cambria"/>
          <w:b/>
          <w:lang w:val="en-CA"/>
        </w:rPr>
        <w:t>z</w:t>
      </w:r>
      <w:r w:rsidRPr="00FD3ADB">
        <w:rPr>
          <w:rFonts w:eastAsia="Cambria"/>
          <w:b/>
          <w:lang w:val="en-CA"/>
        </w:rPr>
        <w:t xml:space="preserve">e women unnecessarily as a social control mechanism. </w:t>
      </w:r>
    </w:p>
    <w:p w:rsidR="00CA109F" w:rsidRDefault="00CA109F" w:rsidP="00CA109F">
      <w:pPr>
        <w:pStyle w:val="SingleTxtG"/>
        <w:rPr>
          <w:rFonts w:eastAsia="Cambria"/>
          <w:b/>
          <w:lang w:val="en-CA"/>
        </w:rPr>
      </w:pPr>
      <w:r w:rsidRPr="009243E9">
        <w:rPr>
          <w:rFonts w:eastAsia="Cambria"/>
          <w:bCs/>
          <w:lang w:val="en-CA"/>
        </w:rPr>
        <w:lastRenderedPageBreak/>
        <w:t>107.</w:t>
      </w:r>
      <w:r w:rsidRPr="009243E9">
        <w:rPr>
          <w:rFonts w:eastAsia="Cambria"/>
          <w:bCs/>
          <w:lang w:val="en-CA"/>
        </w:rPr>
        <w:tab/>
      </w:r>
      <w:r w:rsidRPr="00FD3ADB">
        <w:rPr>
          <w:rFonts w:eastAsia="Cambria"/>
          <w:b/>
          <w:lang w:val="en-CA"/>
        </w:rPr>
        <w:t>In relation to reproductive and sexual health</w:t>
      </w:r>
      <w:r>
        <w:rPr>
          <w:rFonts w:eastAsia="Cambria"/>
          <w:b/>
          <w:lang w:val="en-CA"/>
        </w:rPr>
        <w:t xml:space="preserve"> </w:t>
      </w:r>
      <w:r w:rsidRPr="00FD3ADB">
        <w:rPr>
          <w:rFonts w:eastAsia="Cambria"/>
          <w:b/>
          <w:lang w:val="en-CA"/>
        </w:rPr>
        <w:t>care</w:t>
      </w:r>
      <w:r>
        <w:rPr>
          <w:rFonts w:eastAsia="Cambria"/>
          <w:b/>
          <w:lang w:val="en-CA"/>
        </w:rPr>
        <w:t>, the Working Group recommends that States</w:t>
      </w:r>
      <w:r w:rsidRPr="00FD3ADB">
        <w:rPr>
          <w:rFonts w:eastAsia="Cambria"/>
          <w:b/>
          <w:lang w:val="en-CA"/>
        </w:rPr>
        <w:t>:</w:t>
      </w:r>
    </w:p>
    <w:p w:rsidR="00CA109F" w:rsidRDefault="00CA109F" w:rsidP="00CA109F">
      <w:pPr>
        <w:pStyle w:val="SingleTxtG"/>
        <w:rPr>
          <w:rFonts w:eastAsia="Cambria"/>
          <w:b/>
          <w:lang w:val="en-CA"/>
        </w:rPr>
      </w:pPr>
      <w:r>
        <w:rPr>
          <w:rFonts w:eastAsia="Cambria"/>
          <w:b/>
          <w:lang w:val="en-CA"/>
        </w:rPr>
        <w:tab/>
      </w:r>
      <w:r w:rsidRPr="009243E9">
        <w:rPr>
          <w:rFonts w:eastAsia="Cambria"/>
          <w:bCs/>
          <w:lang w:val="en-CA"/>
        </w:rPr>
        <w:t>(a)</w:t>
      </w:r>
      <w:r w:rsidRPr="008F0CA3">
        <w:rPr>
          <w:rFonts w:eastAsia="Cambria"/>
          <w:b/>
          <w:lang w:val="en-CA"/>
        </w:rPr>
        <w:tab/>
        <w:t>Abolish bans on contracepti</w:t>
      </w:r>
      <w:r>
        <w:rPr>
          <w:rFonts w:eastAsia="Cambria"/>
          <w:b/>
          <w:lang w:val="en-CA"/>
        </w:rPr>
        <w:t>on</w:t>
      </w:r>
      <w:r w:rsidRPr="008F0CA3">
        <w:rPr>
          <w:rFonts w:eastAsia="Cambria"/>
          <w:b/>
          <w:lang w:val="en-CA"/>
        </w:rPr>
        <w:t>, including emergency contracepti</w:t>
      </w:r>
      <w:r>
        <w:rPr>
          <w:rFonts w:eastAsia="Cambria"/>
          <w:b/>
          <w:lang w:val="en-CA"/>
        </w:rPr>
        <w:t>ves, and provide access to affordable modern contraceptives;</w:t>
      </w:r>
      <w:r w:rsidR="00890BB4">
        <w:rPr>
          <w:rFonts w:eastAsia="Cambria"/>
          <w:b/>
          <w:lang w:val="en-CA"/>
        </w:rPr>
        <w:t xml:space="preserve"> </w:t>
      </w:r>
    </w:p>
    <w:p w:rsidR="00CA109F" w:rsidRDefault="00CA109F" w:rsidP="00CA109F">
      <w:pPr>
        <w:pStyle w:val="SingleTxtG"/>
        <w:rPr>
          <w:rFonts w:eastAsia="Cambria"/>
          <w:b/>
          <w:lang w:val="en-CA"/>
        </w:rPr>
      </w:pPr>
      <w:r>
        <w:rPr>
          <w:rFonts w:eastAsia="Cambria"/>
          <w:b/>
          <w:lang w:val="en-CA"/>
        </w:rPr>
        <w:tab/>
      </w:r>
      <w:r w:rsidRPr="009243E9">
        <w:rPr>
          <w:rFonts w:eastAsia="Cambria"/>
          <w:bCs/>
          <w:lang w:val="en-CA"/>
        </w:rPr>
        <w:t>(b)</w:t>
      </w:r>
      <w:r w:rsidRPr="008F0CA3">
        <w:rPr>
          <w:rFonts w:eastAsia="Cambria"/>
          <w:b/>
          <w:lang w:val="en-CA"/>
        </w:rPr>
        <w:tab/>
        <w:t xml:space="preserve">Repeal restrictive laws and policies in relation to termination of pregnancy, especially in cases of risk to the life or health, including </w:t>
      </w:r>
      <w:r>
        <w:rPr>
          <w:rFonts w:eastAsia="Cambria"/>
          <w:b/>
          <w:lang w:val="en-CA"/>
        </w:rPr>
        <w:t xml:space="preserve">the </w:t>
      </w:r>
      <w:r w:rsidRPr="008F0CA3">
        <w:rPr>
          <w:rFonts w:eastAsia="Cambria"/>
          <w:b/>
          <w:lang w:val="en-CA"/>
        </w:rPr>
        <w:t>mental health</w:t>
      </w:r>
      <w:r>
        <w:rPr>
          <w:rFonts w:eastAsia="Cambria"/>
          <w:b/>
          <w:lang w:val="en-CA"/>
        </w:rPr>
        <w:t>,</w:t>
      </w:r>
      <w:r w:rsidRPr="008F0CA3">
        <w:rPr>
          <w:rFonts w:eastAsia="Cambria"/>
          <w:b/>
          <w:lang w:val="en-CA"/>
        </w:rPr>
        <w:t xml:space="preserve"> of the pregnant woman, rape, incest and fatal impairment of the fetus, recogni</w:t>
      </w:r>
      <w:r>
        <w:rPr>
          <w:rFonts w:eastAsia="Cambria"/>
          <w:b/>
          <w:lang w:val="en-CA"/>
        </w:rPr>
        <w:t>z</w:t>
      </w:r>
      <w:r w:rsidRPr="008F0CA3">
        <w:rPr>
          <w:rFonts w:eastAsia="Cambria"/>
          <w:b/>
          <w:lang w:val="en-CA"/>
        </w:rPr>
        <w:t>ing that such laws and policies in any case primarily affect women living in poverty in a highly discriminatory way</w:t>
      </w:r>
      <w:r>
        <w:rPr>
          <w:rFonts w:eastAsia="Cambria"/>
          <w:b/>
          <w:lang w:val="en-CA"/>
        </w:rPr>
        <w:t>;</w:t>
      </w:r>
      <w:r w:rsidR="00CA1D87">
        <w:rPr>
          <w:rFonts w:eastAsia="Cambria"/>
          <w:b/>
          <w:lang w:val="en-CA"/>
        </w:rPr>
        <w:t xml:space="preserve"> </w:t>
      </w:r>
    </w:p>
    <w:p w:rsidR="00CA109F" w:rsidRDefault="00CA109F" w:rsidP="00CA109F">
      <w:pPr>
        <w:pStyle w:val="SingleTxtG"/>
        <w:rPr>
          <w:rFonts w:eastAsia="Cambria"/>
          <w:b/>
          <w:lang w:val="en-CA"/>
        </w:rPr>
      </w:pPr>
      <w:r w:rsidRPr="009243E9">
        <w:rPr>
          <w:rFonts w:eastAsia="Cambria"/>
          <w:bCs/>
          <w:lang w:val="en-CA"/>
        </w:rPr>
        <w:tab/>
        <w:t>(c)</w:t>
      </w:r>
      <w:r w:rsidRPr="008F0CA3">
        <w:rPr>
          <w:rFonts w:eastAsia="Cambria"/>
          <w:b/>
          <w:lang w:val="en-CA"/>
        </w:rPr>
        <w:tab/>
      </w:r>
      <w:r>
        <w:rPr>
          <w:rFonts w:eastAsia="Cambria"/>
          <w:b/>
          <w:lang w:val="en-CA"/>
        </w:rPr>
        <w:t>R</w:t>
      </w:r>
      <w:r w:rsidRPr="008F0CA3">
        <w:rPr>
          <w:rFonts w:eastAsia="Cambria"/>
          <w:b/>
          <w:lang w:val="en-CA"/>
        </w:rPr>
        <w:t>ecogni</w:t>
      </w:r>
      <w:r>
        <w:rPr>
          <w:rFonts w:eastAsia="Cambria"/>
          <w:b/>
          <w:lang w:val="en-CA"/>
        </w:rPr>
        <w:t>z</w:t>
      </w:r>
      <w:r w:rsidRPr="008F0CA3">
        <w:rPr>
          <w:rFonts w:eastAsia="Cambria"/>
          <w:b/>
          <w:lang w:val="en-CA"/>
        </w:rPr>
        <w:t xml:space="preserve">e women's right to be free from unwanted pregnancies and ensure access to affordable and effective family planning measures. Noting that many countries </w:t>
      </w:r>
      <w:r>
        <w:rPr>
          <w:rFonts w:eastAsia="Cambria"/>
          <w:b/>
          <w:lang w:val="en-CA"/>
        </w:rPr>
        <w:t>where women</w:t>
      </w:r>
      <w:r w:rsidRPr="008F0CA3">
        <w:rPr>
          <w:rFonts w:eastAsia="Cambria"/>
          <w:b/>
          <w:lang w:val="en-CA"/>
        </w:rPr>
        <w:t xml:space="preserve"> have the right to abortion on request supported by affordable and effective family planning measures have the lowest abortion rates in the world, </w:t>
      </w:r>
      <w:r>
        <w:rPr>
          <w:rFonts w:eastAsia="Cambria"/>
          <w:b/>
          <w:lang w:val="en-CA"/>
        </w:rPr>
        <w:t>S</w:t>
      </w:r>
      <w:r w:rsidRPr="008F0CA3">
        <w:rPr>
          <w:rFonts w:eastAsia="Cambria"/>
          <w:b/>
          <w:lang w:val="en-CA"/>
        </w:rPr>
        <w:t xml:space="preserve">tates should allow women to terminate </w:t>
      </w:r>
      <w:r>
        <w:rPr>
          <w:rFonts w:eastAsia="Cambria"/>
          <w:b/>
          <w:lang w:val="en-CA"/>
        </w:rPr>
        <w:t xml:space="preserve">a </w:t>
      </w:r>
      <w:r w:rsidRPr="008F0CA3">
        <w:rPr>
          <w:rFonts w:eastAsia="Cambria"/>
          <w:b/>
          <w:lang w:val="en-CA"/>
        </w:rPr>
        <w:t xml:space="preserve">pregnancy on request during the first trimester or later </w:t>
      </w:r>
      <w:r>
        <w:rPr>
          <w:rFonts w:eastAsia="Cambria"/>
          <w:b/>
          <w:lang w:val="en-CA"/>
        </w:rPr>
        <w:t>in the</w:t>
      </w:r>
      <w:r w:rsidRPr="008F0CA3">
        <w:rPr>
          <w:rFonts w:eastAsia="Cambria"/>
          <w:b/>
          <w:lang w:val="en-CA"/>
        </w:rPr>
        <w:t xml:space="preserve"> specific cases listed above</w:t>
      </w:r>
      <w:r>
        <w:rPr>
          <w:rFonts w:eastAsia="Cambria"/>
          <w:b/>
          <w:lang w:val="en-CA"/>
        </w:rPr>
        <w:t>;</w:t>
      </w:r>
      <w:r w:rsidRPr="008F0CA3">
        <w:rPr>
          <w:rFonts w:eastAsia="Cambria"/>
          <w:b/>
          <w:lang w:val="en-CA"/>
        </w:rPr>
        <w:t xml:space="preserve"> </w:t>
      </w:r>
    </w:p>
    <w:p w:rsidR="00CA109F" w:rsidRDefault="00CA109F" w:rsidP="00CA109F">
      <w:pPr>
        <w:pStyle w:val="SingleTxtG"/>
        <w:rPr>
          <w:rFonts w:eastAsia="Cambria"/>
          <w:b/>
          <w:lang w:val="en-CA"/>
        </w:rPr>
      </w:pPr>
      <w:r>
        <w:rPr>
          <w:rFonts w:eastAsia="Cambria"/>
          <w:b/>
          <w:lang w:val="en-CA"/>
        </w:rPr>
        <w:tab/>
      </w:r>
      <w:r w:rsidRPr="009243E9">
        <w:rPr>
          <w:rFonts w:eastAsia="Cambria"/>
          <w:bCs/>
          <w:lang w:val="en-CA"/>
        </w:rPr>
        <w:t>(d)</w:t>
      </w:r>
      <w:r w:rsidRPr="008F0CA3">
        <w:rPr>
          <w:rFonts w:eastAsia="Cambria"/>
          <w:b/>
          <w:lang w:val="en-CA"/>
        </w:rPr>
        <w:tab/>
        <w:t xml:space="preserve">Discontinue the use of criminal law </w:t>
      </w:r>
      <w:r>
        <w:rPr>
          <w:rFonts w:eastAsia="Cambria"/>
          <w:b/>
          <w:lang w:val="en-CA"/>
        </w:rPr>
        <w:t>to</w:t>
      </w:r>
      <w:r w:rsidRPr="008F0CA3">
        <w:rPr>
          <w:rFonts w:eastAsia="Cambria"/>
          <w:b/>
          <w:lang w:val="en-CA"/>
        </w:rPr>
        <w:t xml:space="preserve"> punish woman for ending a pregnancy and provide women and girls </w:t>
      </w:r>
      <w:r>
        <w:rPr>
          <w:rFonts w:eastAsia="Cambria"/>
          <w:b/>
          <w:lang w:val="en-CA"/>
        </w:rPr>
        <w:t xml:space="preserve">with </w:t>
      </w:r>
      <w:r w:rsidRPr="008F0CA3">
        <w:rPr>
          <w:rFonts w:eastAsia="Cambria"/>
          <w:b/>
          <w:lang w:val="en-CA"/>
        </w:rPr>
        <w:t>medical treatment for miscarriage and complications of unsafe termination of pregnancy</w:t>
      </w:r>
      <w:r>
        <w:rPr>
          <w:rFonts w:eastAsia="Cambria"/>
          <w:b/>
          <w:lang w:val="en-CA"/>
        </w:rPr>
        <w:t>;</w:t>
      </w:r>
      <w:r w:rsidRPr="008F0CA3">
        <w:rPr>
          <w:rFonts w:eastAsia="Cambria"/>
          <w:b/>
          <w:lang w:val="en-CA"/>
        </w:rPr>
        <w:t xml:space="preserve"> </w:t>
      </w:r>
    </w:p>
    <w:p w:rsidR="00CA109F" w:rsidRPr="008F0CA3" w:rsidRDefault="00CA109F" w:rsidP="00CA109F">
      <w:pPr>
        <w:pStyle w:val="SingleTxtG"/>
        <w:rPr>
          <w:rFonts w:eastAsia="Cambria"/>
          <w:b/>
          <w:lang w:val="en-CA"/>
        </w:rPr>
      </w:pPr>
      <w:r>
        <w:rPr>
          <w:rFonts w:eastAsia="Cambria"/>
          <w:b/>
          <w:lang w:val="en-CA"/>
        </w:rPr>
        <w:tab/>
      </w:r>
      <w:r w:rsidRPr="009243E9">
        <w:rPr>
          <w:rFonts w:eastAsia="Cambria"/>
          <w:bCs/>
          <w:lang w:val="en-CA"/>
        </w:rPr>
        <w:t>(e)</w:t>
      </w:r>
      <w:r w:rsidRPr="008F0CA3">
        <w:rPr>
          <w:rFonts w:eastAsia="Cambria"/>
          <w:b/>
          <w:lang w:val="en-CA"/>
        </w:rPr>
        <w:tab/>
        <w:t xml:space="preserve">Eliminate discriminatory barriers to access </w:t>
      </w:r>
      <w:r>
        <w:rPr>
          <w:rFonts w:eastAsia="Cambria"/>
          <w:b/>
          <w:lang w:val="en-CA"/>
        </w:rPr>
        <w:t>to</w:t>
      </w:r>
      <w:r w:rsidRPr="008F0CA3">
        <w:rPr>
          <w:rFonts w:eastAsia="Cambria"/>
          <w:b/>
          <w:lang w:val="en-CA"/>
        </w:rPr>
        <w:t xml:space="preserve"> legal termination of pregnancy</w:t>
      </w:r>
      <w:r>
        <w:rPr>
          <w:rFonts w:eastAsia="Cambria"/>
          <w:b/>
          <w:lang w:val="en-CA"/>
        </w:rPr>
        <w:t xml:space="preserve"> that</w:t>
      </w:r>
      <w:r w:rsidRPr="008F0CA3">
        <w:rPr>
          <w:rFonts w:eastAsia="Cambria"/>
          <w:b/>
          <w:lang w:val="en-CA"/>
        </w:rPr>
        <w:t xml:space="preserve"> not based on medical needs, such as waiting periods for implementation of the decision to terminate a pregnancy, authorization requirements for reproductive health clinics and staff, and unduly restrictive interpretations of legal grounds for termination of pregnancy. </w:t>
      </w:r>
    </w:p>
    <w:p w:rsidR="00CA109F" w:rsidRDefault="00CA109F" w:rsidP="00CA109F">
      <w:pPr>
        <w:pStyle w:val="H1G"/>
        <w:rPr>
          <w:rFonts w:eastAsia="Cambria"/>
          <w:lang w:val="en-CA"/>
        </w:rPr>
      </w:pPr>
      <w:r w:rsidRPr="00FD3ADB">
        <w:rPr>
          <w:rFonts w:eastAsia="Cambria"/>
          <w:lang w:val="en-CA"/>
        </w:rPr>
        <w:tab/>
        <w:t>D.</w:t>
      </w:r>
      <w:r w:rsidRPr="00FD3ADB">
        <w:rPr>
          <w:rFonts w:eastAsia="Cambria"/>
          <w:lang w:val="en-CA"/>
        </w:rPr>
        <w:tab/>
        <w:t>Autonomous, affordable and effective access to health</w:t>
      </w:r>
      <w:r>
        <w:rPr>
          <w:rFonts w:eastAsia="Cambria"/>
          <w:lang w:val="en-CA"/>
        </w:rPr>
        <w:t xml:space="preserve"> </w:t>
      </w:r>
      <w:r w:rsidRPr="00FD3ADB">
        <w:rPr>
          <w:rFonts w:eastAsia="Cambria"/>
          <w:lang w:val="en-CA"/>
        </w:rPr>
        <w:t>care</w:t>
      </w:r>
    </w:p>
    <w:p w:rsidR="00CA109F" w:rsidRPr="001B2499" w:rsidRDefault="00CA109F" w:rsidP="009243E9">
      <w:pPr>
        <w:pStyle w:val="SingleTxtG"/>
        <w:ind w:left="1138" w:right="1138"/>
        <w:rPr>
          <w:rFonts w:eastAsia="Cambria"/>
          <w:lang w:val="en-CA"/>
        </w:rPr>
      </w:pPr>
      <w:r w:rsidRPr="009243E9">
        <w:rPr>
          <w:rFonts w:eastAsia="Cambria"/>
          <w:bCs/>
          <w:lang w:val="en-CA"/>
        </w:rPr>
        <w:t>108.</w:t>
      </w:r>
      <w:r w:rsidRPr="00AE4C11">
        <w:rPr>
          <w:rFonts w:eastAsia="Cambria"/>
          <w:b/>
          <w:lang w:val="en-CA"/>
        </w:rPr>
        <w:tab/>
        <w:t xml:space="preserve">The Working Group recommends that States: </w:t>
      </w:r>
    </w:p>
    <w:p w:rsidR="00CA109F" w:rsidRPr="00E81B17" w:rsidRDefault="00CA109F" w:rsidP="00CA109F">
      <w:pPr>
        <w:pStyle w:val="SingleTxtG"/>
        <w:rPr>
          <w:rFonts w:eastAsia="Cambria"/>
          <w:b/>
          <w:lang w:val="en-CA"/>
        </w:rPr>
      </w:pPr>
      <w:r>
        <w:rPr>
          <w:rFonts w:eastAsia="Cambria"/>
          <w:b/>
          <w:lang w:val="en-CA"/>
        </w:rPr>
        <w:tab/>
      </w:r>
      <w:r w:rsidRPr="009243E9">
        <w:rPr>
          <w:rFonts w:eastAsia="Cambria"/>
          <w:bCs/>
          <w:lang w:val="en-CA"/>
        </w:rPr>
        <w:t>(a)</w:t>
      </w:r>
      <w:r>
        <w:rPr>
          <w:rFonts w:eastAsia="Cambria"/>
          <w:b/>
          <w:lang w:val="en-CA"/>
        </w:rPr>
        <w:tab/>
      </w:r>
      <w:r w:rsidRPr="00E81B17">
        <w:rPr>
          <w:rFonts w:eastAsia="Cambria"/>
          <w:b/>
          <w:lang w:val="en-CA"/>
        </w:rPr>
        <w:t>Ensure that access to health</w:t>
      </w:r>
      <w:r>
        <w:rPr>
          <w:rFonts w:eastAsia="Cambria"/>
          <w:b/>
          <w:lang w:val="en-CA"/>
        </w:rPr>
        <w:t xml:space="preserve"> </w:t>
      </w:r>
      <w:r w:rsidRPr="00E81B17">
        <w:rPr>
          <w:rFonts w:eastAsia="Cambria"/>
          <w:b/>
          <w:lang w:val="en-CA"/>
        </w:rPr>
        <w:t>care is autonomous, affordable and effective</w:t>
      </w:r>
      <w:r>
        <w:rPr>
          <w:rFonts w:eastAsia="Cambria"/>
          <w:b/>
          <w:lang w:val="en-CA"/>
        </w:rPr>
        <w:t>;</w:t>
      </w:r>
    </w:p>
    <w:p w:rsidR="00CA109F" w:rsidRPr="00E81B17" w:rsidRDefault="00CA109F" w:rsidP="00CA109F">
      <w:pPr>
        <w:pStyle w:val="SingleTxtG"/>
        <w:rPr>
          <w:rFonts w:eastAsia="Cambria"/>
          <w:b/>
          <w:lang w:val="en-CA"/>
        </w:rPr>
      </w:pPr>
      <w:r w:rsidRPr="009243E9">
        <w:rPr>
          <w:rFonts w:eastAsia="Cambria"/>
          <w:bCs/>
          <w:lang w:val="en-CA"/>
        </w:rPr>
        <w:tab/>
        <w:t>(b)</w:t>
      </w:r>
      <w:r>
        <w:rPr>
          <w:rFonts w:eastAsia="Cambria"/>
          <w:b/>
          <w:lang w:val="en-CA"/>
        </w:rPr>
        <w:tab/>
      </w:r>
      <w:r w:rsidRPr="00E81B17">
        <w:rPr>
          <w:rFonts w:eastAsia="Cambria"/>
          <w:b/>
          <w:lang w:val="en-CA"/>
        </w:rPr>
        <w:t xml:space="preserve">Address underlying factors which negate women’s autonomy in decision-making regarding their own </w:t>
      </w:r>
      <w:r>
        <w:rPr>
          <w:rFonts w:eastAsia="Cambria"/>
          <w:b/>
          <w:lang w:val="en-CA"/>
        </w:rPr>
        <w:t>lives</w:t>
      </w:r>
      <w:r w:rsidRPr="00E81B17">
        <w:rPr>
          <w:rFonts w:eastAsia="Cambria"/>
          <w:b/>
          <w:lang w:val="en-CA"/>
        </w:rPr>
        <w:t>, health or bod</w:t>
      </w:r>
      <w:r>
        <w:rPr>
          <w:rFonts w:eastAsia="Cambria"/>
          <w:b/>
          <w:lang w:val="en-CA"/>
        </w:rPr>
        <w:t>ies</w:t>
      </w:r>
      <w:r w:rsidRPr="00E81B17">
        <w:rPr>
          <w:rFonts w:eastAsia="Cambria"/>
          <w:b/>
          <w:lang w:val="en-CA"/>
        </w:rPr>
        <w:t>, through education, provision of information and monitoring mechanisms to ensure that their autonomy is respected at all levels of the health</w:t>
      </w:r>
      <w:r>
        <w:rPr>
          <w:rFonts w:eastAsia="Cambria"/>
          <w:b/>
          <w:lang w:val="en-CA"/>
        </w:rPr>
        <w:t>-</w:t>
      </w:r>
      <w:r w:rsidRPr="00E81B17">
        <w:rPr>
          <w:rFonts w:eastAsia="Cambria"/>
          <w:b/>
          <w:lang w:val="en-CA"/>
        </w:rPr>
        <w:t>care syste</w:t>
      </w:r>
      <w:r>
        <w:rPr>
          <w:rFonts w:eastAsia="Cambria"/>
          <w:b/>
          <w:lang w:val="en-CA"/>
        </w:rPr>
        <w:t>m;</w:t>
      </w:r>
    </w:p>
    <w:p w:rsidR="00CA109F" w:rsidRPr="00E81B17" w:rsidRDefault="00CA109F" w:rsidP="00CA109F">
      <w:pPr>
        <w:pStyle w:val="SingleTxtG"/>
        <w:rPr>
          <w:rFonts w:eastAsia="Cambria"/>
          <w:b/>
          <w:lang w:val="en-CA"/>
        </w:rPr>
      </w:pPr>
      <w:r>
        <w:rPr>
          <w:rFonts w:eastAsia="Cambria"/>
          <w:b/>
          <w:lang w:val="en-CA"/>
        </w:rPr>
        <w:tab/>
      </w:r>
      <w:r w:rsidRPr="009243E9">
        <w:rPr>
          <w:rFonts w:eastAsia="Cambria"/>
          <w:bCs/>
          <w:lang w:val="en-CA"/>
        </w:rPr>
        <w:t>(c)</w:t>
      </w:r>
      <w:r>
        <w:rPr>
          <w:rFonts w:eastAsia="Cambria"/>
          <w:b/>
          <w:lang w:val="en-CA"/>
        </w:rPr>
        <w:tab/>
      </w:r>
      <w:r w:rsidRPr="00E81B17">
        <w:rPr>
          <w:rFonts w:eastAsia="Cambria"/>
          <w:b/>
          <w:lang w:val="en-CA"/>
        </w:rPr>
        <w:t>Invalidate conditioning of women’s and girls’ access to health</w:t>
      </w:r>
      <w:r>
        <w:rPr>
          <w:rFonts w:eastAsia="Cambria"/>
          <w:b/>
          <w:lang w:val="en-CA"/>
        </w:rPr>
        <w:t xml:space="preserve"> </w:t>
      </w:r>
      <w:r w:rsidRPr="00E81B17">
        <w:rPr>
          <w:rFonts w:eastAsia="Cambria"/>
          <w:b/>
          <w:lang w:val="en-CA"/>
        </w:rPr>
        <w:t>care on third</w:t>
      </w:r>
      <w:r>
        <w:rPr>
          <w:rFonts w:eastAsia="Cambria"/>
          <w:b/>
          <w:lang w:val="en-CA"/>
        </w:rPr>
        <w:t>-</w:t>
      </w:r>
      <w:r w:rsidRPr="00E81B17">
        <w:rPr>
          <w:rFonts w:eastAsia="Cambria"/>
          <w:b/>
          <w:lang w:val="en-CA"/>
        </w:rPr>
        <w:t>party authori</w:t>
      </w:r>
      <w:r>
        <w:rPr>
          <w:rFonts w:eastAsia="Cambria"/>
          <w:b/>
          <w:lang w:val="en-CA"/>
        </w:rPr>
        <w:t>z</w:t>
      </w:r>
      <w:r w:rsidRPr="00E81B17">
        <w:rPr>
          <w:rFonts w:eastAsia="Cambria"/>
          <w:b/>
          <w:lang w:val="en-CA"/>
        </w:rPr>
        <w:t>ation</w:t>
      </w:r>
      <w:r>
        <w:rPr>
          <w:rFonts w:eastAsia="Cambria"/>
          <w:b/>
          <w:lang w:val="en-CA"/>
        </w:rPr>
        <w:t>;</w:t>
      </w:r>
    </w:p>
    <w:p w:rsidR="00CA109F" w:rsidRPr="00E81B17" w:rsidRDefault="00CA109F" w:rsidP="00CA109F">
      <w:pPr>
        <w:pStyle w:val="SingleTxtG"/>
        <w:rPr>
          <w:rFonts w:eastAsia="Cambria"/>
          <w:b/>
          <w:lang w:val="en-CA"/>
        </w:rPr>
      </w:pPr>
      <w:r>
        <w:rPr>
          <w:rFonts w:eastAsia="Cambria"/>
          <w:b/>
          <w:lang w:val="en-CA"/>
        </w:rPr>
        <w:tab/>
      </w:r>
      <w:r w:rsidRPr="009243E9">
        <w:rPr>
          <w:rFonts w:eastAsia="Cambria"/>
          <w:bCs/>
          <w:lang w:val="en-CA"/>
        </w:rPr>
        <w:t>(d)</w:t>
      </w:r>
      <w:r>
        <w:rPr>
          <w:rFonts w:eastAsia="Cambria"/>
          <w:b/>
          <w:lang w:val="en-CA"/>
        </w:rPr>
        <w:tab/>
      </w:r>
      <w:r w:rsidRPr="00E81B17">
        <w:rPr>
          <w:rFonts w:eastAsia="Cambria"/>
          <w:b/>
          <w:lang w:val="en-CA"/>
        </w:rPr>
        <w:t>Provide training to health providers</w:t>
      </w:r>
      <w:r>
        <w:rPr>
          <w:rFonts w:eastAsia="Cambria"/>
          <w:b/>
          <w:lang w:val="en-CA"/>
        </w:rPr>
        <w:t>,</w:t>
      </w:r>
      <w:r w:rsidRPr="00E81B17">
        <w:rPr>
          <w:rFonts w:eastAsia="Cambria"/>
          <w:b/>
          <w:lang w:val="en-CA"/>
        </w:rPr>
        <w:t xml:space="preserve"> including on gender equality and non-discrimination, respect for women’s rights and dignity and recognition of alternative medicine</w:t>
      </w:r>
      <w:r>
        <w:rPr>
          <w:rFonts w:eastAsia="Cambria"/>
          <w:b/>
          <w:lang w:val="en-CA"/>
        </w:rPr>
        <w:t>;</w:t>
      </w:r>
      <w:r w:rsidRPr="00E81B17">
        <w:rPr>
          <w:rFonts w:eastAsia="Cambria"/>
          <w:b/>
          <w:lang w:val="en-CA"/>
        </w:rPr>
        <w:t xml:space="preserve"> </w:t>
      </w:r>
    </w:p>
    <w:p w:rsidR="00CA109F" w:rsidRPr="00E81B17" w:rsidRDefault="00CA109F" w:rsidP="00CA109F">
      <w:pPr>
        <w:pStyle w:val="SingleTxtG"/>
        <w:rPr>
          <w:rFonts w:eastAsia="Cambria"/>
          <w:b/>
          <w:lang w:val="en-CA"/>
        </w:rPr>
      </w:pPr>
      <w:r>
        <w:rPr>
          <w:rFonts w:eastAsia="Cambria"/>
          <w:b/>
          <w:lang w:val="en-CA"/>
        </w:rPr>
        <w:tab/>
      </w:r>
      <w:r w:rsidRPr="009243E9">
        <w:rPr>
          <w:rFonts w:eastAsia="Cambria"/>
          <w:bCs/>
          <w:lang w:val="en-CA"/>
        </w:rPr>
        <w:t>(e)</w:t>
      </w:r>
      <w:r>
        <w:rPr>
          <w:rFonts w:eastAsia="Cambria"/>
          <w:b/>
          <w:lang w:val="en-CA"/>
        </w:rPr>
        <w:tab/>
      </w:r>
      <w:r w:rsidRPr="00E81B17">
        <w:rPr>
          <w:rFonts w:eastAsia="Cambria"/>
          <w:b/>
          <w:lang w:val="en-CA"/>
        </w:rPr>
        <w:t>Provide non-discriminatory health insurance coverage for women</w:t>
      </w:r>
      <w:r>
        <w:rPr>
          <w:rFonts w:eastAsia="Cambria"/>
          <w:b/>
          <w:lang w:val="en-CA"/>
        </w:rPr>
        <w:t>,</w:t>
      </w:r>
      <w:r w:rsidRPr="00E81B17">
        <w:rPr>
          <w:rFonts w:eastAsia="Cambria"/>
          <w:b/>
          <w:lang w:val="en-CA"/>
        </w:rPr>
        <w:t xml:space="preserve"> without surcharges for coverage of their reproductive and sexual health</w:t>
      </w:r>
      <w:r>
        <w:rPr>
          <w:rFonts w:eastAsia="Cambria"/>
          <w:b/>
          <w:lang w:val="en-CA"/>
        </w:rPr>
        <w:t>;</w:t>
      </w:r>
      <w:r w:rsidRPr="00E81B17">
        <w:rPr>
          <w:rFonts w:eastAsia="Cambria"/>
          <w:b/>
          <w:lang w:val="en-CA"/>
        </w:rPr>
        <w:t xml:space="preserve"> </w:t>
      </w:r>
    </w:p>
    <w:p w:rsidR="00CA109F" w:rsidRPr="00FD3ADB" w:rsidRDefault="00CA109F" w:rsidP="00CA109F">
      <w:pPr>
        <w:pStyle w:val="SingleTxtG"/>
        <w:rPr>
          <w:rFonts w:eastAsia="Cambria"/>
          <w:b/>
          <w:lang w:val="en-CA"/>
        </w:rPr>
      </w:pPr>
      <w:r w:rsidRPr="009243E9">
        <w:rPr>
          <w:rFonts w:eastAsia="Cambria"/>
          <w:bCs/>
          <w:lang w:val="en-CA"/>
        </w:rPr>
        <w:tab/>
        <w:t>(f)</w:t>
      </w:r>
      <w:r>
        <w:rPr>
          <w:rFonts w:eastAsia="Cambria"/>
          <w:b/>
          <w:lang w:val="en-CA"/>
        </w:rPr>
        <w:tab/>
      </w:r>
      <w:r w:rsidRPr="00E81B17">
        <w:rPr>
          <w:rFonts w:eastAsia="Cambria"/>
          <w:b/>
          <w:lang w:val="en-CA"/>
        </w:rPr>
        <w:t>Include contraception of choice, preventive care and treatment for cervical and breast cancer, termination of pregnancy and maternity care in universal health</w:t>
      </w:r>
      <w:r w:rsidRPr="00FD3ADB">
        <w:rPr>
          <w:rFonts w:eastAsia="Cambria"/>
          <w:b/>
          <w:lang w:val="en-CA"/>
        </w:rPr>
        <w:t xml:space="preserve"> care or subsidi</w:t>
      </w:r>
      <w:r>
        <w:rPr>
          <w:rFonts w:eastAsia="Cambria"/>
          <w:b/>
          <w:lang w:val="en-CA"/>
        </w:rPr>
        <w:t>z</w:t>
      </w:r>
      <w:r w:rsidRPr="00FD3ADB">
        <w:rPr>
          <w:rFonts w:eastAsia="Cambria"/>
          <w:b/>
          <w:lang w:val="en-CA"/>
        </w:rPr>
        <w:t>e provision of these treatments and medicines to ensure that they are affordable</w:t>
      </w:r>
      <w:r>
        <w:rPr>
          <w:rFonts w:eastAsia="Cambria"/>
          <w:b/>
          <w:lang w:val="en-CA"/>
        </w:rPr>
        <w:t>;</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(g)</w:t>
      </w:r>
      <w:r>
        <w:rPr>
          <w:rFonts w:eastAsia="Cambria"/>
          <w:b/>
          <w:lang w:val="en-CA"/>
        </w:rPr>
        <w:tab/>
      </w:r>
      <w:r w:rsidRPr="00FD3ADB">
        <w:rPr>
          <w:rFonts w:eastAsia="Cambria"/>
          <w:b/>
          <w:lang w:val="en-CA"/>
        </w:rPr>
        <w:t xml:space="preserve">Restrict conscientious objection to the direct provider of the medical intervention and allow conscientious objection only where an alternative can be found </w:t>
      </w:r>
      <w:r w:rsidRPr="00FD3ADB">
        <w:rPr>
          <w:rFonts w:eastAsia="Cambria"/>
          <w:b/>
          <w:lang w:val="en-CA"/>
        </w:rPr>
        <w:lastRenderedPageBreak/>
        <w:t>for the patient to access treatment within the time needed for performance of the procedure</w:t>
      </w:r>
      <w:r>
        <w:rPr>
          <w:rFonts w:eastAsia="Cambria"/>
          <w:b/>
          <w:lang w:val="en-CA"/>
        </w:rPr>
        <w:t>;</w:t>
      </w:r>
    </w:p>
    <w:p w:rsidR="00CA109F" w:rsidRPr="00FD3ADB" w:rsidRDefault="00CA109F" w:rsidP="00CA109F">
      <w:pPr>
        <w:pStyle w:val="SingleTxtG"/>
        <w:rPr>
          <w:rFonts w:eastAsia="Cambria"/>
          <w:b/>
          <w:lang w:val="en-CA"/>
        </w:rPr>
      </w:pPr>
      <w:r>
        <w:rPr>
          <w:rFonts w:eastAsia="Cambria"/>
          <w:b/>
          <w:lang w:val="en-CA"/>
        </w:rPr>
        <w:tab/>
      </w:r>
      <w:r w:rsidRPr="009243E9">
        <w:rPr>
          <w:rFonts w:eastAsia="Cambria"/>
          <w:bCs/>
          <w:lang w:val="en-CA"/>
        </w:rPr>
        <w:t>(h)</w:t>
      </w:r>
      <w:r>
        <w:rPr>
          <w:rFonts w:eastAsia="Cambria"/>
          <w:b/>
          <w:lang w:val="en-CA"/>
        </w:rPr>
        <w:tab/>
      </w:r>
      <w:r w:rsidRPr="00FD3ADB">
        <w:rPr>
          <w:rFonts w:eastAsia="Cambria"/>
          <w:b/>
          <w:lang w:val="en-CA"/>
        </w:rPr>
        <w:t>Exercise due diligence to ensure that the diverse actors</w:t>
      </w:r>
      <w:r>
        <w:rPr>
          <w:rFonts w:eastAsia="Cambria"/>
          <w:b/>
          <w:lang w:val="en-CA"/>
        </w:rPr>
        <w:t xml:space="preserve"> and</w:t>
      </w:r>
      <w:r w:rsidRPr="00FD3ADB">
        <w:rPr>
          <w:rFonts w:eastAsia="Cambria"/>
          <w:b/>
          <w:lang w:val="en-CA"/>
        </w:rPr>
        <w:t xml:space="preserve"> corporate and individual health providers who provide health services or produce medication</w:t>
      </w:r>
      <w:r>
        <w:rPr>
          <w:rFonts w:eastAsia="Cambria"/>
          <w:b/>
          <w:lang w:val="en-CA"/>
        </w:rPr>
        <w:t>s</w:t>
      </w:r>
      <w:r w:rsidRPr="00FD3ADB">
        <w:rPr>
          <w:rFonts w:eastAsia="Cambria"/>
          <w:b/>
          <w:lang w:val="en-CA"/>
        </w:rPr>
        <w:t xml:space="preserve"> do so in a non-discriminatory way and establish guidelines for the equal treatment of women patients under their codes of conduct</w:t>
      </w:r>
      <w:r>
        <w:rPr>
          <w:rFonts w:eastAsia="Cambria"/>
          <w:b/>
          <w:lang w:val="en-CA"/>
        </w:rPr>
        <w:t>;</w:t>
      </w:r>
    </w:p>
    <w:p w:rsidR="00CA109F" w:rsidRDefault="00CA109F" w:rsidP="00CA109F">
      <w:pPr>
        <w:pStyle w:val="SingleTxtG"/>
        <w:rPr>
          <w:rFonts w:eastAsia="Cambria"/>
          <w:b/>
          <w:lang w:val="en-CA"/>
        </w:rPr>
      </w:pPr>
      <w:r>
        <w:rPr>
          <w:rFonts w:eastAsia="Cambria"/>
          <w:lang w:val="en-CA"/>
        </w:rPr>
        <w:tab/>
        <w:t>(i)</w:t>
      </w:r>
      <w:r>
        <w:rPr>
          <w:rFonts w:eastAsia="Cambria"/>
          <w:lang w:val="en-CA"/>
        </w:rPr>
        <w:tab/>
      </w:r>
      <w:r w:rsidRPr="00FD3ADB">
        <w:rPr>
          <w:rFonts w:eastAsia="Cambria"/>
          <w:b/>
          <w:lang w:val="en-CA"/>
        </w:rPr>
        <w:t>Provide age-appropriate, comprehensive and inclusive sexuality education based on scientific evidence and human rights, for girls and boys, as part of the mandatory school programmes. Sexuality education should g</w:t>
      </w:r>
      <w:r>
        <w:rPr>
          <w:rFonts w:eastAsia="Cambria"/>
          <w:b/>
          <w:lang w:val="en-CA"/>
        </w:rPr>
        <w:t>i</w:t>
      </w:r>
      <w:r w:rsidRPr="00FD3ADB">
        <w:rPr>
          <w:rFonts w:eastAsia="Cambria"/>
          <w:b/>
          <w:lang w:val="en-CA"/>
        </w:rPr>
        <w:t xml:space="preserve">ve particular attention to gender equality, sexuality, relationships, gender identity, including non-conforming gender identities, </w:t>
      </w:r>
      <w:r>
        <w:rPr>
          <w:rFonts w:eastAsia="Cambria"/>
          <w:b/>
          <w:lang w:val="en-CA"/>
        </w:rPr>
        <w:t xml:space="preserve">and </w:t>
      </w:r>
      <w:r w:rsidRPr="00FD3ADB">
        <w:rPr>
          <w:rFonts w:eastAsia="Cambria"/>
          <w:b/>
          <w:lang w:val="en-CA"/>
        </w:rPr>
        <w:t>responsible parenthood and sexual</w:t>
      </w:r>
      <w:r w:rsidRPr="00FD3ADB">
        <w:rPr>
          <w:b/>
        </w:rPr>
        <w:t xml:space="preserve"> </w:t>
      </w:r>
      <w:r w:rsidRPr="00FD3ADB">
        <w:rPr>
          <w:rFonts w:eastAsia="Cambria"/>
          <w:b/>
          <w:lang w:val="en-CA"/>
        </w:rPr>
        <w:t xml:space="preserve">behaviour to prevent early pregnancies and </w:t>
      </w:r>
      <w:r>
        <w:rPr>
          <w:rFonts w:eastAsia="Cambria"/>
          <w:b/>
          <w:lang w:val="en-CA"/>
        </w:rPr>
        <w:t>sexually transmitted infections;</w:t>
      </w:r>
    </w:p>
    <w:p w:rsidR="00CA109F" w:rsidRPr="009C51F7" w:rsidRDefault="00CA109F" w:rsidP="00CA109F">
      <w:pPr>
        <w:pStyle w:val="SingleTxtG"/>
        <w:rPr>
          <w:rFonts w:eastAsia="Cambria"/>
          <w:b/>
          <w:lang w:val="en-CA"/>
        </w:rPr>
      </w:pPr>
      <w:r>
        <w:rPr>
          <w:rFonts w:eastAsia="Cambria"/>
          <w:b/>
          <w:lang w:val="en-CA"/>
        </w:rPr>
        <w:tab/>
      </w:r>
      <w:r w:rsidRPr="009243E9">
        <w:rPr>
          <w:rFonts w:eastAsia="Cambria"/>
          <w:bCs/>
          <w:lang w:val="en-CA"/>
        </w:rPr>
        <w:t>(j)</w:t>
      </w:r>
      <w:r>
        <w:rPr>
          <w:rFonts w:eastAsia="Cambria"/>
          <w:b/>
          <w:lang w:val="en-CA"/>
        </w:rPr>
        <w:tab/>
      </w:r>
      <w:r w:rsidRPr="009C51F7">
        <w:rPr>
          <w:rFonts w:eastAsia="Cambria"/>
          <w:b/>
          <w:lang w:val="en-CA"/>
        </w:rPr>
        <w:t xml:space="preserve">Ensure that the standards </w:t>
      </w:r>
      <w:r>
        <w:rPr>
          <w:rFonts w:eastAsia="Cambria"/>
          <w:b/>
          <w:lang w:val="en-CA"/>
        </w:rPr>
        <w:t xml:space="preserve">contained </w:t>
      </w:r>
      <w:r w:rsidRPr="009C51F7">
        <w:rPr>
          <w:rFonts w:eastAsia="Cambria"/>
          <w:b/>
          <w:lang w:val="en-CA"/>
        </w:rPr>
        <w:t>in the</w:t>
      </w:r>
      <w:r>
        <w:rPr>
          <w:rFonts w:eastAsia="Cambria"/>
          <w:b/>
          <w:lang w:val="en-CA"/>
        </w:rPr>
        <w:t xml:space="preserve"> present</w:t>
      </w:r>
      <w:r w:rsidRPr="009C51F7">
        <w:rPr>
          <w:rFonts w:eastAsia="Cambria"/>
          <w:b/>
          <w:lang w:val="en-CA"/>
        </w:rPr>
        <w:t xml:space="preserve"> recommendations </w:t>
      </w:r>
      <w:r>
        <w:rPr>
          <w:rFonts w:eastAsia="Cambria"/>
          <w:b/>
          <w:lang w:val="en-CA"/>
        </w:rPr>
        <w:t>are</w:t>
      </w:r>
      <w:r w:rsidRPr="009C51F7">
        <w:rPr>
          <w:rFonts w:eastAsia="Cambria"/>
          <w:b/>
          <w:lang w:val="en-CA"/>
        </w:rPr>
        <w:t xml:space="preserve"> observed and enforced by</w:t>
      </w:r>
      <w:r>
        <w:rPr>
          <w:rFonts w:eastAsia="Cambria"/>
          <w:b/>
          <w:lang w:val="en-CA"/>
        </w:rPr>
        <w:t xml:space="preserve"> all health-</w:t>
      </w:r>
      <w:r w:rsidRPr="009C51F7">
        <w:rPr>
          <w:rFonts w:eastAsia="Cambria"/>
          <w:b/>
          <w:lang w:val="en-CA"/>
        </w:rPr>
        <w:t>care providers, public or private, and engage both women and men, as appropriate, in efforts to prevent discrimination, stereotyping and instrumentalization of women’s bodies and biological functions.</w:t>
      </w:r>
    </w:p>
    <w:p w:rsidR="00CA109F" w:rsidRPr="00CE155B" w:rsidRDefault="00CA109F" w:rsidP="00CA109F">
      <w:pPr>
        <w:pStyle w:val="SingleTxtG"/>
        <w:spacing w:before="240" w:after="0"/>
        <w:jc w:val="center"/>
        <w:rPr>
          <w:rFonts w:eastAsia="Cambria"/>
          <w:bCs/>
          <w:u w:val="single"/>
          <w:lang w:val="en-CA"/>
        </w:rPr>
      </w:pPr>
      <w:r w:rsidRPr="00CE155B">
        <w:rPr>
          <w:rFonts w:eastAsia="Cambria"/>
          <w:bCs/>
          <w:u w:val="single"/>
          <w:lang w:val="en-CA"/>
        </w:rPr>
        <w:tab/>
      </w:r>
      <w:r w:rsidRPr="00CE155B">
        <w:rPr>
          <w:rFonts w:eastAsia="Cambria"/>
          <w:bCs/>
          <w:u w:val="single"/>
          <w:lang w:val="en-CA"/>
        </w:rPr>
        <w:tab/>
      </w:r>
      <w:r w:rsidRPr="00CE155B">
        <w:rPr>
          <w:rFonts w:eastAsia="Cambria"/>
          <w:bCs/>
          <w:u w:val="single"/>
          <w:lang w:val="en-CA"/>
        </w:rPr>
        <w:tab/>
      </w:r>
    </w:p>
    <w:p w:rsidR="00826524" w:rsidRPr="00CA109F" w:rsidRDefault="00826524">
      <w:pPr>
        <w:rPr>
          <w:lang w:val="en-CA"/>
        </w:rPr>
      </w:pPr>
    </w:p>
    <w:sectPr w:rsidR="00826524" w:rsidRPr="00CA109F" w:rsidSect="006D728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9D" w:rsidRDefault="009A039D" w:rsidP="00CA109F">
      <w:pPr>
        <w:spacing w:line="240" w:lineRule="auto"/>
      </w:pPr>
      <w:r>
        <w:separator/>
      </w:r>
    </w:p>
  </w:endnote>
  <w:endnote w:type="continuationSeparator" w:id="0">
    <w:p w:rsidR="009A039D" w:rsidRDefault="009A039D" w:rsidP="00CA1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8900">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 w:name="HelveticaNeue-Condensed">
    <w:charset w:val="00"/>
    <w:family w:val="swiss"/>
    <w:pitch w:val="default"/>
  </w:font>
  <w:font w:name="Minion Pro">
    <w:altName w:val="Cambria"/>
    <w:panose1 w:val="00000000000000000000"/>
    <w:charset w:val="00"/>
    <w:family w:val="auto"/>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Font">
    <w:altName w:val="Cambria"/>
    <w:panose1 w:val="00000000000000000000"/>
    <w:charset w:val="00"/>
    <w:family w:val="auto"/>
    <w:notTrueType/>
    <w:pitch w:val="default"/>
    <w:sig w:usb0="00000003" w:usb1="00000000" w:usb2="00000000" w:usb3="00000000" w:csb0="00000001" w:csb1="00000000"/>
  </w:font>
  <w:font w:name="serif">
    <w:altName w:val="Times New Roman"/>
    <w:charset w:val="00"/>
    <w:family w:val="auto"/>
    <w:pitch w:val="default"/>
  </w:font>
  <w:font w:name="MyriadPro-Light;Arial Unicode M">
    <w:panose1 w:val="00000000000000000000"/>
    <w:charset w:val="00"/>
    <w:family w:val="roman"/>
    <w:notTrueType/>
    <w:pitch w:val="default"/>
  </w:font>
  <w:font w:name="HelveticaNeue-Condensed;Arial U">
    <w:panose1 w:val="00000000000000000000"/>
    <w:charset w:val="00"/>
    <w:family w:val="roman"/>
    <w:notTrueType/>
    <w:pitch w:val="default"/>
  </w:font>
  <w:font w:name="ScalaLancetPr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Pr="00FE4423" w:rsidRDefault="00A415B5" w:rsidP="00983B4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C64C2A">
      <w:rPr>
        <w:b/>
        <w:noProof/>
        <w:sz w:val="18"/>
      </w:rPr>
      <w:t>12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Pr="00FE4423" w:rsidRDefault="00A415B5" w:rsidP="00983B4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C64C2A">
      <w:rPr>
        <w:b/>
        <w:noProof/>
        <w:sz w:val="18"/>
      </w:rPr>
      <w:t>11</w:t>
    </w:r>
    <w:r w:rsidRPr="00FE44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Default="00A4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9D" w:rsidRDefault="009A039D" w:rsidP="00CA109F">
      <w:pPr>
        <w:spacing w:line="240" w:lineRule="auto"/>
      </w:pPr>
      <w:r>
        <w:separator/>
      </w:r>
    </w:p>
  </w:footnote>
  <w:footnote w:type="continuationSeparator" w:id="0">
    <w:p w:rsidR="009A039D" w:rsidRDefault="009A039D" w:rsidP="00CA109F">
      <w:pPr>
        <w:spacing w:line="240" w:lineRule="auto"/>
      </w:pPr>
      <w:r>
        <w:continuationSeparator/>
      </w:r>
    </w:p>
  </w:footnote>
  <w:footnote w:id="1">
    <w:p w:rsidR="00A415B5" w:rsidRPr="00DA4D19" w:rsidRDefault="00A415B5" w:rsidP="00A415B5">
      <w:pPr>
        <w:pStyle w:val="FootnoteText"/>
        <w:rPr>
          <w:szCs w:val="18"/>
        </w:rPr>
      </w:pPr>
      <w:r w:rsidRPr="00DA4D19">
        <w:rPr>
          <w:szCs w:val="18"/>
        </w:rPr>
        <w:tab/>
      </w:r>
      <w:r w:rsidRPr="00DA4D19">
        <w:rPr>
          <w:rStyle w:val="FootnoteReference"/>
          <w:szCs w:val="18"/>
        </w:rPr>
        <w:footnoteRef/>
      </w:r>
      <w:r>
        <w:rPr>
          <w:szCs w:val="18"/>
        </w:rPr>
        <w:tab/>
        <w:t xml:space="preserve">This is the web version of the official </w:t>
      </w:r>
      <w:r w:rsidRPr="00DA4D19">
        <w:rPr>
          <w:szCs w:val="18"/>
        </w:rPr>
        <w:t xml:space="preserve">report </w:t>
      </w:r>
      <w:r>
        <w:rPr>
          <w:szCs w:val="18"/>
        </w:rPr>
        <w:t xml:space="preserve">submitted to the Human Rights Council containing </w:t>
      </w:r>
      <w:r w:rsidRPr="00DA4D19">
        <w:rPr>
          <w:szCs w:val="18"/>
        </w:rPr>
        <w:t>full references</w:t>
      </w:r>
      <w:r>
        <w:rPr>
          <w:szCs w:val="18"/>
        </w:rPr>
        <w:t xml:space="preserve">. </w:t>
      </w:r>
    </w:p>
  </w:footnote>
  <w:footnote w:id="2">
    <w:p w:rsidR="00A415B5" w:rsidRPr="00DA4D19" w:rsidRDefault="00A415B5" w:rsidP="006A7F20">
      <w:pPr>
        <w:pStyle w:val="FootnoteText"/>
        <w:ind w:hanging="141"/>
        <w:rPr>
          <w:bCs/>
          <w:szCs w:val="18"/>
        </w:rPr>
      </w:pPr>
      <w:r w:rsidRPr="00DA4D19">
        <w:rPr>
          <w:rStyle w:val="FootnoteReference"/>
          <w:szCs w:val="18"/>
        </w:rPr>
        <w:footnoteRef/>
      </w:r>
      <w:r w:rsidRPr="00DA4D19">
        <w:rPr>
          <w:szCs w:val="18"/>
        </w:rPr>
        <w:t xml:space="preserve"> Articles 10, 11, 12, 14 and 16, Convention on the Elimination of all forms of Discrimination against Women (1979); Article 12, Convention on Economic, Social and Cultural Rights (1966);</w:t>
      </w:r>
      <w:r w:rsidRPr="00DA4D19">
        <w:rPr>
          <w:bCs/>
          <w:szCs w:val="18"/>
          <w:lang w:val="en-US"/>
        </w:rPr>
        <w:t xml:space="preserve"> Article 24, Convention on the Rights of the Child (1989); Convention on the Rights of Persons with Disabilities. (2006); International Conference on Population and Development – Beijing Platform for Action (1995); Article 14, Protocol to the African Charter on Human and Peoples' Rights on the Rights of Women in Africa (2003); Article 17, Social Charter of the Americas (2012).</w:t>
      </w:r>
    </w:p>
  </w:footnote>
  <w:footnote w:id="3">
    <w:p w:rsidR="00A415B5" w:rsidRPr="00DA4D19" w:rsidRDefault="00A415B5" w:rsidP="006A7F20">
      <w:pPr>
        <w:pStyle w:val="FootnoteText"/>
        <w:ind w:hanging="141"/>
        <w:rPr>
          <w:szCs w:val="18"/>
        </w:rPr>
      </w:pPr>
      <w:r w:rsidRPr="00DA4D19">
        <w:rPr>
          <w:rStyle w:val="FootnoteReference"/>
          <w:szCs w:val="18"/>
        </w:rPr>
        <w:footnoteRef/>
      </w:r>
      <w:r w:rsidRPr="00DA4D19">
        <w:rPr>
          <w:szCs w:val="18"/>
        </w:rPr>
        <w:t xml:space="preserve"> See </w:t>
      </w:r>
      <w:r w:rsidRPr="00DA4D19">
        <w:rPr>
          <w:i/>
          <w:szCs w:val="18"/>
        </w:rPr>
        <w:t>Programme of Action</w:t>
      </w:r>
      <w:r w:rsidRPr="00DA4D19">
        <w:rPr>
          <w:szCs w:val="18"/>
        </w:rPr>
        <w:t xml:space="preserve"> adopted at the International Conference on Population and Development, Cairo 5-13 September 1994, chapter VII. </w:t>
      </w:r>
    </w:p>
  </w:footnote>
  <w:footnote w:id="4">
    <w:p w:rsidR="00A415B5" w:rsidRPr="00DA4D19" w:rsidRDefault="00A415B5" w:rsidP="006A7F20">
      <w:pPr>
        <w:pStyle w:val="FootnoteText"/>
        <w:ind w:hanging="141"/>
        <w:rPr>
          <w:szCs w:val="18"/>
        </w:rPr>
      </w:pPr>
      <w:r w:rsidRPr="00DA4D19">
        <w:rPr>
          <w:rStyle w:val="FootnoteReference"/>
          <w:szCs w:val="18"/>
        </w:rPr>
        <w:footnoteRef/>
      </w:r>
      <w:r w:rsidRPr="00DA4D19">
        <w:rPr>
          <w:szCs w:val="18"/>
        </w:rPr>
        <w:t xml:space="preserve"> Article 1, Universal Declaration of Human Rights </w:t>
      </w:r>
    </w:p>
  </w:footnote>
  <w:footnote w:id="5">
    <w:p w:rsidR="00A415B5" w:rsidRPr="00DA4D19" w:rsidRDefault="00A415B5" w:rsidP="006A7F20">
      <w:pPr>
        <w:pStyle w:val="FootnoteText"/>
        <w:ind w:hanging="141"/>
        <w:rPr>
          <w:szCs w:val="18"/>
        </w:rPr>
      </w:pPr>
      <w:r w:rsidRPr="00DA4D19">
        <w:rPr>
          <w:rStyle w:val="FootnoteReference"/>
          <w:szCs w:val="18"/>
        </w:rPr>
        <w:footnoteRef/>
      </w:r>
      <w:r w:rsidRPr="00DA4D19">
        <w:rPr>
          <w:szCs w:val="18"/>
        </w:rPr>
        <w:t xml:space="preserve"> Committee on the Elimination of Discrimination against Women</w:t>
      </w:r>
      <w:r>
        <w:rPr>
          <w:szCs w:val="18"/>
        </w:rPr>
        <w:t xml:space="preserve"> (CEDAW Committee)</w:t>
      </w:r>
      <w:r w:rsidRPr="00DA4D19">
        <w:rPr>
          <w:szCs w:val="18"/>
        </w:rPr>
        <w:t>, General Recommendation No. 24; Human Rights Council Resolution on Accelerating Efforts to Eliminate all Forms of Violence Against Women, (2015 - A/HRC/29/L.16/Rev.1); Committee on the Rights of the Child</w:t>
      </w:r>
      <w:r>
        <w:rPr>
          <w:szCs w:val="18"/>
        </w:rPr>
        <w:t xml:space="preserve"> (CRC)</w:t>
      </w:r>
      <w:r w:rsidRPr="00DA4D19">
        <w:rPr>
          <w:szCs w:val="18"/>
        </w:rPr>
        <w:t>, General Comment No. 13 (2011).</w:t>
      </w:r>
    </w:p>
  </w:footnote>
  <w:footnote w:id="6">
    <w:p w:rsidR="00A415B5" w:rsidRPr="00952C04" w:rsidRDefault="00A415B5" w:rsidP="00B635F2">
      <w:pPr>
        <w:spacing w:line="240" w:lineRule="auto"/>
        <w:ind w:left="993" w:right="1276"/>
        <w:rPr>
          <w:sz w:val="18"/>
          <w:szCs w:val="18"/>
        </w:rPr>
      </w:pPr>
      <w:r w:rsidRPr="00952C04">
        <w:rPr>
          <w:rStyle w:val="FootnoteReference"/>
          <w:szCs w:val="18"/>
        </w:rPr>
        <w:footnoteRef/>
      </w:r>
      <w:r w:rsidRPr="00952C04">
        <w:rPr>
          <w:sz w:val="18"/>
          <w:szCs w:val="18"/>
        </w:rPr>
        <w:t xml:space="preserve"> Conclusi</w:t>
      </w:r>
      <w:r w:rsidR="004E21E2">
        <w:rPr>
          <w:sz w:val="18"/>
          <w:szCs w:val="18"/>
        </w:rPr>
        <w:t xml:space="preserve">ons and recommendations: Chile, </w:t>
      </w:r>
      <w:r w:rsidRPr="00952C04">
        <w:rPr>
          <w:sz w:val="18"/>
          <w:szCs w:val="18"/>
        </w:rPr>
        <w:t xml:space="preserve">United Nations Committee </w:t>
      </w:r>
      <w:proofErr w:type="gramStart"/>
      <w:r w:rsidRPr="00952C04">
        <w:rPr>
          <w:sz w:val="18"/>
          <w:szCs w:val="18"/>
        </w:rPr>
        <w:t>Against</w:t>
      </w:r>
      <w:proofErr w:type="gramEnd"/>
      <w:r w:rsidRPr="00952C04">
        <w:rPr>
          <w:sz w:val="18"/>
          <w:szCs w:val="18"/>
        </w:rPr>
        <w:t xml:space="preserve"> Torture, 2004. (UN Doc. CAT/C/CR/32/5)Conclusions and recommendations: Peru. Geneva, Office of the United Nations High Commissioner for Human Rights, United Nations Committee Against Torture, 2006. (UN Doc. CAT/C/PER/CO4); </w:t>
      </w:r>
      <w:r w:rsidRPr="00952C04">
        <w:rPr>
          <w:rStyle w:val="A6"/>
          <w:rFonts w:eastAsia="AdvP8900"/>
          <w:bCs/>
          <w:sz w:val="18"/>
          <w:szCs w:val="18"/>
        </w:rPr>
        <w:t xml:space="preserve">General comment No. 2: Implementation of Article 2 by States Parties. United Nations Committee </w:t>
      </w:r>
      <w:proofErr w:type="gramStart"/>
      <w:r w:rsidRPr="00952C04">
        <w:rPr>
          <w:rStyle w:val="A6"/>
          <w:rFonts w:eastAsia="AdvP8900"/>
          <w:bCs/>
          <w:sz w:val="18"/>
          <w:szCs w:val="18"/>
        </w:rPr>
        <w:t>Against</w:t>
      </w:r>
      <w:proofErr w:type="gramEnd"/>
      <w:r w:rsidRPr="00952C04">
        <w:rPr>
          <w:rStyle w:val="A6"/>
          <w:rFonts w:eastAsia="AdvP8900"/>
          <w:bCs/>
          <w:sz w:val="18"/>
          <w:szCs w:val="18"/>
        </w:rPr>
        <w:t xml:space="preserve"> Torture; 2008 (CAT/C/GC/2).</w:t>
      </w:r>
    </w:p>
  </w:footnote>
  <w:footnote w:id="7">
    <w:p w:rsidR="00A415B5" w:rsidRPr="00952C04" w:rsidRDefault="00A415B5" w:rsidP="00B635F2">
      <w:pPr>
        <w:pStyle w:val="FootnoteText"/>
        <w:spacing w:line="240" w:lineRule="auto"/>
        <w:ind w:left="0" w:right="1276" w:firstLine="993"/>
        <w:rPr>
          <w:szCs w:val="18"/>
        </w:rPr>
      </w:pPr>
      <w:r w:rsidRPr="00952C04">
        <w:rPr>
          <w:rStyle w:val="FootnoteReference"/>
          <w:szCs w:val="18"/>
        </w:rPr>
        <w:footnoteRef/>
      </w:r>
      <w:r w:rsidRPr="00952C04">
        <w:rPr>
          <w:szCs w:val="18"/>
        </w:rPr>
        <w:t xml:space="preserve"> Constitution of the WHO (1946), Preamble</w:t>
      </w:r>
    </w:p>
  </w:footnote>
  <w:footnote w:id="8">
    <w:p w:rsidR="00A415B5" w:rsidRPr="00952C04" w:rsidRDefault="00A415B5" w:rsidP="00952C04">
      <w:pPr>
        <w:pStyle w:val="FootnoteText"/>
        <w:ind w:left="993" w:right="1275" w:firstLine="0"/>
        <w:rPr>
          <w:szCs w:val="18"/>
          <w:lang w:val="en-US"/>
        </w:rPr>
      </w:pPr>
      <w:r w:rsidRPr="00952C04">
        <w:rPr>
          <w:rStyle w:val="FootnoteReference"/>
          <w:szCs w:val="18"/>
        </w:rPr>
        <w:footnoteRef/>
      </w:r>
      <w:r w:rsidRPr="00952C04">
        <w:rPr>
          <w:szCs w:val="18"/>
        </w:rPr>
        <w:t xml:space="preserve"> </w:t>
      </w:r>
      <w:r w:rsidRPr="00952C04">
        <w:rPr>
          <w:rStyle w:val="WW-DefaultParagraphFont"/>
          <w:rFonts w:eastAsia="MS PMincho"/>
          <w:szCs w:val="18"/>
        </w:rPr>
        <w:t>General Comment No. 22 (2016) on the Right to sexual and reproductive health United</w:t>
      </w:r>
      <w:r w:rsidRPr="00952C04">
        <w:rPr>
          <w:szCs w:val="18"/>
        </w:rPr>
        <w:t xml:space="preserve"> Nations Committee on Economic, Social and Cultural Rights</w:t>
      </w:r>
      <w:r w:rsidRPr="00952C04">
        <w:rPr>
          <w:rStyle w:val="WW-DefaultParagraphFont"/>
          <w:rFonts w:eastAsia="MS PMincho"/>
          <w:bCs/>
          <w:szCs w:val="18"/>
        </w:rPr>
        <w:t>; General Recommendation No. 19: Violence against women.</w:t>
      </w:r>
      <w:r w:rsidRPr="00952C04">
        <w:rPr>
          <w:rStyle w:val="WW-DefaultParagraphFont"/>
          <w:rFonts w:eastAsia="MS PMincho"/>
          <w:szCs w:val="18"/>
        </w:rPr>
        <w:t xml:space="preserve"> United Nations Committee on the Elimination o</w:t>
      </w:r>
      <w:r w:rsidR="00952C04">
        <w:rPr>
          <w:rStyle w:val="WW-DefaultParagraphFont"/>
          <w:rFonts w:eastAsia="MS PMincho"/>
          <w:szCs w:val="18"/>
        </w:rPr>
        <w:t xml:space="preserve">f Discrimination against Women, </w:t>
      </w:r>
      <w:r w:rsidRPr="00952C04">
        <w:rPr>
          <w:rStyle w:val="WW-DefaultParagraphFont"/>
          <w:rFonts w:eastAsia="MS PMincho"/>
          <w:szCs w:val="18"/>
        </w:rPr>
        <w:t>1992 (A/47/38</w:t>
      </w:r>
      <w:r w:rsidRPr="00952C04">
        <w:rPr>
          <w:rStyle w:val="WW-DefaultParagraphFont"/>
          <w:rFonts w:eastAsia="HelveticaNeue-Condensed"/>
          <w:szCs w:val="18"/>
        </w:rPr>
        <w:t xml:space="preserve">); </w:t>
      </w:r>
      <w:r w:rsidRPr="00952C04">
        <w:rPr>
          <w:szCs w:val="18"/>
        </w:rPr>
        <w:t xml:space="preserve">General Comment No. 14: The right to the highest attainable standard of health (Article 12 of the Covenant). </w:t>
      </w:r>
      <w:proofErr w:type="gramStart"/>
      <w:r w:rsidRPr="00952C04">
        <w:rPr>
          <w:szCs w:val="18"/>
        </w:rPr>
        <w:t>United Nations Committee</w:t>
      </w:r>
      <w:r w:rsidR="00952C04">
        <w:rPr>
          <w:rFonts w:ascii="Arial" w:hAnsi="Arial" w:cs="Arial"/>
          <w:sz w:val="22"/>
          <w:szCs w:val="22"/>
        </w:rPr>
        <w:t xml:space="preserve"> </w:t>
      </w:r>
      <w:r w:rsidRPr="00952C04">
        <w:rPr>
          <w:szCs w:val="18"/>
        </w:rPr>
        <w:t>on Econo</w:t>
      </w:r>
      <w:r w:rsidR="004E21E2">
        <w:rPr>
          <w:szCs w:val="18"/>
        </w:rPr>
        <w:t>mic, Social and Cultural Rights,</w:t>
      </w:r>
      <w:r w:rsidRPr="00952C04">
        <w:rPr>
          <w:szCs w:val="18"/>
        </w:rPr>
        <w:t xml:space="preserve"> 2000 (E/C.12/2000/4).</w:t>
      </w:r>
      <w:proofErr w:type="gramEnd"/>
      <w:r w:rsidRPr="00952C04">
        <w:rPr>
          <w:szCs w:val="18"/>
        </w:rPr>
        <w:t xml:space="preserve"> General Comment No. 28: The equality of rights between men and women. </w:t>
      </w:r>
      <w:proofErr w:type="gramStart"/>
      <w:r w:rsidRPr="00952C04">
        <w:rPr>
          <w:szCs w:val="18"/>
        </w:rPr>
        <w:t>United Nations Human Rights Committee; 2000 (CCPR/C/21/Rev.1/Add.10).</w:t>
      </w:r>
      <w:proofErr w:type="gramEnd"/>
      <w:r w:rsidRPr="00952C04">
        <w:rPr>
          <w:szCs w:val="18"/>
        </w:rPr>
        <w:t xml:space="preserve"> World Health Organization (WHO), “Sexual health, human rights and the law” (2015)</w:t>
      </w:r>
    </w:p>
  </w:footnote>
  <w:footnote w:id="9">
    <w:p w:rsidR="00A415B5" w:rsidRPr="00952C04" w:rsidRDefault="00A415B5" w:rsidP="00952C04">
      <w:pPr>
        <w:pStyle w:val="FootnoteText"/>
        <w:spacing w:line="240" w:lineRule="auto"/>
        <w:ind w:hanging="141"/>
        <w:rPr>
          <w:szCs w:val="18"/>
        </w:rPr>
      </w:pPr>
      <w:r w:rsidRPr="00952C04">
        <w:rPr>
          <w:rStyle w:val="FootnoteReference"/>
          <w:szCs w:val="18"/>
        </w:rPr>
        <w:footnoteRef/>
      </w:r>
      <w:r w:rsidRPr="00952C04">
        <w:rPr>
          <w:szCs w:val="18"/>
        </w:rPr>
        <w:t xml:space="preserve"> See A/HRC/22/53, para. 46 Report of the Special Rapporteur on torture and other cruel, inhuman or degrading treatment or punishment, Juan E. Méndez. New York (NY): United Nations General Assembly; 2013 (A/HRC/22/53).</w:t>
      </w:r>
    </w:p>
  </w:footnote>
  <w:footnote w:id="10">
    <w:p w:rsidR="00A415B5" w:rsidRPr="00952C04" w:rsidRDefault="00A415B5" w:rsidP="00952C04">
      <w:pPr>
        <w:pStyle w:val="FootnoteText"/>
        <w:spacing w:line="240" w:lineRule="auto"/>
        <w:ind w:hanging="141"/>
        <w:rPr>
          <w:szCs w:val="18"/>
        </w:rPr>
      </w:pPr>
      <w:r w:rsidRPr="00952C04">
        <w:rPr>
          <w:rStyle w:val="FootnoteReference"/>
          <w:szCs w:val="18"/>
        </w:rPr>
        <w:footnoteRef/>
      </w:r>
      <w:r w:rsidRPr="00952C04">
        <w:rPr>
          <w:szCs w:val="18"/>
        </w:rPr>
        <w:t xml:space="preserve"> Penal Reform International (PRI), “Inputs on issues relating to report on safety and health – submission to the WGDAW” (2015), p1 – it was in the submission by the PRI, the source was not identified</w:t>
      </w:r>
    </w:p>
  </w:footnote>
  <w:footnote w:id="11">
    <w:p w:rsidR="00952C04" w:rsidRDefault="00A415B5" w:rsidP="00952C04">
      <w:pPr>
        <w:pStyle w:val="NormalWeb"/>
        <w:spacing w:before="0" w:beforeAutospacing="0" w:after="0" w:afterAutospacing="0"/>
        <w:ind w:left="993"/>
        <w:rPr>
          <w:rFonts w:ascii="Times New Roman" w:eastAsia="Times New Roman" w:hAnsi="Times New Roman"/>
          <w:sz w:val="18"/>
          <w:szCs w:val="18"/>
          <w:lang w:val="en-GB"/>
        </w:rPr>
      </w:pPr>
      <w:r w:rsidRPr="00952C04">
        <w:rPr>
          <w:rFonts w:ascii="Times New Roman" w:eastAsia="Times New Roman" w:hAnsi="Times New Roman"/>
          <w:sz w:val="18"/>
          <w:szCs w:val="18"/>
          <w:lang w:val="en-GB"/>
        </w:rPr>
        <w:footnoteRef/>
      </w:r>
      <w:r w:rsidRPr="00952C04">
        <w:rPr>
          <w:rFonts w:ascii="Times New Roman" w:eastAsia="Times New Roman" w:hAnsi="Times New Roman"/>
          <w:sz w:val="18"/>
          <w:szCs w:val="18"/>
          <w:lang w:val="en-GB"/>
        </w:rPr>
        <w:t xml:space="preserve"> Discrimination and violence against individuals based on their sexual orientation and gender identity. </w:t>
      </w:r>
    </w:p>
    <w:p w:rsidR="00A415B5" w:rsidRPr="00952C04" w:rsidRDefault="00A415B5" w:rsidP="00952C04">
      <w:pPr>
        <w:pStyle w:val="NormalWeb"/>
        <w:spacing w:before="0" w:beforeAutospacing="0" w:after="0" w:afterAutospacing="0"/>
        <w:ind w:left="993"/>
        <w:rPr>
          <w:rFonts w:ascii="Times New Roman" w:eastAsia="Times New Roman" w:hAnsi="Times New Roman"/>
          <w:sz w:val="18"/>
          <w:szCs w:val="18"/>
          <w:lang w:val="en-GB"/>
        </w:rPr>
      </w:pPr>
      <w:proofErr w:type="gramStart"/>
      <w:r w:rsidRPr="00952C04">
        <w:rPr>
          <w:rFonts w:ascii="Times New Roman" w:eastAsia="Times New Roman" w:hAnsi="Times New Roman"/>
          <w:sz w:val="18"/>
          <w:szCs w:val="18"/>
          <w:lang w:val="en-GB"/>
        </w:rPr>
        <w:t>Report of the Office of the United Nations High Commissioner for Human Rights.</w:t>
      </w:r>
      <w:proofErr w:type="gramEnd"/>
      <w:r w:rsidRPr="00952C04">
        <w:rPr>
          <w:rFonts w:ascii="Times New Roman" w:eastAsia="Times New Roman" w:hAnsi="Times New Roman"/>
          <w:sz w:val="18"/>
          <w:szCs w:val="18"/>
          <w:lang w:val="en-GB"/>
        </w:rPr>
        <w:t xml:space="preserve"> General </w:t>
      </w:r>
      <w:proofErr w:type="spellStart"/>
      <w:r w:rsidRPr="00952C04">
        <w:rPr>
          <w:rFonts w:ascii="Times New Roman" w:eastAsia="Times New Roman" w:hAnsi="Times New Roman"/>
          <w:sz w:val="18"/>
          <w:szCs w:val="18"/>
          <w:lang w:val="en-GB"/>
        </w:rPr>
        <w:t>Asemmbly</w:t>
      </w:r>
      <w:proofErr w:type="spellEnd"/>
      <w:r w:rsidRPr="00952C04">
        <w:rPr>
          <w:rFonts w:ascii="Times New Roman" w:eastAsia="Times New Roman" w:hAnsi="Times New Roman"/>
          <w:sz w:val="18"/>
          <w:szCs w:val="18"/>
          <w:lang w:val="en-GB"/>
        </w:rPr>
        <w:t xml:space="preserve">. 2015. A/HRC/29/23 </w:t>
      </w:r>
    </w:p>
  </w:footnote>
  <w:footnote w:id="12">
    <w:p w:rsidR="00A415B5" w:rsidRPr="00952C04" w:rsidRDefault="00A415B5" w:rsidP="00952C04">
      <w:pPr>
        <w:pStyle w:val="FootnoteText"/>
        <w:spacing w:line="240" w:lineRule="auto"/>
        <w:ind w:hanging="141"/>
        <w:rPr>
          <w:szCs w:val="18"/>
        </w:rPr>
      </w:pPr>
      <w:r w:rsidRPr="00952C04">
        <w:rPr>
          <w:rStyle w:val="FootnoteReference"/>
          <w:szCs w:val="18"/>
        </w:rPr>
        <w:footnoteRef/>
      </w:r>
      <w:r w:rsidRPr="00952C04">
        <w:rPr>
          <w:szCs w:val="18"/>
        </w:rPr>
        <w:t xml:space="preserve"> Committee on Economic, Social and Cultural Rights (CESCR), General Comment No. 14 </w:t>
      </w:r>
    </w:p>
  </w:footnote>
  <w:footnote w:id="13">
    <w:p w:rsidR="00A415B5" w:rsidRPr="00952C04" w:rsidRDefault="00952C04" w:rsidP="00952C04">
      <w:pPr>
        <w:keepNext/>
        <w:keepLines/>
        <w:spacing w:line="240" w:lineRule="auto"/>
        <w:ind w:left="567" w:right="567" w:hanging="567"/>
        <w:outlineLvl w:val="0"/>
        <w:rPr>
          <w:rFonts w:eastAsiaTheme="majorEastAsia"/>
          <w:b/>
          <w:bCs/>
          <w:color w:val="548DD4" w:themeColor="text2" w:themeTint="99"/>
          <w:sz w:val="18"/>
          <w:szCs w:val="18"/>
        </w:rPr>
      </w:pPr>
      <w:r>
        <w:rPr>
          <w:sz w:val="18"/>
          <w:szCs w:val="18"/>
        </w:rPr>
        <w:t xml:space="preserve">                      </w:t>
      </w:r>
      <w:r w:rsidR="00A415B5" w:rsidRPr="00952C04">
        <w:rPr>
          <w:rStyle w:val="FootnoteReference"/>
          <w:szCs w:val="18"/>
        </w:rPr>
        <w:footnoteRef/>
      </w:r>
      <w:r w:rsidR="00A415B5" w:rsidRPr="00952C04">
        <w:rPr>
          <w:sz w:val="18"/>
          <w:szCs w:val="18"/>
        </w:rPr>
        <w:t xml:space="preserve"> </w:t>
      </w:r>
      <w:proofErr w:type="gramStart"/>
      <w:r w:rsidR="00A415B5" w:rsidRPr="00952C04">
        <w:rPr>
          <w:sz w:val="18"/>
          <w:szCs w:val="18"/>
        </w:rPr>
        <w:t>OHCHR.</w:t>
      </w:r>
      <w:proofErr w:type="gramEnd"/>
      <w:r w:rsidR="00A415B5" w:rsidRPr="00952C04">
        <w:rPr>
          <w:sz w:val="18"/>
          <w:szCs w:val="18"/>
        </w:rPr>
        <w:t xml:space="preserve"> </w:t>
      </w:r>
      <w:proofErr w:type="gramStart"/>
      <w:r w:rsidR="00A415B5" w:rsidRPr="00952C04">
        <w:rPr>
          <w:sz w:val="18"/>
          <w:szCs w:val="18"/>
        </w:rPr>
        <w:t>Commissioned Report.</w:t>
      </w:r>
      <w:proofErr w:type="gramEnd"/>
      <w:r w:rsidR="00A415B5" w:rsidRPr="00952C04">
        <w:rPr>
          <w:sz w:val="18"/>
          <w:szCs w:val="18"/>
        </w:rPr>
        <w:t xml:space="preserve"> Gender Stereotyping As </w:t>
      </w:r>
      <w:proofErr w:type="gramStart"/>
      <w:r w:rsidR="00A415B5" w:rsidRPr="00952C04">
        <w:rPr>
          <w:sz w:val="18"/>
          <w:szCs w:val="18"/>
        </w:rPr>
        <w:t>A</w:t>
      </w:r>
      <w:proofErr w:type="gramEnd"/>
      <w:r w:rsidR="00A415B5" w:rsidRPr="00952C04">
        <w:rPr>
          <w:sz w:val="18"/>
          <w:szCs w:val="18"/>
        </w:rPr>
        <w:t xml:space="preserve"> Human Rights Violation. 2013.</w:t>
      </w:r>
      <w:r w:rsidR="00A415B5" w:rsidRPr="00952C04">
        <w:rPr>
          <w:rFonts w:eastAsiaTheme="majorEastAsia"/>
          <w:b/>
          <w:bCs/>
          <w:color w:val="548DD4" w:themeColor="text2" w:themeTint="99"/>
          <w:sz w:val="18"/>
          <w:szCs w:val="18"/>
        </w:rPr>
        <w:t xml:space="preserve"> </w:t>
      </w:r>
    </w:p>
    <w:p w:rsidR="00A415B5" w:rsidRPr="00781DA2" w:rsidRDefault="00A415B5" w:rsidP="00C74484">
      <w:pPr>
        <w:jc w:val="right"/>
        <w:rPr>
          <w:rFonts w:asciiTheme="majorHAnsi" w:hAnsiTheme="majorHAnsi"/>
          <w:b/>
          <w:color w:val="548DD4" w:themeColor="text2" w:themeTint="99"/>
          <w:sz w:val="40"/>
        </w:rPr>
      </w:pPr>
    </w:p>
    <w:p w:rsidR="00A415B5" w:rsidRPr="008B16DA" w:rsidRDefault="00A415B5">
      <w:pPr>
        <w:pStyle w:val="FootnoteText"/>
        <w:rPr>
          <w:lang w:val="en-US"/>
        </w:rPr>
      </w:pPr>
    </w:p>
  </w:footnote>
  <w:footnote w:id="14">
    <w:p w:rsidR="00A415B5" w:rsidRPr="00A415B5" w:rsidRDefault="00A415B5" w:rsidP="00CB6517">
      <w:pPr>
        <w:pStyle w:val="FootnoteText"/>
        <w:ind w:hanging="141"/>
        <w:rPr>
          <w:lang w:val="fr-CH"/>
        </w:rPr>
      </w:pPr>
      <w:r>
        <w:rPr>
          <w:rStyle w:val="FootnoteReference"/>
        </w:rPr>
        <w:footnoteRef/>
      </w:r>
      <w:r>
        <w:t xml:space="preserve"> </w:t>
      </w:r>
      <w:proofErr w:type="gramStart"/>
      <w:r w:rsidRPr="00A415B5">
        <w:t>Declaration on the elimination of violence against women.</w:t>
      </w:r>
      <w:proofErr w:type="gramEnd"/>
      <w:r w:rsidRPr="00A415B5">
        <w:t xml:space="preserve"> New York (NY): United Nations General Assembly; 1993 (A/RES/48/104). General comment No. 2: Implementation of Article 2 by States Parties. Geneva: United Nations Committee </w:t>
      </w:r>
      <w:proofErr w:type="gramStart"/>
      <w:r w:rsidRPr="00A415B5">
        <w:t>Against</w:t>
      </w:r>
      <w:proofErr w:type="gramEnd"/>
      <w:r w:rsidRPr="00A415B5">
        <w:t xml:space="preserve"> Torture; 2008 (CAT/C/GC/2) Protocol to the African Charter on Human and Peoples’ Rights on the Rights of Women in Africa. Maputo: African Union; 2003.</w:t>
      </w:r>
    </w:p>
  </w:footnote>
  <w:footnote w:id="15">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See A/Res/70/1 (2015), Goal 3.7</w:t>
      </w:r>
    </w:p>
  </w:footnote>
  <w:footnote w:id="16">
    <w:p w:rsidR="00A415B5" w:rsidRPr="00DA4D19" w:rsidRDefault="00A415B5" w:rsidP="008A119E">
      <w:pPr>
        <w:widowControl w:val="0"/>
        <w:autoSpaceDE w:val="0"/>
        <w:autoSpaceDN w:val="0"/>
        <w:adjustRightInd w:val="0"/>
        <w:ind w:left="1134" w:right="1134" w:hanging="141"/>
        <w:rPr>
          <w:rFonts w:eastAsiaTheme="minorEastAsia"/>
          <w:sz w:val="18"/>
          <w:szCs w:val="18"/>
        </w:rPr>
      </w:pPr>
      <w:r w:rsidRPr="00DA4D19">
        <w:rPr>
          <w:rStyle w:val="FootnoteReference"/>
          <w:szCs w:val="18"/>
        </w:rPr>
        <w:footnoteRef/>
      </w:r>
      <w:r w:rsidRPr="00DA4D19">
        <w:rPr>
          <w:sz w:val="18"/>
          <w:szCs w:val="18"/>
        </w:rPr>
        <w:t xml:space="preserve"> </w:t>
      </w:r>
      <w:r w:rsidRPr="00DA4D19">
        <w:rPr>
          <w:rFonts w:eastAsiaTheme="minorEastAsia"/>
          <w:sz w:val="18"/>
          <w:szCs w:val="18"/>
        </w:rPr>
        <w:t xml:space="preserve">Wendy A. Rogers, </w:t>
      </w:r>
      <w:proofErr w:type="spellStart"/>
      <w:r w:rsidRPr="00DA4D19">
        <w:rPr>
          <w:rFonts w:eastAsiaTheme="minorEastAsia"/>
          <w:sz w:val="18"/>
          <w:szCs w:val="18"/>
        </w:rPr>
        <w:t>Phd</w:t>
      </w:r>
      <w:proofErr w:type="spellEnd"/>
      <w:r w:rsidRPr="00DA4D19">
        <w:rPr>
          <w:rFonts w:eastAsiaTheme="minorEastAsia"/>
          <w:sz w:val="18"/>
          <w:szCs w:val="18"/>
        </w:rPr>
        <w:t xml:space="preserve">; And Angela J. </w:t>
      </w:r>
      <w:proofErr w:type="spellStart"/>
      <w:r w:rsidRPr="00DA4D19">
        <w:rPr>
          <w:rFonts w:eastAsiaTheme="minorEastAsia"/>
          <w:sz w:val="18"/>
          <w:szCs w:val="18"/>
        </w:rPr>
        <w:t>Ballantyne</w:t>
      </w:r>
      <w:proofErr w:type="spellEnd"/>
      <w:r w:rsidRPr="00DA4D19">
        <w:rPr>
          <w:rFonts w:eastAsiaTheme="minorEastAsia"/>
          <w:sz w:val="18"/>
          <w:szCs w:val="18"/>
        </w:rPr>
        <w:t xml:space="preserve">, </w:t>
      </w:r>
      <w:proofErr w:type="spellStart"/>
      <w:r w:rsidRPr="00DA4D19">
        <w:rPr>
          <w:rFonts w:eastAsiaTheme="minorEastAsia"/>
          <w:sz w:val="18"/>
          <w:szCs w:val="18"/>
        </w:rPr>
        <w:t>Phd</w:t>
      </w:r>
      <w:proofErr w:type="spellEnd"/>
      <w:r w:rsidRPr="00DA4D19">
        <w:rPr>
          <w:rFonts w:eastAsiaTheme="minorEastAsia"/>
          <w:sz w:val="18"/>
          <w:szCs w:val="18"/>
        </w:rPr>
        <w:t>; “</w:t>
      </w:r>
      <w:r w:rsidRPr="00DA4D19">
        <w:rPr>
          <w:rFonts w:eastAsiaTheme="minorEastAsia"/>
          <w:bCs/>
          <w:sz w:val="18"/>
          <w:szCs w:val="18"/>
        </w:rPr>
        <w:t>Exclusion of Women From Clinical Research: Myth or Reality?”</w:t>
      </w:r>
      <w:r w:rsidRPr="00DA4D19">
        <w:rPr>
          <w:rFonts w:eastAsiaTheme="minorEastAsia"/>
          <w:sz w:val="18"/>
          <w:szCs w:val="18"/>
        </w:rPr>
        <w:t xml:space="preserve"> </w:t>
      </w:r>
      <w:r>
        <w:rPr>
          <w:rFonts w:eastAsiaTheme="minorEastAsia"/>
          <w:sz w:val="18"/>
          <w:szCs w:val="18"/>
        </w:rPr>
        <w:t>(</w:t>
      </w:r>
      <w:r w:rsidRPr="00DA4D19">
        <w:rPr>
          <w:rFonts w:eastAsiaTheme="minorEastAsia"/>
          <w:sz w:val="18"/>
          <w:szCs w:val="18"/>
        </w:rPr>
        <w:t>2008</w:t>
      </w:r>
      <w:r>
        <w:rPr>
          <w:rFonts w:eastAsiaTheme="minorEastAsia"/>
          <w:sz w:val="18"/>
          <w:szCs w:val="18"/>
        </w:rPr>
        <w:t xml:space="preserve">), </w:t>
      </w:r>
      <w:r w:rsidRPr="00DA4D19">
        <w:rPr>
          <w:rFonts w:eastAsiaTheme="minorEastAsia"/>
          <w:sz w:val="18"/>
          <w:szCs w:val="18"/>
        </w:rPr>
        <w:t xml:space="preserve">Mayo </w:t>
      </w:r>
      <w:proofErr w:type="spellStart"/>
      <w:r w:rsidRPr="00DA4D19">
        <w:rPr>
          <w:rFonts w:eastAsiaTheme="minorEastAsia"/>
          <w:sz w:val="18"/>
          <w:szCs w:val="18"/>
        </w:rPr>
        <w:t>Clin</w:t>
      </w:r>
      <w:proofErr w:type="spellEnd"/>
      <w:r w:rsidRPr="00DA4D19">
        <w:rPr>
          <w:rFonts w:eastAsiaTheme="minorEastAsia"/>
          <w:sz w:val="18"/>
          <w:szCs w:val="18"/>
        </w:rPr>
        <w:t xml:space="preserve"> Proc.</w:t>
      </w:r>
      <w:proofErr w:type="gramStart"/>
      <w:r w:rsidRPr="00DA4D19">
        <w:rPr>
          <w:rFonts w:eastAsiaTheme="minorEastAsia"/>
          <w:sz w:val="18"/>
          <w:szCs w:val="18"/>
        </w:rPr>
        <w:t>;83</w:t>
      </w:r>
      <w:proofErr w:type="gramEnd"/>
      <w:r w:rsidRPr="00DA4D19">
        <w:rPr>
          <w:rFonts w:eastAsiaTheme="minorEastAsia"/>
          <w:sz w:val="18"/>
          <w:szCs w:val="18"/>
        </w:rPr>
        <w:t xml:space="preserve">(5):536-542]; </w:t>
      </w:r>
      <w:r w:rsidRPr="00DA4D19">
        <w:rPr>
          <w:sz w:val="18"/>
          <w:szCs w:val="18"/>
        </w:rPr>
        <w:t xml:space="preserve">Stacie E. Geller, </w:t>
      </w:r>
      <w:proofErr w:type="spellStart"/>
      <w:r w:rsidRPr="00DA4D19">
        <w:rPr>
          <w:sz w:val="18"/>
          <w:szCs w:val="18"/>
        </w:rPr>
        <w:t>Ph.D,et</w:t>
      </w:r>
      <w:proofErr w:type="spellEnd"/>
      <w:r w:rsidRPr="00DA4D19">
        <w:rPr>
          <w:sz w:val="18"/>
          <w:szCs w:val="18"/>
        </w:rPr>
        <w:t xml:space="preserve"> al., </w:t>
      </w:r>
      <w:r>
        <w:rPr>
          <w:sz w:val="18"/>
          <w:szCs w:val="18"/>
        </w:rPr>
        <w:t>“</w:t>
      </w:r>
      <w:r w:rsidRPr="00DA4D19">
        <w:rPr>
          <w:sz w:val="18"/>
          <w:szCs w:val="18"/>
        </w:rPr>
        <w:t>Inclusion, Analysis, and Reporting of Sex and Race=Ethnicity in Clinical Trials: Have We Made Progress?</w:t>
      </w:r>
      <w:r>
        <w:rPr>
          <w:sz w:val="18"/>
          <w:szCs w:val="18"/>
        </w:rPr>
        <w:t>”</w:t>
      </w:r>
      <w:r w:rsidRPr="00DA4D19">
        <w:rPr>
          <w:sz w:val="18"/>
          <w:szCs w:val="18"/>
        </w:rPr>
        <w:t xml:space="preserve"> </w:t>
      </w:r>
      <w:r>
        <w:rPr>
          <w:sz w:val="18"/>
          <w:szCs w:val="18"/>
        </w:rPr>
        <w:t>(</w:t>
      </w:r>
      <w:r w:rsidRPr="00DA4D19">
        <w:rPr>
          <w:sz w:val="18"/>
          <w:szCs w:val="18"/>
        </w:rPr>
        <w:t>2011</w:t>
      </w:r>
      <w:r>
        <w:rPr>
          <w:sz w:val="18"/>
          <w:szCs w:val="18"/>
        </w:rPr>
        <w:t xml:space="preserve">) </w:t>
      </w:r>
      <w:r w:rsidRPr="00DA4D19">
        <w:rPr>
          <w:sz w:val="18"/>
          <w:szCs w:val="18"/>
        </w:rPr>
        <w:t>Journal of women’s health, Volume 20, Number 3,</w:t>
      </w:r>
      <w:r w:rsidRPr="00DA4D19">
        <w:rPr>
          <w:rFonts w:eastAsiaTheme="minorEastAsia"/>
          <w:sz w:val="18"/>
          <w:szCs w:val="18"/>
        </w:rPr>
        <w:t> </w:t>
      </w:r>
    </w:p>
  </w:footnote>
  <w:footnote w:id="17">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According to WHO, 73 million adult women worldwide suffer a major depressive episode each </w:t>
      </w:r>
      <w:proofErr w:type="gramStart"/>
      <w:r w:rsidRPr="00DA4D19">
        <w:rPr>
          <w:szCs w:val="18"/>
        </w:rPr>
        <w:t>year.</w:t>
      </w:r>
      <w:proofErr w:type="gramEnd"/>
      <w:r w:rsidRPr="00DA4D19">
        <w:rPr>
          <w:szCs w:val="18"/>
        </w:rPr>
        <w:t xml:space="preserve"> Mental disorders following childbirth, including postpartum depression, are estimated to affect about 13% of women within one year of delivery. Furthermore, Suicide is the fifth leading cause of death globally for women aged 20–44 years, putting it ahead of road traffic accidents. (WHO, </w:t>
      </w:r>
      <w:r>
        <w:rPr>
          <w:szCs w:val="18"/>
        </w:rPr>
        <w:t>“</w:t>
      </w:r>
      <w:r w:rsidRPr="00DA4D19">
        <w:rPr>
          <w:szCs w:val="18"/>
        </w:rPr>
        <w:t>Women and Health</w:t>
      </w:r>
      <w:r>
        <w:rPr>
          <w:szCs w:val="18"/>
        </w:rPr>
        <w:t>”</w:t>
      </w:r>
      <w:r w:rsidRPr="00DA4D19">
        <w:rPr>
          <w:szCs w:val="18"/>
        </w:rPr>
        <w:t xml:space="preserve"> 2009</w:t>
      </w:r>
      <w:r>
        <w:rPr>
          <w:szCs w:val="18"/>
        </w:rPr>
        <w:t xml:space="preserve"> - </w:t>
      </w:r>
      <w:r w:rsidRPr="00DA4D19">
        <w:rPr>
          <w:szCs w:val="18"/>
        </w:rPr>
        <w:t>p53-54)</w:t>
      </w:r>
    </w:p>
  </w:footnote>
  <w:footnote w:id="18">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w:t>
      </w:r>
      <w:r>
        <w:rPr>
          <w:szCs w:val="18"/>
        </w:rPr>
        <w:t>“</w:t>
      </w:r>
      <w:r w:rsidRPr="00DA4D19">
        <w:rPr>
          <w:szCs w:val="18"/>
        </w:rPr>
        <w:t>Women and Health</w:t>
      </w:r>
      <w:r>
        <w:rPr>
          <w:szCs w:val="18"/>
        </w:rPr>
        <w:t>”</w:t>
      </w:r>
      <w:r w:rsidRPr="00DA4D19">
        <w:rPr>
          <w:szCs w:val="18"/>
        </w:rPr>
        <w:t>, (2009) p54-55 and p62</w:t>
      </w:r>
    </w:p>
  </w:footnote>
  <w:footnote w:id="19">
    <w:p w:rsidR="00A415B5" w:rsidRPr="00DA4D19" w:rsidRDefault="00A415B5" w:rsidP="008A119E">
      <w:pPr>
        <w:ind w:left="1134" w:right="1134" w:hanging="141"/>
        <w:jc w:val="both"/>
        <w:rPr>
          <w:sz w:val="18"/>
          <w:szCs w:val="18"/>
        </w:rPr>
      </w:pPr>
      <w:r w:rsidRPr="00DA4D19">
        <w:rPr>
          <w:rStyle w:val="FootnoteReference"/>
          <w:szCs w:val="18"/>
        </w:rPr>
        <w:footnoteRef/>
      </w:r>
      <w:r w:rsidRPr="00DA4D19">
        <w:rPr>
          <w:sz w:val="18"/>
          <w:szCs w:val="18"/>
        </w:rPr>
        <w:t xml:space="preserve"> </w:t>
      </w:r>
      <w:r w:rsidRPr="00DA4D19">
        <w:rPr>
          <w:sz w:val="18"/>
          <w:szCs w:val="18"/>
          <w:lang w:val="x-none" w:eastAsia="x-none"/>
        </w:rPr>
        <w:t>Cook and Dickens, “Reducing stigma in reproductive health”, International Journal of Gynaecology &amp; Obstetrics 125 (2014)</w:t>
      </w:r>
    </w:p>
  </w:footnote>
  <w:footnote w:id="20">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The prevention and elimination of disrespect and abuse during facility-based childbirth “, (2015)</w:t>
      </w:r>
    </w:p>
  </w:footnote>
  <w:footnote w:id="21">
    <w:p w:rsidR="00A415B5" w:rsidRPr="00DA4D19" w:rsidRDefault="00A415B5" w:rsidP="008A119E">
      <w:pPr>
        <w:pStyle w:val="FootnoteText"/>
        <w:ind w:hanging="141"/>
        <w:rPr>
          <w:szCs w:val="18"/>
        </w:rPr>
      </w:pPr>
      <w:r w:rsidRPr="00DA4D19">
        <w:rPr>
          <w:szCs w:val="18"/>
          <w:vertAlign w:val="superscript"/>
          <w:lang w:eastAsia="ar-SA"/>
        </w:rPr>
        <w:footnoteRef/>
      </w:r>
      <w:r w:rsidRPr="00DA4D19">
        <w:rPr>
          <w:szCs w:val="18"/>
          <w:vertAlign w:val="superscript"/>
          <w:lang w:eastAsia="ar-SA"/>
        </w:rPr>
        <w:t xml:space="preserve"> </w:t>
      </w:r>
      <w:r w:rsidRPr="00DA4D19">
        <w:rPr>
          <w:szCs w:val="18"/>
          <w:lang w:eastAsia="ar-SA"/>
        </w:rPr>
        <w:t>WHO, “Ensuring human rights in the provision of contraceptive information and services: guidance and recommendations”,</w:t>
      </w:r>
      <w:r w:rsidRPr="00DA4D19">
        <w:rPr>
          <w:szCs w:val="18"/>
        </w:rPr>
        <w:t xml:space="preserve"> (2014)</w:t>
      </w:r>
    </w:p>
  </w:footnote>
  <w:footnote w:id="22">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“Safe </w:t>
      </w:r>
      <w:proofErr w:type="spellStart"/>
      <w:r w:rsidRPr="00DA4D19">
        <w:rPr>
          <w:szCs w:val="18"/>
        </w:rPr>
        <w:t>abortoin</w:t>
      </w:r>
      <w:proofErr w:type="spellEnd"/>
      <w:r w:rsidRPr="00DA4D19">
        <w:rPr>
          <w:szCs w:val="18"/>
        </w:rPr>
        <w:t> : technical and policy guidance for health systems” (2012), p. 17</w:t>
      </w:r>
    </w:p>
  </w:footnote>
  <w:footnote w:id="23">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t>
      </w:r>
      <w:proofErr w:type="spellStart"/>
      <w:r w:rsidRPr="00DA4D19">
        <w:rPr>
          <w:szCs w:val="18"/>
        </w:rPr>
        <w:t>Temmerman</w:t>
      </w:r>
      <w:proofErr w:type="spellEnd"/>
      <w:r w:rsidRPr="00DA4D19">
        <w:rPr>
          <w:szCs w:val="18"/>
        </w:rPr>
        <w:t xml:space="preserve"> M, </w:t>
      </w:r>
      <w:proofErr w:type="spellStart"/>
      <w:r w:rsidRPr="00DA4D19">
        <w:rPr>
          <w:szCs w:val="18"/>
        </w:rPr>
        <w:t>Khosla</w:t>
      </w:r>
      <w:proofErr w:type="spellEnd"/>
      <w:r w:rsidRPr="00DA4D19">
        <w:rPr>
          <w:szCs w:val="18"/>
        </w:rPr>
        <w:t xml:space="preserve"> R, Laski L, Mathews Z, Say L., “Women’s health priorities and interventions”, BMJ 2015; 351: h4147.</w:t>
      </w:r>
    </w:p>
  </w:footnote>
  <w:footnote w:id="24">
    <w:p w:rsidR="00A415B5" w:rsidRPr="00DA4D19" w:rsidRDefault="00A415B5" w:rsidP="008A119E">
      <w:pPr>
        <w:pStyle w:val="FootnoteText"/>
        <w:ind w:hanging="141"/>
        <w:rPr>
          <w:szCs w:val="18"/>
          <w:lang w:val="en-US"/>
        </w:rPr>
      </w:pPr>
      <w:r w:rsidRPr="00DA4D19">
        <w:rPr>
          <w:rStyle w:val="FootnoteReference"/>
          <w:szCs w:val="18"/>
        </w:rPr>
        <w:footnoteRef/>
      </w:r>
      <w:r w:rsidRPr="00DA4D19">
        <w:rPr>
          <w:szCs w:val="18"/>
        </w:rPr>
        <w:t xml:space="preserve"> UNAIDS, “</w:t>
      </w:r>
      <w:r w:rsidRPr="00DA4D19">
        <w:rPr>
          <w:szCs w:val="18"/>
          <w:lang w:val="en-US"/>
        </w:rPr>
        <w:t>The Gap Report” (2014)</w:t>
      </w:r>
    </w:p>
  </w:footnote>
  <w:footnote w:id="25">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t>
      </w:r>
      <w:proofErr w:type="spellStart"/>
      <w:r w:rsidRPr="00DA4D19">
        <w:rPr>
          <w:szCs w:val="18"/>
        </w:rPr>
        <w:t>Temmerman</w:t>
      </w:r>
      <w:proofErr w:type="spellEnd"/>
      <w:r w:rsidRPr="00DA4D19">
        <w:rPr>
          <w:szCs w:val="18"/>
        </w:rPr>
        <w:t xml:space="preserve"> M, </w:t>
      </w:r>
      <w:proofErr w:type="spellStart"/>
      <w:r w:rsidRPr="00DA4D19">
        <w:rPr>
          <w:szCs w:val="18"/>
        </w:rPr>
        <w:t>Khosla</w:t>
      </w:r>
      <w:proofErr w:type="spellEnd"/>
      <w:r w:rsidRPr="00DA4D19">
        <w:rPr>
          <w:szCs w:val="18"/>
        </w:rPr>
        <w:t xml:space="preserve"> R, Laski L, Mathews Z, Say L. </w:t>
      </w:r>
      <w:r>
        <w:rPr>
          <w:szCs w:val="18"/>
        </w:rPr>
        <w:t>“</w:t>
      </w:r>
      <w:r w:rsidRPr="00DA4D19">
        <w:rPr>
          <w:szCs w:val="18"/>
        </w:rPr>
        <w:t>Women’s health priorities and interventions</w:t>
      </w:r>
      <w:r>
        <w:rPr>
          <w:szCs w:val="18"/>
        </w:rPr>
        <w:t>”,</w:t>
      </w:r>
      <w:r w:rsidRPr="00DA4D19">
        <w:rPr>
          <w:szCs w:val="18"/>
        </w:rPr>
        <w:t xml:space="preserve"> </w:t>
      </w:r>
      <w:r>
        <w:rPr>
          <w:szCs w:val="18"/>
        </w:rPr>
        <w:t>(</w:t>
      </w:r>
      <w:r w:rsidRPr="00DA4D19">
        <w:rPr>
          <w:szCs w:val="18"/>
        </w:rPr>
        <w:t>2015</w:t>
      </w:r>
      <w:r>
        <w:rPr>
          <w:szCs w:val="18"/>
        </w:rPr>
        <w:t xml:space="preserve">) </w:t>
      </w:r>
      <w:r w:rsidRPr="00DA4D19">
        <w:rPr>
          <w:szCs w:val="18"/>
        </w:rPr>
        <w:t>BMJ; 351: h4147.</w:t>
      </w:r>
    </w:p>
  </w:footnote>
  <w:footnote w:id="26">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UNICEF, « Female Genital Mutilation/Cutting : a global concern », (2016)</w:t>
      </w:r>
    </w:p>
  </w:footnote>
  <w:footnote w:id="27">
    <w:p w:rsidR="00A415B5" w:rsidRPr="00DA4D19" w:rsidRDefault="00A415B5" w:rsidP="008A119E">
      <w:pPr>
        <w:pStyle w:val="FootnoteText"/>
        <w:ind w:hanging="141"/>
        <w:rPr>
          <w:szCs w:val="18"/>
        </w:rPr>
      </w:pPr>
      <w:r w:rsidRPr="00DA4D19">
        <w:rPr>
          <w:rStyle w:val="FootnoteReference"/>
          <w:szCs w:val="18"/>
        </w:rPr>
        <w:footnoteRef/>
      </w:r>
      <w:r w:rsidRPr="00DA4D19">
        <w:rPr>
          <w:rFonts w:eastAsia="ScalaLancetPro"/>
          <w:szCs w:val="18"/>
          <w:lang w:val="en-US"/>
        </w:rPr>
        <w:t xml:space="preserve"> WHO, “</w:t>
      </w:r>
      <w:r w:rsidRPr="00DA4D19">
        <w:rPr>
          <w:szCs w:val="18"/>
        </w:rPr>
        <w:t xml:space="preserve">Women and Health: Today’s Evidence, Tomorrow’s Agenda”, (2009); </w:t>
      </w:r>
      <w:r w:rsidRPr="00DA4D19">
        <w:rPr>
          <w:rFonts w:eastAsia="ScalaLancetPro"/>
          <w:szCs w:val="18"/>
          <w:lang w:val="en-US"/>
        </w:rPr>
        <w:t>UN Women, “Protecting women’s income security in old age: toward gender-responsive pension systems” (2015), Policy Brief 3</w:t>
      </w:r>
      <w:r w:rsidRPr="00DA4D19">
        <w:rPr>
          <w:rFonts w:eastAsia="ScalaLancetPro"/>
          <w:szCs w:val="18"/>
        </w:rPr>
        <w:t xml:space="preserve"> </w:t>
      </w:r>
    </w:p>
  </w:footnote>
  <w:footnote w:id="28">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Adolescent pregnancy: factsheet” (September 2014), accessed on 12 April 2016 at </w:t>
      </w:r>
      <w:hyperlink r:id="rId1" w:history="1">
        <w:r w:rsidRPr="00DA4D19">
          <w:rPr>
            <w:rStyle w:val="Hyperlink"/>
            <w:szCs w:val="18"/>
          </w:rPr>
          <w:t>http://www.who.int/mediacentre/factsheets/fs364/en/</w:t>
        </w:r>
      </w:hyperlink>
      <w:r w:rsidRPr="00DA4D19">
        <w:rPr>
          <w:szCs w:val="18"/>
        </w:rPr>
        <w:t xml:space="preserve"> ; See A/HRC/32/32, para. 5</w:t>
      </w:r>
    </w:p>
  </w:footnote>
  <w:footnote w:id="29">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Maternal, new-born, child and adolescent health: Adolescent pregnancy », accessed on 12 April 2016 at </w:t>
      </w:r>
      <w:hyperlink r:id="rId2" w:history="1">
        <w:r w:rsidRPr="00DA4D19">
          <w:rPr>
            <w:rStyle w:val="Hyperlink"/>
            <w:szCs w:val="18"/>
          </w:rPr>
          <w:t>http://www.who.int/maternal_child_adolescent/topics/maternal/adolescent_pregnancy/en/</w:t>
        </w:r>
      </w:hyperlink>
      <w:r w:rsidRPr="00DA4D19">
        <w:rPr>
          <w:szCs w:val="18"/>
        </w:rPr>
        <w:t xml:space="preserve"> </w:t>
      </w:r>
    </w:p>
  </w:footnote>
  <w:footnote w:id="30">
    <w:p w:rsidR="00A415B5" w:rsidRPr="00DA4D19" w:rsidRDefault="00A415B5" w:rsidP="008A119E">
      <w:pPr>
        <w:pStyle w:val="FootnoteText"/>
        <w:ind w:hanging="141"/>
        <w:rPr>
          <w:szCs w:val="18"/>
          <w:lang w:val="es-ES_tradnl"/>
        </w:rPr>
      </w:pPr>
      <w:r w:rsidRPr="00DA4D19">
        <w:rPr>
          <w:rStyle w:val="FootnoteReference"/>
          <w:szCs w:val="18"/>
        </w:rPr>
        <w:footnoteRef/>
      </w:r>
      <w:r w:rsidRPr="00DA4D19">
        <w:rPr>
          <w:szCs w:val="18"/>
          <w:lang w:val="es-ES_tradnl"/>
        </w:rPr>
        <w:t xml:space="preserve"> </w:t>
      </w:r>
      <w:proofErr w:type="spellStart"/>
      <w:r w:rsidRPr="00DA4D19">
        <w:rPr>
          <w:szCs w:val="18"/>
          <w:lang w:val="es-ES_tradnl"/>
        </w:rPr>
        <w:t>See</w:t>
      </w:r>
      <w:proofErr w:type="spellEnd"/>
      <w:r w:rsidRPr="00DA4D19">
        <w:rPr>
          <w:szCs w:val="18"/>
          <w:lang w:val="es-ES_tradnl"/>
        </w:rPr>
        <w:t xml:space="preserve"> A/RES/</w:t>
      </w:r>
      <w:r w:rsidRPr="00DA4D19">
        <w:rPr>
          <w:rFonts w:eastAsia="Cambria"/>
          <w:szCs w:val="18"/>
          <w:lang w:val="es-ES_tradnl"/>
        </w:rPr>
        <w:t>70/137, para. 49 (e)</w:t>
      </w:r>
    </w:p>
  </w:footnote>
  <w:footnote w:id="31">
    <w:p w:rsidR="00A415B5" w:rsidRPr="00DA4D19" w:rsidRDefault="00A415B5" w:rsidP="008A119E">
      <w:pPr>
        <w:pStyle w:val="CommentText"/>
        <w:spacing w:after="0"/>
        <w:ind w:left="1134" w:right="1134" w:hanging="141"/>
        <w:rPr>
          <w:rFonts w:ascii="Times New Roman" w:hAnsi="Times New Roman"/>
          <w:sz w:val="18"/>
          <w:szCs w:val="18"/>
        </w:rPr>
      </w:pPr>
      <w:r w:rsidRPr="00DA4D19">
        <w:rPr>
          <w:rStyle w:val="FootnoteReference"/>
          <w:szCs w:val="18"/>
        </w:rPr>
        <w:footnoteRef/>
      </w:r>
      <w:r w:rsidRPr="00DA4D19">
        <w:rPr>
          <w:rFonts w:ascii="Times New Roman" w:hAnsi="Times New Roman"/>
          <w:sz w:val="18"/>
          <w:szCs w:val="18"/>
        </w:rPr>
        <w:t xml:space="preserve"> See A/HRC/32/32, para. 83</w:t>
      </w:r>
    </w:p>
  </w:footnote>
  <w:footnote w:id="32">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Nutrition counselling during pregnancy » (July 2013), accessed on 15 April 2016 at </w:t>
      </w:r>
      <w:hyperlink r:id="rId3" w:history="1">
        <w:r w:rsidRPr="00DA4D19">
          <w:rPr>
            <w:rStyle w:val="Hyperlink"/>
            <w:szCs w:val="18"/>
          </w:rPr>
          <w:t>http://www.who.int/elena/bbc/nutrition_counselling_pregnancy/en/</w:t>
        </w:r>
      </w:hyperlink>
      <w:r w:rsidRPr="00DA4D19">
        <w:rPr>
          <w:szCs w:val="18"/>
        </w:rPr>
        <w:t xml:space="preserve"> </w:t>
      </w:r>
    </w:p>
  </w:footnote>
  <w:footnote w:id="33">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See A/HRC/31/51 (2015), para. 13</w:t>
      </w:r>
    </w:p>
  </w:footnote>
  <w:footnote w:id="34">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OHCHR « Maternal mortality and morbidity and human rights » (August 2013), accessed on 13 April 2016 at </w:t>
      </w:r>
      <w:hyperlink r:id="rId4" w:history="1">
        <w:r w:rsidRPr="00DA4D19">
          <w:rPr>
            <w:rStyle w:val="Hyperlink"/>
            <w:szCs w:val="18"/>
          </w:rPr>
          <w:t>http://www.ohchr.org/Documents/Issues/Women/WRGS/OnePagers/Maternal_mortality_morbidity.pdf</w:t>
        </w:r>
      </w:hyperlink>
      <w:r w:rsidRPr="00DA4D19">
        <w:rPr>
          <w:szCs w:val="18"/>
        </w:rPr>
        <w:t xml:space="preserve"> </w:t>
      </w:r>
    </w:p>
  </w:footnote>
  <w:footnote w:id="35">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Statement: the prevention and elimination of disrespect and abuse during facility-based childbirth “ (2015), accessed on 14 April 2015 at </w:t>
      </w:r>
      <w:hyperlink r:id="rId5" w:history="1">
        <w:r w:rsidRPr="00DA4D19">
          <w:rPr>
            <w:rStyle w:val="Hyperlink"/>
            <w:szCs w:val="18"/>
          </w:rPr>
          <w:t>http://apps.who.int/iris/bitstream/10665/134588/1/WHO_RHR_14.23_eng.pdf?ua=1&amp;ua=1</w:t>
        </w:r>
      </w:hyperlink>
      <w:r w:rsidRPr="00DA4D19">
        <w:rPr>
          <w:szCs w:val="18"/>
        </w:rPr>
        <w:t xml:space="preserve"> </w:t>
      </w:r>
    </w:p>
  </w:footnote>
  <w:footnote w:id="36">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WHO, « Statement: the prevention and elimination of disrespect and abuse during facility-based childbirth “ (2015), accessed on 14 April 2015 at </w:t>
      </w:r>
      <w:hyperlink r:id="rId6" w:history="1">
        <w:r w:rsidRPr="00DA4D19">
          <w:rPr>
            <w:rStyle w:val="Hyperlink"/>
            <w:szCs w:val="18"/>
          </w:rPr>
          <w:t>http://apps.who.int/iris/bitstream/10665/134588/1/WHO_RHR_14.23_eng.pdf?ua=1&amp;ua=1</w:t>
        </w:r>
      </w:hyperlink>
      <w:r w:rsidRPr="00DA4D19">
        <w:rPr>
          <w:szCs w:val="18"/>
        </w:rPr>
        <w:t xml:space="preserve"> </w:t>
      </w:r>
    </w:p>
  </w:footnote>
  <w:footnote w:id="37">
    <w:p w:rsidR="00A415B5" w:rsidRPr="00B628F0" w:rsidRDefault="00A415B5" w:rsidP="00B628F0">
      <w:pPr>
        <w:pStyle w:val="FootnoteText"/>
        <w:ind w:hanging="141"/>
        <w:rPr>
          <w:szCs w:val="18"/>
        </w:rPr>
      </w:pPr>
      <w:r>
        <w:rPr>
          <w:rStyle w:val="FootnoteReference"/>
        </w:rPr>
        <w:footnoteRef/>
      </w:r>
      <w:r>
        <w:t xml:space="preserve"> </w:t>
      </w:r>
      <w:r w:rsidRPr="00B628F0">
        <w:rPr>
          <w:szCs w:val="18"/>
        </w:rPr>
        <w:t>State Responses to Substance Abuse</w:t>
      </w:r>
      <w:r>
        <w:rPr>
          <w:rFonts w:ascii="Font" w:eastAsiaTheme="minorHAnsi" w:hAnsi="Font" w:cs="Font"/>
          <w:color w:val="1A1A1A"/>
          <w:sz w:val="54"/>
          <w:szCs w:val="54"/>
          <w:lang w:val="en-US"/>
        </w:rPr>
        <w:t xml:space="preserve"> </w:t>
      </w:r>
      <w:proofErr w:type="gramStart"/>
      <w:r w:rsidRPr="00B628F0">
        <w:rPr>
          <w:szCs w:val="18"/>
        </w:rPr>
        <w:t>Among</w:t>
      </w:r>
      <w:proofErr w:type="gramEnd"/>
      <w:r w:rsidRPr="00B628F0">
        <w:rPr>
          <w:szCs w:val="18"/>
        </w:rPr>
        <w:t xml:space="preserve"> Pregnant Women. Cynthia </w:t>
      </w:r>
      <w:proofErr w:type="spellStart"/>
      <w:r w:rsidRPr="00B628F0">
        <w:rPr>
          <w:szCs w:val="18"/>
        </w:rPr>
        <w:t>Dailard</w:t>
      </w:r>
      <w:proofErr w:type="spellEnd"/>
    </w:p>
    <w:p w:rsidR="00A415B5" w:rsidRPr="00B628F0" w:rsidRDefault="00C64C2A" w:rsidP="00CB6517">
      <w:pPr>
        <w:pStyle w:val="FootnoteText"/>
        <w:ind w:firstLine="0"/>
        <w:rPr>
          <w:lang w:val="en-US"/>
        </w:rPr>
      </w:pPr>
      <w:hyperlink r:id="rId7" w:history="1">
        <w:r w:rsidR="00A415B5" w:rsidRPr="00B628F0">
          <w:rPr>
            <w:szCs w:val="18"/>
          </w:rPr>
          <w:t>Elizabeth Nash</w:t>
        </w:r>
      </w:hyperlink>
      <w:r w:rsidR="00A415B5" w:rsidRPr="00B628F0">
        <w:rPr>
          <w:szCs w:val="18"/>
        </w:rPr>
        <w:t xml:space="preserve"> . </w:t>
      </w:r>
      <w:proofErr w:type="spellStart"/>
      <w:r w:rsidR="00A415B5" w:rsidRPr="00B628F0">
        <w:rPr>
          <w:szCs w:val="18"/>
        </w:rPr>
        <w:t>Guttmacher</w:t>
      </w:r>
      <w:proofErr w:type="spellEnd"/>
      <w:r w:rsidR="00A415B5" w:rsidRPr="00B628F0">
        <w:rPr>
          <w:szCs w:val="18"/>
        </w:rPr>
        <w:t xml:space="preserve"> Policy Review. Volume 3, Issue 6. </w:t>
      </w:r>
      <w:proofErr w:type="spellStart"/>
      <w:r w:rsidR="00A415B5">
        <w:rPr>
          <w:szCs w:val="18"/>
        </w:rPr>
        <w:t>Guttmacher</w:t>
      </w:r>
      <w:proofErr w:type="spellEnd"/>
      <w:r w:rsidR="00A415B5">
        <w:rPr>
          <w:szCs w:val="18"/>
        </w:rPr>
        <w:t xml:space="preserve"> Institute. </w:t>
      </w:r>
      <w:r w:rsidR="00A415B5" w:rsidRPr="00B628F0">
        <w:rPr>
          <w:szCs w:val="18"/>
        </w:rPr>
        <w:t>2000.</w:t>
      </w:r>
      <w:r w:rsidR="00A415B5">
        <w:rPr>
          <w:rFonts w:ascii="Font" w:eastAsiaTheme="minorHAnsi" w:hAnsi="Font" w:cs="Font"/>
          <w:color w:val="262626"/>
          <w:sz w:val="32"/>
          <w:szCs w:val="32"/>
          <w:lang w:val="en-US"/>
        </w:rPr>
        <w:t xml:space="preserve"> </w:t>
      </w:r>
    </w:p>
  </w:footnote>
  <w:footnote w:id="38">
    <w:p w:rsidR="00C64C2A" w:rsidRPr="00C64C2A" w:rsidRDefault="00C64C2A" w:rsidP="00C64C2A">
      <w:pPr>
        <w:pStyle w:val="FootnoteText"/>
        <w:ind w:hanging="141"/>
        <w:rPr>
          <w:szCs w:val="18"/>
        </w:rPr>
      </w:pPr>
      <w:r w:rsidRPr="00C64C2A">
        <w:rPr>
          <w:szCs w:val="18"/>
          <w:vertAlign w:val="superscript"/>
        </w:rPr>
        <w:footnoteRef/>
      </w:r>
      <w:r w:rsidRPr="00C64C2A">
        <w:rPr>
          <w:szCs w:val="18"/>
        </w:rPr>
        <w:t xml:space="preserve"> </w:t>
      </w:r>
      <w:r>
        <w:rPr>
          <w:szCs w:val="18"/>
        </w:rPr>
        <w:t xml:space="preserve">See </w:t>
      </w:r>
      <w:r w:rsidRPr="00C64C2A">
        <w:rPr>
          <w:szCs w:val="18"/>
        </w:rPr>
        <w:t>A/HRC/18/37, para. 17</w:t>
      </w:r>
    </w:p>
  </w:footnote>
  <w:footnote w:id="39">
    <w:p w:rsidR="00C64C2A" w:rsidRPr="00C64C2A" w:rsidRDefault="00C64C2A" w:rsidP="00C64C2A">
      <w:pPr>
        <w:pStyle w:val="FootnoteText"/>
        <w:ind w:hanging="141"/>
        <w:rPr>
          <w:szCs w:val="18"/>
          <w:shd w:val="clear" w:color="auto" w:fill="FFFFFF"/>
        </w:rPr>
      </w:pPr>
      <w:r w:rsidRPr="00C64C2A">
        <w:rPr>
          <w:szCs w:val="18"/>
          <w:shd w:val="clear" w:color="auto" w:fill="FFFFFF"/>
          <w:vertAlign w:val="superscript"/>
        </w:rPr>
        <w:footnoteRef/>
      </w:r>
      <w:r w:rsidRPr="00C64C2A">
        <w:rPr>
          <w:szCs w:val="18"/>
          <w:shd w:val="clear" w:color="auto" w:fill="FFFFFF"/>
        </w:rPr>
        <w:t xml:space="preserve"> </w:t>
      </w:r>
      <w:r w:rsidRPr="00C64C2A">
        <w:rPr>
          <w:szCs w:val="18"/>
          <w:shd w:val="clear" w:color="auto" w:fill="FFFFFF"/>
        </w:rPr>
        <w:t>OHCHR, “Beijing+20 review: ‘Older women must not r</w:t>
      </w:r>
      <w:r>
        <w:rPr>
          <w:szCs w:val="18"/>
          <w:shd w:val="clear" w:color="auto" w:fill="FFFFFF"/>
        </w:rPr>
        <w:t xml:space="preserve">emain invisible’”, published on </w:t>
      </w:r>
      <w:r w:rsidRPr="00C64C2A">
        <w:rPr>
          <w:szCs w:val="18"/>
          <w:shd w:val="clear" w:color="auto" w:fill="FFFFFF"/>
        </w:rPr>
        <w:t>12 March 2015</w:t>
      </w:r>
      <w:r>
        <w:rPr>
          <w:szCs w:val="18"/>
          <w:shd w:val="clear" w:color="auto" w:fill="FFFFFF"/>
        </w:rPr>
        <w:t>, accessed on 31 May 2016 at</w:t>
      </w:r>
      <w:r w:rsidRPr="00C64C2A">
        <w:rPr>
          <w:szCs w:val="18"/>
          <w:shd w:val="clear" w:color="auto" w:fill="FFFFFF"/>
        </w:rPr>
        <w:t xml:space="preserve"> </w:t>
      </w:r>
      <w:hyperlink r:id="rId8" w:history="1">
        <w:r w:rsidRPr="00C64C2A">
          <w:rPr>
            <w:szCs w:val="18"/>
            <w:shd w:val="clear" w:color="auto" w:fill="FFFFFF"/>
          </w:rPr>
          <w:t>http://www.ohchr.org/EN/NewsEvents/Pages/DisplayNews.aspx?NewsID=15688&amp;LangID=E</w:t>
        </w:r>
      </w:hyperlink>
      <w:r w:rsidRPr="00C64C2A">
        <w:rPr>
          <w:szCs w:val="18"/>
          <w:shd w:val="clear" w:color="auto" w:fill="FFFFFF"/>
        </w:rPr>
        <w:t xml:space="preserve"> </w:t>
      </w:r>
    </w:p>
  </w:footnote>
  <w:footnote w:id="40">
    <w:p w:rsidR="00A415B5" w:rsidRPr="00C64C2A" w:rsidRDefault="00A415B5" w:rsidP="008A119E">
      <w:pPr>
        <w:pStyle w:val="FootnoteText"/>
        <w:ind w:hanging="141"/>
        <w:rPr>
          <w:szCs w:val="18"/>
          <w:shd w:val="clear" w:color="auto" w:fill="FFFFFF"/>
        </w:rPr>
      </w:pPr>
      <w:r w:rsidRPr="00C64C2A">
        <w:rPr>
          <w:shd w:val="clear" w:color="auto" w:fill="FFFFFF"/>
          <w:vertAlign w:val="superscript"/>
        </w:rPr>
        <w:footnoteRef/>
      </w:r>
      <w:r w:rsidRPr="00C64C2A">
        <w:rPr>
          <w:szCs w:val="18"/>
          <w:shd w:val="clear" w:color="auto" w:fill="FFFFFF"/>
        </w:rPr>
        <w:t xml:space="preserve"> See A/HRC/18/37, para. 17</w:t>
      </w:r>
    </w:p>
  </w:footnote>
  <w:footnote w:id="41">
    <w:p w:rsidR="00A415B5" w:rsidRPr="00DA4D19" w:rsidRDefault="00A415B5" w:rsidP="00ED53E8">
      <w:pPr>
        <w:pStyle w:val="FootnoteText"/>
        <w:ind w:hanging="141"/>
        <w:rPr>
          <w:szCs w:val="18"/>
          <w:shd w:val="clear" w:color="auto" w:fill="FFFFFF"/>
        </w:rPr>
      </w:pPr>
      <w:r w:rsidRPr="00C64C2A">
        <w:rPr>
          <w:szCs w:val="16"/>
          <w:vertAlign w:val="superscript"/>
        </w:rPr>
        <w:footnoteRef/>
      </w:r>
      <w:r w:rsidRPr="000368E4">
        <w:rPr>
          <w:szCs w:val="18"/>
        </w:rPr>
        <w:t xml:space="preserve"> See A/HRC/29/40/Add.1</w:t>
      </w:r>
      <w:r w:rsidRPr="000368E4">
        <w:rPr>
          <w:szCs w:val="18"/>
          <w:lang w:val="en-US"/>
        </w:rPr>
        <w:t xml:space="preserve"> and A/HRC/20/40/Add.2; </w:t>
      </w:r>
      <w:r w:rsidRPr="000368E4">
        <w:rPr>
          <w:rFonts w:eastAsia="SimSun"/>
          <w:szCs w:val="18"/>
        </w:rPr>
        <w:t xml:space="preserve">Amnesty International, “Realizing sexual and reproductive rights” (2012); </w:t>
      </w:r>
      <w:r w:rsidRPr="000368E4">
        <w:rPr>
          <w:szCs w:val="18"/>
          <w:shd w:val="clear" w:color="auto" w:fill="FFFFFF"/>
        </w:rPr>
        <w:t xml:space="preserve">Conroy, K, Megan S, Barry Z., “Poverty grown up: how childhood socioeconomic status impacts adult health”, </w:t>
      </w:r>
      <w:r w:rsidRPr="000368E4">
        <w:rPr>
          <w:iCs/>
          <w:szCs w:val="18"/>
          <w:shd w:val="clear" w:color="auto" w:fill="FFFFFF"/>
        </w:rPr>
        <w:t xml:space="preserve">Journal of Developmental &amp; </w:t>
      </w:r>
      <w:proofErr w:type="spellStart"/>
      <w:r w:rsidRPr="000368E4">
        <w:rPr>
          <w:iCs/>
          <w:szCs w:val="18"/>
          <w:shd w:val="clear" w:color="auto" w:fill="FFFFFF"/>
        </w:rPr>
        <w:t>Behavioral</w:t>
      </w:r>
      <w:proofErr w:type="spellEnd"/>
      <w:r w:rsidRPr="000368E4">
        <w:rPr>
          <w:iCs/>
          <w:szCs w:val="18"/>
          <w:shd w:val="clear" w:color="auto" w:fill="FFFFFF"/>
        </w:rPr>
        <w:t xml:space="preserve"> </w:t>
      </w:r>
      <w:proofErr w:type="spellStart"/>
      <w:r w:rsidRPr="000368E4">
        <w:rPr>
          <w:iCs/>
          <w:szCs w:val="18"/>
          <w:shd w:val="clear" w:color="auto" w:fill="FFFFFF"/>
        </w:rPr>
        <w:t>Pediatrics</w:t>
      </w:r>
      <w:proofErr w:type="spellEnd"/>
      <w:r w:rsidRPr="000368E4">
        <w:rPr>
          <w:rStyle w:val="apple-converted-space"/>
          <w:rFonts w:eastAsia="Cambria"/>
          <w:szCs w:val="18"/>
          <w:shd w:val="clear" w:color="auto" w:fill="FFFFFF"/>
        </w:rPr>
        <w:t> </w:t>
      </w:r>
      <w:r w:rsidRPr="000368E4">
        <w:rPr>
          <w:szCs w:val="18"/>
          <w:shd w:val="clear" w:color="auto" w:fill="FFFFFF"/>
        </w:rPr>
        <w:t>31.2 (2010): 154-160</w:t>
      </w:r>
      <w:r w:rsidRPr="000368E4">
        <w:rPr>
          <w:szCs w:val="18"/>
          <w:shd w:val="clear" w:color="auto" w:fill="FFFFFF"/>
          <w:lang w:val="en-US"/>
        </w:rPr>
        <w:t xml:space="preserve">; and </w:t>
      </w:r>
      <w:r w:rsidRPr="000368E4">
        <w:rPr>
          <w:szCs w:val="18"/>
          <w:shd w:val="clear" w:color="auto" w:fill="FFFFFF"/>
        </w:rPr>
        <w:t xml:space="preserve">Cohen, S, et al., “Childhood socioeconomic status and adult health”, </w:t>
      </w:r>
      <w:r w:rsidRPr="000368E4">
        <w:rPr>
          <w:iCs/>
          <w:szCs w:val="18"/>
          <w:shd w:val="clear" w:color="auto" w:fill="FFFFFF"/>
        </w:rPr>
        <w:t>Annals of</w:t>
      </w:r>
      <w:r w:rsidRPr="00DA4D19">
        <w:rPr>
          <w:iCs/>
          <w:szCs w:val="18"/>
          <w:shd w:val="clear" w:color="auto" w:fill="FFFFFF"/>
        </w:rPr>
        <w:t xml:space="preserve"> the New York A</w:t>
      </w:r>
      <w:bookmarkStart w:id="27" w:name="_GoBack"/>
      <w:bookmarkEnd w:id="27"/>
      <w:r w:rsidRPr="00DA4D19">
        <w:rPr>
          <w:iCs/>
          <w:szCs w:val="18"/>
          <w:shd w:val="clear" w:color="auto" w:fill="FFFFFF"/>
        </w:rPr>
        <w:t>cademy of Sciences</w:t>
      </w:r>
      <w:r w:rsidRPr="00DA4D19">
        <w:rPr>
          <w:rStyle w:val="apple-converted-space"/>
          <w:rFonts w:eastAsia="Cambria"/>
          <w:szCs w:val="18"/>
          <w:shd w:val="clear" w:color="auto" w:fill="FFFFFF"/>
        </w:rPr>
        <w:t> </w:t>
      </w:r>
      <w:r w:rsidRPr="00DA4D19">
        <w:rPr>
          <w:szCs w:val="18"/>
          <w:shd w:val="clear" w:color="auto" w:fill="FFFFFF"/>
        </w:rPr>
        <w:t>1186.1 (2010): 37-55</w:t>
      </w:r>
    </w:p>
  </w:footnote>
  <w:footnote w:id="42">
    <w:p w:rsidR="00A415B5" w:rsidRPr="00DA4D19" w:rsidRDefault="00A415B5" w:rsidP="008A119E">
      <w:pPr>
        <w:pStyle w:val="FootnoteText"/>
        <w:ind w:hanging="141"/>
        <w:rPr>
          <w:szCs w:val="18"/>
          <w:shd w:val="clear" w:color="auto" w:fill="FFFFFF"/>
        </w:rPr>
      </w:pPr>
      <w:r w:rsidRPr="00DA4D19">
        <w:rPr>
          <w:rStyle w:val="FootnoteReference"/>
          <w:szCs w:val="18"/>
        </w:rPr>
        <w:footnoteRef/>
      </w:r>
      <w:r w:rsidRPr="00DA4D19">
        <w:rPr>
          <w:szCs w:val="18"/>
        </w:rPr>
        <w:t xml:space="preserve"> See A/HRC/29/40/Add.1</w:t>
      </w:r>
      <w:r w:rsidRPr="00DA4D19">
        <w:rPr>
          <w:szCs w:val="18"/>
          <w:lang w:val="en-US"/>
        </w:rPr>
        <w:t>; A/HRC/20/40/Add</w:t>
      </w:r>
      <w:r w:rsidRPr="00DA4D19">
        <w:rPr>
          <w:szCs w:val="18"/>
          <w:shd w:val="clear" w:color="auto" w:fill="FFFFFF"/>
        </w:rPr>
        <w:t xml:space="preserve">.2; A/HRC/29/40/Add.3 and A/HRC/32/44/Add.2 </w:t>
      </w:r>
    </w:p>
  </w:footnote>
  <w:footnote w:id="43">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See </w:t>
      </w:r>
      <w:r w:rsidRPr="00DA4D19">
        <w:rPr>
          <w:rFonts w:eastAsia="Cambria"/>
          <w:szCs w:val="18"/>
          <w:lang w:val="en-CA"/>
        </w:rPr>
        <w:t>A/HRC/26/39</w:t>
      </w:r>
    </w:p>
  </w:footnote>
  <w:footnote w:id="44">
    <w:p w:rsidR="00A415B5" w:rsidRPr="00DA4D19" w:rsidRDefault="00A415B5" w:rsidP="008A119E">
      <w:pPr>
        <w:pStyle w:val="FootnoteText"/>
        <w:ind w:hanging="141"/>
        <w:rPr>
          <w:szCs w:val="18"/>
          <w:lang w:val="en-US"/>
        </w:rPr>
      </w:pPr>
      <w:r w:rsidRPr="00DA4D19">
        <w:rPr>
          <w:rStyle w:val="FootnoteReference"/>
          <w:szCs w:val="18"/>
        </w:rPr>
        <w:footnoteRef/>
      </w:r>
      <w:r w:rsidRPr="00DA4D19">
        <w:rPr>
          <w:szCs w:val="18"/>
        </w:rPr>
        <w:t xml:space="preserve"> UN Women, “The Beijing Platform for Action Turns 20” (2015), accessed on 18 April 2016, at </w:t>
      </w:r>
      <w:hyperlink r:id="rId9" w:history="1">
        <w:r w:rsidRPr="00DA4D19">
          <w:rPr>
            <w:rStyle w:val="Hyperlink"/>
            <w:szCs w:val="18"/>
          </w:rPr>
          <w:t>http://beijing20.unwomen.org/en/in-focus/poverty</w:t>
        </w:r>
      </w:hyperlink>
      <w:r w:rsidRPr="00DA4D19">
        <w:rPr>
          <w:szCs w:val="18"/>
        </w:rPr>
        <w:t xml:space="preserve"> </w:t>
      </w:r>
    </w:p>
  </w:footnote>
  <w:footnote w:id="45">
    <w:p w:rsidR="00A415B5" w:rsidRPr="00DA4D19" w:rsidRDefault="00A415B5" w:rsidP="008A119E">
      <w:pPr>
        <w:pStyle w:val="FootnoteText"/>
        <w:ind w:hanging="141"/>
        <w:rPr>
          <w:szCs w:val="18"/>
        </w:rPr>
      </w:pPr>
      <w:r w:rsidRPr="00DA4D19">
        <w:rPr>
          <w:rStyle w:val="FootnoteReference"/>
          <w:szCs w:val="18"/>
        </w:rPr>
        <w:footnoteRef/>
      </w:r>
      <w:r w:rsidRPr="00DA4D19">
        <w:rPr>
          <w:szCs w:val="18"/>
        </w:rPr>
        <w:t xml:space="preserve"> </w:t>
      </w:r>
      <w:r>
        <w:rPr>
          <w:szCs w:val="18"/>
        </w:rPr>
        <w:t>WHO</w:t>
      </w:r>
      <w:r w:rsidRPr="00DA4D19">
        <w:rPr>
          <w:szCs w:val="18"/>
        </w:rPr>
        <w:t xml:space="preserve"> and the World Bank, “World Report on Disability”, (2011) </w:t>
      </w:r>
    </w:p>
  </w:footnote>
  <w:footnote w:id="46">
    <w:p w:rsidR="00A415B5" w:rsidRPr="00DA4D19" w:rsidRDefault="00A415B5" w:rsidP="000368E4">
      <w:pPr>
        <w:pStyle w:val="FootnoteText"/>
        <w:spacing w:line="240" w:lineRule="auto"/>
        <w:ind w:hanging="141"/>
        <w:rPr>
          <w:szCs w:val="18"/>
        </w:rPr>
      </w:pPr>
      <w:r w:rsidRPr="00DA4D19">
        <w:rPr>
          <w:rStyle w:val="FootnoteReference"/>
          <w:szCs w:val="18"/>
        </w:rPr>
        <w:footnoteRef/>
      </w:r>
      <w:r w:rsidRPr="00DA4D19">
        <w:rPr>
          <w:szCs w:val="18"/>
        </w:rPr>
        <w:t xml:space="preserve"> </w:t>
      </w:r>
      <w:r>
        <w:rPr>
          <w:szCs w:val="18"/>
        </w:rPr>
        <w:t>WHO</w:t>
      </w:r>
      <w:r w:rsidRPr="00DA4D19">
        <w:rPr>
          <w:szCs w:val="18"/>
        </w:rPr>
        <w:t xml:space="preserve"> and the World Bank, “World Report on Disability”, (2011)</w:t>
      </w:r>
    </w:p>
  </w:footnote>
  <w:footnote w:id="47">
    <w:p w:rsidR="00A415B5" w:rsidRPr="000368E4" w:rsidRDefault="00A415B5" w:rsidP="000368E4">
      <w:pPr>
        <w:pStyle w:val="NormalWeb"/>
        <w:spacing w:before="0" w:beforeAutospacing="0" w:after="0" w:afterAutospacing="0"/>
        <w:ind w:left="993"/>
        <w:rPr>
          <w:rFonts w:ascii="Times New Roman" w:eastAsia="Times New Roman" w:hAnsi="Times New Roman"/>
          <w:sz w:val="18"/>
          <w:szCs w:val="18"/>
          <w:lang w:val="en-GB"/>
        </w:rPr>
      </w:pPr>
      <w:r w:rsidRPr="00C64C2A">
        <w:rPr>
          <w:rFonts w:eastAsia="Times New Roman"/>
          <w:sz w:val="18"/>
          <w:szCs w:val="18"/>
          <w:vertAlign w:val="superscript"/>
          <w:lang w:val="en-GB"/>
        </w:rPr>
        <w:footnoteRef/>
      </w:r>
      <w:r w:rsidRPr="00B628F0">
        <w:rPr>
          <w:rFonts w:ascii="Times New Roman" w:eastAsia="Times New Roman" w:hAnsi="Times New Roman"/>
          <w:sz w:val="18"/>
          <w:szCs w:val="18"/>
          <w:lang w:val="en-GB"/>
        </w:rPr>
        <w:t xml:space="preserve"> General comment on Article 6: Women with disabilities. </w:t>
      </w:r>
      <w:proofErr w:type="gramStart"/>
      <w:r w:rsidRPr="00B628F0">
        <w:rPr>
          <w:rFonts w:ascii="Times New Roman" w:eastAsia="Times New Roman" w:hAnsi="Times New Roman"/>
          <w:sz w:val="18"/>
          <w:szCs w:val="18"/>
          <w:lang w:val="en-GB"/>
        </w:rPr>
        <w:t>Committee on the Rights of Persons with Disabilities.</w:t>
      </w:r>
      <w:proofErr w:type="gramEnd"/>
      <w:r w:rsidRPr="00B628F0">
        <w:rPr>
          <w:rFonts w:ascii="Times New Roman" w:eastAsia="Times New Roman" w:hAnsi="Times New Roman"/>
          <w:sz w:val="18"/>
          <w:szCs w:val="18"/>
          <w:lang w:val="en-GB"/>
        </w:rPr>
        <w:t xml:space="preserve"> General Assembly. CRPD/C/14/</w:t>
      </w:r>
      <w:proofErr w:type="gramStart"/>
      <w:r w:rsidRPr="00B628F0">
        <w:rPr>
          <w:rFonts w:ascii="Times New Roman" w:eastAsia="Times New Roman" w:hAnsi="Times New Roman"/>
          <w:sz w:val="18"/>
          <w:szCs w:val="18"/>
          <w:lang w:val="en-GB"/>
        </w:rPr>
        <w:t>R.1 .</w:t>
      </w:r>
      <w:proofErr w:type="gramEnd"/>
      <w:r w:rsidRPr="00B628F0">
        <w:rPr>
          <w:rFonts w:ascii="Times New Roman" w:eastAsia="Times New Roman" w:hAnsi="Times New Roman"/>
          <w:sz w:val="18"/>
          <w:szCs w:val="18"/>
          <w:lang w:val="en-GB"/>
        </w:rPr>
        <w:t xml:space="preserve"> 2015.</w:t>
      </w:r>
    </w:p>
  </w:footnote>
  <w:footnote w:id="48">
    <w:p w:rsidR="00A415B5" w:rsidRPr="00DA4D19" w:rsidRDefault="00A415B5" w:rsidP="000368E4">
      <w:pPr>
        <w:pStyle w:val="FootnoteText"/>
        <w:spacing w:line="240" w:lineRule="auto"/>
        <w:ind w:hanging="141"/>
        <w:rPr>
          <w:szCs w:val="18"/>
          <w:lang w:val="es-ES_tradnl"/>
        </w:rPr>
      </w:pPr>
      <w:r w:rsidRPr="00DA4D19">
        <w:rPr>
          <w:rStyle w:val="FootnoteReference"/>
          <w:szCs w:val="18"/>
        </w:rPr>
        <w:footnoteRef/>
      </w:r>
      <w:r w:rsidRPr="00DA4D19">
        <w:rPr>
          <w:szCs w:val="18"/>
          <w:lang w:val="es-ES_tradnl"/>
        </w:rPr>
        <w:t xml:space="preserve"> </w:t>
      </w:r>
      <w:proofErr w:type="spellStart"/>
      <w:r w:rsidRPr="00DA4D19">
        <w:rPr>
          <w:szCs w:val="18"/>
          <w:lang w:val="es-ES_tradnl"/>
        </w:rPr>
        <w:t>See</w:t>
      </w:r>
      <w:proofErr w:type="spellEnd"/>
      <w:r w:rsidRPr="00DA4D19">
        <w:rPr>
          <w:szCs w:val="18"/>
          <w:lang w:val="es-ES_tradnl"/>
        </w:rPr>
        <w:t xml:space="preserve"> A/HRC/31/62, para. 59</w:t>
      </w:r>
    </w:p>
  </w:footnote>
  <w:footnote w:id="49">
    <w:p w:rsidR="00A415B5" w:rsidRPr="00DA4D19" w:rsidRDefault="00A415B5" w:rsidP="000368E4">
      <w:pPr>
        <w:pStyle w:val="FootnoteText"/>
        <w:spacing w:line="240" w:lineRule="auto"/>
        <w:ind w:hanging="141"/>
        <w:rPr>
          <w:szCs w:val="18"/>
        </w:rPr>
      </w:pPr>
      <w:r w:rsidRPr="00DA4D19">
        <w:rPr>
          <w:rStyle w:val="FootnoteReference"/>
          <w:szCs w:val="18"/>
        </w:rPr>
        <w:footnoteRef/>
      </w:r>
      <w:r w:rsidRPr="00DA4D19">
        <w:rPr>
          <w:szCs w:val="18"/>
        </w:rPr>
        <w:t xml:space="preserve"> Women Enabled International, « Enabling a global human rights movement for women and girls with disabilities » (March 2016) </w:t>
      </w:r>
      <w:hyperlink w:history="1"/>
    </w:p>
  </w:footnote>
  <w:footnote w:id="50">
    <w:p w:rsidR="00A415B5" w:rsidRPr="00DA4D19" w:rsidRDefault="00A415B5" w:rsidP="008A119E">
      <w:pPr>
        <w:pStyle w:val="FootnoteText"/>
        <w:ind w:hanging="141"/>
        <w:rPr>
          <w:szCs w:val="18"/>
          <w:lang w:val="en-US"/>
        </w:rPr>
      </w:pPr>
      <w:r w:rsidRPr="00DA4D19">
        <w:rPr>
          <w:rStyle w:val="FootnoteReference"/>
          <w:szCs w:val="18"/>
        </w:rPr>
        <w:footnoteRef/>
      </w:r>
      <w:r w:rsidRPr="00DA4D19">
        <w:rPr>
          <w:szCs w:val="18"/>
        </w:rPr>
        <w:t xml:space="preserve"> UNAIDS, “</w:t>
      </w:r>
      <w:r w:rsidRPr="00DA4D19">
        <w:rPr>
          <w:szCs w:val="18"/>
          <w:lang w:val="en-US"/>
        </w:rPr>
        <w:t>The Gap Report” (2014), p 233</w:t>
      </w:r>
      <w:r w:rsidRPr="00DA4D19">
        <w:rPr>
          <w:szCs w:val="18"/>
        </w:rPr>
        <w:t>; Gay, J., Croce-</w:t>
      </w:r>
      <w:proofErr w:type="spellStart"/>
      <w:r w:rsidRPr="00DA4D19">
        <w:rPr>
          <w:szCs w:val="18"/>
        </w:rPr>
        <w:t>Galis</w:t>
      </w:r>
      <w:proofErr w:type="spellEnd"/>
      <w:r w:rsidRPr="00DA4D19">
        <w:rPr>
          <w:szCs w:val="18"/>
        </w:rPr>
        <w:t xml:space="preserve">, M., </w:t>
      </w:r>
      <w:proofErr w:type="spellStart"/>
      <w:r w:rsidRPr="00DA4D19">
        <w:rPr>
          <w:szCs w:val="18"/>
        </w:rPr>
        <w:t>Hardee</w:t>
      </w:r>
      <w:proofErr w:type="spellEnd"/>
      <w:r w:rsidRPr="00DA4D19">
        <w:rPr>
          <w:szCs w:val="18"/>
        </w:rPr>
        <w:t>, K., “What Works for Women and Girls: Evidence for HIV/AIDS Interventions” (2012)</w:t>
      </w:r>
    </w:p>
  </w:footnote>
  <w:footnote w:id="51">
    <w:p w:rsidR="00A415B5" w:rsidRPr="00DA4D19" w:rsidRDefault="00A415B5" w:rsidP="00983B43">
      <w:pPr>
        <w:pStyle w:val="FootnoteText"/>
        <w:ind w:hanging="141"/>
        <w:rPr>
          <w:szCs w:val="18"/>
          <w:lang w:val="en-US"/>
        </w:rPr>
      </w:pPr>
      <w:r w:rsidRPr="00DA4D19">
        <w:rPr>
          <w:rStyle w:val="FootnoteReference"/>
          <w:szCs w:val="18"/>
        </w:rPr>
        <w:footnoteRef/>
      </w:r>
      <w:r w:rsidRPr="00DA4D19">
        <w:rPr>
          <w:szCs w:val="18"/>
        </w:rPr>
        <w:t xml:space="preserve"> UNAIDS, “</w:t>
      </w:r>
      <w:r w:rsidRPr="00DA4D19">
        <w:rPr>
          <w:szCs w:val="18"/>
          <w:lang w:val="en-US"/>
        </w:rPr>
        <w:t xml:space="preserve">The Gap Report” (2014), p 241. </w:t>
      </w:r>
    </w:p>
  </w:footnote>
  <w:footnote w:id="52">
    <w:p w:rsidR="00A415B5" w:rsidRPr="00DA4D19" w:rsidRDefault="00A415B5" w:rsidP="00983B43">
      <w:pPr>
        <w:pStyle w:val="FootnoteText"/>
        <w:ind w:hanging="141"/>
        <w:rPr>
          <w:szCs w:val="18"/>
          <w:lang w:val="en-US"/>
        </w:rPr>
      </w:pPr>
      <w:r w:rsidRPr="00DA4D19">
        <w:rPr>
          <w:rStyle w:val="FootnoteReference"/>
          <w:szCs w:val="18"/>
        </w:rPr>
        <w:footnoteRef/>
      </w:r>
      <w:r w:rsidRPr="00DA4D19">
        <w:rPr>
          <w:szCs w:val="18"/>
        </w:rPr>
        <w:t xml:space="preserve"> Open Society Foundations, “Against her Will: Forced and Coerced Sterilization of Women Worldwide” (2011); UNAIDS, “</w:t>
      </w:r>
      <w:r w:rsidRPr="00DA4D19">
        <w:rPr>
          <w:szCs w:val="18"/>
          <w:lang w:val="en-US"/>
        </w:rPr>
        <w:t>The Gap Report” (2014),</w:t>
      </w:r>
      <w:r w:rsidRPr="00DA4D19">
        <w:rPr>
          <w:szCs w:val="18"/>
        </w:rPr>
        <w:t xml:space="preserve"> </w:t>
      </w:r>
      <w:r w:rsidRPr="00DA4D19">
        <w:rPr>
          <w:szCs w:val="18"/>
          <w:lang w:val="en-US"/>
        </w:rPr>
        <w:t>p 236</w:t>
      </w:r>
    </w:p>
  </w:footnote>
  <w:footnote w:id="53">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OHCHR, “Gender-based crimes through the lens of torture- International Women’s Day”, published on 3 March 2016, accessed on 13 April 2016 at http://www.ohchr.org/EN/NewsEvents/Pages/DisplayNews.aspx?NewsID=17152&amp;LangID=E</w:t>
      </w:r>
    </w:p>
  </w:footnote>
  <w:footnote w:id="54">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OHCHR, « The economic, social and cultural rights of migrants in an irregular situation », (2014) p40; OHCHR, “Protecting and promoting the human rights of migrant domestic workers in an irregular situation », p22</w:t>
      </w:r>
    </w:p>
  </w:footnote>
  <w:footnote w:id="55">
    <w:p w:rsidR="00A415B5" w:rsidRPr="00DA4D19" w:rsidRDefault="00A415B5" w:rsidP="00C66D51">
      <w:pPr>
        <w:pStyle w:val="FootnoteText"/>
        <w:spacing w:line="240" w:lineRule="auto"/>
        <w:ind w:hanging="141"/>
        <w:jc w:val="both"/>
        <w:rPr>
          <w:szCs w:val="18"/>
        </w:rPr>
      </w:pPr>
      <w:r w:rsidRPr="00DA4D19">
        <w:rPr>
          <w:szCs w:val="18"/>
          <w:vertAlign w:val="superscript"/>
        </w:rPr>
        <w:footnoteRef/>
      </w:r>
      <w:r w:rsidRPr="00DA4D19">
        <w:rPr>
          <w:szCs w:val="18"/>
        </w:rPr>
        <w:t xml:space="preserve"> Dan Biswas, Brigit </w:t>
      </w:r>
      <w:proofErr w:type="spellStart"/>
      <w:r w:rsidRPr="00DA4D19">
        <w:rPr>
          <w:szCs w:val="18"/>
        </w:rPr>
        <w:t>Toebes</w:t>
      </w:r>
      <w:proofErr w:type="spellEnd"/>
      <w:r w:rsidRPr="00DA4D19">
        <w:rPr>
          <w:szCs w:val="18"/>
        </w:rPr>
        <w:t xml:space="preserve">, Anders </w:t>
      </w:r>
      <w:proofErr w:type="spellStart"/>
      <w:r w:rsidRPr="00DA4D19">
        <w:rPr>
          <w:szCs w:val="18"/>
        </w:rPr>
        <w:t>Hjern</w:t>
      </w:r>
      <w:proofErr w:type="spellEnd"/>
      <w:r w:rsidRPr="00DA4D19">
        <w:rPr>
          <w:szCs w:val="18"/>
        </w:rPr>
        <w:t xml:space="preserve">, Henry </w:t>
      </w:r>
      <w:proofErr w:type="spellStart"/>
      <w:r w:rsidRPr="00DA4D19">
        <w:rPr>
          <w:szCs w:val="18"/>
        </w:rPr>
        <w:t>Ascher</w:t>
      </w:r>
      <w:proofErr w:type="spellEnd"/>
      <w:r w:rsidRPr="00DA4D19">
        <w:rPr>
          <w:szCs w:val="18"/>
        </w:rPr>
        <w:t xml:space="preserve">, Marie </w:t>
      </w:r>
      <w:proofErr w:type="spellStart"/>
      <w:r w:rsidRPr="00DA4D19">
        <w:rPr>
          <w:szCs w:val="18"/>
        </w:rPr>
        <w:t>Norredam</w:t>
      </w:r>
      <w:proofErr w:type="spellEnd"/>
      <w:r w:rsidRPr="00DA4D19">
        <w:rPr>
          <w:szCs w:val="18"/>
        </w:rPr>
        <w:t>, “Access to health care for undocumented migrants from a human rights perspective: A comparative study of Denmark, Sweden, and the Netherlands”, (2012) Health and Human rights 14/2</w:t>
      </w:r>
    </w:p>
  </w:footnote>
  <w:footnote w:id="56">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OHCHR, “</w:t>
      </w:r>
      <w:r w:rsidRPr="00DA4D19">
        <w:rPr>
          <w:szCs w:val="18"/>
          <w:lang w:eastAsia="en-GB"/>
        </w:rPr>
        <w:t>Protecting and promoting the human rights of migrant domestic workers in an irregular situation », p22</w:t>
      </w:r>
    </w:p>
  </w:footnote>
  <w:footnote w:id="57">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See A/HRC/23/41, para. 55</w:t>
      </w:r>
    </w:p>
  </w:footnote>
  <w:footnote w:id="58">
    <w:p w:rsidR="00A415B5" w:rsidRPr="00355432" w:rsidRDefault="00A415B5" w:rsidP="00C66D51">
      <w:pPr>
        <w:pStyle w:val="FootnoteText"/>
        <w:spacing w:line="240" w:lineRule="auto"/>
        <w:ind w:hanging="141"/>
        <w:jc w:val="both"/>
        <w:rPr>
          <w:szCs w:val="18"/>
        </w:rPr>
      </w:pPr>
      <w:r>
        <w:rPr>
          <w:rStyle w:val="FootnoteReference"/>
        </w:rPr>
        <w:footnoteRef/>
      </w:r>
      <w:r>
        <w:t xml:space="preserve"> </w:t>
      </w:r>
      <w:r w:rsidRPr="00355432">
        <w:rPr>
          <w:szCs w:val="18"/>
        </w:rPr>
        <w:t xml:space="preserve">Behind closed doors </w:t>
      </w:r>
      <w:r>
        <w:rPr>
          <w:szCs w:val="18"/>
        </w:rPr>
        <w:t xml:space="preserve"> </w:t>
      </w:r>
      <w:r w:rsidRPr="00355432">
        <w:rPr>
          <w:szCs w:val="18"/>
        </w:rPr>
        <w:t xml:space="preserve">Protecting and promoting the human rights of migrant domestic workers </w:t>
      </w:r>
    </w:p>
    <w:p w:rsidR="00A415B5" w:rsidRPr="00C66D51" w:rsidRDefault="00A415B5" w:rsidP="00C66D51">
      <w:pPr>
        <w:pStyle w:val="FootnoteText"/>
        <w:spacing w:line="240" w:lineRule="auto"/>
        <w:ind w:hanging="141"/>
        <w:jc w:val="both"/>
        <w:rPr>
          <w:szCs w:val="18"/>
        </w:rPr>
      </w:pPr>
      <w:proofErr w:type="gramStart"/>
      <w:r w:rsidRPr="00355432">
        <w:rPr>
          <w:szCs w:val="18"/>
        </w:rPr>
        <w:t>in</w:t>
      </w:r>
      <w:proofErr w:type="gramEnd"/>
      <w:r w:rsidRPr="00355432">
        <w:rPr>
          <w:szCs w:val="18"/>
        </w:rPr>
        <w:t xml:space="preserve"> an irregular situation New York and Geneva, United Nations. 2015 </w:t>
      </w:r>
      <w:r>
        <w:rPr>
          <w:szCs w:val="18"/>
        </w:rPr>
        <w:t xml:space="preserve"> </w:t>
      </w:r>
      <w:r w:rsidRPr="00355432">
        <w:rPr>
          <w:szCs w:val="18"/>
        </w:rPr>
        <w:t>http://www.ohchr.org/Documents/Publications/Behind_closed_doors_HR_PUB_15_4_EN.pdf</w:t>
      </w:r>
    </w:p>
  </w:footnote>
  <w:footnote w:id="59">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See A/HRC/23/41, para. 55</w:t>
      </w:r>
    </w:p>
  </w:footnote>
  <w:footnote w:id="60">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See A/HRC/23/41, para. 33</w:t>
      </w:r>
    </w:p>
  </w:footnote>
  <w:footnote w:id="61">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OHCHR, “</w:t>
      </w:r>
      <w:r w:rsidRPr="00DA4D19">
        <w:rPr>
          <w:szCs w:val="18"/>
          <w:lang w:eastAsia="en-GB"/>
        </w:rPr>
        <w:t>Protecting and promoting the human rights of migrant domestic workers in an irregular situation », p22</w:t>
      </w:r>
    </w:p>
  </w:footnote>
  <w:footnote w:id="62">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OHCHR, “</w:t>
      </w:r>
      <w:r w:rsidRPr="00DA4D19">
        <w:rPr>
          <w:szCs w:val="18"/>
          <w:lang w:eastAsia="en-GB"/>
        </w:rPr>
        <w:t>Protecting and promoting the human rights of migrant domestic workers in an irregular situation »</w:t>
      </w:r>
    </w:p>
  </w:footnote>
  <w:footnote w:id="63">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w:t>
      </w:r>
      <w:r>
        <w:rPr>
          <w:szCs w:val="18"/>
        </w:rPr>
        <w:t>WHO</w:t>
      </w:r>
      <w:r w:rsidRPr="00DA4D19">
        <w:rPr>
          <w:szCs w:val="18"/>
        </w:rPr>
        <w:t>, “Sexual health, human rights and the law” (2015)</w:t>
      </w:r>
    </w:p>
  </w:footnote>
  <w:footnote w:id="64">
    <w:p w:rsidR="00A415B5" w:rsidRPr="00DA4D19" w:rsidRDefault="00A415B5" w:rsidP="00C66D51">
      <w:pPr>
        <w:pStyle w:val="FootnoteText"/>
        <w:spacing w:line="240" w:lineRule="auto"/>
        <w:ind w:hanging="141"/>
        <w:rPr>
          <w:szCs w:val="18"/>
        </w:rPr>
      </w:pPr>
      <w:r w:rsidRPr="00DA4D19">
        <w:rPr>
          <w:rStyle w:val="FootnoteReference"/>
          <w:szCs w:val="18"/>
        </w:rPr>
        <w:footnoteRef/>
      </w:r>
      <w:r w:rsidRPr="00DA4D19">
        <w:rPr>
          <w:szCs w:val="18"/>
        </w:rPr>
        <w:t xml:space="preserve"> See A/HRC/30/41, paras. 29-34</w:t>
      </w:r>
    </w:p>
  </w:footnote>
  <w:footnote w:id="65">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A/HRC/30/41, para. 33</w:t>
      </w:r>
    </w:p>
  </w:footnote>
  <w:footnote w:id="66">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A/HRC/30/41, para. 34</w:t>
      </w:r>
    </w:p>
  </w:footnote>
  <w:footnote w:id="67">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A/HRC/30/41, para. 31</w:t>
      </w:r>
    </w:p>
  </w:footnote>
  <w:footnote w:id="68">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A/HRC/30/41, para. 32</w:t>
      </w:r>
    </w:p>
  </w:footnote>
  <w:footnote w:id="69">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CEDAW</w:t>
      </w:r>
      <w:r>
        <w:rPr>
          <w:szCs w:val="18"/>
        </w:rPr>
        <w:t xml:space="preserve"> Committee General Recommendation No. 34</w:t>
      </w:r>
      <w:r w:rsidRPr="00DA4D19">
        <w:rPr>
          <w:szCs w:val="18"/>
        </w:rPr>
        <w:t xml:space="preserve">; </w:t>
      </w:r>
      <w:r>
        <w:rPr>
          <w:szCs w:val="18"/>
        </w:rPr>
        <w:t xml:space="preserve">see </w:t>
      </w:r>
      <w:r w:rsidRPr="00DA4D19">
        <w:rPr>
          <w:szCs w:val="18"/>
        </w:rPr>
        <w:t>A/HRC/18/27, para. 7</w:t>
      </w:r>
    </w:p>
  </w:footnote>
  <w:footnote w:id="70">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A/HRC/31/56, para. 85</w:t>
      </w:r>
    </w:p>
  </w:footnote>
  <w:footnote w:id="71">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See A/HRC/31/56, section V</w:t>
      </w:r>
    </w:p>
  </w:footnote>
  <w:footnote w:id="72">
    <w:p w:rsidR="00A415B5" w:rsidRPr="00DA4D19" w:rsidRDefault="00A415B5" w:rsidP="00983B43">
      <w:pPr>
        <w:pStyle w:val="FootnoteText"/>
        <w:ind w:hanging="141"/>
        <w:rPr>
          <w:szCs w:val="18"/>
        </w:rPr>
      </w:pPr>
      <w:r w:rsidRPr="00DA4D19">
        <w:rPr>
          <w:rStyle w:val="FootnoteReference"/>
          <w:szCs w:val="18"/>
        </w:rPr>
        <w:footnoteRef/>
      </w:r>
      <w:r w:rsidR="00C66D51">
        <w:rPr>
          <w:szCs w:val="18"/>
        </w:rPr>
        <w:t xml:space="preserve"> See A/HRC/29/24, para. 27</w:t>
      </w:r>
      <w:r w:rsidRPr="00DA4D19">
        <w:rPr>
          <w:szCs w:val="18"/>
        </w:rPr>
        <w:t xml:space="preserve">; </w:t>
      </w:r>
      <w:proofErr w:type="spellStart"/>
      <w:r w:rsidRPr="00DA4D19">
        <w:rPr>
          <w:szCs w:val="18"/>
        </w:rPr>
        <w:t>Center</w:t>
      </w:r>
      <w:proofErr w:type="spellEnd"/>
      <w:r w:rsidRPr="00DA4D19">
        <w:rPr>
          <w:szCs w:val="18"/>
        </w:rPr>
        <w:t xml:space="preserve"> for Reproductive Rights, “Body and soul: Forced sterilization and other assaults on Roma reproductive freedom in Slovakia” (2003)</w:t>
      </w:r>
      <w:r>
        <w:rPr>
          <w:szCs w:val="18"/>
        </w:rPr>
        <w:t xml:space="preserve">; CEDAW Committee, </w:t>
      </w:r>
      <w:r w:rsidRPr="00DA4D19">
        <w:rPr>
          <w:i/>
          <w:szCs w:val="18"/>
        </w:rPr>
        <w:t>A. S. v. Hungary</w:t>
      </w:r>
      <w:r>
        <w:rPr>
          <w:szCs w:val="18"/>
        </w:rPr>
        <w:t>, Communication No. 4/2004, (29 August 2006) CEDAW/C/36/D/4/2004</w:t>
      </w:r>
    </w:p>
  </w:footnote>
  <w:footnote w:id="73">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ILGA, “Discrimination in relation to the right to health and safety of lesbian, bisexual and intersex women and trans person – Submission to the WGDAW”, (2015)</w:t>
      </w:r>
    </w:p>
  </w:footnote>
  <w:footnote w:id="74">
    <w:p w:rsidR="00A415B5" w:rsidRPr="00DA4D19" w:rsidRDefault="00A415B5" w:rsidP="00983B43">
      <w:pPr>
        <w:pStyle w:val="FootnoteText"/>
        <w:ind w:hanging="141"/>
        <w:jc w:val="both"/>
        <w:rPr>
          <w:szCs w:val="18"/>
        </w:rPr>
      </w:pPr>
      <w:r w:rsidRPr="00DA4D19">
        <w:rPr>
          <w:szCs w:val="18"/>
          <w:vertAlign w:val="superscript"/>
        </w:rPr>
        <w:footnoteRef/>
      </w:r>
      <w:r w:rsidRPr="00DA4D19">
        <w:rPr>
          <w:szCs w:val="18"/>
          <w:vertAlign w:val="superscript"/>
        </w:rPr>
        <w:t xml:space="preserve"> </w:t>
      </w:r>
      <w:r w:rsidRPr="00DA4D19">
        <w:rPr>
          <w:szCs w:val="18"/>
        </w:rPr>
        <w:t xml:space="preserve">See A/HRC/14/20; A/HRC/19/41; A/66/254 </w:t>
      </w:r>
    </w:p>
  </w:footnote>
  <w:footnote w:id="75">
    <w:p w:rsidR="00A415B5" w:rsidRPr="00DA4D19" w:rsidRDefault="00A415B5" w:rsidP="00983B43">
      <w:pPr>
        <w:pStyle w:val="FootnoteText"/>
        <w:ind w:hanging="141"/>
        <w:rPr>
          <w:szCs w:val="18"/>
          <w:lang w:val="en-US"/>
        </w:rPr>
      </w:pPr>
      <w:r w:rsidRPr="00DA4D19">
        <w:rPr>
          <w:szCs w:val="18"/>
          <w:vertAlign w:val="superscript"/>
        </w:rPr>
        <w:footnoteRef/>
      </w:r>
      <w:r w:rsidRPr="00DA4D19">
        <w:rPr>
          <w:szCs w:val="18"/>
        </w:rPr>
        <w:t xml:space="preserve"> See A/HRC/14/20; United Nations Development Programme (UNDP), “Discussion paper: Transgender health and human rights”, (2013); WHO, “Sexual health, human rights and the law” (2015)</w:t>
      </w:r>
    </w:p>
  </w:footnote>
  <w:footnote w:id="76">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Health Policy Project, Asia Pacific Transgender Network, UNDP, “Blueprint for the </w:t>
      </w:r>
      <w:r w:rsidRPr="00DA4D19">
        <w:rPr>
          <w:szCs w:val="18"/>
          <w:lang w:val="en-US"/>
        </w:rPr>
        <w:t>Provision of Comprehensive Care for Trans People and Trans Communities”,</w:t>
      </w:r>
      <w:r w:rsidRPr="00DA4D19">
        <w:rPr>
          <w:szCs w:val="18"/>
        </w:rPr>
        <w:t xml:space="preserve"> (2015</w:t>
      </w:r>
      <w:r w:rsidRPr="00DA4D19">
        <w:rPr>
          <w:szCs w:val="18"/>
          <w:lang w:val="en-US"/>
        </w:rPr>
        <w:t>)</w:t>
      </w:r>
    </w:p>
  </w:footnote>
  <w:footnote w:id="77">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Health Policy Project, Asia Pacific Transgender Network, UNDP, “Blueprint for the </w:t>
      </w:r>
      <w:r w:rsidRPr="00DA4D19">
        <w:rPr>
          <w:szCs w:val="18"/>
          <w:lang w:val="en-US"/>
        </w:rPr>
        <w:t>Provision of Comprehensive Care for Trans People and Trans Communities”,</w:t>
      </w:r>
      <w:r w:rsidRPr="00DA4D19">
        <w:rPr>
          <w:szCs w:val="18"/>
        </w:rPr>
        <w:t xml:space="preserve"> (2015</w:t>
      </w:r>
      <w:r w:rsidRPr="00DA4D19">
        <w:rPr>
          <w:szCs w:val="18"/>
          <w:lang w:val="en-US"/>
        </w:rPr>
        <w:t>)</w:t>
      </w:r>
    </w:p>
  </w:footnote>
  <w:footnote w:id="78">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w:t>
      </w:r>
      <w:r>
        <w:rPr>
          <w:szCs w:val="18"/>
        </w:rPr>
        <w:t>PRI</w:t>
      </w:r>
      <w:r w:rsidRPr="00DA4D19">
        <w:rPr>
          <w:szCs w:val="18"/>
        </w:rPr>
        <w:t>, “Submission to the WGDAW” (August 2015) p2</w:t>
      </w:r>
    </w:p>
  </w:footnote>
  <w:footnote w:id="79">
    <w:p w:rsidR="00A415B5" w:rsidRPr="00DA4D19" w:rsidRDefault="00A415B5" w:rsidP="00983B43">
      <w:pPr>
        <w:pStyle w:val="FootnoteText"/>
        <w:ind w:hanging="141"/>
        <w:rPr>
          <w:szCs w:val="18"/>
          <w:lang w:val="en-US"/>
        </w:rPr>
      </w:pPr>
      <w:r w:rsidRPr="00DA4D19">
        <w:rPr>
          <w:rStyle w:val="FootnoteReference"/>
          <w:szCs w:val="18"/>
        </w:rPr>
        <w:footnoteRef/>
      </w:r>
      <w:r w:rsidRPr="00DA4D19">
        <w:rPr>
          <w:szCs w:val="18"/>
        </w:rPr>
        <w:t xml:space="preserve"> PRI, “Submission to the WGDAW”  (August 2015) p3</w:t>
      </w:r>
    </w:p>
  </w:footnote>
  <w:footnote w:id="80">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PRI, “Submission to the WGDAW”  (August 2015) p4</w:t>
      </w:r>
    </w:p>
  </w:footnote>
  <w:footnote w:id="81">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w:t>
      </w:r>
      <w:proofErr w:type="spellStart"/>
      <w:r w:rsidRPr="00DA4D19">
        <w:rPr>
          <w:szCs w:val="18"/>
          <w:shd w:val="clear" w:color="auto" w:fill="FFFFFF"/>
        </w:rPr>
        <w:t>Ocen</w:t>
      </w:r>
      <w:proofErr w:type="spellEnd"/>
      <w:r w:rsidRPr="00DA4D19">
        <w:rPr>
          <w:szCs w:val="18"/>
          <w:shd w:val="clear" w:color="auto" w:fill="FFFFFF"/>
        </w:rPr>
        <w:t>, Priscilla A., “Punishing pregnancy: Race, incarceration, and the shackling of pregnant prisoners”,</w:t>
      </w:r>
      <w:r w:rsidRPr="00DA4D19">
        <w:rPr>
          <w:rStyle w:val="apple-converted-space"/>
          <w:rFonts w:eastAsia="Cambria"/>
          <w:szCs w:val="18"/>
          <w:shd w:val="clear" w:color="auto" w:fill="FFFFFF"/>
        </w:rPr>
        <w:t> </w:t>
      </w:r>
      <w:r w:rsidRPr="00DA4D19">
        <w:rPr>
          <w:szCs w:val="18"/>
          <w:shd w:val="clear" w:color="auto" w:fill="FFFFFF"/>
        </w:rPr>
        <w:t>(</w:t>
      </w:r>
      <w:r w:rsidRPr="00DA4D19">
        <w:rPr>
          <w:szCs w:val="18"/>
        </w:rPr>
        <w:t xml:space="preserve">2012) California Law Review 100; OHCHR, “The 2030 Agenda for Sustainable Development and its implementation mark a unique opportunity to ensure full respect for sexual and reproductive health and rights which must be seized”, published 24 September 2015, accessed on 18 April 2016 at </w:t>
      </w:r>
      <w:hyperlink r:id="rId10" w:history="1">
        <w:r w:rsidRPr="00DA4D19">
          <w:rPr>
            <w:rStyle w:val="Hyperlink"/>
            <w:szCs w:val="18"/>
            <w:shd w:val="clear" w:color="auto" w:fill="FFFFFF"/>
          </w:rPr>
          <w:t>http://www.ohchr.org/EN/NewsEvents/Pages/DisplayNews.aspx?NewsID=16490&amp;LangID=E</w:t>
        </w:r>
      </w:hyperlink>
      <w:r w:rsidRPr="00DA4D19">
        <w:rPr>
          <w:szCs w:val="18"/>
          <w:shd w:val="clear" w:color="auto" w:fill="FFFFFF"/>
        </w:rPr>
        <w:t xml:space="preserve">; see </w:t>
      </w:r>
      <w:r w:rsidRPr="00DA4D19">
        <w:rPr>
          <w:szCs w:val="18"/>
        </w:rPr>
        <w:t>A/HRC/7/3, para. 41</w:t>
      </w:r>
    </w:p>
  </w:footnote>
  <w:footnote w:id="82">
    <w:p w:rsidR="00A415B5" w:rsidRPr="00DA4D19" w:rsidRDefault="00A415B5" w:rsidP="00983B43">
      <w:pPr>
        <w:pStyle w:val="FootnoteText"/>
        <w:ind w:hanging="141"/>
        <w:rPr>
          <w:szCs w:val="18"/>
        </w:rPr>
      </w:pPr>
      <w:r w:rsidRPr="00DA4D19">
        <w:rPr>
          <w:rStyle w:val="FootnoteReference"/>
          <w:szCs w:val="18"/>
        </w:rPr>
        <w:footnoteRef/>
      </w:r>
      <w:r w:rsidRPr="00DA4D19">
        <w:rPr>
          <w:szCs w:val="18"/>
        </w:rPr>
        <w:t xml:space="preserve"> PRI, “Submission to the WGDAW”  (August 2015) p1; </w:t>
      </w:r>
      <w:r>
        <w:rPr>
          <w:szCs w:val="18"/>
        </w:rPr>
        <w:t>CEDAW Committee</w:t>
      </w:r>
      <w:r w:rsidRPr="00DA4D19">
        <w:rPr>
          <w:szCs w:val="18"/>
        </w:rPr>
        <w:t xml:space="preserve">, Communication No. 23/2009, </w:t>
      </w:r>
      <w:r w:rsidRPr="00DA4D19">
        <w:rPr>
          <w:i/>
          <w:szCs w:val="18"/>
        </w:rPr>
        <w:t xml:space="preserve">Inga </w:t>
      </w:r>
      <w:proofErr w:type="spellStart"/>
      <w:r w:rsidRPr="00DA4D19">
        <w:rPr>
          <w:i/>
          <w:szCs w:val="18"/>
        </w:rPr>
        <w:t>Abramova</w:t>
      </w:r>
      <w:proofErr w:type="spellEnd"/>
      <w:r w:rsidRPr="00DA4D19">
        <w:rPr>
          <w:i/>
          <w:szCs w:val="18"/>
        </w:rPr>
        <w:t xml:space="preserve"> v. Belarus</w:t>
      </w:r>
      <w:r w:rsidRPr="00DA4D19">
        <w:rPr>
          <w:szCs w:val="18"/>
        </w:rPr>
        <w:t>, (27 September 2011), CEDAW/C/49/D/23/2009</w:t>
      </w:r>
    </w:p>
  </w:footnote>
  <w:footnote w:id="83">
    <w:p w:rsidR="00A415B5" w:rsidRPr="00DA4D19" w:rsidRDefault="00A415B5" w:rsidP="00835100">
      <w:pPr>
        <w:pStyle w:val="FootnoteText"/>
        <w:ind w:hanging="141"/>
        <w:rPr>
          <w:szCs w:val="18"/>
        </w:rPr>
      </w:pPr>
      <w:r w:rsidRPr="00DA4D19">
        <w:rPr>
          <w:rStyle w:val="FootnoteReference"/>
          <w:szCs w:val="18"/>
        </w:rPr>
        <w:footnoteRef/>
      </w:r>
      <w:r w:rsidRPr="00DA4D19">
        <w:rPr>
          <w:szCs w:val="18"/>
        </w:rPr>
        <w:t xml:space="preserve"> PRI, “Submission to the WGDAW”   (August 2015)</w:t>
      </w:r>
    </w:p>
  </w:footnote>
  <w:footnote w:id="84">
    <w:p w:rsidR="00A415B5" w:rsidRPr="00C66D51" w:rsidRDefault="00A415B5" w:rsidP="002B5DAB">
      <w:pPr>
        <w:pStyle w:val="FootnoteText"/>
        <w:ind w:hanging="141"/>
        <w:jc w:val="both"/>
        <w:rPr>
          <w:szCs w:val="18"/>
          <w:lang w:val="en-US"/>
        </w:rPr>
      </w:pPr>
      <w:r>
        <w:rPr>
          <w:rStyle w:val="FootnoteReference"/>
        </w:rPr>
        <w:footnoteRef/>
      </w:r>
      <w:r>
        <w:t xml:space="preserve"> </w:t>
      </w:r>
      <w:r w:rsidRPr="00C66D51">
        <w:rPr>
          <w:rStyle w:val="WW-DefaultParagraphFont"/>
          <w:rFonts w:eastAsia="MS PMincho"/>
          <w:szCs w:val="18"/>
        </w:rPr>
        <w:t>General Comment No. 22 (2016) on the Right to sexual and reproductive health United</w:t>
      </w:r>
      <w:r w:rsidRPr="00C66D51">
        <w:rPr>
          <w:szCs w:val="18"/>
        </w:rPr>
        <w:t xml:space="preserve"> Nations Committee on Economic, Social and Cultural Rights</w:t>
      </w:r>
      <w:r w:rsidRPr="00C66D51">
        <w:rPr>
          <w:rStyle w:val="WW-DefaultParagraphFont"/>
          <w:rFonts w:eastAsia="MS PMincho"/>
          <w:bCs/>
          <w:szCs w:val="18"/>
        </w:rPr>
        <w:t xml:space="preserve">; </w:t>
      </w:r>
      <w:r w:rsidRPr="00C66D51">
        <w:rPr>
          <w:szCs w:val="18"/>
        </w:rPr>
        <w:t xml:space="preserve">General Recommendation No. 24: Article 12: Women and health. </w:t>
      </w:r>
      <w:proofErr w:type="gramStart"/>
      <w:r w:rsidRPr="00C66D51">
        <w:rPr>
          <w:szCs w:val="18"/>
        </w:rPr>
        <w:t>United Nations Committee on the Elimination of Discrimination against Women; 1999.</w:t>
      </w:r>
      <w:proofErr w:type="gramEnd"/>
      <w:r w:rsidRPr="00C66D51">
        <w:rPr>
          <w:szCs w:val="18"/>
        </w:rPr>
        <w:t xml:space="preserve"> (A/54/38/Rev.1, Chapter I)</w:t>
      </w:r>
    </w:p>
  </w:footnote>
  <w:footnote w:id="85">
    <w:p w:rsidR="00A415B5" w:rsidRPr="00DA4D19" w:rsidRDefault="00A415B5" w:rsidP="002B5DAB">
      <w:pPr>
        <w:pStyle w:val="FootnoteText"/>
        <w:ind w:hanging="141"/>
        <w:jc w:val="both"/>
        <w:rPr>
          <w:szCs w:val="18"/>
        </w:rPr>
      </w:pPr>
      <w:r w:rsidRPr="00DA4D19">
        <w:rPr>
          <w:rStyle w:val="FootnoteReference"/>
          <w:szCs w:val="18"/>
        </w:rPr>
        <w:footnoteRef/>
      </w:r>
      <w:r w:rsidRPr="00405777">
        <w:rPr>
          <w:szCs w:val="18"/>
        </w:rPr>
        <w:t xml:space="preserve"> See E/CN.4/2002/73/Add.2, para. </w:t>
      </w:r>
      <w:r w:rsidRPr="00DA4D19">
        <w:rPr>
          <w:szCs w:val="18"/>
        </w:rPr>
        <w:t>95</w:t>
      </w:r>
    </w:p>
  </w:footnote>
  <w:footnote w:id="86">
    <w:p w:rsidR="00A415B5" w:rsidRPr="00DA4D19" w:rsidRDefault="00A415B5" w:rsidP="002B5DAB">
      <w:pPr>
        <w:pStyle w:val="FootnoteText"/>
        <w:ind w:hanging="141"/>
        <w:jc w:val="both"/>
        <w:rPr>
          <w:szCs w:val="18"/>
        </w:rPr>
      </w:pPr>
      <w:r w:rsidRPr="00DA4D19">
        <w:rPr>
          <w:rStyle w:val="FootnoteReference"/>
          <w:szCs w:val="18"/>
        </w:rPr>
        <w:footnoteRef/>
      </w:r>
      <w:r w:rsidRPr="00DA4D19">
        <w:rPr>
          <w:szCs w:val="18"/>
        </w:rPr>
        <w:t xml:space="preserve"> See A/HRC/31/51, para.12</w:t>
      </w:r>
    </w:p>
  </w:footnote>
  <w:footnote w:id="87">
    <w:p w:rsidR="00A415B5" w:rsidRPr="00DA4D19" w:rsidRDefault="00A415B5" w:rsidP="00355F8B">
      <w:pPr>
        <w:pStyle w:val="FootnoteText"/>
        <w:ind w:hanging="141"/>
        <w:jc w:val="both"/>
        <w:rPr>
          <w:szCs w:val="18"/>
        </w:rPr>
      </w:pPr>
      <w:r w:rsidRPr="00DA4D19">
        <w:rPr>
          <w:rStyle w:val="FootnoteReference"/>
          <w:szCs w:val="18"/>
        </w:rPr>
        <w:footnoteRef/>
      </w:r>
      <w:r w:rsidR="00355F8B">
        <w:rPr>
          <w:szCs w:val="18"/>
        </w:rPr>
        <w:t xml:space="preserve"> </w:t>
      </w:r>
      <w:r w:rsidRPr="00DA4D19">
        <w:rPr>
          <w:szCs w:val="18"/>
        </w:rPr>
        <w:t xml:space="preserve">WHO, BMI classification, accessed on 12 March 2016, </w:t>
      </w:r>
      <w:hyperlink r:id="rId11" w:history="1">
        <w:r w:rsidRPr="00DA4D19">
          <w:rPr>
            <w:rStyle w:val="Hyperlink"/>
            <w:szCs w:val="18"/>
          </w:rPr>
          <w:t>http://apps.who.int/bmi/index.jsp?introPage=intro_3.html</w:t>
        </w:r>
      </w:hyperlink>
      <w:r w:rsidRPr="00DA4D19">
        <w:rPr>
          <w:szCs w:val="18"/>
        </w:rPr>
        <w:t xml:space="preserve"> </w:t>
      </w:r>
    </w:p>
  </w:footnote>
  <w:footnote w:id="88">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Time, “See all the new Babies from curvy to tall and petite”, published on 28 January 2016, accessed on 13 April 2016 at </w:t>
      </w:r>
      <w:hyperlink r:id="rId12" w:history="1">
        <w:r w:rsidRPr="00DA4D19">
          <w:rPr>
            <w:rStyle w:val="Hyperlink"/>
            <w:szCs w:val="18"/>
          </w:rPr>
          <w:t>http://time.com/4197499/barbies-new-body-photos-of-curvy-tall-and-petite/</w:t>
        </w:r>
      </w:hyperlink>
      <w:r w:rsidRPr="00DA4D19">
        <w:rPr>
          <w:szCs w:val="18"/>
        </w:rPr>
        <w:t xml:space="preserve"> </w:t>
      </w:r>
    </w:p>
  </w:footnote>
  <w:footnote w:id="89">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See A/HRC/30/39, para. 57</w:t>
      </w:r>
    </w:p>
  </w:footnote>
  <w:footnote w:id="90">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See A/HRC/21/42, 2012, para 25 ; Inga T. Winkler and Virginia </w:t>
      </w:r>
      <w:proofErr w:type="spellStart"/>
      <w:r w:rsidRPr="00DA4D19">
        <w:rPr>
          <w:szCs w:val="18"/>
        </w:rPr>
        <w:t>Roaf</w:t>
      </w:r>
      <w:proofErr w:type="spellEnd"/>
      <w:r w:rsidRPr="00DA4D19">
        <w:rPr>
          <w:szCs w:val="18"/>
        </w:rPr>
        <w:t>, “Taking the bloody linen out of the closet: menstrual hygiene as a priority for achieving gender equality”, (2015) Cardozo Journal of Law &amp; Gender [Vol. 21:1]</w:t>
      </w:r>
    </w:p>
  </w:footnote>
  <w:footnote w:id="91">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See A/HRC/21/42, 2012, para. 25 </w:t>
      </w:r>
    </w:p>
  </w:footnote>
  <w:footnote w:id="92">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Plan International, « Stigmas surrounding menstruation detrimental to girls’ future », published on28 May 2015, accessed on 1 March 2016 at </w:t>
      </w:r>
      <w:hyperlink r:id="rId13" w:history="1">
        <w:r w:rsidRPr="00DA4D19">
          <w:rPr>
            <w:rStyle w:val="Hyperlink"/>
            <w:szCs w:val="18"/>
          </w:rPr>
          <w:t>https://plan-international.org/da/search/site/stigmas%20surrounding%20menstruation%20detrimental%20girls%20futures?page=42&amp;solrsort=sort_label%20asc</w:t>
        </w:r>
      </w:hyperlink>
      <w:r w:rsidRPr="00DA4D19">
        <w:rPr>
          <w:szCs w:val="18"/>
        </w:rPr>
        <w:t xml:space="preserve"> </w:t>
      </w:r>
    </w:p>
  </w:footnote>
  <w:footnote w:id="93">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Plan International, « Stigmas surrounding menstruation detrimental to girls’ future », published on28 May 2015, accessed on 1 March 2016 at https://plan-international.org/da/search/site/stigmas%20surrounding%20menstruation%20detrimental%20girls%20futures?page=42&amp;solrsort=sort_label%20asc</w:t>
      </w:r>
    </w:p>
  </w:footnote>
  <w:footnote w:id="94">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Inga T. Winkler and Virginia </w:t>
      </w:r>
      <w:proofErr w:type="spellStart"/>
      <w:r w:rsidRPr="00DA4D19">
        <w:rPr>
          <w:szCs w:val="18"/>
        </w:rPr>
        <w:t>Roaf</w:t>
      </w:r>
      <w:proofErr w:type="spellEnd"/>
      <w:r w:rsidRPr="00DA4D19">
        <w:rPr>
          <w:szCs w:val="18"/>
        </w:rPr>
        <w:t>, “Taking the bloody linen out of the closet: menstrual hygiene as a priority for achieving gender equality”, (2015) Cardozo Journal of Law &amp; Gender [Vol. 21:1]</w:t>
      </w:r>
    </w:p>
  </w:footnote>
  <w:footnote w:id="95">
    <w:p w:rsidR="0009316F" w:rsidRDefault="0009316F" w:rsidP="00AF37B4">
      <w:pPr>
        <w:pStyle w:val="FootnoteText"/>
        <w:tabs>
          <w:tab w:val="left" w:pos="6405"/>
        </w:tabs>
        <w:ind w:hanging="141"/>
        <w:jc w:val="both"/>
      </w:pPr>
      <w:r>
        <w:rPr>
          <w:rStyle w:val="FootnoteReference"/>
        </w:rPr>
        <w:footnoteRef/>
      </w:r>
      <w:r>
        <w:t xml:space="preserve"> Endurance and contest: women's narratives of endometriosis </w:t>
      </w:r>
      <w:r w:rsidR="00AF37B4">
        <w:tab/>
      </w:r>
    </w:p>
    <w:p w:rsidR="0009316F" w:rsidRPr="0009316F" w:rsidRDefault="0009316F" w:rsidP="00AF37B4">
      <w:pPr>
        <w:pStyle w:val="FootnoteText"/>
        <w:ind w:hanging="141"/>
        <w:jc w:val="both"/>
      </w:pPr>
      <w:proofErr w:type="spellStart"/>
      <w:r>
        <w:t>Milica</w:t>
      </w:r>
      <w:proofErr w:type="spellEnd"/>
      <w:r>
        <w:t xml:space="preserve"> </w:t>
      </w:r>
      <w:proofErr w:type="spellStart"/>
      <w:r>
        <w:t>Markovic</w:t>
      </w:r>
      <w:proofErr w:type="spellEnd"/>
      <w:r>
        <w:t xml:space="preserve">, Lenore </w:t>
      </w:r>
      <w:proofErr w:type="spellStart"/>
      <w:r>
        <w:t>Manderson</w:t>
      </w:r>
      <w:proofErr w:type="spellEnd"/>
      <w:r>
        <w:t xml:space="preserve"> and Narelle Warren Health (London) 2008; 12; 349 http://www.hum.aau.dk/~tia/TilAfhentning/Mette/NYT/Markovic%202008.pdf</w:t>
      </w:r>
    </w:p>
  </w:footnote>
  <w:footnote w:id="96">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Gavin Jack, Marian Pitts, Kathleen </w:t>
      </w:r>
      <w:proofErr w:type="spellStart"/>
      <w:r w:rsidRPr="00DA4D19">
        <w:rPr>
          <w:szCs w:val="18"/>
        </w:rPr>
        <w:t>Riach</w:t>
      </w:r>
      <w:proofErr w:type="spellEnd"/>
      <w:r w:rsidRPr="00DA4D19">
        <w:rPr>
          <w:szCs w:val="18"/>
        </w:rPr>
        <w:t xml:space="preserve">, Emily </w:t>
      </w:r>
      <w:proofErr w:type="spellStart"/>
      <w:r w:rsidRPr="00DA4D19">
        <w:rPr>
          <w:szCs w:val="18"/>
        </w:rPr>
        <w:t>Bariola</w:t>
      </w:r>
      <w:proofErr w:type="spellEnd"/>
      <w:r w:rsidRPr="00DA4D19">
        <w:rPr>
          <w:szCs w:val="18"/>
        </w:rPr>
        <w:t xml:space="preserve">, Jan </w:t>
      </w:r>
      <w:proofErr w:type="spellStart"/>
      <w:r w:rsidRPr="00DA4D19">
        <w:rPr>
          <w:szCs w:val="18"/>
        </w:rPr>
        <w:t>Schapper</w:t>
      </w:r>
      <w:proofErr w:type="spellEnd"/>
      <w:r w:rsidRPr="00DA4D19">
        <w:rPr>
          <w:szCs w:val="18"/>
        </w:rPr>
        <w:t xml:space="preserve"> and Philip </w:t>
      </w:r>
      <w:proofErr w:type="spellStart"/>
      <w:r w:rsidRPr="00DA4D19">
        <w:rPr>
          <w:szCs w:val="18"/>
        </w:rPr>
        <w:t>Sarrel</w:t>
      </w:r>
      <w:proofErr w:type="spellEnd"/>
      <w:r w:rsidRPr="00DA4D19">
        <w:rPr>
          <w:szCs w:val="18"/>
        </w:rPr>
        <w:t>, “Women, work and the menopause : releasing the potential of older professional women”, (2014)</w:t>
      </w:r>
    </w:p>
  </w:footnote>
  <w:footnote w:id="97">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Nicolas </w:t>
      </w:r>
      <w:proofErr w:type="spellStart"/>
      <w:r w:rsidRPr="00DA4D19">
        <w:rPr>
          <w:szCs w:val="18"/>
        </w:rPr>
        <w:t>Zdanowicz</w:t>
      </w:r>
      <w:proofErr w:type="spellEnd"/>
      <w:r w:rsidRPr="00DA4D19">
        <w:rPr>
          <w:szCs w:val="18"/>
        </w:rPr>
        <w:t xml:space="preserve">, Denis Jacques, David </w:t>
      </w:r>
      <w:proofErr w:type="spellStart"/>
      <w:r w:rsidRPr="00DA4D19">
        <w:rPr>
          <w:szCs w:val="18"/>
        </w:rPr>
        <w:t>Tordeurs</w:t>
      </w:r>
      <w:proofErr w:type="spellEnd"/>
      <w:r w:rsidRPr="00DA4D19">
        <w:rPr>
          <w:szCs w:val="18"/>
        </w:rPr>
        <w:t xml:space="preserve">, Pierre </w:t>
      </w:r>
      <w:proofErr w:type="spellStart"/>
      <w:r w:rsidRPr="00DA4D19">
        <w:rPr>
          <w:szCs w:val="18"/>
        </w:rPr>
        <w:t>Schepens</w:t>
      </w:r>
      <w:proofErr w:type="spellEnd"/>
      <w:r w:rsidRPr="00DA4D19">
        <w:rPr>
          <w:szCs w:val="18"/>
        </w:rPr>
        <w:t xml:space="preserve">, Christine </w:t>
      </w:r>
      <w:proofErr w:type="spellStart"/>
      <w:r w:rsidRPr="00DA4D19">
        <w:rPr>
          <w:szCs w:val="18"/>
        </w:rPr>
        <w:t>Reynaert</w:t>
      </w:r>
      <w:proofErr w:type="spellEnd"/>
      <w:r w:rsidRPr="00DA4D19">
        <w:rPr>
          <w:szCs w:val="18"/>
        </w:rPr>
        <w:t>, « Sexuality and menopause, a Belgian study », (2011) Advances in Sexual Medicine 1, 1-4</w:t>
      </w:r>
    </w:p>
  </w:footnote>
  <w:footnote w:id="98">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UNICEF, WHO, “Better workplace policies needed for breastfeeding”, published on 1 August 2015, accessed on 13 April 2016 at http://www.unicef.org/media/media_82715.html</w:t>
      </w:r>
    </w:p>
  </w:footnote>
  <w:footnote w:id="99">
    <w:p w:rsidR="00A415B5" w:rsidRPr="00DA4D19" w:rsidRDefault="00A415B5" w:rsidP="00AF37B4">
      <w:pPr>
        <w:widowControl w:val="0"/>
        <w:autoSpaceDE w:val="0"/>
        <w:autoSpaceDN w:val="0"/>
        <w:adjustRightInd w:val="0"/>
        <w:ind w:left="1134" w:right="1134" w:hanging="141"/>
        <w:jc w:val="both"/>
        <w:rPr>
          <w:sz w:val="18"/>
          <w:szCs w:val="18"/>
        </w:rPr>
      </w:pPr>
      <w:r w:rsidRPr="00DA4D19">
        <w:rPr>
          <w:rStyle w:val="FootnoteReference"/>
          <w:szCs w:val="18"/>
        </w:rPr>
        <w:footnoteRef/>
      </w:r>
      <w:r w:rsidRPr="00DA4D19">
        <w:rPr>
          <w:sz w:val="18"/>
          <w:szCs w:val="18"/>
        </w:rPr>
        <w:t xml:space="preserve"> </w:t>
      </w:r>
      <w:r w:rsidRPr="00DA4D19">
        <w:rPr>
          <w:rFonts w:eastAsia="Calibri"/>
          <w:bCs/>
          <w:iCs/>
          <w:sz w:val="18"/>
          <w:szCs w:val="18"/>
          <w:lang w:val="x-none" w:eastAsia="x-none"/>
        </w:rPr>
        <w:t>Sonia Correa, Rosalind Pethetchesky, Richard Parker</w:t>
      </w:r>
      <w:r w:rsidRPr="00DA4D19">
        <w:rPr>
          <w:rFonts w:eastAsia="Calibri"/>
          <w:bCs/>
          <w:iCs/>
          <w:sz w:val="18"/>
          <w:szCs w:val="18"/>
          <w:lang w:eastAsia="x-none"/>
        </w:rPr>
        <w:t>,</w:t>
      </w:r>
      <w:r w:rsidRPr="00DA4D19">
        <w:rPr>
          <w:rFonts w:eastAsia="Calibri"/>
          <w:bCs/>
          <w:iCs/>
          <w:sz w:val="18"/>
          <w:szCs w:val="18"/>
          <w:lang w:val="x-none" w:eastAsia="x-none"/>
        </w:rPr>
        <w:t xml:space="preserve"> </w:t>
      </w:r>
      <w:r w:rsidRPr="00DA4D19">
        <w:rPr>
          <w:rFonts w:eastAsia="Calibri"/>
          <w:bCs/>
          <w:iCs/>
          <w:sz w:val="18"/>
          <w:szCs w:val="18"/>
          <w:lang w:eastAsia="x-none"/>
        </w:rPr>
        <w:t>« </w:t>
      </w:r>
      <w:r w:rsidRPr="00DA4D19">
        <w:rPr>
          <w:rFonts w:eastAsia="Calibri"/>
          <w:bCs/>
          <w:iCs/>
          <w:sz w:val="18"/>
          <w:szCs w:val="18"/>
          <w:lang w:val="x-none" w:eastAsia="x-none"/>
        </w:rPr>
        <w:t>Sexuality, Health and Human Rights</w:t>
      </w:r>
      <w:r w:rsidRPr="00DA4D19">
        <w:rPr>
          <w:rFonts w:eastAsia="Calibri"/>
          <w:bCs/>
          <w:iCs/>
          <w:sz w:val="18"/>
          <w:szCs w:val="18"/>
          <w:lang w:eastAsia="x-none"/>
        </w:rPr>
        <w:t> » (</w:t>
      </w:r>
      <w:r w:rsidRPr="00DA4D19">
        <w:rPr>
          <w:rFonts w:eastAsia="Calibri"/>
          <w:bCs/>
          <w:iCs/>
          <w:sz w:val="18"/>
          <w:szCs w:val="18"/>
          <w:lang w:val="x-none" w:eastAsia="x-none"/>
        </w:rPr>
        <w:t>2008</w:t>
      </w:r>
      <w:r w:rsidRPr="00DA4D19">
        <w:rPr>
          <w:rFonts w:eastAsia="Calibri"/>
          <w:bCs/>
          <w:iCs/>
          <w:sz w:val="18"/>
          <w:szCs w:val="18"/>
          <w:lang w:eastAsia="x-none"/>
        </w:rPr>
        <w:t xml:space="preserve">) </w:t>
      </w:r>
      <w:r w:rsidRPr="00DA4D19">
        <w:rPr>
          <w:rFonts w:eastAsia="Calibri"/>
          <w:bCs/>
          <w:iCs/>
          <w:sz w:val="18"/>
          <w:szCs w:val="18"/>
          <w:lang w:val="x-none" w:eastAsia="x-none"/>
        </w:rPr>
        <w:t>Routledge </w:t>
      </w:r>
      <w:r w:rsidRPr="00DA4D19">
        <w:rPr>
          <w:rFonts w:eastAsia="Calibri"/>
          <w:bCs/>
          <w:iCs/>
          <w:sz w:val="18"/>
          <w:szCs w:val="18"/>
          <w:lang w:eastAsia="x-none"/>
        </w:rPr>
        <w:t xml:space="preserve">; </w:t>
      </w:r>
      <w:r w:rsidRPr="00DA4D19">
        <w:rPr>
          <w:rFonts w:eastAsia="Calibri"/>
          <w:bCs/>
          <w:iCs/>
          <w:sz w:val="18"/>
          <w:szCs w:val="18"/>
          <w:lang w:val="x-none" w:eastAsia="x-none"/>
        </w:rPr>
        <w:t xml:space="preserve"> </w:t>
      </w:r>
      <w:r w:rsidRPr="00DA4D19">
        <w:rPr>
          <w:bCs/>
          <w:iCs/>
          <w:sz w:val="18"/>
          <w:szCs w:val="18"/>
        </w:rPr>
        <w:t>Foster,</w:t>
      </w:r>
      <w:r>
        <w:rPr>
          <w:bCs/>
          <w:iCs/>
          <w:sz w:val="18"/>
          <w:szCs w:val="18"/>
        </w:rPr>
        <w:t xml:space="preserve"> J.</w:t>
      </w:r>
      <w:r w:rsidRPr="00DA4D19">
        <w:rPr>
          <w:rFonts w:eastAsia="Calibri"/>
          <w:bCs/>
          <w:iCs/>
          <w:sz w:val="18"/>
          <w:szCs w:val="18"/>
          <w:lang w:val="x-none" w:eastAsia="x-none"/>
        </w:rPr>
        <w:t xml:space="preserve"> </w:t>
      </w:r>
      <w:r w:rsidRPr="00DA4D19">
        <w:rPr>
          <w:rFonts w:eastAsia="Calibri"/>
          <w:bCs/>
          <w:iCs/>
          <w:sz w:val="18"/>
          <w:szCs w:val="18"/>
          <w:lang w:eastAsia="x-none"/>
        </w:rPr>
        <w:t>« </w:t>
      </w:r>
      <w:r w:rsidRPr="00DA4D19">
        <w:rPr>
          <w:rFonts w:eastAsia="Calibri"/>
          <w:bCs/>
          <w:iCs/>
          <w:sz w:val="18"/>
          <w:szCs w:val="18"/>
          <w:lang w:val="x-none" w:eastAsia="x-none"/>
        </w:rPr>
        <w:t>Autonomous</w:t>
      </w:r>
      <w:r w:rsidRPr="00DA4D19">
        <w:rPr>
          <w:bCs/>
          <w:iCs/>
          <w:sz w:val="18"/>
          <w:szCs w:val="18"/>
        </w:rPr>
        <w:t xml:space="preserve"> And Insane: The Gendered, Classed, And Raced </w:t>
      </w:r>
      <w:proofErr w:type="spellStart"/>
      <w:r w:rsidRPr="00DA4D19">
        <w:rPr>
          <w:bCs/>
          <w:iCs/>
          <w:sz w:val="18"/>
          <w:szCs w:val="18"/>
        </w:rPr>
        <w:t>Pathologization</w:t>
      </w:r>
      <w:proofErr w:type="spellEnd"/>
      <w:r w:rsidRPr="00DA4D19">
        <w:rPr>
          <w:bCs/>
          <w:iCs/>
          <w:sz w:val="18"/>
          <w:szCs w:val="18"/>
        </w:rPr>
        <w:t xml:space="preserve"> Of Women’s Minds”, (2015) Grinnell College, accessed on 18 April 2016 at </w:t>
      </w:r>
      <w:hyperlink r:id="rId14" w:history="1">
        <w:r w:rsidRPr="00DA4D19">
          <w:rPr>
            <w:rStyle w:val="Hyperlink"/>
            <w:bCs/>
            <w:iCs/>
            <w:sz w:val="18"/>
            <w:szCs w:val="18"/>
          </w:rPr>
          <w:t>http://lewiscar.sites.grinnell.edu/HistoryofMedicine/uncategorized/autonomous-and-insane-the-gendered-classed-and-raced-pathologization-of-womens-minds/</w:t>
        </w:r>
      </w:hyperlink>
      <w:r w:rsidRPr="00DA4D19">
        <w:rPr>
          <w:bCs/>
          <w:iCs/>
          <w:sz w:val="18"/>
          <w:szCs w:val="18"/>
        </w:rPr>
        <w:t xml:space="preserve">; </w:t>
      </w:r>
      <w:hyperlink r:id="rId15" w:history="1">
        <w:r w:rsidRPr="00DA4D19">
          <w:rPr>
            <w:rStyle w:val="Hyperlink"/>
            <w:rFonts w:eastAsia="Calibri"/>
            <w:kern w:val="2"/>
            <w:sz w:val="18"/>
            <w:szCs w:val="18"/>
            <w:lang w:eastAsia="x-none"/>
          </w:rPr>
          <w:t>Paula Nicolson</w:t>
        </w:r>
      </w:hyperlink>
      <w:r w:rsidRPr="00DA4D19">
        <w:rPr>
          <w:rStyle w:val="Hyperlink"/>
          <w:rFonts w:eastAsia="Calibri"/>
          <w:kern w:val="2"/>
          <w:sz w:val="18"/>
          <w:szCs w:val="18"/>
          <w:lang w:eastAsia="x-none"/>
        </w:rPr>
        <w:t>,</w:t>
      </w:r>
      <w:r w:rsidRPr="00DA4D19">
        <w:rPr>
          <w:bCs/>
          <w:iCs/>
          <w:sz w:val="18"/>
          <w:szCs w:val="18"/>
        </w:rPr>
        <w:t xml:space="preserve"> “</w:t>
      </w:r>
      <w:r w:rsidRPr="00DA4D19">
        <w:rPr>
          <w:rFonts w:eastAsia="Calibri"/>
          <w:kern w:val="2"/>
          <w:sz w:val="18"/>
          <w:szCs w:val="18"/>
          <w:lang w:eastAsia="x-none"/>
        </w:rPr>
        <w:t xml:space="preserve">Deconstructing sexology: Understanding the </w:t>
      </w:r>
      <w:proofErr w:type="spellStart"/>
      <w:r w:rsidRPr="00DA4D19">
        <w:rPr>
          <w:rFonts w:eastAsia="Calibri"/>
          <w:kern w:val="2"/>
          <w:sz w:val="18"/>
          <w:szCs w:val="18"/>
          <w:lang w:eastAsia="x-none"/>
        </w:rPr>
        <w:t>pathologization</w:t>
      </w:r>
      <w:proofErr w:type="spellEnd"/>
      <w:r w:rsidRPr="00DA4D19">
        <w:rPr>
          <w:rFonts w:eastAsia="Calibri"/>
          <w:kern w:val="2"/>
          <w:sz w:val="18"/>
          <w:szCs w:val="18"/>
          <w:lang w:eastAsia="x-none"/>
        </w:rPr>
        <w:t xml:space="preserve"> of female sexuality”, (October 1993), J</w:t>
      </w:r>
      <w:hyperlink r:id="rId16" w:history="1">
        <w:r w:rsidRPr="00DA4D19">
          <w:rPr>
            <w:rStyle w:val="Hyperlink"/>
            <w:rFonts w:eastAsia="Calibri"/>
            <w:kern w:val="2"/>
            <w:sz w:val="18"/>
            <w:szCs w:val="18"/>
            <w:lang w:eastAsia="x-none"/>
          </w:rPr>
          <w:t>ournal of Reproductive and Infant Psychology</w:t>
        </w:r>
      </w:hyperlink>
      <w:r w:rsidRPr="00DA4D19">
        <w:rPr>
          <w:rFonts w:eastAsia="Calibri"/>
          <w:kern w:val="2"/>
          <w:sz w:val="18"/>
          <w:szCs w:val="18"/>
          <w:lang w:eastAsia="x-none"/>
        </w:rPr>
        <w:t xml:space="preserve"> 11(4):191-201; Foucault, M., “The history of sexuality”, (1990)  </w:t>
      </w:r>
    </w:p>
  </w:footnote>
  <w:footnote w:id="100">
    <w:p w:rsidR="00A415B5" w:rsidRPr="00DA4D19" w:rsidRDefault="00A415B5" w:rsidP="00AF37B4">
      <w:pPr>
        <w:pStyle w:val="FootnoteText"/>
        <w:ind w:hanging="141"/>
        <w:jc w:val="both"/>
        <w:rPr>
          <w:rFonts w:eastAsia="SimSun"/>
          <w:szCs w:val="18"/>
          <w:highlight w:val="yellow"/>
        </w:rPr>
      </w:pPr>
      <w:r w:rsidRPr="00DA4D19">
        <w:rPr>
          <w:kern w:val="2"/>
          <w:szCs w:val="18"/>
          <w:vertAlign w:val="superscript"/>
          <w:lang w:val="fr-FR"/>
        </w:rPr>
        <w:footnoteRef/>
      </w:r>
      <w:r w:rsidRPr="00DA4D19">
        <w:rPr>
          <w:kern w:val="2"/>
          <w:szCs w:val="18"/>
        </w:rPr>
        <w:t xml:space="preserve"> WHO, “Task shifting to improve access to contraceptive methods”, (2013); WHO, “Sexual and reproductive health core competencies in primary health care” (2011); WHO, “Safe abortion: technical and policy guidance for health systems”, (2012)</w:t>
      </w:r>
    </w:p>
  </w:footnote>
  <w:footnote w:id="101">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WHO, « Caesarean sections should only be performed when medically necessary », published on 10 April 2015, </w:t>
      </w:r>
      <w:r w:rsidR="00355F8B">
        <w:rPr>
          <w:szCs w:val="18"/>
        </w:rPr>
        <w:t xml:space="preserve"> </w:t>
      </w:r>
      <w:hyperlink r:id="rId17" w:history="1">
        <w:r w:rsidRPr="00DA4D19">
          <w:rPr>
            <w:rStyle w:val="Hyperlink"/>
            <w:szCs w:val="18"/>
          </w:rPr>
          <w:t>http://www.who.int/mediacentre/news/releases/2015/caesarean-sections/en/</w:t>
        </w:r>
      </w:hyperlink>
      <w:r w:rsidRPr="00DA4D19">
        <w:rPr>
          <w:szCs w:val="18"/>
        </w:rPr>
        <w:t xml:space="preserve"> </w:t>
      </w:r>
    </w:p>
  </w:footnote>
  <w:footnote w:id="102">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WHO, “Global health observatory data repository: Women – Data by country”, accessed on 13 April 2016 at </w:t>
      </w:r>
      <w:hyperlink r:id="rId18" w:history="1">
        <w:r w:rsidRPr="00DA4D19">
          <w:rPr>
            <w:rStyle w:val="Hyperlink"/>
            <w:szCs w:val="18"/>
          </w:rPr>
          <w:t>http://apps.who.int/gho/data/node.main.REPWOMEN39?lang=en</w:t>
        </w:r>
      </w:hyperlink>
      <w:r w:rsidRPr="00DA4D19">
        <w:rPr>
          <w:szCs w:val="18"/>
        </w:rPr>
        <w:t xml:space="preserve"> </w:t>
      </w:r>
    </w:p>
  </w:footnote>
  <w:footnote w:id="103">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European Women’s Lobby, “Position Paper: Women’s Health in the European Union”, (June 2010)</w:t>
      </w:r>
    </w:p>
  </w:footnote>
  <w:footnote w:id="104">
    <w:p w:rsidR="00A415B5" w:rsidRPr="005E4577" w:rsidRDefault="00A415B5" w:rsidP="00AF37B4">
      <w:pPr>
        <w:pStyle w:val="FootnoteText"/>
        <w:ind w:hanging="141"/>
        <w:jc w:val="both"/>
        <w:rPr>
          <w:lang w:val="en-US"/>
        </w:rPr>
      </w:pPr>
      <w:r>
        <w:rPr>
          <w:rStyle w:val="FootnoteReference"/>
        </w:rPr>
        <w:footnoteRef/>
      </w:r>
      <w:r>
        <w:t xml:space="preserve"> </w:t>
      </w:r>
      <w:proofErr w:type="gramStart"/>
      <w:r w:rsidRPr="00405777">
        <w:rPr>
          <w:kern w:val="1"/>
          <w:szCs w:val="18"/>
        </w:rPr>
        <w:t>Task shifting to improve access to contraceptive methods.</w:t>
      </w:r>
      <w:proofErr w:type="gramEnd"/>
      <w:r w:rsidRPr="00405777">
        <w:rPr>
          <w:kern w:val="1"/>
          <w:szCs w:val="18"/>
        </w:rPr>
        <w:t xml:space="preserve"> Geneva: World Health Organization; 2013. </w:t>
      </w:r>
      <w:proofErr w:type="gramStart"/>
      <w:r w:rsidRPr="00405777">
        <w:rPr>
          <w:kern w:val="1"/>
          <w:szCs w:val="18"/>
        </w:rPr>
        <w:t>Sexual and reproductive health core competencies in primary health care.</w:t>
      </w:r>
      <w:proofErr w:type="gramEnd"/>
      <w:r w:rsidRPr="00405777">
        <w:rPr>
          <w:kern w:val="1"/>
          <w:szCs w:val="18"/>
        </w:rPr>
        <w:t xml:space="preserve"> Geneva: World Health Organization; 2011; Safe abortion: technical and policy guidance for health systems. </w:t>
      </w:r>
      <w:proofErr w:type="gramStart"/>
      <w:r w:rsidRPr="00405777">
        <w:rPr>
          <w:kern w:val="1"/>
          <w:szCs w:val="18"/>
        </w:rPr>
        <w:t>Revised edition.</w:t>
      </w:r>
      <w:proofErr w:type="gramEnd"/>
      <w:r w:rsidRPr="00405777">
        <w:rPr>
          <w:kern w:val="1"/>
          <w:szCs w:val="18"/>
        </w:rPr>
        <w:t xml:space="preserve"> Geneva: World Health Organization; 2012.</w:t>
      </w:r>
    </w:p>
  </w:footnote>
  <w:footnote w:id="105">
    <w:p w:rsidR="00A415B5" w:rsidRPr="00DA4D19" w:rsidRDefault="00A415B5" w:rsidP="00AF37B4">
      <w:pPr>
        <w:ind w:left="1134" w:right="1134" w:hanging="141"/>
        <w:jc w:val="both"/>
        <w:rPr>
          <w:sz w:val="18"/>
          <w:szCs w:val="18"/>
        </w:rPr>
      </w:pPr>
      <w:r w:rsidRPr="00DA4D19">
        <w:rPr>
          <w:rStyle w:val="FootnoteReference"/>
          <w:szCs w:val="18"/>
        </w:rPr>
        <w:footnoteRef/>
      </w:r>
      <w:r w:rsidRPr="00DA4D19">
        <w:rPr>
          <w:sz w:val="18"/>
          <w:szCs w:val="18"/>
        </w:rPr>
        <w:t xml:space="preserve"> </w:t>
      </w:r>
      <w:r w:rsidRPr="00DA4D19">
        <w:rPr>
          <w:rFonts w:eastAsia="MyriadPro-Light;Arial Unicode M"/>
          <w:sz w:val="18"/>
          <w:szCs w:val="18"/>
        </w:rPr>
        <w:t>See A/66/254; WHO, “</w:t>
      </w:r>
      <w:r w:rsidRPr="00DA4D19">
        <w:rPr>
          <w:kern w:val="1"/>
          <w:sz w:val="18"/>
          <w:szCs w:val="18"/>
        </w:rPr>
        <w:t>Sexual health, human rights and the law”, (2015)</w:t>
      </w:r>
    </w:p>
  </w:footnote>
  <w:footnote w:id="106">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OHCHR, “Gender-based crimes through the lens of torture – International Women’s Day”, published on 3 March 2016, accessed on 13 April 2016 at http://www.ohchr.org/EN/NewsEvents/Pages/DisplayNews.aspx?NewsID=17152&amp;LangID=E</w:t>
      </w:r>
    </w:p>
  </w:footnote>
  <w:footnote w:id="107">
    <w:p w:rsidR="00A415B5" w:rsidRPr="00DA4D19" w:rsidRDefault="00A415B5" w:rsidP="00AF37B4">
      <w:pPr>
        <w:ind w:left="1134" w:right="1134" w:hanging="141"/>
        <w:jc w:val="both"/>
        <w:rPr>
          <w:sz w:val="18"/>
          <w:szCs w:val="18"/>
        </w:rPr>
      </w:pPr>
      <w:r w:rsidRPr="00DA4D19">
        <w:rPr>
          <w:rStyle w:val="FootnoteReference"/>
          <w:szCs w:val="18"/>
        </w:rPr>
        <w:footnoteRef/>
      </w:r>
      <w:r w:rsidRPr="00DA4D19">
        <w:rPr>
          <w:sz w:val="18"/>
          <w:szCs w:val="18"/>
        </w:rPr>
        <w:t xml:space="preserve"> </w:t>
      </w:r>
      <w:r w:rsidRPr="00DA4D19">
        <w:rPr>
          <w:rFonts w:eastAsia="MyriadPro-Light;Arial Unicode M"/>
          <w:sz w:val="18"/>
          <w:szCs w:val="18"/>
        </w:rPr>
        <w:t>See A/66/254</w:t>
      </w:r>
    </w:p>
  </w:footnote>
  <w:footnote w:id="108">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t>
      </w:r>
      <w:proofErr w:type="spellStart"/>
      <w:r w:rsidRPr="00DA4D19">
        <w:rPr>
          <w:szCs w:val="18"/>
        </w:rPr>
        <w:t>Center</w:t>
      </w:r>
      <w:proofErr w:type="spellEnd"/>
      <w:r w:rsidRPr="00DA4D19">
        <w:rPr>
          <w:szCs w:val="18"/>
        </w:rPr>
        <w:t xml:space="preserve"> for Reproductive Rights, « Submission to the Working Group on the Elimination of Discrimination against Women in Law and in Practice with regard to the Right to health and safety”, (August 2015), p1</w:t>
      </w:r>
    </w:p>
  </w:footnote>
  <w:footnote w:id="109">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t>
      </w:r>
      <w:r w:rsidR="003416DD">
        <w:rPr>
          <w:szCs w:val="18"/>
        </w:rPr>
        <w:t>Ibid.</w:t>
      </w:r>
    </w:p>
  </w:footnote>
  <w:footnote w:id="110">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WHO, “Safe abortion: technical and policy guidance for health systems”, (2012)</w:t>
      </w:r>
    </w:p>
  </w:footnote>
  <w:footnote w:id="111">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European Women’s Lobby «  Position paper : Women’s health in the European Union », (June 2010), p7</w:t>
      </w:r>
    </w:p>
  </w:footnote>
  <w:footnote w:id="112">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WHO, “Safe abortion: technical and policy guidance for health systems”, (2012)</w:t>
      </w:r>
    </w:p>
  </w:footnote>
  <w:footnote w:id="113">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OHCHR, “UN Human Rights Council Working Group on the issue of discrimination against women in law and in practice concludes country visit to Peru”, published on 19 September 2014 http://www.ohchr.org/EN/NewsEvents/Pages/DisplayNews.aspx?NewsID=15078&amp;LangID=E</w:t>
      </w:r>
    </w:p>
  </w:footnote>
  <w:footnote w:id="114">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WHO, “Safe abortion: technical and policy guidance for health systems”, (2012)</w:t>
      </w:r>
    </w:p>
  </w:footnote>
  <w:footnote w:id="115">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t>
      </w:r>
      <w:r w:rsidR="003416DD">
        <w:rPr>
          <w:szCs w:val="18"/>
        </w:rPr>
        <w:t>Ibid.</w:t>
      </w:r>
    </w:p>
  </w:footnote>
  <w:footnote w:id="116">
    <w:p w:rsidR="00A415B5" w:rsidRPr="00DA4D19" w:rsidRDefault="00A415B5" w:rsidP="00AF37B4">
      <w:pPr>
        <w:pStyle w:val="FootnoteText"/>
        <w:ind w:hanging="141"/>
        <w:jc w:val="both"/>
        <w:rPr>
          <w:szCs w:val="18"/>
        </w:rPr>
      </w:pPr>
      <w:r w:rsidRPr="00DA4D19">
        <w:rPr>
          <w:rStyle w:val="FootnoteReference"/>
          <w:szCs w:val="18"/>
        </w:rPr>
        <w:footnoteRef/>
      </w:r>
      <w:r w:rsidRPr="00DA4D19">
        <w:rPr>
          <w:szCs w:val="18"/>
        </w:rPr>
        <w:t xml:space="preserve"> </w:t>
      </w:r>
      <w:r w:rsidR="003416DD">
        <w:rPr>
          <w:szCs w:val="18"/>
        </w:rPr>
        <w:t>Ibid.</w:t>
      </w:r>
    </w:p>
  </w:footnote>
  <w:footnote w:id="117">
    <w:p w:rsidR="00A415B5" w:rsidRPr="00DA4D19" w:rsidRDefault="00A415B5" w:rsidP="00AF37B4">
      <w:pPr>
        <w:pStyle w:val="FootnoteText"/>
        <w:ind w:hanging="141"/>
        <w:jc w:val="both"/>
        <w:rPr>
          <w:rFonts w:eastAsia="SimSun"/>
          <w:szCs w:val="18"/>
        </w:rPr>
      </w:pPr>
      <w:r w:rsidRPr="00DA4D19">
        <w:rPr>
          <w:szCs w:val="18"/>
          <w:vertAlign w:val="superscript"/>
        </w:rPr>
        <w:footnoteRef/>
      </w:r>
      <w:r w:rsidRPr="00DA4D19">
        <w:rPr>
          <w:szCs w:val="18"/>
        </w:rPr>
        <w:t xml:space="preserve"> </w:t>
      </w:r>
      <w:proofErr w:type="gramStart"/>
      <w:r>
        <w:rPr>
          <w:szCs w:val="18"/>
        </w:rPr>
        <w:t>CEDAW Committee</w:t>
      </w:r>
      <w:r w:rsidRPr="00DA4D19">
        <w:rPr>
          <w:szCs w:val="18"/>
        </w:rPr>
        <w:t xml:space="preserve"> No. 22/2009, </w:t>
      </w:r>
      <w:r w:rsidRPr="00DA4D19">
        <w:rPr>
          <w:i/>
          <w:szCs w:val="18"/>
        </w:rPr>
        <w:t>L.C. v. Peru</w:t>
      </w:r>
      <w:r w:rsidRPr="00DA4D19">
        <w:rPr>
          <w:szCs w:val="18"/>
        </w:rPr>
        <w:t xml:space="preserve">, (4 November 2011), CEDAW/ C/50/D/22/2009; European Court of Human Rights, TYSIĄC v. POLAND, Application no. 5410/03 (2007); </w:t>
      </w:r>
      <w:r w:rsidRPr="00DA4D19">
        <w:rPr>
          <w:rFonts w:eastAsia="SimSun"/>
          <w:szCs w:val="18"/>
        </w:rPr>
        <w:t>Inter-American Commission on Human Rights.</w:t>
      </w:r>
      <w:proofErr w:type="gramEnd"/>
      <w:r w:rsidRPr="00DA4D19">
        <w:rPr>
          <w:rFonts w:eastAsia="SimSun"/>
          <w:szCs w:val="18"/>
        </w:rPr>
        <w:t xml:space="preserve"> (2007)</w:t>
      </w:r>
      <w:r w:rsidRPr="00DA4D19">
        <w:rPr>
          <w:szCs w:val="18"/>
        </w:rPr>
        <w:t xml:space="preserve"> </w:t>
      </w:r>
      <w:r w:rsidRPr="00DA4D19">
        <w:rPr>
          <w:rFonts w:eastAsia="SimSun"/>
          <w:i/>
          <w:iCs/>
          <w:szCs w:val="18"/>
        </w:rPr>
        <w:t xml:space="preserve">Paulina del Carmen Ramirez Jacinto, Mexico, Friendly Settlement, </w:t>
      </w:r>
      <w:r w:rsidRPr="00DA4D19">
        <w:rPr>
          <w:rFonts w:eastAsia="SimSun"/>
          <w:iCs/>
          <w:szCs w:val="18"/>
        </w:rPr>
        <w:t>Report No. 21/07, Petition 161–01, 9 March 2007</w:t>
      </w:r>
      <w:r w:rsidRPr="00DA4D19">
        <w:rPr>
          <w:rFonts w:eastAsia="SimSun"/>
          <w:szCs w:val="18"/>
        </w:rPr>
        <w:t xml:space="preserve">; </w:t>
      </w:r>
      <w:r w:rsidRPr="00DA4D19">
        <w:rPr>
          <w:szCs w:val="18"/>
        </w:rPr>
        <w:t>CEDAW Committee, “</w:t>
      </w:r>
      <w:r>
        <w:rPr>
          <w:rFonts w:eastAsia="SimSun"/>
          <w:iCs/>
          <w:szCs w:val="18"/>
        </w:rPr>
        <w:t>Concluding Observations:</w:t>
      </w:r>
      <w:r w:rsidRPr="00DA4D19">
        <w:rPr>
          <w:rFonts w:eastAsia="SimSun"/>
          <w:iCs/>
          <w:szCs w:val="18"/>
        </w:rPr>
        <w:t xml:space="preserve"> New Zealand” (2012), CEDAW/C/NZL/CO/7; </w:t>
      </w:r>
      <w:r w:rsidRPr="00DA4D19">
        <w:rPr>
          <w:rFonts w:eastAsia="SimSun"/>
          <w:szCs w:val="18"/>
        </w:rPr>
        <w:t>CESCR</w:t>
      </w:r>
      <w:r w:rsidRPr="00DA4D19">
        <w:rPr>
          <w:rFonts w:eastAsia="SimSun"/>
          <w:iCs/>
          <w:szCs w:val="18"/>
        </w:rPr>
        <w:t>, General Comment No. 14</w:t>
      </w:r>
    </w:p>
  </w:footnote>
  <w:footnote w:id="118">
    <w:p w:rsidR="00A415B5" w:rsidRPr="00DA4D19" w:rsidRDefault="00A415B5" w:rsidP="00BC22D9">
      <w:pPr>
        <w:pStyle w:val="FootnoteText"/>
        <w:ind w:hanging="141"/>
        <w:rPr>
          <w:szCs w:val="18"/>
        </w:rPr>
      </w:pPr>
      <w:r w:rsidRPr="00DA4D19">
        <w:rPr>
          <w:rStyle w:val="FootnoteReference"/>
          <w:szCs w:val="18"/>
        </w:rPr>
        <w:footnoteRef/>
      </w:r>
      <w:r w:rsidRPr="00DA4D19">
        <w:rPr>
          <w:szCs w:val="18"/>
        </w:rPr>
        <w:t xml:space="preserve"> OHCHR, « Factsheet : Abortion », Information series on sexual and reproductive health and rights, (2015)</w:t>
      </w:r>
    </w:p>
  </w:footnote>
  <w:footnote w:id="119">
    <w:p w:rsidR="00A415B5" w:rsidRPr="00DA4D19" w:rsidRDefault="00A415B5" w:rsidP="00BC22D9">
      <w:pPr>
        <w:pStyle w:val="FootnoteText"/>
        <w:ind w:hanging="141"/>
        <w:rPr>
          <w:szCs w:val="18"/>
        </w:rPr>
      </w:pPr>
      <w:r w:rsidRPr="00DA4D19">
        <w:rPr>
          <w:rStyle w:val="FootnoteReference"/>
          <w:szCs w:val="18"/>
        </w:rPr>
        <w:footnoteRef/>
      </w:r>
      <w:r w:rsidRPr="00DA4D19">
        <w:rPr>
          <w:szCs w:val="18"/>
        </w:rPr>
        <w:t xml:space="preserve"> Article 6, </w:t>
      </w:r>
      <w:r w:rsidRPr="00DA4D19">
        <w:rPr>
          <w:iCs/>
          <w:szCs w:val="18"/>
        </w:rPr>
        <w:t>Convention on the Elimination of All Forms of Discrimination Against Women</w:t>
      </w:r>
    </w:p>
  </w:footnote>
  <w:footnote w:id="120">
    <w:p w:rsidR="00A415B5" w:rsidRPr="00DA4D19" w:rsidRDefault="00A415B5" w:rsidP="00BC22D9">
      <w:pPr>
        <w:pStyle w:val="FootnoteText"/>
        <w:ind w:hanging="141"/>
        <w:rPr>
          <w:szCs w:val="18"/>
        </w:rPr>
      </w:pPr>
      <w:r w:rsidRPr="00DA4D19">
        <w:rPr>
          <w:rStyle w:val="FootnoteReference"/>
          <w:szCs w:val="18"/>
        </w:rPr>
        <w:footnoteRef/>
      </w:r>
      <w:r w:rsidRPr="00DA4D19">
        <w:rPr>
          <w:szCs w:val="18"/>
        </w:rPr>
        <w:t xml:space="preserve"> Article 9 (5), </w:t>
      </w:r>
      <w:r w:rsidRPr="00DA4D19">
        <w:rPr>
          <w:iCs/>
          <w:szCs w:val="18"/>
        </w:rPr>
        <w:t>Protocol to Prevent, Suppress and Punish Trafficking in Persons, Especially Women and Children, Supplementing the United Nations Convention against Transnational Organized Crime</w:t>
      </w:r>
      <w:r w:rsidRPr="00DA4D19">
        <w:rPr>
          <w:szCs w:val="18"/>
          <w:shd w:val="clear" w:color="auto" w:fill="F9F9F9"/>
        </w:rPr>
        <w:t>, (2000)</w:t>
      </w:r>
    </w:p>
  </w:footnote>
  <w:footnote w:id="121">
    <w:p w:rsidR="00A415B5" w:rsidRPr="00DA4D19" w:rsidRDefault="00A415B5" w:rsidP="00BC22D9">
      <w:pPr>
        <w:pStyle w:val="FootnoteText"/>
        <w:ind w:hanging="141"/>
        <w:rPr>
          <w:szCs w:val="18"/>
        </w:rPr>
      </w:pPr>
      <w:r w:rsidRPr="00DA4D19">
        <w:rPr>
          <w:rStyle w:val="FootnoteReference"/>
          <w:szCs w:val="18"/>
        </w:rPr>
        <w:footnoteRef/>
      </w:r>
      <w:r w:rsidRPr="00DA4D19">
        <w:rPr>
          <w:szCs w:val="18"/>
        </w:rPr>
        <w:t xml:space="preserve"> WHO, UNFPA, UNAIDS, NSWP, “</w:t>
      </w:r>
      <w:r w:rsidRPr="00DA4D19">
        <w:rPr>
          <w:bCs/>
          <w:szCs w:val="18"/>
        </w:rPr>
        <w:t>Prevention and treatment of HIV and other sexually transmitted infections for sex workers in low- and middle-income countries</w:t>
      </w:r>
      <w:r w:rsidRPr="00DA4D19">
        <w:rPr>
          <w:szCs w:val="18"/>
        </w:rPr>
        <w:t xml:space="preserve">: </w:t>
      </w:r>
      <w:r w:rsidRPr="00DA4D19">
        <w:rPr>
          <w:bCs/>
          <w:szCs w:val="18"/>
        </w:rPr>
        <w:t>Recommendations for a public health approach” (</w:t>
      </w:r>
      <w:r w:rsidRPr="00DA4D19">
        <w:rPr>
          <w:szCs w:val="18"/>
        </w:rPr>
        <w:t>2012), available at apps.who.int/iris/</w:t>
      </w:r>
      <w:proofErr w:type="spellStart"/>
      <w:r w:rsidRPr="00DA4D19">
        <w:rPr>
          <w:szCs w:val="18"/>
        </w:rPr>
        <w:t>bitstream</w:t>
      </w:r>
      <w:proofErr w:type="spellEnd"/>
      <w:r w:rsidRPr="00DA4D19">
        <w:rPr>
          <w:szCs w:val="18"/>
        </w:rPr>
        <w:t>/10665/77745/1/9789241504744_eng.pdf ; WHO, UNFPA, UNAIDS, NSWP, World Bank, UNDP, “Implementing comprehensive HIV/STI programmes with sex workers: Practical approaches from collaborative interventions” (2013), available at apps.who.int/iris/</w:t>
      </w:r>
      <w:proofErr w:type="spellStart"/>
      <w:r w:rsidRPr="00DA4D19">
        <w:rPr>
          <w:szCs w:val="18"/>
        </w:rPr>
        <w:t>bitstream</w:t>
      </w:r>
      <w:proofErr w:type="spellEnd"/>
      <w:r w:rsidRPr="00DA4D19">
        <w:rPr>
          <w:szCs w:val="18"/>
        </w:rPr>
        <w:t>/10665/90000/1/9789241506182_eng.pdf</w:t>
      </w:r>
    </w:p>
  </w:footnote>
  <w:footnote w:id="122">
    <w:p w:rsidR="00A415B5" w:rsidRPr="00BC4738" w:rsidRDefault="00A415B5" w:rsidP="003416DD">
      <w:pPr>
        <w:pStyle w:val="FootnoteText"/>
        <w:ind w:hanging="141"/>
        <w:rPr>
          <w:szCs w:val="18"/>
          <w:lang w:val="fr-FR"/>
        </w:rPr>
      </w:pPr>
      <w:r>
        <w:rPr>
          <w:rStyle w:val="FootnoteReference"/>
        </w:rPr>
        <w:footnoteRef/>
      </w:r>
      <w:r>
        <w:t xml:space="preserve"> </w:t>
      </w:r>
      <w:proofErr w:type="gramStart"/>
      <w:r w:rsidRPr="00BC4738">
        <w:rPr>
          <w:kern w:val="1"/>
          <w:szCs w:val="18"/>
        </w:rPr>
        <w:t>Sexual health, human rights and the law.</w:t>
      </w:r>
      <w:proofErr w:type="gramEnd"/>
      <w:r w:rsidRPr="00BC4738">
        <w:rPr>
          <w:kern w:val="1"/>
          <w:szCs w:val="18"/>
        </w:rPr>
        <w:t xml:space="preserve"> Geneva: World Health Organization; 2015.</w:t>
      </w:r>
    </w:p>
    <w:p w:rsidR="00A415B5" w:rsidRPr="00F55881" w:rsidRDefault="00A415B5" w:rsidP="00F55881">
      <w:pPr>
        <w:pStyle w:val="FootnoteText"/>
        <w:ind w:left="993" w:firstLine="0"/>
        <w:jc w:val="both"/>
        <w:rPr>
          <w:szCs w:val="18"/>
          <w:lang w:val="en-US"/>
        </w:rPr>
      </w:pPr>
      <w:r w:rsidRPr="00AF37B4">
        <w:rPr>
          <w:szCs w:val="18"/>
        </w:rPr>
        <w:t>The sex industry in New Zealand: A literature review, New Zealand Ministry of Justice, 2005, p. 65; Prostitution Law Review Committee: Report of the prostitution law review committee on the operation of the Prostitution Reform Act 2003, New Zealand Ministry of Justice, 2008.</w:t>
      </w:r>
      <w:proofErr w:type="gramStart"/>
      <w:r w:rsidRPr="00AF37B4">
        <w:rPr>
          <w:szCs w:val="18"/>
        </w:rPr>
        <w:t>; )</w:t>
      </w:r>
      <w:proofErr w:type="gramEnd"/>
      <w:r w:rsidRPr="00AF37B4">
        <w:rPr>
          <w:szCs w:val="18"/>
        </w:rPr>
        <w:t xml:space="preserve">. </w:t>
      </w:r>
      <w:proofErr w:type="gramStart"/>
      <w:r w:rsidRPr="00AF37B4">
        <w:rPr>
          <w:szCs w:val="18"/>
        </w:rPr>
        <w:t>Report of the Brothels Task Force.</w:t>
      </w:r>
      <w:proofErr w:type="gramEnd"/>
      <w:r w:rsidRPr="00AF37B4">
        <w:rPr>
          <w:szCs w:val="18"/>
        </w:rPr>
        <w:t xml:space="preserve"> Sydney: New South Wales Government; </w:t>
      </w:r>
      <w:proofErr w:type="gramStart"/>
      <w:r w:rsidRPr="00AF37B4">
        <w:rPr>
          <w:szCs w:val="18"/>
        </w:rPr>
        <w:t>2001.;</w:t>
      </w:r>
      <w:proofErr w:type="gramEnd"/>
      <w:r w:rsidRPr="00AF37B4">
        <w:rPr>
          <w:szCs w:val="18"/>
        </w:rPr>
        <w:t xml:space="preserve"> Commonwealth of Australia State of Victoria. </w:t>
      </w:r>
      <w:proofErr w:type="gramStart"/>
      <w:r w:rsidRPr="00AF37B4">
        <w:rPr>
          <w:szCs w:val="18"/>
        </w:rPr>
        <w:t>(2006). Prostitution Control Regulations 2006, S.R. No. 64/2006; Dutch Ministry of</w:t>
      </w:r>
      <w:r w:rsidRPr="0065673C">
        <w:rPr>
          <w:rFonts w:ascii="Arial" w:hAnsi="Arial" w:cs="Arial"/>
          <w:sz w:val="22"/>
          <w:szCs w:val="22"/>
        </w:rPr>
        <w:t xml:space="preserve"> </w:t>
      </w:r>
      <w:r w:rsidRPr="00F55881">
        <w:rPr>
          <w:szCs w:val="18"/>
        </w:rPr>
        <w:t>Foreign Affairs.</w:t>
      </w:r>
      <w:proofErr w:type="gramEnd"/>
      <w:r w:rsidRPr="00F55881">
        <w:rPr>
          <w:szCs w:val="18"/>
        </w:rPr>
        <w:t xml:space="preserve"> </w:t>
      </w:r>
      <w:proofErr w:type="gramStart"/>
      <w:r w:rsidRPr="00F55881">
        <w:rPr>
          <w:szCs w:val="18"/>
        </w:rPr>
        <w:t>(2012) Dutch Policy on Prostitution.</w:t>
      </w:r>
      <w:proofErr w:type="gramEnd"/>
      <w:r w:rsidRPr="00F55881">
        <w:rPr>
          <w:szCs w:val="18"/>
        </w:rPr>
        <w:t xml:space="preserve"> Questions and answers 2012</w:t>
      </w:r>
    </w:p>
  </w:footnote>
  <w:footnote w:id="123">
    <w:p w:rsidR="00A415B5" w:rsidRPr="00F55881" w:rsidRDefault="00A415B5" w:rsidP="00F55881">
      <w:pPr>
        <w:pStyle w:val="FootnoteText"/>
        <w:ind w:hanging="141"/>
        <w:jc w:val="both"/>
        <w:rPr>
          <w:szCs w:val="18"/>
          <w:lang w:val="en-US"/>
        </w:rPr>
      </w:pPr>
      <w:r w:rsidRPr="00F55881">
        <w:rPr>
          <w:rStyle w:val="FootnoteReference"/>
          <w:szCs w:val="18"/>
        </w:rPr>
        <w:footnoteRef/>
      </w:r>
      <w:r w:rsidRPr="00F55881">
        <w:rPr>
          <w:szCs w:val="18"/>
        </w:rPr>
        <w:t xml:space="preserve"> </w:t>
      </w:r>
      <w:r w:rsidRPr="00F55881">
        <w:rPr>
          <w:rStyle w:val="WW-DefaultParagraphFont"/>
          <w:rFonts w:eastAsia="MS PMincho"/>
          <w:szCs w:val="18"/>
        </w:rPr>
        <w:t>General Comment No. 22 (2016) on the Right to sexual and reproductive health United</w:t>
      </w:r>
      <w:r w:rsidRPr="00F55881">
        <w:rPr>
          <w:szCs w:val="18"/>
        </w:rPr>
        <w:t xml:space="preserve"> Nations Committee on Economic, Social and Cultural Rights</w:t>
      </w:r>
      <w:r w:rsidRPr="00F55881">
        <w:rPr>
          <w:rStyle w:val="WW-DefaultParagraphFont"/>
          <w:rFonts w:eastAsia="MS PMincho"/>
          <w:bCs/>
          <w:szCs w:val="18"/>
        </w:rPr>
        <w:t xml:space="preserve">; </w:t>
      </w:r>
      <w:r w:rsidRPr="00F55881">
        <w:rPr>
          <w:szCs w:val="18"/>
        </w:rPr>
        <w:t xml:space="preserve">General Comment No. 14: The right to the highest attainable standard of health (Article 12 of the Covenant). United Nations Committee on Economic, Social and Cultural Rights; 2000; General Recommendation No. 24: Article 12: Women and health. </w:t>
      </w:r>
      <w:proofErr w:type="gramStart"/>
      <w:r w:rsidR="00607F29">
        <w:rPr>
          <w:szCs w:val="18"/>
        </w:rPr>
        <w:t xml:space="preserve">CEDAW Committee, </w:t>
      </w:r>
      <w:r w:rsidRPr="00F55881">
        <w:rPr>
          <w:szCs w:val="18"/>
        </w:rPr>
        <w:t>1999.</w:t>
      </w:r>
      <w:proofErr w:type="gramEnd"/>
      <w:r w:rsidRPr="00F55881">
        <w:rPr>
          <w:szCs w:val="18"/>
        </w:rPr>
        <w:t xml:space="preserve"> (A/54/38/Rev.1, Chapter I)</w:t>
      </w:r>
    </w:p>
  </w:footnote>
  <w:footnote w:id="124">
    <w:p w:rsidR="00A415B5" w:rsidRPr="00DA4D19" w:rsidRDefault="00A415B5" w:rsidP="00F55881">
      <w:pPr>
        <w:pStyle w:val="FootnoteText"/>
        <w:ind w:hanging="141"/>
        <w:jc w:val="both"/>
        <w:rPr>
          <w:szCs w:val="18"/>
        </w:rPr>
      </w:pPr>
      <w:r w:rsidRPr="00DA4D19">
        <w:rPr>
          <w:rStyle w:val="FootnoteReference"/>
          <w:szCs w:val="18"/>
        </w:rPr>
        <w:footnoteRef/>
      </w:r>
      <w:r w:rsidRPr="00DA4D19">
        <w:rPr>
          <w:szCs w:val="18"/>
        </w:rPr>
        <w:t xml:space="preserve"> </w:t>
      </w:r>
      <w:proofErr w:type="spellStart"/>
      <w:r w:rsidRPr="00DA4D19">
        <w:rPr>
          <w:rFonts w:eastAsia="SimSun"/>
          <w:szCs w:val="18"/>
        </w:rPr>
        <w:t>Germain</w:t>
      </w:r>
      <w:proofErr w:type="spellEnd"/>
      <w:r w:rsidRPr="00DA4D19">
        <w:rPr>
          <w:rFonts w:eastAsia="SimSun"/>
          <w:szCs w:val="18"/>
        </w:rPr>
        <w:t xml:space="preserve"> A., “Meeting human rights norms for the quality of sexual and reproductive health information and services: discussion paper”; “ICPD beyond 2014”, International Conference on Human Rights (2013); Independent Expert Review Group (</w:t>
      </w:r>
      <w:proofErr w:type="spellStart"/>
      <w:r w:rsidRPr="00DA4D19">
        <w:rPr>
          <w:rFonts w:eastAsia="SimSun"/>
          <w:szCs w:val="18"/>
        </w:rPr>
        <w:t>iERG</w:t>
      </w:r>
      <w:proofErr w:type="spellEnd"/>
      <w:r w:rsidRPr="00DA4D19">
        <w:rPr>
          <w:rFonts w:eastAsia="SimSun"/>
          <w:szCs w:val="18"/>
        </w:rPr>
        <w:t xml:space="preserve">). CEDAW Committee, </w:t>
      </w:r>
      <w:r w:rsidRPr="00DA4D19">
        <w:rPr>
          <w:szCs w:val="18"/>
        </w:rPr>
        <w:t xml:space="preserve">General Recommendation No. 24; </w:t>
      </w:r>
      <w:r w:rsidRPr="00DA4D19">
        <w:rPr>
          <w:rFonts w:eastAsia="SimSun"/>
          <w:szCs w:val="18"/>
        </w:rPr>
        <w:t>CEDAW Committee</w:t>
      </w:r>
      <w:r w:rsidRPr="00DA4D19">
        <w:rPr>
          <w:szCs w:val="18"/>
        </w:rPr>
        <w:t>, General Comment No. 14; WHO, “Sexual and reproductive health core competencies in primary health care” (2011);</w:t>
      </w:r>
      <w:r w:rsidRPr="00DA4D19">
        <w:rPr>
          <w:rFonts w:eastAsia="SimSun"/>
          <w:szCs w:val="18"/>
        </w:rPr>
        <w:t xml:space="preserve"> WHO, “Every woman, every child: strengthening equity and dignity through health: The second report of the independent Expert Review Group (</w:t>
      </w:r>
      <w:proofErr w:type="spellStart"/>
      <w:r w:rsidRPr="00DA4D19">
        <w:rPr>
          <w:rFonts w:eastAsia="SimSun"/>
          <w:szCs w:val="18"/>
        </w:rPr>
        <w:t>iERG</w:t>
      </w:r>
      <w:proofErr w:type="spellEnd"/>
      <w:r w:rsidRPr="00DA4D19">
        <w:rPr>
          <w:rFonts w:eastAsia="SimSun"/>
          <w:szCs w:val="18"/>
        </w:rPr>
        <w:t>) in information and accountability for women’s and children’s health”, (2013)</w:t>
      </w:r>
    </w:p>
  </w:footnote>
  <w:footnote w:id="125">
    <w:p w:rsidR="00A415B5" w:rsidRPr="00DA4D19" w:rsidRDefault="00A415B5" w:rsidP="00F55881">
      <w:pPr>
        <w:pStyle w:val="FootnoteText"/>
        <w:ind w:hanging="141"/>
        <w:jc w:val="both"/>
        <w:rPr>
          <w:szCs w:val="18"/>
        </w:rPr>
      </w:pPr>
      <w:r w:rsidRPr="00DA4D19">
        <w:rPr>
          <w:rStyle w:val="FootnoteReference"/>
          <w:szCs w:val="18"/>
        </w:rPr>
        <w:footnoteRef/>
      </w:r>
      <w:r w:rsidRPr="00DA4D19">
        <w:rPr>
          <w:szCs w:val="18"/>
        </w:rPr>
        <w:t xml:space="preserve"> </w:t>
      </w:r>
      <w:proofErr w:type="spellStart"/>
      <w:r w:rsidRPr="00DA4D19">
        <w:rPr>
          <w:szCs w:val="18"/>
        </w:rPr>
        <w:t>Center</w:t>
      </w:r>
      <w:proofErr w:type="spellEnd"/>
      <w:r w:rsidRPr="00DA4D19">
        <w:rPr>
          <w:szCs w:val="18"/>
        </w:rPr>
        <w:t xml:space="preserve"> for Reproductive Rights, “Submission to the WGDAW” (August 2015), p2</w:t>
      </w:r>
    </w:p>
  </w:footnote>
  <w:footnote w:id="126">
    <w:p w:rsidR="00A415B5" w:rsidRPr="00DA4D19" w:rsidRDefault="00A415B5" w:rsidP="00F55881">
      <w:pPr>
        <w:pStyle w:val="FootnoteText"/>
        <w:ind w:hanging="141"/>
        <w:jc w:val="both"/>
        <w:rPr>
          <w:szCs w:val="18"/>
          <w:lang w:val="en-US"/>
        </w:rPr>
      </w:pPr>
      <w:r w:rsidRPr="00DA4D19">
        <w:rPr>
          <w:rStyle w:val="FootnoteReference"/>
          <w:szCs w:val="18"/>
        </w:rPr>
        <w:footnoteRef/>
      </w:r>
      <w:r w:rsidRPr="00DA4D19">
        <w:rPr>
          <w:szCs w:val="18"/>
        </w:rPr>
        <w:t xml:space="preserve"> OHCHR, “</w:t>
      </w:r>
      <w:r w:rsidRPr="00DA4D19">
        <w:rPr>
          <w:szCs w:val="18"/>
          <w:shd w:val="clear" w:color="auto" w:fill="FFFFFF"/>
        </w:rPr>
        <w:t xml:space="preserve">UN Working Group on the issue of discrimination against women in law and in practice finalizes country mission to the United States” published on 11 December 2015 </w:t>
      </w:r>
      <w:hyperlink r:id="rId19" w:history="1">
        <w:r w:rsidRPr="00DA4D19">
          <w:rPr>
            <w:rStyle w:val="Hyperlink"/>
            <w:szCs w:val="18"/>
          </w:rPr>
          <w:t>http://www.ohchr.org/EN/NewsEvents/Pages/DisplayNews.aspx?NewsID=16872&amp;LangID=E</w:t>
        </w:r>
      </w:hyperlink>
      <w:r w:rsidRPr="00DA4D19">
        <w:rPr>
          <w:szCs w:val="18"/>
        </w:rPr>
        <w:t xml:space="preserve">. </w:t>
      </w:r>
    </w:p>
  </w:footnote>
  <w:footnote w:id="127">
    <w:p w:rsidR="00A415B5" w:rsidRPr="00DA4D19" w:rsidRDefault="00A415B5" w:rsidP="00CA44F9">
      <w:pPr>
        <w:ind w:left="1134" w:right="1134" w:hanging="141"/>
        <w:jc w:val="both"/>
        <w:rPr>
          <w:sz w:val="18"/>
          <w:szCs w:val="18"/>
        </w:rPr>
      </w:pPr>
      <w:r w:rsidRPr="00DA4D19">
        <w:rPr>
          <w:rStyle w:val="FootnoteReference"/>
          <w:szCs w:val="18"/>
        </w:rPr>
        <w:footnoteRef/>
      </w:r>
      <w:r w:rsidRPr="00DA4D19">
        <w:rPr>
          <w:sz w:val="18"/>
          <w:szCs w:val="18"/>
        </w:rPr>
        <w:t xml:space="preserve"> CEDAW Committee, “Concluding Comments: Philippines” (2006) CEDAW/C/PHI/CO/6</w:t>
      </w:r>
    </w:p>
  </w:footnote>
  <w:footnote w:id="128">
    <w:p w:rsidR="00A415B5" w:rsidRPr="00DA4D19" w:rsidRDefault="00A415B5" w:rsidP="00CA44F9">
      <w:pPr>
        <w:ind w:left="1134" w:right="1134" w:hanging="141"/>
        <w:jc w:val="both"/>
        <w:rPr>
          <w:sz w:val="18"/>
          <w:szCs w:val="18"/>
        </w:rPr>
      </w:pPr>
      <w:r w:rsidRPr="00DA4D19">
        <w:rPr>
          <w:rStyle w:val="FootnoteReference"/>
          <w:szCs w:val="18"/>
        </w:rPr>
        <w:footnoteRef/>
      </w:r>
      <w:r w:rsidRPr="00DA4D19">
        <w:rPr>
          <w:sz w:val="18"/>
          <w:szCs w:val="18"/>
        </w:rPr>
        <w:t xml:space="preserve"> </w:t>
      </w:r>
      <w:proofErr w:type="spellStart"/>
      <w:r w:rsidRPr="00DA4D19">
        <w:rPr>
          <w:sz w:val="18"/>
          <w:szCs w:val="18"/>
        </w:rPr>
        <w:t>Center</w:t>
      </w:r>
      <w:proofErr w:type="spellEnd"/>
      <w:r w:rsidRPr="00DA4D19">
        <w:rPr>
          <w:sz w:val="18"/>
          <w:szCs w:val="18"/>
        </w:rPr>
        <w:t xml:space="preserve"> for Reproductive Rights, “European standards on subsidizing contraceptives – Fact Sheet”, (September 2009) </w:t>
      </w:r>
    </w:p>
  </w:footnote>
  <w:footnote w:id="129">
    <w:p w:rsidR="00A415B5" w:rsidRPr="00DA4D19" w:rsidRDefault="00A415B5" w:rsidP="00CA44F9">
      <w:pPr>
        <w:ind w:left="1134" w:right="1134" w:hanging="141"/>
        <w:jc w:val="both"/>
        <w:rPr>
          <w:sz w:val="18"/>
          <w:szCs w:val="18"/>
        </w:rPr>
      </w:pPr>
      <w:r w:rsidRPr="00DA4D19">
        <w:rPr>
          <w:rStyle w:val="FootnoteReference"/>
          <w:szCs w:val="18"/>
        </w:rPr>
        <w:footnoteRef/>
      </w:r>
      <w:r w:rsidRPr="00DA4D19">
        <w:rPr>
          <w:sz w:val="18"/>
          <w:szCs w:val="18"/>
        </w:rPr>
        <w:t xml:space="preserve"> Global Commission on HIV and the Law, “Risks, rights and health” (2012)</w:t>
      </w:r>
    </w:p>
  </w:footnote>
  <w:footnote w:id="130">
    <w:p w:rsidR="00A415B5" w:rsidRPr="00DA4D19" w:rsidRDefault="00A415B5" w:rsidP="00CA44F9">
      <w:pPr>
        <w:pStyle w:val="FootnoteText"/>
        <w:ind w:hanging="141"/>
        <w:jc w:val="both"/>
        <w:rPr>
          <w:szCs w:val="18"/>
          <w:lang w:val="en-US"/>
        </w:rPr>
      </w:pPr>
      <w:r w:rsidRPr="00DA4D19">
        <w:rPr>
          <w:rStyle w:val="FootnoteReference"/>
          <w:szCs w:val="18"/>
        </w:rPr>
        <w:footnoteRef/>
      </w:r>
      <w:r w:rsidRPr="00DA4D19">
        <w:rPr>
          <w:szCs w:val="18"/>
        </w:rPr>
        <w:t xml:space="preserve"> See A/HRC/17/43</w:t>
      </w:r>
    </w:p>
  </w:footnote>
  <w:footnote w:id="131">
    <w:p w:rsidR="00A415B5" w:rsidRPr="00DA4D19" w:rsidRDefault="00A415B5" w:rsidP="00CA44F9">
      <w:pPr>
        <w:pStyle w:val="FootnoteText"/>
        <w:ind w:hanging="141"/>
        <w:jc w:val="both"/>
        <w:rPr>
          <w:rFonts w:eastAsiaTheme="minorEastAsia"/>
          <w:szCs w:val="18"/>
        </w:rPr>
      </w:pPr>
      <w:r w:rsidRPr="00DA4D19">
        <w:rPr>
          <w:rFonts w:eastAsiaTheme="minorEastAsia"/>
          <w:szCs w:val="18"/>
          <w:vertAlign w:val="superscript"/>
        </w:rPr>
        <w:footnoteRef/>
      </w:r>
      <w:r w:rsidRPr="00DA4D19">
        <w:rPr>
          <w:rFonts w:eastAsiaTheme="minorEastAsia"/>
          <w:szCs w:val="18"/>
          <w:vertAlign w:val="superscript"/>
        </w:rPr>
        <w:t xml:space="preserve"> </w:t>
      </w:r>
      <w:proofErr w:type="spellStart"/>
      <w:r w:rsidRPr="00DA4D19">
        <w:rPr>
          <w:rStyle w:val="Caractresdenotedebasdepage"/>
          <w:rFonts w:eastAsia="HelveticaNeue-Condensed"/>
          <w:szCs w:val="18"/>
        </w:rPr>
        <w:t>Chavkin</w:t>
      </w:r>
      <w:proofErr w:type="spellEnd"/>
      <w:r w:rsidRPr="00DA4D19">
        <w:rPr>
          <w:rStyle w:val="Caractresdenotedebasdepage"/>
          <w:rFonts w:eastAsia="HelveticaNeue-Condensed"/>
          <w:szCs w:val="18"/>
        </w:rPr>
        <w:t xml:space="preserve"> W, </w:t>
      </w:r>
      <w:proofErr w:type="spellStart"/>
      <w:r w:rsidRPr="00DA4D19">
        <w:rPr>
          <w:rStyle w:val="Caractresdenotedebasdepage"/>
          <w:rFonts w:eastAsia="HelveticaNeue-Condensed"/>
          <w:szCs w:val="18"/>
        </w:rPr>
        <w:t>Leitman</w:t>
      </w:r>
      <w:proofErr w:type="spellEnd"/>
      <w:r w:rsidRPr="00DA4D19">
        <w:rPr>
          <w:rStyle w:val="Caractresdenotedebasdepage"/>
          <w:rFonts w:eastAsia="HelveticaNeue-Condensed"/>
          <w:szCs w:val="18"/>
        </w:rPr>
        <w:t xml:space="preserve"> L, </w:t>
      </w:r>
      <w:proofErr w:type="spellStart"/>
      <w:r w:rsidRPr="00DA4D19">
        <w:rPr>
          <w:rStyle w:val="Caractresdenotedebasdepage"/>
          <w:rFonts w:eastAsia="HelveticaNeue-Condensed"/>
          <w:szCs w:val="18"/>
        </w:rPr>
        <w:t>Polin</w:t>
      </w:r>
      <w:proofErr w:type="spellEnd"/>
      <w:r w:rsidRPr="00DA4D19">
        <w:rPr>
          <w:rStyle w:val="Caractresdenotedebasdepage"/>
          <w:rFonts w:eastAsia="HelveticaNeue-Condensed"/>
          <w:szCs w:val="18"/>
        </w:rPr>
        <w:t xml:space="preserve"> K., “Conscientious objection and refusal to provide reproductive healthcare: a white paper examining prevalence, health consequences, and policy responses”, (2013) </w:t>
      </w:r>
      <w:proofErr w:type="spellStart"/>
      <w:r w:rsidRPr="00DA4D19">
        <w:rPr>
          <w:rStyle w:val="Caractresdenotedebasdepage"/>
          <w:rFonts w:eastAsia="HelveticaNeue-Condensed"/>
          <w:szCs w:val="18"/>
        </w:rPr>
        <w:t>Int</w:t>
      </w:r>
      <w:proofErr w:type="spellEnd"/>
      <w:r w:rsidRPr="00DA4D19">
        <w:rPr>
          <w:rStyle w:val="Caractresdenotedebasdepage"/>
          <w:rFonts w:eastAsia="HelveticaNeue-Condensed"/>
          <w:szCs w:val="18"/>
        </w:rPr>
        <w:t xml:space="preserve"> J </w:t>
      </w:r>
      <w:proofErr w:type="spellStart"/>
      <w:r w:rsidRPr="00DA4D19">
        <w:rPr>
          <w:rStyle w:val="Caractresdenotedebasdepage"/>
          <w:rFonts w:eastAsia="HelveticaNeue-Condensed"/>
          <w:szCs w:val="18"/>
        </w:rPr>
        <w:t>Gynecol</w:t>
      </w:r>
      <w:proofErr w:type="spellEnd"/>
      <w:r w:rsidRPr="00DA4D19">
        <w:rPr>
          <w:rStyle w:val="Caractresdenotedebasdepage"/>
          <w:rFonts w:eastAsia="HelveticaNeue-Condensed"/>
          <w:szCs w:val="18"/>
        </w:rPr>
        <w:t xml:space="preserve"> </w:t>
      </w:r>
      <w:proofErr w:type="spellStart"/>
      <w:r w:rsidRPr="00DA4D19">
        <w:rPr>
          <w:rStyle w:val="Caractresdenotedebasdepage"/>
          <w:rFonts w:eastAsia="HelveticaNeue-Condensed"/>
          <w:szCs w:val="18"/>
        </w:rPr>
        <w:t>Obstet</w:t>
      </w:r>
      <w:proofErr w:type="spellEnd"/>
    </w:p>
  </w:footnote>
  <w:footnote w:id="132">
    <w:p w:rsidR="00A415B5" w:rsidRPr="00DA4D19" w:rsidRDefault="00A415B5" w:rsidP="00CA44F9">
      <w:pPr>
        <w:pStyle w:val="FootnoteText"/>
        <w:ind w:hanging="141"/>
        <w:jc w:val="both"/>
        <w:rPr>
          <w:szCs w:val="18"/>
        </w:rPr>
      </w:pPr>
      <w:r w:rsidRPr="00DA4D19">
        <w:rPr>
          <w:rStyle w:val="FootnoteReference"/>
          <w:szCs w:val="18"/>
        </w:rPr>
        <w:footnoteRef/>
      </w:r>
      <w:r w:rsidRPr="00DA4D19">
        <w:rPr>
          <w:szCs w:val="18"/>
        </w:rPr>
        <w:t xml:space="preserve"> S</w:t>
      </w:r>
      <w:r w:rsidRPr="00DA4D19">
        <w:rPr>
          <w:bCs/>
          <w:szCs w:val="18"/>
        </w:rPr>
        <w:t xml:space="preserve">ee E/C.12/POL/CO/5, CEDAW/C/POL/CO/6 and CEDAW/C/SVK/CO/4; </w:t>
      </w:r>
      <w:r w:rsidRPr="00DA4D19">
        <w:rPr>
          <w:szCs w:val="18"/>
        </w:rPr>
        <w:t>A/HRC/29/40/Add.3</w:t>
      </w:r>
    </w:p>
  </w:footnote>
  <w:footnote w:id="133">
    <w:p w:rsidR="00A415B5" w:rsidRPr="00DA4D19" w:rsidRDefault="00A415B5" w:rsidP="00CA44F9">
      <w:pPr>
        <w:widowControl w:val="0"/>
        <w:autoSpaceDE w:val="0"/>
        <w:autoSpaceDN w:val="0"/>
        <w:adjustRightInd w:val="0"/>
        <w:ind w:left="1134" w:right="1134" w:hanging="141"/>
        <w:jc w:val="both"/>
        <w:rPr>
          <w:rFonts w:eastAsia="Calibri"/>
          <w:bCs/>
          <w:iCs/>
          <w:sz w:val="18"/>
          <w:szCs w:val="18"/>
          <w:lang w:val="x-none" w:eastAsia="x-none"/>
        </w:rPr>
      </w:pPr>
      <w:r w:rsidRPr="00DA4D19">
        <w:rPr>
          <w:rStyle w:val="FootnoteReference"/>
          <w:szCs w:val="18"/>
        </w:rPr>
        <w:footnoteRef/>
      </w:r>
      <w:r w:rsidRPr="00DA4D19">
        <w:rPr>
          <w:sz w:val="18"/>
          <w:szCs w:val="18"/>
        </w:rPr>
        <w:t xml:space="preserve"> </w:t>
      </w:r>
      <w:proofErr w:type="spellStart"/>
      <w:r w:rsidRPr="00DA4D19">
        <w:rPr>
          <w:sz w:val="18"/>
          <w:szCs w:val="18"/>
        </w:rPr>
        <w:t>Chavkin</w:t>
      </w:r>
      <w:proofErr w:type="spellEnd"/>
      <w:r w:rsidRPr="00DA4D19">
        <w:rPr>
          <w:sz w:val="18"/>
          <w:szCs w:val="18"/>
        </w:rPr>
        <w:t xml:space="preserve"> W., “</w:t>
      </w:r>
      <w:r w:rsidRPr="00DA4D19">
        <w:rPr>
          <w:rFonts w:eastAsia="Calibri"/>
          <w:bCs/>
          <w:iCs/>
          <w:sz w:val="18"/>
          <w:szCs w:val="18"/>
        </w:rPr>
        <w:t>Conscientious objection to the provision of reproductive health care”, (2013)</w:t>
      </w:r>
      <w:r w:rsidRPr="00DA4D19">
        <w:rPr>
          <w:rFonts w:eastAsia="Calibri"/>
          <w:bCs/>
          <w:iCs/>
          <w:sz w:val="18"/>
          <w:szCs w:val="18"/>
          <w:lang w:val="x-none" w:eastAsia="x-none"/>
        </w:rPr>
        <w:t xml:space="preserve"> International Journal of Gynecology and Obstetrics. Volume 123, Supplement 3, S39-S65</w:t>
      </w:r>
    </w:p>
  </w:footnote>
  <w:footnote w:id="134">
    <w:p w:rsidR="00A415B5" w:rsidRPr="00DA4D19" w:rsidRDefault="00A415B5" w:rsidP="005F5C96">
      <w:pPr>
        <w:pStyle w:val="FootnoteText"/>
        <w:ind w:hanging="141"/>
        <w:jc w:val="both"/>
        <w:rPr>
          <w:szCs w:val="18"/>
          <w:lang w:val="en-US"/>
        </w:rPr>
      </w:pPr>
      <w:r w:rsidRPr="00DA4D19">
        <w:rPr>
          <w:rStyle w:val="FootnoteReference"/>
          <w:szCs w:val="18"/>
        </w:rPr>
        <w:footnoteRef/>
      </w:r>
      <w:r w:rsidRPr="00DA4D19">
        <w:rPr>
          <w:szCs w:val="18"/>
        </w:rPr>
        <w:t xml:space="preserve"> </w:t>
      </w:r>
      <w:r w:rsidRPr="00DA4D19">
        <w:rPr>
          <w:rStyle w:val="WW-DefaultParagraphFont1"/>
          <w:rFonts w:eastAsia="HelveticaNeue-Condensed;Arial U"/>
          <w:szCs w:val="18"/>
        </w:rPr>
        <w:t>United Nations Educational, Scientific and Cultural Organization, “International technical guidance on sexuality education”, (2009)</w:t>
      </w:r>
    </w:p>
  </w:footnote>
  <w:footnote w:id="135">
    <w:p w:rsidR="00A415B5" w:rsidRPr="00405777" w:rsidRDefault="00A415B5" w:rsidP="005F5C96">
      <w:pPr>
        <w:pStyle w:val="FootnoteText"/>
        <w:ind w:hanging="141"/>
        <w:jc w:val="both"/>
        <w:rPr>
          <w:lang w:val="en-US"/>
        </w:rPr>
      </w:pPr>
      <w:r>
        <w:rPr>
          <w:rStyle w:val="FootnoteReference"/>
        </w:rPr>
        <w:footnoteRef/>
      </w:r>
      <w:r>
        <w:t xml:space="preserve"> </w:t>
      </w:r>
      <w:proofErr w:type="gramStart"/>
      <w:r w:rsidRPr="00BC4738">
        <w:rPr>
          <w:rStyle w:val="WW-DefaultParagraphFont1"/>
          <w:rFonts w:eastAsia="HelveticaNeue-Condensed;Arial U"/>
          <w:color w:val="000000"/>
          <w:szCs w:val="18"/>
        </w:rPr>
        <w:t>International technical guidance on sexuality education.</w:t>
      </w:r>
      <w:proofErr w:type="gramEnd"/>
      <w:r w:rsidRPr="00BC4738">
        <w:rPr>
          <w:rStyle w:val="WW-DefaultParagraphFont1"/>
          <w:rFonts w:eastAsia="HelveticaNeue-Condensed;Arial U"/>
          <w:color w:val="000000"/>
          <w:szCs w:val="18"/>
        </w:rPr>
        <w:t xml:space="preserve"> Paris, United Nations Educational, Scientific and Cultural Organization, 2009.</w:t>
      </w:r>
      <w:r w:rsidRPr="00405777">
        <w:rPr>
          <w:kern w:val="1"/>
          <w:szCs w:val="18"/>
        </w:rPr>
        <w:t xml:space="preserve"> </w:t>
      </w:r>
      <w:proofErr w:type="gramStart"/>
      <w:r w:rsidRPr="00405777">
        <w:rPr>
          <w:kern w:val="1"/>
          <w:szCs w:val="18"/>
        </w:rPr>
        <w:t>Sexual health, human rights and the law.</w:t>
      </w:r>
      <w:proofErr w:type="gramEnd"/>
      <w:r w:rsidRPr="00405777">
        <w:rPr>
          <w:kern w:val="1"/>
          <w:szCs w:val="18"/>
        </w:rPr>
        <w:t xml:space="preserve"> </w:t>
      </w:r>
      <w:proofErr w:type="gramStart"/>
      <w:r w:rsidRPr="00405777">
        <w:rPr>
          <w:kern w:val="1"/>
          <w:szCs w:val="18"/>
        </w:rPr>
        <w:t>Geneva :</w:t>
      </w:r>
      <w:proofErr w:type="gramEnd"/>
      <w:r w:rsidRPr="00405777">
        <w:rPr>
          <w:kern w:val="1"/>
          <w:szCs w:val="18"/>
        </w:rPr>
        <w:t xml:space="preserve"> World Health Organization; 2015.</w:t>
      </w:r>
    </w:p>
  </w:footnote>
  <w:footnote w:id="136">
    <w:p w:rsidR="00A415B5" w:rsidRPr="00DA4D19" w:rsidRDefault="00A415B5" w:rsidP="005F5C96">
      <w:pPr>
        <w:pStyle w:val="FootnoteText"/>
        <w:ind w:hanging="141"/>
        <w:jc w:val="both"/>
        <w:rPr>
          <w:szCs w:val="18"/>
          <w:lang w:val="en-US"/>
        </w:rPr>
      </w:pPr>
      <w:r w:rsidRPr="00DA4D19">
        <w:rPr>
          <w:rStyle w:val="FootnoteReference"/>
          <w:szCs w:val="18"/>
        </w:rPr>
        <w:footnoteRef/>
      </w:r>
      <w:r w:rsidRPr="00DA4D19">
        <w:rPr>
          <w:szCs w:val="18"/>
        </w:rPr>
        <w:t xml:space="preserve"> </w:t>
      </w:r>
      <w:r w:rsidRPr="00DA4D19">
        <w:rPr>
          <w:szCs w:val="18"/>
          <w:lang w:val="en-US"/>
        </w:rPr>
        <w:t>Convention on the Rights of the Child, article 28 (3)</w:t>
      </w:r>
    </w:p>
  </w:footnote>
  <w:footnote w:id="137">
    <w:p w:rsidR="00A415B5" w:rsidRPr="00DA4D19" w:rsidRDefault="00A415B5" w:rsidP="005F5C96">
      <w:pPr>
        <w:pStyle w:val="FootnoteText"/>
        <w:ind w:hanging="141"/>
        <w:jc w:val="both"/>
        <w:rPr>
          <w:szCs w:val="18"/>
        </w:rPr>
      </w:pPr>
      <w:r w:rsidRPr="00DA4D19">
        <w:rPr>
          <w:rStyle w:val="FootnoteReference"/>
          <w:szCs w:val="18"/>
        </w:rPr>
        <w:footnoteRef/>
      </w:r>
      <w:r w:rsidRPr="00DA4D19">
        <w:rPr>
          <w:szCs w:val="18"/>
        </w:rPr>
        <w:t xml:space="preserve"> </w:t>
      </w:r>
      <w:proofErr w:type="gramStart"/>
      <w:r>
        <w:rPr>
          <w:szCs w:val="18"/>
        </w:rPr>
        <w:t>CRC</w:t>
      </w:r>
      <w:r w:rsidRPr="00DA4D19">
        <w:rPr>
          <w:szCs w:val="18"/>
        </w:rPr>
        <w:t xml:space="preserve">, “Concluding Observations - Russian Federation” (2014) </w:t>
      </w:r>
      <w:r w:rsidRPr="00DA4D19">
        <w:rPr>
          <w:rStyle w:val="FootnoteTextChar1"/>
          <w:rFonts w:ascii="Times New Roman" w:hAnsi="Times New Roman"/>
          <w:szCs w:val="18"/>
        </w:rPr>
        <w:t>CRC/C/RUS/CO/4-5; CRC, General Comment No. 4; See A/65/162, paras.</w:t>
      </w:r>
      <w:proofErr w:type="gramEnd"/>
      <w:r w:rsidRPr="00DA4D19">
        <w:rPr>
          <w:rStyle w:val="FootnoteTextChar1"/>
          <w:rFonts w:ascii="Times New Roman" w:hAnsi="Times New Roman"/>
          <w:szCs w:val="18"/>
        </w:rPr>
        <w:t xml:space="preserve"> </w:t>
      </w:r>
      <w:proofErr w:type="gramStart"/>
      <w:r w:rsidRPr="00DA4D19">
        <w:rPr>
          <w:rStyle w:val="FootnoteTextChar1"/>
          <w:rFonts w:ascii="Times New Roman" w:hAnsi="Times New Roman"/>
          <w:szCs w:val="18"/>
        </w:rPr>
        <w:t>4, 6, 23, 63 and A/68/290, paras.</w:t>
      </w:r>
      <w:proofErr w:type="gramEnd"/>
      <w:r w:rsidRPr="00DA4D19">
        <w:rPr>
          <w:rStyle w:val="FootnoteTextChar1"/>
          <w:rFonts w:ascii="Times New Roman" w:hAnsi="Times New Roman"/>
          <w:szCs w:val="18"/>
        </w:rPr>
        <w:t xml:space="preserve"> 52 and 54; European Court of Human Rights, </w:t>
      </w:r>
      <w:r w:rsidRPr="00DA4D19">
        <w:rPr>
          <w:i/>
          <w:szCs w:val="18"/>
        </w:rPr>
        <w:t>Women and Waves and others v. Portugal</w:t>
      </w:r>
      <w:r w:rsidRPr="00DA4D19">
        <w:rPr>
          <w:szCs w:val="18"/>
        </w:rPr>
        <w:t>, App. no 31276/05, (3 February 2009)</w:t>
      </w:r>
    </w:p>
  </w:footnote>
  <w:footnote w:id="138">
    <w:p w:rsidR="00A415B5" w:rsidRPr="00DA4D19" w:rsidRDefault="00A415B5" w:rsidP="005F5C96">
      <w:pPr>
        <w:pStyle w:val="FootnoteText"/>
        <w:ind w:hanging="141"/>
        <w:jc w:val="both"/>
        <w:rPr>
          <w:szCs w:val="18"/>
          <w:lang w:val="en-US"/>
        </w:rPr>
      </w:pPr>
      <w:r w:rsidRPr="00DA4D19">
        <w:rPr>
          <w:rStyle w:val="FootnoteReference"/>
          <w:szCs w:val="18"/>
        </w:rPr>
        <w:footnoteRef/>
      </w:r>
      <w:r w:rsidRPr="00DA4D19">
        <w:rPr>
          <w:szCs w:val="18"/>
        </w:rPr>
        <w:t xml:space="preserve"> African Union, “Maputo plan of action for the operationalization of the continental policy framework for sexual and reproductive health and rights 2007–2010”, (2006) (AU Doc. </w:t>
      </w:r>
      <w:proofErr w:type="spellStart"/>
      <w:r w:rsidRPr="00DA4D19">
        <w:rPr>
          <w:szCs w:val="18"/>
        </w:rPr>
        <w:t>Sp</w:t>
      </w:r>
      <w:proofErr w:type="spellEnd"/>
      <w:r w:rsidRPr="00DA4D19">
        <w:rPr>
          <w:szCs w:val="18"/>
        </w:rPr>
        <w:t>/MIN/CAMH/5(I)); “</w:t>
      </w:r>
      <w:r w:rsidRPr="00DA4D19">
        <w:rPr>
          <w:rStyle w:val="EndnoteReference1"/>
          <w:rFonts w:eastAsia="ScalaLancetPro;ＭＳ 明朝"/>
          <w:szCs w:val="18"/>
        </w:rPr>
        <w:t xml:space="preserve">Ministerial declaration: preventing through education. First meeting of Ministers of Health and Education to stop HIV and STIs in Latin America and the Caribbean”, (2008) available at http://www.unesco.org/new/fileadmin/MULTIMEDIA/FIELD/Santiago/pdf/declaration-preventing-education-english.pdf; </w:t>
      </w:r>
      <w:r w:rsidRPr="00DA4D19">
        <w:rPr>
          <w:szCs w:val="18"/>
        </w:rPr>
        <w:t>A majority of the States mentioned in their response to the WGDAW questionnaire that they had legal obligations to provide health education in school, including on the prevention of sexually transmitted diseases and the prevention of unwanted pregnancies.</w:t>
      </w:r>
    </w:p>
  </w:footnote>
  <w:footnote w:id="139">
    <w:p w:rsidR="00A415B5" w:rsidRPr="00DA4D19" w:rsidRDefault="00A415B5" w:rsidP="005F5C96">
      <w:pPr>
        <w:pStyle w:val="FootnoteText"/>
        <w:ind w:hanging="141"/>
        <w:jc w:val="both"/>
        <w:rPr>
          <w:szCs w:val="18"/>
          <w:lang w:val="es-ES_tradnl"/>
        </w:rPr>
      </w:pPr>
      <w:r w:rsidRPr="00DA4D19">
        <w:rPr>
          <w:rStyle w:val="FootnoteReference"/>
          <w:szCs w:val="18"/>
        </w:rPr>
        <w:footnoteRef/>
      </w:r>
      <w:r w:rsidRPr="00DA4D19">
        <w:rPr>
          <w:szCs w:val="18"/>
          <w:lang w:val="es-ES_tradnl"/>
        </w:rPr>
        <w:t xml:space="preserve"> </w:t>
      </w:r>
      <w:proofErr w:type="spellStart"/>
      <w:r w:rsidRPr="00DA4D19">
        <w:rPr>
          <w:szCs w:val="18"/>
          <w:lang w:val="es-ES_tradnl"/>
        </w:rPr>
        <w:t>See</w:t>
      </w:r>
      <w:proofErr w:type="spellEnd"/>
      <w:r w:rsidRPr="00DA4D19">
        <w:rPr>
          <w:szCs w:val="18"/>
          <w:lang w:val="es-ES_tradnl"/>
        </w:rPr>
        <w:t xml:space="preserve"> A/RES/70/137, para. 49 (u)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Pr="00FE4423" w:rsidRDefault="00A415B5">
    <w:pPr>
      <w:pStyle w:val="Header"/>
    </w:pPr>
    <w:r>
      <w:t>A/HRC/32/44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Pr="00FE4423" w:rsidRDefault="00A415B5" w:rsidP="00983B43">
    <w:pPr>
      <w:pStyle w:val="Header"/>
      <w:jc w:val="right"/>
    </w:pPr>
    <w:r>
      <w:t>A/HRC/32/44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5" w:rsidRDefault="00A41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951E06"/>
    <w:multiLevelType w:val="hybridMultilevel"/>
    <w:tmpl w:val="885A4930"/>
    <w:lvl w:ilvl="0" w:tplc="7F00959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9">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0">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D427E"/>
    <w:multiLevelType w:val="hybridMultilevel"/>
    <w:tmpl w:val="FD880C26"/>
    <w:lvl w:ilvl="0" w:tplc="8CCCE5A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6">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2">
    <w:nsid w:val="5C55661A"/>
    <w:multiLevelType w:val="hybridMultilevel"/>
    <w:tmpl w:val="885A4930"/>
    <w:lvl w:ilvl="0" w:tplc="7F00959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4">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7E10CF"/>
    <w:multiLevelType w:val="hybridMultilevel"/>
    <w:tmpl w:val="18083892"/>
    <w:lvl w:ilvl="0" w:tplc="18A86990">
      <w:start w:val="26"/>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6"/>
  </w:num>
  <w:num w:numId="4">
    <w:abstractNumId w:val="7"/>
  </w:num>
  <w:num w:numId="5">
    <w:abstractNumId w:val="1"/>
  </w:num>
  <w:num w:numId="6">
    <w:abstractNumId w:val="2"/>
  </w:num>
  <w:num w:numId="7">
    <w:abstractNumId w:val="25"/>
  </w:num>
  <w:num w:numId="8">
    <w:abstractNumId w:val="4"/>
  </w:num>
  <w:num w:numId="9">
    <w:abstractNumId w:val="9"/>
  </w:num>
  <w:num w:numId="10">
    <w:abstractNumId w:val="2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6"/>
  </w:num>
  <w:num w:numId="15">
    <w:abstractNumId w:val="27"/>
  </w:num>
  <w:num w:numId="16">
    <w:abstractNumId w:val="14"/>
  </w:num>
  <w:num w:numId="17">
    <w:abstractNumId w:val="15"/>
  </w:num>
  <w:num w:numId="18">
    <w:abstractNumId w:val="16"/>
  </w:num>
  <w:num w:numId="19">
    <w:abstractNumId w:val="24"/>
  </w:num>
  <w:num w:numId="20">
    <w:abstractNumId w:val="10"/>
  </w:num>
  <w:num w:numId="21">
    <w:abstractNumId w:val="23"/>
    <w:lvlOverride w:ilvl="0">
      <w:startOverride w:val="1"/>
    </w:lvlOverride>
  </w:num>
  <w:num w:numId="22">
    <w:abstractNumId w:val="8"/>
  </w:num>
  <w:num w:numId="23">
    <w:abstractNumId w:val="21"/>
  </w:num>
  <w:num w:numId="24">
    <w:abstractNumId w:val="12"/>
  </w:num>
  <w:num w:numId="25">
    <w:abstractNumId w:val="19"/>
  </w:num>
  <w:num w:numId="26">
    <w:abstractNumId w:val="29"/>
  </w:num>
  <w:num w:numId="27">
    <w:abstractNumId w:val="20"/>
  </w:num>
  <w:num w:numId="28">
    <w:abstractNumId w:val="18"/>
  </w:num>
  <w:num w:numId="29">
    <w:abstractNumId w:val="4"/>
    <w:lvlOverride w:ilvl="0">
      <w:startOverride w:val="1"/>
    </w:lvlOverride>
  </w:num>
  <w:num w:numId="30">
    <w:abstractNumId w:val="0"/>
  </w:num>
  <w:num w:numId="31">
    <w:abstractNumId w:val="5"/>
  </w:num>
  <w:num w:numId="32">
    <w:abstractNumId w:val="22"/>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2"/>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9F"/>
    <w:rsid w:val="00024FDD"/>
    <w:rsid w:val="000368E4"/>
    <w:rsid w:val="00086C5A"/>
    <w:rsid w:val="0009316F"/>
    <w:rsid w:val="000A445F"/>
    <w:rsid w:val="00130B9C"/>
    <w:rsid w:val="00132E6A"/>
    <w:rsid w:val="001B09D2"/>
    <w:rsid w:val="00204803"/>
    <w:rsid w:val="00207B86"/>
    <w:rsid w:val="00266744"/>
    <w:rsid w:val="00281BDC"/>
    <w:rsid w:val="002B5DAB"/>
    <w:rsid w:val="002C26A8"/>
    <w:rsid w:val="002E2A85"/>
    <w:rsid w:val="003266B0"/>
    <w:rsid w:val="003416DD"/>
    <w:rsid w:val="0034417B"/>
    <w:rsid w:val="00355432"/>
    <w:rsid w:val="00355F8B"/>
    <w:rsid w:val="003724BE"/>
    <w:rsid w:val="003B1E89"/>
    <w:rsid w:val="00405777"/>
    <w:rsid w:val="00410161"/>
    <w:rsid w:val="004B6478"/>
    <w:rsid w:val="004E21E2"/>
    <w:rsid w:val="005A77A8"/>
    <w:rsid w:val="005A7A40"/>
    <w:rsid w:val="005E009D"/>
    <w:rsid w:val="005E4577"/>
    <w:rsid w:val="005F5C96"/>
    <w:rsid w:val="00607F29"/>
    <w:rsid w:val="00641FAC"/>
    <w:rsid w:val="00684A08"/>
    <w:rsid w:val="006932CF"/>
    <w:rsid w:val="006A7F20"/>
    <w:rsid w:val="006B55CB"/>
    <w:rsid w:val="006D728A"/>
    <w:rsid w:val="007366FA"/>
    <w:rsid w:val="007553F1"/>
    <w:rsid w:val="00765F9B"/>
    <w:rsid w:val="007C0ECD"/>
    <w:rsid w:val="00800B8D"/>
    <w:rsid w:val="0081334E"/>
    <w:rsid w:val="00826524"/>
    <w:rsid w:val="00835100"/>
    <w:rsid w:val="008505EB"/>
    <w:rsid w:val="008752EF"/>
    <w:rsid w:val="00890BB4"/>
    <w:rsid w:val="00896FCD"/>
    <w:rsid w:val="008A119E"/>
    <w:rsid w:val="008A2046"/>
    <w:rsid w:val="008B16DA"/>
    <w:rsid w:val="008B24CD"/>
    <w:rsid w:val="00903CAB"/>
    <w:rsid w:val="009243E9"/>
    <w:rsid w:val="00952C04"/>
    <w:rsid w:val="00983B43"/>
    <w:rsid w:val="009A039D"/>
    <w:rsid w:val="009B03C8"/>
    <w:rsid w:val="009D4DD4"/>
    <w:rsid w:val="00A415B5"/>
    <w:rsid w:val="00A6452E"/>
    <w:rsid w:val="00A7285A"/>
    <w:rsid w:val="00AC77C5"/>
    <w:rsid w:val="00AF37B4"/>
    <w:rsid w:val="00B6200E"/>
    <w:rsid w:val="00B628F0"/>
    <w:rsid w:val="00B62E34"/>
    <w:rsid w:val="00B635F2"/>
    <w:rsid w:val="00BC22D9"/>
    <w:rsid w:val="00BD1BF3"/>
    <w:rsid w:val="00BF6247"/>
    <w:rsid w:val="00C2249C"/>
    <w:rsid w:val="00C64C2A"/>
    <w:rsid w:val="00C66D51"/>
    <w:rsid w:val="00C74484"/>
    <w:rsid w:val="00CA109F"/>
    <w:rsid w:val="00CA1D87"/>
    <w:rsid w:val="00CA44F9"/>
    <w:rsid w:val="00CB454B"/>
    <w:rsid w:val="00CB6517"/>
    <w:rsid w:val="00CC34FB"/>
    <w:rsid w:val="00CE155B"/>
    <w:rsid w:val="00CF6D22"/>
    <w:rsid w:val="00D41AA9"/>
    <w:rsid w:val="00DA4D19"/>
    <w:rsid w:val="00DD4C40"/>
    <w:rsid w:val="00DE64E1"/>
    <w:rsid w:val="00DF7CB6"/>
    <w:rsid w:val="00EA23B0"/>
    <w:rsid w:val="00ED53E8"/>
    <w:rsid w:val="00F14A90"/>
    <w:rsid w:val="00F55881"/>
    <w:rsid w:val="00F56A3D"/>
    <w:rsid w:val="00F71DFF"/>
    <w:rsid w:val="00F8040B"/>
    <w:rsid w:val="00F87FF3"/>
    <w:rsid w:val="00FE2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9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rsid w:val="00CA109F"/>
    <w:pPr>
      <w:spacing w:after="0" w:line="240" w:lineRule="auto"/>
      <w:ind w:right="0"/>
      <w:jc w:val="left"/>
      <w:outlineLvl w:val="0"/>
    </w:pPr>
  </w:style>
  <w:style w:type="paragraph" w:styleId="Heading2">
    <w:name w:val="heading 2"/>
    <w:basedOn w:val="Normal"/>
    <w:next w:val="Normal"/>
    <w:link w:val="Heading2Char"/>
    <w:uiPriority w:val="9"/>
    <w:qFormat/>
    <w:rsid w:val="00CA109F"/>
    <w:pPr>
      <w:spacing w:line="240" w:lineRule="auto"/>
      <w:outlineLvl w:val="1"/>
    </w:pPr>
  </w:style>
  <w:style w:type="paragraph" w:styleId="Heading3">
    <w:name w:val="heading 3"/>
    <w:basedOn w:val="Normal"/>
    <w:next w:val="Normal"/>
    <w:link w:val="Heading3Char"/>
    <w:qFormat/>
    <w:rsid w:val="00CA109F"/>
    <w:pPr>
      <w:spacing w:line="240" w:lineRule="auto"/>
      <w:outlineLvl w:val="2"/>
    </w:pPr>
  </w:style>
  <w:style w:type="paragraph" w:styleId="Heading4">
    <w:name w:val="heading 4"/>
    <w:basedOn w:val="Normal"/>
    <w:next w:val="Normal"/>
    <w:link w:val="Heading4Char"/>
    <w:qFormat/>
    <w:rsid w:val="00CA109F"/>
    <w:pPr>
      <w:spacing w:line="240" w:lineRule="auto"/>
      <w:outlineLvl w:val="3"/>
    </w:pPr>
  </w:style>
  <w:style w:type="paragraph" w:styleId="Heading5">
    <w:name w:val="heading 5"/>
    <w:basedOn w:val="Normal"/>
    <w:next w:val="Normal"/>
    <w:link w:val="Heading5Char"/>
    <w:qFormat/>
    <w:rsid w:val="00CA109F"/>
    <w:pPr>
      <w:spacing w:line="240" w:lineRule="auto"/>
      <w:outlineLvl w:val="4"/>
    </w:pPr>
  </w:style>
  <w:style w:type="paragraph" w:styleId="Heading6">
    <w:name w:val="heading 6"/>
    <w:basedOn w:val="Normal"/>
    <w:next w:val="Normal"/>
    <w:link w:val="Heading6Char"/>
    <w:qFormat/>
    <w:rsid w:val="00CA109F"/>
    <w:pPr>
      <w:spacing w:line="240" w:lineRule="auto"/>
      <w:outlineLvl w:val="5"/>
    </w:pPr>
  </w:style>
  <w:style w:type="paragraph" w:styleId="Heading7">
    <w:name w:val="heading 7"/>
    <w:basedOn w:val="Normal"/>
    <w:next w:val="Normal"/>
    <w:link w:val="Heading7Char"/>
    <w:qFormat/>
    <w:rsid w:val="00CA109F"/>
    <w:pPr>
      <w:spacing w:line="240" w:lineRule="auto"/>
      <w:outlineLvl w:val="6"/>
    </w:pPr>
  </w:style>
  <w:style w:type="paragraph" w:styleId="Heading8">
    <w:name w:val="heading 8"/>
    <w:basedOn w:val="Normal"/>
    <w:next w:val="Normal"/>
    <w:link w:val="Heading8Char"/>
    <w:qFormat/>
    <w:rsid w:val="00CA109F"/>
    <w:pPr>
      <w:spacing w:line="240" w:lineRule="auto"/>
      <w:outlineLvl w:val="7"/>
    </w:pPr>
  </w:style>
  <w:style w:type="paragraph" w:styleId="Heading9">
    <w:name w:val="heading 9"/>
    <w:basedOn w:val="Normal"/>
    <w:next w:val="Normal"/>
    <w:link w:val="Heading9Char"/>
    <w:qFormat/>
    <w:rsid w:val="00CA109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CA109F"/>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CA109F"/>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CA109F"/>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CA109F"/>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CA109F"/>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CA109F"/>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CA109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CA109F"/>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CA109F"/>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CA109F"/>
    <w:pPr>
      <w:spacing w:after="120"/>
      <w:ind w:left="1134" w:right="1134"/>
      <w:jc w:val="both"/>
    </w:pPr>
  </w:style>
  <w:style w:type="paragraph" w:customStyle="1" w:styleId="HMG">
    <w:name w:val="_ H __M_G"/>
    <w:basedOn w:val="Normal"/>
    <w:next w:val="Normal"/>
    <w:rsid w:val="00CA10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A109F"/>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A109F"/>
    <w:rPr>
      <w:rFonts w:ascii="Times New Roman" w:hAnsi="Times New Roman"/>
      <w:sz w:val="18"/>
      <w:vertAlign w:val="superscript"/>
    </w:rPr>
  </w:style>
  <w:style w:type="character" w:styleId="EndnoteReference">
    <w:name w:val="endnote reference"/>
    <w:aliases w:val="1_G"/>
    <w:rsid w:val="00CA109F"/>
    <w:rPr>
      <w:rFonts w:ascii="Times New Roman" w:hAnsi="Times New Roman"/>
      <w:sz w:val="18"/>
      <w:vertAlign w:val="superscript"/>
    </w:rPr>
  </w:style>
  <w:style w:type="paragraph" w:styleId="Header">
    <w:name w:val="header"/>
    <w:aliases w:val="6_G"/>
    <w:basedOn w:val="Normal"/>
    <w:link w:val="HeaderChar"/>
    <w:uiPriority w:val="99"/>
    <w:rsid w:val="00CA10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A109F"/>
    <w:rPr>
      <w:rFonts w:ascii="Times New Roman" w:eastAsia="Times New Roman" w:hAnsi="Times New Roman" w:cs="Times New Roman"/>
      <w:b/>
      <w:sz w:val="18"/>
      <w:szCs w:val="20"/>
      <w:lang w:val="en-GB"/>
    </w:rPr>
  </w:style>
  <w:style w:type="table" w:styleId="TableGrid">
    <w:name w:val="Table Grid"/>
    <w:basedOn w:val="TableNormal"/>
    <w:rsid w:val="00CA109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A109F"/>
    <w:rPr>
      <w:color w:val="auto"/>
      <w:u w:val="none"/>
    </w:rPr>
  </w:style>
  <w:style w:type="character" w:styleId="FollowedHyperlink">
    <w:name w:val="FollowedHyperlink"/>
    <w:uiPriority w:val="99"/>
    <w:semiHidden/>
    <w:rsid w:val="00CA109F"/>
    <w:rPr>
      <w:color w:val="auto"/>
      <w:u w:val="none"/>
    </w:rPr>
  </w:style>
  <w:style w:type="paragraph" w:customStyle="1" w:styleId="SMG">
    <w:name w:val="__S_M_G"/>
    <w:basedOn w:val="Normal"/>
    <w:next w:val="Normal"/>
    <w:rsid w:val="00CA109F"/>
    <w:pPr>
      <w:keepNext/>
      <w:keepLines/>
      <w:spacing w:before="240" w:after="240" w:line="420" w:lineRule="exact"/>
      <w:ind w:left="1134" w:right="1134"/>
    </w:pPr>
    <w:rPr>
      <w:b/>
      <w:sz w:val="40"/>
    </w:rPr>
  </w:style>
  <w:style w:type="paragraph" w:customStyle="1" w:styleId="SLG">
    <w:name w:val="__S_L_G"/>
    <w:basedOn w:val="Normal"/>
    <w:next w:val="Normal"/>
    <w:rsid w:val="00CA109F"/>
    <w:pPr>
      <w:keepNext/>
      <w:keepLines/>
      <w:spacing w:before="240" w:after="240" w:line="580" w:lineRule="exact"/>
      <w:ind w:left="1134" w:right="1134"/>
    </w:pPr>
    <w:rPr>
      <w:b/>
      <w:sz w:val="56"/>
    </w:rPr>
  </w:style>
  <w:style w:type="paragraph" w:customStyle="1" w:styleId="SSG">
    <w:name w:val="__S_S_G"/>
    <w:basedOn w:val="Normal"/>
    <w:next w:val="Normal"/>
    <w:rsid w:val="00CA109F"/>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ADB"/>
    <w:basedOn w:val="Normal"/>
    <w:link w:val="FootnoteTextChar"/>
    <w:qFormat/>
    <w:rsid w:val="00CA109F"/>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A109F"/>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CA109F"/>
  </w:style>
  <w:style w:type="character" w:customStyle="1" w:styleId="EndnoteTextChar">
    <w:name w:val="Endnote Text Char"/>
    <w:aliases w:val="2_G Char"/>
    <w:basedOn w:val="DefaultParagraphFont"/>
    <w:link w:val="EndnoteText"/>
    <w:rsid w:val="00CA109F"/>
    <w:rPr>
      <w:rFonts w:ascii="Times New Roman" w:eastAsia="Times New Roman" w:hAnsi="Times New Roman" w:cs="Times New Roman"/>
      <w:sz w:val="18"/>
      <w:szCs w:val="20"/>
      <w:lang w:val="en-GB"/>
    </w:rPr>
  </w:style>
  <w:style w:type="character" w:styleId="PageNumber">
    <w:name w:val="page number"/>
    <w:aliases w:val="7_G"/>
    <w:rsid w:val="00CA109F"/>
    <w:rPr>
      <w:rFonts w:ascii="Times New Roman" w:hAnsi="Times New Roman"/>
      <w:b/>
      <w:sz w:val="18"/>
    </w:rPr>
  </w:style>
  <w:style w:type="paragraph" w:customStyle="1" w:styleId="XLargeG">
    <w:name w:val="__XLarge_G"/>
    <w:basedOn w:val="Normal"/>
    <w:next w:val="Normal"/>
    <w:rsid w:val="00CA109F"/>
    <w:pPr>
      <w:keepNext/>
      <w:keepLines/>
      <w:spacing w:before="240" w:after="240" w:line="420" w:lineRule="exact"/>
      <w:ind w:left="1134" w:right="1134"/>
    </w:pPr>
    <w:rPr>
      <w:b/>
      <w:sz w:val="40"/>
    </w:rPr>
  </w:style>
  <w:style w:type="paragraph" w:customStyle="1" w:styleId="Bullet1G">
    <w:name w:val="_Bullet 1_G"/>
    <w:basedOn w:val="Normal"/>
    <w:rsid w:val="00CA109F"/>
    <w:pPr>
      <w:numPr>
        <w:numId w:val="6"/>
      </w:numPr>
      <w:spacing w:after="120"/>
      <w:ind w:right="1134"/>
      <w:jc w:val="both"/>
    </w:pPr>
  </w:style>
  <w:style w:type="paragraph" w:styleId="Footer">
    <w:name w:val="footer"/>
    <w:aliases w:val="3_G"/>
    <w:basedOn w:val="Normal"/>
    <w:link w:val="FooterChar"/>
    <w:uiPriority w:val="99"/>
    <w:rsid w:val="00CA109F"/>
    <w:pPr>
      <w:spacing w:line="240" w:lineRule="auto"/>
    </w:pPr>
    <w:rPr>
      <w:sz w:val="16"/>
    </w:rPr>
  </w:style>
  <w:style w:type="character" w:customStyle="1" w:styleId="FooterChar">
    <w:name w:val="Footer Char"/>
    <w:aliases w:val="3_G Char"/>
    <w:basedOn w:val="DefaultParagraphFont"/>
    <w:link w:val="Footer"/>
    <w:uiPriority w:val="99"/>
    <w:rsid w:val="00CA109F"/>
    <w:rPr>
      <w:rFonts w:ascii="Times New Roman" w:eastAsia="Times New Roman" w:hAnsi="Times New Roman" w:cs="Times New Roman"/>
      <w:sz w:val="16"/>
      <w:szCs w:val="20"/>
      <w:lang w:val="en-GB"/>
    </w:rPr>
  </w:style>
  <w:style w:type="paragraph" w:customStyle="1" w:styleId="Bullet2G">
    <w:name w:val="_Bullet 2_G"/>
    <w:basedOn w:val="Normal"/>
    <w:rsid w:val="00CA109F"/>
    <w:pPr>
      <w:numPr>
        <w:numId w:val="7"/>
      </w:numPr>
      <w:spacing w:after="120"/>
      <w:ind w:right="1134"/>
      <w:jc w:val="both"/>
    </w:pPr>
  </w:style>
  <w:style w:type="paragraph" w:customStyle="1" w:styleId="H1G">
    <w:name w:val="_ H_1_G"/>
    <w:basedOn w:val="Normal"/>
    <w:next w:val="Normal"/>
    <w:rsid w:val="00CA10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A10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10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109F"/>
    <w:pPr>
      <w:keepNext/>
      <w:keepLines/>
      <w:tabs>
        <w:tab w:val="right" w:pos="851"/>
      </w:tabs>
      <w:spacing w:before="240" w:after="120" w:line="240" w:lineRule="exact"/>
      <w:ind w:left="1134" w:right="1134" w:hanging="1134"/>
    </w:pPr>
  </w:style>
  <w:style w:type="paragraph" w:customStyle="1" w:styleId="Body1">
    <w:name w:val="Body 1"/>
    <w:rsid w:val="00CA109F"/>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numbering" w:customStyle="1" w:styleId="NoList1">
    <w:name w:val="No List1"/>
    <w:next w:val="NoList"/>
    <w:uiPriority w:val="99"/>
    <w:semiHidden/>
    <w:unhideWhenUsed/>
    <w:rsid w:val="00CA109F"/>
  </w:style>
  <w:style w:type="paragraph" w:customStyle="1" w:styleId="MediumList2-Accent41">
    <w:name w:val="Medium List 2 - Accent 41"/>
    <w:basedOn w:val="Normal"/>
    <w:uiPriority w:val="34"/>
    <w:qFormat/>
    <w:rsid w:val="00CA109F"/>
    <w:pPr>
      <w:suppressAutoHyphens w:val="0"/>
      <w:spacing w:after="200" w:line="276" w:lineRule="auto"/>
      <w:ind w:left="720"/>
      <w:contextualSpacing/>
    </w:pPr>
    <w:rPr>
      <w:rFonts w:ascii="Cambria" w:eastAsia="Cambria" w:hAnsi="Cambria"/>
      <w:sz w:val="22"/>
      <w:szCs w:val="22"/>
      <w:lang w:val="en-CA"/>
    </w:rPr>
  </w:style>
  <w:style w:type="character" w:styleId="CommentReference">
    <w:name w:val="annotation reference"/>
    <w:uiPriority w:val="99"/>
    <w:unhideWhenUsed/>
    <w:rsid w:val="00CA109F"/>
    <w:rPr>
      <w:sz w:val="16"/>
      <w:szCs w:val="16"/>
    </w:rPr>
  </w:style>
  <w:style w:type="paragraph" w:styleId="CommentText">
    <w:name w:val="annotation text"/>
    <w:basedOn w:val="Normal"/>
    <w:link w:val="CommentTextChar"/>
    <w:uiPriority w:val="99"/>
    <w:unhideWhenUsed/>
    <w:rsid w:val="00CA109F"/>
    <w:pPr>
      <w:suppressAutoHyphens w:val="0"/>
      <w:spacing w:after="200" w:line="240" w:lineRule="auto"/>
    </w:pPr>
    <w:rPr>
      <w:rFonts w:ascii="Cambria" w:eastAsia="Cambria" w:hAnsi="Cambria"/>
      <w:lang w:val="en-CA"/>
    </w:rPr>
  </w:style>
  <w:style w:type="character" w:customStyle="1" w:styleId="CommentTextChar">
    <w:name w:val="Comment Text Char"/>
    <w:basedOn w:val="DefaultParagraphFont"/>
    <w:link w:val="CommentText"/>
    <w:uiPriority w:val="99"/>
    <w:rsid w:val="00CA109F"/>
    <w:rPr>
      <w:rFonts w:ascii="Cambria" w:eastAsia="Cambria" w:hAnsi="Cambria" w:cs="Times New Roman"/>
      <w:sz w:val="20"/>
      <w:szCs w:val="20"/>
      <w:lang w:val="en-CA"/>
    </w:rPr>
  </w:style>
  <w:style w:type="paragraph" w:customStyle="1" w:styleId="TOC11">
    <w:name w:val="TOC 11"/>
    <w:basedOn w:val="Normal"/>
    <w:next w:val="Normal"/>
    <w:autoRedefine/>
    <w:uiPriority w:val="39"/>
    <w:unhideWhenUsed/>
    <w:rsid w:val="00CA109F"/>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CA109F"/>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CA109F"/>
    <w:pPr>
      <w:suppressAutoHyphens w:val="0"/>
      <w:spacing w:line="240" w:lineRule="auto"/>
    </w:pPr>
    <w:rPr>
      <w:rFonts w:ascii="Tahoma" w:eastAsia="Cambria" w:hAnsi="Tahoma" w:cs="Tahoma"/>
      <w:sz w:val="16"/>
      <w:szCs w:val="16"/>
      <w:lang w:val="en-CA"/>
    </w:rPr>
  </w:style>
  <w:style w:type="character" w:customStyle="1" w:styleId="BalloonTextChar">
    <w:name w:val="Balloon Text Char"/>
    <w:basedOn w:val="DefaultParagraphFont"/>
    <w:link w:val="BalloonText"/>
    <w:uiPriority w:val="99"/>
    <w:rsid w:val="00CA109F"/>
    <w:rPr>
      <w:rFonts w:ascii="Tahoma" w:eastAsia="Cambria" w:hAnsi="Tahoma" w:cs="Tahoma"/>
      <w:sz w:val="16"/>
      <w:szCs w:val="16"/>
      <w:lang w:val="en-CA"/>
    </w:rPr>
  </w:style>
  <w:style w:type="paragraph" w:customStyle="1" w:styleId="Revision1">
    <w:name w:val="Revision1"/>
    <w:next w:val="MediumList1-Accent41"/>
    <w:hidden/>
    <w:uiPriority w:val="99"/>
    <w:semiHidden/>
    <w:rsid w:val="00CA109F"/>
    <w:pPr>
      <w:spacing w:after="0" w:line="240" w:lineRule="auto"/>
    </w:pPr>
    <w:rPr>
      <w:rFonts w:ascii="Cambria" w:eastAsia="Cambria" w:hAnsi="Cambria" w:cs="Times New Roman"/>
      <w:lang w:val="en-CA"/>
    </w:rPr>
  </w:style>
  <w:style w:type="paragraph" w:styleId="CommentSubject">
    <w:name w:val="annotation subject"/>
    <w:basedOn w:val="CommentText"/>
    <w:next w:val="CommentText"/>
    <w:link w:val="CommentSubjectChar"/>
    <w:uiPriority w:val="99"/>
    <w:unhideWhenUsed/>
    <w:rsid w:val="00CA109F"/>
    <w:rPr>
      <w:b/>
      <w:bCs/>
    </w:rPr>
  </w:style>
  <w:style w:type="character" w:customStyle="1" w:styleId="CommentSubjectChar">
    <w:name w:val="Comment Subject Char"/>
    <w:basedOn w:val="CommentTextChar"/>
    <w:link w:val="CommentSubject"/>
    <w:uiPriority w:val="99"/>
    <w:rsid w:val="00CA109F"/>
    <w:rPr>
      <w:rFonts w:ascii="Cambria" w:eastAsia="Cambria" w:hAnsi="Cambria" w:cs="Times New Roman"/>
      <w:b/>
      <w:bCs/>
      <w:sz w:val="20"/>
      <w:szCs w:val="20"/>
      <w:lang w:val="en-CA"/>
    </w:rPr>
  </w:style>
  <w:style w:type="paragraph" w:customStyle="1" w:styleId="NoSpacing1">
    <w:name w:val="No Spacing1"/>
    <w:next w:val="ColorfulList-Accent21"/>
    <w:uiPriority w:val="1"/>
    <w:qFormat/>
    <w:rsid w:val="00CA109F"/>
    <w:pPr>
      <w:spacing w:after="0" w:line="240" w:lineRule="auto"/>
    </w:pPr>
    <w:rPr>
      <w:rFonts w:ascii="Cambria" w:eastAsia="Cambria" w:hAnsi="Cambria" w:cs="Times New Roman"/>
      <w:lang w:val="en-CA"/>
    </w:rPr>
  </w:style>
  <w:style w:type="character" w:styleId="Emphasis">
    <w:name w:val="Emphasis"/>
    <w:uiPriority w:val="20"/>
    <w:qFormat/>
    <w:rsid w:val="00CA109F"/>
    <w:rPr>
      <w:i/>
      <w:iCs/>
    </w:rPr>
  </w:style>
  <w:style w:type="character" w:customStyle="1" w:styleId="apple-converted-space">
    <w:name w:val="apple-converted-space"/>
    <w:rsid w:val="00CA109F"/>
  </w:style>
  <w:style w:type="paragraph" w:customStyle="1" w:styleId="TOCHeading1">
    <w:name w:val="TOC Heading1"/>
    <w:basedOn w:val="Heading1"/>
    <w:next w:val="Normal"/>
    <w:uiPriority w:val="39"/>
    <w:unhideWhenUsed/>
    <w:qFormat/>
    <w:rsid w:val="00CA109F"/>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A109F"/>
    <w:pPr>
      <w:suppressAutoHyphens w:val="0"/>
      <w:spacing w:after="160" w:line="240" w:lineRule="exact"/>
      <w:jc w:val="both"/>
    </w:pPr>
    <w:rPr>
      <w:rFonts w:eastAsiaTheme="minorHAnsi" w:cstheme="minorBidi"/>
      <w:sz w:val="18"/>
      <w:szCs w:val="22"/>
      <w:vertAlign w:val="superscript"/>
      <w:lang w:val="en-US"/>
    </w:rPr>
  </w:style>
  <w:style w:type="paragraph" w:customStyle="1" w:styleId="MediumList1-Accent41">
    <w:name w:val="Medium List 1 - Accent 41"/>
    <w:hidden/>
    <w:uiPriority w:val="99"/>
    <w:semiHidden/>
    <w:rsid w:val="00CA109F"/>
    <w:pPr>
      <w:spacing w:after="0" w:line="240" w:lineRule="auto"/>
    </w:pPr>
    <w:rPr>
      <w:rFonts w:ascii="Times New Roman" w:eastAsia="Times New Roman" w:hAnsi="Times New Roman" w:cs="Times New Roman"/>
      <w:sz w:val="20"/>
      <w:szCs w:val="20"/>
      <w:lang w:val="en-GB"/>
    </w:rPr>
  </w:style>
  <w:style w:type="paragraph" w:customStyle="1" w:styleId="ColorfulList-Accent21">
    <w:name w:val="Colorful List - Accent 21"/>
    <w:uiPriority w:val="1"/>
    <w:qFormat/>
    <w:rsid w:val="00CA109F"/>
    <w:pPr>
      <w:suppressAutoHyphens/>
      <w:spacing w:after="0" w:line="240" w:lineRule="auto"/>
    </w:pPr>
    <w:rPr>
      <w:rFonts w:ascii="Times New Roman" w:eastAsia="Times New Roman" w:hAnsi="Times New Roman" w:cs="Times New Roman"/>
      <w:sz w:val="20"/>
      <w:szCs w:val="20"/>
      <w:lang w:val="en-GB"/>
    </w:rPr>
  </w:style>
  <w:style w:type="paragraph" w:customStyle="1" w:styleId="DarkList-Accent31">
    <w:name w:val="Dark List - Accent 3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LightList-Accent31">
    <w:name w:val="Light List - Accent 3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MediumList2-Accent21">
    <w:name w:val="Medium List 2 - Accent 2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ColorfulShading-Accent11">
    <w:name w:val="Colorful Shading - Accent 11"/>
    <w:hidden/>
    <w:uiPriority w:val="71"/>
    <w:rsid w:val="00CA109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A109F"/>
    <w:pPr>
      <w:ind w:left="720"/>
      <w:contextualSpacing/>
    </w:pPr>
  </w:style>
  <w:style w:type="character" w:customStyle="1" w:styleId="SingleTxtGChar">
    <w:name w:val="_ Single Txt_G Char"/>
    <w:basedOn w:val="DefaultParagraphFont"/>
    <w:link w:val="SingleTxtG"/>
    <w:rsid w:val="00CA109F"/>
    <w:rPr>
      <w:rFonts w:ascii="Times New Roman" w:eastAsia="Times New Roman" w:hAnsi="Times New Roman" w:cs="Times New Roman"/>
      <w:sz w:val="20"/>
      <w:szCs w:val="20"/>
      <w:lang w:val="en-GB"/>
    </w:rPr>
  </w:style>
  <w:style w:type="paragraph" w:styleId="Revision">
    <w:name w:val="Revision"/>
    <w:hidden/>
    <w:uiPriority w:val="99"/>
    <w:semiHidden/>
    <w:rsid w:val="00CA109F"/>
    <w:pPr>
      <w:spacing w:after="0" w:line="240" w:lineRule="auto"/>
    </w:pPr>
    <w:rPr>
      <w:rFonts w:ascii="Times New Roman" w:eastAsia="Times New Roman" w:hAnsi="Times New Roman" w:cs="Times New Roman"/>
      <w:sz w:val="20"/>
      <w:szCs w:val="20"/>
      <w:lang w:val="en-GB"/>
    </w:rPr>
  </w:style>
  <w:style w:type="character" w:customStyle="1" w:styleId="Caractresdenotedebasdepage">
    <w:name w:val="Caractères de note de bas de page"/>
    <w:rsid w:val="00684A08"/>
  </w:style>
  <w:style w:type="paragraph" w:styleId="HTMLPreformatted">
    <w:name w:val="HTML Preformatted"/>
    <w:basedOn w:val="Normal"/>
    <w:link w:val="HTMLPreformattedChar"/>
    <w:uiPriority w:val="99"/>
    <w:unhideWhenUsed/>
    <w:rsid w:val="0068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684A08"/>
    <w:rPr>
      <w:rFonts w:ascii="Courier New" w:eastAsia="Times New Roman" w:hAnsi="Courier New" w:cs="Courier New"/>
      <w:sz w:val="20"/>
      <w:szCs w:val="20"/>
      <w:lang w:val="en-GB" w:eastAsia="en-GB"/>
    </w:rPr>
  </w:style>
  <w:style w:type="character" w:customStyle="1" w:styleId="WW-DefaultParagraphFont1">
    <w:name w:val="WW-Default Paragraph Font1"/>
    <w:rsid w:val="00684A08"/>
  </w:style>
  <w:style w:type="character" w:customStyle="1" w:styleId="FootnoteTextChar1">
    <w:name w:val="Footnote Text Char1"/>
    <w:aliases w:val="5_G Char1,Text pozn. pod čarou_martin_ang Char1,Schriftart: 9 pt Char1,Schriftart: 10 pt Char1,Schriftart: 8 pt Char1,Char Char1,Char Char Char Char2,Char Char Char Char Char1,single space Char1,footnote text Char1,FOOTNOTES Char1"/>
    <w:semiHidden/>
    <w:rsid w:val="00684A08"/>
    <w:rPr>
      <w:rFonts w:ascii="Cambria" w:eastAsia="Cambria" w:hAnsi="Cambria"/>
      <w:lang w:val="en-US" w:eastAsia="en-US"/>
    </w:rPr>
  </w:style>
  <w:style w:type="character" w:customStyle="1" w:styleId="EndnoteReference1">
    <w:name w:val="Endnote Reference1"/>
    <w:rsid w:val="00684A08"/>
  </w:style>
  <w:style w:type="character" w:customStyle="1" w:styleId="A6">
    <w:name w:val="A6"/>
    <w:rsid w:val="00A6452E"/>
  </w:style>
  <w:style w:type="character" w:customStyle="1" w:styleId="WW-DefaultParagraphFont">
    <w:name w:val="WW-Default Paragraph Font"/>
    <w:rsid w:val="00F87FF3"/>
  </w:style>
  <w:style w:type="paragraph" w:styleId="NormalWeb">
    <w:name w:val="Normal (Web)"/>
    <w:basedOn w:val="Normal"/>
    <w:uiPriority w:val="99"/>
    <w:unhideWhenUsed/>
    <w:rsid w:val="0034417B"/>
    <w:pPr>
      <w:suppressAutoHyphens w:val="0"/>
      <w:spacing w:before="100" w:beforeAutospacing="1" w:after="100" w:afterAutospacing="1" w:line="240" w:lineRule="auto"/>
    </w:pPr>
    <w:rPr>
      <w:rFonts w:ascii="Times" w:eastAsiaTheme="minorHAnsi" w:hAnsi="Times"/>
      <w:lang w:val="en-US"/>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rsid w:val="008B24CD"/>
    <w:pPr>
      <w:suppressAutoHyphens w:val="0"/>
      <w:spacing w:after="160" w:line="240" w:lineRule="exact"/>
    </w:pPr>
    <w:rPr>
      <w:rFonts w:asciiTheme="minorHAnsi" w:eastAsiaTheme="minorEastAsia" w:hAnsiTheme="minorHAnsi" w:cstheme="minorBidi"/>
      <w:sz w:val="24"/>
      <w:szCs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9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rsid w:val="00CA109F"/>
    <w:pPr>
      <w:spacing w:after="0" w:line="240" w:lineRule="auto"/>
      <w:ind w:right="0"/>
      <w:jc w:val="left"/>
      <w:outlineLvl w:val="0"/>
    </w:pPr>
  </w:style>
  <w:style w:type="paragraph" w:styleId="Heading2">
    <w:name w:val="heading 2"/>
    <w:basedOn w:val="Normal"/>
    <w:next w:val="Normal"/>
    <w:link w:val="Heading2Char"/>
    <w:uiPriority w:val="9"/>
    <w:qFormat/>
    <w:rsid w:val="00CA109F"/>
    <w:pPr>
      <w:spacing w:line="240" w:lineRule="auto"/>
      <w:outlineLvl w:val="1"/>
    </w:pPr>
  </w:style>
  <w:style w:type="paragraph" w:styleId="Heading3">
    <w:name w:val="heading 3"/>
    <w:basedOn w:val="Normal"/>
    <w:next w:val="Normal"/>
    <w:link w:val="Heading3Char"/>
    <w:qFormat/>
    <w:rsid w:val="00CA109F"/>
    <w:pPr>
      <w:spacing w:line="240" w:lineRule="auto"/>
      <w:outlineLvl w:val="2"/>
    </w:pPr>
  </w:style>
  <w:style w:type="paragraph" w:styleId="Heading4">
    <w:name w:val="heading 4"/>
    <w:basedOn w:val="Normal"/>
    <w:next w:val="Normal"/>
    <w:link w:val="Heading4Char"/>
    <w:qFormat/>
    <w:rsid w:val="00CA109F"/>
    <w:pPr>
      <w:spacing w:line="240" w:lineRule="auto"/>
      <w:outlineLvl w:val="3"/>
    </w:pPr>
  </w:style>
  <w:style w:type="paragraph" w:styleId="Heading5">
    <w:name w:val="heading 5"/>
    <w:basedOn w:val="Normal"/>
    <w:next w:val="Normal"/>
    <w:link w:val="Heading5Char"/>
    <w:qFormat/>
    <w:rsid w:val="00CA109F"/>
    <w:pPr>
      <w:spacing w:line="240" w:lineRule="auto"/>
      <w:outlineLvl w:val="4"/>
    </w:pPr>
  </w:style>
  <w:style w:type="paragraph" w:styleId="Heading6">
    <w:name w:val="heading 6"/>
    <w:basedOn w:val="Normal"/>
    <w:next w:val="Normal"/>
    <w:link w:val="Heading6Char"/>
    <w:qFormat/>
    <w:rsid w:val="00CA109F"/>
    <w:pPr>
      <w:spacing w:line="240" w:lineRule="auto"/>
      <w:outlineLvl w:val="5"/>
    </w:pPr>
  </w:style>
  <w:style w:type="paragraph" w:styleId="Heading7">
    <w:name w:val="heading 7"/>
    <w:basedOn w:val="Normal"/>
    <w:next w:val="Normal"/>
    <w:link w:val="Heading7Char"/>
    <w:qFormat/>
    <w:rsid w:val="00CA109F"/>
    <w:pPr>
      <w:spacing w:line="240" w:lineRule="auto"/>
      <w:outlineLvl w:val="6"/>
    </w:pPr>
  </w:style>
  <w:style w:type="paragraph" w:styleId="Heading8">
    <w:name w:val="heading 8"/>
    <w:basedOn w:val="Normal"/>
    <w:next w:val="Normal"/>
    <w:link w:val="Heading8Char"/>
    <w:qFormat/>
    <w:rsid w:val="00CA109F"/>
    <w:pPr>
      <w:spacing w:line="240" w:lineRule="auto"/>
      <w:outlineLvl w:val="7"/>
    </w:pPr>
  </w:style>
  <w:style w:type="paragraph" w:styleId="Heading9">
    <w:name w:val="heading 9"/>
    <w:basedOn w:val="Normal"/>
    <w:next w:val="Normal"/>
    <w:link w:val="Heading9Char"/>
    <w:qFormat/>
    <w:rsid w:val="00CA109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CA109F"/>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CA109F"/>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CA109F"/>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CA109F"/>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CA109F"/>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CA109F"/>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CA109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CA109F"/>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CA109F"/>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CA109F"/>
    <w:pPr>
      <w:spacing w:after="120"/>
      <w:ind w:left="1134" w:right="1134"/>
      <w:jc w:val="both"/>
    </w:pPr>
  </w:style>
  <w:style w:type="paragraph" w:customStyle="1" w:styleId="HMG">
    <w:name w:val="_ H __M_G"/>
    <w:basedOn w:val="Normal"/>
    <w:next w:val="Normal"/>
    <w:rsid w:val="00CA10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A109F"/>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A109F"/>
    <w:rPr>
      <w:rFonts w:ascii="Times New Roman" w:hAnsi="Times New Roman"/>
      <w:sz w:val="18"/>
      <w:vertAlign w:val="superscript"/>
    </w:rPr>
  </w:style>
  <w:style w:type="character" w:styleId="EndnoteReference">
    <w:name w:val="endnote reference"/>
    <w:aliases w:val="1_G"/>
    <w:rsid w:val="00CA109F"/>
    <w:rPr>
      <w:rFonts w:ascii="Times New Roman" w:hAnsi="Times New Roman"/>
      <w:sz w:val="18"/>
      <w:vertAlign w:val="superscript"/>
    </w:rPr>
  </w:style>
  <w:style w:type="paragraph" w:styleId="Header">
    <w:name w:val="header"/>
    <w:aliases w:val="6_G"/>
    <w:basedOn w:val="Normal"/>
    <w:link w:val="HeaderChar"/>
    <w:uiPriority w:val="99"/>
    <w:rsid w:val="00CA10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A109F"/>
    <w:rPr>
      <w:rFonts w:ascii="Times New Roman" w:eastAsia="Times New Roman" w:hAnsi="Times New Roman" w:cs="Times New Roman"/>
      <w:b/>
      <w:sz w:val="18"/>
      <w:szCs w:val="20"/>
      <w:lang w:val="en-GB"/>
    </w:rPr>
  </w:style>
  <w:style w:type="table" w:styleId="TableGrid">
    <w:name w:val="Table Grid"/>
    <w:basedOn w:val="TableNormal"/>
    <w:rsid w:val="00CA109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A109F"/>
    <w:rPr>
      <w:color w:val="auto"/>
      <w:u w:val="none"/>
    </w:rPr>
  </w:style>
  <w:style w:type="character" w:styleId="FollowedHyperlink">
    <w:name w:val="FollowedHyperlink"/>
    <w:uiPriority w:val="99"/>
    <w:semiHidden/>
    <w:rsid w:val="00CA109F"/>
    <w:rPr>
      <w:color w:val="auto"/>
      <w:u w:val="none"/>
    </w:rPr>
  </w:style>
  <w:style w:type="paragraph" w:customStyle="1" w:styleId="SMG">
    <w:name w:val="__S_M_G"/>
    <w:basedOn w:val="Normal"/>
    <w:next w:val="Normal"/>
    <w:rsid w:val="00CA109F"/>
    <w:pPr>
      <w:keepNext/>
      <w:keepLines/>
      <w:spacing w:before="240" w:after="240" w:line="420" w:lineRule="exact"/>
      <w:ind w:left="1134" w:right="1134"/>
    </w:pPr>
    <w:rPr>
      <w:b/>
      <w:sz w:val="40"/>
    </w:rPr>
  </w:style>
  <w:style w:type="paragraph" w:customStyle="1" w:styleId="SLG">
    <w:name w:val="__S_L_G"/>
    <w:basedOn w:val="Normal"/>
    <w:next w:val="Normal"/>
    <w:rsid w:val="00CA109F"/>
    <w:pPr>
      <w:keepNext/>
      <w:keepLines/>
      <w:spacing w:before="240" w:after="240" w:line="580" w:lineRule="exact"/>
      <w:ind w:left="1134" w:right="1134"/>
    </w:pPr>
    <w:rPr>
      <w:b/>
      <w:sz w:val="56"/>
    </w:rPr>
  </w:style>
  <w:style w:type="paragraph" w:customStyle="1" w:styleId="SSG">
    <w:name w:val="__S_S_G"/>
    <w:basedOn w:val="Normal"/>
    <w:next w:val="Normal"/>
    <w:rsid w:val="00CA109F"/>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ADB"/>
    <w:basedOn w:val="Normal"/>
    <w:link w:val="FootnoteTextChar"/>
    <w:qFormat/>
    <w:rsid w:val="00CA109F"/>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A109F"/>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CA109F"/>
  </w:style>
  <w:style w:type="character" w:customStyle="1" w:styleId="EndnoteTextChar">
    <w:name w:val="Endnote Text Char"/>
    <w:aliases w:val="2_G Char"/>
    <w:basedOn w:val="DefaultParagraphFont"/>
    <w:link w:val="EndnoteText"/>
    <w:rsid w:val="00CA109F"/>
    <w:rPr>
      <w:rFonts w:ascii="Times New Roman" w:eastAsia="Times New Roman" w:hAnsi="Times New Roman" w:cs="Times New Roman"/>
      <w:sz w:val="18"/>
      <w:szCs w:val="20"/>
      <w:lang w:val="en-GB"/>
    </w:rPr>
  </w:style>
  <w:style w:type="character" w:styleId="PageNumber">
    <w:name w:val="page number"/>
    <w:aliases w:val="7_G"/>
    <w:rsid w:val="00CA109F"/>
    <w:rPr>
      <w:rFonts w:ascii="Times New Roman" w:hAnsi="Times New Roman"/>
      <w:b/>
      <w:sz w:val="18"/>
    </w:rPr>
  </w:style>
  <w:style w:type="paragraph" w:customStyle="1" w:styleId="XLargeG">
    <w:name w:val="__XLarge_G"/>
    <w:basedOn w:val="Normal"/>
    <w:next w:val="Normal"/>
    <w:rsid w:val="00CA109F"/>
    <w:pPr>
      <w:keepNext/>
      <w:keepLines/>
      <w:spacing w:before="240" w:after="240" w:line="420" w:lineRule="exact"/>
      <w:ind w:left="1134" w:right="1134"/>
    </w:pPr>
    <w:rPr>
      <w:b/>
      <w:sz w:val="40"/>
    </w:rPr>
  </w:style>
  <w:style w:type="paragraph" w:customStyle="1" w:styleId="Bullet1G">
    <w:name w:val="_Bullet 1_G"/>
    <w:basedOn w:val="Normal"/>
    <w:rsid w:val="00CA109F"/>
    <w:pPr>
      <w:numPr>
        <w:numId w:val="6"/>
      </w:numPr>
      <w:spacing w:after="120"/>
      <w:ind w:right="1134"/>
      <w:jc w:val="both"/>
    </w:pPr>
  </w:style>
  <w:style w:type="paragraph" w:styleId="Footer">
    <w:name w:val="footer"/>
    <w:aliases w:val="3_G"/>
    <w:basedOn w:val="Normal"/>
    <w:link w:val="FooterChar"/>
    <w:uiPriority w:val="99"/>
    <w:rsid w:val="00CA109F"/>
    <w:pPr>
      <w:spacing w:line="240" w:lineRule="auto"/>
    </w:pPr>
    <w:rPr>
      <w:sz w:val="16"/>
    </w:rPr>
  </w:style>
  <w:style w:type="character" w:customStyle="1" w:styleId="FooterChar">
    <w:name w:val="Footer Char"/>
    <w:aliases w:val="3_G Char"/>
    <w:basedOn w:val="DefaultParagraphFont"/>
    <w:link w:val="Footer"/>
    <w:uiPriority w:val="99"/>
    <w:rsid w:val="00CA109F"/>
    <w:rPr>
      <w:rFonts w:ascii="Times New Roman" w:eastAsia="Times New Roman" w:hAnsi="Times New Roman" w:cs="Times New Roman"/>
      <w:sz w:val="16"/>
      <w:szCs w:val="20"/>
      <w:lang w:val="en-GB"/>
    </w:rPr>
  </w:style>
  <w:style w:type="paragraph" w:customStyle="1" w:styleId="Bullet2G">
    <w:name w:val="_Bullet 2_G"/>
    <w:basedOn w:val="Normal"/>
    <w:rsid w:val="00CA109F"/>
    <w:pPr>
      <w:numPr>
        <w:numId w:val="7"/>
      </w:numPr>
      <w:spacing w:after="120"/>
      <w:ind w:right="1134"/>
      <w:jc w:val="both"/>
    </w:pPr>
  </w:style>
  <w:style w:type="paragraph" w:customStyle="1" w:styleId="H1G">
    <w:name w:val="_ H_1_G"/>
    <w:basedOn w:val="Normal"/>
    <w:next w:val="Normal"/>
    <w:rsid w:val="00CA10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A10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10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109F"/>
    <w:pPr>
      <w:keepNext/>
      <w:keepLines/>
      <w:tabs>
        <w:tab w:val="right" w:pos="851"/>
      </w:tabs>
      <w:spacing w:before="240" w:after="120" w:line="240" w:lineRule="exact"/>
      <w:ind w:left="1134" w:right="1134" w:hanging="1134"/>
    </w:pPr>
  </w:style>
  <w:style w:type="paragraph" w:customStyle="1" w:styleId="Body1">
    <w:name w:val="Body 1"/>
    <w:rsid w:val="00CA109F"/>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numbering" w:customStyle="1" w:styleId="NoList1">
    <w:name w:val="No List1"/>
    <w:next w:val="NoList"/>
    <w:uiPriority w:val="99"/>
    <w:semiHidden/>
    <w:unhideWhenUsed/>
    <w:rsid w:val="00CA109F"/>
  </w:style>
  <w:style w:type="paragraph" w:customStyle="1" w:styleId="MediumList2-Accent41">
    <w:name w:val="Medium List 2 - Accent 41"/>
    <w:basedOn w:val="Normal"/>
    <w:uiPriority w:val="34"/>
    <w:qFormat/>
    <w:rsid w:val="00CA109F"/>
    <w:pPr>
      <w:suppressAutoHyphens w:val="0"/>
      <w:spacing w:after="200" w:line="276" w:lineRule="auto"/>
      <w:ind w:left="720"/>
      <w:contextualSpacing/>
    </w:pPr>
    <w:rPr>
      <w:rFonts w:ascii="Cambria" w:eastAsia="Cambria" w:hAnsi="Cambria"/>
      <w:sz w:val="22"/>
      <w:szCs w:val="22"/>
      <w:lang w:val="en-CA"/>
    </w:rPr>
  </w:style>
  <w:style w:type="character" w:styleId="CommentReference">
    <w:name w:val="annotation reference"/>
    <w:uiPriority w:val="99"/>
    <w:unhideWhenUsed/>
    <w:rsid w:val="00CA109F"/>
    <w:rPr>
      <w:sz w:val="16"/>
      <w:szCs w:val="16"/>
    </w:rPr>
  </w:style>
  <w:style w:type="paragraph" w:styleId="CommentText">
    <w:name w:val="annotation text"/>
    <w:basedOn w:val="Normal"/>
    <w:link w:val="CommentTextChar"/>
    <w:uiPriority w:val="99"/>
    <w:unhideWhenUsed/>
    <w:rsid w:val="00CA109F"/>
    <w:pPr>
      <w:suppressAutoHyphens w:val="0"/>
      <w:spacing w:after="200" w:line="240" w:lineRule="auto"/>
    </w:pPr>
    <w:rPr>
      <w:rFonts w:ascii="Cambria" w:eastAsia="Cambria" w:hAnsi="Cambria"/>
      <w:lang w:val="en-CA"/>
    </w:rPr>
  </w:style>
  <w:style w:type="character" w:customStyle="1" w:styleId="CommentTextChar">
    <w:name w:val="Comment Text Char"/>
    <w:basedOn w:val="DefaultParagraphFont"/>
    <w:link w:val="CommentText"/>
    <w:uiPriority w:val="99"/>
    <w:rsid w:val="00CA109F"/>
    <w:rPr>
      <w:rFonts w:ascii="Cambria" w:eastAsia="Cambria" w:hAnsi="Cambria" w:cs="Times New Roman"/>
      <w:sz w:val="20"/>
      <w:szCs w:val="20"/>
      <w:lang w:val="en-CA"/>
    </w:rPr>
  </w:style>
  <w:style w:type="paragraph" w:customStyle="1" w:styleId="TOC11">
    <w:name w:val="TOC 11"/>
    <w:basedOn w:val="Normal"/>
    <w:next w:val="Normal"/>
    <w:autoRedefine/>
    <w:uiPriority w:val="39"/>
    <w:unhideWhenUsed/>
    <w:rsid w:val="00CA109F"/>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CA109F"/>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CA109F"/>
    <w:pPr>
      <w:suppressAutoHyphens w:val="0"/>
      <w:spacing w:line="240" w:lineRule="auto"/>
    </w:pPr>
    <w:rPr>
      <w:rFonts w:ascii="Tahoma" w:eastAsia="Cambria" w:hAnsi="Tahoma" w:cs="Tahoma"/>
      <w:sz w:val="16"/>
      <w:szCs w:val="16"/>
      <w:lang w:val="en-CA"/>
    </w:rPr>
  </w:style>
  <w:style w:type="character" w:customStyle="1" w:styleId="BalloonTextChar">
    <w:name w:val="Balloon Text Char"/>
    <w:basedOn w:val="DefaultParagraphFont"/>
    <w:link w:val="BalloonText"/>
    <w:uiPriority w:val="99"/>
    <w:rsid w:val="00CA109F"/>
    <w:rPr>
      <w:rFonts w:ascii="Tahoma" w:eastAsia="Cambria" w:hAnsi="Tahoma" w:cs="Tahoma"/>
      <w:sz w:val="16"/>
      <w:szCs w:val="16"/>
      <w:lang w:val="en-CA"/>
    </w:rPr>
  </w:style>
  <w:style w:type="paragraph" w:customStyle="1" w:styleId="Revision1">
    <w:name w:val="Revision1"/>
    <w:next w:val="MediumList1-Accent41"/>
    <w:hidden/>
    <w:uiPriority w:val="99"/>
    <w:semiHidden/>
    <w:rsid w:val="00CA109F"/>
    <w:pPr>
      <w:spacing w:after="0" w:line="240" w:lineRule="auto"/>
    </w:pPr>
    <w:rPr>
      <w:rFonts w:ascii="Cambria" w:eastAsia="Cambria" w:hAnsi="Cambria" w:cs="Times New Roman"/>
      <w:lang w:val="en-CA"/>
    </w:rPr>
  </w:style>
  <w:style w:type="paragraph" w:styleId="CommentSubject">
    <w:name w:val="annotation subject"/>
    <w:basedOn w:val="CommentText"/>
    <w:next w:val="CommentText"/>
    <w:link w:val="CommentSubjectChar"/>
    <w:uiPriority w:val="99"/>
    <w:unhideWhenUsed/>
    <w:rsid w:val="00CA109F"/>
    <w:rPr>
      <w:b/>
      <w:bCs/>
    </w:rPr>
  </w:style>
  <w:style w:type="character" w:customStyle="1" w:styleId="CommentSubjectChar">
    <w:name w:val="Comment Subject Char"/>
    <w:basedOn w:val="CommentTextChar"/>
    <w:link w:val="CommentSubject"/>
    <w:uiPriority w:val="99"/>
    <w:rsid w:val="00CA109F"/>
    <w:rPr>
      <w:rFonts w:ascii="Cambria" w:eastAsia="Cambria" w:hAnsi="Cambria" w:cs="Times New Roman"/>
      <w:b/>
      <w:bCs/>
      <w:sz w:val="20"/>
      <w:szCs w:val="20"/>
      <w:lang w:val="en-CA"/>
    </w:rPr>
  </w:style>
  <w:style w:type="paragraph" w:customStyle="1" w:styleId="NoSpacing1">
    <w:name w:val="No Spacing1"/>
    <w:next w:val="ColorfulList-Accent21"/>
    <w:uiPriority w:val="1"/>
    <w:qFormat/>
    <w:rsid w:val="00CA109F"/>
    <w:pPr>
      <w:spacing w:after="0" w:line="240" w:lineRule="auto"/>
    </w:pPr>
    <w:rPr>
      <w:rFonts w:ascii="Cambria" w:eastAsia="Cambria" w:hAnsi="Cambria" w:cs="Times New Roman"/>
      <w:lang w:val="en-CA"/>
    </w:rPr>
  </w:style>
  <w:style w:type="character" w:styleId="Emphasis">
    <w:name w:val="Emphasis"/>
    <w:uiPriority w:val="20"/>
    <w:qFormat/>
    <w:rsid w:val="00CA109F"/>
    <w:rPr>
      <w:i/>
      <w:iCs/>
    </w:rPr>
  </w:style>
  <w:style w:type="character" w:customStyle="1" w:styleId="apple-converted-space">
    <w:name w:val="apple-converted-space"/>
    <w:rsid w:val="00CA109F"/>
  </w:style>
  <w:style w:type="paragraph" w:customStyle="1" w:styleId="TOCHeading1">
    <w:name w:val="TOC Heading1"/>
    <w:basedOn w:val="Heading1"/>
    <w:next w:val="Normal"/>
    <w:uiPriority w:val="39"/>
    <w:unhideWhenUsed/>
    <w:qFormat/>
    <w:rsid w:val="00CA109F"/>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A109F"/>
    <w:pPr>
      <w:suppressAutoHyphens w:val="0"/>
      <w:spacing w:after="160" w:line="240" w:lineRule="exact"/>
      <w:jc w:val="both"/>
    </w:pPr>
    <w:rPr>
      <w:rFonts w:eastAsiaTheme="minorHAnsi" w:cstheme="minorBidi"/>
      <w:sz w:val="18"/>
      <w:szCs w:val="22"/>
      <w:vertAlign w:val="superscript"/>
      <w:lang w:val="en-US"/>
    </w:rPr>
  </w:style>
  <w:style w:type="paragraph" w:customStyle="1" w:styleId="MediumList1-Accent41">
    <w:name w:val="Medium List 1 - Accent 41"/>
    <w:hidden/>
    <w:uiPriority w:val="99"/>
    <w:semiHidden/>
    <w:rsid w:val="00CA109F"/>
    <w:pPr>
      <w:spacing w:after="0" w:line="240" w:lineRule="auto"/>
    </w:pPr>
    <w:rPr>
      <w:rFonts w:ascii="Times New Roman" w:eastAsia="Times New Roman" w:hAnsi="Times New Roman" w:cs="Times New Roman"/>
      <w:sz w:val="20"/>
      <w:szCs w:val="20"/>
      <w:lang w:val="en-GB"/>
    </w:rPr>
  </w:style>
  <w:style w:type="paragraph" w:customStyle="1" w:styleId="ColorfulList-Accent21">
    <w:name w:val="Colorful List - Accent 21"/>
    <w:uiPriority w:val="1"/>
    <w:qFormat/>
    <w:rsid w:val="00CA109F"/>
    <w:pPr>
      <w:suppressAutoHyphens/>
      <w:spacing w:after="0" w:line="240" w:lineRule="auto"/>
    </w:pPr>
    <w:rPr>
      <w:rFonts w:ascii="Times New Roman" w:eastAsia="Times New Roman" w:hAnsi="Times New Roman" w:cs="Times New Roman"/>
      <w:sz w:val="20"/>
      <w:szCs w:val="20"/>
      <w:lang w:val="en-GB"/>
    </w:rPr>
  </w:style>
  <w:style w:type="paragraph" w:customStyle="1" w:styleId="DarkList-Accent31">
    <w:name w:val="Dark List - Accent 3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LightList-Accent31">
    <w:name w:val="Light List - Accent 3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MediumList2-Accent21">
    <w:name w:val="Medium List 2 - Accent 21"/>
    <w:hidden/>
    <w:uiPriority w:val="71"/>
    <w:rsid w:val="00CA109F"/>
    <w:pPr>
      <w:spacing w:after="0" w:line="240" w:lineRule="auto"/>
    </w:pPr>
    <w:rPr>
      <w:rFonts w:ascii="Times New Roman" w:eastAsia="Times New Roman" w:hAnsi="Times New Roman" w:cs="Times New Roman"/>
      <w:sz w:val="20"/>
      <w:szCs w:val="20"/>
      <w:lang w:val="en-GB"/>
    </w:rPr>
  </w:style>
  <w:style w:type="paragraph" w:customStyle="1" w:styleId="ColorfulShading-Accent11">
    <w:name w:val="Colorful Shading - Accent 11"/>
    <w:hidden/>
    <w:uiPriority w:val="71"/>
    <w:rsid w:val="00CA109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A109F"/>
    <w:pPr>
      <w:ind w:left="720"/>
      <w:contextualSpacing/>
    </w:pPr>
  </w:style>
  <w:style w:type="character" w:customStyle="1" w:styleId="SingleTxtGChar">
    <w:name w:val="_ Single Txt_G Char"/>
    <w:basedOn w:val="DefaultParagraphFont"/>
    <w:link w:val="SingleTxtG"/>
    <w:rsid w:val="00CA109F"/>
    <w:rPr>
      <w:rFonts w:ascii="Times New Roman" w:eastAsia="Times New Roman" w:hAnsi="Times New Roman" w:cs="Times New Roman"/>
      <w:sz w:val="20"/>
      <w:szCs w:val="20"/>
      <w:lang w:val="en-GB"/>
    </w:rPr>
  </w:style>
  <w:style w:type="paragraph" w:styleId="Revision">
    <w:name w:val="Revision"/>
    <w:hidden/>
    <w:uiPriority w:val="99"/>
    <w:semiHidden/>
    <w:rsid w:val="00CA109F"/>
    <w:pPr>
      <w:spacing w:after="0" w:line="240" w:lineRule="auto"/>
    </w:pPr>
    <w:rPr>
      <w:rFonts w:ascii="Times New Roman" w:eastAsia="Times New Roman" w:hAnsi="Times New Roman" w:cs="Times New Roman"/>
      <w:sz w:val="20"/>
      <w:szCs w:val="20"/>
      <w:lang w:val="en-GB"/>
    </w:rPr>
  </w:style>
  <w:style w:type="character" w:customStyle="1" w:styleId="Caractresdenotedebasdepage">
    <w:name w:val="Caractères de note de bas de page"/>
    <w:rsid w:val="00684A08"/>
  </w:style>
  <w:style w:type="paragraph" w:styleId="HTMLPreformatted">
    <w:name w:val="HTML Preformatted"/>
    <w:basedOn w:val="Normal"/>
    <w:link w:val="HTMLPreformattedChar"/>
    <w:uiPriority w:val="99"/>
    <w:unhideWhenUsed/>
    <w:rsid w:val="0068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684A08"/>
    <w:rPr>
      <w:rFonts w:ascii="Courier New" w:eastAsia="Times New Roman" w:hAnsi="Courier New" w:cs="Courier New"/>
      <w:sz w:val="20"/>
      <w:szCs w:val="20"/>
      <w:lang w:val="en-GB" w:eastAsia="en-GB"/>
    </w:rPr>
  </w:style>
  <w:style w:type="character" w:customStyle="1" w:styleId="WW-DefaultParagraphFont1">
    <w:name w:val="WW-Default Paragraph Font1"/>
    <w:rsid w:val="00684A08"/>
  </w:style>
  <w:style w:type="character" w:customStyle="1" w:styleId="FootnoteTextChar1">
    <w:name w:val="Footnote Text Char1"/>
    <w:aliases w:val="5_G Char1,Text pozn. pod čarou_martin_ang Char1,Schriftart: 9 pt Char1,Schriftart: 10 pt Char1,Schriftart: 8 pt Char1,Char Char1,Char Char Char Char2,Char Char Char Char Char1,single space Char1,footnote text Char1,FOOTNOTES Char1"/>
    <w:semiHidden/>
    <w:rsid w:val="00684A08"/>
    <w:rPr>
      <w:rFonts w:ascii="Cambria" w:eastAsia="Cambria" w:hAnsi="Cambria"/>
      <w:lang w:val="en-US" w:eastAsia="en-US"/>
    </w:rPr>
  </w:style>
  <w:style w:type="character" w:customStyle="1" w:styleId="EndnoteReference1">
    <w:name w:val="Endnote Reference1"/>
    <w:rsid w:val="00684A08"/>
  </w:style>
  <w:style w:type="character" w:customStyle="1" w:styleId="A6">
    <w:name w:val="A6"/>
    <w:rsid w:val="00A6452E"/>
  </w:style>
  <w:style w:type="character" w:customStyle="1" w:styleId="WW-DefaultParagraphFont">
    <w:name w:val="WW-Default Paragraph Font"/>
    <w:rsid w:val="00F87FF3"/>
  </w:style>
  <w:style w:type="paragraph" w:styleId="NormalWeb">
    <w:name w:val="Normal (Web)"/>
    <w:basedOn w:val="Normal"/>
    <w:uiPriority w:val="99"/>
    <w:unhideWhenUsed/>
    <w:rsid w:val="0034417B"/>
    <w:pPr>
      <w:suppressAutoHyphens w:val="0"/>
      <w:spacing w:before="100" w:beforeAutospacing="1" w:after="100" w:afterAutospacing="1" w:line="240" w:lineRule="auto"/>
    </w:pPr>
    <w:rPr>
      <w:rFonts w:ascii="Times" w:eastAsiaTheme="minorHAnsi" w:hAnsi="Times"/>
      <w:lang w:val="en-US"/>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rsid w:val="008B24CD"/>
    <w:pPr>
      <w:suppressAutoHyphens w:val="0"/>
      <w:spacing w:after="160" w:line="240" w:lineRule="exact"/>
    </w:pPr>
    <w:rPr>
      <w:rFonts w:asciiTheme="minorHAnsi" w:eastAsiaTheme="minorEastAsia"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748">
      <w:bodyDiv w:val="1"/>
      <w:marLeft w:val="0"/>
      <w:marRight w:val="0"/>
      <w:marTop w:val="0"/>
      <w:marBottom w:val="0"/>
      <w:divBdr>
        <w:top w:val="none" w:sz="0" w:space="0" w:color="auto"/>
        <w:left w:val="none" w:sz="0" w:space="0" w:color="auto"/>
        <w:bottom w:val="none" w:sz="0" w:space="0" w:color="auto"/>
        <w:right w:val="none" w:sz="0" w:space="0" w:color="auto"/>
      </w:divBdr>
      <w:divsChild>
        <w:div w:id="1137916055">
          <w:marLeft w:val="0"/>
          <w:marRight w:val="0"/>
          <w:marTop w:val="0"/>
          <w:marBottom w:val="0"/>
          <w:divBdr>
            <w:top w:val="none" w:sz="0" w:space="0" w:color="auto"/>
            <w:left w:val="none" w:sz="0" w:space="0" w:color="auto"/>
            <w:bottom w:val="none" w:sz="0" w:space="0" w:color="auto"/>
            <w:right w:val="none" w:sz="0" w:space="0" w:color="auto"/>
          </w:divBdr>
          <w:divsChild>
            <w:div w:id="1761608379">
              <w:marLeft w:val="0"/>
              <w:marRight w:val="0"/>
              <w:marTop w:val="0"/>
              <w:marBottom w:val="0"/>
              <w:divBdr>
                <w:top w:val="none" w:sz="0" w:space="0" w:color="auto"/>
                <w:left w:val="none" w:sz="0" w:space="0" w:color="auto"/>
                <w:bottom w:val="none" w:sz="0" w:space="0" w:color="auto"/>
                <w:right w:val="none" w:sz="0" w:space="0" w:color="auto"/>
              </w:divBdr>
              <w:divsChild>
                <w:div w:id="18556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363">
      <w:bodyDiv w:val="1"/>
      <w:marLeft w:val="0"/>
      <w:marRight w:val="0"/>
      <w:marTop w:val="0"/>
      <w:marBottom w:val="0"/>
      <w:divBdr>
        <w:top w:val="none" w:sz="0" w:space="0" w:color="auto"/>
        <w:left w:val="none" w:sz="0" w:space="0" w:color="auto"/>
        <w:bottom w:val="none" w:sz="0" w:space="0" w:color="auto"/>
        <w:right w:val="none" w:sz="0" w:space="0" w:color="auto"/>
      </w:divBdr>
      <w:divsChild>
        <w:div w:id="2136487286">
          <w:marLeft w:val="0"/>
          <w:marRight w:val="0"/>
          <w:marTop w:val="0"/>
          <w:marBottom w:val="0"/>
          <w:divBdr>
            <w:top w:val="none" w:sz="0" w:space="0" w:color="auto"/>
            <w:left w:val="none" w:sz="0" w:space="0" w:color="auto"/>
            <w:bottom w:val="none" w:sz="0" w:space="0" w:color="auto"/>
            <w:right w:val="none" w:sz="0" w:space="0" w:color="auto"/>
          </w:divBdr>
          <w:divsChild>
            <w:div w:id="964195840">
              <w:marLeft w:val="0"/>
              <w:marRight w:val="0"/>
              <w:marTop w:val="0"/>
              <w:marBottom w:val="0"/>
              <w:divBdr>
                <w:top w:val="none" w:sz="0" w:space="0" w:color="auto"/>
                <w:left w:val="none" w:sz="0" w:space="0" w:color="auto"/>
                <w:bottom w:val="none" w:sz="0" w:space="0" w:color="auto"/>
                <w:right w:val="none" w:sz="0" w:space="0" w:color="auto"/>
              </w:divBdr>
              <w:divsChild>
                <w:div w:id="88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710">
      <w:bodyDiv w:val="1"/>
      <w:marLeft w:val="0"/>
      <w:marRight w:val="0"/>
      <w:marTop w:val="0"/>
      <w:marBottom w:val="0"/>
      <w:divBdr>
        <w:top w:val="none" w:sz="0" w:space="0" w:color="auto"/>
        <w:left w:val="none" w:sz="0" w:space="0" w:color="auto"/>
        <w:bottom w:val="none" w:sz="0" w:space="0" w:color="auto"/>
        <w:right w:val="none" w:sz="0" w:space="0" w:color="auto"/>
      </w:divBdr>
      <w:divsChild>
        <w:div w:id="550967945">
          <w:marLeft w:val="0"/>
          <w:marRight w:val="0"/>
          <w:marTop w:val="0"/>
          <w:marBottom w:val="0"/>
          <w:divBdr>
            <w:top w:val="none" w:sz="0" w:space="0" w:color="auto"/>
            <w:left w:val="none" w:sz="0" w:space="0" w:color="auto"/>
            <w:bottom w:val="none" w:sz="0" w:space="0" w:color="auto"/>
            <w:right w:val="none" w:sz="0" w:space="0" w:color="auto"/>
          </w:divBdr>
          <w:divsChild>
            <w:div w:id="985746992">
              <w:marLeft w:val="0"/>
              <w:marRight w:val="0"/>
              <w:marTop w:val="0"/>
              <w:marBottom w:val="0"/>
              <w:divBdr>
                <w:top w:val="none" w:sz="0" w:space="0" w:color="auto"/>
                <w:left w:val="none" w:sz="0" w:space="0" w:color="auto"/>
                <w:bottom w:val="none" w:sz="0" w:space="0" w:color="auto"/>
                <w:right w:val="none" w:sz="0" w:space="0" w:color="auto"/>
              </w:divBdr>
              <w:divsChild>
                <w:div w:id="14708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2374">
      <w:bodyDiv w:val="1"/>
      <w:marLeft w:val="0"/>
      <w:marRight w:val="0"/>
      <w:marTop w:val="0"/>
      <w:marBottom w:val="0"/>
      <w:divBdr>
        <w:top w:val="none" w:sz="0" w:space="0" w:color="auto"/>
        <w:left w:val="none" w:sz="0" w:space="0" w:color="auto"/>
        <w:bottom w:val="none" w:sz="0" w:space="0" w:color="auto"/>
        <w:right w:val="none" w:sz="0" w:space="0" w:color="auto"/>
      </w:divBdr>
      <w:divsChild>
        <w:div w:id="1280139091">
          <w:marLeft w:val="0"/>
          <w:marRight w:val="0"/>
          <w:marTop w:val="0"/>
          <w:marBottom w:val="0"/>
          <w:divBdr>
            <w:top w:val="none" w:sz="0" w:space="0" w:color="auto"/>
            <w:left w:val="none" w:sz="0" w:space="0" w:color="auto"/>
            <w:bottom w:val="none" w:sz="0" w:space="0" w:color="auto"/>
            <w:right w:val="none" w:sz="0" w:space="0" w:color="auto"/>
          </w:divBdr>
          <w:divsChild>
            <w:div w:id="1132822339">
              <w:marLeft w:val="0"/>
              <w:marRight w:val="0"/>
              <w:marTop w:val="0"/>
              <w:marBottom w:val="0"/>
              <w:divBdr>
                <w:top w:val="none" w:sz="0" w:space="0" w:color="auto"/>
                <w:left w:val="none" w:sz="0" w:space="0" w:color="auto"/>
                <w:bottom w:val="none" w:sz="0" w:space="0" w:color="auto"/>
                <w:right w:val="none" w:sz="0" w:space="0" w:color="auto"/>
              </w:divBdr>
              <w:divsChild>
                <w:div w:id="4991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2570">
      <w:bodyDiv w:val="1"/>
      <w:marLeft w:val="0"/>
      <w:marRight w:val="0"/>
      <w:marTop w:val="0"/>
      <w:marBottom w:val="0"/>
      <w:divBdr>
        <w:top w:val="none" w:sz="0" w:space="0" w:color="auto"/>
        <w:left w:val="none" w:sz="0" w:space="0" w:color="auto"/>
        <w:bottom w:val="none" w:sz="0" w:space="0" w:color="auto"/>
        <w:right w:val="none" w:sz="0" w:space="0" w:color="auto"/>
      </w:divBdr>
      <w:divsChild>
        <w:div w:id="1071386579">
          <w:marLeft w:val="0"/>
          <w:marRight w:val="0"/>
          <w:marTop w:val="0"/>
          <w:marBottom w:val="0"/>
          <w:divBdr>
            <w:top w:val="none" w:sz="0" w:space="0" w:color="auto"/>
            <w:left w:val="none" w:sz="0" w:space="0" w:color="auto"/>
            <w:bottom w:val="none" w:sz="0" w:space="0" w:color="auto"/>
            <w:right w:val="none" w:sz="0" w:space="0" w:color="auto"/>
          </w:divBdr>
          <w:divsChild>
            <w:div w:id="1569724923">
              <w:marLeft w:val="0"/>
              <w:marRight w:val="0"/>
              <w:marTop w:val="0"/>
              <w:marBottom w:val="0"/>
              <w:divBdr>
                <w:top w:val="none" w:sz="0" w:space="0" w:color="auto"/>
                <w:left w:val="none" w:sz="0" w:space="0" w:color="auto"/>
                <w:bottom w:val="none" w:sz="0" w:space="0" w:color="auto"/>
                <w:right w:val="none" w:sz="0" w:space="0" w:color="auto"/>
              </w:divBdr>
              <w:divsChild>
                <w:div w:id="13282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3424">
      <w:bodyDiv w:val="1"/>
      <w:marLeft w:val="0"/>
      <w:marRight w:val="0"/>
      <w:marTop w:val="0"/>
      <w:marBottom w:val="0"/>
      <w:divBdr>
        <w:top w:val="none" w:sz="0" w:space="0" w:color="auto"/>
        <w:left w:val="none" w:sz="0" w:space="0" w:color="auto"/>
        <w:bottom w:val="none" w:sz="0" w:space="0" w:color="auto"/>
        <w:right w:val="none" w:sz="0" w:space="0" w:color="auto"/>
      </w:divBdr>
      <w:divsChild>
        <w:div w:id="1067803803">
          <w:marLeft w:val="0"/>
          <w:marRight w:val="0"/>
          <w:marTop w:val="0"/>
          <w:marBottom w:val="0"/>
          <w:divBdr>
            <w:top w:val="none" w:sz="0" w:space="0" w:color="auto"/>
            <w:left w:val="none" w:sz="0" w:space="0" w:color="auto"/>
            <w:bottom w:val="none" w:sz="0" w:space="0" w:color="auto"/>
            <w:right w:val="none" w:sz="0" w:space="0" w:color="auto"/>
          </w:divBdr>
          <w:divsChild>
            <w:div w:id="558975850">
              <w:marLeft w:val="0"/>
              <w:marRight w:val="0"/>
              <w:marTop w:val="0"/>
              <w:marBottom w:val="0"/>
              <w:divBdr>
                <w:top w:val="none" w:sz="0" w:space="0" w:color="auto"/>
                <w:left w:val="none" w:sz="0" w:space="0" w:color="auto"/>
                <w:bottom w:val="none" w:sz="0" w:space="0" w:color="auto"/>
                <w:right w:val="none" w:sz="0" w:space="0" w:color="auto"/>
              </w:divBdr>
              <w:divsChild>
                <w:div w:id="2138141750">
                  <w:marLeft w:val="0"/>
                  <w:marRight w:val="0"/>
                  <w:marTop w:val="0"/>
                  <w:marBottom w:val="0"/>
                  <w:divBdr>
                    <w:top w:val="none" w:sz="0" w:space="0" w:color="auto"/>
                    <w:left w:val="none" w:sz="0" w:space="0" w:color="auto"/>
                    <w:bottom w:val="none" w:sz="0" w:space="0" w:color="auto"/>
                    <w:right w:val="none" w:sz="0" w:space="0" w:color="auto"/>
                  </w:divBdr>
                  <w:divsChild>
                    <w:div w:id="2109806900">
                      <w:marLeft w:val="0"/>
                      <w:marRight w:val="0"/>
                      <w:marTop w:val="0"/>
                      <w:marBottom w:val="0"/>
                      <w:divBdr>
                        <w:top w:val="none" w:sz="0" w:space="0" w:color="auto"/>
                        <w:left w:val="none" w:sz="0" w:space="0" w:color="auto"/>
                        <w:bottom w:val="none" w:sz="0" w:space="0" w:color="auto"/>
                        <w:right w:val="none" w:sz="0" w:space="0" w:color="auto"/>
                      </w:divBdr>
                    </w:div>
                  </w:divsChild>
                </w:div>
                <w:div w:id="1253854915">
                  <w:marLeft w:val="0"/>
                  <w:marRight w:val="0"/>
                  <w:marTop w:val="0"/>
                  <w:marBottom w:val="0"/>
                  <w:divBdr>
                    <w:top w:val="none" w:sz="0" w:space="0" w:color="auto"/>
                    <w:left w:val="none" w:sz="0" w:space="0" w:color="auto"/>
                    <w:bottom w:val="none" w:sz="0" w:space="0" w:color="auto"/>
                    <w:right w:val="none" w:sz="0" w:space="0" w:color="auto"/>
                  </w:divBdr>
                  <w:divsChild>
                    <w:div w:id="16580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9434">
      <w:bodyDiv w:val="1"/>
      <w:marLeft w:val="0"/>
      <w:marRight w:val="0"/>
      <w:marTop w:val="0"/>
      <w:marBottom w:val="0"/>
      <w:divBdr>
        <w:top w:val="none" w:sz="0" w:space="0" w:color="auto"/>
        <w:left w:val="none" w:sz="0" w:space="0" w:color="auto"/>
        <w:bottom w:val="none" w:sz="0" w:space="0" w:color="auto"/>
        <w:right w:val="none" w:sz="0" w:space="0" w:color="auto"/>
      </w:divBdr>
      <w:divsChild>
        <w:div w:id="1134954572">
          <w:marLeft w:val="0"/>
          <w:marRight w:val="0"/>
          <w:marTop w:val="0"/>
          <w:marBottom w:val="0"/>
          <w:divBdr>
            <w:top w:val="none" w:sz="0" w:space="0" w:color="auto"/>
            <w:left w:val="none" w:sz="0" w:space="0" w:color="auto"/>
            <w:bottom w:val="none" w:sz="0" w:space="0" w:color="auto"/>
            <w:right w:val="none" w:sz="0" w:space="0" w:color="auto"/>
          </w:divBdr>
          <w:divsChild>
            <w:div w:id="23363318">
              <w:marLeft w:val="0"/>
              <w:marRight w:val="0"/>
              <w:marTop w:val="0"/>
              <w:marBottom w:val="0"/>
              <w:divBdr>
                <w:top w:val="none" w:sz="0" w:space="0" w:color="auto"/>
                <w:left w:val="none" w:sz="0" w:space="0" w:color="auto"/>
                <w:bottom w:val="none" w:sz="0" w:space="0" w:color="auto"/>
                <w:right w:val="none" w:sz="0" w:space="0" w:color="auto"/>
              </w:divBdr>
              <w:divsChild>
                <w:div w:id="116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1873">
      <w:bodyDiv w:val="1"/>
      <w:marLeft w:val="0"/>
      <w:marRight w:val="0"/>
      <w:marTop w:val="0"/>
      <w:marBottom w:val="0"/>
      <w:divBdr>
        <w:top w:val="none" w:sz="0" w:space="0" w:color="auto"/>
        <w:left w:val="none" w:sz="0" w:space="0" w:color="auto"/>
        <w:bottom w:val="none" w:sz="0" w:space="0" w:color="auto"/>
        <w:right w:val="none" w:sz="0" w:space="0" w:color="auto"/>
      </w:divBdr>
      <w:divsChild>
        <w:div w:id="269550081">
          <w:marLeft w:val="0"/>
          <w:marRight w:val="0"/>
          <w:marTop w:val="0"/>
          <w:marBottom w:val="0"/>
          <w:divBdr>
            <w:top w:val="none" w:sz="0" w:space="0" w:color="auto"/>
            <w:left w:val="none" w:sz="0" w:space="0" w:color="auto"/>
            <w:bottom w:val="none" w:sz="0" w:space="0" w:color="auto"/>
            <w:right w:val="none" w:sz="0" w:space="0" w:color="auto"/>
          </w:divBdr>
          <w:divsChild>
            <w:div w:id="2022581781">
              <w:marLeft w:val="0"/>
              <w:marRight w:val="0"/>
              <w:marTop w:val="0"/>
              <w:marBottom w:val="0"/>
              <w:divBdr>
                <w:top w:val="none" w:sz="0" w:space="0" w:color="auto"/>
                <w:left w:val="none" w:sz="0" w:space="0" w:color="auto"/>
                <w:bottom w:val="none" w:sz="0" w:space="0" w:color="auto"/>
                <w:right w:val="none" w:sz="0" w:space="0" w:color="auto"/>
              </w:divBdr>
              <w:divsChild>
                <w:div w:id="374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57">
      <w:bodyDiv w:val="1"/>
      <w:marLeft w:val="0"/>
      <w:marRight w:val="0"/>
      <w:marTop w:val="0"/>
      <w:marBottom w:val="0"/>
      <w:divBdr>
        <w:top w:val="none" w:sz="0" w:space="0" w:color="auto"/>
        <w:left w:val="none" w:sz="0" w:space="0" w:color="auto"/>
        <w:bottom w:val="none" w:sz="0" w:space="0" w:color="auto"/>
        <w:right w:val="none" w:sz="0" w:space="0" w:color="auto"/>
      </w:divBdr>
      <w:divsChild>
        <w:div w:id="1604334825">
          <w:marLeft w:val="0"/>
          <w:marRight w:val="0"/>
          <w:marTop w:val="0"/>
          <w:marBottom w:val="0"/>
          <w:divBdr>
            <w:top w:val="none" w:sz="0" w:space="0" w:color="auto"/>
            <w:left w:val="none" w:sz="0" w:space="0" w:color="auto"/>
            <w:bottom w:val="none" w:sz="0" w:space="0" w:color="auto"/>
            <w:right w:val="none" w:sz="0" w:space="0" w:color="auto"/>
          </w:divBdr>
          <w:divsChild>
            <w:div w:id="1288002555">
              <w:marLeft w:val="0"/>
              <w:marRight w:val="0"/>
              <w:marTop w:val="0"/>
              <w:marBottom w:val="0"/>
              <w:divBdr>
                <w:top w:val="none" w:sz="0" w:space="0" w:color="auto"/>
                <w:left w:val="none" w:sz="0" w:space="0" w:color="auto"/>
                <w:bottom w:val="none" w:sz="0" w:space="0" w:color="auto"/>
                <w:right w:val="none" w:sz="0" w:space="0" w:color="auto"/>
              </w:divBdr>
              <w:divsChild>
                <w:div w:id="1323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15688&amp;LangID=E" TargetMode="External"/><Relationship Id="rId13" Type="http://schemas.openxmlformats.org/officeDocument/2006/relationships/hyperlink" Target="https://plan-international.org/da/search/site/stigmas%20surrounding%20menstruation%20detrimental%20girls%20futures?page=42&amp;solrsort=sort_label%20asc" TargetMode="External"/><Relationship Id="rId18" Type="http://schemas.openxmlformats.org/officeDocument/2006/relationships/hyperlink" Target="http://apps.who.int/gho/data/node.main.REPWOMEN39?lang=en" TargetMode="External"/><Relationship Id="rId3" Type="http://schemas.openxmlformats.org/officeDocument/2006/relationships/hyperlink" Target="http://www.who.int/elena/bbc/nutrition_counselling_pregnancy/en/" TargetMode="External"/><Relationship Id="rId7" Type="http://schemas.openxmlformats.org/officeDocument/2006/relationships/hyperlink" Target="https://www.guttmacher.org/about/staff/elizabeth-nash" TargetMode="External"/><Relationship Id="rId12" Type="http://schemas.openxmlformats.org/officeDocument/2006/relationships/hyperlink" Target="http://time.com/4197499/barbies-new-body-photos-of-curvy-tall-and-petite/" TargetMode="External"/><Relationship Id="rId17" Type="http://schemas.openxmlformats.org/officeDocument/2006/relationships/hyperlink" Target="http://www.who.int/mediacentre/news/releases/2015/caesarean-sections/en/" TargetMode="External"/><Relationship Id="rId2" Type="http://schemas.openxmlformats.org/officeDocument/2006/relationships/hyperlink" Target="http://www.who.int/maternal_child_adolescent/topics/maternal/adolescent_pregnancy/en/" TargetMode="External"/><Relationship Id="rId16" Type="http://schemas.openxmlformats.org/officeDocument/2006/relationships/hyperlink" Target="https://www.researchgate.net/journal/0264-6838_Journal_of_Reproductive_and_Infant_Psychology" TargetMode="External"/><Relationship Id="rId1" Type="http://schemas.openxmlformats.org/officeDocument/2006/relationships/hyperlink" Target="http://www.who.int/mediacentre/factsheets/fs364/en/" TargetMode="External"/><Relationship Id="rId6" Type="http://schemas.openxmlformats.org/officeDocument/2006/relationships/hyperlink" Target="http://apps.who.int/iris/bitstream/10665/134588/1/WHO_RHR_14.23_eng.pdf?ua=1&amp;ua=1" TargetMode="External"/><Relationship Id="rId11" Type="http://schemas.openxmlformats.org/officeDocument/2006/relationships/hyperlink" Target="http://apps.who.int/bmi/index.jsp?introPage=intro_3.html" TargetMode="External"/><Relationship Id="rId5" Type="http://schemas.openxmlformats.org/officeDocument/2006/relationships/hyperlink" Target="http://apps.who.int/iris/bitstream/10665/134588/1/WHO_RHR_14.23_eng.pdf?ua=1&amp;ua=1" TargetMode="External"/><Relationship Id="rId15" Type="http://schemas.openxmlformats.org/officeDocument/2006/relationships/hyperlink" Target="http://www.tandfonline.com/author/Nicolson%2C+Paula" TargetMode="External"/><Relationship Id="rId10" Type="http://schemas.openxmlformats.org/officeDocument/2006/relationships/hyperlink" Target="http://www.ohchr.org/EN/NewsEvents/Pages/DisplayNews.aspx?NewsID=16490&amp;LangID=E" TargetMode="External"/><Relationship Id="rId19" Type="http://schemas.openxmlformats.org/officeDocument/2006/relationships/hyperlink" Target="http://www.ohchr.org/EN/NewsEvents/Pages/DisplayNews.aspx?NewsID=16872&amp;LangID=E" TargetMode="External"/><Relationship Id="rId4" Type="http://schemas.openxmlformats.org/officeDocument/2006/relationships/hyperlink" Target="http://www.ohchr.org/Documents/Issues/Women/WRGS/OnePagers/Maternal_mortality_morbidity.pdf" TargetMode="External"/><Relationship Id="rId9" Type="http://schemas.openxmlformats.org/officeDocument/2006/relationships/hyperlink" Target="http://beijing20.unwomen.org/en/in-focus/poverty" TargetMode="External"/><Relationship Id="rId14" Type="http://schemas.openxmlformats.org/officeDocument/2006/relationships/hyperlink" Target="http://lewiscar.sites.grinnell.edu/HistoryofMedicine/uncategorized/autonomous-and-insane-the-gendered-classed-and-raced-pathologization-of-womens-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530C-370D-41AC-8B1E-1DA22863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29</Pages>
  <Words>11018</Words>
  <Characters>62809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Claire Mathellie</cp:lastModifiedBy>
  <cp:revision>3</cp:revision>
  <dcterms:created xsi:type="dcterms:W3CDTF">2016-05-18T16:37:00Z</dcterms:created>
  <dcterms:modified xsi:type="dcterms:W3CDTF">2016-05-31T13:57:00Z</dcterms:modified>
</cp:coreProperties>
</file>