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430B0" w14:textId="77777777" w:rsidR="000F2753" w:rsidRPr="000F2753" w:rsidRDefault="000F2753" w:rsidP="0029103E">
      <w:pPr>
        <w:jc w:val="both"/>
        <w:rPr>
          <w:rFonts w:ascii="Times New Roman" w:hAnsi="Times New Roman" w:cs="Times New Roman"/>
          <w:b/>
          <w:sz w:val="24"/>
          <w:lang w:val="en-US"/>
        </w:rPr>
      </w:pPr>
      <w:bookmarkStart w:id="0" w:name="_GoBack"/>
      <w:bookmarkEnd w:id="0"/>
      <w:r w:rsidRPr="000F2753">
        <w:rPr>
          <w:rFonts w:ascii="Times New Roman" w:hAnsi="Times New Roman" w:cs="Times New Roman"/>
          <w:b/>
          <w:sz w:val="24"/>
          <w:lang w:val="en-US"/>
        </w:rPr>
        <w:t>Women’s Human Rights in the Changing World of Work</w:t>
      </w:r>
    </w:p>
    <w:p w14:paraId="289CAF53" w14:textId="77777777" w:rsidR="0029103E" w:rsidRPr="0029103E" w:rsidRDefault="00FB27F7" w:rsidP="0029103E">
      <w:pPr>
        <w:jc w:val="both"/>
        <w:rPr>
          <w:rFonts w:ascii="Times New Roman" w:hAnsi="Times New Roman" w:cs="Times New Roman"/>
          <w:sz w:val="24"/>
          <w:lang w:val="en-US"/>
        </w:rPr>
      </w:pPr>
      <w:r w:rsidRPr="0029103E">
        <w:rPr>
          <w:rFonts w:ascii="Times New Roman" w:hAnsi="Times New Roman" w:cs="Times New Roman"/>
          <w:sz w:val="24"/>
          <w:lang w:val="en-US"/>
        </w:rPr>
        <w:t xml:space="preserve">Republic of Lithuania laws guarantee human rights </w:t>
      </w:r>
      <w:r w:rsidR="0029103E" w:rsidRPr="0029103E">
        <w:rPr>
          <w:rFonts w:ascii="Times New Roman" w:hAnsi="Times New Roman" w:cs="Times New Roman"/>
          <w:sz w:val="24"/>
          <w:lang w:val="en-US"/>
        </w:rPr>
        <w:t xml:space="preserve">in the world of work </w:t>
      </w:r>
      <w:r w:rsidRPr="0029103E">
        <w:rPr>
          <w:rFonts w:ascii="Times New Roman" w:hAnsi="Times New Roman" w:cs="Times New Roman"/>
          <w:sz w:val="24"/>
          <w:lang w:val="en-US"/>
        </w:rPr>
        <w:t xml:space="preserve">equally for both women and men. </w:t>
      </w:r>
      <w:r w:rsidR="0029103E" w:rsidRPr="0029103E">
        <w:rPr>
          <w:rFonts w:ascii="Times New Roman" w:hAnsi="Times New Roman" w:cs="Times New Roman"/>
          <w:sz w:val="24"/>
          <w:lang w:val="en-US"/>
        </w:rPr>
        <w:t xml:space="preserve">Article 26(1) of the </w:t>
      </w:r>
      <w:r w:rsidR="00EC74AB" w:rsidRPr="0029103E">
        <w:rPr>
          <w:rFonts w:ascii="Times New Roman" w:hAnsi="Times New Roman" w:cs="Times New Roman"/>
          <w:sz w:val="24"/>
          <w:lang w:val="en-US"/>
        </w:rPr>
        <w:t>Labor</w:t>
      </w:r>
      <w:r w:rsidR="0029103E" w:rsidRPr="0029103E">
        <w:rPr>
          <w:rFonts w:ascii="Times New Roman" w:hAnsi="Times New Roman" w:cs="Times New Roman"/>
          <w:sz w:val="24"/>
          <w:lang w:val="en-US"/>
        </w:rPr>
        <w:t xml:space="preserve"> Code (hereinafter </w:t>
      </w:r>
      <w:r w:rsidR="009F472A">
        <w:rPr>
          <w:rFonts w:ascii="Times New Roman" w:hAnsi="Times New Roman" w:cs="Times New Roman"/>
          <w:sz w:val="24"/>
          <w:lang w:val="en-US"/>
        </w:rPr>
        <w:t>-</w:t>
      </w:r>
      <w:r w:rsidR="0029103E" w:rsidRPr="0029103E">
        <w:rPr>
          <w:rFonts w:ascii="Times New Roman" w:hAnsi="Times New Roman" w:cs="Times New Roman"/>
          <w:sz w:val="24"/>
          <w:lang w:val="en-US"/>
        </w:rPr>
        <w:t xml:space="preserve"> LC) establishes </w:t>
      </w:r>
      <w:r w:rsidR="0029103E" w:rsidRPr="00084465">
        <w:rPr>
          <w:rFonts w:ascii="Times New Roman" w:hAnsi="Times New Roman" w:cs="Times New Roman"/>
          <w:b/>
          <w:sz w:val="24"/>
          <w:lang w:val="en-US"/>
        </w:rPr>
        <w:t>the principles of gender equality and non-discrimination</w:t>
      </w:r>
      <w:r w:rsidR="0029103E" w:rsidRPr="0029103E">
        <w:rPr>
          <w:rFonts w:ascii="Times New Roman" w:hAnsi="Times New Roman" w:cs="Times New Roman"/>
          <w:sz w:val="24"/>
          <w:lang w:val="en-US"/>
        </w:rPr>
        <w:t xml:space="preserve"> on other grounds. </w:t>
      </w:r>
      <w:r w:rsidR="009F472A">
        <w:rPr>
          <w:rFonts w:ascii="Times New Roman" w:hAnsi="Times New Roman" w:cs="Times New Roman"/>
          <w:sz w:val="24"/>
          <w:lang w:val="en-US"/>
        </w:rPr>
        <w:t>It</w:t>
      </w:r>
      <w:r w:rsidR="0029103E" w:rsidRPr="0029103E">
        <w:rPr>
          <w:rFonts w:ascii="Times New Roman" w:hAnsi="Times New Roman" w:cs="Times New Roman"/>
          <w:sz w:val="24"/>
          <w:lang w:val="en-US"/>
        </w:rPr>
        <w:t xml:space="preserve"> implies that in any employer’s relationship with employees, direct and indirect discrimination, harassment, sexual harassment, instruction to discriminate on the grounds of gender, race, nationality, language, origin, social status, age, sexual orientation, disability, ethnicity, membership of a political party, or in association with religion, belief, faith or convictions, except in the case of religious beliefs, faith or convictions of a person in religious communities, societies or centres where the demand to the employee for a confession of religion, faith or conviction, taking into account the ethos of the religious community, society or </w:t>
      </w:r>
      <w:r w:rsidR="006C15DF" w:rsidRPr="0029103E">
        <w:rPr>
          <w:rFonts w:ascii="Times New Roman" w:hAnsi="Times New Roman" w:cs="Times New Roman"/>
          <w:sz w:val="24"/>
          <w:lang w:val="en-US"/>
        </w:rPr>
        <w:t>center</w:t>
      </w:r>
      <w:r w:rsidR="0029103E" w:rsidRPr="0029103E">
        <w:rPr>
          <w:rFonts w:ascii="Times New Roman" w:hAnsi="Times New Roman" w:cs="Times New Roman"/>
          <w:sz w:val="24"/>
          <w:lang w:val="en-US"/>
        </w:rPr>
        <w:t>, is normal, legitimate and justified, on the grounds of the intention to have a child (children), due to circumstances not related to the professional characteristics of employee or other grounds established by law, are prohibited. Article 26(6) of the LC obliges employers having an average number of employees of more than fifty, to adopt and publish, in the normal ways in the workplace, the measures implementing and enforcing the principles of equal opportunities policy.</w:t>
      </w:r>
    </w:p>
    <w:p w14:paraId="1DFEBF66" w14:textId="77777777" w:rsidR="0061575A" w:rsidRDefault="00FB27F7" w:rsidP="0061575A">
      <w:pPr>
        <w:jc w:val="both"/>
        <w:rPr>
          <w:rFonts w:ascii="Times New Roman" w:hAnsi="Times New Roman" w:cs="Times New Roman"/>
          <w:sz w:val="24"/>
          <w:lang w:val="en-GB"/>
        </w:rPr>
      </w:pPr>
      <w:r w:rsidRPr="0029103E">
        <w:rPr>
          <w:rFonts w:ascii="Times New Roman" w:hAnsi="Times New Roman" w:cs="Times New Roman"/>
          <w:sz w:val="24"/>
          <w:lang w:val="en-US"/>
        </w:rPr>
        <w:t xml:space="preserve">The </w:t>
      </w:r>
      <w:r w:rsidR="009F472A">
        <w:rPr>
          <w:rFonts w:ascii="Times New Roman" w:hAnsi="Times New Roman" w:cs="Times New Roman"/>
          <w:sz w:val="24"/>
          <w:lang w:val="en-US"/>
        </w:rPr>
        <w:t xml:space="preserve">recent </w:t>
      </w:r>
      <w:r w:rsidRPr="0029103E">
        <w:rPr>
          <w:rFonts w:ascii="Times New Roman" w:hAnsi="Times New Roman" w:cs="Times New Roman"/>
          <w:sz w:val="24"/>
          <w:lang w:val="en-US"/>
        </w:rPr>
        <w:t>amendment</w:t>
      </w:r>
      <w:r w:rsidR="009F472A">
        <w:rPr>
          <w:rFonts w:ascii="Times New Roman" w:hAnsi="Times New Roman" w:cs="Times New Roman"/>
          <w:sz w:val="24"/>
          <w:lang w:val="en-US"/>
        </w:rPr>
        <w:t>s</w:t>
      </w:r>
      <w:r w:rsidRPr="0029103E">
        <w:rPr>
          <w:rFonts w:ascii="Times New Roman" w:hAnsi="Times New Roman" w:cs="Times New Roman"/>
          <w:sz w:val="24"/>
          <w:lang w:val="en-US"/>
        </w:rPr>
        <w:t xml:space="preserve"> of the </w:t>
      </w:r>
      <w:r w:rsidR="009F472A" w:rsidRPr="009F472A">
        <w:rPr>
          <w:rFonts w:ascii="Times New Roman" w:hAnsi="Times New Roman" w:cs="Times New Roman"/>
          <w:sz w:val="24"/>
          <w:lang w:val="en-US"/>
        </w:rPr>
        <w:t xml:space="preserve">Law on Equal Opportunities for Women and Men of the Republic of Lithuania </w:t>
      </w:r>
      <w:r w:rsidR="009F472A">
        <w:rPr>
          <w:rFonts w:ascii="Times New Roman" w:hAnsi="Times New Roman" w:cs="Times New Roman"/>
          <w:sz w:val="24"/>
          <w:lang w:val="en-US"/>
        </w:rPr>
        <w:t xml:space="preserve">(hereinafter – </w:t>
      </w:r>
      <w:r w:rsidRPr="0029103E">
        <w:rPr>
          <w:rFonts w:ascii="Times New Roman" w:hAnsi="Times New Roman" w:cs="Times New Roman"/>
          <w:sz w:val="24"/>
          <w:lang w:val="en-US"/>
        </w:rPr>
        <w:t>LEOWM</w:t>
      </w:r>
      <w:r w:rsidR="009F472A">
        <w:rPr>
          <w:rFonts w:ascii="Times New Roman" w:hAnsi="Times New Roman" w:cs="Times New Roman"/>
          <w:sz w:val="24"/>
          <w:lang w:val="en-US"/>
        </w:rPr>
        <w:t>)</w:t>
      </w:r>
      <w:r w:rsidRPr="0029103E">
        <w:rPr>
          <w:rFonts w:ascii="Times New Roman" w:hAnsi="Times New Roman" w:cs="Times New Roman"/>
          <w:sz w:val="24"/>
          <w:lang w:val="en-US"/>
        </w:rPr>
        <w:t xml:space="preserve"> ensur</w:t>
      </w:r>
      <w:r w:rsidR="009F472A">
        <w:rPr>
          <w:rFonts w:ascii="Times New Roman" w:hAnsi="Times New Roman" w:cs="Times New Roman"/>
          <w:sz w:val="24"/>
          <w:lang w:val="en-US"/>
        </w:rPr>
        <w:t xml:space="preserve">e </w:t>
      </w:r>
      <w:r w:rsidRPr="0029103E">
        <w:rPr>
          <w:rFonts w:ascii="Times New Roman" w:hAnsi="Times New Roman" w:cs="Times New Roman"/>
          <w:sz w:val="24"/>
          <w:lang w:val="en-US"/>
        </w:rPr>
        <w:t xml:space="preserve">more effective protection of </w:t>
      </w:r>
      <w:r w:rsidR="009F472A">
        <w:rPr>
          <w:rFonts w:ascii="Times New Roman" w:hAnsi="Times New Roman" w:cs="Times New Roman"/>
          <w:sz w:val="24"/>
          <w:lang w:val="en-US"/>
        </w:rPr>
        <w:t xml:space="preserve">individuals from discrimination. It was </w:t>
      </w:r>
      <w:r w:rsidRPr="0029103E">
        <w:rPr>
          <w:rFonts w:ascii="Times New Roman" w:hAnsi="Times New Roman" w:cs="Times New Roman"/>
          <w:sz w:val="24"/>
          <w:lang w:val="en-US"/>
        </w:rPr>
        <w:t>clarified that discrimination includes discrimination against women due to pregnancy and maternity, and that not only sexual, but other forms of harassment are also prohibited at work.</w:t>
      </w:r>
      <w:r w:rsidR="0029103E" w:rsidRPr="0029103E">
        <w:rPr>
          <w:rFonts w:ascii="Times New Roman" w:hAnsi="Times New Roman" w:cs="Times New Roman"/>
          <w:sz w:val="24"/>
          <w:lang w:val="en-US"/>
        </w:rPr>
        <w:t xml:space="preserve"> On 11 May 2017, the amendments to the L</w:t>
      </w:r>
      <w:r w:rsidR="009F472A">
        <w:rPr>
          <w:rFonts w:ascii="Times New Roman" w:hAnsi="Times New Roman" w:cs="Times New Roman"/>
          <w:sz w:val="24"/>
          <w:lang w:val="en-US"/>
        </w:rPr>
        <w:t xml:space="preserve">aw on </w:t>
      </w:r>
      <w:r w:rsidR="0029103E" w:rsidRPr="0029103E">
        <w:rPr>
          <w:rFonts w:ascii="Times New Roman" w:hAnsi="Times New Roman" w:cs="Times New Roman"/>
          <w:sz w:val="24"/>
          <w:lang w:val="en-US"/>
        </w:rPr>
        <w:t>E</w:t>
      </w:r>
      <w:r w:rsidR="009F472A">
        <w:rPr>
          <w:rFonts w:ascii="Times New Roman" w:hAnsi="Times New Roman" w:cs="Times New Roman"/>
          <w:sz w:val="24"/>
          <w:lang w:val="en-US"/>
        </w:rPr>
        <w:t xml:space="preserve">qual </w:t>
      </w:r>
      <w:r w:rsidR="0029103E" w:rsidRPr="0029103E">
        <w:rPr>
          <w:rFonts w:ascii="Times New Roman" w:hAnsi="Times New Roman" w:cs="Times New Roman"/>
          <w:sz w:val="24"/>
          <w:lang w:val="en-US"/>
        </w:rPr>
        <w:t>O</w:t>
      </w:r>
      <w:r w:rsidR="009F472A">
        <w:rPr>
          <w:rFonts w:ascii="Times New Roman" w:hAnsi="Times New Roman" w:cs="Times New Roman"/>
          <w:sz w:val="24"/>
          <w:lang w:val="en-US"/>
        </w:rPr>
        <w:t>pportunities</w:t>
      </w:r>
      <w:r w:rsidR="009F472A" w:rsidRPr="009F472A">
        <w:rPr>
          <w:rFonts w:ascii="Times New Roman" w:hAnsi="Times New Roman" w:cs="Times New Roman"/>
          <w:sz w:val="24"/>
          <w:lang w:val="en-US"/>
        </w:rPr>
        <w:t xml:space="preserve"> of the Republic of Lithuania</w:t>
      </w:r>
      <w:r w:rsidR="0029103E" w:rsidRPr="0029103E">
        <w:rPr>
          <w:rFonts w:ascii="Times New Roman" w:hAnsi="Times New Roman" w:cs="Times New Roman"/>
          <w:sz w:val="24"/>
          <w:lang w:val="en-US"/>
        </w:rPr>
        <w:t xml:space="preserve"> and the LEOWM were adopted, obliging the employer to ensure </w:t>
      </w:r>
      <w:r w:rsidR="0029103E" w:rsidRPr="00456006">
        <w:rPr>
          <w:rFonts w:ascii="Times New Roman" w:hAnsi="Times New Roman" w:cs="Times New Roman"/>
          <w:b/>
          <w:sz w:val="24"/>
          <w:lang w:val="en-US"/>
        </w:rPr>
        <w:t>protection against sexual harassment</w:t>
      </w:r>
      <w:r w:rsidR="0029103E" w:rsidRPr="0029103E">
        <w:rPr>
          <w:rFonts w:ascii="Times New Roman" w:hAnsi="Times New Roman" w:cs="Times New Roman"/>
          <w:sz w:val="24"/>
          <w:lang w:val="en-US"/>
        </w:rPr>
        <w:t xml:space="preserve"> not only to term-contract employees, and to civil servants, but also to job seekers.</w:t>
      </w:r>
      <w:r w:rsidR="0061575A">
        <w:rPr>
          <w:rFonts w:ascii="Times New Roman" w:hAnsi="Times New Roman" w:cs="Times New Roman"/>
          <w:sz w:val="24"/>
          <w:lang w:val="en-US"/>
        </w:rPr>
        <w:t xml:space="preserve"> </w:t>
      </w:r>
      <w:r w:rsidR="00F51A69" w:rsidRPr="001A6D3C">
        <w:rPr>
          <w:rFonts w:ascii="Times New Roman" w:hAnsi="Times New Roman" w:cs="Times New Roman"/>
          <w:sz w:val="24"/>
          <w:lang w:val="en-GB"/>
        </w:rPr>
        <w:t>The acts of an employer shall be deemed as violating equal treatment if</w:t>
      </w:r>
      <w:r w:rsidR="00624D58">
        <w:rPr>
          <w:rFonts w:ascii="Times New Roman" w:hAnsi="Times New Roman" w:cs="Times New Roman"/>
          <w:sz w:val="24"/>
          <w:lang w:val="en-GB"/>
        </w:rPr>
        <w:t>,</w:t>
      </w:r>
      <w:r w:rsidR="00F51A69" w:rsidRPr="001A6D3C">
        <w:rPr>
          <w:rFonts w:ascii="Times New Roman" w:hAnsi="Times New Roman" w:cs="Times New Roman"/>
          <w:sz w:val="24"/>
          <w:lang w:val="en-GB"/>
        </w:rPr>
        <w:t xml:space="preserve"> due to a person’s age, sexual orientation, disability, racial or ethnic origin, religion or beliefs</w:t>
      </w:r>
      <w:r w:rsidR="00624D58">
        <w:rPr>
          <w:rFonts w:ascii="Times New Roman" w:hAnsi="Times New Roman" w:cs="Times New Roman"/>
          <w:sz w:val="24"/>
          <w:lang w:val="en-GB"/>
        </w:rPr>
        <w:t>,</w:t>
      </w:r>
      <w:r w:rsidR="00F51A69" w:rsidRPr="001A6D3C">
        <w:rPr>
          <w:rFonts w:ascii="Times New Roman" w:hAnsi="Times New Roman" w:cs="Times New Roman"/>
          <w:sz w:val="24"/>
          <w:lang w:val="en-GB"/>
        </w:rPr>
        <w:t xml:space="preserve"> less (more) favourable condition</w:t>
      </w:r>
      <w:r w:rsidR="00624D58">
        <w:rPr>
          <w:rFonts w:ascii="Times New Roman" w:hAnsi="Times New Roman" w:cs="Times New Roman"/>
          <w:sz w:val="24"/>
          <w:lang w:val="en-GB"/>
        </w:rPr>
        <w:t>s</w:t>
      </w:r>
      <w:r w:rsidR="00F51A69" w:rsidRPr="001A6D3C">
        <w:rPr>
          <w:rFonts w:ascii="Times New Roman" w:hAnsi="Times New Roman" w:cs="Times New Roman"/>
          <w:sz w:val="24"/>
          <w:lang w:val="en-GB"/>
        </w:rPr>
        <w:t xml:space="preserve"> of employment or recruitment</w:t>
      </w:r>
      <w:r w:rsidR="00624D58">
        <w:rPr>
          <w:rFonts w:ascii="Times New Roman" w:hAnsi="Times New Roman" w:cs="Times New Roman"/>
          <w:sz w:val="24"/>
          <w:lang w:val="en-GB"/>
        </w:rPr>
        <w:t xml:space="preserve"> </w:t>
      </w:r>
      <w:r w:rsidR="00624D58" w:rsidRPr="001A6D3C">
        <w:rPr>
          <w:rFonts w:ascii="Times New Roman" w:hAnsi="Times New Roman" w:cs="Times New Roman"/>
          <w:sz w:val="24"/>
          <w:lang w:val="en-GB"/>
        </w:rPr>
        <w:t>to public service</w:t>
      </w:r>
      <w:r w:rsidR="00624D58">
        <w:rPr>
          <w:rFonts w:ascii="Times New Roman" w:hAnsi="Times New Roman" w:cs="Times New Roman"/>
          <w:sz w:val="24"/>
          <w:lang w:val="en-GB"/>
        </w:rPr>
        <w:t xml:space="preserve"> are applied</w:t>
      </w:r>
      <w:r w:rsidR="00F51A69" w:rsidRPr="001A6D3C">
        <w:rPr>
          <w:rFonts w:ascii="Times New Roman" w:hAnsi="Times New Roman" w:cs="Times New Roman"/>
          <w:sz w:val="24"/>
          <w:lang w:val="en-GB"/>
        </w:rPr>
        <w:t>;</w:t>
      </w:r>
      <w:bookmarkStart w:id="1" w:name="part_97b78cf162054db69912bca1a2d62d77"/>
      <w:bookmarkEnd w:id="1"/>
      <w:r w:rsidR="00F51A69" w:rsidRPr="001A6D3C">
        <w:rPr>
          <w:rFonts w:ascii="Times New Roman" w:hAnsi="Times New Roman" w:cs="Times New Roman"/>
          <w:sz w:val="24"/>
          <w:lang w:val="en-GB"/>
        </w:rPr>
        <w:t xml:space="preserve"> </w:t>
      </w:r>
      <w:r w:rsidR="00624D58">
        <w:rPr>
          <w:rFonts w:ascii="Times New Roman" w:hAnsi="Times New Roman" w:cs="Times New Roman"/>
          <w:sz w:val="24"/>
          <w:lang w:val="en-GB"/>
        </w:rPr>
        <w:t xml:space="preserve">if a </w:t>
      </w:r>
      <w:r w:rsidR="00F51A69" w:rsidRPr="001A6D3C">
        <w:rPr>
          <w:rFonts w:ascii="Times New Roman" w:hAnsi="Times New Roman" w:cs="Times New Roman"/>
          <w:sz w:val="24"/>
          <w:lang w:val="en-GB"/>
        </w:rPr>
        <w:t xml:space="preserve">different pay </w:t>
      </w:r>
      <w:r w:rsidR="00624D58">
        <w:rPr>
          <w:rFonts w:ascii="Times New Roman" w:hAnsi="Times New Roman" w:cs="Times New Roman"/>
          <w:sz w:val="24"/>
          <w:lang w:val="en-GB"/>
        </w:rPr>
        <w:t xml:space="preserve">is applied </w:t>
      </w:r>
      <w:r w:rsidR="00F51A69" w:rsidRPr="001A6D3C">
        <w:rPr>
          <w:rFonts w:ascii="Times New Roman" w:hAnsi="Times New Roman" w:cs="Times New Roman"/>
          <w:sz w:val="24"/>
          <w:lang w:val="en-GB"/>
        </w:rPr>
        <w:t>for equal work o</w:t>
      </w:r>
      <w:r w:rsidR="00624D58">
        <w:rPr>
          <w:rFonts w:ascii="Times New Roman" w:hAnsi="Times New Roman" w:cs="Times New Roman"/>
          <w:sz w:val="24"/>
          <w:lang w:val="en-GB"/>
        </w:rPr>
        <w:t>r</w:t>
      </w:r>
      <w:r w:rsidR="00F51A69" w:rsidRPr="001A6D3C">
        <w:rPr>
          <w:rFonts w:ascii="Times New Roman" w:hAnsi="Times New Roman" w:cs="Times New Roman"/>
          <w:sz w:val="24"/>
          <w:lang w:val="en-GB"/>
        </w:rPr>
        <w:t xml:space="preserve"> work of equal value;</w:t>
      </w:r>
      <w:bookmarkStart w:id="2" w:name="part_47fad7f853a0466d840179706eab9a20"/>
      <w:bookmarkEnd w:id="2"/>
      <w:r w:rsidR="00F51A69" w:rsidRPr="001A6D3C">
        <w:rPr>
          <w:rFonts w:ascii="Times New Roman" w:hAnsi="Times New Roman" w:cs="Times New Roman"/>
          <w:sz w:val="24"/>
          <w:lang w:val="en-GB"/>
        </w:rPr>
        <w:t xml:space="preserve"> </w:t>
      </w:r>
      <w:r w:rsidR="00624D58">
        <w:rPr>
          <w:rFonts w:ascii="Times New Roman" w:hAnsi="Times New Roman" w:cs="Times New Roman"/>
          <w:sz w:val="24"/>
          <w:lang w:val="en-GB"/>
        </w:rPr>
        <w:t xml:space="preserve">if, </w:t>
      </w:r>
      <w:r w:rsidR="00F51A69" w:rsidRPr="001A6D3C">
        <w:rPr>
          <w:rFonts w:ascii="Times New Roman" w:hAnsi="Times New Roman" w:cs="Times New Roman"/>
          <w:sz w:val="24"/>
          <w:lang w:val="en-GB"/>
        </w:rPr>
        <w:t>in organising work or public service, worse (better) conditions of work, service, qualification or vocational trainin</w:t>
      </w:r>
      <w:r w:rsidR="00EC74AB">
        <w:rPr>
          <w:rFonts w:ascii="Times New Roman" w:hAnsi="Times New Roman" w:cs="Times New Roman"/>
          <w:sz w:val="24"/>
          <w:lang w:val="en-GB"/>
        </w:rPr>
        <w:t>g</w:t>
      </w:r>
      <w:r w:rsidR="00F51A69" w:rsidRPr="001A6D3C">
        <w:rPr>
          <w:rFonts w:ascii="Times New Roman" w:hAnsi="Times New Roman" w:cs="Times New Roman"/>
          <w:sz w:val="24"/>
          <w:lang w:val="en-GB"/>
        </w:rPr>
        <w:t>, retraining and work experience acquisition for an employee or public servant</w:t>
      </w:r>
      <w:r w:rsidR="00624D58">
        <w:rPr>
          <w:rFonts w:ascii="Times New Roman" w:hAnsi="Times New Roman" w:cs="Times New Roman"/>
          <w:sz w:val="24"/>
          <w:lang w:val="en-GB"/>
        </w:rPr>
        <w:t xml:space="preserve"> are created</w:t>
      </w:r>
      <w:r w:rsidR="00F51A69" w:rsidRPr="001A6D3C">
        <w:rPr>
          <w:rFonts w:ascii="Times New Roman" w:hAnsi="Times New Roman" w:cs="Times New Roman"/>
          <w:sz w:val="24"/>
          <w:lang w:val="en-GB"/>
        </w:rPr>
        <w:t>;</w:t>
      </w:r>
      <w:bookmarkStart w:id="3" w:name="part_28990ecb219148b6a21b253ba112d89d"/>
      <w:bookmarkEnd w:id="3"/>
      <w:r w:rsidR="00F51A69" w:rsidRPr="001A6D3C">
        <w:rPr>
          <w:rFonts w:ascii="Times New Roman" w:hAnsi="Times New Roman" w:cs="Times New Roman"/>
          <w:sz w:val="24"/>
          <w:lang w:val="en-GB"/>
        </w:rPr>
        <w:t xml:space="preserve"> </w:t>
      </w:r>
      <w:r w:rsidR="00624D58">
        <w:rPr>
          <w:rFonts w:ascii="Times New Roman" w:hAnsi="Times New Roman" w:cs="Times New Roman"/>
          <w:sz w:val="24"/>
          <w:lang w:val="en-GB"/>
        </w:rPr>
        <w:t xml:space="preserve">if the employer </w:t>
      </w:r>
      <w:r w:rsidR="00F51A69" w:rsidRPr="001A6D3C">
        <w:rPr>
          <w:rFonts w:ascii="Times New Roman" w:hAnsi="Times New Roman" w:cs="Times New Roman"/>
          <w:sz w:val="24"/>
          <w:lang w:val="en-GB"/>
        </w:rPr>
        <w:t>imposes a sanction on an employee or public servant, changes working, or public service conditions, transfers him</w:t>
      </w:r>
      <w:r w:rsidR="00624D58">
        <w:rPr>
          <w:rFonts w:ascii="Times New Roman" w:hAnsi="Times New Roman" w:cs="Times New Roman"/>
          <w:sz w:val="24"/>
          <w:lang w:val="en-GB"/>
        </w:rPr>
        <w:t>/her</w:t>
      </w:r>
      <w:r w:rsidR="00F51A69" w:rsidRPr="001A6D3C">
        <w:rPr>
          <w:rFonts w:ascii="Times New Roman" w:hAnsi="Times New Roman" w:cs="Times New Roman"/>
          <w:sz w:val="24"/>
          <w:lang w:val="en-GB"/>
        </w:rPr>
        <w:t xml:space="preserve"> to other work, </w:t>
      </w:r>
      <w:r w:rsidR="00EC74AB" w:rsidRPr="001A6D3C">
        <w:rPr>
          <w:rFonts w:ascii="Times New Roman" w:hAnsi="Times New Roman" w:cs="Times New Roman"/>
          <w:sz w:val="24"/>
          <w:lang w:val="en-GB"/>
        </w:rPr>
        <w:t>position terminates</w:t>
      </w:r>
      <w:r w:rsidR="00F51A69" w:rsidRPr="001A6D3C">
        <w:rPr>
          <w:rFonts w:ascii="Times New Roman" w:hAnsi="Times New Roman" w:cs="Times New Roman"/>
          <w:sz w:val="24"/>
          <w:lang w:val="en-GB"/>
        </w:rPr>
        <w:t xml:space="preserve"> the employment contract or dismisses from the public service;</w:t>
      </w:r>
      <w:bookmarkStart w:id="4" w:name="part_0ae5e37ea3b0407c8bf228f0b9457f3c"/>
      <w:bookmarkEnd w:id="4"/>
      <w:r w:rsidR="00F51A69" w:rsidRPr="001A6D3C">
        <w:rPr>
          <w:rFonts w:ascii="Times New Roman" w:hAnsi="Times New Roman" w:cs="Times New Roman"/>
          <w:sz w:val="24"/>
          <w:lang w:val="en-GB"/>
        </w:rPr>
        <w:t xml:space="preserve"> persecutes the employee or public servant, who has filed a complaint  regarding discrimination, fails to take measures, to protect the employee or public servant from hostile behaviour or negative consequences.</w:t>
      </w:r>
    </w:p>
    <w:p w14:paraId="51016107" w14:textId="77777777" w:rsidR="001F1907" w:rsidRDefault="001F1907" w:rsidP="001F1907">
      <w:pPr>
        <w:jc w:val="both"/>
        <w:rPr>
          <w:rFonts w:ascii="Times New Roman" w:hAnsi="Times New Roman" w:cs="Times New Roman"/>
          <w:sz w:val="24"/>
          <w:lang w:val="en-GB"/>
        </w:rPr>
      </w:pPr>
      <w:r>
        <w:rPr>
          <w:rFonts w:ascii="Times New Roman" w:hAnsi="Times New Roman" w:cs="Times New Roman"/>
          <w:sz w:val="24"/>
          <w:lang w:val="en-GB"/>
        </w:rPr>
        <w:t xml:space="preserve">LC also establishes the </w:t>
      </w:r>
      <w:r w:rsidRPr="00456006">
        <w:rPr>
          <w:rFonts w:ascii="Times New Roman" w:hAnsi="Times New Roman" w:cs="Times New Roman"/>
          <w:b/>
          <w:sz w:val="24"/>
          <w:lang w:val="en-GB"/>
        </w:rPr>
        <w:t>principle of respect for the employee’s family obligations</w:t>
      </w:r>
      <w:r>
        <w:rPr>
          <w:rFonts w:ascii="Times New Roman" w:hAnsi="Times New Roman" w:cs="Times New Roman"/>
          <w:sz w:val="24"/>
          <w:lang w:val="en-GB"/>
        </w:rPr>
        <w:t xml:space="preserve">. </w:t>
      </w:r>
      <w:r w:rsidRPr="001F1907">
        <w:rPr>
          <w:rFonts w:ascii="Times New Roman" w:hAnsi="Times New Roman" w:cs="Times New Roman"/>
          <w:sz w:val="24"/>
          <w:lang w:val="en-GB"/>
        </w:rPr>
        <w:t>The employer must take measures to help the employee to fulfil</w:t>
      </w:r>
      <w:r>
        <w:rPr>
          <w:rFonts w:ascii="Times New Roman" w:hAnsi="Times New Roman" w:cs="Times New Roman"/>
          <w:sz w:val="24"/>
          <w:lang w:val="en-GB"/>
        </w:rPr>
        <w:t xml:space="preserve"> his or her family obligations. E</w:t>
      </w:r>
      <w:r w:rsidRPr="001F1907">
        <w:rPr>
          <w:rFonts w:ascii="Times New Roman" w:hAnsi="Times New Roman" w:cs="Times New Roman"/>
          <w:sz w:val="24"/>
          <w:lang w:val="en-GB"/>
        </w:rPr>
        <w:t>mployee requests related to the fulfilment of family obligations must be considered and given a motivated writt</w:t>
      </w:r>
      <w:r w:rsidR="00084465">
        <w:rPr>
          <w:rFonts w:ascii="Times New Roman" w:hAnsi="Times New Roman" w:cs="Times New Roman"/>
          <w:sz w:val="24"/>
          <w:lang w:val="en-GB"/>
        </w:rPr>
        <w:t xml:space="preserve">en response by the employer. </w:t>
      </w:r>
      <w:r w:rsidRPr="001F1907">
        <w:rPr>
          <w:rFonts w:ascii="Times New Roman" w:hAnsi="Times New Roman" w:cs="Times New Roman"/>
          <w:sz w:val="24"/>
          <w:lang w:val="en-GB"/>
        </w:rPr>
        <w:t>An employee’s behaviour and actions at work should be evaluated by the employer in an effort to practically and comprehensively implement the principle of work–</w:t>
      </w:r>
      <w:r w:rsidR="00084465">
        <w:rPr>
          <w:rFonts w:ascii="Times New Roman" w:hAnsi="Times New Roman" w:cs="Times New Roman"/>
          <w:sz w:val="24"/>
          <w:lang w:val="en-GB"/>
        </w:rPr>
        <w:t>life balance</w:t>
      </w:r>
      <w:r w:rsidRPr="001F1907">
        <w:rPr>
          <w:rFonts w:ascii="Times New Roman" w:hAnsi="Times New Roman" w:cs="Times New Roman"/>
          <w:sz w:val="24"/>
          <w:lang w:val="en-GB"/>
        </w:rPr>
        <w:t>.</w:t>
      </w:r>
    </w:p>
    <w:p w14:paraId="3CF4337E" w14:textId="77777777" w:rsidR="003C0729" w:rsidRDefault="00084465" w:rsidP="003C0729">
      <w:pPr>
        <w:jc w:val="both"/>
        <w:rPr>
          <w:rFonts w:ascii="Times New Roman" w:hAnsi="Times New Roman" w:cs="Times New Roman"/>
          <w:sz w:val="24"/>
          <w:lang w:val="en-GB"/>
        </w:rPr>
      </w:pPr>
      <w:r>
        <w:rPr>
          <w:rFonts w:ascii="Times New Roman" w:hAnsi="Times New Roman" w:cs="Times New Roman"/>
          <w:sz w:val="24"/>
          <w:lang w:val="en-GB"/>
        </w:rPr>
        <w:t xml:space="preserve">To facilitate the implementation of the </w:t>
      </w:r>
      <w:r w:rsidRPr="00456006">
        <w:rPr>
          <w:rFonts w:ascii="Times New Roman" w:hAnsi="Times New Roman" w:cs="Times New Roman"/>
          <w:b/>
          <w:sz w:val="24"/>
          <w:lang w:val="en-GB"/>
        </w:rPr>
        <w:t>principle of work-life balance</w:t>
      </w:r>
      <w:r>
        <w:rPr>
          <w:rFonts w:ascii="Times New Roman" w:hAnsi="Times New Roman" w:cs="Times New Roman"/>
          <w:sz w:val="24"/>
          <w:lang w:val="en-GB"/>
        </w:rPr>
        <w:t xml:space="preserve"> new</w:t>
      </w:r>
      <w:r w:rsidR="00115EC6">
        <w:rPr>
          <w:rFonts w:ascii="Times New Roman" w:hAnsi="Times New Roman" w:cs="Times New Roman"/>
          <w:sz w:val="24"/>
          <w:lang w:val="en-GB"/>
        </w:rPr>
        <w:t>,</w:t>
      </w:r>
      <w:r>
        <w:rPr>
          <w:rFonts w:ascii="Times New Roman" w:hAnsi="Times New Roman" w:cs="Times New Roman"/>
          <w:sz w:val="24"/>
          <w:lang w:val="en-GB"/>
        </w:rPr>
        <w:t xml:space="preserve"> more flexible work arrangements have been introduced. </w:t>
      </w:r>
      <w:r w:rsidR="00207E98" w:rsidRPr="00207E98">
        <w:rPr>
          <w:rFonts w:ascii="Times New Roman" w:hAnsi="Times New Roman" w:cs="Times New Roman"/>
          <w:sz w:val="24"/>
          <w:lang w:val="en-GB"/>
        </w:rPr>
        <w:t xml:space="preserve">The LC has enshrined </w:t>
      </w:r>
      <w:r w:rsidR="003C0729">
        <w:rPr>
          <w:rFonts w:ascii="Times New Roman" w:hAnsi="Times New Roman" w:cs="Times New Roman"/>
          <w:sz w:val="24"/>
          <w:lang w:val="en-GB"/>
        </w:rPr>
        <w:t>the following types of w</w:t>
      </w:r>
      <w:r w:rsidR="003C0729" w:rsidRPr="003C0729">
        <w:rPr>
          <w:rFonts w:ascii="Times New Roman" w:hAnsi="Times New Roman" w:cs="Times New Roman"/>
          <w:sz w:val="24"/>
          <w:lang w:val="en-GB"/>
        </w:rPr>
        <w:t xml:space="preserve">orking-time </w:t>
      </w:r>
      <w:r w:rsidR="003C0729" w:rsidRPr="003C0729">
        <w:rPr>
          <w:rFonts w:ascii="Times New Roman" w:hAnsi="Times New Roman" w:cs="Times New Roman"/>
          <w:sz w:val="24"/>
          <w:lang w:val="en-GB"/>
        </w:rPr>
        <w:lastRenderedPageBreak/>
        <w:t>arrangements</w:t>
      </w:r>
      <w:r w:rsidR="00207E98" w:rsidRPr="00207E98">
        <w:rPr>
          <w:rFonts w:ascii="Times New Roman" w:hAnsi="Times New Roman" w:cs="Times New Roman"/>
          <w:sz w:val="24"/>
          <w:lang w:val="en-GB"/>
        </w:rPr>
        <w:t xml:space="preserve">: </w:t>
      </w:r>
      <w:r w:rsidR="003C0729" w:rsidRPr="003C0729">
        <w:rPr>
          <w:rFonts w:ascii="Times New Roman" w:hAnsi="Times New Roman" w:cs="Times New Roman"/>
          <w:sz w:val="24"/>
          <w:lang w:val="en-GB"/>
        </w:rPr>
        <w:t>fixed duration of workdays/shifts and number of working days per week;</w:t>
      </w:r>
      <w:r w:rsidR="003C0729">
        <w:rPr>
          <w:rFonts w:ascii="Times New Roman" w:hAnsi="Times New Roman" w:cs="Times New Roman"/>
          <w:sz w:val="24"/>
          <w:lang w:val="en-GB"/>
        </w:rPr>
        <w:t xml:space="preserve"> </w:t>
      </w:r>
      <w:r w:rsidR="003C0729" w:rsidRPr="003C0729">
        <w:rPr>
          <w:rFonts w:ascii="Times New Roman" w:hAnsi="Times New Roman" w:cs="Times New Roman"/>
          <w:sz w:val="24"/>
          <w:lang w:val="en-GB"/>
        </w:rPr>
        <w:t>annualised hours, when the standard working hours for the entire reference period are fulfill</w:t>
      </w:r>
      <w:r w:rsidR="003C0729">
        <w:rPr>
          <w:rFonts w:ascii="Times New Roman" w:hAnsi="Times New Roman" w:cs="Times New Roman"/>
          <w:sz w:val="24"/>
          <w:lang w:val="en-GB"/>
        </w:rPr>
        <w:t xml:space="preserve">ed during the reference period; </w:t>
      </w:r>
      <w:r w:rsidR="003C0729" w:rsidRPr="003C0729">
        <w:rPr>
          <w:rFonts w:ascii="Times New Roman" w:hAnsi="Times New Roman" w:cs="Times New Roman"/>
          <w:sz w:val="24"/>
          <w:lang w:val="en-GB"/>
        </w:rPr>
        <w:t>a flexible work schedule where an employee is required to be present at the workplace for certain hours of the workday/shift, but can work the other hours of the workday/shift befo</w:t>
      </w:r>
      <w:r w:rsidR="003C0729">
        <w:rPr>
          <w:rFonts w:ascii="Times New Roman" w:hAnsi="Times New Roman" w:cs="Times New Roman"/>
          <w:sz w:val="24"/>
          <w:lang w:val="en-GB"/>
        </w:rPr>
        <w:t xml:space="preserve">re or after the required hours; </w:t>
      </w:r>
      <w:r w:rsidR="003C0729" w:rsidRPr="003C0729">
        <w:rPr>
          <w:rFonts w:ascii="Times New Roman" w:hAnsi="Times New Roman" w:cs="Times New Roman"/>
          <w:sz w:val="24"/>
          <w:lang w:val="en-GB"/>
        </w:rPr>
        <w:t>split shift working-time arrangements, when work is done on the same day/shift with a break to rest and eat that is longer than the established maximum length</w:t>
      </w:r>
      <w:r w:rsidR="003C0729">
        <w:rPr>
          <w:rFonts w:ascii="Times New Roman" w:hAnsi="Times New Roman" w:cs="Times New Roman"/>
          <w:sz w:val="24"/>
          <w:lang w:val="en-GB"/>
        </w:rPr>
        <w:t xml:space="preserve"> of breaks to rest and eat and </w:t>
      </w:r>
      <w:r w:rsidR="003C0729" w:rsidRPr="003C0729">
        <w:rPr>
          <w:rFonts w:ascii="Times New Roman" w:hAnsi="Times New Roman" w:cs="Times New Roman"/>
          <w:sz w:val="24"/>
          <w:lang w:val="en-GB"/>
        </w:rPr>
        <w:t>individualised working-time arrangements.</w:t>
      </w:r>
    </w:p>
    <w:p w14:paraId="7F683C77" w14:textId="77777777" w:rsidR="00207E98" w:rsidRDefault="00084465" w:rsidP="001F1907">
      <w:pPr>
        <w:jc w:val="both"/>
        <w:rPr>
          <w:rFonts w:ascii="Times New Roman" w:hAnsi="Times New Roman" w:cs="Times New Roman"/>
          <w:sz w:val="24"/>
          <w:lang w:val="en-GB"/>
        </w:rPr>
      </w:pPr>
      <w:r w:rsidRPr="00084465">
        <w:rPr>
          <w:rFonts w:ascii="Times New Roman" w:hAnsi="Times New Roman" w:cs="Times New Roman"/>
          <w:sz w:val="24"/>
          <w:lang w:val="en-GB"/>
        </w:rPr>
        <w:t xml:space="preserve">The </w:t>
      </w:r>
      <w:r w:rsidR="00456006">
        <w:rPr>
          <w:rFonts w:ascii="Times New Roman" w:hAnsi="Times New Roman" w:cs="Times New Roman"/>
          <w:sz w:val="24"/>
          <w:lang w:val="en-GB"/>
        </w:rPr>
        <w:t>LC</w:t>
      </w:r>
      <w:r w:rsidRPr="00084465">
        <w:rPr>
          <w:rFonts w:ascii="Times New Roman" w:hAnsi="Times New Roman" w:cs="Times New Roman"/>
          <w:sz w:val="24"/>
          <w:lang w:val="en-GB"/>
        </w:rPr>
        <w:t xml:space="preserve"> allows employees to agree with their employer on a part-time basis, but most importantly, gives the employee the opportunity to return to full-time employment.</w:t>
      </w:r>
      <w:r w:rsidR="00456006">
        <w:rPr>
          <w:rFonts w:ascii="Times New Roman" w:hAnsi="Times New Roman" w:cs="Times New Roman"/>
          <w:sz w:val="24"/>
          <w:lang w:val="en-GB"/>
        </w:rPr>
        <w:t xml:space="preserve"> </w:t>
      </w:r>
      <w:r w:rsidR="00456006" w:rsidRPr="00456006">
        <w:rPr>
          <w:rFonts w:ascii="Times New Roman" w:hAnsi="Times New Roman" w:cs="Times New Roman"/>
          <w:sz w:val="24"/>
          <w:lang w:val="en-GB"/>
        </w:rPr>
        <w:t xml:space="preserve">The employer must </w:t>
      </w:r>
      <w:r w:rsidR="00456006">
        <w:rPr>
          <w:rFonts w:ascii="Times New Roman" w:hAnsi="Times New Roman" w:cs="Times New Roman"/>
          <w:sz w:val="24"/>
          <w:lang w:val="en-GB"/>
        </w:rPr>
        <w:t>accept the</w:t>
      </w:r>
      <w:r w:rsidR="00456006" w:rsidRPr="00456006">
        <w:rPr>
          <w:rFonts w:ascii="Times New Roman" w:hAnsi="Times New Roman" w:cs="Times New Roman"/>
          <w:sz w:val="24"/>
          <w:lang w:val="en-GB"/>
        </w:rPr>
        <w:t xml:space="preserve"> request</w:t>
      </w:r>
      <w:r w:rsidR="00456006">
        <w:rPr>
          <w:rFonts w:ascii="Times New Roman" w:hAnsi="Times New Roman" w:cs="Times New Roman"/>
          <w:sz w:val="24"/>
          <w:lang w:val="en-GB"/>
        </w:rPr>
        <w:t xml:space="preserve"> of an employee on a part-time job</w:t>
      </w:r>
      <w:r w:rsidR="00456006" w:rsidRPr="00456006">
        <w:rPr>
          <w:rFonts w:ascii="Times New Roman" w:hAnsi="Times New Roman" w:cs="Times New Roman"/>
          <w:sz w:val="24"/>
          <w:lang w:val="en-GB"/>
        </w:rPr>
        <w:t xml:space="preserve"> if the employee</w:t>
      </w:r>
      <w:r w:rsidR="00456006">
        <w:rPr>
          <w:rFonts w:ascii="Times New Roman" w:hAnsi="Times New Roman" w:cs="Times New Roman"/>
          <w:sz w:val="24"/>
          <w:lang w:val="en-GB"/>
        </w:rPr>
        <w:t>’</w:t>
      </w:r>
      <w:r w:rsidR="00456006" w:rsidRPr="00456006">
        <w:rPr>
          <w:rFonts w:ascii="Times New Roman" w:hAnsi="Times New Roman" w:cs="Times New Roman"/>
          <w:sz w:val="24"/>
          <w:lang w:val="en-GB"/>
        </w:rPr>
        <w:t xml:space="preserve">s request is based on a medical opinion that the employee is in a state of health, disability or need to care for a family member, including a pregnant woman, </w:t>
      </w:r>
      <w:r w:rsidR="00EC4934" w:rsidRPr="00EC4934">
        <w:rPr>
          <w:rFonts w:ascii="Times New Roman" w:hAnsi="Times New Roman" w:cs="Times New Roman"/>
          <w:sz w:val="24"/>
          <w:lang w:val="en-GB"/>
        </w:rPr>
        <w:t>a woman who has recently giv</w:t>
      </w:r>
      <w:r w:rsidR="00EC4934">
        <w:rPr>
          <w:rFonts w:ascii="Times New Roman" w:hAnsi="Times New Roman" w:cs="Times New Roman"/>
          <w:sz w:val="24"/>
          <w:lang w:val="en-GB"/>
        </w:rPr>
        <w:t>en birth, a breastfeeding woman</w:t>
      </w:r>
      <w:r w:rsidR="00456006" w:rsidRPr="00456006">
        <w:rPr>
          <w:rFonts w:ascii="Times New Roman" w:hAnsi="Times New Roman" w:cs="Times New Roman"/>
          <w:sz w:val="24"/>
          <w:lang w:val="en-GB"/>
        </w:rPr>
        <w:t>, one parent raising a child under fourteen or a disabled child under the age of eighteen.</w:t>
      </w:r>
      <w:r w:rsidR="00EC4934">
        <w:rPr>
          <w:rFonts w:ascii="Times New Roman" w:hAnsi="Times New Roman" w:cs="Times New Roman"/>
          <w:sz w:val="24"/>
          <w:lang w:val="en-GB"/>
        </w:rPr>
        <w:t xml:space="preserve"> </w:t>
      </w:r>
      <w:r w:rsidR="00EC4934" w:rsidRPr="00EC4934">
        <w:rPr>
          <w:rFonts w:ascii="Times New Roman" w:hAnsi="Times New Roman" w:cs="Times New Roman"/>
          <w:sz w:val="24"/>
          <w:lang w:val="en-GB"/>
        </w:rPr>
        <w:t>If the employer cannot prove that it would cause excessive costs due to production necessity or the specifics of work organisation, the employer must satisfy an employee’s request to work at least one-fifth of standard working hours remotely when said is requested by an employee who is pregnant, who recently gave birth, or who is breast feeding, an employee who is raising a child under the age of three, or an employee who is a single parent raising a child under the age of 14 or a disabled child under the age of 18.</w:t>
      </w:r>
      <w:r w:rsidR="002F5EDF" w:rsidRPr="002F5EDF">
        <w:t xml:space="preserve"> </w:t>
      </w:r>
      <w:r w:rsidR="002F5EDF" w:rsidRPr="00452D24">
        <w:rPr>
          <w:rFonts w:ascii="Times New Roman" w:hAnsi="Times New Roman" w:cs="Times New Roman"/>
          <w:b/>
          <w:sz w:val="24"/>
          <w:lang w:val="en-GB"/>
        </w:rPr>
        <w:t>The right to free time off for family needs</w:t>
      </w:r>
      <w:r w:rsidR="002F5EDF">
        <w:rPr>
          <w:rFonts w:ascii="Times New Roman" w:hAnsi="Times New Roman" w:cs="Times New Roman"/>
          <w:sz w:val="24"/>
          <w:lang w:val="en-GB"/>
        </w:rPr>
        <w:t xml:space="preserve"> - </w:t>
      </w:r>
      <w:r w:rsidR="00855088">
        <w:rPr>
          <w:rFonts w:ascii="Times New Roman" w:hAnsi="Times New Roman" w:cs="Times New Roman"/>
          <w:sz w:val="24"/>
          <w:lang w:val="en-GB"/>
        </w:rPr>
        <w:t>d</w:t>
      </w:r>
      <w:r w:rsidR="00855088" w:rsidRPr="00855088">
        <w:rPr>
          <w:rFonts w:ascii="Times New Roman" w:hAnsi="Times New Roman" w:cs="Times New Roman"/>
          <w:sz w:val="24"/>
          <w:lang w:val="en-GB"/>
        </w:rPr>
        <w:t>uring the workday/shift, unpaid time off may be granted at the employee’s request and with the employer’s consent for the employee to take care of personal matters. The parties to an employment contract may agree to move working time to another workday/shift, as long as the maximum working time and minimum rest period requirements are not infringed upon.</w:t>
      </w:r>
    </w:p>
    <w:p w14:paraId="5CE49D4F" w14:textId="77777777" w:rsidR="00207E98" w:rsidRDefault="00207E98" w:rsidP="001F1907">
      <w:pPr>
        <w:jc w:val="both"/>
        <w:rPr>
          <w:rFonts w:ascii="Times New Roman" w:hAnsi="Times New Roman" w:cs="Times New Roman"/>
          <w:sz w:val="24"/>
          <w:lang w:val="en-GB"/>
        </w:rPr>
      </w:pPr>
      <w:r w:rsidRPr="00207E98">
        <w:rPr>
          <w:rFonts w:ascii="Times New Roman" w:hAnsi="Times New Roman" w:cs="Times New Roman"/>
          <w:sz w:val="24"/>
          <w:lang w:val="en-GB"/>
        </w:rPr>
        <w:t xml:space="preserve">In the implementation of the LC and the Law on Safety and Health at Work </w:t>
      </w:r>
      <w:r>
        <w:rPr>
          <w:rFonts w:ascii="Times New Roman" w:hAnsi="Times New Roman" w:cs="Times New Roman"/>
          <w:sz w:val="24"/>
          <w:lang w:val="en-GB"/>
        </w:rPr>
        <w:t xml:space="preserve">of the Republic of Lithuania, </w:t>
      </w:r>
      <w:r w:rsidRPr="00207E98">
        <w:rPr>
          <w:rFonts w:ascii="Times New Roman" w:hAnsi="Times New Roman" w:cs="Times New Roman"/>
          <w:sz w:val="24"/>
          <w:lang w:val="en-GB"/>
        </w:rPr>
        <w:t>the Description of the labour conditions of women before and after pregnancy and breastfeeding women was drawn up and approved that ca</w:t>
      </w:r>
      <w:r>
        <w:rPr>
          <w:rFonts w:ascii="Times New Roman" w:hAnsi="Times New Roman" w:cs="Times New Roman"/>
          <w:sz w:val="24"/>
          <w:lang w:val="en-GB"/>
        </w:rPr>
        <w:t>me into effect from 1 July 2017.</w:t>
      </w:r>
    </w:p>
    <w:p w14:paraId="4973D81C" w14:textId="77777777" w:rsidR="0021755B" w:rsidRDefault="0021755B" w:rsidP="001F1907">
      <w:pPr>
        <w:jc w:val="both"/>
        <w:rPr>
          <w:rFonts w:ascii="Times New Roman" w:hAnsi="Times New Roman" w:cs="Times New Roman"/>
          <w:sz w:val="24"/>
          <w:lang w:val="en-GB"/>
        </w:rPr>
      </w:pPr>
      <w:r>
        <w:rPr>
          <w:rFonts w:ascii="Times New Roman" w:hAnsi="Times New Roman" w:cs="Times New Roman"/>
          <w:sz w:val="24"/>
          <w:lang w:val="en-GB"/>
        </w:rPr>
        <w:t>According to t</w:t>
      </w:r>
      <w:r w:rsidRPr="0021755B">
        <w:rPr>
          <w:rFonts w:ascii="Times New Roman" w:hAnsi="Times New Roman" w:cs="Times New Roman"/>
          <w:sz w:val="24"/>
          <w:lang w:val="en-GB"/>
        </w:rPr>
        <w:t>he Law o</w:t>
      </w:r>
      <w:r>
        <w:rPr>
          <w:rFonts w:ascii="Times New Roman" w:hAnsi="Times New Roman" w:cs="Times New Roman"/>
          <w:sz w:val="24"/>
          <w:lang w:val="en-GB"/>
        </w:rPr>
        <w:t xml:space="preserve">n Employment of the Republic of Lithuania, </w:t>
      </w:r>
      <w:r w:rsidRPr="0021755B">
        <w:rPr>
          <w:rFonts w:ascii="Times New Roman" w:hAnsi="Times New Roman" w:cs="Times New Roman"/>
          <w:sz w:val="24"/>
          <w:lang w:val="en-GB"/>
        </w:rPr>
        <w:t>pregnant women, the child’s mother (adoptive mother), the child’s guardian, caretaker and persons who actually raise a child (adoptive child) under the age of 8 years or a disabled child (adoptive child) under the age of 18, and persons caring for the sick or disabled family members who have been established with the need for regular care or nursing, victims of human trafficking who have completed psychological social and/or vocational rehabilitation programmes are assigned to the group of individuals receiving additional support. These target groups could be subject to active labour market policy measures: employment subsidies, work rotation, public works, support for self-employment, vocational train</w:t>
      </w:r>
      <w:r>
        <w:rPr>
          <w:rFonts w:ascii="Times New Roman" w:hAnsi="Times New Roman" w:cs="Times New Roman"/>
          <w:sz w:val="24"/>
          <w:lang w:val="en-GB"/>
        </w:rPr>
        <w:t xml:space="preserve">ing. The Law on Employment </w:t>
      </w:r>
      <w:r w:rsidRPr="0021755B">
        <w:rPr>
          <w:rFonts w:ascii="Times New Roman" w:hAnsi="Times New Roman" w:cs="Times New Roman"/>
          <w:sz w:val="24"/>
          <w:lang w:val="en-GB"/>
        </w:rPr>
        <w:t>provides that these groups of people may be trained in employment promotion programmes.</w:t>
      </w:r>
    </w:p>
    <w:p w14:paraId="7C368009" w14:textId="77777777" w:rsidR="003756A2" w:rsidRDefault="003756A2" w:rsidP="00BB40BF">
      <w:pPr>
        <w:jc w:val="both"/>
        <w:rPr>
          <w:rFonts w:ascii="Times New Roman" w:hAnsi="Times New Roman" w:cs="Times New Roman"/>
          <w:sz w:val="24"/>
          <w:lang w:val="en-GB"/>
        </w:rPr>
      </w:pPr>
      <w:r w:rsidRPr="003756A2">
        <w:rPr>
          <w:rFonts w:ascii="Times New Roman" w:hAnsi="Times New Roman" w:cs="Times New Roman"/>
          <w:sz w:val="24"/>
          <w:lang w:val="en-GB"/>
        </w:rPr>
        <w:t xml:space="preserve">The Action Plan for the Implementation of the </w:t>
      </w:r>
      <w:r w:rsidRPr="003756A2">
        <w:rPr>
          <w:rFonts w:ascii="Times New Roman" w:hAnsi="Times New Roman" w:cs="Times New Roman"/>
          <w:b/>
          <w:sz w:val="24"/>
          <w:lang w:val="en-GB"/>
        </w:rPr>
        <w:t>National Programme of Equal Opportunities for Women and Men for 2015-2021</w:t>
      </w:r>
      <w:r w:rsidRPr="003756A2">
        <w:rPr>
          <w:rFonts w:ascii="Times New Roman" w:hAnsi="Times New Roman" w:cs="Times New Roman"/>
          <w:sz w:val="24"/>
          <w:lang w:val="en-GB"/>
        </w:rPr>
        <w:t xml:space="preserve"> for the period of 2018-2021</w:t>
      </w:r>
      <w:r>
        <w:rPr>
          <w:rFonts w:ascii="Times New Roman" w:hAnsi="Times New Roman" w:cs="Times New Roman"/>
          <w:sz w:val="24"/>
          <w:lang w:val="en-GB"/>
        </w:rPr>
        <w:t xml:space="preserve"> establishes the</w:t>
      </w:r>
      <w:r w:rsidR="00720033">
        <w:rPr>
          <w:rFonts w:ascii="Times New Roman" w:hAnsi="Times New Roman" w:cs="Times New Roman"/>
          <w:sz w:val="24"/>
          <w:lang w:val="en-GB"/>
        </w:rPr>
        <w:t xml:space="preserve"> goals</w:t>
      </w:r>
      <w:r>
        <w:rPr>
          <w:rFonts w:ascii="Times New Roman" w:hAnsi="Times New Roman" w:cs="Times New Roman"/>
          <w:sz w:val="24"/>
          <w:lang w:val="en-GB"/>
        </w:rPr>
        <w:t xml:space="preserve"> to r</w:t>
      </w:r>
      <w:r w:rsidRPr="003756A2">
        <w:rPr>
          <w:rFonts w:ascii="Times New Roman" w:hAnsi="Times New Roman" w:cs="Times New Roman"/>
          <w:sz w:val="24"/>
          <w:lang w:val="en-GB"/>
        </w:rPr>
        <w:t>educe sectoral and occupational segregation by gender</w:t>
      </w:r>
      <w:r w:rsidR="00720033">
        <w:rPr>
          <w:rFonts w:ascii="Times New Roman" w:hAnsi="Times New Roman" w:cs="Times New Roman"/>
          <w:sz w:val="24"/>
          <w:lang w:val="en-GB"/>
        </w:rPr>
        <w:t>, t</w:t>
      </w:r>
      <w:r w:rsidR="00720033" w:rsidRPr="00720033">
        <w:rPr>
          <w:rFonts w:ascii="Times New Roman" w:hAnsi="Times New Roman" w:cs="Times New Roman"/>
          <w:sz w:val="24"/>
          <w:lang w:val="en-GB"/>
        </w:rPr>
        <w:t>o increase women's, especially</w:t>
      </w:r>
      <w:r w:rsidR="00720033">
        <w:rPr>
          <w:rFonts w:ascii="Times New Roman" w:hAnsi="Times New Roman" w:cs="Times New Roman"/>
          <w:sz w:val="24"/>
          <w:lang w:val="en-GB"/>
        </w:rPr>
        <w:t xml:space="preserve"> in</w:t>
      </w:r>
      <w:r w:rsidR="00720033" w:rsidRPr="00720033">
        <w:rPr>
          <w:rFonts w:ascii="Times New Roman" w:hAnsi="Times New Roman" w:cs="Times New Roman"/>
          <w:sz w:val="24"/>
          <w:lang w:val="en-GB"/>
        </w:rPr>
        <w:t xml:space="preserve"> rural</w:t>
      </w:r>
      <w:r w:rsidR="00720033">
        <w:rPr>
          <w:rFonts w:ascii="Times New Roman" w:hAnsi="Times New Roman" w:cs="Times New Roman"/>
          <w:sz w:val="24"/>
          <w:lang w:val="en-GB"/>
        </w:rPr>
        <w:t xml:space="preserve"> areas</w:t>
      </w:r>
      <w:r w:rsidR="00720033" w:rsidRPr="00720033">
        <w:rPr>
          <w:rFonts w:ascii="Times New Roman" w:hAnsi="Times New Roman" w:cs="Times New Roman"/>
          <w:sz w:val="24"/>
          <w:lang w:val="en-GB"/>
        </w:rPr>
        <w:t xml:space="preserve">, business opportunities and development, </w:t>
      </w:r>
      <w:r w:rsidR="00720033">
        <w:rPr>
          <w:rFonts w:ascii="Times New Roman" w:hAnsi="Times New Roman" w:cs="Times New Roman"/>
          <w:sz w:val="24"/>
          <w:lang w:val="en-GB"/>
        </w:rPr>
        <w:t>to e</w:t>
      </w:r>
      <w:r w:rsidR="00720033" w:rsidRPr="00720033">
        <w:rPr>
          <w:rFonts w:ascii="Times New Roman" w:hAnsi="Times New Roman" w:cs="Times New Roman"/>
          <w:sz w:val="24"/>
          <w:lang w:val="en-GB"/>
        </w:rPr>
        <w:t>ncourage women's motivation and ability to participate in decision-making,</w:t>
      </w:r>
      <w:r w:rsidR="00720033">
        <w:rPr>
          <w:rFonts w:ascii="Times New Roman" w:hAnsi="Times New Roman" w:cs="Times New Roman"/>
          <w:sz w:val="24"/>
          <w:lang w:val="en-GB"/>
        </w:rPr>
        <w:t xml:space="preserve"> to</w:t>
      </w:r>
      <w:r w:rsidR="00720033" w:rsidRPr="00720033">
        <w:rPr>
          <w:rFonts w:ascii="Times New Roman" w:hAnsi="Times New Roman" w:cs="Times New Roman"/>
          <w:sz w:val="24"/>
          <w:lang w:val="en-GB"/>
        </w:rPr>
        <w:t xml:space="preserve"> </w:t>
      </w:r>
      <w:r w:rsidR="00720033">
        <w:rPr>
          <w:rFonts w:ascii="Times New Roman" w:hAnsi="Times New Roman" w:cs="Times New Roman"/>
          <w:sz w:val="24"/>
          <w:lang w:val="en-GB"/>
        </w:rPr>
        <w:t>c</w:t>
      </w:r>
      <w:r w:rsidR="00720033" w:rsidRPr="00720033">
        <w:rPr>
          <w:rFonts w:ascii="Times New Roman" w:hAnsi="Times New Roman" w:cs="Times New Roman"/>
          <w:sz w:val="24"/>
          <w:lang w:val="en-GB"/>
        </w:rPr>
        <w:t xml:space="preserve">reate women's career friendly environment, </w:t>
      </w:r>
      <w:r w:rsidR="00720033">
        <w:rPr>
          <w:rFonts w:ascii="Times New Roman" w:hAnsi="Times New Roman" w:cs="Times New Roman"/>
          <w:sz w:val="24"/>
          <w:lang w:val="en-GB"/>
        </w:rPr>
        <w:t>to e</w:t>
      </w:r>
      <w:r w:rsidR="00720033" w:rsidRPr="00720033">
        <w:rPr>
          <w:rFonts w:ascii="Times New Roman" w:hAnsi="Times New Roman" w:cs="Times New Roman"/>
          <w:sz w:val="24"/>
          <w:lang w:val="en-GB"/>
        </w:rPr>
        <w:t xml:space="preserve">ncourage girls and boys to </w:t>
      </w:r>
      <w:r w:rsidR="00720033" w:rsidRPr="00720033">
        <w:rPr>
          <w:rFonts w:ascii="Times New Roman" w:hAnsi="Times New Roman" w:cs="Times New Roman"/>
          <w:sz w:val="24"/>
          <w:lang w:val="en-GB"/>
        </w:rPr>
        <w:lastRenderedPageBreak/>
        <w:t xml:space="preserve">choose </w:t>
      </w:r>
      <w:r w:rsidR="00720033">
        <w:rPr>
          <w:rFonts w:ascii="Times New Roman" w:hAnsi="Times New Roman" w:cs="Times New Roman"/>
          <w:sz w:val="24"/>
          <w:lang w:val="en-GB"/>
        </w:rPr>
        <w:t>“</w:t>
      </w:r>
      <w:r w:rsidR="00720033" w:rsidRPr="00720033">
        <w:rPr>
          <w:rFonts w:ascii="Times New Roman" w:hAnsi="Times New Roman" w:cs="Times New Roman"/>
          <w:sz w:val="24"/>
          <w:lang w:val="en-GB"/>
        </w:rPr>
        <w:t>unconventional women and men</w:t>
      </w:r>
      <w:r w:rsidR="00720033">
        <w:rPr>
          <w:rFonts w:ascii="Times New Roman" w:hAnsi="Times New Roman" w:cs="Times New Roman"/>
          <w:sz w:val="24"/>
          <w:lang w:val="en-GB"/>
        </w:rPr>
        <w:t>”</w:t>
      </w:r>
      <w:r w:rsidR="00720033" w:rsidRPr="00720033">
        <w:rPr>
          <w:rFonts w:ascii="Times New Roman" w:hAnsi="Times New Roman" w:cs="Times New Roman"/>
          <w:sz w:val="24"/>
          <w:lang w:val="en-GB"/>
        </w:rPr>
        <w:t xml:space="preserve"> fields of study, professions</w:t>
      </w:r>
      <w:r w:rsidR="00720033">
        <w:rPr>
          <w:rFonts w:ascii="Times New Roman" w:hAnsi="Times New Roman" w:cs="Times New Roman"/>
          <w:sz w:val="24"/>
          <w:lang w:val="en-GB"/>
        </w:rPr>
        <w:t xml:space="preserve">. To achieve these goals </w:t>
      </w:r>
      <w:r w:rsidR="00AA0993">
        <w:rPr>
          <w:rFonts w:ascii="Times New Roman" w:hAnsi="Times New Roman" w:cs="Times New Roman"/>
          <w:sz w:val="24"/>
          <w:lang w:val="en-GB"/>
        </w:rPr>
        <w:t xml:space="preserve">it is envisaged to </w:t>
      </w:r>
      <w:r w:rsidR="00BB40BF">
        <w:rPr>
          <w:rFonts w:ascii="Times New Roman" w:hAnsi="Times New Roman" w:cs="Times New Roman"/>
          <w:sz w:val="24"/>
          <w:lang w:val="en-GB"/>
        </w:rPr>
        <w:t>s</w:t>
      </w:r>
      <w:r w:rsidR="00BB40BF" w:rsidRPr="00BB40BF">
        <w:rPr>
          <w:rFonts w:ascii="Times New Roman" w:hAnsi="Times New Roman" w:cs="Times New Roman"/>
          <w:sz w:val="24"/>
          <w:lang w:val="en-GB"/>
        </w:rPr>
        <w:t>upport initiatives to reduce gender segregation and its causes and effects</w:t>
      </w:r>
      <w:r w:rsidR="00BB40BF">
        <w:rPr>
          <w:rFonts w:ascii="Times New Roman" w:hAnsi="Times New Roman" w:cs="Times New Roman"/>
          <w:sz w:val="24"/>
          <w:lang w:val="en-GB"/>
        </w:rPr>
        <w:t>; to i</w:t>
      </w:r>
      <w:r w:rsidR="00BB40BF" w:rsidRPr="00BB40BF">
        <w:rPr>
          <w:rFonts w:ascii="Times New Roman" w:hAnsi="Times New Roman" w:cs="Times New Roman"/>
          <w:sz w:val="24"/>
          <w:lang w:val="en-GB"/>
        </w:rPr>
        <w:t>dentify the reasons why students are still gender-segregated in technology lessons and make suggestions to teachers on measures to help them tackle gender issues in technology lessons</w:t>
      </w:r>
      <w:r w:rsidR="00BB40BF">
        <w:rPr>
          <w:rFonts w:ascii="Times New Roman" w:hAnsi="Times New Roman" w:cs="Times New Roman"/>
          <w:sz w:val="24"/>
          <w:lang w:val="en-GB"/>
        </w:rPr>
        <w:t>; t</w:t>
      </w:r>
      <w:r w:rsidR="00BB40BF" w:rsidRPr="00BB40BF">
        <w:rPr>
          <w:rFonts w:ascii="Times New Roman" w:hAnsi="Times New Roman" w:cs="Times New Roman"/>
          <w:sz w:val="24"/>
          <w:lang w:val="en-GB"/>
        </w:rPr>
        <w:t>o disseminate information on equal opportunities at work to social partners through channels available to the State Labo</w:t>
      </w:r>
      <w:r w:rsidR="00BB40BF">
        <w:rPr>
          <w:rFonts w:ascii="Times New Roman" w:hAnsi="Times New Roman" w:cs="Times New Roman"/>
          <w:sz w:val="24"/>
          <w:lang w:val="en-GB"/>
        </w:rPr>
        <w:t>u</w:t>
      </w:r>
      <w:r w:rsidR="00BB40BF" w:rsidRPr="00BB40BF">
        <w:rPr>
          <w:rFonts w:ascii="Times New Roman" w:hAnsi="Times New Roman" w:cs="Times New Roman"/>
          <w:sz w:val="24"/>
          <w:lang w:val="en-GB"/>
        </w:rPr>
        <w:t>r Inspectorate</w:t>
      </w:r>
      <w:r w:rsidR="00BB40BF">
        <w:rPr>
          <w:rFonts w:ascii="Times New Roman" w:hAnsi="Times New Roman" w:cs="Times New Roman"/>
          <w:sz w:val="24"/>
          <w:lang w:val="en-GB"/>
        </w:rPr>
        <w:t>; to i</w:t>
      </w:r>
      <w:r w:rsidR="00BB40BF" w:rsidRPr="00BB40BF">
        <w:rPr>
          <w:rFonts w:ascii="Times New Roman" w:hAnsi="Times New Roman" w:cs="Times New Roman"/>
          <w:sz w:val="24"/>
          <w:lang w:val="en-GB"/>
        </w:rPr>
        <w:t>mplement regional initiatives to increase women</w:t>
      </w:r>
      <w:r w:rsidR="00BB40BF">
        <w:rPr>
          <w:rFonts w:ascii="Times New Roman" w:hAnsi="Times New Roman" w:cs="Times New Roman"/>
          <w:sz w:val="24"/>
          <w:lang w:val="en-GB"/>
        </w:rPr>
        <w:t>’</w:t>
      </w:r>
      <w:r w:rsidR="00BB40BF" w:rsidRPr="00BB40BF">
        <w:rPr>
          <w:rFonts w:ascii="Times New Roman" w:hAnsi="Times New Roman" w:cs="Times New Roman"/>
          <w:sz w:val="24"/>
          <w:lang w:val="en-GB"/>
        </w:rPr>
        <w:t>s entrepreneurship, financial literacy and other competences</w:t>
      </w:r>
      <w:r w:rsidR="000F2753">
        <w:rPr>
          <w:rFonts w:ascii="Times New Roman" w:hAnsi="Times New Roman" w:cs="Times New Roman"/>
          <w:sz w:val="24"/>
          <w:lang w:val="en-GB"/>
        </w:rPr>
        <w:t>; to e</w:t>
      </w:r>
      <w:r w:rsidR="00BB40BF" w:rsidRPr="00BB40BF">
        <w:rPr>
          <w:rFonts w:ascii="Times New Roman" w:hAnsi="Times New Roman" w:cs="Times New Roman"/>
          <w:sz w:val="24"/>
          <w:lang w:val="en-GB"/>
        </w:rPr>
        <w:t>ncourage wome</w:t>
      </w:r>
      <w:r w:rsidR="000F2753">
        <w:rPr>
          <w:rFonts w:ascii="Times New Roman" w:hAnsi="Times New Roman" w:cs="Times New Roman"/>
          <w:sz w:val="24"/>
          <w:lang w:val="en-GB"/>
        </w:rPr>
        <w:t>n to start their own businesses; to e</w:t>
      </w:r>
      <w:r w:rsidR="00BB40BF" w:rsidRPr="00BB40BF">
        <w:rPr>
          <w:rFonts w:ascii="Times New Roman" w:hAnsi="Times New Roman" w:cs="Times New Roman"/>
          <w:sz w:val="24"/>
          <w:lang w:val="en-GB"/>
        </w:rPr>
        <w:t>ncourage low-skilled women to obtain qualifications or competences</w:t>
      </w:r>
      <w:r w:rsidR="000F2753">
        <w:rPr>
          <w:rFonts w:ascii="Times New Roman" w:hAnsi="Times New Roman" w:cs="Times New Roman"/>
          <w:sz w:val="24"/>
          <w:lang w:val="en-GB"/>
        </w:rPr>
        <w:t xml:space="preserve"> needed</w:t>
      </w:r>
      <w:r w:rsidR="00BB40BF" w:rsidRPr="00BB40BF">
        <w:rPr>
          <w:rFonts w:ascii="Times New Roman" w:hAnsi="Times New Roman" w:cs="Times New Roman"/>
          <w:sz w:val="24"/>
          <w:lang w:val="en-GB"/>
        </w:rPr>
        <w:t xml:space="preserve"> in the labo</w:t>
      </w:r>
      <w:r w:rsidR="000F2753">
        <w:rPr>
          <w:rFonts w:ascii="Times New Roman" w:hAnsi="Times New Roman" w:cs="Times New Roman"/>
          <w:sz w:val="24"/>
          <w:lang w:val="en-GB"/>
        </w:rPr>
        <w:t>ur market; to s</w:t>
      </w:r>
      <w:r w:rsidR="00BB40BF" w:rsidRPr="00BB40BF">
        <w:rPr>
          <w:rFonts w:ascii="Times New Roman" w:hAnsi="Times New Roman" w:cs="Times New Roman"/>
          <w:sz w:val="24"/>
          <w:lang w:val="en-GB"/>
        </w:rPr>
        <w:t>upport initiatives for work-life balance</w:t>
      </w:r>
      <w:r w:rsidR="000F2753">
        <w:rPr>
          <w:rFonts w:ascii="Times New Roman" w:hAnsi="Times New Roman" w:cs="Times New Roman"/>
          <w:sz w:val="24"/>
          <w:lang w:val="en-GB"/>
        </w:rPr>
        <w:t>.</w:t>
      </w:r>
    </w:p>
    <w:p w14:paraId="51DADF9D" w14:textId="77777777" w:rsidR="00452D24" w:rsidRDefault="00452D24" w:rsidP="00BB40BF">
      <w:pPr>
        <w:jc w:val="both"/>
        <w:rPr>
          <w:rFonts w:ascii="Times New Roman" w:hAnsi="Times New Roman" w:cs="Times New Roman"/>
          <w:sz w:val="24"/>
          <w:lang w:val="en-GB"/>
        </w:rPr>
      </w:pPr>
      <w:r w:rsidRPr="00855088">
        <w:rPr>
          <w:rFonts w:ascii="Times New Roman" w:hAnsi="Times New Roman" w:cs="Times New Roman"/>
          <w:sz w:val="24"/>
          <w:lang w:val="en-GB"/>
        </w:rPr>
        <w:t xml:space="preserve">In 2016, the </w:t>
      </w:r>
      <w:r w:rsidRPr="0021755B">
        <w:rPr>
          <w:rFonts w:ascii="Times New Roman" w:hAnsi="Times New Roman" w:cs="Times New Roman"/>
          <w:sz w:val="24"/>
          <w:lang w:val="en-GB"/>
        </w:rPr>
        <w:t>Office of the Equal Opportunities Ombudsperson</w:t>
      </w:r>
      <w:r w:rsidRPr="00855088">
        <w:rPr>
          <w:rFonts w:ascii="Times New Roman" w:hAnsi="Times New Roman" w:cs="Times New Roman"/>
          <w:sz w:val="24"/>
          <w:lang w:val="en-GB"/>
        </w:rPr>
        <w:t>, in co-operation with the Association of Municipalities of Lithuania and the Lithuanian Women’s Lobbying Organisation, has started to implement the project “</w:t>
      </w:r>
      <w:r w:rsidRPr="0021755B">
        <w:rPr>
          <w:rFonts w:ascii="Times New Roman" w:hAnsi="Times New Roman" w:cs="Times New Roman"/>
          <w:b/>
          <w:sz w:val="24"/>
          <w:lang w:val="en-GB"/>
        </w:rPr>
        <w:t>Municipal Success Code — Gender Equality</w:t>
      </w:r>
      <w:r w:rsidRPr="00855088">
        <w:rPr>
          <w:rFonts w:ascii="Times New Roman" w:hAnsi="Times New Roman" w:cs="Times New Roman"/>
          <w:sz w:val="24"/>
          <w:lang w:val="en-GB"/>
        </w:rPr>
        <w:t>”, initiated by the M</w:t>
      </w:r>
      <w:r>
        <w:rPr>
          <w:rFonts w:ascii="Times New Roman" w:hAnsi="Times New Roman" w:cs="Times New Roman"/>
          <w:sz w:val="24"/>
          <w:lang w:val="en-GB"/>
        </w:rPr>
        <w:t xml:space="preserve">inistry </w:t>
      </w:r>
      <w:r w:rsidRPr="00855088">
        <w:rPr>
          <w:rFonts w:ascii="Times New Roman" w:hAnsi="Times New Roman" w:cs="Times New Roman"/>
          <w:sz w:val="24"/>
          <w:lang w:val="en-GB"/>
        </w:rPr>
        <w:t>o</w:t>
      </w:r>
      <w:r>
        <w:rPr>
          <w:rFonts w:ascii="Times New Roman" w:hAnsi="Times New Roman" w:cs="Times New Roman"/>
          <w:sz w:val="24"/>
          <w:lang w:val="en-GB"/>
        </w:rPr>
        <w:t xml:space="preserve">f </w:t>
      </w:r>
      <w:r w:rsidRPr="00855088">
        <w:rPr>
          <w:rFonts w:ascii="Times New Roman" w:hAnsi="Times New Roman" w:cs="Times New Roman"/>
          <w:sz w:val="24"/>
          <w:lang w:val="en-GB"/>
        </w:rPr>
        <w:t>S</w:t>
      </w:r>
      <w:r>
        <w:rPr>
          <w:rFonts w:ascii="Times New Roman" w:hAnsi="Times New Roman" w:cs="Times New Roman"/>
          <w:sz w:val="24"/>
          <w:lang w:val="en-GB"/>
        </w:rPr>
        <w:t xml:space="preserve">ocial </w:t>
      </w:r>
      <w:r w:rsidRPr="00855088">
        <w:rPr>
          <w:rFonts w:ascii="Times New Roman" w:hAnsi="Times New Roman" w:cs="Times New Roman"/>
          <w:sz w:val="24"/>
          <w:lang w:val="en-GB"/>
        </w:rPr>
        <w:t>S</w:t>
      </w:r>
      <w:r>
        <w:rPr>
          <w:rFonts w:ascii="Times New Roman" w:hAnsi="Times New Roman" w:cs="Times New Roman"/>
          <w:sz w:val="24"/>
          <w:lang w:val="en-GB"/>
        </w:rPr>
        <w:t xml:space="preserve">ecurity and </w:t>
      </w:r>
      <w:r w:rsidRPr="00855088">
        <w:rPr>
          <w:rFonts w:ascii="Times New Roman" w:hAnsi="Times New Roman" w:cs="Times New Roman"/>
          <w:sz w:val="24"/>
          <w:lang w:val="en-GB"/>
        </w:rPr>
        <w:t>L</w:t>
      </w:r>
      <w:r>
        <w:rPr>
          <w:rFonts w:ascii="Times New Roman" w:hAnsi="Times New Roman" w:cs="Times New Roman"/>
          <w:sz w:val="24"/>
          <w:lang w:val="en-GB"/>
        </w:rPr>
        <w:t>abour</w:t>
      </w:r>
      <w:r w:rsidRPr="00855088">
        <w:rPr>
          <w:rFonts w:ascii="Times New Roman" w:hAnsi="Times New Roman" w:cs="Times New Roman"/>
          <w:sz w:val="24"/>
          <w:lang w:val="en-GB"/>
        </w:rPr>
        <w:t>, and financed by the European Structural Funds. The purpose of the project is to systematically seek to reduce the gender gap in municipalities by raising public awareness of gender equality issues, identifying the factors determining the equality of women and men and developing and implementing targeted measures to ensure equal opportunities. The project provides for performing gender analysis in municipalities, developing practical recommendations for municipalities on targeted measures, and organisation of trainings for representatives of municipal administrations and enterprises subordinate to municipal administrations on the integration of equal opportunities, planning of targeted measures, implementation and monitoring of the effects. In order to assess the situation of women and men in municipalities, a list of gender equality indicators in municipalities was prepared in 2017, on the basis of which an electronic map would be developed to identify gender gaps and define the need for appropriate targeted measures in 9 areas: demography, knowledge, participation in the labour market, access to social services, economic power (resources), authorities and decision-making, health and health services, domestic violence and time. The project will continue until December 2019.</w:t>
      </w:r>
    </w:p>
    <w:p w14:paraId="54C17E19" w14:textId="77777777" w:rsidR="00B56D47" w:rsidRDefault="00B56D47" w:rsidP="00B56D47">
      <w:pPr>
        <w:jc w:val="both"/>
        <w:rPr>
          <w:rFonts w:ascii="Times New Roman" w:hAnsi="Times New Roman" w:cs="Times New Roman"/>
          <w:sz w:val="24"/>
          <w:lang w:val="en-GB"/>
        </w:rPr>
      </w:pPr>
      <w:r w:rsidRPr="00B56D47">
        <w:rPr>
          <w:rFonts w:ascii="Times New Roman" w:hAnsi="Times New Roman" w:cs="Times New Roman"/>
          <w:sz w:val="24"/>
          <w:lang w:val="en-GB"/>
        </w:rPr>
        <w:t xml:space="preserve">To address occupational segregation and increase women participation in high-income sectors that are traditionally occupied by men, Lithuania has introduced </w:t>
      </w:r>
      <w:r w:rsidRPr="00B56D47">
        <w:rPr>
          <w:rFonts w:ascii="Times New Roman" w:hAnsi="Times New Roman" w:cs="Times New Roman"/>
          <w:b/>
          <w:sz w:val="24"/>
          <w:lang w:val="en-GB"/>
        </w:rPr>
        <w:t xml:space="preserve">„Women go tech“ </w:t>
      </w:r>
      <w:r w:rsidRPr="00EC74AB">
        <w:rPr>
          <w:rFonts w:ascii="Times New Roman" w:hAnsi="Times New Roman" w:cs="Times New Roman"/>
          <w:sz w:val="24"/>
          <w:lang w:val="en-US"/>
        </w:rPr>
        <w:t>programme.</w:t>
      </w:r>
      <w:r>
        <w:rPr>
          <w:rFonts w:ascii="Times New Roman" w:hAnsi="Times New Roman" w:cs="Times New Roman"/>
          <w:sz w:val="24"/>
          <w:lang w:val="en-GB"/>
        </w:rPr>
        <w:t xml:space="preserve"> </w:t>
      </w:r>
      <w:r w:rsidRPr="00B56D47">
        <w:rPr>
          <w:rFonts w:ascii="Times New Roman" w:hAnsi="Times New Roman" w:cs="Times New Roman"/>
          <w:sz w:val="24"/>
          <w:lang w:val="en-GB"/>
        </w:rPr>
        <w:t>Women Go Tech is an initiative by Global Shapers Vilnius Hub with the goal to attract more women to the ICT (Information Technology Sector) through mentorship from top industry leaders. The mentorship programme has attracted highly influential tech companies to become official Women Go Tech partners: leading ICT association in Lithuania, INFOBALT, and partners known in Lithuania and across Europe including Barcla</w:t>
      </w:r>
      <w:r>
        <w:rPr>
          <w:rFonts w:ascii="Times New Roman" w:hAnsi="Times New Roman" w:cs="Times New Roman"/>
          <w:sz w:val="24"/>
          <w:lang w:val="en-GB"/>
        </w:rPr>
        <w:t xml:space="preserve">ys, TransferGo, WIX, and Telia. </w:t>
      </w:r>
      <w:r w:rsidRPr="00B56D47">
        <w:rPr>
          <w:rFonts w:ascii="Times New Roman" w:hAnsi="Times New Roman" w:cs="Times New Roman"/>
          <w:sz w:val="24"/>
          <w:lang w:val="en-GB"/>
        </w:rPr>
        <w:t>The mentorship programme has a cycle of six months through which selected young women who successfully pass interviews and a background check are paired with successful C-level professionals who can guide them through the many possibilities and opportunities in the technology sector. Tête-à-tête meetings between the mentor and mentee are accompanied by monthly Women Go Tech community gatherings and events where women can network, learn new skills and share insights in the primarily man-dominated tech sector.</w:t>
      </w:r>
    </w:p>
    <w:p w14:paraId="1E0F6CC9" w14:textId="77777777" w:rsidR="00207E98" w:rsidRPr="00F51A69" w:rsidRDefault="00207E98" w:rsidP="001F1907">
      <w:pPr>
        <w:jc w:val="both"/>
        <w:rPr>
          <w:rFonts w:ascii="Times New Roman" w:hAnsi="Times New Roman" w:cs="Times New Roman"/>
          <w:sz w:val="24"/>
          <w:lang w:val="en-GB"/>
        </w:rPr>
      </w:pPr>
    </w:p>
    <w:p w14:paraId="50CD1D7B" w14:textId="77777777" w:rsidR="00D46E53" w:rsidRPr="0029103E" w:rsidRDefault="00D46E53" w:rsidP="0029103E">
      <w:pPr>
        <w:jc w:val="both"/>
        <w:rPr>
          <w:rFonts w:ascii="Times New Roman" w:hAnsi="Times New Roman" w:cs="Times New Roman"/>
          <w:sz w:val="24"/>
          <w:lang w:val="en-US"/>
        </w:rPr>
      </w:pPr>
    </w:p>
    <w:sectPr w:rsidR="00D46E53" w:rsidRPr="0029103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F7"/>
    <w:rsid w:val="00084465"/>
    <w:rsid w:val="000F2753"/>
    <w:rsid w:val="00115EC6"/>
    <w:rsid w:val="00167C58"/>
    <w:rsid w:val="001A6D3C"/>
    <w:rsid w:val="001F1907"/>
    <w:rsid w:val="00207E98"/>
    <w:rsid w:val="0021755B"/>
    <w:rsid w:val="0029103E"/>
    <w:rsid w:val="002F5EDF"/>
    <w:rsid w:val="003756A2"/>
    <w:rsid w:val="003C0729"/>
    <w:rsid w:val="003C2FE8"/>
    <w:rsid w:val="00452D24"/>
    <w:rsid w:val="00456006"/>
    <w:rsid w:val="0061575A"/>
    <w:rsid w:val="00624D58"/>
    <w:rsid w:val="006C15DF"/>
    <w:rsid w:val="00720033"/>
    <w:rsid w:val="00855088"/>
    <w:rsid w:val="009F472A"/>
    <w:rsid w:val="00AA0993"/>
    <w:rsid w:val="00AE434D"/>
    <w:rsid w:val="00B56D47"/>
    <w:rsid w:val="00BA0972"/>
    <w:rsid w:val="00BB40BF"/>
    <w:rsid w:val="00D46E53"/>
    <w:rsid w:val="00EC4934"/>
    <w:rsid w:val="00EC74AB"/>
    <w:rsid w:val="00F01D4C"/>
    <w:rsid w:val="00F51A69"/>
    <w:rsid w:val="00FB27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3D40"/>
  <w15:docId w15:val="{2B48BB8E-0498-4187-8F3B-07D8ECC6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040825">
      <w:bodyDiv w:val="1"/>
      <w:marLeft w:val="0"/>
      <w:marRight w:val="0"/>
      <w:marTop w:val="0"/>
      <w:marBottom w:val="0"/>
      <w:divBdr>
        <w:top w:val="none" w:sz="0" w:space="0" w:color="auto"/>
        <w:left w:val="none" w:sz="0" w:space="0" w:color="auto"/>
        <w:bottom w:val="none" w:sz="0" w:space="0" w:color="auto"/>
        <w:right w:val="none" w:sz="0" w:space="0" w:color="auto"/>
      </w:divBdr>
    </w:div>
    <w:div w:id="1272395873">
      <w:bodyDiv w:val="1"/>
      <w:marLeft w:val="0"/>
      <w:marRight w:val="0"/>
      <w:marTop w:val="0"/>
      <w:marBottom w:val="0"/>
      <w:divBdr>
        <w:top w:val="none" w:sz="0" w:space="0" w:color="auto"/>
        <w:left w:val="none" w:sz="0" w:space="0" w:color="auto"/>
        <w:bottom w:val="none" w:sz="0" w:space="0" w:color="auto"/>
        <w:right w:val="none" w:sz="0" w:space="0" w:color="auto"/>
      </w:divBdr>
      <w:divsChild>
        <w:div w:id="1743872942">
          <w:marLeft w:val="0"/>
          <w:marRight w:val="0"/>
          <w:marTop w:val="0"/>
          <w:marBottom w:val="0"/>
          <w:divBdr>
            <w:top w:val="none" w:sz="0" w:space="0" w:color="auto"/>
            <w:left w:val="none" w:sz="0" w:space="0" w:color="auto"/>
            <w:bottom w:val="none" w:sz="0" w:space="0" w:color="auto"/>
            <w:right w:val="none" w:sz="0" w:space="0" w:color="auto"/>
          </w:divBdr>
        </w:div>
        <w:div w:id="942615193">
          <w:marLeft w:val="0"/>
          <w:marRight w:val="0"/>
          <w:marTop w:val="0"/>
          <w:marBottom w:val="0"/>
          <w:divBdr>
            <w:top w:val="none" w:sz="0" w:space="0" w:color="auto"/>
            <w:left w:val="none" w:sz="0" w:space="0" w:color="auto"/>
            <w:bottom w:val="none" w:sz="0" w:space="0" w:color="auto"/>
            <w:right w:val="none" w:sz="0" w:space="0" w:color="auto"/>
          </w:divBdr>
        </w:div>
        <w:div w:id="1020860428">
          <w:marLeft w:val="0"/>
          <w:marRight w:val="0"/>
          <w:marTop w:val="0"/>
          <w:marBottom w:val="0"/>
          <w:divBdr>
            <w:top w:val="none" w:sz="0" w:space="0" w:color="auto"/>
            <w:left w:val="none" w:sz="0" w:space="0" w:color="auto"/>
            <w:bottom w:val="none" w:sz="0" w:space="0" w:color="auto"/>
            <w:right w:val="none" w:sz="0" w:space="0" w:color="auto"/>
          </w:divBdr>
        </w:div>
        <w:div w:id="632096368">
          <w:marLeft w:val="0"/>
          <w:marRight w:val="0"/>
          <w:marTop w:val="0"/>
          <w:marBottom w:val="0"/>
          <w:divBdr>
            <w:top w:val="none" w:sz="0" w:space="0" w:color="auto"/>
            <w:left w:val="none" w:sz="0" w:space="0" w:color="auto"/>
            <w:bottom w:val="none" w:sz="0" w:space="0" w:color="auto"/>
            <w:right w:val="none" w:sz="0" w:space="0" w:color="auto"/>
          </w:divBdr>
        </w:div>
        <w:div w:id="141389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605B7-4837-4B10-8A0D-C7433CF85AB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124B72B-FA0D-418D-94D6-AB33614C1F9B}"/>
</file>

<file path=customXml/itemProps3.xml><?xml version="1.0" encoding="utf-8"?>
<ds:datastoreItem xmlns:ds="http://schemas.openxmlformats.org/officeDocument/2006/customXml" ds:itemID="{C54A1E96-A6C3-4C5B-82AF-D4430FA9A6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1660</Words>
  <Characters>9466</Characters>
  <Application>Microsoft Office Word</Application>
  <DocSecurity>0</DocSecurity>
  <Lines>78</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 Dulkinaitė</dc:creator>
  <cp:lastModifiedBy>NAMINDRANASOA Haja</cp:lastModifiedBy>
  <cp:revision>2</cp:revision>
  <dcterms:created xsi:type="dcterms:W3CDTF">2019-08-22T11:47:00Z</dcterms:created>
  <dcterms:modified xsi:type="dcterms:W3CDTF">2019-08-22T11:47:00Z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0x0101008822B9E06671B54FA89F14538B9B0FEA</vt:lpwstr>
  </property>
</Properties>
</file>