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6B7" w:rsidRPr="00DB506B" w:rsidRDefault="003906B7" w:rsidP="003906B7">
      <w:pPr>
        <w:spacing w:after="120"/>
        <w:jc w:val="center"/>
        <w:rPr>
          <w:rFonts w:ascii="Book Antiqua" w:eastAsiaTheme="minorHAnsi" w:hAnsi="Book Antiqua" w:cs="Arial"/>
          <w:b/>
          <w:sz w:val="22"/>
          <w:szCs w:val="22"/>
        </w:rPr>
      </w:pPr>
    </w:p>
    <w:p w:rsidR="00A52B76" w:rsidRPr="00B561F5" w:rsidRDefault="003906B7" w:rsidP="00A52B76">
      <w:pPr>
        <w:jc w:val="center"/>
        <w:rPr>
          <w:rFonts w:ascii="Book Antiqua" w:eastAsiaTheme="minorHAnsi" w:hAnsi="Book Antiqua" w:cs="Arial"/>
          <w:b/>
          <w:sz w:val="22"/>
          <w:szCs w:val="22"/>
          <w:lang w:val="en-US"/>
        </w:rPr>
      </w:pPr>
      <w:r w:rsidRPr="00B561F5">
        <w:rPr>
          <w:rFonts w:ascii="Book Antiqua" w:eastAsiaTheme="minorHAnsi" w:hAnsi="Book Antiqua" w:cs="Arial"/>
          <w:b/>
          <w:sz w:val="22"/>
          <w:szCs w:val="22"/>
          <w:lang w:val="en-US"/>
        </w:rPr>
        <w:t>INPUTS FROM THE PROTECTOR OF CITIZENS OF THE REPUBLIC OF SERBIA</w:t>
      </w:r>
    </w:p>
    <w:p w:rsidR="001765FE" w:rsidRDefault="00A52B76" w:rsidP="001765FE">
      <w:pPr>
        <w:jc w:val="center"/>
        <w:rPr>
          <w:rFonts w:ascii="Book Antiqua" w:hAnsi="Book Antiqua"/>
          <w:b/>
          <w:sz w:val="22"/>
          <w:szCs w:val="22"/>
        </w:rPr>
      </w:pPr>
      <w:r w:rsidRPr="00B561F5">
        <w:rPr>
          <w:rFonts w:ascii="Book Antiqua" w:eastAsiaTheme="minorHAnsi" w:hAnsi="Book Antiqua" w:cs="Arial"/>
          <w:b/>
          <w:sz w:val="22"/>
          <w:szCs w:val="22"/>
          <w:lang w:val="en-US"/>
        </w:rPr>
        <w:t xml:space="preserve">FOR THE </w:t>
      </w:r>
      <w:r w:rsidR="00DB506B" w:rsidRPr="00FF658E">
        <w:rPr>
          <w:rFonts w:ascii="Book Antiqua" w:hAnsi="Book Antiqua"/>
          <w:b/>
          <w:sz w:val="22"/>
          <w:szCs w:val="22"/>
        </w:rPr>
        <w:t xml:space="preserve">REPORT OF THE UN WORKING GROUP ON DISCRIMINATION AGAINST WOMEN AND GIRLS ON </w:t>
      </w:r>
    </w:p>
    <w:p w:rsidR="00A52B76" w:rsidRPr="00B561F5" w:rsidRDefault="00DB506B" w:rsidP="009356F0">
      <w:pPr>
        <w:jc w:val="center"/>
        <w:rPr>
          <w:rFonts w:ascii="Book Antiqua" w:eastAsiaTheme="minorHAnsi" w:hAnsi="Book Antiqua" w:cs="Arial"/>
          <w:b/>
          <w:sz w:val="22"/>
          <w:szCs w:val="22"/>
          <w:lang w:val="en-US"/>
        </w:rPr>
      </w:pPr>
      <w:r w:rsidRPr="00FF658E">
        <w:rPr>
          <w:rFonts w:ascii="Book Antiqua" w:hAnsi="Book Antiqua"/>
          <w:b/>
          <w:sz w:val="22"/>
          <w:szCs w:val="22"/>
        </w:rPr>
        <w:t>"WOMEN'S HUMAN RIGHTS IN THE CHANGING WORLD OF WORK"</w:t>
      </w:r>
    </w:p>
    <w:p w:rsidR="00A52B76" w:rsidRPr="00B561F5" w:rsidRDefault="00A52B76" w:rsidP="00A52B76">
      <w:pPr>
        <w:jc w:val="center"/>
        <w:rPr>
          <w:rFonts w:ascii="Book Antiqua" w:eastAsiaTheme="minorHAnsi" w:hAnsi="Book Antiqua" w:cs="Arial"/>
          <w:b/>
          <w:sz w:val="22"/>
          <w:szCs w:val="22"/>
          <w:lang w:val="en-US"/>
        </w:rPr>
      </w:pPr>
    </w:p>
    <w:p w:rsidR="00DB506B" w:rsidRPr="00FF658E" w:rsidRDefault="00DB506B" w:rsidP="00DB506B">
      <w:pPr>
        <w:spacing w:after="160" w:line="259" w:lineRule="auto"/>
        <w:rPr>
          <w:rFonts w:ascii="Book Antiqua" w:eastAsiaTheme="minorHAnsi" w:hAnsi="Book Antiqua" w:cstheme="minorBidi"/>
          <w:b/>
          <w:sz w:val="22"/>
          <w:szCs w:val="22"/>
        </w:rPr>
      </w:pPr>
      <w:bookmarkStart w:id="0" w:name="str_23"/>
      <w:bookmarkEnd w:id="0"/>
      <w:r w:rsidRPr="00FF658E">
        <w:rPr>
          <w:rFonts w:ascii="Book Antiqua" w:eastAsiaTheme="minorHAnsi" w:hAnsi="Book Antiqua" w:cstheme="minorBidi"/>
          <w:b/>
          <w:sz w:val="22"/>
          <w:szCs w:val="22"/>
        </w:rPr>
        <w:t>1</w:t>
      </w:r>
    </w:p>
    <w:p w:rsidR="00DB506B" w:rsidRPr="00FF658E" w:rsidRDefault="00DB506B" w:rsidP="00DB506B">
      <w:pPr>
        <w:numPr>
          <w:ilvl w:val="0"/>
          <w:numId w:val="24"/>
        </w:numPr>
        <w:spacing w:before="120"/>
        <w:ind w:left="0" w:firstLine="0"/>
        <w:rPr>
          <w:rFonts w:ascii="Book Antiqua" w:eastAsiaTheme="minorHAnsi" w:hAnsi="Book Antiqua" w:cstheme="minorBidi"/>
          <w:b/>
          <w:sz w:val="22"/>
          <w:szCs w:val="22"/>
        </w:rPr>
      </w:pPr>
      <w:r w:rsidRPr="00FF658E">
        <w:rPr>
          <w:rFonts w:ascii="Book Antiqua" w:eastAsiaTheme="minorHAnsi" w:hAnsi="Book Antiqua" w:cstheme="minorBidi"/>
          <w:b/>
          <w:sz w:val="22"/>
          <w:szCs w:val="22"/>
        </w:rPr>
        <w:t>What are the main trends influencing women’s human rights in the world of work in your national context and their impact:</w:t>
      </w:r>
    </w:p>
    <w:p w:rsidR="00DB506B" w:rsidRPr="00FF658E" w:rsidRDefault="00DB506B" w:rsidP="00DB506B">
      <w:pPr>
        <w:numPr>
          <w:ilvl w:val="0"/>
          <w:numId w:val="25"/>
        </w:numPr>
        <w:spacing w:before="120"/>
        <w:ind w:left="0" w:firstLine="0"/>
        <w:rPr>
          <w:rFonts w:ascii="Book Antiqua" w:eastAsiaTheme="minorHAnsi" w:hAnsi="Book Antiqua" w:cstheme="minorBidi"/>
          <w:b/>
          <w:sz w:val="22"/>
          <w:szCs w:val="22"/>
        </w:rPr>
      </w:pPr>
      <w:r w:rsidRPr="00FF658E">
        <w:rPr>
          <w:rFonts w:ascii="Book Antiqua" w:eastAsiaTheme="minorHAnsi" w:hAnsi="Book Antiqua" w:cstheme="minorBidi"/>
          <w:b/>
          <w:sz w:val="22"/>
          <w:szCs w:val="22"/>
        </w:rPr>
        <w:t>on the types of and quantity work available to women, and the quality and conditions of work (including access to social protection and equal pay)?</w:t>
      </w:r>
    </w:p>
    <w:p w:rsidR="00DB506B" w:rsidRPr="00FF658E" w:rsidRDefault="00DB506B" w:rsidP="00DB506B">
      <w:pPr>
        <w:numPr>
          <w:ilvl w:val="0"/>
          <w:numId w:val="25"/>
        </w:numPr>
        <w:spacing w:before="120"/>
        <w:ind w:left="0" w:firstLine="0"/>
        <w:rPr>
          <w:rFonts w:ascii="Book Antiqua" w:eastAsiaTheme="minorHAnsi" w:hAnsi="Book Antiqua" w:cstheme="minorBidi"/>
          <w:b/>
          <w:sz w:val="22"/>
          <w:szCs w:val="22"/>
        </w:rPr>
      </w:pPr>
      <w:r w:rsidRPr="00FF658E">
        <w:rPr>
          <w:rFonts w:ascii="Book Antiqua" w:eastAsiaTheme="minorHAnsi" w:hAnsi="Book Antiqua" w:cstheme="minorBidi"/>
          <w:b/>
          <w:sz w:val="22"/>
          <w:szCs w:val="22"/>
        </w:rPr>
        <w:t>for women’s safety (including violence and sexual harassment) at work?</w:t>
      </w:r>
    </w:p>
    <w:p w:rsidR="00DB506B" w:rsidRPr="00FF658E" w:rsidRDefault="00DB506B" w:rsidP="00DB506B">
      <w:pPr>
        <w:spacing w:before="120"/>
        <w:jc w:val="both"/>
        <w:rPr>
          <w:rFonts w:ascii="Book Antiqua" w:eastAsiaTheme="minorHAnsi" w:hAnsi="Book Antiqua" w:cstheme="minorBidi"/>
          <w:b/>
          <w:bCs/>
          <w:sz w:val="22"/>
          <w:szCs w:val="22"/>
        </w:rPr>
      </w:pPr>
      <w:r w:rsidRPr="00FF658E">
        <w:rPr>
          <w:rFonts w:ascii="Book Antiqua" w:eastAsiaTheme="minorHAnsi" w:hAnsi="Book Antiqua" w:cstheme="minorBidi"/>
          <w:b/>
          <w:bCs/>
          <w:sz w:val="22"/>
          <w:szCs w:val="22"/>
        </w:rPr>
        <w:t xml:space="preserve">1а </w:t>
      </w:r>
    </w:p>
    <w:p w:rsidR="00DB506B" w:rsidRPr="002642F2" w:rsidRDefault="00164737" w:rsidP="00DB506B">
      <w:pPr>
        <w:spacing w:before="120"/>
        <w:jc w:val="both"/>
        <w:rPr>
          <w:rFonts w:ascii="Book Antiqua" w:eastAsiaTheme="minorHAnsi" w:hAnsi="Book Antiqua" w:cstheme="minorBidi"/>
          <w:bCs/>
          <w:sz w:val="22"/>
          <w:szCs w:val="22"/>
        </w:rPr>
      </w:pPr>
      <w:r w:rsidRPr="002642F2">
        <w:rPr>
          <w:rFonts w:ascii="Book Antiqua" w:eastAsiaTheme="minorHAnsi" w:hAnsi="Book Antiqua" w:cstheme="minorBidi"/>
          <w:bCs/>
          <w:sz w:val="22"/>
          <w:szCs w:val="22"/>
        </w:rPr>
        <w:t>The activity rate of women with higher education is slightly higher than the activity rate of men of the same level of education (70.9% and 69.5% respectively), while the activity rate of women without school and with lower level</w:t>
      </w:r>
      <w:r w:rsidR="007E2FD7" w:rsidRPr="002642F2">
        <w:rPr>
          <w:rFonts w:ascii="Book Antiqua" w:eastAsiaTheme="minorHAnsi" w:hAnsi="Book Antiqua" w:cstheme="minorBidi"/>
          <w:bCs/>
          <w:sz w:val="22"/>
          <w:szCs w:val="22"/>
        </w:rPr>
        <w:t>s</w:t>
      </w:r>
      <w:r w:rsidRPr="002642F2">
        <w:rPr>
          <w:rFonts w:ascii="Book Antiqua" w:eastAsiaTheme="minorHAnsi" w:hAnsi="Book Antiqua" w:cstheme="minorBidi"/>
          <w:bCs/>
          <w:sz w:val="22"/>
          <w:szCs w:val="22"/>
        </w:rPr>
        <w:t xml:space="preserve"> of education is 23.6% and is lower than the activity rate men of the same </w:t>
      </w:r>
      <w:r w:rsidR="007E2FD7" w:rsidRPr="002642F2">
        <w:rPr>
          <w:rFonts w:ascii="Book Antiqua" w:eastAsiaTheme="minorHAnsi" w:hAnsi="Book Antiqua" w:cstheme="minorBidi"/>
          <w:bCs/>
          <w:sz w:val="22"/>
          <w:szCs w:val="22"/>
        </w:rPr>
        <w:t xml:space="preserve">level of education </w:t>
      </w:r>
      <w:r w:rsidRPr="002642F2">
        <w:rPr>
          <w:rFonts w:ascii="Book Antiqua" w:eastAsiaTheme="minorHAnsi" w:hAnsi="Book Antiqua" w:cstheme="minorBidi"/>
          <w:bCs/>
          <w:sz w:val="22"/>
          <w:szCs w:val="22"/>
        </w:rPr>
        <w:t xml:space="preserve">by as much as 20.4 percentage points (p. p.). The female employment rate is 38.1%, which is 14.7 p. p. less than the male employment rate (52.8%). When it comes to women and men who are married, the gender gap is much smaller, in favor of women </w:t>
      </w:r>
      <w:r w:rsidR="007E2FD7" w:rsidRPr="002642F2">
        <w:rPr>
          <w:rFonts w:ascii="Book Antiqua" w:eastAsiaTheme="minorHAnsi" w:hAnsi="Book Antiqua" w:cstheme="minorBidi"/>
          <w:bCs/>
          <w:sz w:val="22"/>
          <w:szCs w:val="22"/>
        </w:rPr>
        <w:t>–</w:t>
      </w:r>
      <w:r w:rsidRPr="002642F2">
        <w:rPr>
          <w:rFonts w:ascii="Book Antiqua" w:eastAsiaTheme="minorHAnsi" w:hAnsi="Book Antiqua" w:cstheme="minorBidi"/>
          <w:bCs/>
          <w:sz w:val="22"/>
          <w:szCs w:val="22"/>
        </w:rPr>
        <w:t xml:space="preserve"> the employment rate for married women is 68% and for married men 64%. The largest gender gap in the labor market in terms of employment was recorded in the 55-64 age group, where the employment rate for women is 32.5% and the employment rate for men is 52.8%. The employment rate of women aged 25-54 is 11.3 p. p. lower than the employment rate of men of the same age (63.6% vs. 74.8% respectively). Unemployment is most prevalent among young women, ages 15-24, where the unemployment rate reaches 39.5%. </w:t>
      </w:r>
      <w:r w:rsidR="00E354B6" w:rsidRPr="002642F2">
        <w:rPr>
          <w:rFonts w:ascii="Book Antiqua" w:eastAsiaTheme="minorHAnsi" w:hAnsi="Book Antiqua" w:cstheme="minorBidi"/>
          <w:bCs/>
          <w:sz w:val="22"/>
          <w:szCs w:val="22"/>
        </w:rPr>
        <w:t>Y</w:t>
      </w:r>
      <w:r w:rsidRPr="002642F2">
        <w:rPr>
          <w:rFonts w:ascii="Book Antiqua" w:eastAsiaTheme="minorHAnsi" w:hAnsi="Book Antiqua" w:cstheme="minorBidi"/>
          <w:bCs/>
          <w:sz w:val="22"/>
          <w:szCs w:val="22"/>
        </w:rPr>
        <w:t xml:space="preserve">oung men </w:t>
      </w:r>
      <w:r w:rsidR="00E354B6" w:rsidRPr="002642F2">
        <w:rPr>
          <w:rFonts w:ascii="Book Antiqua" w:eastAsiaTheme="minorHAnsi" w:hAnsi="Book Antiqua" w:cstheme="minorBidi"/>
          <w:bCs/>
          <w:sz w:val="22"/>
          <w:szCs w:val="22"/>
        </w:rPr>
        <w:t xml:space="preserve">are not </w:t>
      </w:r>
      <w:r w:rsidRPr="002642F2">
        <w:rPr>
          <w:rFonts w:ascii="Book Antiqua" w:eastAsiaTheme="minorHAnsi" w:hAnsi="Book Antiqua" w:cstheme="minorBidi"/>
          <w:bCs/>
          <w:sz w:val="22"/>
          <w:szCs w:val="22"/>
        </w:rPr>
        <w:t xml:space="preserve">in a much better position when it comes to unemployment. They have an unemployment rate of 32.2%. Self-employment is twice as high for men as it is for women </w:t>
      </w:r>
      <w:r w:rsidR="00E354B6" w:rsidRPr="002642F2">
        <w:rPr>
          <w:rFonts w:ascii="Book Antiqua" w:eastAsiaTheme="minorHAnsi" w:hAnsi="Book Antiqua" w:cstheme="minorBidi"/>
          <w:bCs/>
          <w:sz w:val="22"/>
          <w:szCs w:val="22"/>
        </w:rPr>
        <w:t>–</w:t>
      </w:r>
      <w:r w:rsidRPr="002642F2">
        <w:rPr>
          <w:rFonts w:ascii="Book Antiqua" w:eastAsiaTheme="minorHAnsi" w:hAnsi="Book Antiqua" w:cstheme="minorBidi"/>
          <w:bCs/>
          <w:sz w:val="22"/>
          <w:szCs w:val="22"/>
        </w:rPr>
        <w:t xml:space="preserve"> 28% of men and 13% of women between the ages of 15 and 64 are self-employed</w:t>
      </w:r>
      <w:r w:rsidR="00DB506B" w:rsidRPr="002642F2">
        <w:rPr>
          <w:rFonts w:ascii="Book Antiqua" w:eastAsiaTheme="minorHAnsi" w:hAnsi="Book Antiqua" w:cstheme="minorBidi"/>
          <w:bCs/>
          <w:sz w:val="22"/>
          <w:szCs w:val="22"/>
        </w:rPr>
        <w:t xml:space="preserve">. </w:t>
      </w:r>
      <w:r w:rsidR="00EA010A" w:rsidRPr="002642F2">
        <w:rPr>
          <w:rFonts w:ascii="Book Antiqua" w:eastAsiaTheme="minorHAnsi" w:hAnsi="Book Antiqua" w:cs="Book Antiqua"/>
          <w:bCs/>
          <w:sz w:val="22"/>
          <w:szCs w:val="22"/>
        </w:rPr>
        <w:t>There are more informally employed women and men among self-employed persons than among employed workers in all age groups. The largest number of informally employed people is in the 15-24 age group (67.4% women and 54.5% men). The female inactivity rate is 16.3 p. p. higher than men's inactivity rate (54.6% and 38.2% respectively). The largest gender gap in terms of inactivity in the labor market was observed in the age group 55-64, where the inactivity rate of women is 64.8%, as opposed to the inactivity rate of men, which is much lower and amounts to 40.4%</w:t>
      </w:r>
      <w:r w:rsidR="00DB506B" w:rsidRPr="002642F2">
        <w:rPr>
          <w:rFonts w:ascii="Book Antiqua" w:eastAsiaTheme="minorHAnsi" w:hAnsi="Book Antiqua" w:cstheme="minorBidi"/>
          <w:bCs/>
          <w:sz w:val="22"/>
          <w:szCs w:val="22"/>
        </w:rPr>
        <w:t>.</w:t>
      </w:r>
      <w:r w:rsidR="00DB506B" w:rsidRPr="002642F2">
        <w:rPr>
          <w:rFonts w:ascii="Book Antiqua" w:eastAsiaTheme="minorHAnsi" w:hAnsi="Book Antiqua" w:cstheme="minorBidi"/>
          <w:bCs/>
          <w:sz w:val="22"/>
          <w:szCs w:val="22"/>
          <w:vertAlign w:val="superscript"/>
        </w:rPr>
        <w:footnoteReference w:id="1"/>
      </w:r>
    </w:p>
    <w:p w:rsidR="00DB506B" w:rsidRPr="002642F2" w:rsidRDefault="00984DD5" w:rsidP="00DB506B">
      <w:pPr>
        <w:spacing w:before="120"/>
        <w:jc w:val="both"/>
        <w:rPr>
          <w:rFonts w:ascii="Book Antiqua" w:eastAsiaTheme="minorHAnsi" w:hAnsi="Book Antiqua" w:cstheme="minorBidi"/>
          <w:b/>
          <w:sz w:val="22"/>
          <w:szCs w:val="22"/>
        </w:rPr>
      </w:pPr>
      <w:r w:rsidRPr="002642F2">
        <w:rPr>
          <w:rFonts w:ascii="Book Antiqua" w:eastAsiaTheme="minorHAnsi" w:hAnsi="Book Antiqua" w:cstheme="minorBidi"/>
          <w:bCs/>
          <w:sz w:val="22"/>
          <w:szCs w:val="22"/>
        </w:rPr>
        <w:t>According to official data from the Statistical Office of the Republic of Serbia</w:t>
      </w:r>
      <w:r w:rsidR="00DB506B" w:rsidRPr="002642F2">
        <w:rPr>
          <w:rFonts w:ascii="Book Antiqua" w:eastAsiaTheme="minorHAnsi" w:hAnsi="Book Antiqua" w:cstheme="minorBidi"/>
          <w:bCs/>
          <w:sz w:val="22"/>
          <w:szCs w:val="22"/>
        </w:rPr>
        <w:t xml:space="preserve">, </w:t>
      </w:r>
      <w:r w:rsidRPr="002642F2">
        <w:rPr>
          <w:rFonts w:ascii="Book Antiqua" w:eastAsiaTheme="minorHAnsi" w:hAnsi="Book Antiqua" w:cstheme="minorBidi"/>
          <w:b/>
          <w:bCs/>
          <w:sz w:val="22"/>
          <w:szCs w:val="22"/>
        </w:rPr>
        <w:t>the unemployment rate in Serbia in the first quarter of this year was 12.1 percent and the employment rate was 47 percent</w:t>
      </w:r>
      <w:r w:rsidR="00DB506B" w:rsidRPr="002642F2">
        <w:rPr>
          <w:rFonts w:ascii="Book Antiqua" w:eastAsiaTheme="minorHAnsi" w:hAnsi="Book Antiqua" w:cstheme="minorBidi"/>
          <w:b/>
          <w:bCs/>
          <w:sz w:val="22"/>
          <w:szCs w:val="22"/>
        </w:rPr>
        <w:t>.</w:t>
      </w:r>
    </w:p>
    <w:p w:rsidR="00DB506B" w:rsidRPr="002642F2" w:rsidRDefault="00D72852" w:rsidP="00DB506B">
      <w:pPr>
        <w:spacing w:before="120"/>
        <w:jc w:val="both"/>
        <w:rPr>
          <w:rFonts w:ascii="Book Antiqua" w:eastAsiaTheme="minorHAnsi" w:hAnsi="Book Antiqua" w:cstheme="minorBidi"/>
          <w:sz w:val="22"/>
          <w:szCs w:val="22"/>
        </w:rPr>
      </w:pPr>
      <w:r w:rsidRPr="002642F2">
        <w:rPr>
          <w:rFonts w:ascii="Book Antiqua" w:eastAsiaTheme="minorHAnsi" w:hAnsi="Book Antiqua" w:cstheme="minorBidi"/>
          <w:sz w:val="22"/>
          <w:szCs w:val="22"/>
        </w:rPr>
        <w:lastRenderedPageBreak/>
        <w:t xml:space="preserve">According to the Labor Force Survey, there were 387,100 unemployed </w:t>
      </w:r>
      <w:r w:rsidR="00907986" w:rsidRPr="002642F2">
        <w:rPr>
          <w:rFonts w:ascii="Book Antiqua" w:eastAsiaTheme="minorHAnsi" w:hAnsi="Book Antiqua" w:cstheme="minorBidi"/>
          <w:sz w:val="22"/>
          <w:szCs w:val="22"/>
        </w:rPr>
        <w:t xml:space="preserve">persons </w:t>
      </w:r>
      <w:r w:rsidRPr="002642F2">
        <w:rPr>
          <w:rFonts w:ascii="Book Antiqua" w:eastAsiaTheme="minorHAnsi" w:hAnsi="Book Antiqua" w:cstheme="minorBidi"/>
          <w:sz w:val="22"/>
          <w:szCs w:val="22"/>
        </w:rPr>
        <w:t>and 2,810,500 employees in the mentioned period</w:t>
      </w:r>
      <w:r w:rsidR="00DB506B" w:rsidRPr="002642F2">
        <w:rPr>
          <w:rFonts w:ascii="Book Antiqua" w:eastAsiaTheme="minorHAnsi" w:hAnsi="Book Antiqua" w:cstheme="minorBidi"/>
          <w:sz w:val="22"/>
          <w:szCs w:val="22"/>
        </w:rPr>
        <w:t>.</w:t>
      </w:r>
    </w:p>
    <w:p w:rsidR="00DB506B" w:rsidRPr="002642F2" w:rsidRDefault="00907986" w:rsidP="00DB506B">
      <w:pPr>
        <w:spacing w:before="120"/>
        <w:jc w:val="both"/>
        <w:rPr>
          <w:rFonts w:ascii="Book Antiqua" w:eastAsiaTheme="minorHAnsi" w:hAnsi="Book Antiqua" w:cstheme="minorBidi"/>
          <w:sz w:val="22"/>
          <w:szCs w:val="22"/>
        </w:rPr>
      </w:pPr>
      <w:r w:rsidRPr="002642F2">
        <w:rPr>
          <w:rFonts w:ascii="Book Antiqua" w:eastAsiaTheme="minorHAnsi" w:hAnsi="Book Antiqua" w:cstheme="minorBidi"/>
          <w:sz w:val="22"/>
          <w:szCs w:val="22"/>
        </w:rPr>
        <w:t xml:space="preserve">The rate of informal employment in the first quarter of 2019 was 17 percent, and in </w:t>
      </w:r>
      <w:r w:rsidR="00252D20" w:rsidRPr="002642F2">
        <w:rPr>
          <w:rFonts w:ascii="Book Antiqua" w:eastAsiaTheme="minorHAnsi" w:hAnsi="Book Antiqua" w:cstheme="minorBidi"/>
          <w:sz w:val="22"/>
          <w:szCs w:val="22"/>
        </w:rPr>
        <w:t xml:space="preserve">the field of </w:t>
      </w:r>
      <w:r w:rsidRPr="002642F2">
        <w:rPr>
          <w:rFonts w:ascii="Book Antiqua" w:eastAsiaTheme="minorHAnsi" w:hAnsi="Book Antiqua" w:cstheme="minorBidi"/>
          <w:sz w:val="22"/>
          <w:szCs w:val="22"/>
        </w:rPr>
        <w:t xml:space="preserve">agriculture alone about 57 percent. The results of the survey from the first quarter of 2018 and the first quarter of 2019 show that </w:t>
      </w:r>
      <w:r w:rsidR="00AE1F68" w:rsidRPr="002642F2">
        <w:rPr>
          <w:rFonts w:ascii="Book Antiqua" w:eastAsiaTheme="minorHAnsi" w:hAnsi="Book Antiqua" w:cstheme="minorBidi"/>
          <w:sz w:val="22"/>
          <w:szCs w:val="22"/>
        </w:rPr>
        <w:t xml:space="preserve">mostly </w:t>
      </w:r>
      <w:r w:rsidRPr="002642F2">
        <w:rPr>
          <w:rFonts w:ascii="Book Antiqua" w:eastAsiaTheme="minorHAnsi" w:hAnsi="Book Antiqua" w:cstheme="minorBidi"/>
          <w:sz w:val="22"/>
          <w:szCs w:val="22"/>
        </w:rPr>
        <w:t xml:space="preserve">women </w:t>
      </w:r>
      <w:r w:rsidR="00AE1F68" w:rsidRPr="002642F2">
        <w:rPr>
          <w:rFonts w:ascii="Book Antiqua" w:eastAsiaTheme="minorHAnsi" w:hAnsi="Book Antiqua" w:cstheme="minorBidi"/>
          <w:sz w:val="22"/>
          <w:szCs w:val="22"/>
        </w:rPr>
        <w:t>found jobs</w:t>
      </w:r>
      <w:r w:rsidRPr="002642F2">
        <w:rPr>
          <w:rFonts w:ascii="Book Antiqua" w:eastAsiaTheme="minorHAnsi" w:hAnsi="Book Antiqua" w:cstheme="minorBidi"/>
          <w:sz w:val="22"/>
          <w:szCs w:val="22"/>
        </w:rPr>
        <w:t>, as the number of employed women increased by 94,000 and the number of men by 28,300</w:t>
      </w:r>
      <w:r w:rsidR="00DB506B" w:rsidRPr="002642F2">
        <w:rPr>
          <w:rFonts w:ascii="Book Antiqua" w:eastAsiaTheme="minorHAnsi" w:hAnsi="Book Antiqua" w:cstheme="minorBidi"/>
          <w:sz w:val="22"/>
          <w:szCs w:val="22"/>
        </w:rPr>
        <w:t>.</w:t>
      </w:r>
    </w:p>
    <w:p w:rsidR="00DB506B" w:rsidRPr="002642F2" w:rsidRDefault="00252D20" w:rsidP="00DB506B">
      <w:pPr>
        <w:spacing w:before="120"/>
        <w:jc w:val="both"/>
        <w:rPr>
          <w:rFonts w:ascii="Book Antiqua" w:eastAsiaTheme="minorHAnsi" w:hAnsi="Book Antiqua" w:cstheme="minorBidi"/>
          <w:sz w:val="22"/>
          <w:szCs w:val="22"/>
        </w:rPr>
      </w:pPr>
      <w:r w:rsidRPr="002642F2">
        <w:rPr>
          <w:rFonts w:ascii="Book Antiqua" w:eastAsiaTheme="minorHAnsi" w:hAnsi="Book Antiqua" w:cstheme="minorBidi"/>
          <w:sz w:val="22"/>
          <w:szCs w:val="22"/>
        </w:rPr>
        <w:t>In the second quarter of 2019, the total number of employees was 2,161,533 persons. Out of the total number, 1,715,436 are employed in legal entities, 373,444 are entrepreneurs, persons employed by them and self-employed persons, and 72,653 persons are registered individual farmers. Compared to the second quarter of 2018, the total number of employees increased by 1.6%, with the number of employees in legal entities increas</w:t>
      </w:r>
      <w:r w:rsidR="00AE1F68" w:rsidRPr="002642F2">
        <w:rPr>
          <w:rFonts w:ascii="Book Antiqua" w:eastAsiaTheme="minorHAnsi" w:hAnsi="Book Antiqua" w:cstheme="minorBidi"/>
          <w:sz w:val="22"/>
          <w:szCs w:val="22"/>
        </w:rPr>
        <w:t>ed</w:t>
      </w:r>
      <w:r w:rsidRPr="002642F2">
        <w:rPr>
          <w:rFonts w:ascii="Book Antiqua" w:eastAsiaTheme="minorHAnsi" w:hAnsi="Book Antiqua" w:cstheme="minorBidi"/>
          <w:sz w:val="22"/>
          <w:szCs w:val="22"/>
        </w:rPr>
        <w:t xml:space="preserve"> by 1.9%, the number of entrepreneurs, their employees and self-employed persons increased by 2.8%, while the number of registered individual farmers decreased by 8.7%. Compared to the previous quarter, the total number of employees increased by 0.6%, </w:t>
      </w:r>
      <w:r w:rsidR="00AE1F68" w:rsidRPr="002642F2">
        <w:rPr>
          <w:rFonts w:ascii="Book Antiqua" w:eastAsiaTheme="minorHAnsi" w:hAnsi="Book Antiqua" w:cstheme="minorBidi"/>
          <w:sz w:val="22"/>
          <w:szCs w:val="22"/>
        </w:rPr>
        <w:t>and</w:t>
      </w:r>
      <w:r w:rsidRPr="002642F2">
        <w:rPr>
          <w:rFonts w:ascii="Book Antiqua" w:eastAsiaTheme="minorHAnsi" w:hAnsi="Book Antiqua" w:cstheme="minorBidi"/>
          <w:sz w:val="22"/>
          <w:szCs w:val="22"/>
        </w:rPr>
        <w:t xml:space="preserve"> the number of employees in legal entities increas</w:t>
      </w:r>
      <w:r w:rsidR="00AE1F68" w:rsidRPr="002642F2">
        <w:rPr>
          <w:rFonts w:ascii="Book Antiqua" w:eastAsiaTheme="minorHAnsi" w:hAnsi="Book Antiqua" w:cstheme="minorBidi"/>
          <w:sz w:val="22"/>
          <w:szCs w:val="22"/>
        </w:rPr>
        <w:t>ed</w:t>
      </w:r>
      <w:r w:rsidRPr="002642F2">
        <w:rPr>
          <w:rFonts w:ascii="Book Antiqua" w:eastAsiaTheme="minorHAnsi" w:hAnsi="Book Antiqua" w:cstheme="minorBidi"/>
          <w:sz w:val="22"/>
          <w:szCs w:val="22"/>
        </w:rPr>
        <w:t xml:space="preserve"> by 0.7%, the number of entrepreneurs,</w:t>
      </w:r>
      <w:r w:rsidR="009F5F6B" w:rsidRPr="002642F2">
        <w:rPr>
          <w:rFonts w:ascii="Book Antiqua" w:eastAsiaTheme="minorHAnsi" w:hAnsi="Book Antiqua" w:cstheme="minorBidi"/>
          <w:sz w:val="22"/>
          <w:szCs w:val="22"/>
        </w:rPr>
        <w:t xml:space="preserve"> their</w:t>
      </w:r>
      <w:r w:rsidRPr="002642F2">
        <w:rPr>
          <w:rFonts w:ascii="Book Antiqua" w:eastAsiaTheme="minorHAnsi" w:hAnsi="Book Antiqua" w:cstheme="minorBidi"/>
          <w:sz w:val="22"/>
          <w:szCs w:val="22"/>
        </w:rPr>
        <w:t xml:space="preserve"> employees and self-employed persons increas</w:t>
      </w:r>
      <w:r w:rsidR="00AE1F68" w:rsidRPr="002642F2">
        <w:rPr>
          <w:rFonts w:ascii="Book Antiqua" w:eastAsiaTheme="minorHAnsi" w:hAnsi="Book Antiqua" w:cstheme="minorBidi"/>
          <w:sz w:val="22"/>
          <w:szCs w:val="22"/>
        </w:rPr>
        <w:t>ed</w:t>
      </w:r>
      <w:r w:rsidRPr="002642F2">
        <w:rPr>
          <w:rFonts w:ascii="Book Antiqua" w:eastAsiaTheme="minorHAnsi" w:hAnsi="Book Antiqua" w:cstheme="minorBidi"/>
          <w:sz w:val="22"/>
          <w:szCs w:val="22"/>
        </w:rPr>
        <w:t xml:space="preserve"> by 0.8 %, while the number of registered individual farmers decreased by 2.4%</w:t>
      </w:r>
      <w:r w:rsidR="00DB506B" w:rsidRPr="002642F2">
        <w:rPr>
          <w:rFonts w:ascii="Book Antiqua" w:eastAsiaTheme="minorHAnsi" w:hAnsi="Book Antiqua" w:cstheme="minorBidi"/>
          <w:sz w:val="22"/>
          <w:szCs w:val="22"/>
        </w:rPr>
        <w:t>.</w:t>
      </w:r>
      <w:r w:rsidR="00DB506B" w:rsidRPr="002642F2">
        <w:rPr>
          <w:rFonts w:ascii="Book Antiqua" w:eastAsiaTheme="minorHAnsi" w:hAnsi="Book Antiqua" w:cstheme="minorBidi"/>
          <w:sz w:val="22"/>
          <w:szCs w:val="22"/>
          <w:vertAlign w:val="superscript"/>
        </w:rPr>
        <w:footnoteReference w:id="2"/>
      </w:r>
    </w:p>
    <w:p w:rsidR="00DB506B" w:rsidRPr="002642F2" w:rsidRDefault="00993F7F" w:rsidP="00DB506B">
      <w:pPr>
        <w:spacing w:before="120"/>
        <w:jc w:val="both"/>
        <w:rPr>
          <w:rFonts w:ascii="Book Antiqua" w:eastAsiaTheme="minorHAnsi" w:hAnsi="Book Antiqua" w:cstheme="minorBidi"/>
          <w:sz w:val="22"/>
          <w:szCs w:val="22"/>
        </w:rPr>
      </w:pPr>
      <w:r w:rsidRPr="002642F2">
        <w:rPr>
          <w:rFonts w:ascii="Book Antiqua" w:eastAsiaTheme="minorHAnsi" w:hAnsi="Book Antiqua" w:cstheme="minorBidi"/>
          <w:sz w:val="22"/>
          <w:szCs w:val="22"/>
        </w:rPr>
        <w:t>In July 2019, the total number of unemployed persons was 519,808, of which 283,579 were women</w:t>
      </w:r>
      <w:r w:rsidR="00DB506B" w:rsidRPr="002642F2">
        <w:rPr>
          <w:rFonts w:ascii="Book Antiqua" w:eastAsiaTheme="minorHAnsi" w:hAnsi="Book Antiqua" w:cstheme="minorBidi"/>
          <w:sz w:val="22"/>
          <w:szCs w:val="22"/>
        </w:rPr>
        <w:t>.</w:t>
      </w:r>
      <w:r w:rsidR="00DB506B" w:rsidRPr="002642F2">
        <w:rPr>
          <w:rFonts w:ascii="Book Antiqua" w:eastAsiaTheme="minorHAnsi" w:hAnsi="Book Antiqua" w:cstheme="minorBidi"/>
          <w:sz w:val="22"/>
          <w:szCs w:val="22"/>
          <w:vertAlign w:val="superscript"/>
        </w:rPr>
        <w:footnoteReference w:id="3"/>
      </w:r>
    </w:p>
    <w:p w:rsidR="00DB506B" w:rsidRPr="002642F2" w:rsidRDefault="004779F6" w:rsidP="00DB506B">
      <w:pPr>
        <w:spacing w:before="120"/>
        <w:jc w:val="both"/>
        <w:rPr>
          <w:rFonts w:ascii="Book Antiqua" w:eastAsiaTheme="minorHAnsi" w:hAnsi="Book Antiqua" w:cstheme="minorBidi"/>
          <w:sz w:val="22"/>
          <w:szCs w:val="22"/>
        </w:rPr>
      </w:pPr>
      <w:r w:rsidRPr="002642F2">
        <w:rPr>
          <w:rFonts w:ascii="Book Antiqua" w:eastAsiaTheme="minorHAnsi" w:hAnsi="Book Antiqua" w:cstheme="minorBidi"/>
          <w:sz w:val="22"/>
          <w:szCs w:val="22"/>
        </w:rPr>
        <w:t xml:space="preserve">In 2017, the Protector of Citizens, with the support of the OSCE Mission to Serbia, conducted a survey aimed at gathering data on the implementation of equal opportunities policies and measures, that is, the implementation of laws and practices in the field of gender equality at the local level. The aim of the research was to determine the current situation and opportunities for improving the institutional framework and practices, and thus the gender equality and position of women and men. The results of the survey showed that there are 5 men and 7 women with disabilities among the </w:t>
      </w:r>
      <w:r w:rsidR="00AE1F68" w:rsidRPr="002642F2">
        <w:rPr>
          <w:rFonts w:ascii="Book Antiqua" w:eastAsiaTheme="minorHAnsi" w:hAnsi="Book Antiqua" w:cstheme="minorBidi"/>
          <w:sz w:val="22"/>
          <w:szCs w:val="22"/>
        </w:rPr>
        <w:t>councilors</w:t>
      </w:r>
      <w:r w:rsidRPr="002642F2">
        <w:rPr>
          <w:rFonts w:ascii="Book Antiqua" w:eastAsiaTheme="minorHAnsi" w:hAnsi="Book Antiqua" w:cstheme="minorBidi"/>
          <w:sz w:val="22"/>
          <w:szCs w:val="22"/>
        </w:rPr>
        <w:t xml:space="preserve"> in the municipalities and cities in Serbia. There are 5 men with disabilities and one woman </w:t>
      </w:r>
      <w:r w:rsidR="00AE1F68" w:rsidRPr="002642F2">
        <w:rPr>
          <w:rFonts w:ascii="Book Antiqua" w:eastAsiaTheme="minorHAnsi" w:hAnsi="Book Antiqua" w:cstheme="minorBidi"/>
          <w:sz w:val="22"/>
          <w:szCs w:val="22"/>
        </w:rPr>
        <w:t>appointee</w:t>
      </w:r>
      <w:r w:rsidRPr="002642F2">
        <w:rPr>
          <w:rFonts w:ascii="Book Antiqua" w:eastAsiaTheme="minorHAnsi" w:hAnsi="Book Antiqua" w:cstheme="minorBidi"/>
          <w:sz w:val="22"/>
          <w:szCs w:val="22"/>
        </w:rPr>
        <w:t xml:space="preserve">, while 90 women and 97 men are employed in executive positions. In Serbia, there are only 2 Roma women councilors and 10 Roma men </w:t>
      </w:r>
      <w:r w:rsidR="003D3A82" w:rsidRPr="002642F2">
        <w:rPr>
          <w:rFonts w:ascii="Book Antiqua" w:eastAsiaTheme="minorHAnsi" w:hAnsi="Book Antiqua" w:cstheme="minorBidi"/>
          <w:sz w:val="22"/>
          <w:szCs w:val="22"/>
        </w:rPr>
        <w:t xml:space="preserve">who </w:t>
      </w:r>
      <w:r w:rsidRPr="002642F2">
        <w:rPr>
          <w:rFonts w:ascii="Book Antiqua" w:eastAsiaTheme="minorHAnsi" w:hAnsi="Book Antiqua" w:cstheme="minorBidi"/>
          <w:sz w:val="22"/>
          <w:szCs w:val="22"/>
        </w:rPr>
        <w:t>are councilors in local assemblies</w:t>
      </w:r>
      <w:r w:rsidR="00DB506B" w:rsidRPr="002642F2">
        <w:rPr>
          <w:rFonts w:ascii="Book Antiqua" w:eastAsia="Calibri" w:hAnsi="Book Antiqua"/>
          <w:sz w:val="22"/>
          <w:szCs w:val="22"/>
        </w:rPr>
        <w:t xml:space="preserve">. </w:t>
      </w:r>
      <w:r w:rsidR="003D3A82" w:rsidRPr="002642F2">
        <w:rPr>
          <w:rFonts w:ascii="Book Antiqua" w:eastAsia="Calibri" w:hAnsi="Book Antiqua"/>
          <w:sz w:val="22"/>
          <w:szCs w:val="22"/>
        </w:rPr>
        <w:t xml:space="preserve">Among the employees in executive positions there are 25 Roma men and 13 Roma women, while in local self-governments in Serbia 1 Roma </w:t>
      </w:r>
      <w:r w:rsidR="00FA235B" w:rsidRPr="002642F2">
        <w:rPr>
          <w:rFonts w:ascii="Book Antiqua" w:eastAsia="Calibri" w:hAnsi="Book Antiqua"/>
          <w:sz w:val="22"/>
          <w:szCs w:val="22"/>
        </w:rPr>
        <w:t xml:space="preserve">male </w:t>
      </w:r>
      <w:r w:rsidR="003D3A82" w:rsidRPr="002642F2">
        <w:rPr>
          <w:rFonts w:ascii="Book Antiqua" w:eastAsia="Calibri" w:hAnsi="Book Antiqua"/>
          <w:sz w:val="22"/>
          <w:szCs w:val="22"/>
        </w:rPr>
        <w:t>person was appointed and no Roma women. This data indicates the exclusion of Roma nationals and persons with disabili</w:t>
      </w:r>
      <w:r w:rsidR="00A90F19" w:rsidRPr="002642F2">
        <w:rPr>
          <w:rFonts w:ascii="Book Antiqua" w:eastAsia="Calibri" w:hAnsi="Book Antiqua"/>
          <w:sz w:val="22"/>
          <w:szCs w:val="22"/>
        </w:rPr>
        <w:t>ties, as well as the lack and/</w:t>
      </w:r>
      <w:r w:rsidR="003D3A82" w:rsidRPr="002642F2">
        <w:rPr>
          <w:rFonts w:ascii="Book Antiqua" w:eastAsia="Calibri" w:hAnsi="Book Antiqua"/>
          <w:sz w:val="22"/>
          <w:szCs w:val="22"/>
        </w:rPr>
        <w:t xml:space="preserve">or non-implementation of adequate instruments and </w:t>
      </w:r>
      <w:r w:rsidR="00B059AA" w:rsidRPr="002642F2">
        <w:rPr>
          <w:rFonts w:ascii="Book Antiqua" w:eastAsia="Calibri" w:hAnsi="Book Antiqua"/>
          <w:sz w:val="22"/>
          <w:szCs w:val="22"/>
        </w:rPr>
        <w:t>the</w:t>
      </w:r>
      <w:r w:rsidR="000216D8" w:rsidRPr="002642F2">
        <w:rPr>
          <w:rFonts w:ascii="Book Antiqua" w:eastAsia="Calibri" w:hAnsi="Book Antiqua"/>
          <w:sz w:val="22"/>
          <w:szCs w:val="22"/>
        </w:rPr>
        <w:t xml:space="preserve"> lack of</w:t>
      </w:r>
      <w:r w:rsidR="00B059AA" w:rsidRPr="002642F2">
        <w:rPr>
          <w:rFonts w:ascii="Book Antiqua" w:eastAsia="Calibri" w:hAnsi="Book Antiqua"/>
          <w:sz w:val="22"/>
          <w:szCs w:val="22"/>
        </w:rPr>
        <w:t xml:space="preserve"> </w:t>
      </w:r>
      <w:r w:rsidR="003D3A82" w:rsidRPr="002642F2">
        <w:rPr>
          <w:rFonts w:ascii="Book Antiqua" w:eastAsia="Calibri" w:hAnsi="Book Antiqua"/>
          <w:sz w:val="22"/>
          <w:szCs w:val="22"/>
        </w:rPr>
        <w:t xml:space="preserve">institutional framework for their participation at all levels. Apart from the local community councils, the under-representation of women in the bodies of local self-government units is not seen as problematic, and one of the arguments is that they are represented </w:t>
      </w:r>
      <w:r w:rsidR="000216D8" w:rsidRPr="002642F2">
        <w:rPr>
          <w:rFonts w:ascii="Book Antiqua" w:eastAsia="Calibri" w:hAnsi="Book Antiqua"/>
          <w:sz w:val="22"/>
          <w:szCs w:val="22"/>
        </w:rPr>
        <w:t>through</w:t>
      </w:r>
      <w:r w:rsidR="003D3A82" w:rsidRPr="002642F2">
        <w:rPr>
          <w:rFonts w:ascii="Book Antiqua" w:eastAsia="Calibri" w:hAnsi="Book Antiqua"/>
          <w:sz w:val="22"/>
          <w:szCs w:val="22"/>
        </w:rPr>
        <w:t xml:space="preserve"> the positions of directors of public enterprises and institutions, most</w:t>
      </w:r>
      <w:r w:rsidR="0037160D" w:rsidRPr="002642F2">
        <w:rPr>
          <w:rFonts w:ascii="Book Antiqua" w:eastAsia="Calibri" w:hAnsi="Book Antiqua"/>
          <w:sz w:val="22"/>
          <w:szCs w:val="22"/>
        </w:rPr>
        <w:t>ly</w:t>
      </w:r>
      <w:r w:rsidR="003D3A82" w:rsidRPr="002642F2">
        <w:rPr>
          <w:rFonts w:ascii="Book Antiqua" w:eastAsia="Calibri" w:hAnsi="Book Antiqua"/>
          <w:sz w:val="22"/>
          <w:szCs w:val="22"/>
        </w:rPr>
        <w:t xml:space="preserve"> cultural and educational institutions</w:t>
      </w:r>
      <w:r w:rsidR="00DB506B" w:rsidRPr="002642F2">
        <w:rPr>
          <w:rFonts w:ascii="Book Antiqua" w:eastAsia="Calibri" w:hAnsi="Book Antiqua"/>
          <w:sz w:val="22"/>
          <w:szCs w:val="22"/>
        </w:rPr>
        <w:t xml:space="preserve">.  </w:t>
      </w:r>
    </w:p>
    <w:p w:rsidR="00DB506B" w:rsidRPr="002642F2" w:rsidRDefault="000216D8" w:rsidP="00DB506B">
      <w:pPr>
        <w:spacing w:before="120"/>
        <w:jc w:val="both"/>
        <w:rPr>
          <w:rFonts w:ascii="Book Antiqua" w:eastAsia="Calibri" w:hAnsi="Book Antiqua"/>
          <w:sz w:val="22"/>
          <w:szCs w:val="22"/>
        </w:rPr>
      </w:pPr>
      <w:r w:rsidRPr="002642F2">
        <w:rPr>
          <w:rFonts w:ascii="Book Antiqua" w:eastAsia="Calibri" w:hAnsi="Book Antiqua"/>
          <w:sz w:val="22"/>
          <w:szCs w:val="22"/>
        </w:rPr>
        <w:t xml:space="preserve">Data on representation of women are monitored and updated, and local mechanisms recognize their role in increasing the participation of women in decision-making. However, while there is a strong need for more active monitoring of the representation of the under-represented sex, especially members of multiple marginalized groups, the empowerment of women and civil society organizations, and above all the change of policies at the local level so as to ensure more meaningful and greater involvement of women and members of marginalized groups in the processes of policy-making and decision-making, apart from advocating for </w:t>
      </w:r>
      <w:r w:rsidR="00DD6919" w:rsidRPr="002642F2">
        <w:rPr>
          <w:rFonts w:ascii="Book Antiqua" w:eastAsia="Calibri" w:hAnsi="Book Antiqua"/>
          <w:sz w:val="22"/>
          <w:szCs w:val="22"/>
        </w:rPr>
        <w:t xml:space="preserve">the establishment of quotas at the </w:t>
      </w:r>
      <w:r w:rsidRPr="002642F2">
        <w:rPr>
          <w:rFonts w:ascii="Book Antiqua" w:eastAsia="Calibri" w:hAnsi="Book Antiqua"/>
          <w:sz w:val="22"/>
          <w:szCs w:val="22"/>
        </w:rPr>
        <w:t xml:space="preserve">local level </w:t>
      </w:r>
      <w:r w:rsidR="00DD6919" w:rsidRPr="002642F2">
        <w:rPr>
          <w:rFonts w:ascii="Book Antiqua" w:eastAsia="Calibri" w:hAnsi="Book Antiqua"/>
          <w:sz w:val="22"/>
          <w:szCs w:val="22"/>
        </w:rPr>
        <w:t>–</w:t>
      </w:r>
      <w:r w:rsidRPr="002642F2">
        <w:rPr>
          <w:rFonts w:ascii="Book Antiqua" w:eastAsia="Calibri" w:hAnsi="Book Antiqua"/>
          <w:sz w:val="22"/>
          <w:szCs w:val="22"/>
        </w:rPr>
        <w:t xml:space="preserve"> for executive bodies, there are no significant activities in this area</w:t>
      </w:r>
      <w:r w:rsidR="00DD6919" w:rsidRPr="002642F2">
        <w:rPr>
          <w:rFonts w:ascii="Book Antiqua" w:eastAsia="Calibri" w:hAnsi="Book Antiqua"/>
          <w:sz w:val="22"/>
          <w:szCs w:val="22"/>
        </w:rPr>
        <w:t>.</w:t>
      </w:r>
    </w:p>
    <w:p w:rsidR="00DB506B" w:rsidRPr="002642F2" w:rsidRDefault="00DB506B" w:rsidP="00DB506B">
      <w:pPr>
        <w:spacing w:before="120"/>
        <w:rPr>
          <w:rFonts w:ascii="Book Antiqua" w:eastAsiaTheme="minorHAnsi" w:hAnsi="Book Antiqua" w:cstheme="minorBidi"/>
          <w:sz w:val="22"/>
          <w:szCs w:val="22"/>
        </w:rPr>
      </w:pPr>
    </w:p>
    <w:p w:rsidR="00DB506B" w:rsidRPr="002642F2" w:rsidRDefault="00DB506B" w:rsidP="00DB506B">
      <w:pPr>
        <w:spacing w:before="120"/>
        <w:rPr>
          <w:rFonts w:ascii="Book Antiqua" w:eastAsiaTheme="minorHAnsi" w:hAnsi="Book Antiqua" w:cstheme="minorBidi"/>
          <w:b/>
          <w:sz w:val="22"/>
          <w:szCs w:val="22"/>
        </w:rPr>
      </w:pPr>
      <w:r w:rsidRPr="002642F2">
        <w:rPr>
          <w:rFonts w:ascii="Book Antiqua" w:eastAsiaTheme="minorHAnsi" w:hAnsi="Book Antiqua" w:cstheme="minorBidi"/>
          <w:b/>
          <w:sz w:val="22"/>
          <w:szCs w:val="22"/>
        </w:rPr>
        <w:t>1</w:t>
      </w:r>
      <w:r w:rsidR="00C35426" w:rsidRPr="002642F2">
        <w:rPr>
          <w:rFonts w:ascii="Book Antiqua" w:eastAsiaTheme="minorHAnsi" w:hAnsi="Book Antiqua" w:cstheme="minorBidi"/>
          <w:b/>
          <w:sz w:val="22"/>
          <w:szCs w:val="22"/>
        </w:rPr>
        <w:t>b</w:t>
      </w:r>
    </w:p>
    <w:p w:rsidR="00DB506B" w:rsidRPr="002642F2" w:rsidRDefault="00682A29" w:rsidP="00DB506B">
      <w:pPr>
        <w:spacing w:before="120"/>
        <w:jc w:val="both"/>
        <w:rPr>
          <w:rFonts w:ascii="Book Antiqua" w:eastAsiaTheme="minorHAnsi" w:hAnsi="Book Antiqua" w:cstheme="minorBidi"/>
          <w:i/>
          <w:iCs/>
          <w:sz w:val="22"/>
          <w:szCs w:val="22"/>
        </w:rPr>
      </w:pPr>
      <w:r w:rsidRPr="002642F2">
        <w:rPr>
          <w:rFonts w:ascii="Book Antiqua" w:eastAsiaTheme="minorHAnsi" w:hAnsi="Book Antiqua" w:cstheme="minorBidi"/>
          <w:sz w:val="22"/>
          <w:szCs w:val="22"/>
        </w:rPr>
        <w:t xml:space="preserve">The </w:t>
      </w:r>
      <w:r w:rsidR="00FA235B" w:rsidRPr="002642F2">
        <w:rPr>
          <w:rFonts w:ascii="Book Antiqua" w:eastAsiaTheme="minorHAnsi" w:hAnsi="Book Antiqua" w:cstheme="minorBidi"/>
          <w:sz w:val="22"/>
          <w:szCs w:val="22"/>
        </w:rPr>
        <w:t>Law on the Prevention of Harassment at the Workplace</w:t>
      </w:r>
      <w:r w:rsidR="000648A0" w:rsidRPr="002642F2">
        <w:rPr>
          <w:rStyle w:val="FootnoteReference"/>
          <w:rFonts w:ascii="Book Antiqua" w:eastAsiaTheme="minorHAnsi" w:hAnsi="Book Antiqua" w:cstheme="minorBidi"/>
          <w:b/>
          <w:sz w:val="22"/>
          <w:szCs w:val="22"/>
        </w:rPr>
        <w:footnoteReference w:id="4"/>
      </w:r>
      <w:r w:rsidR="00DB506B" w:rsidRPr="002642F2">
        <w:rPr>
          <w:rFonts w:ascii="Book Antiqua" w:eastAsiaTheme="minorHAnsi" w:hAnsi="Book Antiqua" w:cstheme="minorBidi"/>
          <w:sz w:val="22"/>
          <w:szCs w:val="22"/>
        </w:rPr>
        <w:t xml:space="preserve"> </w:t>
      </w:r>
      <w:r w:rsidR="00E23A73" w:rsidRPr="002642F2">
        <w:rPr>
          <w:rFonts w:ascii="Book Antiqua" w:eastAsiaTheme="minorHAnsi" w:hAnsi="Book Antiqua" w:cstheme="minorBidi"/>
          <w:sz w:val="22"/>
          <w:szCs w:val="22"/>
        </w:rPr>
        <w:t xml:space="preserve">explicitly prohibits any form of abuse at work and in connection with the work of employees and other persons engaged without an </w:t>
      </w:r>
      <w:r w:rsidR="00E23A73" w:rsidRPr="002642F2">
        <w:rPr>
          <w:rFonts w:ascii="Book Antiqua" w:eastAsiaTheme="minorHAnsi" w:hAnsi="Book Antiqua" w:cstheme="minorBidi"/>
          <w:sz w:val="22"/>
          <w:szCs w:val="22"/>
        </w:rPr>
        <w:lastRenderedPageBreak/>
        <w:t>employment contract (persons performing temporary and occasional work or work under a work contract, persons in vocational training at the employer without an employment contract, volunteers and any other persons participating in the work with the employer, on any grounds)</w:t>
      </w:r>
      <w:r w:rsidR="00DB506B" w:rsidRPr="002642F2">
        <w:rPr>
          <w:rFonts w:ascii="Book Antiqua" w:eastAsiaTheme="minorHAnsi" w:hAnsi="Book Antiqua" w:cstheme="minorBidi"/>
          <w:sz w:val="22"/>
          <w:szCs w:val="22"/>
        </w:rPr>
        <w:t xml:space="preserve">. </w:t>
      </w:r>
      <w:r w:rsidR="00E23A73" w:rsidRPr="002642F2">
        <w:rPr>
          <w:rFonts w:ascii="Book Antiqua" w:eastAsiaTheme="minorHAnsi" w:hAnsi="Book Antiqua" w:cstheme="minorBidi"/>
          <w:sz w:val="22"/>
          <w:szCs w:val="22"/>
        </w:rPr>
        <w:t xml:space="preserve">The Minister </w:t>
      </w:r>
      <w:r w:rsidR="00A04C98" w:rsidRPr="002642F2">
        <w:rPr>
          <w:rFonts w:ascii="Book Antiqua" w:eastAsiaTheme="minorHAnsi" w:hAnsi="Book Antiqua" w:cstheme="minorBidi"/>
          <w:sz w:val="22"/>
          <w:szCs w:val="22"/>
        </w:rPr>
        <w:t>of</w:t>
      </w:r>
      <w:r w:rsidR="00E23A73" w:rsidRPr="002642F2">
        <w:rPr>
          <w:rFonts w:ascii="Book Antiqua" w:eastAsiaTheme="minorHAnsi" w:hAnsi="Book Antiqua" w:cstheme="minorBidi"/>
          <w:sz w:val="22"/>
          <w:szCs w:val="22"/>
        </w:rPr>
        <w:t xml:space="preserve"> </w:t>
      </w:r>
      <w:r w:rsidR="00A04C98" w:rsidRPr="002642F2">
        <w:rPr>
          <w:rFonts w:ascii="Book Antiqua" w:eastAsiaTheme="minorHAnsi" w:hAnsi="Book Antiqua" w:cstheme="minorBidi"/>
          <w:sz w:val="22"/>
          <w:szCs w:val="22"/>
        </w:rPr>
        <w:t xml:space="preserve">Labour, Employment, Veteran and Social Affairs </w:t>
      </w:r>
      <w:r w:rsidR="00E23A73" w:rsidRPr="002642F2">
        <w:rPr>
          <w:rFonts w:ascii="Book Antiqua" w:eastAsiaTheme="minorHAnsi" w:hAnsi="Book Antiqua" w:cstheme="minorBidi"/>
          <w:sz w:val="22"/>
          <w:szCs w:val="22"/>
        </w:rPr>
        <w:t xml:space="preserve">has adopted the Rulebook on the </w:t>
      </w:r>
      <w:r w:rsidR="00A04C98" w:rsidRPr="002642F2">
        <w:rPr>
          <w:rFonts w:ascii="Book Antiqua" w:eastAsiaTheme="minorHAnsi" w:hAnsi="Book Antiqua" w:cstheme="minorBidi"/>
          <w:sz w:val="22"/>
          <w:szCs w:val="22"/>
        </w:rPr>
        <w:t>r</w:t>
      </w:r>
      <w:r w:rsidR="00E23A73" w:rsidRPr="002642F2">
        <w:rPr>
          <w:rFonts w:ascii="Book Antiqua" w:eastAsiaTheme="minorHAnsi" w:hAnsi="Book Antiqua" w:cstheme="minorBidi"/>
          <w:sz w:val="22"/>
          <w:szCs w:val="22"/>
        </w:rPr>
        <w:t xml:space="preserve">ules of </w:t>
      </w:r>
      <w:r w:rsidR="00A04C98" w:rsidRPr="002642F2">
        <w:rPr>
          <w:rFonts w:ascii="Book Antiqua" w:eastAsiaTheme="minorHAnsi" w:hAnsi="Book Antiqua" w:cstheme="minorBidi"/>
          <w:sz w:val="22"/>
          <w:szCs w:val="22"/>
        </w:rPr>
        <w:t>c</w:t>
      </w:r>
      <w:r w:rsidR="00E23A73" w:rsidRPr="002642F2">
        <w:rPr>
          <w:rFonts w:ascii="Book Antiqua" w:eastAsiaTheme="minorHAnsi" w:hAnsi="Book Antiqua" w:cstheme="minorBidi"/>
          <w:sz w:val="22"/>
          <w:szCs w:val="22"/>
        </w:rPr>
        <w:t xml:space="preserve">onduct of </w:t>
      </w:r>
      <w:r w:rsidR="00A04C98" w:rsidRPr="002642F2">
        <w:rPr>
          <w:rFonts w:ascii="Book Antiqua" w:eastAsiaTheme="minorHAnsi" w:hAnsi="Book Antiqua" w:cstheme="minorBidi"/>
          <w:sz w:val="22"/>
          <w:szCs w:val="22"/>
        </w:rPr>
        <w:t>e</w:t>
      </w:r>
      <w:r w:rsidR="00E23A73" w:rsidRPr="002642F2">
        <w:rPr>
          <w:rFonts w:ascii="Book Antiqua" w:eastAsiaTheme="minorHAnsi" w:hAnsi="Book Antiqua" w:cstheme="minorBidi"/>
          <w:sz w:val="22"/>
          <w:szCs w:val="22"/>
        </w:rPr>
        <w:t xml:space="preserve">mployers and </w:t>
      </w:r>
      <w:r w:rsidR="00A04C98" w:rsidRPr="002642F2">
        <w:rPr>
          <w:rFonts w:ascii="Book Antiqua" w:eastAsiaTheme="minorHAnsi" w:hAnsi="Book Antiqua" w:cstheme="minorBidi"/>
          <w:sz w:val="22"/>
          <w:szCs w:val="22"/>
        </w:rPr>
        <w:t>e</w:t>
      </w:r>
      <w:r w:rsidR="00E23A73" w:rsidRPr="002642F2">
        <w:rPr>
          <w:rFonts w:ascii="Book Antiqua" w:eastAsiaTheme="minorHAnsi" w:hAnsi="Book Antiqua" w:cstheme="minorBidi"/>
          <w:sz w:val="22"/>
          <w:szCs w:val="22"/>
        </w:rPr>
        <w:t xml:space="preserve">mployees </w:t>
      </w:r>
      <w:r w:rsidR="00A04C98" w:rsidRPr="002642F2">
        <w:rPr>
          <w:rFonts w:ascii="Book Antiqua" w:eastAsiaTheme="minorHAnsi" w:hAnsi="Book Antiqua" w:cstheme="minorBidi"/>
          <w:sz w:val="22"/>
          <w:szCs w:val="22"/>
        </w:rPr>
        <w:t>r</w:t>
      </w:r>
      <w:r w:rsidR="00E23A73" w:rsidRPr="002642F2">
        <w:rPr>
          <w:rFonts w:ascii="Book Antiqua" w:eastAsiaTheme="minorHAnsi" w:hAnsi="Book Antiqua" w:cstheme="minorBidi"/>
          <w:sz w:val="22"/>
          <w:szCs w:val="22"/>
        </w:rPr>
        <w:t xml:space="preserve">egarding the </w:t>
      </w:r>
      <w:r w:rsidR="00A04C98" w:rsidRPr="002642F2">
        <w:rPr>
          <w:rFonts w:ascii="Book Antiqua" w:eastAsiaTheme="minorHAnsi" w:hAnsi="Book Antiqua" w:cstheme="minorBidi"/>
          <w:sz w:val="22"/>
          <w:szCs w:val="22"/>
        </w:rPr>
        <w:t>p</w:t>
      </w:r>
      <w:r w:rsidR="00E23A73" w:rsidRPr="002642F2">
        <w:rPr>
          <w:rFonts w:ascii="Book Antiqua" w:eastAsiaTheme="minorHAnsi" w:hAnsi="Book Antiqua" w:cstheme="minorBidi"/>
          <w:sz w:val="22"/>
          <w:szCs w:val="22"/>
        </w:rPr>
        <w:t xml:space="preserve">revention and </w:t>
      </w:r>
      <w:r w:rsidR="00A04C98" w:rsidRPr="002642F2">
        <w:rPr>
          <w:rFonts w:ascii="Book Antiqua" w:eastAsiaTheme="minorHAnsi" w:hAnsi="Book Antiqua" w:cstheme="minorBidi"/>
          <w:sz w:val="22"/>
          <w:szCs w:val="22"/>
        </w:rPr>
        <w:t>p</w:t>
      </w:r>
      <w:r w:rsidR="00E23A73" w:rsidRPr="002642F2">
        <w:rPr>
          <w:rFonts w:ascii="Book Antiqua" w:eastAsiaTheme="minorHAnsi" w:hAnsi="Book Antiqua" w:cstheme="minorBidi"/>
          <w:sz w:val="22"/>
          <w:szCs w:val="22"/>
        </w:rPr>
        <w:t xml:space="preserve">rotection against </w:t>
      </w:r>
      <w:r w:rsidR="00A04C98" w:rsidRPr="002642F2">
        <w:rPr>
          <w:rFonts w:ascii="Book Antiqua" w:eastAsiaTheme="minorHAnsi" w:hAnsi="Book Antiqua" w:cstheme="minorBidi"/>
          <w:sz w:val="22"/>
          <w:szCs w:val="22"/>
        </w:rPr>
        <w:t>a</w:t>
      </w:r>
      <w:r w:rsidR="00E23A73" w:rsidRPr="002642F2">
        <w:rPr>
          <w:rFonts w:ascii="Book Antiqua" w:eastAsiaTheme="minorHAnsi" w:hAnsi="Book Antiqua" w:cstheme="minorBidi"/>
          <w:sz w:val="22"/>
          <w:szCs w:val="22"/>
        </w:rPr>
        <w:t xml:space="preserve">buse at </w:t>
      </w:r>
      <w:r w:rsidR="00A04C98" w:rsidRPr="002642F2">
        <w:rPr>
          <w:rFonts w:ascii="Book Antiqua" w:eastAsiaTheme="minorHAnsi" w:hAnsi="Book Antiqua" w:cstheme="minorBidi"/>
          <w:sz w:val="22"/>
          <w:szCs w:val="22"/>
        </w:rPr>
        <w:t>w</w:t>
      </w:r>
      <w:r w:rsidR="00E23A73" w:rsidRPr="002642F2">
        <w:rPr>
          <w:rFonts w:ascii="Book Antiqua" w:eastAsiaTheme="minorHAnsi" w:hAnsi="Book Antiqua" w:cstheme="minorBidi"/>
          <w:sz w:val="22"/>
          <w:szCs w:val="22"/>
        </w:rPr>
        <w:t>ork</w:t>
      </w:r>
      <w:r w:rsidR="000648A0" w:rsidRPr="002642F2">
        <w:rPr>
          <w:rStyle w:val="FootnoteReference"/>
          <w:rFonts w:ascii="Book Antiqua" w:eastAsiaTheme="minorHAnsi" w:hAnsi="Book Antiqua" w:cstheme="minorBidi"/>
          <w:sz w:val="22"/>
          <w:szCs w:val="22"/>
        </w:rPr>
        <w:footnoteReference w:id="5"/>
      </w:r>
      <w:r w:rsidR="00E23A73" w:rsidRPr="002642F2">
        <w:rPr>
          <w:rFonts w:ascii="Book Antiqua" w:eastAsiaTheme="minorHAnsi" w:hAnsi="Book Antiqua" w:cstheme="minorBidi"/>
          <w:sz w:val="22"/>
          <w:szCs w:val="22"/>
        </w:rPr>
        <w:t xml:space="preserve"> which prescribes the rules of conduct of employers and employees, or other workers and employees in connection with prevention and protection from </w:t>
      </w:r>
      <w:r w:rsidR="00FA235B" w:rsidRPr="002642F2">
        <w:rPr>
          <w:rFonts w:ascii="Book Antiqua" w:eastAsiaTheme="minorHAnsi" w:hAnsi="Book Antiqua" w:cstheme="minorBidi"/>
          <w:sz w:val="22"/>
          <w:szCs w:val="22"/>
        </w:rPr>
        <w:t>harassment at the workplace</w:t>
      </w:r>
      <w:r w:rsidR="00E23A73" w:rsidRPr="002642F2">
        <w:rPr>
          <w:rFonts w:ascii="Book Antiqua" w:eastAsiaTheme="minorHAnsi" w:hAnsi="Book Antiqua" w:cstheme="minorBidi"/>
          <w:sz w:val="22"/>
          <w:szCs w:val="22"/>
        </w:rPr>
        <w:t>, or sexual harassment</w:t>
      </w:r>
      <w:r w:rsidR="00DB506B" w:rsidRPr="002642F2">
        <w:rPr>
          <w:rFonts w:ascii="Book Antiqua" w:eastAsiaTheme="minorHAnsi" w:hAnsi="Book Antiqua" w:cstheme="minorBidi"/>
          <w:sz w:val="22"/>
          <w:szCs w:val="22"/>
        </w:rPr>
        <w:t xml:space="preserve">. </w:t>
      </w:r>
      <w:r w:rsidR="004F79C7" w:rsidRPr="002642F2">
        <w:rPr>
          <w:rFonts w:ascii="Book Antiqua" w:eastAsiaTheme="minorHAnsi" w:hAnsi="Book Antiqua" w:cstheme="minorBidi"/>
          <w:sz w:val="22"/>
          <w:szCs w:val="22"/>
        </w:rPr>
        <w:t>The employer is obliged to act preventively, to inform the employees in writing that the Law prohibits and sanctions abuse, sexual harassment, as well as</w:t>
      </w:r>
      <w:r w:rsidR="001D5B7B" w:rsidRPr="002642F2">
        <w:rPr>
          <w:rFonts w:ascii="Book Antiqua" w:eastAsiaTheme="minorHAnsi" w:hAnsi="Book Antiqua" w:cstheme="minorBidi"/>
          <w:sz w:val="22"/>
          <w:szCs w:val="22"/>
        </w:rPr>
        <w:t xml:space="preserve"> the</w:t>
      </w:r>
      <w:r w:rsidR="004F79C7" w:rsidRPr="002642F2">
        <w:rPr>
          <w:rFonts w:ascii="Book Antiqua" w:eastAsiaTheme="minorHAnsi" w:hAnsi="Book Antiqua" w:cstheme="minorBidi"/>
          <w:sz w:val="22"/>
          <w:szCs w:val="22"/>
        </w:rPr>
        <w:t xml:space="preserve"> abuse of the right to protection from such behavior, to clarify those institutes and to inform </w:t>
      </w:r>
      <w:r w:rsidR="001D5B7B" w:rsidRPr="002642F2">
        <w:rPr>
          <w:rFonts w:ascii="Book Antiqua" w:eastAsiaTheme="minorHAnsi" w:hAnsi="Book Antiqua" w:cstheme="minorBidi"/>
          <w:sz w:val="22"/>
          <w:szCs w:val="22"/>
        </w:rPr>
        <w:t xml:space="preserve">the </w:t>
      </w:r>
      <w:r w:rsidR="004F79C7" w:rsidRPr="002642F2">
        <w:rPr>
          <w:rFonts w:ascii="Book Antiqua" w:eastAsiaTheme="minorHAnsi" w:hAnsi="Book Antiqua" w:cstheme="minorBidi"/>
          <w:sz w:val="22"/>
          <w:szCs w:val="22"/>
        </w:rPr>
        <w:t xml:space="preserve">employees about the types and procedures of protection </w:t>
      </w:r>
      <w:r w:rsidR="001D5B7B" w:rsidRPr="002642F2">
        <w:rPr>
          <w:rFonts w:ascii="Book Antiqua" w:eastAsiaTheme="minorHAnsi" w:hAnsi="Book Antiqua" w:cstheme="minorBidi"/>
          <w:sz w:val="22"/>
          <w:szCs w:val="22"/>
        </w:rPr>
        <w:t xml:space="preserve">as well as the </w:t>
      </w:r>
      <w:r w:rsidR="004F79C7" w:rsidRPr="002642F2">
        <w:rPr>
          <w:rFonts w:ascii="Book Antiqua" w:eastAsiaTheme="minorHAnsi" w:hAnsi="Book Antiqua" w:cstheme="minorBidi"/>
          <w:sz w:val="22"/>
          <w:szCs w:val="22"/>
        </w:rPr>
        <w:t xml:space="preserve">consequences for the victim and the abuser. Protection from </w:t>
      </w:r>
      <w:r w:rsidR="00562E72" w:rsidRPr="002642F2">
        <w:rPr>
          <w:rFonts w:ascii="Book Antiqua" w:eastAsiaTheme="minorHAnsi" w:hAnsi="Book Antiqua" w:cstheme="minorBidi"/>
          <w:sz w:val="22"/>
          <w:szCs w:val="22"/>
        </w:rPr>
        <w:t xml:space="preserve">harassment </w:t>
      </w:r>
      <w:r w:rsidR="004F79C7" w:rsidRPr="002642F2">
        <w:rPr>
          <w:rFonts w:ascii="Book Antiqua" w:eastAsiaTheme="minorHAnsi" w:hAnsi="Book Antiqua" w:cstheme="minorBidi"/>
          <w:sz w:val="22"/>
          <w:szCs w:val="22"/>
        </w:rPr>
        <w:t>at work can be achieved in two ways: through a</w:t>
      </w:r>
      <w:r w:rsidR="001D5B7B" w:rsidRPr="002642F2">
        <w:rPr>
          <w:rFonts w:ascii="Book Antiqua" w:eastAsiaTheme="minorHAnsi" w:hAnsi="Book Antiqua" w:cstheme="minorBidi"/>
          <w:sz w:val="22"/>
          <w:szCs w:val="22"/>
        </w:rPr>
        <w:t xml:space="preserve"> procedure </w:t>
      </w:r>
      <w:r w:rsidR="004F79C7" w:rsidRPr="002642F2">
        <w:rPr>
          <w:rFonts w:ascii="Book Antiqua" w:eastAsiaTheme="minorHAnsi" w:hAnsi="Book Antiqua" w:cstheme="minorBidi"/>
          <w:sz w:val="22"/>
          <w:szCs w:val="22"/>
        </w:rPr>
        <w:t xml:space="preserve">for protection against </w:t>
      </w:r>
      <w:r w:rsidR="00562E72" w:rsidRPr="002642F2">
        <w:rPr>
          <w:rFonts w:ascii="Book Antiqua" w:eastAsiaTheme="minorHAnsi" w:hAnsi="Book Antiqua" w:cstheme="minorBidi"/>
          <w:sz w:val="22"/>
          <w:szCs w:val="22"/>
        </w:rPr>
        <w:t xml:space="preserve">harassment </w:t>
      </w:r>
      <w:r w:rsidR="001D5B7B" w:rsidRPr="002642F2">
        <w:rPr>
          <w:rFonts w:ascii="Book Antiqua" w:eastAsiaTheme="minorHAnsi" w:hAnsi="Book Antiqua" w:cstheme="minorBidi"/>
          <w:sz w:val="22"/>
          <w:szCs w:val="22"/>
        </w:rPr>
        <w:t xml:space="preserve">at the employer </w:t>
      </w:r>
      <w:r w:rsidR="004F79C7" w:rsidRPr="002642F2">
        <w:rPr>
          <w:rFonts w:ascii="Book Antiqua" w:eastAsiaTheme="minorHAnsi" w:hAnsi="Book Antiqua" w:cstheme="minorBidi"/>
          <w:sz w:val="22"/>
          <w:szCs w:val="22"/>
        </w:rPr>
        <w:t>and in court</w:t>
      </w:r>
      <w:r w:rsidR="00DB506B" w:rsidRPr="002642F2">
        <w:rPr>
          <w:rFonts w:ascii="Book Antiqua" w:eastAsiaTheme="minorHAnsi" w:hAnsi="Book Antiqua" w:cstheme="minorBidi"/>
          <w:sz w:val="22"/>
          <w:szCs w:val="22"/>
        </w:rPr>
        <w:t>.</w:t>
      </w:r>
    </w:p>
    <w:p w:rsidR="00DB506B" w:rsidRPr="002642F2" w:rsidRDefault="00F50D53" w:rsidP="00DB506B">
      <w:pPr>
        <w:spacing w:before="120"/>
        <w:jc w:val="both"/>
        <w:rPr>
          <w:rFonts w:ascii="Book Antiqua" w:eastAsiaTheme="minorHAnsi" w:hAnsi="Book Antiqua" w:cstheme="minorBidi"/>
          <w:sz w:val="22"/>
          <w:szCs w:val="22"/>
        </w:rPr>
      </w:pPr>
      <w:bookmarkStart w:id="1" w:name="clan_21"/>
      <w:bookmarkEnd w:id="1"/>
      <w:r w:rsidRPr="002642F2">
        <w:rPr>
          <w:rFonts w:ascii="Book Antiqua" w:eastAsiaTheme="minorHAnsi" w:hAnsi="Book Antiqua" w:cstheme="minorBidi"/>
          <w:bCs/>
          <w:sz w:val="22"/>
          <w:szCs w:val="22"/>
        </w:rPr>
        <w:t>Article</w:t>
      </w:r>
      <w:r w:rsidR="00DB506B" w:rsidRPr="002642F2">
        <w:rPr>
          <w:rFonts w:ascii="Book Antiqua" w:eastAsiaTheme="minorHAnsi" w:hAnsi="Book Antiqua" w:cstheme="minorBidi"/>
          <w:bCs/>
          <w:sz w:val="22"/>
          <w:szCs w:val="22"/>
        </w:rPr>
        <w:t xml:space="preserve"> 21</w:t>
      </w:r>
      <w:r w:rsidRPr="002642F2">
        <w:rPr>
          <w:rFonts w:ascii="Book Antiqua" w:eastAsiaTheme="minorHAnsi" w:hAnsi="Book Antiqua" w:cstheme="minorBidi"/>
          <w:bCs/>
          <w:sz w:val="22"/>
          <w:szCs w:val="22"/>
        </w:rPr>
        <w:t xml:space="preserve"> of the Labour Law</w:t>
      </w:r>
      <w:r w:rsidR="000648A0" w:rsidRPr="002642F2">
        <w:rPr>
          <w:rStyle w:val="FootnoteReference"/>
          <w:rFonts w:ascii="Book Antiqua" w:eastAsiaTheme="minorHAnsi" w:hAnsi="Book Antiqua" w:cstheme="minorBidi"/>
          <w:b/>
          <w:bCs/>
          <w:sz w:val="22"/>
          <w:szCs w:val="22"/>
        </w:rPr>
        <w:footnoteReference w:id="6"/>
      </w:r>
      <w:r w:rsidR="00DB506B" w:rsidRPr="002642F2">
        <w:rPr>
          <w:rFonts w:ascii="Book Antiqua" w:eastAsiaTheme="minorHAnsi" w:hAnsi="Book Antiqua" w:cstheme="minorBidi"/>
          <w:sz w:val="22"/>
          <w:szCs w:val="22"/>
        </w:rPr>
        <w:t xml:space="preserve"> </w:t>
      </w:r>
      <w:r w:rsidRPr="002642F2">
        <w:rPr>
          <w:rFonts w:ascii="Book Antiqua" w:eastAsiaTheme="minorHAnsi" w:hAnsi="Book Antiqua" w:cstheme="minorBidi"/>
          <w:sz w:val="22"/>
          <w:szCs w:val="22"/>
        </w:rPr>
        <w:t>prohibits harassment and sexual harassment. Harassment, within the meaning of this Law, is any unwanted conduct caused by any of the grounds referred to in Article 18 of this Law (direct and indirect discrimination against persons seeking employment, as well as employees, is prohibited with respect to sex, birth, language, race, skin color, age, pregnancy, health or disability, nationality, religion, marital status, family responsibilities, sexual orientation, political or other beliefs, social background, property status, membership in political organizatio</w:t>
      </w:r>
      <w:r w:rsidR="00FF262F" w:rsidRPr="002642F2">
        <w:rPr>
          <w:rFonts w:ascii="Book Antiqua" w:eastAsiaTheme="minorHAnsi" w:hAnsi="Book Antiqua" w:cstheme="minorBidi"/>
          <w:sz w:val="22"/>
          <w:szCs w:val="22"/>
        </w:rPr>
        <w:t>ns, trade unions or any other</w:t>
      </w:r>
      <w:r w:rsidR="00AD3C7B" w:rsidRPr="002642F2">
        <w:rPr>
          <w:rFonts w:ascii="Book Antiqua" w:eastAsiaTheme="minorHAnsi" w:hAnsi="Book Antiqua" w:cstheme="minorBidi"/>
          <w:sz w:val="22"/>
          <w:szCs w:val="22"/>
        </w:rPr>
        <w:t xml:space="preserve"> organizations in</w:t>
      </w:r>
      <w:r w:rsidR="00FF262F" w:rsidRPr="002642F2">
        <w:rPr>
          <w:rFonts w:ascii="Book Antiqua" w:eastAsiaTheme="minorHAnsi" w:hAnsi="Book Antiqua" w:cstheme="minorBidi"/>
          <w:sz w:val="22"/>
          <w:szCs w:val="22"/>
        </w:rPr>
        <w:t xml:space="preserve"> personal</w:t>
      </w:r>
      <w:r w:rsidRPr="002642F2">
        <w:rPr>
          <w:rFonts w:ascii="Book Antiqua" w:eastAsiaTheme="minorHAnsi" w:hAnsi="Book Antiqua" w:cstheme="minorBidi"/>
          <w:sz w:val="22"/>
          <w:szCs w:val="22"/>
        </w:rPr>
        <w:t xml:space="preserve"> capacity), which is aimed at or </w:t>
      </w:r>
      <w:r w:rsidR="00E45180" w:rsidRPr="002642F2">
        <w:rPr>
          <w:rFonts w:ascii="Book Antiqua" w:eastAsiaTheme="minorHAnsi" w:hAnsi="Book Antiqua" w:cstheme="minorBidi"/>
          <w:sz w:val="22"/>
          <w:szCs w:val="22"/>
        </w:rPr>
        <w:t>represents violation of</w:t>
      </w:r>
      <w:r w:rsidRPr="002642F2">
        <w:rPr>
          <w:rFonts w:ascii="Book Antiqua" w:eastAsiaTheme="minorHAnsi" w:hAnsi="Book Antiqua" w:cstheme="minorBidi"/>
          <w:sz w:val="22"/>
          <w:szCs w:val="22"/>
        </w:rPr>
        <w:t xml:space="preserve"> the dignity of the person seeking a job or an employee, and which causes fear or a hostile, degrading or offensive environment</w:t>
      </w:r>
      <w:r w:rsidR="00DB506B" w:rsidRPr="002642F2">
        <w:rPr>
          <w:rFonts w:ascii="Book Antiqua" w:eastAsiaTheme="minorHAnsi" w:hAnsi="Book Antiqua" w:cstheme="minorBidi"/>
          <w:sz w:val="22"/>
          <w:szCs w:val="22"/>
        </w:rPr>
        <w:t xml:space="preserve">. </w:t>
      </w:r>
      <w:r w:rsidR="00640D9A" w:rsidRPr="002642F2">
        <w:rPr>
          <w:rFonts w:ascii="Book Antiqua" w:eastAsiaTheme="minorHAnsi" w:hAnsi="Book Antiqua" w:cstheme="minorBidi"/>
          <w:sz w:val="22"/>
          <w:szCs w:val="22"/>
        </w:rPr>
        <w:t>Sexual harassment, in the sense of this Law, is any verbal, non-verbal or physical conduct that seeks to violate or represents a violation of the dignity of the person seeking employment, as well as of an employee in the area of sex life, and which causes fear or creates a hostile, degrading or abusive environment</w:t>
      </w:r>
      <w:r w:rsidR="00DB506B" w:rsidRPr="002642F2">
        <w:rPr>
          <w:rFonts w:ascii="Book Antiqua" w:eastAsiaTheme="minorHAnsi" w:hAnsi="Book Antiqua" w:cstheme="minorBidi"/>
          <w:sz w:val="22"/>
          <w:szCs w:val="22"/>
        </w:rPr>
        <w:t>.</w:t>
      </w:r>
    </w:p>
    <w:p w:rsidR="00DB506B" w:rsidRPr="002642F2" w:rsidRDefault="00384926" w:rsidP="000D6E34">
      <w:pPr>
        <w:spacing w:before="120"/>
        <w:jc w:val="both"/>
        <w:rPr>
          <w:rFonts w:ascii="Book Antiqua" w:eastAsiaTheme="minorHAnsi" w:hAnsi="Book Antiqua" w:cstheme="minorBidi"/>
          <w:sz w:val="22"/>
          <w:szCs w:val="22"/>
        </w:rPr>
      </w:pPr>
      <w:bookmarkStart w:id="2" w:name="str_150"/>
      <w:bookmarkStart w:id="3" w:name="clan_182a"/>
      <w:bookmarkEnd w:id="2"/>
      <w:bookmarkEnd w:id="3"/>
      <w:r w:rsidRPr="002642F2">
        <w:rPr>
          <w:rFonts w:ascii="Book Antiqua" w:eastAsiaTheme="minorHAnsi" w:hAnsi="Book Antiqua" w:cstheme="minorBidi"/>
          <w:bCs/>
          <w:sz w:val="22"/>
          <w:szCs w:val="22"/>
        </w:rPr>
        <w:t>Article 182a of the Criminal Code</w:t>
      </w:r>
      <w:r w:rsidR="00654611" w:rsidRPr="002642F2">
        <w:rPr>
          <w:rStyle w:val="FootnoteReference"/>
          <w:rFonts w:ascii="Book Antiqua" w:eastAsiaTheme="minorHAnsi" w:hAnsi="Book Antiqua" w:cstheme="minorBidi"/>
          <w:bCs/>
          <w:sz w:val="22"/>
          <w:szCs w:val="22"/>
        </w:rPr>
        <w:footnoteReference w:id="7"/>
      </w:r>
      <w:r w:rsidR="00DB506B" w:rsidRPr="002642F2">
        <w:rPr>
          <w:rFonts w:ascii="Book Antiqua" w:eastAsiaTheme="minorHAnsi" w:hAnsi="Book Antiqua" w:cstheme="minorBidi"/>
          <w:bCs/>
          <w:sz w:val="22"/>
          <w:szCs w:val="22"/>
        </w:rPr>
        <w:t xml:space="preserve">  </w:t>
      </w:r>
      <w:r w:rsidRPr="002642F2">
        <w:rPr>
          <w:rFonts w:ascii="Book Antiqua" w:eastAsiaTheme="minorHAnsi" w:hAnsi="Book Antiqua" w:cstheme="minorBidi"/>
          <w:bCs/>
          <w:sz w:val="22"/>
          <w:szCs w:val="22"/>
        </w:rPr>
        <w:t>provides for a fine or imprisonment of up to six months for any sexual harassment of another person, and if done to a minor, the offender shall be sentenced to prison from three months to three years</w:t>
      </w:r>
      <w:r w:rsidR="00DB506B" w:rsidRPr="002642F2">
        <w:rPr>
          <w:rFonts w:ascii="Book Antiqua" w:eastAsiaTheme="minorHAnsi" w:hAnsi="Book Antiqua" w:cstheme="minorBidi"/>
          <w:sz w:val="22"/>
          <w:szCs w:val="22"/>
        </w:rPr>
        <w:t xml:space="preserve">. </w:t>
      </w:r>
    </w:p>
    <w:p w:rsidR="00DB506B" w:rsidRPr="002642F2" w:rsidRDefault="00DB506B" w:rsidP="00DB506B">
      <w:pPr>
        <w:spacing w:before="120"/>
        <w:rPr>
          <w:rFonts w:ascii="Book Antiqua" w:eastAsiaTheme="minorHAnsi" w:hAnsi="Book Antiqua" w:cstheme="minorBidi"/>
          <w:b/>
          <w:sz w:val="22"/>
          <w:szCs w:val="22"/>
        </w:rPr>
      </w:pPr>
      <w:r w:rsidRPr="002642F2">
        <w:rPr>
          <w:rFonts w:ascii="Book Antiqua" w:eastAsiaTheme="minorHAnsi" w:hAnsi="Book Antiqua" w:cstheme="minorBidi"/>
          <w:b/>
          <w:sz w:val="22"/>
          <w:szCs w:val="22"/>
        </w:rPr>
        <w:t>2)</w:t>
      </w:r>
      <w:r w:rsidR="00F50D53" w:rsidRPr="002642F2">
        <w:rPr>
          <w:rFonts w:ascii="Book Antiqua" w:eastAsiaTheme="minorHAnsi" w:hAnsi="Book Antiqua" w:cstheme="minorBidi"/>
          <w:b/>
          <w:sz w:val="22"/>
          <w:szCs w:val="22"/>
        </w:rPr>
        <w:t xml:space="preserve"> </w:t>
      </w:r>
      <w:r w:rsidRPr="002642F2">
        <w:rPr>
          <w:rFonts w:ascii="Book Antiqua" w:eastAsiaTheme="minorHAnsi" w:hAnsi="Book Antiqua" w:cstheme="minorBidi"/>
          <w:b/>
          <w:sz w:val="22"/>
          <w:szCs w:val="22"/>
        </w:rPr>
        <w:t>What are the promising practices emerging from your country to ensure the realization of women’s rights to work and women’s rights at work, in the context of technological and demographic change, as well as continuing globalization and the shift towards sustainability? (laws; economic, labour market and social policies; programmes).</w:t>
      </w:r>
    </w:p>
    <w:p w:rsidR="00DB506B" w:rsidRPr="002642F2" w:rsidRDefault="00384926" w:rsidP="00DB506B">
      <w:pPr>
        <w:spacing w:before="120"/>
        <w:jc w:val="both"/>
        <w:rPr>
          <w:rFonts w:asciiTheme="minorHAnsi" w:eastAsiaTheme="minorHAnsi" w:hAnsiTheme="minorHAnsi" w:cstheme="minorBidi"/>
          <w:sz w:val="22"/>
          <w:szCs w:val="22"/>
        </w:rPr>
      </w:pPr>
      <w:r w:rsidRPr="002642F2">
        <w:rPr>
          <w:rFonts w:ascii="Book Antiqua" w:eastAsiaTheme="minorHAnsi" w:hAnsi="Book Antiqua" w:cstheme="minorBidi"/>
          <w:sz w:val="22"/>
          <w:szCs w:val="22"/>
        </w:rPr>
        <w:t>Through the Employment and Social Policy Reform Program</w:t>
      </w:r>
      <w:r w:rsidR="00DB506B" w:rsidRPr="002642F2">
        <w:rPr>
          <w:rFonts w:ascii="Book Antiqua" w:eastAsiaTheme="minorHAnsi" w:hAnsi="Book Antiqua" w:cstheme="minorBidi"/>
          <w:sz w:val="22"/>
          <w:szCs w:val="22"/>
          <w:vertAlign w:val="superscript"/>
        </w:rPr>
        <w:footnoteReference w:id="8"/>
      </w:r>
      <w:r w:rsidR="00DB506B" w:rsidRPr="002642F2">
        <w:rPr>
          <w:rFonts w:ascii="Book Antiqua" w:eastAsiaTheme="minorHAnsi" w:hAnsi="Book Antiqua" w:cstheme="minorBidi"/>
          <w:sz w:val="22"/>
          <w:szCs w:val="22"/>
        </w:rPr>
        <w:t xml:space="preserve"> </w:t>
      </w:r>
      <w:r w:rsidRPr="002642F2">
        <w:rPr>
          <w:rFonts w:ascii="Book Antiqua" w:eastAsiaTheme="minorHAnsi" w:hAnsi="Book Antiqua" w:cstheme="minorBidi"/>
          <w:sz w:val="22"/>
          <w:szCs w:val="22"/>
        </w:rPr>
        <w:t>specific measures and programs are planned aimed at increasing the employability and employment of women, especially those in a vulnerable position</w:t>
      </w:r>
      <w:r w:rsidR="00DB506B" w:rsidRPr="002642F2">
        <w:rPr>
          <w:rFonts w:ascii="Book Antiqua" w:eastAsiaTheme="minorHAnsi" w:hAnsi="Book Antiqua" w:cstheme="minorBidi"/>
          <w:sz w:val="22"/>
          <w:szCs w:val="22"/>
        </w:rPr>
        <w:t>.</w:t>
      </w:r>
    </w:p>
    <w:p w:rsidR="00DB506B" w:rsidRPr="00DB506B" w:rsidRDefault="00384926" w:rsidP="00DB506B">
      <w:pPr>
        <w:spacing w:before="120"/>
        <w:jc w:val="both"/>
        <w:rPr>
          <w:rFonts w:ascii="Book Antiqua" w:eastAsiaTheme="minorHAnsi" w:hAnsi="Book Antiqua" w:cstheme="minorBidi"/>
          <w:sz w:val="22"/>
          <w:szCs w:val="22"/>
          <w:lang w:val="sr-Cyrl-CS"/>
        </w:rPr>
      </w:pPr>
      <w:r w:rsidRPr="002642F2">
        <w:rPr>
          <w:rFonts w:ascii="Book Antiqua" w:eastAsiaTheme="minorHAnsi" w:hAnsi="Book Antiqua" w:cstheme="minorBidi"/>
          <w:sz w:val="22"/>
          <w:szCs w:val="22"/>
        </w:rPr>
        <w:t>The 2018 National Employment Action Plan</w:t>
      </w:r>
      <w:r w:rsidR="00DB506B" w:rsidRPr="002642F2">
        <w:rPr>
          <w:rFonts w:ascii="Book Antiqua" w:eastAsiaTheme="minorHAnsi" w:hAnsi="Book Antiqua" w:cstheme="minorBidi"/>
          <w:sz w:val="22"/>
          <w:szCs w:val="22"/>
          <w:vertAlign w:val="superscript"/>
        </w:rPr>
        <w:footnoteReference w:id="9"/>
      </w:r>
      <w:r w:rsidR="00DB506B" w:rsidRPr="002642F2">
        <w:rPr>
          <w:rFonts w:ascii="Book Antiqua" w:eastAsiaTheme="minorHAnsi" w:hAnsi="Book Antiqua" w:cstheme="minorBidi"/>
          <w:sz w:val="22"/>
          <w:szCs w:val="22"/>
        </w:rPr>
        <w:t xml:space="preserve"> </w:t>
      </w:r>
      <w:r w:rsidRPr="002642F2">
        <w:rPr>
          <w:rFonts w:ascii="Book Antiqua" w:eastAsiaTheme="minorHAnsi" w:hAnsi="Book Antiqua" w:cstheme="minorBidi"/>
          <w:sz w:val="22"/>
          <w:szCs w:val="22"/>
        </w:rPr>
        <w:t xml:space="preserve">provides for programs and measures of active employment policy, which, in accordance with the recommendations of the Protector of Citizens </w:t>
      </w:r>
      <w:r w:rsidR="00F722A0" w:rsidRPr="002642F2">
        <w:rPr>
          <w:rFonts w:ascii="Book Antiqua" w:eastAsiaTheme="minorHAnsi" w:hAnsi="Book Antiqua" w:cstheme="minorBidi"/>
          <w:sz w:val="22"/>
          <w:szCs w:val="22"/>
        </w:rPr>
        <w:t>from</w:t>
      </w:r>
      <w:r w:rsidRPr="002642F2">
        <w:rPr>
          <w:rFonts w:ascii="Book Antiqua" w:eastAsiaTheme="minorHAnsi" w:hAnsi="Book Antiqua" w:cstheme="minorBidi"/>
          <w:sz w:val="22"/>
          <w:szCs w:val="22"/>
        </w:rPr>
        <w:t xml:space="preserve"> the Special Report on the </w:t>
      </w:r>
      <w:r w:rsidR="00F722A0" w:rsidRPr="002642F2">
        <w:rPr>
          <w:rFonts w:ascii="Book Antiqua" w:eastAsiaTheme="minorHAnsi" w:hAnsi="Book Antiqua" w:cstheme="minorBidi"/>
          <w:sz w:val="22"/>
          <w:szCs w:val="22"/>
        </w:rPr>
        <w:t>i</w:t>
      </w:r>
      <w:r w:rsidRPr="002642F2">
        <w:rPr>
          <w:rFonts w:ascii="Book Antiqua" w:eastAsiaTheme="minorHAnsi" w:hAnsi="Book Antiqua" w:cstheme="minorBidi"/>
          <w:sz w:val="22"/>
          <w:szCs w:val="22"/>
        </w:rPr>
        <w:t xml:space="preserve">mplementation of the General and Special Protocols for the </w:t>
      </w:r>
      <w:r w:rsidR="00F722A0" w:rsidRPr="002642F2">
        <w:rPr>
          <w:rFonts w:ascii="Book Antiqua" w:eastAsiaTheme="minorHAnsi" w:hAnsi="Book Antiqua" w:cstheme="minorBidi"/>
          <w:sz w:val="22"/>
          <w:szCs w:val="22"/>
        </w:rPr>
        <w:t>p</w:t>
      </w:r>
      <w:r w:rsidRPr="002642F2">
        <w:rPr>
          <w:rFonts w:ascii="Book Antiqua" w:eastAsiaTheme="minorHAnsi" w:hAnsi="Book Antiqua" w:cstheme="minorBidi"/>
          <w:sz w:val="22"/>
          <w:szCs w:val="22"/>
        </w:rPr>
        <w:t xml:space="preserve">rotection of </w:t>
      </w:r>
      <w:r w:rsidR="00F722A0" w:rsidRPr="002642F2">
        <w:rPr>
          <w:rFonts w:ascii="Book Antiqua" w:eastAsiaTheme="minorHAnsi" w:hAnsi="Book Antiqua" w:cstheme="minorBidi"/>
          <w:sz w:val="22"/>
          <w:szCs w:val="22"/>
        </w:rPr>
        <w:t>w</w:t>
      </w:r>
      <w:r w:rsidRPr="002642F2">
        <w:rPr>
          <w:rFonts w:ascii="Book Antiqua" w:eastAsiaTheme="minorHAnsi" w:hAnsi="Book Antiqua" w:cstheme="minorBidi"/>
          <w:sz w:val="22"/>
          <w:szCs w:val="22"/>
        </w:rPr>
        <w:t xml:space="preserve">omen from </w:t>
      </w:r>
      <w:r w:rsidR="00F722A0" w:rsidRPr="002642F2">
        <w:rPr>
          <w:rFonts w:ascii="Book Antiqua" w:eastAsiaTheme="minorHAnsi" w:hAnsi="Book Antiqua" w:cstheme="minorBidi"/>
          <w:sz w:val="22"/>
          <w:szCs w:val="22"/>
        </w:rPr>
        <w:t>v</w:t>
      </w:r>
      <w:r w:rsidRPr="002642F2">
        <w:rPr>
          <w:rFonts w:ascii="Book Antiqua" w:eastAsiaTheme="minorHAnsi" w:hAnsi="Book Antiqua" w:cstheme="minorBidi"/>
          <w:sz w:val="22"/>
          <w:szCs w:val="22"/>
        </w:rPr>
        <w:t>iolence, prescribe subsidies for</w:t>
      </w:r>
      <w:r w:rsidR="00A0032E" w:rsidRPr="002642F2">
        <w:rPr>
          <w:rFonts w:ascii="Book Antiqua" w:eastAsiaTheme="minorHAnsi" w:hAnsi="Book Antiqua" w:cstheme="minorBidi"/>
          <w:sz w:val="22"/>
          <w:szCs w:val="22"/>
        </w:rPr>
        <w:t xml:space="preserve"> the</w:t>
      </w:r>
      <w:r w:rsidRPr="002642F2">
        <w:rPr>
          <w:rFonts w:ascii="Book Antiqua" w:eastAsiaTheme="minorHAnsi" w:hAnsi="Book Antiqua" w:cstheme="minorBidi"/>
          <w:sz w:val="22"/>
          <w:szCs w:val="22"/>
        </w:rPr>
        <w:t xml:space="preserve"> employment</w:t>
      </w:r>
      <w:r w:rsidRPr="00384926">
        <w:rPr>
          <w:rFonts w:ascii="Book Antiqua" w:eastAsiaTheme="minorHAnsi" w:hAnsi="Book Antiqua" w:cstheme="minorBidi"/>
          <w:sz w:val="22"/>
          <w:szCs w:val="22"/>
          <w:lang w:val="sr-Cyrl-CS"/>
        </w:rPr>
        <w:t xml:space="preserve"> of unemployed persons from the categor</w:t>
      </w:r>
      <w:r w:rsidR="00A0032E">
        <w:rPr>
          <w:rFonts w:ascii="Book Antiqua" w:eastAsiaTheme="minorHAnsi" w:hAnsi="Book Antiqua" w:cstheme="minorBidi"/>
          <w:sz w:val="22"/>
          <w:szCs w:val="22"/>
        </w:rPr>
        <w:t>y</w:t>
      </w:r>
      <w:r w:rsidRPr="00384926">
        <w:rPr>
          <w:rFonts w:ascii="Book Antiqua" w:eastAsiaTheme="minorHAnsi" w:hAnsi="Book Antiqua" w:cstheme="minorBidi"/>
          <w:sz w:val="22"/>
          <w:szCs w:val="22"/>
          <w:lang w:val="sr-Cyrl-CS"/>
        </w:rPr>
        <w:t xml:space="preserve"> of hard-to-employ people, including victims of domestic violence who also have the status of </w:t>
      </w:r>
      <w:r w:rsidR="00F722A0" w:rsidRPr="00F722A0">
        <w:rPr>
          <w:rFonts w:ascii="Book Antiqua" w:eastAsiaTheme="minorHAnsi" w:hAnsi="Book Antiqua" w:cstheme="minorBidi"/>
          <w:sz w:val="22"/>
          <w:szCs w:val="22"/>
        </w:rPr>
        <w:t>hard</w:t>
      </w:r>
      <w:r w:rsidRPr="00384926">
        <w:rPr>
          <w:rFonts w:ascii="Book Antiqua" w:eastAsiaTheme="minorHAnsi" w:hAnsi="Book Antiqua" w:cstheme="minorBidi"/>
          <w:sz w:val="22"/>
          <w:szCs w:val="22"/>
          <w:lang w:val="sr-Cyrl-CS"/>
        </w:rPr>
        <w:t>-to-</w:t>
      </w:r>
      <w:r w:rsidR="00F722A0">
        <w:rPr>
          <w:rFonts w:ascii="Book Antiqua" w:eastAsiaTheme="minorHAnsi" w:hAnsi="Book Antiqua" w:cstheme="minorBidi"/>
          <w:sz w:val="22"/>
          <w:szCs w:val="22"/>
        </w:rPr>
        <w:t>employ</w:t>
      </w:r>
      <w:r w:rsidRPr="00384926">
        <w:rPr>
          <w:rFonts w:ascii="Book Antiqua" w:eastAsiaTheme="minorHAnsi" w:hAnsi="Book Antiqua" w:cstheme="minorBidi"/>
          <w:sz w:val="22"/>
          <w:szCs w:val="22"/>
          <w:lang w:val="sr-Cyrl-CS"/>
        </w:rPr>
        <w:t xml:space="preserve"> persons in 2018. They will, in line with the employability assessment, have the advantage of being involved in measures of employment policy activities</w:t>
      </w:r>
      <w:r w:rsidR="00DB506B" w:rsidRPr="00DB506B">
        <w:rPr>
          <w:rFonts w:ascii="Book Antiqua" w:eastAsiaTheme="minorHAnsi" w:hAnsi="Book Antiqua" w:cstheme="minorBidi"/>
          <w:sz w:val="22"/>
          <w:szCs w:val="22"/>
          <w:lang w:val="sr-Cyrl-CS"/>
        </w:rPr>
        <w:t xml:space="preserve">. </w:t>
      </w:r>
    </w:p>
    <w:p w:rsidR="00DB506B" w:rsidRPr="00DB506B" w:rsidRDefault="00A0032E" w:rsidP="00DB506B">
      <w:pPr>
        <w:spacing w:before="120"/>
        <w:jc w:val="both"/>
        <w:rPr>
          <w:rFonts w:ascii="Book Antiqua" w:eastAsiaTheme="minorHAnsi" w:hAnsi="Book Antiqua" w:cstheme="minorBidi"/>
          <w:sz w:val="22"/>
          <w:szCs w:val="22"/>
          <w:lang w:val="sr-Cyrl-CS"/>
        </w:rPr>
      </w:pPr>
      <w:bookmarkStart w:id="4" w:name="_GoBack"/>
      <w:r w:rsidRPr="00A0032E">
        <w:rPr>
          <w:rFonts w:ascii="Book Antiqua" w:eastAsiaTheme="minorHAnsi" w:hAnsi="Book Antiqua" w:cstheme="minorBidi"/>
          <w:sz w:val="22"/>
          <w:szCs w:val="22"/>
          <w:lang w:val="sr-Cyrl-CS"/>
        </w:rPr>
        <w:lastRenderedPageBreak/>
        <w:t xml:space="preserve">The Strategy for </w:t>
      </w:r>
      <w:r>
        <w:rPr>
          <w:rFonts w:ascii="Book Antiqua" w:eastAsiaTheme="minorHAnsi" w:hAnsi="Book Antiqua" w:cstheme="minorBidi"/>
          <w:sz w:val="22"/>
          <w:szCs w:val="22"/>
        </w:rPr>
        <w:t>s</w:t>
      </w:r>
      <w:r w:rsidRPr="00A0032E">
        <w:rPr>
          <w:rFonts w:ascii="Book Antiqua" w:eastAsiaTheme="minorHAnsi" w:hAnsi="Book Antiqua" w:cstheme="minorBidi"/>
          <w:sz w:val="22"/>
          <w:szCs w:val="22"/>
          <w:lang w:val="sr-Cyrl-CS"/>
        </w:rPr>
        <w:t xml:space="preserve">ocial </w:t>
      </w:r>
      <w:r>
        <w:rPr>
          <w:rFonts w:ascii="Book Antiqua" w:eastAsiaTheme="minorHAnsi" w:hAnsi="Book Antiqua" w:cstheme="minorBidi"/>
          <w:sz w:val="22"/>
          <w:szCs w:val="22"/>
        </w:rPr>
        <w:t>i</w:t>
      </w:r>
      <w:r w:rsidRPr="00A0032E">
        <w:rPr>
          <w:rFonts w:ascii="Book Antiqua" w:eastAsiaTheme="minorHAnsi" w:hAnsi="Book Antiqua" w:cstheme="minorBidi"/>
          <w:sz w:val="22"/>
          <w:szCs w:val="22"/>
          <w:lang w:val="sr-Cyrl-CS"/>
        </w:rPr>
        <w:t xml:space="preserve">nclusion of Roma </w:t>
      </w:r>
      <w:r>
        <w:rPr>
          <w:rFonts w:ascii="Book Antiqua" w:eastAsiaTheme="minorHAnsi" w:hAnsi="Book Antiqua" w:cstheme="minorBidi"/>
          <w:sz w:val="22"/>
          <w:szCs w:val="22"/>
        </w:rPr>
        <w:t>men and w</w:t>
      </w:r>
      <w:r w:rsidRPr="00A0032E">
        <w:rPr>
          <w:rFonts w:ascii="Book Antiqua" w:eastAsiaTheme="minorHAnsi" w:hAnsi="Book Antiqua" w:cstheme="minorBidi"/>
          <w:sz w:val="22"/>
          <w:szCs w:val="22"/>
          <w:lang w:val="sr-Cyrl-CS"/>
        </w:rPr>
        <w:t xml:space="preserve">omen for the </w:t>
      </w:r>
      <w:r>
        <w:rPr>
          <w:rFonts w:ascii="Book Antiqua" w:eastAsiaTheme="minorHAnsi" w:hAnsi="Book Antiqua" w:cstheme="minorBidi"/>
          <w:sz w:val="22"/>
          <w:szCs w:val="22"/>
        </w:rPr>
        <w:t>p</w:t>
      </w:r>
      <w:r w:rsidRPr="00A0032E">
        <w:rPr>
          <w:rFonts w:ascii="Book Antiqua" w:eastAsiaTheme="minorHAnsi" w:hAnsi="Book Antiqua" w:cstheme="minorBidi"/>
          <w:sz w:val="22"/>
          <w:szCs w:val="22"/>
          <w:lang w:val="sr-Cyrl-CS"/>
        </w:rPr>
        <w:t>eriod 2016-2025</w:t>
      </w:r>
      <w:r w:rsidR="00D710B3">
        <w:rPr>
          <w:rStyle w:val="FootnoteReference"/>
          <w:rFonts w:ascii="Book Antiqua" w:eastAsiaTheme="minorHAnsi" w:hAnsi="Book Antiqua" w:cstheme="minorBidi"/>
          <w:sz w:val="22"/>
          <w:szCs w:val="22"/>
          <w:lang w:val="sr-Cyrl-CS"/>
        </w:rPr>
        <w:footnoteReference w:id="10"/>
      </w:r>
      <w:r w:rsidR="00DB506B" w:rsidRPr="00DB506B">
        <w:rPr>
          <w:rFonts w:ascii="Book Antiqua" w:eastAsiaTheme="minorHAnsi" w:hAnsi="Book Antiqua" w:cstheme="minorBidi"/>
          <w:sz w:val="22"/>
          <w:szCs w:val="22"/>
          <w:lang w:val="sr-Cyrl-CS"/>
        </w:rPr>
        <w:t xml:space="preserve"> </w:t>
      </w:r>
      <w:r>
        <w:rPr>
          <w:rFonts w:ascii="Book Antiqua" w:eastAsiaTheme="minorHAnsi" w:hAnsi="Book Antiqua" w:cstheme="minorBidi"/>
          <w:sz w:val="22"/>
          <w:szCs w:val="22"/>
        </w:rPr>
        <w:t>especially</w:t>
      </w:r>
      <w:r w:rsidRPr="00A0032E">
        <w:rPr>
          <w:rFonts w:ascii="Book Antiqua" w:eastAsiaTheme="minorHAnsi" w:hAnsi="Book Antiqua" w:cstheme="minorBidi"/>
          <w:sz w:val="22"/>
          <w:szCs w:val="22"/>
          <w:lang w:val="sr-Cyrl-CS"/>
        </w:rPr>
        <w:t xml:space="preserve"> highlights the differences in the social and economic situation of Roma </w:t>
      </w:r>
      <w:r w:rsidR="00563408">
        <w:rPr>
          <w:rFonts w:ascii="Book Antiqua" w:eastAsiaTheme="minorHAnsi" w:hAnsi="Book Antiqua" w:cstheme="minorBidi"/>
          <w:sz w:val="22"/>
          <w:szCs w:val="22"/>
        </w:rPr>
        <w:t xml:space="preserve">men </w:t>
      </w:r>
      <w:r w:rsidRPr="00A0032E">
        <w:rPr>
          <w:rFonts w:ascii="Book Antiqua" w:eastAsiaTheme="minorHAnsi" w:hAnsi="Book Antiqua" w:cstheme="minorBidi"/>
          <w:sz w:val="22"/>
          <w:szCs w:val="22"/>
          <w:lang w:val="sr-Cyrl-CS"/>
        </w:rPr>
        <w:t xml:space="preserve">and women, citing data </w:t>
      </w:r>
      <w:r w:rsidR="00054C73">
        <w:rPr>
          <w:rFonts w:ascii="Book Antiqua" w:eastAsiaTheme="minorHAnsi" w:hAnsi="Book Antiqua" w:cstheme="minorBidi"/>
          <w:sz w:val="22"/>
          <w:szCs w:val="22"/>
        </w:rPr>
        <w:t>that show</w:t>
      </w:r>
      <w:r w:rsidRPr="00A0032E">
        <w:rPr>
          <w:rFonts w:ascii="Book Antiqua" w:eastAsiaTheme="minorHAnsi" w:hAnsi="Book Antiqua" w:cstheme="minorBidi"/>
          <w:sz w:val="22"/>
          <w:szCs w:val="22"/>
          <w:lang w:val="sr-Cyrl-CS"/>
        </w:rPr>
        <w:t xml:space="preserve"> that Roma women are at a </w:t>
      </w:r>
      <w:r w:rsidR="00563408">
        <w:rPr>
          <w:rFonts w:ascii="Book Antiqua" w:eastAsiaTheme="minorHAnsi" w:hAnsi="Book Antiqua" w:cstheme="minorBidi"/>
          <w:sz w:val="22"/>
          <w:szCs w:val="22"/>
        </w:rPr>
        <w:t xml:space="preserve">bigger </w:t>
      </w:r>
      <w:r w:rsidRPr="00A0032E">
        <w:rPr>
          <w:rFonts w:ascii="Book Antiqua" w:eastAsiaTheme="minorHAnsi" w:hAnsi="Book Antiqua" w:cstheme="minorBidi"/>
          <w:sz w:val="22"/>
          <w:szCs w:val="22"/>
          <w:lang w:val="sr-Cyrl-CS"/>
        </w:rPr>
        <w:t>disadvantage. The Strategy contains measures to facilitate the advancement of the position of Roma women and to achieve the principle of gender equality</w:t>
      </w:r>
      <w:r w:rsidR="00DB506B" w:rsidRPr="00DB506B">
        <w:rPr>
          <w:rFonts w:ascii="Book Antiqua" w:eastAsiaTheme="minorHAnsi" w:hAnsi="Book Antiqua" w:cstheme="minorBidi"/>
          <w:sz w:val="22"/>
          <w:szCs w:val="22"/>
          <w:lang w:val="sr-Cyrl-CS"/>
        </w:rPr>
        <w:t>.</w:t>
      </w:r>
    </w:p>
    <w:p w:rsidR="00DB506B" w:rsidRPr="00DB506B" w:rsidRDefault="00520903" w:rsidP="00DB506B">
      <w:pPr>
        <w:spacing w:before="120"/>
        <w:jc w:val="both"/>
        <w:rPr>
          <w:rFonts w:ascii="Book Antiqua" w:hAnsi="Book Antiqua"/>
          <w:lang w:val="sr-Cyrl-CS"/>
        </w:rPr>
      </w:pPr>
      <w:r w:rsidRPr="00520903">
        <w:rPr>
          <w:rFonts w:ascii="Book Antiqua" w:hAnsi="Book Antiqua"/>
          <w:color w:val="000000"/>
          <w:sz w:val="22"/>
          <w:szCs w:val="22"/>
          <w:lang w:val="sr-Cyrl-CS"/>
        </w:rPr>
        <w:t xml:space="preserve">Acting on the proposals of the Protector of Citizens and the Commissioner for </w:t>
      </w:r>
      <w:r>
        <w:rPr>
          <w:rFonts w:ascii="Book Antiqua" w:hAnsi="Book Antiqua"/>
          <w:color w:val="000000"/>
          <w:sz w:val="22"/>
          <w:szCs w:val="22"/>
        </w:rPr>
        <w:t>the p</w:t>
      </w:r>
      <w:r w:rsidRPr="00520903">
        <w:rPr>
          <w:rFonts w:ascii="Book Antiqua" w:hAnsi="Book Antiqua"/>
          <w:color w:val="000000"/>
          <w:sz w:val="22"/>
          <w:szCs w:val="22"/>
          <w:lang w:val="sr-Cyrl-CS"/>
        </w:rPr>
        <w:t xml:space="preserve">rotection </w:t>
      </w:r>
      <w:r>
        <w:rPr>
          <w:rFonts w:ascii="Book Antiqua" w:hAnsi="Book Antiqua"/>
          <w:color w:val="000000"/>
          <w:sz w:val="22"/>
          <w:szCs w:val="22"/>
        </w:rPr>
        <w:t>of equality</w:t>
      </w:r>
      <w:r w:rsidR="00B022F2">
        <w:rPr>
          <w:rFonts w:ascii="Book Antiqua" w:hAnsi="Book Antiqua"/>
          <w:color w:val="000000"/>
          <w:sz w:val="22"/>
          <w:szCs w:val="22"/>
        </w:rPr>
        <w:t>,</w:t>
      </w:r>
      <w:r>
        <w:rPr>
          <w:rFonts w:ascii="Book Antiqua" w:hAnsi="Book Antiqua"/>
          <w:color w:val="000000"/>
          <w:sz w:val="22"/>
          <w:szCs w:val="22"/>
        </w:rPr>
        <w:t xml:space="preserve"> </w:t>
      </w:r>
      <w:r w:rsidR="00805151">
        <w:rPr>
          <w:rFonts w:ascii="Book Antiqua" w:hAnsi="Book Antiqua"/>
          <w:color w:val="000000"/>
          <w:sz w:val="22"/>
          <w:szCs w:val="22"/>
        </w:rPr>
        <w:t>after</w:t>
      </w:r>
      <w:r w:rsidR="00507BA3">
        <w:rPr>
          <w:rFonts w:ascii="Book Antiqua" w:hAnsi="Book Antiqua"/>
          <w:color w:val="000000"/>
          <w:sz w:val="22"/>
          <w:szCs w:val="22"/>
        </w:rPr>
        <w:t xml:space="preserve"> assessing the</w:t>
      </w:r>
      <w:r w:rsidRPr="00520903">
        <w:rPr>
          <w:rFonts w:ascii="Book Antiqua" w:hAnsi="Book Antiqua"/>
          <w:color w:val="000000"/>
          <w:sz w:val="22"/>
          <w:szCs w:val="22"/>
          <w:lang w:val="sr-Cyrl-CS"/>
        </w:rPr>
        <w:t xml:space="preserve"> constitutional</w:t>
      </w:r>
      <w:r w:rsidR="00507BA3">
        <w:rPr>
          <w:rFonts w:ascii="Book Antiqua" w:hAnsi="Book Antiqua"/>
          <w:color w:val="000000"/>
          <w:sz w:val="22"/>
          <w:szCs w:val="22"/>
        </w:rPr>
        <w:t>ity</w:t>
      </w:r>
      <w:r w:rsidRPr="00520903">
        <w:rPr>
          <w:rFonts w:ascii="Book Antiqua" w:hAnsi="Book Antiqua"/>
          <w:color w:val="000000"/>
          <w:sz w:val="22"/>
          <w:szCs w:val="22"/>
          <w:lang w:val="sr-Cyrl-CS"/>
        </w:rPr>
        <w:t xml:space="preserve"> of the provision of Article 20 of the Law on the method of determining the maximum number of employees in the public sector, </w:t>
      </w:r>
      <w:r w:rsidR="00DF7406">
        <w:rPr>
          <w:rFonts w:ascii="Book Antiqua" w:hAnsi="Book Antiqua"/>
          <w:color w:val="000000"/>
          <w:sz w:val="22"/>
          <w:szCs w:val="22"/>
        </w:rPr>
        <w:t>according</w:t>
      </w:r>
      <w:r w:rsidRPr="00520903">
        <w:rPr>
          <w:rFonts w:ascii="Book Antiqua" w:hAnsi="Book Antiqua"/>
          <w:color w:val="000000"/>
          <w:sz w:val="22"/>
          <w:szCs w:val="22"/>
          <w:lang w:val="sr-Cyrl-CS"/>
        </w:rPr>
        <w:t xml:space="preserve"> to which the employment of women in the public sector </w:t>
      </w:r>
      <w:r w:rsidR="00DF7406">
        <w:rPr>
          <w:rFonts w:ascii="Book Antiqua" w:hAnsi="Book Antiqua"/>
          <w:color w:val="000000"/>
          <w:sz w:val="22"/>
          <w:szCs w:val="22"/>
        </w:rPr>
        <w:t xml:space="preserve">is legally </w:t>
      </w:r>
      <w:r w:rsidRPr="00520903">
        <w:rPr>
          <w:rFonts w:ascii="Book Antiqua" w:hAnsi="Book Antiqua"/>
          <w:color w:val="000000"/>
          <w:sz w:val="22"/>
          <w:szCs w:val="22"/>
          <w:lang w:val="sr-Cyrl-CS"/>
        </w:rPr>
        <w:t>terminate</w:t>
      </w:r>
      <w:r w:rsidR="00DF7406">
        <w:rPr>
          <w:rFonts w:ascii="Book Antiqua" w:hAnsi="Book Antiqua"/>
          <w:color w:val="000000"/>
          <w:sz w:val="22"/>
          <w:szCs w:val="22"/>
        </w:rPr>
        <w:t>d</w:t>
      </w:r>
      <w:r w:rsidRPr="00520903">
        <w:rPr>
          <w:rFonts w:ascii="Book Antiqua" w:hAnsi="Book Antiqua"/>
          <w:color w:val="000000"/>
          <w:sz w:val="22"/>
          <w:szCs w:val="22"/>
          <w:lang w:val="sr-Cyrl-CS"/>
        </w:rPr>
        <w:t xml:space="preserve"> earlier than </w:t>
      </w:r>
      <w:r w:rsidR="00040F41">
        <w:rPr>
          <w:rFonts w:ascii="Book Antiqua" w:hAnsi="Book Antiqua"/>
          <w:color w:val="000000"/>
          <w:sz w:val="22"/>
          <w:szCs w:val="22"/>
        </w:rPr>
        <w:t xml:space="preserve">that of </w:t>
      </w:r>
      <w:r w:rsidRPr="00520903">
        <w:rPr>
          <w:rFonts w:ascii="Book Antiqua" w:hAnsi="Book Antiqua"/>
          <w:color w:val="000000"/>
          <w:sz w:val="22"/>
          <w:szCs w:val="22"/>
          <w:lang w:val="sr-Cyrl-CS"/>
        </w:rPr>
        <w:t xml:space="preserve">men, </w:t>
      </w:r>
      <w:r>
        <w:rPr>
          <w:rFonts w:ascii="Book Antiqua" w:hAnsi="Book Antiqua"/>
          <w:color w:val="000000"/>
          <w:sz w:val="22"/>
          <w:szCs w:val="22"/>
        </w:rPr>
        <w:t>the Constitutional Court</w:t>
      </w:r>
      <w:r w:rsidRPr="00520903">
        <w:rPr>
          <w:rFonts w:ascii="Book Antiqua" w:hAnsi="Book Antiqua"/>
          <w:color w:val="000000"/>
          <w:sz w:val="22"/>
          <w:szCs w:val="22"/>
          <w:lang w:val="sr-Cyrl-CS"/>
        </w:rPr>
        <w:t xml:space="preserve"> issued a decision </w:t>
      </w:r>
      <w:r>
        <w:rPr>
          <w:rFonts w:ascii="Book Antiqua" w:hAnsi="Book Antiqua"/>
          <w:color w:val="000000"/>
          <w:sz w:val="22"/>
          <w:szCs w:val="22"/>
        </w:rPr>
        <w:t xml:space="preserve">in 2016 </w:t>
      </w:r>
      <w:r w:rsidRPr="00520903">
        <w:rPr>
          <w:rFonts w:ascii="Book Antiqua" w:hAnsi="Book Antiqua"/>
          <w:color w:val="000000"/>
          <w:sz w:val="22"/>
          <w:szCs w:val="22"/>
          <w:lang w:val="sr-Cyrl-CS"/>
        </w:rPr>
        <w:t xml:space="preserve">declaring that the provisions of the </w:t>
      </w:r>
      <w:r>
        <w:rPr>
          <w:rFonts w:ascii="Book Antiqua" w:hAnsi="Book Antiqua"/>
          <w:color w:val="000000"/>
          <w:sz w:val="22"/>
          <w:szCs w:val="22"/>
        </w:rPr>
        <w:t>mentioned</w:t>
      </w:r>
      <w:r w:rsidRPr="00520903">
        <w:rPr>
          <w:rFonts w:ascii="Book Antiqua" w:hAnsi="Book Antiqua"/>
          <w:color w:val="000000"/>
          <w:sz w:val="22"/>
          <w:szCs w:val="22"/>
          <w:lang w:val="sr-Cyrl-CS"/>
        </w:rPr>
        <w:t xml:space="preserve"> Article were not in accordance with the Constitution</w:t>
      </w:r>
      <w:r w:rsidR="00DB506B" w:rsidRPr="00DB506B">
        <w:rPr>
          <w:rFonts w:ascii="Book Antiqua" w:hAnsi="Book Antiqua"/>
          <w:color w:val="000000"/>
          <w:sz w:val="22"/>
          <w:szCs w:val="22"/>
          <w:vertAlign w:val="superscript"/>
          <w:lang w:val="sr-Cyrl-CS"/>
        </w:rPr>
        <w:footnoteReference w:id="11"/>
      </w:r>
      <w:r w:rsidR="00DB506B" w:rsidRPr="00DB506B">
        <w:rPr>
          <w:rFonts w:ascii="Book Antiqua" w:hAnsi="Book Antiqua"/>
          <w:color w:val="000000"/>
          <w:sz w:val="22"/>
          <w:szCs w:val="22"/>
          <w:lang w:val="sr-Cyrl-CS"/>
        </w:rPr>
        <w:t>.</w:t>
      </w:r>
    </w:p>
    <w:p w:rsidR="00DB506B" w:rsidRPr="00DB506B" w:rsidRDefault="00B022F2" w:rsidP="00DB506B">
      <w:pPr>
        <w:spacing w:before="120"/>
        <w:jc w:val="both"/>
        <w:rPr>
          <w:rFonts w:ascii="Book Antiqua" w:eastAsia="Calibri" w:hAnsi="Book Antiqua"/>
          <w:sz w:val="22"/>
          <w:szCs w:val="22"/>
          <w:lang w:val="sr-Cyrl-CS"/>
        </w:rPr>
      </w:pPr>
      <w:r>
        <w:rPr>
          <w:rFonts w:ascii="Book Antiqua" w:eastAsia="Calibri" w:hAnsi="Book Antiqua" w:cs="Cambria"/>
          <w:bCs/>
          <w:sz w:val="22"/>
          <w:szCs w:val="22"/>
        </w:rPr>
        <w:t>By a</w:t>
      </w:r>
      <w:r w:rsidRPr="00B022F2">
        <w:rPr>
          <w:rFonts w:ascii="Book Antiqua" w:eastAsia="Calibri" w:hAnsi="Book Antiqua" w:cs="Cambria"/>
          <w:bCs/>
          <w:sz w:val="22"/>
          <w:szCs w:val="22"/>
          <w:lang w:val="sr-Cyrl-CS"/>
        </w:rPr>
        <w:t>dopti</w:t>
      </w:r>
      <w:r>
        <w:rPr>
          <w:rFonts w:ascii="Book Antiqua" w:eastAsia="Calibri" w:hAnsi="Book Antiqua" w:cs="Cambria"/>
          <w:bCs/>
          <w:sz w:val="22"/>
          <w:szCs w:val="22"/>
        </w:rPr>
        <w:t>ng</w:t>
      </w:r>
      <w:r w:rsidRPr="00B022F2">
        <w:rPr>
          <w:rFonts w:ascii="Book Antiqua" w:eastAsia="Calibri" w:hAnsi="Book Antiqua" w:cs="Cambria"/>
          <w:bCs/>
          <w:sz w:val="22"/>
          <w:szCs w:val="22"/>
          <w:lang w:val="sr-Cyrl-CS"/>
        </w:rPr>
        <w:t xml:space="preserve"> the Law on </w:t>
      </w:r>
      <w:r>
        <w:rPr>
          <w:rFonts w:ascii="Book Antiqua" w:eastAsia="Calibri" w:hAnsi="Book Antiqua" w:cs="Cambria"/>
          <w:bCs/>
          <w:sz w:val="22"/>
          <w:szCs w:val="22"/>
        </w:rPr>
        <w:t>f</w:t>
      </w:r>
      <w:r w:rsidRPr="00B022F2">
        <w:rPr>
          <w:rFonts w:ascii="Book Antiqua" w:eastAsia="Calibri" w:hAnsi="Book Antiqua" w:cs="Cambria"/>
          <w:bCs/>
          <w:sz w:val="22"/>
          <w:szCs w:val="22"/>
          <w:lang w:val="sr-Cyrl-CS"/>
        </w:rPr>
        <w:t xml:space="preserve">inancial </w:t>
      </w:r>
      <w:r>
        <w:rPr>
          <w:rFonts w:ascii="Book Antiqua" w:eastAsia="Calibri" w:hAnsi="Book Antiqua" w:cs="Cambria"/>
          <w:bCs/>
          <w:sz w:val="22"/>
          <w:szCs w:val="22"/>
        </w:rPr>
        <w:t>s</w:t>
      </w:r>
      <w:r w:rsidRPr="00B022F2">
        <w:rPr>
          <w:rFonts w:ascii="Book Antiqua" w:eastAsia="Calibri" w:hAnsi="Book Antiqua" w:cs="Cambria"/>
          <w:bCs/>
          <w:sz w:val="22"/>
          <w:szCs w:val="22"/>
          <w:lang w:val="sr-Cyrl-CS"/>
        </w:rPr>
        <w:t xml:space="preserve">upport for </w:t>
      </w:r>
      <w:r>
        <w:rPr>
          <w:rFonts w:ascii="Book Antiqua" w:eastAsia="Calibri" w:hAnsi="Book Antiqua" w:cs="Cambria"/>
          <w:bCs/>
          <w:sz w:val="22"/>
          <w:szCs w:val="22"/>
        </w:rPr>
        <w:t>f</w:t>
      </w:r>
      <w:r w:rsidRPr="00B022F2">
        <w:rPr>
          <w:rFonts w:ascii="Book Antiqua" w:eastAsia="Calibri" w:hAnsi="Book Antiqua" w:cs="Cambria"/>
          <w:bCs/>
          <w:sz w:val="22"/>
          <w:szCs w:val="22"/>
          <w:lang w:val="sr-Cyrl-CS"/>
        </w:rPr>
        <w:t xml:space="preserve">amilies with </w:t>
      </w:r>
      <w:r>
        <w:rPr>
          <w:rFonts w:ascii="Book Antiqua" w:eastAsia="Calibri" w:hAnsi="Book Antiqua" w:cs="Cambria"/>
          <w:bCs/>
          <w:sz w:val="22"/>
          <w:szCs w:val="22"/>
        </w:rPr>
        <w:t>c</w:t>
      </w:r>
      <w:r w:rsidRPr="00B022F2">
        <w:rPr>
          <w:rFonts w:ascii="Book Antiqua" w:eastAsia="Calibri" w:hAnsi="Book Antiqua" w:cs="Cambria"/>
          <w:bCs/>
          <w:sz w:val="22"/>
          <w:szCs w:val="22"/>
          <w:lang w:val="sr-Cyrl-CS"/>
        </w:rPr>
        <w:t>hildren</w:t>
      </w:r>
      <w:r w:rsidR="00DB506B" w:rsidRPr="00DB506B">
        <w:rPr>
          <w:rFonts w:ascii="Book Antiqua" w:eastAsia="Calibri" w:hAnsi="Book Antiqua" w:cs="Book Antiqua"/>
          <w:bCs/>
          <w:sz w:val="22"/>
          <w:szCs w:val="22"/>
          <w:vertAlign w:val="superscript"/>
          <w:lang w:val="sr-Cyrl-CS"/>
        </w:rPr>
        <w:footnoteReference w:id="12"/>
      </w:r>
      <w:r w:rsidR="00DB506B" w:rsidRPr="00DB506B">
        <w:rPr>
          <w:rFonts w:ascii="Book Antiqua" w:eastAsia="Calibri" w:hAnsi="Book Antiqua" w:cs="Cambria"/>
          <w:bCs/>
          <w:sz w:val="22"/>
          <w:szCs w:val="22"/>
          <w:lang w:val="sr-Cyrl-CS"/>
        </w:rPr>
        <w:t xml:space="preserve"> </w:t>
      </w:r>
      <w:r>
        <w:rPr>
          <w:rFonts w:ascii="Book Antiqua" w:eastAsia="Calibri" w:hAnsi="Book Antiqua" w:cs="Cambria"/>
          <w:bCs/>
          <w:sz w:val="22"/>
          <w:szCs w:val="22"/>
        </w:rPr>
        <w:t xml:space="preserve">in </w:t>
      </w:r>
      <w:r w:rsidR="00DB506B" w:rsidRPr="00DB506B">
        <w:rPr>
          <w:rFonts w:ascii="Book Antiqua" w:eastAsia="Calibri" w:hAnsi="Book Antiqua" w:cs="Cambria"/>
          <w:bCs/>
          <w:sz w:val="22"/>
          <w:szCs w:val="22"/>
          <w:lang w:val="sr-Cyrl-CS"/>
        </w:rPr>
        <w:t>2017</w:t>
      </w:r>
      <w:r>
        <w:rPr>
          <w:rFonts w:ascii="Book Antiqua" w:eastAsia="Calibri" w:hAnsi="Book Antiqua" w:cs="Cambria"/>
          <w:bCs/>
          <w:sz w:val="22"/>
          <w:szCs w:val="22"/>
        </w:rPr>
        <w:t xml:space="preserve">, </w:t>
      </w:r>
      <w:r w:rsidRPr="00B022F2">
        <w:rPr>
          <w:rFonts w:ascii="Book Antiqua" w:eastAsia="Calibri" w:hAnsi="Book Antiqua" w:cs="Cambria"/>
          <w:bCs/>
          <w:sz w:val="22"/>
          <w:szCs w:val="22"/>
          <w:lang w:val="sr-Cyrl-CS"/>
        </w:rPr>
        <w:t xml:space="preserve">a significant step forward </w:t>
      </w:r>
      <w:r>
        <w:rPr>
          <w:rFonts w:ascii="Book Antiqua" w:eastAsia="Calibri" w:hAnsi="Book Antiqua" w:cs="Cambria"/>
          <w:bCs/>
          <w:sz w:val="22"/>
          <w:szCs w:val="22"/>
        </w:rPr>
        <w:t xml:space="preserve">was made </w:t>
      </w:r>
      <w:r w:rsidRPr="00B022F2">
        <w:rPr>
          <w:rFonts w:ascii="Book Antiqua" w:eastAsia="Calibri" w:hAnsi="Book Antiqua" w:cs="Cambria"/>
          <w:bCs/>
          <w:sz w:val="22"/>
          <w:szCs w:val="22"/>
          <w:lang w:val="sr-Cyrl-CS"/>
        </w:rPr>
        <w:t>in the exercise of women's rights based on pregnancy, birth and child care, which was done in accordance with the recommendation of the Protector of Citizens from the 2016 Annual Report</w:t>
      </w:r>
      <w:r w:rsidR="00DB506B" w:rsidRPr="00DB506B">
        <w:rPr>
          <w:rFonts w:ascii="Book Antiqua" w:eastAsia="Calibri" w:hAnsi="Book Antiqua" w:cs="Book Antiqua"/>
          <w:bCs/>
          <w:sz w:val="22"/>
          <w:szCs w:val="22"/>
          <w:vertAlign w:val="superscript"/>
          <w:lang w:val="sr-Cyrl-CS"/>
        </w:rPr>
        <w:footnoteReference w:id="13"/>
      </w:r>
      <w:r w:rsidR="00DB506B" w:rsidRPr="00DB506B">
        <w:rPr>
          <w:rFonts w:ascii="Book Antiqua" w:eastAsia="Calibri" w:hAnsi="Book Antiqua" w:cs="Book Antiqua"/>
          <w:bCs/>
          <w:sz w:val="22"/>
          <w:szCs w:val="22"/>
          <w:lang w:val="sr-Cyrl-CS"/>
        </w:rPr>
        <w:t xml:space="preserve"> </w:t>
      </w:r>
      <w:r w:rsidR="00DF352A">
        <w:rPr>
          <w:rFonts w:ascii="Book Antiqua" w:eastAsia="Calibri" w:hAnsi="Book Antiqua" w:cs="Book Antiqua"/>
          <w:bCs/>
          <w:sz w:val="22"/>
          <w:szCs w:val="22"/>
        </w:rPr>
        <w:t>and the opinion of the Protector of Citizens</w:t>
      </w:r>
      <w:r w:rsidR="00DB506B" w:rsidRPr="00DB506B">
        <w:rPr>
          <w:rFonts w:ascii="Book Antiqua" w:eastAsia="Calibri" w:hAnsi="Book Antiqua" w:cs="Book Antiqua"/>
          <w:sz w:val="22"/>
          <w:szCs w:val="22"/>
          <w:lang w:val="sr-Cyrl-CS"/>
        </w:rPr>
        <w:t>.</w:t>
      </w:r>
      <w:r w:rsidR="00DB506B" w:rsidRPr="00DB506B">
        <w:rPr>
          <w:rFonts w:ascii="Book Antiqua" w:eastAsia="Calibri" w:hAnsi="Book Antiqua" w:cs="Book Antiqua"/>
          <w:bCs/>
          <w:sz w:val="22"/>
          <w:szCs w:val="22"/>
          <w:vertAlign w:val="superscript"/>
          <w:lang w:val="sr-Cyrl-CS"/>
        </w:rPr>
        <w:footnoteReference w:id="14"/>
      </w:r>
      <w:r w:rsidR="008B6D78">
        <w:rPr>
          <w:rFonts w:ascii="Book Antiqua" w:eastAsia="Calibri" w:hAnsi="Book Antiqua" w:cs="Book Antiqua"/>
          <w:sz w:val="22"/>
          <w:szCs w:val="22"/>
        </w:rPr>
        <w:t xml:space="preserve"> </w:t>
      </w:r>
      <w:r w:rsidR="00040F41">
        <w:rPr>
          <w:rFonts w:ascii="Book Antiqua" w:eastAsia="Calibri" w:hAnsi="Book Antiqua" w:cs="Book Antiqua"/>
          <w:sz w:val="22"/>
          <w:szCs w:val="22"/>
        </w:rPr>
        <w:t xml:space="preserve">The fact that </w:t>
      </w:r>
      <w:r w:rsidR="00A22DE0" w:rsidRPr="00A22DE0">
        <w:rPr>
          <w:rFonts w:ascii="Book Antiqua" w:eastAsiaTheme="minorHAnsi" w:hAnsi="Book Antiqua" w:cstheme="minorBidi"/>
          <w:sz w:val="22"/>
          <w:szCs w:val="22"/>
          <w:lang w:val="sr-Cyrl-CS"/>
        </w:rPr>
        <w:t xml:space="preserve">the </w:t>
      </w:r>
      <w:r w:rsidR="00A22DE0">
        <w:rPr>
          <w:rFonts w:ascii="Book Antiqua" w:eastAsiaTheme="minorHAnsi" w:hAnsi="Book Antiqua" w:cstheme="minorBidi"/>
          <w:sz w:val="22"/>
          <w:szCs w:val="22"/>
        </w:rPr>
        <w:t>Law</w:t>
      </w:r>
      <w:r w:rsidR="00A22DE0" w:rsidRPr="00A22DE0">
        <w:rPr>
          <w:rFonts w:ascii="Book Antiqua" w:eastAsiaTheme="minorHAnsi" w:hAnsi="Book Antiqua" w:cstheme="minorBidi"/>
          <w:sz w:val="22"/>
          <w:szCs w:val="22"/>
          <w:lang w:val="sr-Cyrl-CS"/>
        </w:rPr>
        <w:t xml:space="preserve"> now contains provisions that stipulate that earnings during maternity </w:t>
      </w:r>
      <w:r w:rsidR="00A22DE0">
        <w:rPr>
          <w:rFonts w:ascii="Book Antiqua" w:eastAsiaTheme="minorHAnsi" w:hAnsi="Book Antiqua" w:cstheme="minorBidi"/>
          <w:sz w:val="22"/>
          <w:szCs w:val="22"/>
        </w:rPr>
        <w:t xml:space="preserve">leave </w:t>
      </w:r>
      <w:r w:rsidR="00A22DE0" w:rsidRPr="00A22DE0">
        <w:rPr>
          <w:rFonts w:ascii="Book Antiqua" w:eastAsiaTheme="minorHAnsi" w:hAnsi="Book Antiqua" w:cstheme="minorBidi"/>
          <w:sz w:val="22"/>
          <w:szCs w:val="22"/>
          <w:lang w:val="sr-Cyrl-CS"/>
        </w:rPr>
        <w:t xml:space="preserve">and </w:t>
      </w:r>
      <w:r w:rsidR="00A22DE0">
        <w:rPr>
          <w:rFonts w:ascii="Book Antiqua" w:eastAsiaTheme="minorHAnsi" w:hAnsi="Book Antiqua" w:cstheme="minorBidi"/>
          <w:sz w:val="22"/>
          <w:szCs w:val="22"/>
        </w:rPr>
        <w:t xml:space="preserve">leave for the </w:t>
      </w:r>
      <w:r w:rsidR="00040F41">
        <w:rPr>
          <w:rFonts w:ascii="Book Antiqua" w:eastAsiaTheme="minorHAnsi" w:hAnsi="Book Antiqua" w:cstheme="minorBidi"/>
          <w:sz w:val="22"/>
          <w:szCs w:val="22"/>
        </w:rPr>
        <w:t xml:space="preserve">care and </w:t>
      </w:r>
      <w:r w:rsidR="00A22DE0">
        <w:rPr>
          <w:rFonts w:ascii="Book Antiqua" w:eastAsiaTheme="minorHAnsi" w:hAnsi="Book Antiqua" w:cstheme="minorBidi"/>
          <w:sz w:val="22"/>
          <w:szCs w:val="22"/>
        </w:rPr>
        <w:t>special care</w:t>
      </w:r>
      <w:r w:rsidR="00A22DE0" w:rsidRPr="00A22DE0">
        <w:rPr>
          <w:rFonts w:ascii="Book Antiqua" w:eastAsiaTheme="minorHAnsi" w:hAnsi="Book Antiqua" w:cstheme="minorBidi"/>
          <w:sz w:val="22"/>
          <w:szCs w:val="22"/>
          <w:lang w:val="sr-Cyrl-CS"/>
        </w:rPr>
        <w:t xml:space="preserve"> </w:t>
      </w:r>
      <w:r w:rsidR="00D04902">
        <w:rPr>
          <w:rFonts w:ascii="Book Antiqua" w:eastAsiaTheme="minorHAnsi" w:hAnsi="Book Antiqua" w:cstheme="minorBidi"/>
          <w:sz w:val="22"/>
          <w:szCs w:val="22"/>
        </w:rPr>
        <w:t xml:space="preserve">of children </w:t>
      </w:r>
      <w:r w:rsidR="00A22DE0" w:rsidRPr="00A22DE0">
        <w:rPr>
          <w:rFonts w:ascii="Book Antiqua" w:eastAsiaTheme="minorHAnsi" w:hAnsi="Book Antiqua" w:cstheme="minorBidi"/>
          <w:sz w:val="22"/>
          <w:szCs w:val="22"/>
          <w:lang w:val="sr-Cyrl-CS"/>
        </w:rPr>
        <w:t xml:space="preserve">are paid out of the budget directly into </w:t>
      </w:r>
      <w:r w:rsidR="00040F41">
        <w:rPr>
          <w:rFonts w:ascii="Book Antiqua" w:eastAsiaTheme="minorHAnsi" w:hAnsi="Book Antiqua" w:cstheme="minorBidi"/>
          <w:sz w:val="22"/>
          <w:szCs w:val="22"/>
        </w:rPr>
        <w:t xml:space="preserve">the </w:t>
      </w:r>
      <w:r w:rsidR="00A22DE0" w:rsidRPr="00A22DE0">
        <w:rPr>
          <w:rFonts w:ascii="Book Antiqua" w:eastAsiaTheme="minorHAnsi" w:hAnsi="Book Antiqua" w:cstheme="minorBidi"/>
          <w:sz w:val="22"/>
          <w:szCs w:val="22"/>
          <w:lang w:val="sr-Cyrl-CS"/>
        </w:rPr>
        <w:t xml:space="preserve">current accounts </w:t>
      </w:r>
      <w:r w:rsidR="00A22DE0">
        <w:rPr>
          <w:rFonts w:ascii="Book Antiqua" w:eastAsiaTheme="minorHAnsi" w:hAnsi="Book Antiqua" w:cstheme="minorBidi"/>
          <w:sz w:val="22"/>
          <w:szCs w:val="22"/>
        </w:rPr>
        <w:t>of mothers</w:t>
      </w:r>
      <w:r w:rsidR="00040F41" w:rsidRPr="00040F41">
        <w:rPr>
          <w:rFonts w:ascii="Book Antiqua" w:eastAsiaTheme="minorHAnsi" w:hAnsi="Book Antiqua" w:cstheme="minorBidi"/>
          <w:sz w:val="22"/>
          <w:szCs w:val="22"/>
          <w:lang w:val="sr-Cyrl-CS"/>
        </w:rPr>
        <w:t xml:space="preserve"> </w:t>
      </w:r>
      <w:r w:rsidR="00040F41" w:rsidRPr="00A22DE0">
        <w:rPr>
          <w:rFonts w:ascii="Book Antiqua" w:eastAsiaTheme="minorHAnsi" w:hAnsi="Book Antiqua" w:cstheme="minorBidi"/>
          <w:sz w:val="22"/>
          <w:szCs w:val="22"/>
          <w:lang w:val="sr-Cyrl-CS"/>
        </w:rPr>
        <w:t>is extremely</w:t>
      </w:r>
      <w:r w:rsidR="00040F41">
        <w:rPr>
          <w:rFonts w:ascii="Book Antiqua" w:eastAsiaTheme="minorHAnsi" w:hAnsi="Book Antiqua" w:cstheme="minorBidi"/>
          <w:sz w:val="22"/>
          <w:szCs w:val="22"/>
        </w:rPr>
        <w:t xml:space="preserve"> important</w:t>
      </w:r>
      <w:r w:rsidR="00A22DE0" w:rsidRPr="00A22DE0">
        <w:rPr>
          <w:rFonts w:ascii="Book Antiqua" w:eastAsiaTheme="minorHAnsi" w:hAnsi="Book Antiqua" w:cstheme="minorBidi"/>
          <w:sz w:val="22"/>
          <w:szCs w:val="22"/>
          <w:lang w:val="sr-Cyrl-CS"/>
        </w:rPr>
        <w:t>. However, a number of problems in this area have also been noticed during 2018, as the Law still contains shortcomings that make it impossible</w:t>
      </w:r>
      <w:r w:rsidR="00A22DE0">
        <w:rPr>
          <w:rFonts w:ascii="Book Antiqua" w:eastAsiaTheme="minorHAnsi" w:hAnsi="Book Antiqua" w:cstheme="minorBidi"/>
          <w:sz w:val="22"/>
          <w:szCs w:val="22"/>
          <w:lang w:val="sr-Cyrl-CS"/>
        </w:rPr>
        <w:t xml:space="preserve"> to fully exercise these rights</w:t>
      </w:r>
      <w:r w:rsidR="00DB506B" w:rsidRPr="00DB506B">
        <w:rPr>
          <w:rFonts w:ascii="Book Antiqua" w:eastAsia="Calibri" w:hAnsi="Book Antiqua" w:cs="Cambria"/>
          <w:bCs/>
          <w:sz w:val="22"/>
          <w:szCs w:val="22"/>
          <w:lang w:val="sr-Cyrl-CS"/>
        </w:rPr>
        <w:t xml:space="preserve">. </w:t>
      </w:r>
      <w:r w:rsidR="00982F13" w:rsidRPr="00982F13">
        <w:rPr>
          <w:rFonts w:ascii="Book Antiqua" w:eastAsia="Calibri" w:hAnsi="Book Antiqua" w:cs="Cambria"/>
          <w:bCs/>
          <w:sz w:val="22"/>
          <w:szCs w:val="22"/>
          <w:lang w:val="sr-Cyrl-CS"/>
        </w:rPr>
        <w:t>Employed women, women entrepreneurs, farmers and women engaged in temporary and occasional jobs are not in the same legal position when exercising the right to remuneration, which the Protector of Citizens drew attention to during the preparation of the Law</w:t>
      </w:r>
      <w:r w:rsidR="00DB506B" w:rsidRPr="00DB506B">
        <w:rPr>
          <w:rFonts w:ascii="Book Antiqua" w:eastAsia="Calibri" w:hAnsi="Book Antiqua" w:cs="Cambria"/>
          <w:sz w:val="22"/>
          <w:szCs w:val="22"/>
          <w:lang w:val="sr-Cyrl-CS"/>
        </w:rPr>
        <w:t>.</w:t>
      </w:r>
      <w:r w:rsidR="00DB506B" w:rsidRPr="00DB506B">
        <w:rPr>
          <w:rFonts w:ascii="Book Antiqua" w:eastAsia="Calibri" w:hAnsi="Book Antiqua" w:cs="Book Antiqua"/>
          <w:bCs/>
          <w:sz w:val="22"/>
          <w:szCs w:val="22"/>
          <w:vertAlign w:val="superscript"/>
          <w:lang w:val="sr-Cyrl-CS"/>
        </w:rPr>
        <w:footnoteReference w:id="15"/>
      </w:r>
      <w:r w:rsidR="00DB506B" w:rsidRPr="00DB506B">
        <w:rPr>
          <w:rFonts w:ascii="Book Antiqua" w:eastAsia="Calibri" w:hAnsi="Book Antiqua" w:cs="Cambria"/>
          <w:sz w:val="22"/>
          <w:szCs w:val="22"/>
          <w:lang w:val="sr-Cyrl-CS"/>
        </w:rPr>
        <w:t xml:space="preserve"> </w:t>
      </w:r>
      <w:r w:rsidR="00040F41" w:rsidRPr="00040F41">
        <w:rPr>
          <w:rFonts w:ascii="Book Antiqua" w:eastAsia="Calibri" w:hAnsi="Book Antiqua" w:cs="Cambria"/>
          <w:sz w:val="22"/>
          <w:szCs w:val="22"/>
          <w:lang w:val="sr-Cyrl-CS"/>
        </w:rPr>
        <w:t xml:space="preserve">The Protector of Citizens specifically pointed to the illegality, irregularities against children and families, and the special incorrectness and multiple detriment of the provision stipulating that the right to remuneration during absence from work for the special care of a child cannot be exercised for a child for whom the right to </w:t>
      </w:r>
      <w:r w:rsidR="00422CCA">
        <w:rPr>
          <w:rFonts w:ascii="Book Antiqua" w:eastAsia="Calibri" w:hAnsi="Book Antiqua" w:cs="Cambria"/>
          <w:sz w:val="22"/>
          <w:szCs w:val="22"/>
        </w:rPr>
        <w:t>an allowance for assistance and care of another person</w:t>
      </w:r>
      <w:r w:rsidR="00040F41" w:rsidRPr="00040F41">
        <w:rPr>
          <w:rFonts w:ascii="Book Antiqua" w:eastAsia="Calibri" w:hAnsi="Book Antiqua" w:cs="Cambria"/>
          <w:sz w:val="22"/>
          <w:szCs w:val="22"/>
          <w:lang w:val="sr-Cyrl-CS"/>
        </w:rPr>
        <w:t xml:space="preserve"> has been exercised.</w:t>
      </w:r>
      <w:r w:rsidR="00DB506B" w:rsidRPr="00DB506B">
        <w:rPr>
          <w:rFonts w:ascii="Book Antiqua" w:eastAsia="Calibri" w:hAnsi="Book Antiqua" w:cs="Book Antiqua"/>
          <w:bCs/>
          <w:sz w:val="22"/>
          <w:szCs w:val="22"/>
          <w:vertAlign w:val="superscript"/>
          <w:lang w:val="sr-Cyrl-CS"/>
        </w:rPr>
        <w:footnoteReference w:id="16"/>
      </w:r>
      <w:r w:rsidR="00DB506B" w:rsidRPr="00DB506B">
        <w:rPr>
          <w:rFonts w:ascii="Book Antiqua" w:eastAsia="Calibri" w:hAnsi="Book Antiqua" w:cs="Book Antiqua"/>
          <w:sz w:val="22"/>
          <w:szCs w:val="22"/>
          <w:lang w:val="sr-Cyrl-CS"/>
        </w:rPr>
        <w:t xml:space="preserve"> </w:t>
      </w:r>
      <w:r w:rsidR="00BC158E" w:rsidRPr="00BC158E">
        <w:rPr>
          <w:rFonts w:ascii="Book Antiqua" w:eastAsia="Calibri" w:hAnsi="Book Antiqua" w:cs="Book Antiqua"/>
          <w:sz w:val="22"/>
          <w:szCs w:val="22"/>
          <w:lang w:val="sr-Cyrl-CS"/>
        </w:rPr>
        <w:t xml:space="preserve">Although in 2013 he made recommendations </w:t>
      </w:r>
      <w:r w:rsidR="00BC158E">
        <w:rPr>
          <w:rFonts w:ascii="Book Antiqua" w:eastAsia="Calibri" w:hAnsi="Book Antiqua" w:cs="Book Antiqua"/>
          <w:sz w:val="22"/>
          <w:szCs w:val="22"/>
        </w:rPr>
        <w:t>regarding</w:t>
      </w:r>
      <w:r w:rsidR="00BC158E" w:rsidRPr="00BC158E">
        <w:rPr>
          <w:rFonts w:ascii="Book Antiqua" w:eastAsia="Calibri" w:hAnsi="Book Antiqua" w:cs="Book Antiqua"/>
          <w:sz w:val="22"/>
          <w:szCs w:val="22"/>
          <w:lang w:val="sr-Cyrl-CS"/>
        </w:rPr>
        <w:t xml:space="preserve"> failures to act by the authorities in situations where the employer does not fulfill the legal obligation to calculate and pay maternity benefits, the Protector of Citizens continued to receive complaints from citizens indicating similar problems.</w:t>
      </w:r>
      <w:bookmarkEnd w:id="4"/>
      <w:r w:rsidR="00BC158E" w:rsidRPr="00BC158E">
        <w:rPr>
          <w:rFonts w:ascii="Book Antiqua" w:eastAsia="Calibri" w:hAnsi="Book Antiqua" w:cs="Book Antiqua"/>
          <w:sz w:val="22"/>
          <w:szCs w:val="22"/>
          <w:lang w:val="sr-Cyrl-CS"/>
        </w:rPr>
        <w:t xml:space="preserve"> The Protector of Citizens has found that there are omissions in the work of the competent authorities that make it impossible and difficult to exercise the right to remuneration during maternity leave due to pregnancy, childbirth, child care and special child care and exercise and protect the right to social security, but also that the regulations do not provide </w:t>
      </w:r>
      <w:r w:rsidR="00BC158E">
        <w:rPr>
          <w:rFonts w:ascii="Book Antiqua" w:eastAsia="Calibri" w:hAnsi="Book Antiqua" w:cs="Book Antiqua"/>
          <w:sz w:val="22"/>
          <w:szCs w:val="22"/>
        </w:rPr>
        <w:t xml:space="preserve">a </w:t>
      </w:r>
      <w:r w:rsidR="00BC158E" w:rsidRPr="00BC158E">
        <w:rPr>
          <w:rFonts w:ascii="Book Antiqua" w:eastAsia="Calibri" w:hAnsi="Book Antiqua" w:cs="Book Antiqua"/>
          <w:sz w:val="22"/>
          <w:szCs w:val="22"/>
          <w:lang w:val="sr-Cyrl-CS"/>
        </w:rPr>
        <w:t>full</w:t>
      </w:r>
      <w:r w:rsidR="00BC158E">
        <w:rPr>
          <w:rFonts w:ascii="Book Antiqua" w:eastAsia="Calibri" w:hAnsi="Book Antiqua" w:cs="Book Antiqua"/>
          <w:sz w:val="22"/>
          <w:szCs w:val="22"/>
        </w:rPr>
        <w:t>y</w:t>
      </w:r>
      <w:r w:rsidR="00BC158E" w:rsidRPr="00BC158E">
        <w:rPr>
          <w:rFonts w:ascii="Book Antiqua" w:eastAsia="Calibri" w:hAnsi="Book Antiqua" w:cs="Book Antiqua"/>
          <w:sz w:val="22"/>
          <w:szCs w:val="22"/>
          <w:lang w:val="sr-Cyrl-CS"/>
        </w:rPr>
        <w:t xml:space="preserve"> adequate protection of employment and social security rights</w:t>
      </w:r>
      <w:r w:rsidR="00DB506B" w:rsidRPr="00DB506B">
        <w:rPr>
          <w:rFonts w:ascii="Book Antiqua" w:eastAsia="Calibri" w:hAnsi="Book Antiqua"/>
          <w:sz w:val="22"/>
          <w:szCs w:val="22"/>
          <w:lang w:val="sr-Cyrl-CS"/>
        </w:rPr>
        <w:t>.</w:t>
      </w:r>
      <w:r w:rsidR="00DB506B" w:rsidRPr="00DB506B">
        <w:rPr>
          <w:rFonts w:ascii="Book Antiqua" w:eastAsia="Calibri" w:hAnsi="Book Antiqua" w:cs="Book Antiqua"/>
          <w:sz w:val="22"/>
          <w:szCs w:val="22"/>
          <w:lang w:val="sr-Cyrl-CS"/>
        </w:rPr>
        <w:t xml:space="preserve"> </w:t>
      </w:r>
      <w:r w:rsidR="008768FF" w:rsidRPr="008768FF">
        <w:rPr>
          <w:rFonts w:ascii="Book Antiqua" w:eastAsia="Calibri" w:hAnsi="Book Antiqua" w:cs="Book Antiqua"/>
          <w:sz w:val="22"/>
          <w:szCs w:val="22"/>
          <w:lang w:val="sr-Cyrl-CS"/>
        </w:rPr>
        <w:t xml:space="preserve">Recognizing that there are systemic shortcomings and individual failures in the work of the competent authorities, the Protector of Citizens </w:t>
      </w:r>
      <w:r w:rsidR="008768FF">
        <w:rPr>
          <w:rFonts w:ascii="Book Antiqua" w:eastAsia="Calibri" w:hAnsi="Book Antiqua" w:cs="Book Antiqua"/>
          <w:sz w:val="22"/>
          <w:szCs w:val="22"/>
        </w:rPr>
        <w:t>resent</w:t>
      </w:r>
      <w:r w:rsidR="008768FF" w:rsidRPr="008768FF">
        <w:rPr>
          <w:rFonts w:ascii="Book Antiqua" w:eastAsia="Calibri" w:hAnsi="Book Antiqua" w:cs="Book Antiqua"/>
          <w:sz w:val="22"/>
          <w:szCs w:val="22"/>
          <w:lang w:val="sr-Cyrl-CS"/>
        </w:rPr>
        <w:t xml:space="preserve"> recommendations to the competent authorities </w:t>
      </w:r>
      <w:r w:rsidR="008768FF">
        <w:rPr>
          <w:rFonts w:ascii="Book Antiqua" w:eastAsia="Calibri" w:hAnsi="Book Antiqua" w:cs="Book Antiqua"/>
          <w:sz w:val="22"/>
          <w:szCs w:val="22"/>
        </w:rPr>
        <w:t>with the aim of</w:t>
      </w:r>
      <w:r w:rsidR="008768FF" w:rsidRPr="008768FF">
        <w:rPr>
          <w:rFonts w:ascii="Book Antiqua" w:eastAsia="Calibri" w:hAnsi="Book Antiqua" w:cs="Book Antiqua"/>
          <w:sz w:val="22"/>
          <w:szCs w:val="22"/>
          <w:lang w:val="sr-Cyrl-CS"/>
        </w:rPr>
        <w:t xml:space="preserve"> protect</w:t>
      </w:r>
      <w:r w:rsidR="008768FF">
        <w:rPr>
          <w:rFonts w:ascii="Book Antiqua" w:eastAsia="Calibri" w:hAnsi="Book Antiqua" w:cs="Book Antiqua"/>
          <w:sz w:val="22"/>
          <w:szCs w:val="22"/>
        </w:rPr>
        <w:t xml:space="preserve">ing the </w:t>
      </w:r>
      <w:r w:rsidR="008768FF" w:rsidRPr="008768FF">
        <w:rPr>
          <w:rFonts w:ascii="Book Antiqua" w:eastAsia="Calibri" w:hAnsi="Book Antiqua" w:cs="Book Antiqua"/>
          <w:sz w:val="22"/>
          <w:szCs w:val="22"/>
          <w:lang w:val="sr-Cyrl-CS"/>
        </w:rPr>
        <w:t xml:space="preserve"> </w:t>
      </w:r>
      <w:r w:rsidR="008768FF">
        <w:rPr>
          <w:rFonts w:ascii="Book Antiqua" w:eastAsia="Calibri" w:hAnsi="Book Antiqua" w:cs="Book Antiqua"/>
          <w:sz w:val="22"/>
          <w:szCs w:val="22"/>
        </w:rPr>
        <w:t>women who gave birth</w:t>
      </w:r>
      <w:r w:rsidR="008768FF" w:rsidRPr="008768FF">
        <w:rPr>
          <w:rFonts w:ascii="Book Antiqua" w:eastAsia="Calibri" w:hAnsi="Book Antiqua" w:cs="Book Antiqua"/>
          <w:sz w:val="22"/>
          <w:szCs w:val="22"/>
          <w:lang w:val="sr-Cyrl-CS"/>
        </w:rPr>
        <w:t xml:space="preserve"> in situations where employers d</w:t>
      </w:r>
      <w:r w:rsidR="00577686">
        <w:rPr>
          <w:rFonts w:ascii="Book Antiqua" w:eastAsia="Calibri" w:hAnsi="Book Antiqua" w:cs="Book Antiqua"/>
          <w:sz w:val="22"/>
          <w:szCs w:val="22"/>
        </w:rPr>
        <w:t>o</w:t>
      </w:r>
      <w:r w:rsidR="008768FF" w:rsidRPr="008768FF">
        <w:rPr>
          <w:rFonts w:ascii="Book Antiqua" w:eastAsia="Calibri" w:hAnsi="Book Antiqua" w:cs="Book Antiqua"/>
          <w:sz w:val="22"/>
          <w:szCs w:val="22"/>
          <w:lang w:val="sr-Cyrl-CS"/>
        </w:rPr>
        <w:t xml:space="preserve"> not calculate and pay benefits during </w:t>
      </w:r>
      <w:r w:rsidR="008768FF">
        <w:rPr>
          <w:rFonts w:ascii="Book Antiqua" w:eastAsia="Calibri" w:hAnsi="Book Antiqua" w:cs="Book Antiqua"/>
          <w:sz w:val="22"/>
          <w:szCs w:val="22"/>
        </w:rPr>
        <w:t xml:space="preserve">their </w:t>
      </w:r>
      <w:r w:rsidR="008768FF" w:rsidRPr="008768FF">
        <w:rPr>
          <w:rFonts w:ascii="Book Antiqua" w:eastAsia="Calibri" w:hAnsi="Book Antiqua" w:cs="Book Antiqua"/>
          <w:sz w:val="22"/>
          <w:szCs w:val="22"/>
          <w:lang w:val="sr-Cyrl-CS"/>
        </w:rPr>
        <w:t xml:space="preserve">maternity and childcare leave; when employers avoid and are unable to provide the necessary documentation to the competent authorities in order for the </w:t>
      </w:r>
      <w:r w:rsidR="008768FF">
        <w:rPr>
          <w:rFonts w:ascii="Book Antiqua" w:eastAsia="Calibri" w:hAnsi="Book Antiqua" w:cs="Book Antiqua"/>
          <w:sz w:val="22"/>
          <w:szCs w:val="22"/>
        </w:rPr>
        <w:t>women</w:t>
      </w:r>
      <w:r w:rsidR="008768FF" w:rsidRPr="008768FF">
        <w:rPr>
          <w:rFonts w:ascii="Book Antiqua" w:eastAsia="Calibri" w:hAnsi="Book Antiqua" w:cs="Book Antiqua"/>
          <w:sz w:val="22"/>
          <w:szCs w:val="22"/>
          <w:lang w:val="sr-Cyrl-CS"/>
        </w:rPr>
        <w:t xml:space="preserve"> to </w:t>
      </w:r>
      <w:r w:rsidR="008768FF">
        <w:rPr>
          <w:rFonts w:ascii="Book Antiqua" w:eastAsia="Calibri" w:hAnsi="Book Antiqua" w:cs="Book Antiqua"/>
          <w:sz w:val="22"/>
          <w:szCs w:val="22"/>
        </w:rPr>
        <w:t>achieve the</w:t>
      </w:r>
      <w:r w:rsidR="006D4427">
        <w:rPr>
          <w:rFonts w:ascii="Book Antiqua" w:eastAsia="Calibri" w:hAnsi="Book Antiqua" w:cs="Book Antiqua"/>
          <w:sz w:val="22"/>
          <w:szCs w:val="22"/>
        </w:rPr>
        <w:t>ir</w:t>
      </w:r>
      <w:r w:rsidR="008768FF">
        <w:rPr>
          <w:rFonts w:ascii="Book Antiqua" w:eastAsia="Calibri" w:hAnsi="Book Antiqua" w:cs="Book Antiqua"/>
          <w:sz w:val="22"/>
          <w:szCs w:val="22"/>
        </w:rPr>
        <w:t xml:space="preserve"> right </w:t>
      </w:r>
      <w:r w:rsidR="008768FF" w:rsidRPr="008768FF">
        <w:rPr>
          <w:rFonts w:ascii="Book Antiqua" w:eastAsia="Calibri" w:hAnsi="Book Antiqua" w:cs="Book Antiqua"/>
          <w:sz w:val="22"/>
          <w:szCs w:val="22"/>
          <w:lang w:val="sr-Cyrl-CS"/>
        </w:rPr>
        <w:t xml:space="preserve">to </w:t>
      </w:r>
      <w:r w:rsidR="008768FF">
        <w:rPr>
          <w:rFonts w:ascii="Book Antiqua" w:eastAsia="Calibri" w:hAnsi="Book Antiqua" w:cs="Book Antiqua"/>
          <w:sz w:val="22"/>
          <w:szCs w:val="22"/>
        </w:rPr>
        <w:t>a</w:t>
      </w:r>
      <w:r w:rsidR="008768FF" w:rsidRPr="008768FF">
        <w:rPr>
          <w:rFonts w:ascii="Book Antiqua" w:eastAsia="Calibri" w:hAnsi="Book Antiqua" w:cs="Book Antiqua"/>
          <w:sz w:val="22"/>
          <w:szCs w:val="22"/>
          <w:lang w:val="sr-Cyrl-CS"/>
        </w:rPr>
        <w:t xml:space="preserve"> compensation</w:t>
      </w:r>
      <w:r w:rsidR="00DB506B" w:rsidRPr="00DB506B">
        <w:rPr>
          <w:rFonts w:ascii="Book Antiqua" w:eastAsia="Calibri" w:hAnsi="Book Antiqua"/>
          <w:sz w:val="22"/>
          <w:szCs w:val="22"/>
          <w:lang w:val="sr-Cyrl-CS"/>
        </w:rPr>
        <w:t xml:space="preserve">; </w:t>
      </w:r>
      <w:r w:rsidR="006D4427" w:rsidRPr="006D4427">
        <w:rPr>
          <w:rFonts w:ascii="Book Antiqua" w:eastAsia="Calibri" w:hAnsi="Book Antiqua"/>
          <w:sz w:val="22"/>
          <w:szCs w:val="22"/>
          <w:lang w:val="sr-Cyrl-CS"/>
        </w:rPr>
        <w:t xml:space="preserve">when the employer exists only </w:t>
      </w:r>
      <w:r w:rsidR="00DB506B" w:rsidRPr="00DB506B">
        <w:rPr>
          <w:rFonts w:ascii="Book Antiqua" w:eastAsia="Calibri" w:hAnsi="Book Antiqua"/>
          <w:i/>
          <w:sz w:val="22"/>
          <w:szCs w:val="22"/>
          <w:lang w:val="sr-Cyrl-CS"/>
        </w:rPr>
        <w:t>de</w:t>
      </w:r>
      <w:r w:rsidR="004068B5">
        <w:rPr>
          <w:rFonts w:ascii="Book Antiqua" w:eastAsia="Calibri" w:hAnsi="Book Antiqua"/>
          <w:i/>
          <w:sz w:val="22"/>
          <w:szCs w:val="22"/>
        </w:rPr>
        <w:t xml:space="preserve"> j</w:t>
      </w:r>
      <w:r w:rsidR="00DB506B" w:rsidRPr="00DB506B">
        <w:rPr>
          <w:rFonts w:ascii="Book Antiqua" w:eastAsia="Calibri" w:hAnsi="Book Antiqua"/>
          <w:i/>
          <w:sz w:val="22"/>
          <w:szCs w:val="22"/>
          <w:lang w:val="sr-Cyrl-CS"/>
        </w:rPr>
        <w:t>ure</w:t>
      </w:r>
      <w:r w:rsidR="00DB506B" w:rsidRPr="00DB506B">
        <w:rPr>
          <w:rFonts w:ascii="Book Antiqua" w:eastAsia="Calibri" w:hAnsi="Book Antiqua"/>
          <w:sz w:val="22"/>
          <w:szCs w:val="22"/>
          <w:lang w:val="sr-Cyrl-CS"/>
        </w:rPr>
        <w:t xml:space="preserve">, </w:t>
      </w:r>
      <w:r w:rsidR="006D4427">
        <w:rPr>
          <w:rFonts w:ascii="Book Antiqua" w:eastAsia="Calibri" w:hAnsi="Book Antiqua"/>
          <w:sz w:val="22"/>
          <w:szCs w:val="22"/>
        </w:rPr>
        <w:t xml:space="preserve">it </w:t>
      </w:r>
      <w:r w:rsidR="006D4427" w:rsidRPr="006D4427">
        <w:rPr>
          <w:rFonts w:ascii="Book Antiqua" w:eastAsia="Calibri" w:hAnsi="Book Antiqua"/>
          <w:sz w:val="22"/>
          <w:szCs w:val="22"/>
        </w:rPr>
        <w:t>i</w:t>
      </w:r>
      <w:r w:rsidR="006D4427">
        <w:rPr>
          <w:rFonts w:ascii="Book Antiqua" w:eastAsia="Calibri" w:hAnsi="Book Antiqua"/>
          <w:sz w:val="22"/>
          <w:szCs w:val="22"/>
        </w:rPr>
        <w:t>s not deleted from the Register</w:t>
      </w:r>
      <w:r w:rsidR="00DB506B" w:rsidRPr="00DB506B">
        <w:rPr>
          <w:rFonts w:ascii="Book Antiqua" w:eastAsia="Calibri" w:hAnsi="Book Antiqua"/>
          <w:sz w:val="22"/>
          <w:szCs w:val="22"/>
          <w:lang w:val="sr-Cyrl-CS"/>
        </w:rPr>
        <w:t xml:space="preserve">, </w:t>
      </w:r>
      <w:r w:rsidR="006D4427" w:rsidRPr="006D4427">
        <w:rPr>
          <w:rFonts w:ascii="Book Antiqua" w:eastAsia="Calibri" w:hAnsi="Book Antiqua"/>
          <w:sz w:val="22"/>
          <w:szCs w:val="22"/>
          <w:lang w:val="sr-Cyrl-CS"/>
        </w:rPr>
        <w:t xml:space="preserve">but no longer does business, </w:t>
      </w:r>
      <w:r w:rsidR="004068B5">
        <w:rPr>
          <w:rFonts w:ascii="Book Antiqua" w:eastAsia="Calibri" w:hAnsi="Book Antiqua"/>
          <w:sz w:val="22"/>
          <w:szCs w:val="22"/>
        </w:rPr>
        <w:t>and it</w:t>
      </w:r>
      <w:r w:rsidR="006D4427" w:rsidRPr="006D4427">
        <w:rPr>
          <w:rFonts w:ascii="Book Antiqua" w:eastAsia="Calibri" w:hAnsi="Book Antiqua"/>
          <w:sz w:val="22"/>
          <w:szCs w:val="22"/>
          <w:lang w:val="sr-Cyrl-CS"/>
        </w:rPr>
        <w:t xml:space="preserve"> has no authorized person who would sign the documentation necessary for the </w:t>
      </w:r>
      <w:r w:rsidR="004068B5">
        <w:rPr>
          <w:rFonts w:ascii="Book Antiqua" w:eastAsia="Calibri" w:hAnsi="Book Antiqua"/>
          <w:sz w:val="22"/>
          <w:szCs w:val="22"/>
        </w:rPr>
        <w:t>mother</w:t>
      </w:r>
      <w:r w:rsidR="006D4427" w:rsidRPr="006D4427">
        <w:rPr>
          <w:rFonts w:ascii="Book Antiqua" w:eastAsia="Calibri" w:hAnsi="Book Antiqua"/>
          <w:sz w:val="22"/>
          <w:szCs w:val="22"/>
          <w:lang w:val="sr-Cyrl-CS"/>
        </w:rPr>
        <w:t xml:space="preserve"> to exercise </w:t>
      </w:r>
      <w:r w:rsidR="004068B5">
        <w:rPr>
          <w:rFonts w:ascii="Book Antiqua" w:eastAsia="Calibri" w:hAnsi="Book Antiqua"/>
          <w:sz w:val="22"/>
          <w:szCs w:val="22"/>
        </w:rPr>
        <w:t xml:space="preserve">her </w:t>
      </w:r>
      <w:r w:rsidR="006D4427" w:rsidRPr="006D4427">
        <w:rPr>
          <w:rFonts w:ascii="Book Antiqua" w:eastAsia="Calibri" w:hAnsi="Book Antiqua"/>
          <w:sz w:val="22"/>
          <w:szCs w:val="22"/>
          <w:lang w:val="sr-Cyrl-CS"/>
        </w:rPr>
        <w:t>rights, or when the employer remains inaccessible to the competent authorities</w:t>
      </w:r>
      <w:r w:rsidR="00DB506B" w:rsidRPr="00DB506B">
        <w:rPr>
          <w:rFonts w:ascii="Book Antiqua" w:eastAsia="Calibri" w:hAnsi="Book Antiqua" w:cs="Book Antiqua"/>
          <w:sz w:val="22"/>
          <w:szCs w:val="22"/>
          <w:lang w:val="sr-Cyrl-CS"/>
        </w:rPr>
        <w:t>.</w:t>
      </w:r>
      <w:r w:rsidR="00DB506B" w:rsidRPr="00DB506B">
        <w:rPr>
          <w:rFonts w:ascii="Book Antiqua" w:eastAsia="Calibri" w:hAnsi="Book Antiqua" w:cs="Book Antiqua"/>
          <w:sz w:val="22"/>
          <w:szCs w:val="22"/>
          <w:vertAlign w:val="superscript"/>
          <w:lang w:val="sr-Cyrl-CS"/>
        </w:rPr>
        <w:footnoteReference w:id="17"/>
      </w:r>
    </w:p>
    <w:p w:rsidR="00DB506B" w:rsidRPr="00DB506B" w:rsidRDefault="00577686" w:rsidP="00DB506B">
      <w:pPr>
        <w:spacing w:before="120"/>
        <w:jc w:val="both"/>
        <w:rPr>
          <w:rFonts w:ascii="Book Antiqua" w:eastAsia="Calibri" w:hAnsi="Book Antiqua" w:cs="Book Antiqua"/>
          <w:sz w:val="22"/>
          <w:szCs w:val="22"/>
          <w:lang w:val="sr-Cyrl-CS"/>
        </w:rPr>
      </w:pPr>
      <w:r w:rsidRPr="00577686">
        <w:rPr>
          <w:rFonts w:ascii="Book Antiqua" w:eastAsia="Calibri" w:hAnsi="Book Antiqua" w:cs="Book Antiqua"/>
          <w:sz w:val="22"/>
          <w:szCs w:val="22"/>
          <w:lang w:val="sr-Cyrl-CS"/>
        </w:rPr>
        <w:lastRenderedPageBreak/>
        <w:t xml:space="preserve">The Protector of Citizens found that due to the </w:t>
      </w:r>
      <w:r>
        <w:rPr>
          <w:rFonts w:ascii="Book Antiqua" w:eastAsia="Calibri" w:hAnsi="Book Antiqua" w:cs="Book Antiqua"/>
          <w:sz w:val="22"/>
          <w:szCs w:val="22"/>
        </w:rPr>
        <w:t>shortcomings in the</w:t>
      </w:r>
      <w:r w:rsidRPr="00577686">
        <w:rPr>
          <w:rFonts w:ascii="Book Antiqua" w:eastAsia="Calibri" w:hAnsi="Book Antiqua" w:cs="Book Antiqua"/>
          <w:sz w:val="22"/>
          <w:szCs w:val="22"/>
          <w:lang w:val="sr-Cyrl-CS"/>
        </w:rPr>
        <w:t xml:space="preserve"> regulatory framework, pregnant women and </w:t>
      </w:r>
      <w:r>
        <w:rPr>
          <w:rFonts w:ascii="Book Antiqua" w:eastAsia="Calibri" w:hAnsi="Book Antiqua" w:cs="Book Antiqua"/>
          <w:sz w:val="22"/>
          <w:szCs w:val="22"/>
        </w:rPr>
        <w:t>mothers</w:t>
      </w:r>
      <w:r w:rsidRPr="00577686">
        <w:rPr>
          <w:rFonts w:ascii="Book Antiqua" w:eastAsia="Calibri" w:hAnsi="Book Antiqua" w:cs="Book Antiqua"/>
          <w:sz w:val="22"/>
          <w:szCs w:val="22"/>
          <w:lang w:val="sr-Cyrl-CS"/>
        </w:rPr>
        <w:t xml:space="preserve"> </w:t>
      </w:r>
      <w:r>
        <w:rPr>
          <w:rFonts w:ascii="Book Antiqua" w:eastAsia="Calibri" w:hAnsi="Book Antiqua" w:cs="Book Antiqua"/>
          <w:sz w:val="22"/>
          <w:szCs w:val="22"/>
        </w:rPr>
        <w:t>–</w:t>
      </w:r>
      <w:r w:rsidRPr="00577686">
        <w:rPr>
          <w:rFonts w:ascii="Book Antiqua" w:eastAsia="Calibri" w:hAnsi="Book Antiqua" w:cs="Book Antiqua"/>
          <w:sz w:val="22"/>
          <w:szCs w:val="22"/>
          <w:lang w:val="sr-Cyrl-CS"/>
        </w:rPr>
        <w:t xml:space="preserve"> entrepreneurs could not fully claim the</w:t>
      </w:r>
      <w:r>
        <w:rPr>
          <w:rFonts w:ascii="Book Antiqua" w:eastAsia="Calibri" w:hAnsi="Book Antiqua" w:cs="Book Antiqua"/>
          <w:sz w:val="22"/>
          <w:szCs w:val="22"/>
        </w:rPr>
        <w:t>ir</w:t>
      </w:r>
      <w:r w:rsidRPr="00577686">
        <w:rPr>
          <w:rFonts w:ascii="Book Antiqua" w:eastAsia="Calibri" w:hAnsi="Book Antiqua" w:cs="Book Antiqua"/>
          <w:sz w:val="22"/>
          <w:szCs w:val="22"/>
          <w:lang w:val="sr-Cyrl-CS"/>
        </w:rPr>
        <w:t xml:space="preserve"> right to income compensation due to illness or complications related to pregnancy, </w:t>
      </w:r>
      <w:r>
        <w:rPr>
          <w:rFonts w:ascii="Book Antiqua" w:eastAsia="Calibri" w:hAnsi="Book Antiqua" w:cs="Book Antiqua"/>
          <w:sz w:val="22"/>
          <w:szCs w:val="22"/>
        </w:rPr>
        <w:t>as well</w:t>
      </w:r>
      <w:r w:rsidRPr="00577686">
        <w:rPr>
          <w:rFonts w:ascii="Book Antiqua" w:eastAsia="Calibri" w:hAnsi="Book Antiqua" w:cs="Book Antiqua"/>
          <w:sz w:val="22"/>
          <w:szCs w:val="22"/>
          <w:lang w:val="sr-Cyrl-CS"/>
        </w:rPr>
        <w:t xml:space="preserve"> as </w:t>
      </w:r>
      <w:r w:rsidR="00807190">
        <w:rPr>
          <w:rFonts w:ascii="Book Antiqua" w:eastAsia="Calibri" w:hAnsi="Book Antiqua" w:cs="Book Antiqua"/>
          <w:sz w:val="22"/>
          <w:szCs w:val="22"/>
        </w:rPr>
        <w:t xml:space="preserve">the compensation </w:t>
      </w:r>
      <w:r w:rsidRPr="00577686">
        <w:rPr>
          <w:rFonts w:ascii="Book Antiqua" w:eastAsia="Calibri" w:hAnsi="Book Antiqua" w:cs="Book Antiqua"/>
          <w:sz w:val="22"/>
          <w:szCs w:val="22"/>
          <w:lang w:val="sr-Cyrl-CS"/>
        </w:rPr>
        <w:t>during maternity and childcare leave</w:t>
      </w:r>
      <w:r w:rsidR="00DB506B" w:rsidRPr="00DB506B">
        <w:rPr>
          <w:rFonts w:ascii="Book Antiqua" w:eastAsia="Calibri" w:hAnsi="Book Antiqua" w:cs="Book Antiqua"/>
          <w:sz w:val="22"/>
          <w:szCs w:val="22"/>
          <w:lang w:val="sr-Cyrl-CS"/>
        </w:rPr>
        <w:t xml:space="preserve">. </w:t>
      </w:r>
      <w:r w:rsidRPr="00577686">
        <w:rPr>
          <w:rFonts w:ascii="Book Antiqua" w:eastAsia="Calibri" w:hAnsi="Book Antiqua" w:cs="Book Antiqua"/>
          <w:sz w:val="22"/>
          <w:szCs w:val="22"/>
          <w:lang w:val="sr-Cyrl-CS"/>
        </w:rPr>
        <w:t>Therefore, the Protector of Citizens sent to the competent bodies the opinion</w:t>
      </w:r>
      <w:r w:rsidR="00DB506B" w:rsidRPr="00DB506B">
        <w:rPr>
          <w:rFonts w:ascii="Book Antiqua" w:eastAsia="Calibri" w:hAnsi="Book Antiqua" w:cs="Book Antiqua"/>
          <w:sz w:val="22"/>
          <w:szCs w:val="22"/>
          <w:vertAlign w:val="superscript"/>
          <w:lang w:val="sr-Cyrl-CS"/>
        </w:rPr>
        <w:footnoteReference w:id="18"/>
      </w:r>
      <w:r w:rsidR="00DB506B" w:rsidRPr="00DB506B">
        <w:rPr>
          <w:rFonts w:ascii="Book Antiqua" w:eastAsia="Calibri" w:hAnsi="Book Antiqua" w:cs="Book Antiqua"/>
          <w:sz w:val="22"/>
          <w:szCs w:val="22"/>
          <w:lang w:val="sr-Cyrl-CS"/>
        </w:rPr>
        <w:t xml:space="preserve"> </w:t>
      </w:r>
      <w:r w:rsidRPr="00577686">
        <w:rPr>
          <w:rFonts w:ascii="Book Antiqua" w:eastAsia="Calibri" w:hAnsi="Book Antiqua" w:cs="Book Antiqua"/>
          <w:sz w:val="22"/>
          <w:szCs w:val="22"/>
          <w:lang w:val="sr-Cyrl-CS"/>
        </w:rPr>
        <w:t>that it is necessary to regulate</w:t>
      </w:r>
      <w:r w:rsidR="00807190">
        <w:rPr>
          <w:rFonts w:ascii="Book Antiqua" w:eastAsia="Calibri" w:hAnsi="Book Antiqua" w:cs="Book Antiqua"/>
          <w:sz w:val="22"/>
          <w:szCs w:val="22"/>
        </w:rPr>
        <w:t>,</w:t>
      </w:r>
      <w:r w:rsidRPr="00577686">
        <w:rPr>
          <w:rFonts w:ascii="Book Antiqua" w:eastAsia="Calibri" w:hAnsi="Book Antiqua" w:cs="Book Antiqua"/>
          <w:sz w:val="22"/>
          <w:szCs w:val="22"/>
          <w:lang w:val="sr-Cyrl-CS"/>
        </w:rPr>
        <w:t xml:space="preserve"> by law and regulations based on the law</w:t>
      </w:r>
      <w:r w:rsidR="00807190">
        <w:rPr>
          <w:rFonts w:ascii="Book Antiqua" w:eastAsia="Calibri" w:hAnsi="Book Antiqua" w:cs="Book Antiqua"/>
          <w:sz w:val="22"/>
          <w:szCs w:val="22"/>
        </w:rPr>
        <w:t>,</w:t>
      </w:r>
      <w:r w:rsidRPr="00577686">
        <w:rPr>
          <w:rFonts w:ascii="Book Antiqua" w:eastAsia="Calibri" w:hAnsi="Book Antiqua" w:cs="Book Antiqua"/>
          <w:sz w:val="22"/>
          <w:szCs w:val="22"/>
          <w:lang w:val="sr-Cyrl-CS"/>
        </w:rPr>
        <w:t xml:space="preserve"> the position of women entrepreneurs in the </w:t>
      </w:r>
      <w:r>
        <w:rPr>
          <w:rFonts w:ascii="Book Antiqua" w:eastAsia="Calibri" w:hAnsi="Book Antiqua" w:cs="Book Antiqua"/>
          <w:sz w:val="22"/>
          <w:szCs w:val="22"/>
        </w:rPr>
        <w:t>area</w:t>
      </w:r>
      <w:r w:rsidRPr="00577686">
        <w:rPr>
          <w:rFonts w:ascii="Book Antiqua" w:eastAsia="Calibri" w:hAnsi="Book Antiqua" w:cs="Book Antiqua"/>
          <w:sz w:val="22"/>
          <w:szCs w:val="22"/>
          <w:lang w:val="sr-Cyrl-CS"/>
        </w:rPr>
        <w:t xml:space="preserve"> of health.</w:t>
      </w:r>
    </w:p>
    <w:p w:rsidR="00DB506B" w:rsidRPr="00DB506B" w:rsidRDefault="00807190" w:rsidP="00FF658E">
      <w:pPr>
        <w:spacing w:before="120"/>
        <w:jc w:val="both"/>
        <w:rPr>
          <w:rFonts w:ascii="Book Antiqua" w:eastAsiaTheme="minorHAnsi" w:hAnsi="Book Antiqua" w:cstheme="minorBidi"/>
          <w:sz w:val="22"/>
          <w:szCs w:val="22"/>
          <w:lang w:val="sr-Cyrl-CS"/>
        </w:rPr>
      </w:pPr>
      <w:r w:rsidRPr="00807190">
        <w:rPr>
          <w:rFonts w:ascii="Book Antiqua" w:eastAsiaTheme="minorHAnsi" w:hAnsi="Book Antiqua" w:cs="Cambria"/>
          <w:sz w:val="22"/>
          <w:szCs w:val="22"/>
          <w:lang w:val="sr-Cyrl-CS"/>
        </w:rPr>
        <w:t xml:space="preserve">In accordance with the Opinion of the Protector of Citizens on the Draft Law on </w:t>
      </w:r>
      <w:r>
        <w:rPr>
          <w:rFonts w:ascii="Book Antiqua" w:eastAsiaTheme="minorHAnsi" w:hAnsi="Book Antiqua" w:cs="Cambria"/>
          <w:sz w:val="22"/>
          <w:szCs w:val="22"/>
        </w:rPr>
        <w:t>e</w:t>
      </w:r>
      <w:r w:rsidRPr="00807190">
        <w:rPr>
          <w:rFonts w:ascii="Book Antiqua" w:eastAsiaTheme="minorHAnsi" w:hAnsi="Book Antiqua" w:cs="Cambria"/>
          <w:sz w:val="22"/>
          <w:szCs w:val="22"/>
          <w:lang w:val="sr-Cyrl-CS"/>
        </w:rPr>
        <w:t xml:space="preserve">mployees in </w:t>
      </w:r>
      <w:r>
        <w:rPr>
          <w:rFonts w:ascii="Book Antiqua" w:eastAsiaTheme="minorHAnsi" w:hAnsi="Book Antiqua" w:cs="Cambria"/>
          <w:sz w:val="22"/>
          <w:szCs w:val="22"/>
        </w:rPr>
        <w:t>p</w:t>
      </w:r>
      <w:r w:rsidRPr="00807190">
        <w:rPr>
          <w:rFonts w:ascii="Book Antiqua" w:eastAsiaTheme="minorHAnsi" w:hAnsi="Book Antiqua" w:cs="Cambria"/>
          <w:sz w:val="22"/>
          <w:szCs w:val="22"/>
          <w:lang w:val="sr-Cyrl-CS"/>
        </w:rPr>
        <w:t xml:space="preserve">ublic </w:t>
      </w:r>
      <w:r>
        <w:rPr>
          <w:rFonts w:ascii="Book Antiqua" w:eastAsiaTheme="minorHAnsi" w:hAnsi="Book Antiqua" w:cs="Cambria"/>
          <w:sz w:val="22"/>
          <w:szCs w:val="22"/>
        </w:rPr>
        <w:t>s</w:t>
      </w:r>
      <w:r w:rsidRPr="00807190">
        <w:rPr>
          <w:rFonts w:ascii="Book Antiqua" w:eastAsiaTheme="minorHAnsi" w:hAnsi="Book Antiqua" w:cs="Cambria"/>
          <w:sz w:val="22"/>
          <w:szCs w:val="22"/>
          <w:lang w:val="sr-Cyrl-CS"/>
        </w:rPr>
        <w:t>ervices</w:t>
      </w:r>
      <w:r w:rsidR="00DB506B" w:rsidRPr="00DB506B">
        <w:rPr>
          <w:rFonts w:ascii="Book Antiqua" w:eastAsiaTheme="minorHAnsi" w:hAnsi="Book Antiqua" w:cstheme="minorBidi"/>
          <w:sz w:val="22"/>
          <w:szCs w:val="22"/>
          <w:vertAlign w:val="superscript"/>
          <w:lang w:val="sr-Cyrl-CS"/>
        </w:rPr>
        <w:footnoteReference w:id="19"/>
      </w:r>
      <w:r w:rsidR="00DB506B" w:rsidRPr="00DB506B">
        <w:rPr>
          <w:rFonts w:ascii="Book Antiqua" w:eastAsiaTheme="minorHAnsi" w:hAnsi="Book Antiqua" w:cs="Cambria"/>
          <w:sz w:val="22"/>
          <w:szCs w:val="22"/>
          <w:lang w:val="sr-Cyrl-CS"/>
        </w:rPr>
        <w:t>,</w:t>
      </w:r>
      <w:r w:rsidR="00805151">
        <w:rPr>
          <w:rFonts w:ascii="Book Antiqua" w:eastAsiaTheme="minorHAnsi" w:hAnsi="Book Antiqua" w:cs="Cambria"/>
          <w:sz w:val="22"/>
          <w:szCs w:val="22"/>
        </w:rPr>
        <w:t xml:space="preserve"> </w:t>
      </w:r>
      <w:r>
        <w:rPr>
          <w:rFonts w:ascii="Book Antiqua" w:eastAsiaTheme="minorHAnsi" w:hAnsi="Book Antiqua" w:cs="Cambria"/>
          <w:sz w:val="22"/>
          <w:szCs w:val="22"/>
        </w:rPr>
        <w:t xml:space="preserve">the </w:t>
      </w:r>
      <w:r w:rsidRPr="00807190">
        <w:rPr>
          <w:rFonts w:ascii="Book Antiqua" w:eastAsiaTheme="minorHAnsi" w:hAnsi="Book Antiqua" w:cs="Cambria"/>
          <w:sz w:val="22"/>
          <w:szCs w:val="22"/>
        </w:rPr>
        <w:t>Law on employees in public services</w:t>
      </w:r>
      <w:r w:rsidR="00DB506B" w:rsidRPr="00DB506B">
        <w:rPr>
          <w:rFonts w:ascii="Book Antiqua" w:eastAsiaTheme="minorHAnsi" w:hAnsi="Book Antiqua" w:cstheme="minorBidi"/>
          <w:sz w:val="22"/>
          <w:szCs w:val="22"/>
          <w:vertAlign w:val="superscript"/>
          <w:lang w:val="sr-Cyrl-CS"/>
        </w:rPr>
        <w:footnoteReference w:id="20"/>
      </w:r>
      <w:r w:rsidR="00DB506B" w:rsidRPr="00DB506B">
        <w:rPr>
          <w:rFonts w:ascii="Book Antiqua" w:eastAsiaTheme="minorHAnsi" w:hAnsi="Book Antiqua" w:cstheme="minorBidi"/>
          <w:sz w:val="22"/>
          <w:szCs w:val="22"/>
          <w:lang w:val="sr-Cyrl-CS"/>
        </w:rPr>
        <w:t xml:space="preserve"> </w:t>
      </w:r>
      <w:r w:rsidRPr="00807190">
        <w:rPr>
          <w:rFonts w:ascii="Book Antiqua" w:eastAsiaTheme="minorHAnsi" w:hAnsi="Book Antiqua" w:cstheme="minorBidi"/>
          <w:sz w:val="22"/>
          <w:szCs w:val="22"/>
          <w:lang w:val="sr-Cyrl-CS"/>
        </w:rPr>
        <w:t xml:space="preserve">prescribes affirmative </w:t>
      </w:r>
      <w:r w:rsidR="000033E4">
        <w:rPr>
          <w:rFonts w:ascii="Book Antiqua" w:eastAsiaTheme="minorHAnsi" w:hAnsi="Book Antiqua" w:cstheme="minorBidi"/>
          <w:sz w:val="22"/>
          <w:szCs w:val="22"/>
        </w:rPr>
        <w:t>measures</w:t>
      </w:r>
      <w:r w:rsidRPr="00807190">
        <w:rPr>
          <w:rFonts w:ascii="Book Antiqua" w:eastAsiaTheme="minorHAnsi" w:hAnsi="Book Antiqua" w:cstheme="minorBidi"/>
          <w:sz w:val="22"/>
          <w:szCs w:val="22"/>
          <w:lang w:val="sr-Cyrl-CS"/>
        </w:rPr>
        <w:t xml:space="preserve"> when selecting candidates so that the proclaimed principle of equal availability of jobs is fully realized. This Law stipulates that if more than one candidate has fulfilled the criteria prescribed for selection with the same best result, the </w:t>
      </w:r>
      <w:r w:rsidR="009803FF">
        <w:rPr>
          <w:rFonts w:ascii="Book Antiqua" w:eastAsiaTheme="minorHAnsi" w:hAnsi="Book Antiqua" w:cstheme="minorBidi"/>
          <w:sz w:val="22"/>
          <w:szCs w:val="22"/>
        </w:rPr>
        <w:t xml:space="preserve">advantage for </w:t>
      </w:r>
      <w:r w:rsidRPr="00807190">
        <w:rPr>
          <w:rFonts w:ascii="Book Antiqua" w:eastAsiaTheme="minorHAnsi" w:hAnsi="Book Antiqua" w:cstheme="minorBidi"/>
          <w:sz w:val="22"/>
          <w:szCs w:val="22"/>
          <w:lang w:val="sr-Cyrl-CS"/>
        </w:rPr>
        <w:t xml:space="preserve">employment </w:t>
      </w:r>
      <w:r w:rsidR="009803FF">
        <w:rPr>
          <w:rFonts w:ascii="Book Antiqua" w:eastAsiaTheme="minorHAnsi" w:hAnsi="Book Antiqua" w:cstheme="minorBidi"/>
          <w:sz w:val="22"/>
          <w:szCs w:val="22"/>
        </w:rPr>
        <w:t xml:space="preserve">goes to the </w:t>
      </w:r>
      <w:r w:rsidRPr="00807190">
        <w:rPr>
          <w:rFonts w:ascii="Book Antiqua" w:eastAsiaTheme="minorHAnsi" w:hAnsi="Book Antiqua" w:cstheme="minorBidi"/>
          <w:sz w:val="22"/>
          <w:szCs w:val="22"/>
          <w:lang w:val="sr-Cyrl-CS"/>
        </w:rPr>
        <w:t xml:space="preserve">candidate belonging to a group of persons </w:t>
      </w:r>
      <w:r w:rsidR="009803FF">
        <w:rPr>
          <w:rFonts w:ascii="Book Antiqua" w:eastAsiaTheme="minorHAnsi" w:hAnsi="Book Antiqua" w:cstheme="minorBidi"/>
          <w:sz w:val="22"/>
          <w:szCs w:val="22"/>
        </w:rPr>
        <w:t xml:space="preserve">which are </w:t>
      </w:r>
      <w:r w:rsidRPr="00807190">
        <w:rPr>
          <w:rFonts w:ascii="Book Antiqua" w:eastAsiaTheme="minorHAnsi" w:hAnsi="Book Antiqua" w:cstheme="minorBidi"/>
          <w:sz w:val="22"/>
          <w:szCs w:val="22"/>
          <w:lang w:val="sr-Cyrl-CS"/>
        </w:rPr>
        <w:t xml:space="preserve">in </w:t>
      </w:r>
      <w:r w:rsidR="009803FF">
        <w:rPr>
          <w:rFonts w:ascii="Book Antiqua" w:eastAsiaTheme="minorHAnsi" w:hAnsi="Book Antiqua" w:cstheme="minorBidi"/>
          <w:sz w:val="22"/>
          <w:szCs w:val="22"/>
        </w:rPr>
        <w:t xml:space="preserve">an </w:t>
      </w:r>
      <w:r w:rsidRPr="00807190">
        <w:rPr>
          <w:rFonts w:ascii="Book Antiqua" w:eastAsiaTheme="minorHAnsi" w:hAnsi="Book Antiqua" w:cstheme="minorBidi"/>
          <w:sz w:val="22"/>
          <w:szCs w:val="22"/>
          <w:lang w:val="sr-Cyrl-CS"/>
        </w:rPr>
        <w:t xml:space="preserve">unequal position, such as victims of domestic </w:t>
      </w:r>
      <w:r w:rsidR="009803FF" w:rsidRPr="00807190">
        <w:rPr>
          <w:rFonts w:ascii="Book Antiqua" w:eastAsiaTheme="minorHAnsi" w:hAnsi="Book Antiqua" w:cstheme="minorBidi"/>
          <w:sz w:val="22"/>
          <w:szCs w:val="22"/>
          <w:lang w:val="sr-Cyrl-CS"/>
        </w:rPr>
        <w:t>violence</w:t>
      </w:r>
      <w:r w:rsidR="009803FF">
        <w:rPr>
          <w:rFonts w:ascii="Book Antiqua" w:eastAsiaTheme="minorHAnsi" w:hAnsi="Book Antiqua" w:cstheme="minorBidi"/>
          <w:sz w:val="22"/>
          <w:szCs w:val="22"/>
        </w:rPr>
        <w:t xml:space="preserve"> and abuse in an intimate relationship</w:t>
      </w:r>
      <w:r w:rsidRPr="00807190">
        <w:rPr>
          <w:rFonts w:ascii="Book Antiqua" w:eastAsiaTheme="minorHAnsi" w:hAnsi="Book Antiqua" w:cstheme="minorBidi"/>
          <w:sz w:val="22"/>
          <w:szCs w:val="22"/>
          <w:lang w:val="sr-Cyrl-CS"/>
        </w:rPr>
        <w:t xml:space="preserve">, persons with disabilities, members of the Roma national minority, and </w:t>
      </w:r>
      <w:r w:rsidR="00A7314C">
        <w:rPr>
          <w:rFonts w:ascii="Book Antiqua" w:eastAsiaTheme="minorHAnsi" w:hAnsi="Book Antiqua" w:cstheme="minorBidi"/>
          <w:sz w:val="22"/>
          <w:szCs w:val="22"/>
        </w:rPr>
        <w:t xml:space="preserve">also, </w:t>
      </w:r>
      <w:r w:rsidRPr="00807190">
        <w:rPr>
          <w:rFonts w:ascii="Book Antiqua" w:eastAsiaTheme="minorHAnsi" w:hAnsi="Book Antiqua" w:cstheme="minorBidi"/>
          <w:sz w:val="22"/>
          <w:szCs w:val="22"/>
          <w:lang w:val="sr-Cyrl-CS"/>
        </w:rPr>
        <w:t xml:space="preserve">other groups of persons in unequal positions may be designated by the law governing the work of the public service or </w:t>
      </w:r>
      <w:r w:rsidR="009803FF">
        <w:rPr>
          <w:rFonts w:ascii="Book Antiqua" w:eastAsiaTheme="minorHAnsi" w:hAnsi="Book Antiqua" w:cstheme="minorBidi"/>
          <w:sz w:val="22"/>
          <w:szCs w:val="22"/>
        </w:rPr>
        <w:t xml:space="preserve">by a </w:t>
      </w:r>
      <w:r w:rsidRPr="00807190">
        <w:rPr>
          <w:rFonts w:ascii="Book Antiqua" w:eastAsiaTheme="minorHAnsi" w:hAnsi="Book Antiqua" w:cstheme="minorBidi"/>
          <w:sz w:val="22"/>
          <w:szCs w:val="22"/>
          <w:lang w:val="sr-Cyrl-CS"/>
        </w:rPr>
        <w:t>collective agreement</w:t>
      </w:r>
      <w:r w:rsidR="00DB506B" w:rsidRPr="00DB506B">
        <w:rPr>
          <w:rFonts w:ascii="Book Antiqua" w:eastAsiaTheme="minorHAnsi" w:hAnsi="Book Antiqua" w:cstheme="minorBidi"/>
          <w:sz w:val="22"/>
          <w:szCs w:val="22"/>
          <w:vertAlign w:val="superscript"/>
          <w:lang w:val="sr-Cyrl-CS"/>
        </w:rPr>
        <w:footnoteReference w:id="21"/>
      </w:r>
      <w:r w:rsidR="00DB506B" w:rsidRPr="00DB506B">
        <w:rPr>
          <w:rFonts w:ascii="Book Antiqua" w:eastAsiaTheme="minorHAnsi" w:hAnsi="Book Antiqua" w:cstheme="minorBidi"/>
          <w:sz w:val="22"/>
          <w:szCs w:val="22"/>
          <w:lang w:val="sr-Cyrl-CS"/>
        </w:rPr>
        <w:t>.</w:t>
      </w:r>
    </w:p>
    <w:p w:rsidR="00DB506B" w:rsidRPr="00FF658E" w:rsidRDefault="00DB506B" w:rsidP="00DB506B">
      <w:pPr>
        <w:spacing w:before="120"/>
        <w:rPr>
          <w:rFonts w:ascii="Book Antiqua" w:eastAsiaTheme="minorHAnsi" w:hAnsi="Book Antiqua" w:cstheme="minorBidi"/>
          <w:b/>
          <w:sz w:val="22"/>
          <w:szCs w:val="22"/>
        </w:rPr>
      </w:pPr>
      <w:r w:rsidRPr="00FF658E">
        <w:rPr>
          <w:rFonts w:ascii="Book Antiqua" w:eastAsiaTheme="minorHAnsi" w:hAnsi="Book Antiqua" w:cstheme="minorBidi"/>
          <w:b/>
          <w:sz w:val="22"/>
          <w:szCs w:val="22"/>
        </w:rPr>
        <w:t>2. What measures are necessary to ensure that women benefit equally from the transition to sustainability in your national context?</w:t>
      </w:r>
    </w:p>
    <w:p w:rsidR="00DB506B" w:rsidRPr="00DB506B" w:rsidRDefault="00F438F2" w:rsidP="00DB506B">
      <w:pPr>
        <w:spacing w:before="120"/>
        <w:jc w:val="both"/>
        <w:rPr>
          <w:rFonts w:ascii="Book Antiqua" w:eastAsiaTheme="minorHAnsi" w:hAnsi="Book Antiqua" w:cstheme="minorBidi"/>
          <w:sz w:val="22"/>
          <w:szCs w:val="22"/>
          <w:lang w:val="sr-Cyrl-CS"/>
        </w:rPr>
      </w:pPr>
      <w:r w:rsidRPr="00F438F2">
        <w:rPr>
          <w:rFonts w:ascii="Book Antiqua" w:eastAsiaTheme="minorHAnsi" w:hAnsi="Book Antiqua" w:cstheme="minorBidi"/>
          <w:sz w:val="22"/>
          <w:szCs w:val="22"/>
          <w:lang w:val="sr-Cyrl-CS"/>
        </w:rPr>
        <w:t xml:space="preserve">As </w:t>
      </w:r>
      <w:r>
        <w:rPr>
          <w:rFonts w:ascii="Book Antiqua" w:eastAsiaTheme="minorHAnsi" w:hAnsi="Book Antiqua" w:cstheme="minorBidi"/>
          <w:sz w:val="22"/>
          <w:szCs w:val="22"/>
        </w:rPr>
        <w:t>already mentioned</w:t>
      </w:r>
      <w:r w:rsidRPr="00F438F2">
        <w:rPr>
          <w:rFonts w:ascii="Book Antiqua" w:eastAsiaTheme="minorHAnsi" w:hAnsi="Book Antiqua" w:cstheme="minorBidi"/>
          <w:sz w:val="22"/>
          <w:szCs w:val="22"/>
          <w:lang w:val="sr-Cyrl-CS"/>
        </w:rPr>
        <w:t xml:space="preserve">, the Protector of Citizens has drawn up a Special Report on "Representation of </w:t>
      </w:r>
      <w:r>
        <w:rPr>
          <w:rFonts w:ascii="Book Antiqua" w:eastAsiaTheme="minorHAnsi" w:hAnsi="Book Antiqua" w:cstheme="minorBidi"/>
          <w:sz w:val="22"/>
          <w:szCs w:val="22"/>
        </w:rPr>
        <w:t>w</w:t>
      </w:r>
      <w:r w:rsidRPr="00F438F2">
        <w:rPr>
          <w:rFonts w:ascii="Book Antiqua" w:eastAsiaTheme="minorHAnsi" w:hAnsi="Book Antiqua" w:cstheme="minorBidi"/>
          <w:sz w:val="22"/>
          <w:szCs w:val="22"/>
          <w:lang w:val="sr-Cyrl-CS"/>
        </w:rPr>
        <w:t xml:space="preserve">omen in </w:t>
      </w:r>
      <w:r>
        <w:rPr>
          <w:rFonts w:ascii="Book Antiqua" w:eastAsiaTheme="minorHAnsi" w:hAnsi="Book Antiqua" w:cstheme="minorBidi"/>
          <w:sz w:val="22"/>
          <w:szCs w:val="22"/>
        </w:rPr>
        <w:t>d</w:t>
      </w:r>
      <w:r w:rsidRPr="00F438F2">
        <w:rPr>
          <w:rFonts w:ascii="Book Antiqua" w:eastAsiaTheme="minorHAnsi" w:hAnsi="Book Antiqua" w:cstheme="minorBidi"/>
          <w:sz w:val="22"/>
          <w:szCs w:val="22"/>
          <w:lang w:val="sr-Cyrl-CS"/>
        </w:rPr>
        <w:t>ecision-</w:t>
      </w:r>
      <w:r>
        <w:rPr>
          <w:rFonts w:ascii="Book Antiqua" w:eastAsiaTheme="minorHAnsi" w:hAnsi="Book Antiqua" w:cstheme="minorBidi"/>
          <w:sz w:val="22"/>
          <w:szCs w:val="22"/>
        </w:rPr>
        <w:t>m</w:t>
      </w:r>
      <w:r w:rsidRPr="00F438F2">
        <w:rPr>
          <w:rFonts w:ascii="Book Antiqua" w:eastAsiaTheme="minorHAnsi" w:hAnsi="Book Antiqua" w:cstheme="minorBidi"/>
          <w:sz w:val="22"/>
          <w:szCs w:val="22"/>
          <w:lang w:val="sr-Cyrl-CS"/>
        </w:rPr>
        <w:t xml:space="preserve">aking </w:t>
      </w:r>
      <w:r>
        <w:rPr>
          <w:rFonts w:ascii="Book Antiqua" w:eastAsiaTheme="minorHAnsi" w:hAnsi="Book Antiqua" w:cstheme="minorBidi"/>
          <w:sz w:val="22"/>
          <w:szCs w:val="22"/>
        </w:rPr>
        <w:t>positions</w:t>
      </w:r>
      <w:r>
        <w:rPr>
          <w:rFonts w:ascii="Book Antiqua" w:eastAsiaTheme="minorHAnsi" w:hAnsi="Book Antiqua" w:cstheme="minorBidi"/>
          <w:sz w:val="22"/>
          <w:szCs w:val="22"/>
          <w:lang w:val="sr-Cyrl-CS"/>
        </w:rPr>
        <w:t xml:space="preserve"> and the </w:t>
      </w:r>
      <w:r>
        <w:rPr>
          <w:rFonts w:ascii="Book Antiqua" w:eastAsiaTheme="minorHAnsi" w:hAnsi="Book Antiqua" w:cstheme="minorBidi"/>
          <w:sz w:val="22"/>
          <w:szCs w:val="22"/>
        </w:rPr>
        <w:t>p</w:t>
      </w:r>
      <w:r>
        <w:rPr>
          <w:rFonts w:ascii="Book Antiqua" w:eastAsiaTheme="minorHAnsi" w:hAnsi="Book Antiqua" w:cstheme="minorBidi"/>
          <w:sz w:val="22"/>
          <w:szCs w:val="22"/>
          <w:lang w:val="sr-Cyrl-CS"/>
        </w:rPr>
        <w:t xml:space="preserve">osition and </w:t>
      </w:r>
      <w:r>
        <w:rPr>
          <w:rFonts w:ascii="Book Antiqua" w:eastAsiaTheme="minorHAnsi" w:hAnsi="Book Antiqua" w:cstheme="minorBidi"/>
          <w:sz w:val="22"/>
          <w:szCs w:val="22"/>
        </w:rPr>
        <w:t>a</w:t>
      </w:r>
      <w:r>
        <w:rPr>
          <w:rFonts w:ascii="Book Antiqua" w:eastAsiaTheme="minorHAnsi" w:hAnsi="Book Antiqua" w:cstheme="minorBidi"/>
          <w:sz w:val="22"/>
          <w:szCs w:val="22"/>
          <w:lang w:val="sr-Cyrl-CS"/>
        </w:rPr>
        <w:t xml:space="preserve">ctivities of </w:t>
      </w:r>
      <w:r>
        <w:rPr>
          <w:rFonts w:ascii="Book Antiqua" w:eastAsiaTheme="minorHAnsi" w:hAnsi="Book Antiqua" w:cstheme="minorBidi"/>
          <w:sz w:val="22"/>
          <w:szCs w:val="22"/>
        </w:rPr>
        <w:t>l</w:t>
      </w:r>
      <w:r>
        <w:rPr>
          <w:rFonts w:ascii="Book Antiqua" w:eastAsiaTheme="minorHAnsi" w:hAnsi="Book Antiqua" w:cstheme="minorBidi"/>
          <w:sz w:val="22"/>
          <w:szCs w:val="22"/>
          <w:lang w:val="sr-Cyrl-CS"/>
        </w:rPr>
        <w:t xml:space="preserve">ocal </w:t>
      </w:r>
      <w:r>
        <w:rPr>
          <w:rFonts w:ascii="Book Antiqua" w:eastAsiaTheme="minorHAnsi" w:hAnsi="Book Antiqua" w:cstheme="minorBidi"/>
          <w:sz w:val="22"/>
          <w:szCs w:val="22"/>
        </w:rPr>
        <w:t>g</w:t>
      </w:r>
      <w:r>
        <w:rPr>
          <w:rFonts w:ascii="Book Antiqua" w:eastAsiaTheme="minorHAnsi" w:hAnsi="Book Antiqua" w:cstheme="minorBidi"/>
          <w:sz w:val="22"/>
          <w:szCs w:val="22"/>
          <w:lang w:val="sr-Cyrl-CS"/>
        </w:rPr>
        <w:t xml:space="preserve">ender </w:t>
      </w:r>
      <w:r>
        <w:rPr>
          <w:rFonts w:ascii="Book Antiqua" w:eastAsiaTheme="minorHAnsi" w:hAnsi="Book Antiqua" w:cstheme="minorBidi"/>
          <w:sz w:val="22"/>
          <w:szCs w:val="22"/>
        </w:rPr>
        <w:t>e</w:t>
      </w:r>
      <w:r>
        <w:rPr>
          <w:rFonts w:ascii="Book Antiqua" w:eastAsiaTheme="minorHAnsi" w:hAnsi="Book Antiqua" w:cstheme="minorBidi"/>
          <w:sz w:val="22"/>
          <w:szCs w:val="22"/>
          <w:lang w:val="sr-Cyrl-CS"/>
        </w:rPr>
        <w:t xml:space="preserve">quality </w:t>
      </w:r>
      <w:r>
        <w:rPr>
          <w:rFonts w:ascii="Book Antiqua" w:eastAsiaTheme="minorHAnsi" w:hAnsi="Book Antiqua" w:cstheme="minorBidi"/>
          <w:sz w:val="22"/>
          <w:szCs w:val="22"/>
        </w:rPr>
        <w:t>m</w:t>
      </w:r>
      <w:r>
        <w:rPr>
          <w:rFonts w:ascii="Book Antiqua" w:eastAsiaTheme="minorHAnsi" w:hAnsi="Book Antiqua" w:cstheme="minorBidi"/>
          <w:sz w:val="22"/>
          <w:szCs w:val="22"/>
          <w:lang w:val="sr-Cyrl-CS"/>
        </w:rPr>
        <w:t xml:space="preserve">echanisms in </w:t>
      </w:r>
      <w:r>
        <w:rPr>
          <w:rFonts w:ascii="Book Antiqua" w:eastAsiaTheme="minorHAnsi" w:hAnsi="Book Antiqua" w:cstheme="minorBidi"/>
          <w:sz w:val="22"/>
          <w:szCs w:val="22"/>
        </w:rPr>
        <w:t>l</w:t>
      </w:r>
      <w:r>
        <w:rPr>
          <w:rFonts w:ascii="Book Antiqua" w:eastAsiaTheme="minorHAnsi" w:hAnsi="Book Antiqua" w:cstheme="minorBidi"/>
          <w:sz w:val="22"/>
          <w:szCs w:val="22"/>
          <w:lang w:val="sr-Cyrl-CS"/>
        </w:rPr>
        <w:t xml:space="preserve">ocal </w:t>
      </w:r>
      <w:r>
        <w:rPr>
          <w:rFonts w:ascii="Book Antiqua" w:eastAsiaTheme="minorHAnsi" w:hAnsi="Book Antiqua" w:cstheme="minorBidi"/>
          <w:sz w:val="22"/>
          <w:szCs w:val="22"/>
        </w:rPr>
        <w:t>s</w:t>
      </w:r>
      <w:r>
        <w:rPr>
          <w:rFonts w:ascii="Book Antiqua" w:eastAsiaTheme="minorHAnsi" w:hAnsi="Book Antiqua" w:cstheme="minorBidi"/>
          <w:sz w:val="22"/>
          <w:szCs w:val="22"/>
          <w:lang w:val="sr-Cyrl-CS"/>
        </w:rPr>
        <w:t>elf-</w:t>
      </w:r>
      <w:r>
        <w:rPr>
          <w:rFonts w:ascii="Book Antiqua" w:eastAsiaTheme="minorHAnsi" w:hAnsi="Book Antiqua" w:cstheme="minorBidi"/>
          <w:sz w:val="22"/>
          <w:szCs w:val="22"/>
        </w:rPr>
        <w:t>g</w:t>
      </w:r>
      <w:r>
        <w:rPr>
          <w:rFonts w:ascii="Book Antiqua" w:eastAsiaTheme="minorHAnsi" w:hAnsi="Book Antiqua" w:cstheme="minorBidi"/>
          <w:sz w:val="22"/>
          <w:szCs w:val="22"/>
          <w:lang w:val="sr-Cyrl-CS"/>
        </w:rPr>
        <w:t xml:space="preserve">overnment </w:t>
      </w:r>
      <w:r>
        <w:rPr>
          <w:rFonts w:ascii="Book Antiqua" w:eastAsiaTheme="minorHAnsi" w:hAnsi="Book Antiqua" w:cstheme="minorBidi"/>
          <w:sz w:val="22"/>
          <w:szCs w:val="22"/>
        </w:rPr>
        <w:t>u</w:t>
      </w:r>
      <w:r w:rsidRPr="00F438F2">
        <w:rPr>
          <w:rFonts w:ascii="Book Antiqua" w:eastAsiaTheme="minorHAnsi" w:hAnsi="Book Antiqua" w:cstheme="minorBidi"/>
          <w:sz w:val="22"/>
          <w:szCs w:val="22"/>
          <w:lang w:val="sr-Cyrl-CS"/>
        </w:rPr>
        <w:t>nits in Serbia"</w:t>
      </w:r>
      <w:r w:rsidR="00DB506B" w:rsidRPr="00DB506B">
        <w:rPr>
          <w:rFonts w:ascii="Book Antiqua" w:eastAsiaTheme="minorHAnsi" w:hAnsi="Book Antiqua" w:cstheme="minorBidi"/>
          <w:sz w:val="22"/>
          <w:szCs w:val="22"/>
          <w:vertAlign w:val="superscript"/>
          <w:lang w:val="sr-Cyrl-CS"/>
        </w:rPr>
        <w:footnoteReference w:id="22"/>
      </w:r>
      <w:r w:rsidR="001861EA">
        <w:rPr>
          <w:rFonts w:ascii="Book Antiqua" w:eastAsiaTheme="minorHAnsi" w:hAnsi="Book Antiqua" w:cstheme="minorBidi"/>
          <w:sz w:val="22"/>
          <w:szCs w:val="22"/>
          <w:lang w:val="sr-Cyrl-CS"/>
        </w:rPr>
        <w:t>.</w:t>
      </w:r>
      <w:r w:rsidR="005F4270">
        <w:rPr>
          <w:rFonts w:ascii="Book Antiqua" w:eastAsiaTheme="minorHAnsi" w:hAnsi="Book Antiqua" w:cstheme="minorBidi"/>
          <w:sz w:val="22"/>
          <w:szCs w:val="22"/>
        </w:rPr>
        <w:t xml:space="preserve"> </w:t>
      </w:r>
      <w:r w:rsidR="005F4270" w:rsidRPr="005F4270">
        <w:rPr>
          <w:rFonts w:ascii="Book Antiqua" w:eastAsiaTheme="minorHAnsi" w:hAnsi="Book Antiqua" w:cstheme="minorBidi"/>
          <w:sz w:val="22"/>
          <w:szCs w:val="22"/>
          <w:lang w:val="sr-Cyrl-CS"/>
        </w:rPr>
        <w:t xml:space="preserve">The report points to the under-representation of women, especially women from vulnerable groups, in decision-making </w:t>
      </w:r>
      <w:r w:rsidR="005F4270">
        <w:rPr>
          <w:rFonts w:ascii="Book Antiqua" w:eastAsiaTheme="minorHAnsi" w:hAnsi="Book Antiqua" w:cstheme="minorBidi"/>
          <w:sz w:val="22"/>
          <w:szCs w:val="22"/>
        </w:rPr>
        <w:t>positions</w:t>
      </w:r>
      <w:r w:rsidR="005F4270" w:rsidRPr="005F4270">
        <w:rPr>
          <w:rFonts w:ascii="Book Antiqua" w:eastAsiaTheme="minorHAnsi" w:hAnsi="Book Antiqua" w:cstheme="minorBidi"/>
          <w:sz w:val="22"/>
          <w:szCs w:val="22"/>
          <w:lang w:val="sr-Cyrl-CS"/>
        </w:rPr>
        <w:t xml:space="preserve"> in local self-government units, as well as the </w:t>
      </w:r>
      <w:r w:rsidR="005F4270">
        <w:rPr>
          <w:rFonts w:ascii="Book Antiqua" w:eastAsiaTheme="minorHAnsi" w:hAnsi="Book Antiqua" w:cstheme="minorBidi"/>
          <w:sz w:val="22"/>
          <w:szCs w:val="22"/>
        </w:rPr>
        <w:t>inefficiency</w:t>
      </w:r>
      <w:r w:rsidR="005F4270" w:rsidRPr="005F4270">
        <w:rPr>
          <w:rFonts w:ascii="Book Antiqua" w:eastAsiaTheme="minorHAnsi" w:hAnsi="Book Antiqua" w:cstheme="minorBidi"/>
          <w:sz w:val="22"/>
          <w:szCs w:val="22"/>
          <w:lang w:val="sr-Cyrl-CS"/>
        </w:rPr>
        <w:t xml:space="preserve"> of gender equality mechanisms in local self-government</w:t>
      </w:r>
      <w:r w:rsidR="005F4270">
        <w:rPr>
          <w:rFonts w:ascii="Book Antiqua" w:eastAsiaTheme="minorHAnsi" w:hAnsi="Book Antiqua" w:cstheme="minorBidi"/>
          <w:sz w:val="22"/>
          <w:szCs w:val="22"/>
        </w:rPr>
        <w:t>s</w:t>
      </w:r>
      <w:r w:rsidR="005F4270" w:rsidRPr="005F4270">
        <w:rPr>
          <w:rFonts w:ascii="Book Antiqua" w:eastAsiaTheme="minorHAnsi" w:hAnsi="Book Antiqua" w:cstheme="minorBidi"/>
          <w:sz w:val="22"/>
          <w:szCs w:val="22"/>
          <w:lang w:val="sr-Cyrl-CS"/>
        </w:rPr>
        <w:t>. The Protector of Citizens recogniz</w:t>
      </w:r>
      <w:r w:rsidR="005F4270">
        <w:rPr>
          <w:rFonts w:ascii="Book Antiqua" w:eastAsiaTheme="minorHAnsi" w:hAnsi="Book Antiqua" w:cstheme="minorBidi"/>
          <w:sz w:val="22"/>
          <w:szCs w:val="22"/>
          <w:lang w:val="sr-Cyrl-CS"/>
        </w:rPr>
        <w:t>es as the cause</w:t>
      </w:r>
      <w:r w:rsidR="005F4270" w:rsidRPr="005F4270">
        <w:rPr>
          <w:rFonts w:ascii="Book Antiqua" w:eastAsiaTheme="minorHAnsi" w:hAnsi="Book Antiqua" w:cstheme="minorBidi"/>
          <w:sz w:val="22"/>
          <w:szCs w:val="22"/>
          <w:lang w:val="sr-Cyrl-CS"/>
        </w:rPr>
        <w:t xml:space="preserve"> of this situation the lack of a comprehensive Law on </w:t>
      </w:r>
      <w:r w:rsidR="0013616F">
        <w:rPr>
          <w:rFonts w:ascii="Book Antiqua" w:eastAsiaTheme="minorHAnsi" w:hAnsi="Book Antiqua" w:cstheme="minorBidi"/>
          <w:sz w:val="22"/>
          <w:szCs w:val="22"/>
        </w:rPr>
        <w:t>G</w:t>
      </w:r>
      <w:r w:rsidR="005F4270" w:rsidRPr="005F4270">
        <w:rPr>
          <w:rFonts w:ascii="Book Antiqua" w:eastAsiaTheme="minorHAnsi" w:hAnsi="Book Antiqua" w:cstheme="minorBidi"/>
          <w:sz w:val="22"/>
          <w:szCs w:val="22"/>
          <w:lang w:val="sr-Cyrl-CS"/>
        </w:rPr>
        <w:t xml:space="preserve">ender </w:t>
      </w:r>
      <w:r w:rsidR="0013616F">
        <w:rPr>
          <w:rFonts w:ascii="Book Antiqua" w:eastAsiaTheme="minorHAnsi" w:hAnsi="Book Antiqua" w:cstheme="minorBidi"/>
          <w:sz w:val="22"/>
          <w:szCs w:val="22"/>
        </w:rPr>
        <w:t>E</w:t>
      </w:r>
      <w:r w:rsidR="005F4270" w:rsidRPr="005F4270">
        <w:rPr>
          <w:rFonts w:ascii="Book Antiqua" w:eastAsiaTheme="minorHAnsi" w:hAnsi="Book Antiqua" w:cstheme="minorBidi"/>
          <w:sz w:val="22"/>
          <w:szCs w:val="22"/>
          <w:lang w:val="sr-Cyrl-CS"/>
        </w:rPr>
        <w:t xml:space="preserve">quality, but also the </w:t>
      </w:r>
      <w:r w:rsidR="005F4270">
        <w:rPr>
          <w:rFonts w:ascii="Book Antiqua" w:eastAsiaTheme="minorHAnsi" w:hAnsi="Book Antiqua" w:cstheme="minorBidi"/>
          <w:sz w:val="22"/>
          <w:szCs w:val="22"/>
        </w:rPr>
        <w:t>shortcomings in</w:t>
      </w:r>
      <w:r w:rsidR="005F4270" w:rsidRPr="005F4270">
        <w:rPr>
          <w:rFonts w:ascii="Book Antiqua" w:eastAsiaTheme="minorHAnsi" w:hAnsi="Book Antiqua" w:cstheme="minorBidi"/>
          <w:sz w:val="22"/>
          <w:szCs w:val="22"/>
          <w:lang w:val="sr-Cyrl-CS"/>
        </w:rPr>
        <w:t xml:space="preserve"> the existing Law on </w:t>
      </w:r>
      <w:r w:rsidR="0013616F">
        <w:rPr>
          <w:rFonts w:ascii="Book Antiqua" w:eastAsiaTheme="minorHAnsi" w:hAnsi="Book Antiqua" w:cstheme="minorBidi"/>
          <w:sz w:val="22"/>
          <w:szCs w:val="22"/>
        </w:rPr>
        <w:t>G</w:t>
      </w:r>
      <w:r w:rsidR="005F4270" w:rsidRPr="005F4270">
        <w:rPr>
          <w:rFonts w:ascii="Book Antiqua" w:eastAsiaTheme="minorHAnsi" w:hAnsi="Book Antiqua" w:cstheme="minorBidi"/>
          <w:sz w:val="22"/>
          <w:szCs w:val="22"/>
          <w:lang w:val="sr-Cyrl-CS"/>
        </w:rPr>
        <w:t xml:space="preserve">ender </w:t>
      </w:r>
      <w:r w:rsidR="0013616F">
        <w:rPr>
          <w:rFonts w:ascii="Book Antiqua" w:eastAsiaTheme="minorHAnsi" w:hAnsi="Book Antiqua" w:cstheme="minorBidi"/>
          <w:sz w:val="22"/>
          <w:szCs w:val="22"/>
        </w:rPr>
        <w:t>E</w:t>
      </w:r>
      <w:r w:rsidR="005F4270" w:rsidRPr="005F4270">
        <w:rPr>
          <w:rFonts w:ascii="Book Antiqua" w:eastAsiaTheme="minorHAnsi" w:hAnsi="Book Antiqua" w:cstheme="minorBidi"/>
          <w:sz w:val="22"/>
          <w:szCs w:val="22"/>
          <w:lang w:val="sr-Cyrl-CS"/>
        </w:rPr>
        <w:t xml:space="preserve">quality. The Law on </w:t>
      </w:r>
      <w:r w:rsidR="0013616F">
        <w:rPr>
          <w:rFonts w:ascii="Book Antiqua" w:eastAsiaTheme="minorHAnsi" w:hAnsi="Book Antiqua" w:cstheme="minorBidi"/>
          <w:sz w:val="22"/>
          <w:szCs w:val="22"/>
        </w:rPr>
        <w:t>G</w:t>
      </w:r>
      <w:r w:rsidR="005F4270" w:rsidRPr="005F4270">
        <w:rPr>
          <w:rFonts w:ascii="Book Antiqua" w:eastAsiaTheme="minorHAnsi" w:hAnsi="Book Antiqua" w:cstheme="minorBidi"/>
          <w:sz w:val="22"/>
          <w:szCs w:val="22"/>
          <w:lang w:val="sr-Cyrl-CS"/>
        </w:rPr>
        <w:t xml:space="preserve">ender </w:t>
      </w:r>
      <w:r w:rsidR="0013616F">
        <w:rPr>
          <w:rFonts w:ascii="Book Antiqua" w:eastAsiaTheme="minorHAnsi" w:hAnsi="Book Antiqua" w:cstheme="minorBidi"/>
          <w:sz w:val="22"/>
          <w:szCs w:val="22"/>
        </w:rPr>
        <w:t>E</w:t>
      </w:r>
      <w:r w:rsidR="005F4270" w:rsidRPr="005F4270">
        <w:rPr>
          <w:rFonts w:ascii="Book Antiqua" w:eastAsiaTheme="minorHAnsi" w:hAnsi="Book Antiqua" w:cstheme="minorBidi"/>
          <w:sz w:val="22"/>
          <w:szCs w:val="22"/>
          <w:lang w:val="sr-Cyrl-CS"/>
        </w:rPr>
        <w:t xml:space="preserve">quality has not adequately regulated the area of </w:t>
      </w:r>
      <w:r w:rsidR="005F4270" w:rsidRPr="005F4270">
        <w:rPr>
          <w:rFonts w:eastAsiaTheme="minorHAnsi"/>
          <w:sz w:val="22"/>
          <w:szCs w:val="22"/>
          <w:lang w:val="sr-Cyrl-CS"/>
        </w:rPr>
        <w:t>​​</w:t>
      </w:r>
      <w:r w:rsidR="005F4270" w:rsidRPr="005F4270">
        <w:rPr>
          <w:rFonts w:ascii="Book Antiqua" w:eastAsiaTheme="minorHAnsi" w:hAnsi="Book Antiqua" w:cs="Book Antiqua"/>
          <w:sz w:val="22"/>
          <w:szCs w:val="22"/>
          <w:lang w:val="sr-Cyrl-CS"/>
        </w:rPr>
        <w:t xml:space="preserve">gender equality and is not in line </w:t>
      </w:r>
      <w:r w:rsidR="005F4270" w:rsidRPr="005F4270">
        <w:rPr>
          <w:rFonts w:ascii="Book Antiqua" w:eastAsiaTheme="minorHAnsi" w:hAnsi="Book Antiqua" w:cstheme="minorBidi"/>
          <w:sz w:val="22"/>
          <w:szCs w:val="22"/>
          <w:lang w:val="sr-Cyrl-CS"/>
        </w:rPr>
        <w:t xml:space="preserve">with the international commitments made in the field of gender equality and subsidiary legislation. There are also a number of shortcomings in the way </w:t>
      </w:r>
      <w:r w:rsidR="00DA499A" w:rsidRPr="005F4270">
        <w:rPr>
          <w:rFonts w:ascii="Book Antiqua" w:eastAsiaTheme="minorHAnsi" w:hAnsi="Book Antiqua" w:cstheme="minorBidi"/>
          <w:sz w:val="22"/>
          <w:szCs w:val="22"/>
          <w:lang w:val="sr-Cyrl-CS"/>
        </w:rPr>
        <w:t xml:space="preserve">gender equality mechanisms </w:t>
      </w:r>
      <w:r w:rsidR="005F4270" w:rsidRPr="005F4270">
        <w:rPr>
          <w:rFonts w:ascii="Book Antiqua" w:eastAsiaTheme="minorHAnsi" w:hAnsi="Book Antiqua" w:cstheme="minorBidi"/>
          <w:sz w:val="22"/>
          <w:szCs w:val="22"/>
          <w:lang w:val="sr-Cyrl-CS"/>
        </w:rPr>
        <w:t xml:space="preserve">are regulated and </w:t>
      </w:r>
      <w:r w:rsidR="00DA499A">
        <w:rPr>
          <w:rFonts w:ascii="Book Antiqua" w:eastAsiaTheme="minorHAnsi" w:hAnsi="Book Antiqua" w:cstheme="minorBidi"/>
          <w:sz w:val="22"/>
          <w:szCs w:val="22"/>
        </w:rPr>
        <w:t xml:space="preserve">in </w:t>
      </w:r>
      <w:r w:rsidR="005F4270" w:rsidRPr="005F4270">
        <w:rPr>
          <w:rFonts w:ascii="Book Antiqua" w:eastAsiaTheme="minorHAnsi" w:hAnsi="Book Antiqua" w:cstheme="minorBidi"/>
          <w:sz w:val="22"/>
          <w:szCs w:val="22"/>
          <w:lang w:val="sr-Cyrl-CS"/>
        </w:rPr>
        <w:t xml:space="preserve">the way </w:t>
      </w:r>
      <w:r w:rsidR="00DA499A">
        <w:rPr>
          <w:rFonts w:ascii="Book Antiqua" w:eastAsiaTheme="minorHAnsi" w:hAnsi="Book Antiqua" w:cstheme="minorBidi"/>
          <w:sz w:val="22"/>
          <w:szCs w:val="22"/>
        </w:rPr>
        <w:t xml:space="preserve">they </w:t>
      </w:r>
      <w:r w:rsidR="005F4270" w:rsidRPr="005F4270">
        <w:rPr>
          <w:rFonts w:ascii="Book Antiqua" w:eastAsiaTheme="minorHAnsi" w:hAnsi="Book Antiqua" w:cstheme="minorBidi"/>
          <w:sz w:val="22"/>
          <w:szCs w:val="22"/>
          <w:lang w:val="sr-Cyrl-CS"/>
        </w:rPr>
        <w:t xml:space="preserve">are established and implemented. The law, among other things, lacks enforcement mechanisms and sanctions for non-implementation of legal provisions, and mechanisms for </w:t>
      </w:r>
      <w:r w:rsidR="00DA499A">
        <w:rPr>
          <w:rFonts w:ascii="Book Antiqua" w:eastAsiaTheme="minorHAnsi" w:hAnsi="Book Antiqua" w:cstheme="minorBidi"/>
          <w:sz w:val="22"/>
          <w:szCs w:val="22"/>
        </w:rPr>
        <w:t xml:space="preserve">achieving </w:t>
      </w:r>
      <w:r w:rsidR="005F4270" w:rsidRPr="005F4270">
        <w:rPr>
          <w:rFonts w:ascii="Book Antiqua" w:eastAsiaTheme="minorHAnsi" w:hAnsi="Book Antiqua" w:cstheme="minorBidi"/>
          <w:sz w:val="22"/>
          <w:szCs w:val="22"/>
          <w:lang w:val="sr-Cyrl-CS"/>
        </w:rPr>
        <w:t>gender equali</w:t>
      </w:r>
      <w:r w:rsidR="005F4270">
        <w:rPr>
          <w:rFonts w:ascii="Book Antiqua" w:eastAsiaTheme="minorHAnsi" w:hAnsi="Book Antiqua" w:cstheme="minorBidi"/>
          <w:sz w:val="22"/>
          <w:szCs w:val="22"/>
          <w:lang w:val="sr-Cyrl-CS"/>
        </w:rPr>
        <w:t>ty are insufficiently regulated</w:t>
      </w:r>
      <w:r w:rsidR="00DB506B" w:rsidRPr="00DB506B">
        <w:rPr>
          <w:rFonts w:ascii="Book Antiqua" w:eastAsiaTheme="minorHAnsi" w:hAnsi="Book Antiqua" w:cstheme="minorBidi"/>
          <w:sz w:val="22"/>
          <w:szCs w:val="22"/>
          <w:lang w:val="sr-Cyrl-CS"/>
        </w:rPr>
        <w:t xml:space="preserve">.  </w:t>
      </w:r>
    </w:p>
    <w:p w:rsidR="00DB506B" w:rsidRPr="00DB506B" w:rsidRDefault="0013616F" w:rsidP="00DB506B">
      <w:pPr>
        <w:spacing w:before="120"/>
        <w:jc w:val="both"/>
        <w:rPr>
          <w:rFonts w:ascii="Book Antiqua" w:eastAsiaTheme="minorHAnsi" w:hAnsi="Book Antiqua" w:cstheme="minorBidi"/>
          <w:sz w:val="22"/>
          <w:szCs w:val="22"/>
          <w:lang w:val="sr-Cyrl-CS"/>
        </w:rPr>
      </w:pPr>
      <w:r w:rsidRPr="0013616F">
        <w:rPr>
          <w:rFonts w:ascii="Book Antiqua" w:eastAsiaTheme="minorHAnsi" w:hAnsi="Book Antiqua" w:cstheme="minorBidi"/>
          <w:sz w:val="22"/>
          <w:szCs w:val="22"/>
          <w:lang w:val="sr-Cyrl-CS"/>
        </w:rPr>
        <w:t xml:space="preserve">Therefore, the Protector of Citizens initiated the drafting of the Model Law on Gender Equality and submitted it to the Coordination </w:t>
      </w:r>
      <w:r w:rsidR="0058233A">
        <w:rPr>
          <w:rFonts w:ascii="Book Antiqua" w:eastAsiaTheme="minorHAnsi" w:hAnsi="Book Antiqua" w:cstheme="minorBidi"/>
          <w:sz w:val="22"/>
          <w:szCs w:val="22"/>
        </w:rPr>
        <w:t>B</w:t>
      </w:r>
      <w:r w:rsidRPr="0013616F">
        <w:rPr>
          <w:rFonts w:ascii="Book Antiqua" w:eastAsiaTheme="minorHAnsi" w:hAnsi="Book Antiqua" w:cstheme="minorBidi"/>
          <w:sz w:val="22"/>
          <w:szCs w:val="22"/>
          <w:lang w:val="sr-Cyrl-CS"/>
        </w:rPr>
        <w:t xml:space="preserve">ody for </w:t>
      </w:r>
      <w:r w:rsidR="0058233A">
        <w:rPr>
          <w:rFonts w:ascii="Book Antiqua" w:eastAsiaTheme="minorHAnsi" w:hAnsi="Book Antiqua" w:cstheme="minorBidi"/>
          <w:sz w:val="22"/>
          <w:szCs w:val="22"/>
        </w:rPr>
        <w:t>G</w:t>
      </w:r>
      <w:r w:rsidRPr="0013616F">
        <w:rPr>
          <w:rFonts w:ascii="Book Antiqua" w:eastAsiaTheme="minorHAnsi" w:hAnsi="Book Antiqua" w:cstheme="minorBidi"/>
          <w:sz w:val="22"/>
          <w:szCs w:val="22"/>
          <w:lang w:val="sr-Cyrl-CS"/>
        </w:rPr>
        <w:t xml:space="preserve">ender </w:t>
      </w:r>
      <w:r w:rsidR="0058233A">
        <w:rPr>
          <w:rFonts w:ascii="Book Antiqua" w:eastAsiaTheme="minorHAnsi" w:hAnsi="Book Antiqua" w:cstheme="minorBidi"/>
          <w:sz w:val="22"/>
          <w:szCs w:val="22"/>
        </w:rPr>
        <w:t>E</w:t>
      </w:r>
      <w:r w:rsidRPr="0013616F">
        <w:rPr>
          <w:rFonts w:ascii="Book Antiqua" w:eastAsiaTheme="minorHAnsi" w:hAnsi="Book Antiqua" w:cstheme="minorBidi"/>
          <w:sz w:val="22"/>
          <w:szCs w:val="22"/>
          <w:lang w:val="sr-Cyrl-CS"/>
        </w:rPr>
        <w:t>quality. The Draft Law</w:t>
      </w:r>
      <w:r w:rsidR="00CF1C37">
        <w:rPr>
          <w:rFonts w:ascii="Book Antiqua" w:eastAsiaTheme="minorHAnsi" w:hAnsi="Book Antiqua" w:cstheme="minorBidi"/>
          <w:sz w:val="22"/>
          <w:szCs w:val="22"/>
        </w:rPr>
        <w:t xml:space="preserve"> </w:t>
      </w:r>
      <w:r w:rsidRPr="0013616F">
        <w:rPr>
          <w:rFonts w:ascii="Book Antiqua" w:eastAsiaTheme="minorHAnsi" w:hAnsi="Book Antiqua" w:cstheme="minorBidi"/>
          <w:sz w:val="22"/>
          <w:szCs w:val="22"/>
          <w:lang w:val="sr-Cyrl-CS"/>
        </w:rPr>
        <w:t xml:space="preserve">on Equality between Women and Men, drafted by the Coordination </w:t>
      </w:r>
      <w:r w:rsidR="0058233A">
        <w:rPr>
          <w:rFonts w:ascii="Book Antiqua" w:eastAsiaTheme="minorHAnsi" w:hAnsi="Book Antiqua" w:cstheme="minorBidi"/>
          <w:sz w:val="22"/>
          <w:szCs w:val="22"/>
        </w:rPr>
        <w:t>B</w:t>
      </w:r>
      <w:r w:rsidRPr="0013616F">
        <w:rPr>
          <w:rFonts w:ascii="Book Antiqua" w:eastAsiaTheme="minorHAnsi" w:hAnsi="Book Antiqua" w:cstheme="minorBidi"/>
          <w:sz w:val="22"/>
          <w:szCs w:val="22"/>
          <w:lang w:val="sr-Cyrl-CS"/>
        </w:rPr>
        <w:t xml:space="preserve">ody for </w:t>
      </w:r>
      <w:r w:rsidR="0058233A">
        <w:rPr>
          <w:rFonts w:ascii="Book Antiqua" w:eastAsiaTheme="minorHAnsi" w:hAnsi="Book Antiqua" w:cstheme="minorBidi"/>
          <w:sz w:val="22"/>
          <w:szCs w:val="22"/>
        </w:rPr>
        <w:t>G</w:t>
      </w:r>
      <w:r w:rsidRPr="0013616F">
        <w:rPr>
          <w:rFonts w:ascii="Book Antiqua" w:eastAsiaTheme="minorHAnsi" w:hAnsi="Book Antiqua" w:cstheme="minorBidi"/>
          <w:sz w:val="22"/>
          <w:szCs w:val="22"/>
          <w:lang w:val="sr-Cyrl-CS"/>
        </w:rPr>
        <w:t xml:space="preserve">ender </w:t>
      </w:r>
      <w:r w:rsidR="0058233A">
        <w:rPr>
          <w:rFonts w:ascii="Book Antiqua" w:eastAsiaTheme="minorHAnsi" w:hAnsi="Book Antiqua" w:cstheme="minorBidi"/>
          <w:sz w:val="22"/>
          <w:szCs w:val="22"/>
        </w:rPr>
        <w:t>E</w:t>
      </w:r>
      <w:r w:rsidRPr="0013616F">
        <w:rPr>
          <w:rFonts w:ascii="Book Antiqua" w:eastAsiaTheme="minorHAnsi" w:hAnsi="Book Antiqua" w:cstheme="minorBidi"/>
          <w:sz w:val="22"/>
          <w:szCs w:val="22"/>
          <w:lang w:val="sr-Cyrl-CS"/>
        </w:rPr>
        <w:t xml:space="preserve">quality, entered </w:t>
      </w:r>
      <w:r w:rsidR="00CF1C37">
        <w:rPr>
          <w:rFonts w:ascii="Book Antiqua" w:eastAsiaTheme="minorHAnsi" w:hAnsi="Book Antiqua" w:cstheme="minorBidi"/>
          <w:sz w:val="22"/>
          <w:szCs w:val="22"/>
        </w:rPr>
        <w:t xml:space="preserve">the </w:t>
      </w:r>
      <w:r w:rsidRPr="0013616F">
        <w:rPr>
          <w:rFonts w:ascii="Book Antiqua" w:eastAsiaTheme="minorHAnsi" w:hAnsi="Book Antiqua" w:cstheme="minorBidi"/>
          <w:sz w:val="22"/>
          <w:szCs w:val="22"/>
          <w:lang w:val="sr-Cyrl-CS"/>
        </w:rPr>
        <w:t xml:space="preserve">parliamentary procedure in early 2016, but was withdrawn, primarily due to civil society organizations </w:t>
      </w:r>
      <w:r w:rsidR="00CF1C37">
        <w:rPr>
          <w:rFonts w:ascii="Book Antiqua" w:eastAsiaTheme="minorHAnsi" w:hAnsi="Book Antiqua" w:cstheme="minorBidi"/>
          <w:sz w:val="22"/>
          <w:szCs w:val="22"/>
        </w:rPr>
        <w:t>who opposed</w:t>
      </w:r>
      <w:r w:rsidRPr="0013616F">
        <w:rPr>
          <w:rFonts w:ascii="Book Antiqua" w:eastAsiaTheme="minorHAnsi" w:hAnsi="Book Antiqua" w:cstheme="minorBidi"/>
          <w:sz w:val="22"/>
          <w:szCs w:val="22"/>
          <w:lang w:val="sr-Cyrl-CS"/>
        </w:rPr>
        <w:t xml:space="preserve"> the </w:t>
      </w:r>
      <w:r w:rsidR="00CF1C37">
        <w:rPr>
          <w:rFonts w:ascii="Book Antiqua" w:eastAsiaTheme="minorHAnsi" w:hAnsi="Book Antiqua" w:cstheme="minorBidi"/>
          <w:sz w:val="22"/>
          <w:szCs w:val="22"/>
        </w:rPr>
        <w:t>solutions</w:t>
      </w:r>
      <w:r w:rsidRPr="0013616F">
        <w:rPr>
          <w:rFonts w:ascii="Book Antiqua" w:eastAsiaTheme="minorHAnsi" w:hAnsi="Book Antiqua" w:cstheme="minorBidi"/>
          <w:sz w:val="22"/>
          <w:szCs w:val="22"/>
          <w:lang w:val="sr-Cyrl-CS"/>
        </w:rPr>
        <w:t xml:space="preserve"> contained in the </w:t>
      </w:r>
      <w:r w:rsidR="00CF1C37">
        <w:rPr>
          <w:rFonts w:ascii="Book Antiqua" w:eastAsiaTheme="minorHAnsi" w:hAnsi="Book Antiqua" w:cstheme="minorBidi"/>
          <w:sz w:val="22"/>
          <w:szCs w:val="22"/>
        </w:rPr>
        <w:t>mentioned</w:t>
      </w:r>
      <w:r w:rsidRPr="0013616F">
        <w:rPr>
          <w:rFonts w:ascii="Book Antiqua" w:eastAsiaTheme="minorHAnsi" w:hAnsi="Book Antiqua" w:cstheme="minorBidi"/>
          <w:sz w:val="22"/>
          <w:szCs w:val="22"/>
          <w:lang w:val="sr-Cyrl-CS"/>
        </w:rPr>
        <w:t xml:space="preserve"> Draft</w:t>
      </w:r>
      <w:r w:rsidR="00DB506B" w:rsidRPr="00DB506B">
        <w:rPr>
          <w:rFonts w:ascii="Book Antiqua" w:eastAsiaTheme="minorHAnsi" w:hAnsi="Book Antiqua" w:cstheme="minorBidi"/>
          <w:sz w:val="22"/>
          <w:szCs w:val="22"/>
          <w:lang w:val="sr-Cyrl-CS"/>
        </w:rPr>
        <w:t>.</w:t>
      </w:r>
    </w:p>
    <w:p w:rsidR="00DB506B" w:rsidRPr="00DB506B" w:rsidRDefault="0058233A" w:rsidP="00DB506B">
      <w:pPr>
        <w:spacing w:before="120"/>
        <w:jc w:val="both"/>
        <w:rPr>
          <w:rFonts w:ascii="Book Antiqua" w:eastAsiaTheme="minorHAnsi" w:hAnsi="Book Antiqua" w:cstheme="minorBidi"/>
          <w:sz w:val="22"/>
          <w:szCs w:val="22"/>
          <w:lang w:val="sr-Cyrl-CS"/>
        </w:rPr>
      </w:pPr>
      <w:r w:rsidRPr="0058233A">
        <w:rPr>
          <w:rFonts w:ascii="Book Antiqua" w:eastAsiaTheme="minorHAnsi" w:hAnsi="Book Antiqua" w:cstheme="minorBidi"/>
          <w:sz w:val="22"/>
          <w:szCs w:val="22"/>
          <w:lang w:val="sr-Cyrl-CS"/>
        </w:rPr>
        <w:t>In addition</w:t>
      </w:r>
      <w:r>
        <w:rPr>
          <w:rFonts w:ascii="Book Antiqua" w:eastAsiaTheme="minorHAnsi" w:hAnsi="Book Antiqua" w:cstheme="minorBidi"/>
          <w:sz w:val="22"/>
          <w:szCs w:val="22"/>
        </w:rPr>
        <w:t xml:space="preserve"> to everything mentioned</w:t>
      </w:r>
      <w:r w:rsidRPr="0058233A">
        <w:rPr>
          <w:rFonts w:ascii="Book Antiqua" w:eastAsiaTheme="minorHAnsi" w:hAnsi="Book Antiqua" w:cstheme="minorBidi"/>
          <w:sz w:val="22"/>
          <w:szCs w:val="22"/>
          <w:lang w:val="sr-Cyrl-CS"/>
        </w:rPr>
        <w:t>, in his regular annual reports, the Protector of Citizens points to the necessity of adopting laws regulating issues of importance for the field of gender equality, which will ensure the inclusion of a gender perspective in all areas of society</w:t>
      </w:r>
      <w:r>
        <w:rPr>
          <w:rFonts w:ascii="Book Antiqua" w:eastAsiaTheme="minorHAnsi" w:hAnsi="Book Antiqua" w:cstheme="minorBidi"/>
          <w:sz w:val="22"/>
          <w:szCs w:val="22"/>
        </w:rPr>
        <w:t xml:space="preserve"> and</w:t>
      </w:r>
      <w:r w:rsidRPr="0058233A">
        <w:rPr>
          <w:rFonts w:ascii="Book Antiqua" w:eastAsiaTheme="minorHAnsi" w:hAnsi="Book Antiqua" w:cstheme="minorBidi"/>
          <w:sz w:val="22"/>
          <w:szCs w:val="22"/>
          <w:lang w:val="sr-Cyrl-CS"/>
        </w:rPr>
        <w:t xml:space="preserve"> </w:t>
      </w:r>
      <w:r>
        <w:rPr>
          <w:rFonts w:ascii="Book Antiqua" w:eastAsiaTheme="minorHAnsi" w:hAnsi="Book Antiqua" w:cstheme="minorBidi"/>
          <w:sz w:val="22"/>
          <w:szCs w:val="22"/>
        </w:rPr>
        <w:t xml:space="preserve">the </w:t>
      </w:r>
      <w:r w:rsidRPr="0058233A">
        <w:rPr>
          <w:rFonts w:ascii="Book Antiqua" w:eastAsiaTheme="minorHAnsi" w:hAnsi="Book Antiqua" w:cstheme="minorBidi"/>
          <w:sz w:val="22"/>
          <w:szCs w:val="22"/>
          <w:lang w:val="sr-Cyrl-CS"/>
        </w:rPr>
        <w:t>respect for international standards of gender equality and the principles of equal opportunities</w:t>
      </w:r>
      <w:r>
        <w:rPr>
          <w:rFonts w:ascii="Book Antiqua" w:eastAsiaTheme="minorHAnsi" w:hAnsi="Book Antiqua" w:cstheme="minorBidi"/>
          <w:sz w:val="22"/>
          <w:szCs w:val="22"/>
        </w:rPr>
        <w:t>,</w:t>
      </w:r>
      <w:r w:rsidRPr="0058233A">
        <w:rPr>
          <w:rFonts w:ascii="Book Antiqua" w:eastAsiaTheme="minorHAnsi" w:hAnsi="Book Antiqua" w:cstheme="minorBidi"/>
          <w:sz w:val="22"/>
          <w:szCs w:val="22"/>
          <w:lang w:val="sr-Cyrl-CS"/>
        </w:rPr>
        <w:t xml:space="preserve"> and which will prescribe specific measures to achieve the principle of gender equality, including measures </w:t>
      </w:r>
      <w:r>
        <w:rPr>
          <w:rFonts w:ascii="Book Antiqua" w:eastAsiaTheme="minorHAnsi" w:hAnsi="Book Antiqua" w:cstheme="minorBidi"/>
          <w:sz w:val="22"/>
          <w:szCs w:val="22"/>
        </w:rPr>
        <w:t>of</w:t>
      </w:r>
      <w:r w:rsidRPr="0058233A">
        <w:rPr>
          <w:rFonts w:ascii="Book Antiqua" w:eastAsiaTheme="minorHAnsi" w:hAnsi="Book Antiqua" w:cstheme="minorBidi"/>
          <w:sz w:val="22"/>
          <w:szCs w:val="22"/>
          <w:lang w:val="sr-Cyrl-CS"/>
        </w:rPr>
        <w:t xml:space="preserve"> protect</w:t>
      </w:r>
      <w:r>
        <w:rPr>
          <w:rFonts w:ascii="Book Antiqua" w:eastAsiaTheme="minorHAnsi" w:hAnsi="Book Antiqua" w:cstheme="minorBidi"/>
          <w:sz w:val="22"/>
          <w:szCs w:val="22"/>
        </w:rPr>
        <w:t>ion</w:t>
      </w:r>
      <w:r w:rsidRPr="0058233A">
        <w:rPr>
          <w:rFonts w:ascii="Book Antiqua" w:eastAsiaTheme="minorHAnsi" w:hAnsi="Book Antiqua" w:cstheme="minorBidi"/>
          <w:sz w:val="22"/>
          <w:szCs w:val="22"/>
          <w:lang w:val="sr-Cyrl-CS"/>
        </w:rPr>
        <w:t xml:space="preserve"> against gender based violence</w:t>
      </w:r>
      <w:r w:rsidR="00DB506B" w:rsidRPr="00DB506B">
        <w:rPr>
          <w:rFonts w:ascii="Book Antiqua" w:eastAsiaTheme="minorHAnsi" w:hAnsi="Book Antiqua" w:cstheme="minorBidi"/>
          <w:sz w:val="22"/>
          <w:szCs w:val="22"/>
          <w:lang w:val="sr-Cyrl-CS"/>
        </w:rPr>
        <w:t>;</w:t>
      </w:r>
    </w:p>
    <w:p w:rsidR="00DB506B" w:rsidRPr="00DB506B" w:rsidRDefault="0058233A" w:rsidP="00DB506B">
      <w:pPr>
        <w:spacing w:before="120"/>
        <w:jc w:val="both"/>
        <w:rPr>
          <w:rFonts w:ascii="Book Antiqua" w:eastAsiaTheme="minorHAnsi" w:hAnsi="Book Antiqua" w:cstheme="minorBidi"/>
          <w:sz w:val="22"/>
          <w:szCs w:val="22"/>
          <w:lang w:val="sr-Cyrl-CS"/>
        </w:rPr>
      </w:pPr>
      <w:r>
        <w:rPr>
          <w:rFonts w:ascii="Book Antiqua" w:eastAsiaTheme="minorHAnsi" w:hAnsi="Book Antiqua" w:cstheme="minorBidi"/>
          <w:sz w:val="22"/>
          <w:szCs w:val="22"/>
        </w:rPr>
        <w:t xml:space="preserve">The </w:t>
      </w:r>
      <w:r w:rsidRPr="0058233A">
        <w:rPr>
          <w:rFonts w:ascii="Book Antiqua" w:eastAsiaTheme="minorHAnsi" w:hAnsi="Book Antiqua" w:cstheme="minorBidi"/>
          <w:sz w:val="22"/>
          <w:szCs w:val="22"/>
        </w:rPr>
        <w:t>United Nations Human Rights Committee</w:t>
      </w:r>
      <w:r w:rsidRPr="0058233A">
        <w:t xml:space="preserve"> </w:t>
      </w:r>
      <w:r w:rsidRPr="0058233A">
        <w:rPr>
          <w:rFonts w:ascii="Book Antiqua" w:eastAsiaTheme="minorHAnsi" w:hAnsi="Book Antiqua" w:cstheme="minorBidi"/>
          <w:sz w:val="22"/>
          <w:szCs w:val="22"/>
        </w:rPr>
        <w:t>also expresse</w:t>
      </w:r>
      <w:r>
        <w:rPr>
          <w:rFonts w:ascii="Book Antiqua" w:eastAsiaTheme="minorHAnsi" w:hAnsi="Book Antiqua" w:cstheme="minorBidi"/>
          <w:sz w:val="22"/>
          <w:szCs w:val="22"/>
        </w:rPr>
        <w:t>d its</w:t>
      </w:r>
      <w:r w:rsidRPr="0058233A">
        <w:rPr>
          <w:rFonts w:ascii="Book Antiqua" w:eastAsiaTheme="minorHAnsi" w:hAnsi="Book Antiqua" w:cstheme="minorBidi"/>
          <w:sz w:val="22"/>
          <w:szCs w:val="22"/>
        </w:rPr>
        <w:t xml:space="preserve"> concern over lack of </w:t>
      </w:r>
      <w:r>
        <w:rPr>
          <w:rFonts w:ascii="Book Antiqua" w:eastAsiaTheme="minorHAnsi" w:hAnsi="Book Antiqua" w:cstheme="minorBidi"/>
          <w:sz w:val="22"/>
          <w:szCs w:val="22"/>
        </w:rPr>
        <w:t>the Law on Gender E</w:t>
      </w:r>
      <w:r w:rsidRPr="0058233A">
        <w:rPr>
          <w:rFonts w:ascii="Book Antiqua" w:eastAsiaTheme="minorHAnsi" w:hAnsi="Book Antiqua" w:cstheme="minorBidi"/>
          <w:sz w:val="22"/>
          <w:szCs w:val="22"/>
        </w:rPr>
        <w:t>quality</w:t>
      </w:r>
      <w:r w:rsidR="00DB506B" w:rsidRPr="00DB506B">
        <w:rPr>
          <w:rFonts w:ascii="Book Antiqua" w:eastAsiaTheme="minorHAnsi" w:hAnsi="Book Antiqua" w:cstheme="minorBidi"/>
          <w:sz w:val="22"/>
          <w:szCs w:val="22"/>
          <w:lang w:val="sr-Cyrl-CS"/>
        </w:rPr>
        <w:t>.</w:t>
      </w:r>
      <w:r w:rsidR="00DB506B" w:rsidRPr="00DB506B">
        <w:rPr>
          <w:rFonts w:ascii="Book Antiqua" w:eastAsiaTheme="minorHAnsi" w:hAnsi="Book Antiqua" w:cstheme="minorBidi"/>
          <w:sz w:val="22"/>
          <w:szCs w:val="22"/>
          <w:vertAlign w:val="superscript"/>
          <w:lang w:val="sr-Cyrl-CS"/>
        </w:rPr>
        <w:footnoteReference w:id="23"/>
      </w:r>
    </w:p>
    <w:p w:rsidR="00DB506B" w:rsidRPr="00DB506B" w:rsidRDefault="00DB506B" w:rsidP="00DB506B">
      <w:pPr>
        <w:spacing w:before="120"/>
        <w:jc w:val="both"/>
        <w:rPr>
          <w:rFonts w:ascii="Book Antiqua" w:eastAsiaTheme="minorHAnsi" w:hAnsi="Book Antiqua" w:cstheme="minorBidi"/>
          <w:sz w:val="22"/>
          <w:szCs w:val="22"/>
          <w:lang w:val="sr-Cyrl-CS"/>
        </w:rPr>
      </w:pPr>
    </w:p>
    <w:p w:rsidR="00DB506B" w:rsidRPr="00DB506B" w:rsidRDefault="00DB506B" w:rsidP="00DB506B">
      <w:pPr>
        <w:spacing w:before="120"/>
        <w:jc w:val="both"/>
        <w:rPr>
          <w:rFonts w:ascii="Book Antiqua" w:eastAsiaTheme="minorHAnsi" w:hAnsi="Book Antiqua" w:cstheme="minorBidi"/>
          <w:sz w:val="22"/>
          <w:szCs w:val="22"/>
          <w:lang w:val="sr-Cyrl-CS"/>
        </w:rPr>
      </w:pPr>
    </w:p>
    <w:p w:rsidR="00DB506B" w:rsidRPr="00DB506B" w:rsidRDefault="00DB506B" w:rsidP="00DB506B">
      <w:pPr>
        <w:spacing w:before="120"/>
        <w:rPr>
          <w:rFonts w:ascii="Book Antiqua" w:eastAsiaTheme="minorHAnsi" w:hAnsi="Book Antiqua" w:cstheme="minorBidi"/>
          <w:sz w:val="22"/>
          <w:szCs w:val="22"/>
          <w:lang w:val="sr-Cyrl-CS"/>
        </w:rPr>
      </w:pPr>
    </w:p>
    <w:p w:rsidR="009356F0" w:rsidRPr="00DB506B" w:rsidRDefault="009356F0" w:rsidP="00DB506B">
      <w:pPr>
        <w:spacing w:before="120"/>
        <w:jc w:val="both"/>
        <w:rPr>
          <w:rFonts w:ascii="Book Antiqua" w:eastAsiaTheme="minorHAnsi" w:hAnsi="Book Antiqua" w:cs="Arial"/>
          <w:b/>
          <w:sz w:val="22"/>
          <w:szCs w:val="22"/>
          <w:lang w:val="sr-Cyrl-CS"/>
        </w:rPr>
      </w:pPr>
    </w:p>
    <w:sectPr w:rsidR="009356F0" w:rsidRPr="00DB506B" w:rsidSect="00E8471B">
      <w:headerReference w:type="default" r:id="rId8"/>
      <w:footerReference w:type="default" r:id="rId9"/>
      <w:headerReference w:type="first" r:id="rId10"/>
      <w:footerReference w:type="first" r:id="rId11"/>
      <w:pgSz w:w="11909" w:h="16834" w:code="9"/>
      <w:pgMar w:top="1080" w:right="1109" w:bottom="1253" w:left="1109" w:header="533"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39" w:rsidRDefault="002B0139">
      <w:r>
        <w:separator/>
      </w:r>
    </w:p>
  </w:endnote>
  <w:endnote w:type="continuationSeparator" w:id="0">
    <w:p w:rsidR="002B0139" w:rsidRDefault="002B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01428"/>
      <w:docPartObj>
        <w:docPartGallery w:val="Page Numbers (Bottom of Page)"/>
        <w:docPartUnique/>
      </w:docPartObj>
    </w:sdtPr>
    <w:sdtEndPr>
      <w:rPr>
        <w:noProof/>
      </w:rPr>
    </w:sdtEndPr>
    <w:sdtContent>
      <w:p w:rsidR="0058233A" w:rsidRDefault="002642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233A" w:rsidRPr="00F93DCA" w:rsidRDefault="0058233A" w:rsidP="00F93DCA">
    <w:pPr>
      <w:pStyle w:val="Footer"/>
      <w:jc w:val="center"/>
      <w:rPr>
        <w:rFonts w:ascii="Arial" w:hAnsi="Arial" w:cs="Arial"/>
        <w:color w:val="4D4D4D"/>
        <w:lang w:val="sr-Latn-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3A" w:rsidRPr="00592A0A" w:rsidRDefault="0058233A" w:rsidP="00B6789D">
    <w:pPr>
      <w:pBdr>
        <w:top w:val="single" w:sz="4" w:space="1" w:color="auto"/>
      </w:pBdr>
      <w:jc w:val="center"/>
      <w:rPr>
        <w:rFonts w:ascii="Arial" w:hAnsi="Arial" w:cs="Arial"/>
        <w:color w:val="4D4D4D"/>
        <w:sz w:val="20"/>
        <w:szCs w:val="20"/>
        <w:lang w:val="en-US"/>
      </w:rPr>
    </w:pPr>
    <w:r>
      <w:rPr>
        <w:rFonts w:ascii="Arial" w:hAnsi="Arial" w:cs="Arial"/>
        <w:color w:val="4D4D4D"/>
        <w:sz w:val="20"/>
        <w:szCs w:val="20"/>
        <w:lang w:val="en-US"/>
      </w:rPr>
      <w:t>Address</w:t>
    </w:r>
    <w:r w:rsidRPr="006E1454">
      <w:rPr>
        <w:rFonts w:ascii="Arial" w:hAnsi="Arial" w:cs="Arial"/>
        <w:color w:val="4D4D4D"/>
        <w:sz w:val="20"/>
        <w:szCs w:val="20"/>
        <w:lang w:val="sr-Cyrl-CS"/>
      </w:rPr>
      <w:t xml:space="preserve">: </w:t>
    </w:r>
    <w:r>
      <w:rPr>
        <w:rFonts w:ascii="Arial" w:hAnsi="Arial" w:cs="Arial"/>
        <w:color w:val="4D4D4D"/>
        <w:sz w:val="20"/>
        <w:szCs w:val="20"/>
        <w:lang w:val="en-US"/>
      </w:rPr>
      <w:t>Deligradska</w:t>
    </w:r>
    <w:r w:rsidRPr="006E1454">
      <w:rPr>
        <w:rFonts w:ascii="Arial" w:hAnsi="Arial" w:cs="Arial"/>
        <w:color w:val="4D4D4D"/>
        <w:sz w:val="20"/>
        <w:szCs w:val="20"/>
        <w:lang w:val="sr-Cyrl-CS"/>
      </w:rPr>
      <w:t xml:space="preserve"> 16, 110</w:t>
    </w:r>
    <w:r>
      <w:rPr>
        <w:rFonts w:ascii="Arial" w:hAnsi="Arial" w:cs="Arial"/>
        <w:color w:val="4D4D4D"/>
        <w:sz w:val="20"/>
        <w:szCs w:val="20"/>
        <w:lang w:val="sr-Latn-CS"/>
      </w:rPr>
      <w:t>0</w:t>
    </w:r>
    <w:r w:rsidRPr="006E1454">
      <w:rPr>
        <w:rFonts w:ascii="Arial" w:hAnsi="Arial" w:cs="Arial"/>
        <w:color w:val="4D4D4D"/>
        <w:sz w:val="20"/>
        <w:szCs w:val="20"/>
        <w:lang w:val="sr-Cyrl-CS"/>
      </w:rPr>
      <w:t xml:space="preserve">0  </w:t>
    </w:r>
    <w:r>
      <w:rPr>
        <w:rFonts w:ascii="Arial" w:hAnsi="Arial" w:cs="Arial"/>
        <w:color w:val="4D4D4D"/>
        <w:sz w:val="20"/>
        <w:szCs w:val="20"/>
        <w:lang w:val="en-US"/>
      </w:rPr>
      <w:t>Belgrade</w:t>
    </w:r>
  </w:p>
  <w:p w:rsidR="0058233A" w:rsidRPr="00D62235" w:rsidRDefault="0058233A" w:rsidP="00D62235">
    <w:pPr>
      <w:pStyle w:val="Footer"/>
      <w:jc w:val="center"/>
      <w:rPr>
        <w:rFonts w:ascii="Arial" w:hAnsi="Arial" w:cs="Arial"/>
        <w:color w:val="4D4D4D"/>
        <w:lang w:val="sr-Cyrl-CS"/>
      </w:rPr>
    </w:pPr>
    <w:r>
      <w:rPr>
        <w:rFonts w:ascii="Arial" w:hAnsi="Arial" w:cs="Arial"/>
        <w:color w:val="4D4D4D"/>
        <w:sz w:val="20"/>
        <w:szCs w:val="20"/>
        <w:lang w:val="en-US"/>
      </w:rPr>
      <w:t>Tel</w:t>
    </w:r>
    <w:r>
      <w:rPr>
        <w:rFonts w:ascii="Arial" w:hAnsi="Arial" w:cs="Arial"/>
        <w:color w:val="4D4D4D"/>
        <w:sz w:val="20"/>
        <w:szCs w:val="20"/>
        <w:lang w:val="sr-Cyrl-CS"/>
      </w:rPr>
      <w:t>: (+38111)</w:t>
    </w:r>
    <w:r w:rsidRPr="006E1454">
      <w:rPr>
        <w:rFonts w:ascii="Arial" w:hAnsi="Arial" w:cs="Arial"/>
        <w:color w:val="4D4D4D"/>
        <w:sz w:val="20"/>
        <w:szCs w:val="20"/>
        <w:lang w:val="sr-Cyrl-CS"/>
      </w:rPr>
      <w:t xml:space="preserve"> 2</w:t>
    </w:r>
    <w:r>
      <w:rPr>
        <w:rFonts w:ascii="Arial" w:hAnsi="Arial" w:cs="Arial"/>
        <w:color w:val="4D4D4D"/>
        <w:sz w:val="20"/>
        <w:szCs w:val="20"/>
        <w:lang w:val="sr-Latn-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100</w:t>
    </w:r>
    <w:r w:rsidRPr="006E1454">
      <w:rPr>
        <w:rFonts w:ascii="Arial" w:hAnsi="Arial" w:cs="Arial"/>
        <w:color w:val="4D4D4D"/>
        <w:sz w:val="20"/>
        <w:szCs w:val="20"/>
        <w:lang w:val="sr-Latn-CS"/>
      </w:rPr>
      <w:t xml:space="preserve">      www.</w:t>
    </w:r>
    <w:r>
      <w:rPr>
        <w:rFonts w:ascii="Arial" w:hAnsi="Arial" w:cs="Arial"/>
        <w:color w:val="4D4D4D"/>
        <w:sz w:val="20"/>
        <w:szCs w:val="20"/>
        <w:lang w:val="sr-Latn-CS"/>
      </w:rPr>
      <w:t>ombudsman</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e-mail: </w:t>
    </w:r>
    <w:r>
      <w:rPr>
        <w:rFonts w:ascii="Arial" w:hAnsi="Arial" w:cs="Arial"/>
        <w:color w:val="4D4D4D"/>
        <w:sz w:val="20"/>
        <w:szCs w:val="20"/>
        <w:lang w:val="en-US"/>
      </w:rPr>
      <w:t>zastitnik</w:t>
    </w:r>
    <w:r w:rsidRPr="006E1454">
      <w:rPr>
        <w:rFonts w:ascii="Arial" w:hAnsi="Arial" w:cs="Arial"/>
        <w:color w:val="4D4D4D"/>
        <w:sz w:val="20"/>
        <w:szCs w:val="20"/>
        <w:lang w:val="sr-Cyrl-CS"/>
      </w:rPr>
      <w:t>@</w:t>
    </w:r>
    <w:r>
      <w:rPr>
        <w:rFonts w:ascii="Arial" w:hAnsi="Arial" w:cs="Arial"/>
        <w:color w:val="4D4D4D"/>
        <w:sz w:val="20"/>
        <w:szCs w:val="20"/>
        <w:lang w:val="en-US"/>
      </w:rPr>
      <w:t>ombudsman</w:t>
    </w:r>
    <w:r w:rsidRPr="006E1454">
      <w:rPr>
        <w:rFonts w:ascii="Arial" w:hAnsi="Arial" w:cs="Arial"/>
        <w:color w:val="4D4D4D"/>
        <w:sz w:val="20"/>
        <w:szCs w:val="20"/>
        <w:lang w:val="sr-Cyrl-CS"/>
      </w:rPr>
      <w: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39" w:rsidRDefault="002B0139">
      <w:r>
        <w:separator/>
      </w:r>
    </w:p>
  </w:footnote>
  <w:footnote w:type="continuationSeparator" w:id="0">
    <w:p w:rsidR="002B0139" w:rsidRDefault="002B0139">
      <w:r>
        <w:continuationSeparator/>
      </w:r>
    </w:p>
  </w:footnote>
  <w:footnote w:id="1">
    <w:p w:rsidR="0058233A" w:rsidRPr="002642F2" w:rsidRDefault="0058233A" w:rsidP="00DB506B">
      <w:pPr>
        <w:pStyle w:val="FootnoteText"/>
        <w:rPr>
          <w:rFonts w:ascii="Book Antiqua" w:hAnsi="Book Antiqua"/>
          <w:sz w:val="18"/>
          <w:szCs w:val="18"/>
          <w:lang w:val="en-US"/>
        </w:rPr>
      </w:pPr>
      <w:r w:rsidRPr="00DA2715">
        <w:rPr>
          <w:rStyle w:val="FootnoteReference"/>
          <w:rFonts w:ascii="Book Antiqua" w:hAnsi="Book Antiqua"/>
          <w:sz w:val="18"/>
          <w:szCs w:val="18"/>
        </w:rPr>
        <w:footnoteRef/>
      </w:r>
      <w:r w:rsidRPr="00EA010A">
        <w:rPr>
          <w:rFonts w:ascii="Book Antiqua" w:hAnsi="Book Antiqua"/>
          <w:sz w:val="18"/>
          <w:szCs w:val="18"/>
        </w:rPr>
        <w:t>The publication of the Statistical Office of the Republic of Serbia</w:t>
      </w:r>
      <w:r>
        <w:rPr>
          <w:rFonts w:ascii="Book Antiqua" w:hAnsi="Book Antiqua"/>
          <w:sz w:val="18"/>
          <w:szCs w:val="18"/>
        </w:rPr>
        <w:t xml:space="preserve"> “</w:t>
      </w:r>
      <w:r w:rsidRPr="00EA010A">
        <w:rPr>
          <w:rFonts w:ascii="Book Antiqua" w:hAnsi="Book Antiqua"/>
          <w:sz w:val="18"/>
          <w:szCs w:val="18"/>
        </w:rPr>
        <w:t>Women and Men</w:t>
      </w:r>
      <w:r>
        <w:rPr>
          <w:rFonts w:ascii="Book Antiqua" w:hAnsi="Book Antiqua"/>
          <w:sz w:val="18"/>
          <w:szCs w:val="18"/>
        </w:rPr>
        <w:t xml:space="preserve"> in the Republic of Serbia” from 2017</w:t>
      </w:r>
      <w:r w:rsidRPr="00EA010A">
        <w:rPr>
          <w:rFonts w:ascii="Book Antiqua" w:hAnsi="Book Antiqua"/>
          <w:sz w:val="18"/>
          <w:szCs w:val="18"/>
        </w:rPr>
        <w:t xml:space="preserve">, available at </w:t>
      </w:r>
      <w:hyperlink r:id="rId1" w:history="1">
        <w:r w:rsidRPr="00DA2715">
          <w:rPr>
            <w:rStyle w:val="Hyperlink"/>
            <w:rFonts w:ascii="Book Antiqua" w:hAnsi="Book Antiqua"/>
            <w:sz w:val="18"/>
            <w:szCs w:val="18"/>
          </w:rPr>
          <w:t>http</w:t>
        </w:r>
        <w:r w:rsidRPr="002642F2">
          <w:rPr>
            <w:rStyle w:val="Hyperlink"/>
            <w:rFonts w:ascii="Book Antiqua" w:hAnsi="Book Antiqua"/>
            <w:sz w:val="18"/>
            <w:szCs w:val="18"/>
            <w:lang w:val="en-US"/>
          </w:rPr>
          <w:t>://</w:t>
        </w:r>
        <w:r w:rsidRPr="00DA2715">
          <w:rPr>
            <w:rStyle w:val="Hyperlink"/>
            <w:rFonts w:ascii="Book Antiqua" w:hAnsi="Book Antiqua"/>
            <w:sz w:val="18"/>
            <w:szCs w:val="18"/>
          </w:rPr>
          <w:t>publikacije</w:t>
        </w:r>
        <w:r w:rsidRPr="002642F2">
          <w:rPr>
            <w:rStyle w:val="Hyperlink"/>
            <w:rFonts w:ascii="Book Antiqua" w:hAnsi="Book Antiqua"/>
            <w:sz w:val="18"/>
            <w:szCs w:val="18"/>
            <w:lang w:val="en-US"/>
          </w:rPr>
          <w:t>.</w:t>
        </w:r>
        <w:r w:rsidRPr="00DA2715">
          <w:rPr>
            <w:rStyle w:val="Hyperlink"/>
            <w:rFonts w:ascii="Book Antiqua" w:hAnsi="Book Antiqua"/>
            <w:sz w:val="18"/>
            <w:szCs w:val="18"/>
          </w:rPr>
          <w:t>stat</w:t>
        </w:r>
        <w:r w:rsidRPr="002642F2">
          <w:rPr>
            <w:rStyle w:val="Hyperlink"/>
            <w:rFonts w:ascii="Book Antiqua" w:hAnsi="Book Antiqua"/>
            <w:sz w:val="18"/>
            <w:szCs w:val="18"/>
            <w:lang w:val="en-US"/>
          </w:rPr>
          <w:t>.</w:t>
        </w:r>
        <w:r w:rsidRPr="00DA2715">
          <w:rPr>
            <w:rStyle w:val="Hyperlink"/>
            <w:rFonts w:ascii="Book Antiqua" w:hAnsi="Book Antiqua"/>
            <w:sz w:val="18"/>
            <w:szCs w:val="18"/>
          </w:rPr>
          <w:t>gov</w:t>
        </w:r>
        <w:r w:rsidRPr="002642F2">
          <w:rPr>
            <w:rStyle w:val="Hyperlink"/>
            <w:rFonts w:ascii="Book Antiqua" w:hAnsi="Book Antiqua"/>
            <w:sz w:val="18"/>
            <w:szCs w:val="18"/>
            <w:lang w:val="en-US"/>
          </w:rPr>
          <w:t>.</w:t>
        </w:r>
        <w:r w:rsidRPr="00DA2715">
          <w:rPr>
            <w:rStyle w:val="Hyperlink"/>
            <w:rFonts w:ascii="Book Antiqua" w:hAnsi="Book Antiqua"/>
            <w:sz w:val="18"/>
            <w:szCs w:val="18"/>
          </w:rPr>
          <w:t>rs</w:t>
        </w:r>
        <w:r w:rsidRPr="002642F2">
          <w:rPr>
            <w:rStyle w:val="Hyperlink"/>
            <w:rFonts w:ascii="Book Antiqua" w:hAnsi="Book Antiqua"/>
            <w:sz w:val="18"/>
            <w:szCs w:val="18"/>
            <w:lang w:val="en-US"/>
          </w:rPr>
          <w:t>/</w:t>
        </w:r>
        <w:r w:rsidRPr="00DA2715">
          <w:rPr>
            <w:rStyle w:val="Hyperlink"/>
            <w:rFonts w:ascii="Book Antiqua" w:hAnsi="Book Antiqua"/>
            <w:sz w:val="18"/>
            <w:szCs w:val="18"/>
          </w:rPr>
          <w:t>G</w:t>
        </w:r>
        <w:r w:rsidRPr="002642F2">
          <w:rPr>
            <w:rStyle w:val="Hyperlink"/>
            <w:rFonts w:ascii="Book Antiqua" w:hAnsi="Book Antiqua"/>
            <w:sz w:val="18"/>
            <w:szCs w:val="18"/>
            <w:lang w:val="en-US"/>
          </w:rPr>
          <w:t>2017/</w:t>
        </w:r>
        <w:r w:rsidRPr="00DA2715">
          <w:rPr>
            <w:rStyle w:val="Hyperlink"/>
            <w:rFonts w:ascii="Book Antiqua" w:hAnsi="Book Antiqua"/>
            <w:sz w:val="18"/>
            <w:szCs w:val="18"/>
          </w:rPr>
          <w:t>Pdf</w:t>
        </w:r>
        <w:r w:rsidRPr="002642F2">
          <w:rPr>
            <w:rStyle w:val="Hyperlink"/>
            <w:rFonts w:ascii="Book Antiqua" w:hAnsi="Book Antiqua"/>
            <w:sz w:val="18"/>
            <w:szCs w:val="18"/>
            <w:lang w:val="en-US"/>
          </w:rPr>
          <w:t>/</w:t>
        </w:r>
        <w:r w:rsidRPr="00DA2715">
          <w:rPr>
            <w:rStyle w:val="Hyperlink"/>
            <w:rFonts w:ascii="Book Antiqua" w:hAnsi="Book Antiqua"/>
            <w:sz w:val="18"/>
            <w:szCs w:val="18"/>
          </w:rPr>
          <w:t>G</w:t>
        </w:r>
        <w:r w:rsidRPr="002642F2">
          <w:rPr>
            <w:rStyle w:val="Hyperlink"/>
            <w:rFonts w:ascii="Book Antiqua" w:hAnsi="Book Antiqua"/>
            <w:sz w:val="18"/>
            <w:szCs w:val="18"/>
            <w:lang w:val="en-US"/>
          </w:rPr>
          <w:t>20176008.</w:t>
        </w:r>
        <w:r w:rsidRPr="00DA2715">
          <w:rPr>
            <w:rStyle w:val="Hyperlink"/>
            <w:rFonts w:ascii="Book Antiqua" w:hAnsi="Book Antiqua"/>
            <w:sz w:val="18"/>
            <w:szCs w:val="18"/>
          </w:rPr>
          <w:t>pdf</w:t>
        </w:r>
      </w:hyperlink>
      <w:r w:rsidRPr="00DA2715">
        <w:rPr>
          <w:rStyle w:val="Hyperlink"/>
          <w:rFonts w:ascii="Book Antiqua" w:hAnsi="Book Antiqua"/>
          <w:sz w:val="18"/>
          <w:szCs w:val="18"/>
        </w:rPr>
        <w:t xml:space="preserve">. </w:t>
      </w:r>
    </w:p>
  </w:footnote>
  <w:footnote w:id="2">
    <w:p w:rsidR="0058233A" w:rsidRPr="00E37E20" w:rsidRDefault="0058233A" w:rsidP="00DB506B">
      <w:pPr>
        <w:pStyle w:val="FootnoteText"/>
        <w:rPr>
          <w:rFonts w:ascii="Book Antiqua" w:hAnsi="Book Antiqua"/>
          <w:sz w:val="18"/>
          <w:szCs w:val="18"/>
        </w:rPr>
      </w:pPr>
      <w:r w:rsidRPr="00F9724E">
        <w:rPr>
          <w:rStyle w:val="FootnoteReference"/>
          <w:rFonts w:ascii="Book Antiqua" w:hAnsi="Book Antiqua"/>
          <w:sz w:val="18"/>
          <w:szCs w:val="18"/>
        </w:rPr>
        <w:footnoteRef/>
      </w:r>
      <w:r>
        <w:rPr>
          <w:rFonts w:ascii="Book Antiqua" w:hAnsi="Book Antiqua"/>
          <w:sz w:val="18"/>
          <w:szCs w:val="18"/>
        </w:rPr>
        <w:t>Available at</w:t>
      </w:r>
      <w:r w:rsidRPr="00F9724E">
        <w:rPr>
          <w:rFonts w:ascii="Book Antiqua" w:hAnsi="Book Antiqua"/>
          <w:sz w:val="18"/>
          <w:szCs w:val="18"/>
        </w:rPr>
        <w:t>:</w:t>
      </w:r>
      <w:hyperlink r:id="rId2" w:history="1">
        <w:r w:rsidRPr="00F9724E">
          <w:rPr>
            <w:rStyle w:val="Hyperlink"/>
            <w:rFonts w:ascii="Book Antiqua" w:hAnsi="Book Antiqua"/>
            <w:sz w:val="18"/>
            <w:szCs w:val="18"/>
          </w:rPr>
          <w:t>http://publikacije.stat.gov.rs/G2019/Pdf/G20191204.pdf</w:t>
        </w:r>
      </w:hyperlink>
      <w:r>
        <w:rPr>
          <w:rStyle w:val="Hyperlink"/>
          <w:rFonts w:ascii="Book Antiqua" w:hAnsi="Book Antiqua"/>
          <w:sz w:val="18"/>
          <w:szCs w:val="18"/>
        </w:rPr>
        <w:t>.</w:t>
      </w:r>
    </w:p>
  </w:footnote>
  <w:footnote w:id="3">
    <w:p w:rsidR="0058233A" w:rsidRPr="00E37E20" w:rsidRDefault="0058233A" w:rsidP="00DB506B">
      <w:pPr>
        <w:pStyle w:val="FootnoteText"/>
        <w:rPr>
          <w:rFonts w:ascii="Book Antiqua" w:hAnsi="Book Antiqua"/>
          <w:sz w:val="18"/>
          <w:szCs w:val="18"/>
        </w:rPr>
      </w:pPr>
      <w:r w:rsidRPr="00F9724E">
        <w:rPr>
          <w:rStyle w:val="FootnoteReference"/>
          <w:rFonts w:ascii="Book Antiqua" w:hAnsi="Book Antiqua"/>
          <w:sz w:val="18"/>
          <w:szCs w:val="18"/>
        </w:rPr>
        <w:footnoteRef/>
      </w:r>
      <w:r w:rsidRPr="00907986">
        <w:rPr>
          <w:rFonts w:ascii="Book Antiqua" w:hAnsi="Book Antiqua"/>
          <w:sz w:val="18"/>
          <w:szCs w:val="18"/>
        </w:rPr>
        <w:t>Available at</w:t>
      </w:r>
      <w:r w:rsidRPr="00F9724E">
        <w:rPr>
          <w:rFonts w:ascii="Book Antiqua" w:hAnsi="Book Antiqua"/>
          <w:sz w:val="18"/>
          <w:szCs w:val="18"/>
        </w:rPr>
        <w:t>:</w:t>
      </w:r>
      <w:hyperlink r:id="rId3" w:history="1">
        <w:r w:rsidRPr="00F9724E">
          <w:rPr>
            <w:rStyle w:val="Hyperlink"/>
            <w:rFonts w:ascii="Book Antiqua" w:hAnsi="Book Antiqua"/>
            <w:sz w:val="18"/>
            <w:szCs w:val="18"/>
          </w:rPr>
          <w:t>http://www.nsz.gov.rs/live/digitalAssets/13/13260_bilten_nsz_07_2019_-_broj_203.pdf</w:t>
        </w:r>
      </w:hyperlink>
      <w:r>
        <w:rPr>
          <w:rStyle w:val="Hyperlink"/>
          <w:rFonts w:ascii="Book Antiqua" w:hAnsi="Book Antiqua"/>
          <w:sz w:val="18"/>
          <w:szCs w:val="18"/>
        </w:rPr>
        <w:t>.</w:t>
      </w:r>
    </w:p>
  </w:footnote>
  <w:footnote w:id="4">
    <w:p w:rsidR="0058233A" w:rsidRPr="002642F2" w:rsidRDefault="0058233A">
      <w:pPr>
        <w:pStyle w:val="FootnoteText"/>
        <w:rPr>
          <w:rFonts w:ascii="Book Antiqua" w:hAnsi="Book Antiqua"/>
          <w:sz w:val="18"/>
          <w:szCs w:val="18"/>
          <w:lang w:val="en-US"/>
        </w:rPr>
      </w:pPr>
      <w:r w:rsidRPr="00FF658E">
        <w:rPr>
          <w:rStyle w:val="FootnoteReference"/>
          <w:rFonts w:ascii="Book Antiqua" w:hAnsi="Book Antiqua"/>
          <w:sz w:val="18"/>
          <w:szCs w:val="18"/>
        </w:rPr>
        <w:footnoteRef/>
      </w:r>
      <w:r w:rsidRPr="00682A29">
        <w:rPr>
          <w:rFonts w:ascii="Book Antiqua" w:eastAsiaTheme="minorHAnsi" w:hAnsi="Book Antiqua" w:cstheme="minorBidi"/>
          <w:sz w:val="18"/>
          <w:szCs w:val="18"/>
          <w:lang w:val="sr-Cyrl-CS"/>
        </w:rPr>
        <w:t xml:space="preserve">"Official Gazette </w:t>
      </w:r>
      <w:r>
        <w:rPr>
          <w:rFonts w:ascii="Book Antiqua" w:eastAsiaTheme="minorHAnsi" w:hAnsi="Book Antiqua" w:cstheme="minorBidi"/>
          <w:sz w:val="18"/>
          <w:szCs w:val="18"/>
        </w:rPr>
        <w:t xml:space="preserve">of the </w:t>
      </w:r>
      <w:r w:rsidRPr="00682A29">
        <w:rPr>
          <w:rFonts w:ascii="Book Antiqua" w:eastAsiaTheme="minorHAnsi" w:hAnsi="Book Antiqua" w:cstheme="minorBidi"/>
          <w:sz w:val="18"/>
          <w:szCs w:val="18"/>
          <w:lang w:val="sr-Cyrl-CS"/>
        </w:rPr>
        <w:t>RS"</w:t>
      </w:r>
      <w:r w:rsidRPr="00FF658E">
        <w:rPr>
          <w:rFonts w:ascii="Book Antiqua" w:eastAsiaTheme="minorHAnsi" w:hAnsi="Book Antiqua" w:cstheme="minorBidi"/>
          <w:sz w:val="18"/>
          <w:szCs w:val="18"/>
          <w:lang w:val="sr-Cyrl-CS"/>
        </w:rPr>
        <w:t xml:space="preserve">, </w:t>
      </w:r>
      <w:r>
        <w:rPr>
          <w:rFonts w:ascii="Book Antiqua" w:eastAsiaTheme="minorHAnsi" w:hAnsi="Book Antiqua" w:cstheme="minorBidi"/>
          <w:sz w:val="18"/>
          <w:szCs w:val="18"/>
        </w:rPr>
        <w:t>no</w:t>
      </w:r>
      <w:r w:rsidRPr="00FF658E">
        <w:rPr>
          <w:rFonts w:ascii="Book Antiqua" w:eastAsiaTheme="minorHAnsi" w:hAnsi="Book Antiqua" w:cstheme="minorBidi"/>
          <w:sz w:val="18"/>
          <w:szCs w:val="18"/>
          <w:lang w:val="sr-Cyrl-CS"/>
        </w:rPr>
        <w:t>. 36/10.</w:t>
      </w:r>
    </w:p>
  </w:footnote>
  <w:footnote w:id="5">
    <w:p w:rsidR="0058233A" w:rsidRPr="002642F2" w:rsidRDefault="0058233A">
      <w:pPr>
        <w:pStyle w:val="FootnoteText"/>
        <w:rPr>
          <w:rFonts w:ascii="Book Antiqua" w:hAnsi="Book Antiqua"/>
          <w:sz w:val="18"/>
          <w:szCs w:val="18"/>
          <w:lang w:val="en-US"/>
        </w:rPr>
      </w:pPr>
      <w:r w:rsidRPr="00FF658E">
        <w:rPr>
          <w:rStyle w:val="FootnoteReference"/>
          <w:rFonts w:ascii="Book Antiqua" w:hAnsi="Book Antiqua"/>
          <w:sz w:val="18"/>
          <w:szCs w:val="18"/>
        </w:rPr>
        <w:footnoteRef/>
      </w:r>
      <w:r w:rsidRPr="00702BAE">
        <w:rPr>
          <w:rFonts w:ascii="Book Antiqua" w:eastAsiaTheme="minorHAnsi" w:hAnsi="Book Antiqua" w:cstheme="minorBidi"/>
          <w:sz w:val="18"/>
          <w:szCs w:val="18"/>
          <w:lang w:val="sr-Cyrl-CS"/>
        </w:rPr>
        <w:t>"Official Gazette of the RS"</w:t>
      </w:r>
      <w:r w:rsidRPr="00FF658E">
        <w:rPr>
          <w:rFonts w:ascii="Book Antiqua" w:eastAsiaTheme="minorHAnsi" w:hAnsi="Book Antiqua" w:cstheme="minorBidi"/>
          <w:iCs/>
          <w:sz w:val="18"/>
          <w:szCs w:val="18"/>
          <w:lang w:val="sr-Cyrl-CS"/>
        </w:rPr>
        <w:t xml:space="preserve">, </w:t>
      </w:r>
      <w:r>
        <w:rPr>
          <w:rFonts w:ascii="Book Antiqua" w:eastAsiaTheme="minorHAnsi" w:hAnsi="Book Antiqua" w:cstheme="minorBidi"/>
          <w:iCs/>
          <w:sz w:val="18"/>
          <w:szCs w:val="18"/>
        </w:rPr>
        <w:t>no</w:t>
      </w:r>
      <w:r w:rsidRPr="00FF658E">
        <w:rPr>
          <w:rFonts w:ascii="Book Antiqua" w:eastAsiaTheme="minorHAnsi" w:hAnsi="Book Antiqua" w:cstheme="minorBidi"/>
          <w:iCs/>
          <w:sz w:val="18"/>
          <w:szCs w:val="18"/>
          <w:lang w:val="sr-Cyrl-CS"/>
        </w:rPr>
        <w:t>. 62/10</w:t>
      </w:r>
      <w:r>
        <w:rPr>
          <w:rFonts w:ascii="Book Antiqua" w:eastAsiaTheme="minorHAnsi" w:hAnsi="Book Antiqua" w:cstheme="minorBidi"/>
          <w:iCs/>
          <w:sz w:val="18"/>
          <w:szCs w:val="18"/>
          <w:lang w:val="sr-Cyrl-CS"/>
        </w:rPr>
        <w:t>.</w:t>
      </w:r>
    </w:p>
  </w:footnote>
  <w:footnote w:id="6">
    <w:p w:rsidR="0058233A" w:rsidRPr="002642F2" w:rsidRDefault="0058233A">
      <w:pPr>
        <w:pStyle w:val="FootnoteText"/>
        <w:rPr>
          <w:rFonts w:ascii="Book Antiqua" w:hAnsi="Book Antiqua"/>
          <w:sz w:val="18"/>
          <w:szCs w:val="18"/>
          <w:lang w:val="en-US"/>
        </w:rPr>
      </w:pPr>
      <w:r w:rsidRPr="00FF658E">
        <w:rPr>
          <w:rStyle w:val="FootnoteReference"/>
          <w:rFonts w:ascii="Book Antiqua" w:hAnsi="Book Antiqua"/>
          <w:sz w:val="18"/>
          <w:szCs w:val="18"/>
        </w:rPr>
        <w:footnoteRef/>
      </w:r>
      <w:r w:rsidRPr="00702BAE">
        <w:rPr>
          <w:rFonts w:ascii="Book Antiqua" w:eastAsiaTheme="minorHAnsi" w:hAnsi="Book Antiqua" w:cstheme="minorBidi"/>
          <w:sz w:val="18"/>
          <w:szCs w:val="18"/>
          <w:lang w:val="sr-Cyrl-CS"/>
        </w:rPr>
        <w:t>"Official Gazette of the RS"</w:t>
      </w:r>
      <w:r w:rsidRPr="00FF658E">
        <w:rPr>
          <w:rFonts w:ascii="Book Antiqua" w:eastAsiaTheme="minorHAnsi" w:hAnsi="Book Antiqua" w:cstheme="minorBidi"/>
          <w:bCs/>
          <w:sz w:val="18"/>
          <w:szCs w:val="18"/>
          <w:lang w:val="sr-Cyrl-CS"/>
        </w:rPr>
        <w:t xml:space="preserve">, </w:t>
      </w:r>
      <w:r>
        <w:rPr>
          <w:rFonts w:ascii="Book Antiqua" w:eastAsiaTheme="minorHAnsi" w:hAnsi="Book Antiqua" w:cstheme="minorBidi"/>
          <w:bCs/>
          <w:sz w:val="18"/>
          <w:szCs w:val="18"/>
        </w:rPr>
        <w:t>no</w:t>
      </w:r>
      <w:r w:rsidRPr="00FF658E">
        <w:rPr>
          <w:rFonts w:ascii="Book Antiqua" w:eastAsiaTheme="minorHAnsi" w:hAnsi="Book Antiqua" w:cstheme="minorBidi"/>
          <w:bCs/>
          <w:sz w:val="18"/>
          <w:szCs w:val="18"/>
          <w:lang w:val="sr-Cyrl-CS"/>
        </w:rPr>
        <w:t xml:space="preserve">. 24/05, 61/05, 54/09, 32/13, 75/14, 13/17 </w:t>
      </w:r>
      <w:r>
        <w:rPr>
          <w:rFonts w:ascii="Book Antiqua" w:eastAsiaTheme="minorHAnsi" w:hAnsi="Book Antiqua" w:cstheme="minorBidi"/>
          <w:bCs/>
          <w:sz w:val="18"/>
          <w:szCs w:val="18"/>
          <w:lang w:val="sr-Cyrl-CS"/>
        </w:rPr>
        <w:t>–</w:t>
      </w:r>
      <w:r w:rsidRPr="00FF658E">
        <w:rPr>
          <w:rFonts w:ascii="Book Antiqua" w:eastAsiaTheme="minorHAnsi" w:hAnsi="Book Antiqua" w:cstheme="minorBidi"/>
          <w:bCs/>
          <w:sz w:val="18"/>
          <w:szCs w:val="18"/>
          <w:lang w:val="sr-Cyrl-CS"/>
        </w:rPr>
        <w:t xml:space="preserve"> </w:t>
      </w:r>
      <w:r w:rsidRPr="00702BAE">
        <w:rPr>
          <w:rFonts w:ascii="Book Antiqua" w:eastAsiaTheme="minorHAnsi" w:hAnsi="Book Antiqua" w:cstheme="minorBidi"/>
          <w:bCs/>
          <w:sz w:val="18"/>
          <w:szCs w:val="18"/>
        </w:rPr>
        <w:t xml:space="preserve">Constitutional Court </w:t>
      </w:r>
      <w:r>
        <w:rPr>
          <w:rFonts w:ascii="Book Antiqua" w:eastAsiaTheme="minorHAnsi" w:hAnsi="Book Antiqua" w:cstheme="minorBidi"/>
          <w:bCs/>
          <w:sz w:val="18"/>
          <w:szCs w:val="18"/>
        </w:rPr>
        <w:t>decision</w:t>
      </w:r>
      <w:r w:rsidRPr="00FF658E">
        <w:rPr>
          <w:rFonts w:ascii="Book Antiqua" w:eastAsiaTheme="minorHAnsi" w:hAnsi="Book Antiqua" w:cstheme="minorBidi"/>
          <w:bCs/>
          <w:sz w:val="18"/>
          <w:szCs w:val="18"/>
          <w:lang w:val="sr-Cyrl-CS"/>
        </w:rPr>
        <w:t xml:space="preserve">, 113/17 </w:t>
      </w:r>
      <w:r>
        <w:rPr>
          <w:rFonts w:ascii="Book Antiqua" w:eastAsiaTheme="minorHAnsi" w:hAnsi="Book Antiqua" w:cstheme="minorBidi"/>
          <w:bCs/>
          <w:sz w:val="18"/>
          <w:szCs w:val="18"/>
        </w:rPr>
        <w:t>and</w:t>
      </w:r>
      <w:r w:rsidRPr="00FF658E">
        <w:rPr>
          <w:rFonts w:ascii="Book Antiqua" w:eastAsiaTheme="minorHAnsi" w:hAnsi="Book Antiqua" w:cstheme="minorBidi"/>
          <w:bCs/>
          <w:sz w:val="18"/>
          <w:szCs w:val="18"/>
          <w:lang w:val="sr-Cyrl-CS"/>
        </w:rPr>
        <w:t xml:space="preserve"> 95/18 - </w:t>
      </w:r>
      <w:r w:rsidRPr="00702BAE">
        <w:rPr>
          <w:rFonts w:ascii="Book Antiqua" w:eastAsiaTheme="minorHAnsi" w:hAnsi="Book Antiqua" w:cstheme="minorBidi"/>
          <w:bCs/>
          <w:sz w:val="18"/>
          <w:szCs w:val="18"/>
          <w:lang w:val="sr-Cyrl-CS"/>
        </w:rPr>
        <w:t>authentic interpretation</w:t>
      </w:r>
      <w:r w:rsidRPr="000648A0">
        <w:rPr>
          <w:rFonts w:ascii="Book Antiqua" w:eastAsiaTheme="minorHAnsi" w:hAnsi="Book Antiqua" w:cstheme="minorBidi"/>
          <w:bCs/>
          <w:sz w:val="18"/>
          <w:szCs w:val="18"/>
          <w:lang w:val="sr-Cyrl-CS"/>
        </w:rPr>
        <w:t>.</w:t>
      </w:r>
    </w:p>
  </w:footnote>
  <w:footnote w:id="7">
    <w:p w:rsidR="0058233A" w:rsidRPr="002642F2" w:rsidRDefault="0058233A">
      <w:pPr>
        <w:pStyle w:val="FootnoteText"/>
        <w:rPr>
          <w:lang w:val="en-US"/>
        </w:rPr>
      </w:pPr>
      <w:r>
        <w:rPr>
          <w:rStyle w:val="FootnoteReference"/>
        </w:rPr>
        <w:footnoteRef/>
      </w:r>
      <w:r w:rsidRPr="00702BAE">
        <w:rPr>
          <w:rFonts w:ascii="Book Antiqua" w:eastAsiaTheme="minorHAnsi" w:hAnsi="Book Antiqua" w:cstheme="minorBidi"/>
          <w:sz w:val="18"/>
          <w:szCs w:val="18"/>
          <w:lang w:val="sr-Cyrl-CS"/>
        </w:rPr>
        <w:t>"Official Gazette of the RS"</w:t>
      </w:r>
      <w:r w:rsidRPr="00FF658E">
        <w:rPr>
          <w:rFonts w:ascii="Book Antiqua" w:eastAsiaTheme="minorHAnsi" w:hAnsi="Book Antiqua" w:cstheme="minorBidi"/>
          <w:bCs/>
          <w:sz w:val="18"/>
          <w:szCs w:val="18"/>
          <w:lang w:val="sr-Cyrl-CS"/>
        </w:rPr>
        <w:t xml:space="preserve">, </w:t>
      </w:r>
      <w:r>
        <w:rPr>
          <w:rFonts w:ascii="Book Antiqua" w:eastAsiaTheme="minorHAnsi" w:hAnsi="Book Antiqua" w:cstheme="minorBidi"/>
          <w:bCs/>
          <w:sz w:val="18"/>
          <w:szCs w:val="18"/>
        </w:rPr>
        <w:t>no</w:t>
      </w:r>
      <w:r w:rsidRPr="00FF658E">
        <w:rPr>
          <w:rFonts w:ascii="Book Antiqua" w:eastAsiaTheme="minorHAnsi" w:hAnsi="Book Antiqua" w:cstheme="minorBidi"/>
          <w:bCs/>
          <w:sz w:val="18"/>
          <w:szCs w:val="18"/>
          <w:lang w:val="sr-Cyrl-CS"/>
        </w:rPr>
        <w:t xml:space="preserve">. 85/05, 88/05 - </w:t>
      </w:r>
      <w:r>
        <w:rPr>
          <w:rFonts w:ascii="Book Antiqua" w:eastAsiaTheme="minorHAnsi" w:hAnsi="Book Antiqua" w:cstheme="minorBidi"/>
          <w:bCs/>
          <w:sz w:val="18"/>
          <w:szCs w:val="18"/>
        </w:rPr>
        <w:t>rev</w:t>
      </w:r>
      <w:r w:rsidRPr="00FF658E">
        <w:rPr>
          <w:rFonts w:ascii="Book Antiqua" w:eastAsiaTheme="minorHAnsi" w:hAnsi="Book Antiqua" w:cstheme="minorBidi"/>
          <w:bCs/>
          <w:sz w:val="18"/>
          <w:szCs w:val="18"/>
          <w:lang w:val="sr-Cyrl-CS"/>
        </w:rPr>
        <w:t xml:space="preserve">., 107/05 - </w:t>
      </w:r>
      <w:r>
        <w:rPr>
          <w:rFonts w:ascii="Book Antiqua" w:eastAsiaTheme="minorHAnsi" w:hAnsi="Book Antiqua" w:cstheme="minorBidi"/>
          <w:bCs/>
          <w:sz w:val="18"/>
          <w:szCs w:val="18"/>
        </w:rPr>
        <w:t>rev</w:t>
      </w:r>
      <w:r w:rsidRPr="00FF658E">
        <w:rPr>
          <w:rFonts w:ascii="Book Antiqua" w:eastAsiaTheme="minorHAnsi" w:hAnsi="Book Antiqua" w:cstheme="minorBidi"/>
          <w:bCs/>
          <w:sz w:val="18"/>
          <w:szCs w:val="18"/>
          <w:lang w:val="sr-Cyrl-CS"/>
        </w:rPr>
        <w:t xml:space="preserve">., 72/09, 111/09, 121/12, 104/13, 108/14, 94/16 </w:t>
      </w:r>
      <w:r>
        <w:rPr>
          <w:rFonts w:ascii="Book Antiqua" w:eastAsiaTheme="minorHAnsi" w:hAnsi="Book Antiqua" w:cstheme="minorBidi"/>
          <w:bCs/>
          <w:sz w:val="18"/>
          <w:szCs w:val="18"/>
        </w:rPr>
        <w:t>and</w:t>
      </w:r>
      <w:r w:rsidRPr="00FF658E">
        <w:rPr>
          <w:rFonts w:ascii="Book Antiqua" w:eastAsiaTheme="minorHAnsi" w:hAnsi="Book Antiqua" w:cstheme="minorBidi"/>
          <w:bCs/>
          <w:sz w:val="18"/>
          <w:szCs w:val="18"/>
          <w:lang w:val="sr-Cyrl-CS"/>
        </w:rPr>
        <w:t xml:space="preserve"> 35/19</w:t>
      </w:r>
      <w:r>
        <w:rPr>
          <w:rFonts w:ascii="Book Antiqua" w:eastAsiaTheme="minorHAnsi" w:hAnsi="Book Antiqua" w:cstheme="minorBidi"/>
          <w:bCs/>
          <w:sz w:val="18"/>
          <w:szCs w:val="18"/>
          <w:lang w:val="sr-Cyrl-CS"/>
        </w:rPr>
        <w:t xml:space="preserve">. </w:t>
      </w:r>
    </w:p>
  </w:footnote>
  <w:footnote w:id="8">
    <w:p w:rsidR="0058233A" w:rsidRPr="00FF658E" w:rsidRDefault="0058233A" w:rsidP="00DB506B">
      <w:pPr>
        <w:pStyle w:val="FootnoteText"/>
        <w:rPr>
          <w:rFonts w:ascii="Book Antiqua" w:hAnsi="Book Antiqua"/>
          <w:sz w:val="18"/>
          <w:szCs w:val="18"/>
        </w:rPr>
      </w:pPr>
      <w:r w:rsidRPr="000648A0">
        <w:rPr>
          <w:rStyle w:val="FootnoteReference"/>
          <w:rFonts w:ascii="Book Antiqua" w:hAnsi="Book Antiqua"/>
          <w:sz w:val="18"/>
          <w:szCs w:val="18"/>
        </w:rPr>
        <w:footnoteRef/>
      </w:r>
      <w:r>
        <w:rPr>
          <w:rFonts w:ascii="Book Antiqua" w:hAnsi="Book Antiqua"/>
          <w:sz w:val="18"/>
          <w:szCs w:val="18"/>
        </w:rPr>
        <w:t>Program available at</w:t>
      </w:r>
      <w:r w:rsidRPr="002642F2">
        <w:rPr>
          <w:rFonts w:ascii="Book Antiqua" w:hAnsi="Book Antiqua"/>
          <w:sz w:val="18"/>
          <w:szCs w:val="18"/>
          <w:lang w:val="en-US"/>
        </w:rPr>
        <w:t xml:space="preserve">: </w:t>
      </w:r>
      <w:hyperlink r:id="rId4" w:history="1">
        <w:r w:rsidRPr="00FF658E">
          <w:rPr>
            <w:rStyle w:val="Hyperlink"/>
          </w:rPr>
          <w:t>http</w:t>
        </w:r>
        <w:r w:rsidRPr="002642F2">
          <w:rPr>
            <w:rStyle w:val="Hyperlink"/>
            <w:lang w:val="en-US"/>
          </w:rPr>
          <w:t>://</w:t>
        </w:r>
        <w:r w:rsidRPr="00FF658E">
          <w:rPr>
            <w:rStyle w:val="Hyperlink"/>
          </w:rPr>
          <w:t>www</w:t>
        </w:r>
        <w:r w:rsidRPr="002642F2">
          <w:rPr>
            <w:rStyle w:val="Hyperlink"/>
            <w:lang w:val="en-US"/>
          </w:rPr>
          <w:t>.</w:t>
        </w:r>
        <w:r w:rsidRPr="00FF658E">
          <w:rPr>
            <w:rStyle w:val="Hyperlink"/>
          </w:rPr>
          <w:t>minrzs</w:t>
        </w:r>
        <w:r w:rsidRPr="002642F2">
          <w:rPr>
            <w:rStyle w:val="Hyperlink"/>
            <w:lang w:val="en-US"/>
          </w:rPr>
          <w:t>.</w:t>
        </w:r>
        <w:r w:rsidRPr="00FF658E">
          <w:rPr>
            <w:rStyle w:val="Hyperlink"/>
          </w:rPr>
          <w:t>gov</w:t>
        </w:r>
        <w:r w:rsidRPr="002642F2">
          <w:rPr>
            <w:rStyle w:val="Hyperlink"/>
            <w:lang w:val="en-US"/>
          </w:rPr>
          <w:t>.</w:t>
        </w:r>
        <w:r w:rsidRPr="00FF658E">
          <w:rPr>
            <w:rStyle w:val="Hyperlink"/>
          </w:rPr>
          <w:t>rs</w:t>
        </w:r>
        <w:r w:rsidRPr="002642F2">
          <w:rPr>
            <w:rStyle w:val="Hyperlink"/>
            <w:lang w:val="en-US"/>
          </w:rPr>
          <w:t>/</w:t>
        </w:r>
        <w:r w:rsidRPr="00FF658E">
          <w:rPr>
            <w:rStyle w:val="Hyperlink"/>
          </w:rPr>
          <w:t>cir</w:t>
        </w:r>
        <w:r w:rsidRPr="002642F2">
          <w:rPr>
            <w:rStyle w:val="Hyperlink"/>
            <w:lang w:val="en-US"/>
          </w:rPr>
          <w:t>/</w:t>
        </w:r>
        <w:r w:rsidRPr="00FF658E">
          <w:rPr>
            <w:rStyle w:val="Hyperlink"/>
          </w:rPr>
          <w:t>aktuelno</w:t>
        </w:r>
        <w:r w:rsidRPr="002642F2">
          <w:rPr>
            <w:rStyle w:val="Hyperlink"/>
            <w:lang w:val="en-US"/>
          </w:rPr>
          <w:t>/</w:t>
        </w:r>
        <w:r w:rsidRPr="00FF658E">
          <w:rPr>
            <w:rStyle w:val="Hyperlink"/>
          </w:rPr>
          <w:t>item</w:t>
        </w:r>
        <w:r w:rsidRPr="002642F2">
          <w:rPr>
            <w:rStyle w:val="Hyperlink"/>
            <w:lang w:val="en-US"/>
          </w:rPr>
          <w:t>/5781-</w:t>
        </w:r>
        <w:r w:rsidRPr="00FF658E">
          <w:rPr>
            <w:rStyle w:val="Hyperlink"/>
          </w:rPr>
          <w:t>program</w:t>
        </w:r>
        <w:r w:rsidRPr="002642F2">
          <w:rPr>
            <w:rStyle w:val="Hyperlink"/>
            <w:lang w:val="en-US"/>
          </w:rPr>
          <w:t>-</w:t>
        </w:r>
        <w:r w:rsidRPr="00FF658E">
          <w:rPr>
            <w:rStyle w:val="Hyperlink"/>
          </w:rPr>
          <w:t>reformi</w:t>
        </w:r>
        <w:r w:rsidRPr="002642F2">
          <w:rPr>
            <w:rStyle w:val="Hyperlink"/>
            <w:lang w:val="en-US"/>
          </w:rPr>
          <w:t>-</w:t>
        </w:r>
        <w:r w:rsidRPr="00FF658E">
          <w:rPr>
            <w:rStyle w:val="Hyperlink"/>
          </w:rPr>
          <w:t>politike</w:t>
        </w:r>
        <w:r w:rsidRPr="002642F2">
          <w:rPr>
            <w:rStyle w:val="Hyperlink"/>
            <w:lang w:val="en-US"/>
          </w:rPr>
          <w:t>-</w:t>
        </w:r>
        <w:r w:rsidRPr="00FF658E">
          <w:rPr>
            <w:rStyle w:val="Hyperlink"/>
          </w:rPr>
          <w:t>zaposljavanja</w:t>
        </w:r>
        <w:r w:rsidRPr="002642F2">
          <w:rPr>
            <w:rStyle w:val="Hyperlink"/>
            <w:lang w:val="en-US"/>
          </w:rPr>
          <w:t>-</w:t>
        </w:r>
        <w:r w:rsidRPr="00FF658E">
          <w:rPr>
            <w:rStyle w:val="Hyperlink"/>
          </w:rPr>
          <w:t>i</w:t>
        </w:r>
        <w:r w:rsidRPr="002642F2">
          <w:rPr>
            <w:rStyle w:val="Hyperlink"/>
            <w:lang w:val="en-US"/>
          </w:rPr>
          <w:t>-</w:t>
        </w:r>
        <w:r w:rsidRPr="00FF658E">
          <w:rPr>
            <w:rStyle w:val="Hyperlink"/>
          </w:rPr>
          <w:t>socijalne</w:t>
        </w:r>
        <w:r w:rsidRPr="002642F2">
          <w:rPr>
            <w:rStyle w:val="Hyperlink"/>
            <w:lang w:val="en-US"/>
          </w:rPr>
          <w:t>-</w:t>
        </w:r>
        <w:r w:rsidRPr="00FF658E">
          <w:rPr>
            <w:rStyle w:val="Hyperlink"/>
          </w:rPr>
          <w:t>politike</w:t>
        </w:r>
        <w:r w:rsidRPr="002642F2">
          <w:rPr>
            <w:rStyle w:val="Hyperlink"/>
            <w:lang w:val="en-US"/>
          </w:rPr>
          <w:t>-</w:t>
        </w:r>
        <w:r w:rsidRPr="00FF658E">
          <w:rPr>
            <w:rStyle w:val="Hyperlink"/>
          </w:rPr>
          <w:t>u</w:t>
        </w:r>
        <w:r w:rsidRPr="002642F2">
          <w:rPr>
            <w:rStyle w:val="Hyperlink"/>
            <w:lang w:val="en-US"/>
          </w:rPr>
          <w:t>-</w:t>
        </w:r>
        <w:r w:rsidRPr="00FF658E">
          <w:rPr>
            <w:rStyle w:val="Hyperlink"/>
          </w:rPr>
          <w:t>procesu</w:t>
        </w:r>
        <w:r w:rsidRPr="002642F2">
          <w:rPr>
            <w:rStyle w:val="Hyperlink"/>
            <w:lang w:val="en-US"/>
          </w:rPr>
          <w:t>-</w:t>
        </w:r>
        <w:r w:rsidRPr="00FF658E">
          <w:rPr>
            <w:rStyle w:val="Hyperlink"/>
          </w:rPr>
          <w:t>pristupanja</w:t>
        </w:r>
        <w:r w:rsidRPr="002642F2">
          <w:rPr>
            <w:rStyle w:val="Hyperlink"/>
            <w:lang w:val="en-US"/>
          </w:rPr>
          <w:t>-</w:t>
        </w:r>
        <w:r w:rsidRPr="00FF658E">
          <w:rPr>
            <w:rStyle w:val="Hyperlink"/>
          </w:rPr>
          <w:t>evropskoj</w:t>
        </w:r>
        <w:r w:rsidRPr="002642F2">
          <w:rPr>
            <w:rStyle w:val="Hyperlink"/>
            <w:lang w:val="en-US"/>
          </w:rPr>
          <w:t>-</w:t>
        </w:r>
        <w:r w:rsidRPr="00FF658E">
          <w:rPr>
            <w:rStyle w:val="Hyperlink"/>
          </w:rPr>
          <w:t>uniji</w:t>
        </w:r>
        <w:r w:rsidRPr="002642F2">
          <w:rPr>
            <w:rStyle w:val="Hyperlink"/>
            <w:lang w:val="en-US"/>
          </w:rPr>
          <w:t>-</w:t>
        </w:r>
        <w:r w:rsidRPr="00FF658E">
          <w:rPr>
            <w:rStyle w:val="Hyperlink"/>
          </w:rPr>
          <w:t>employment</w:t>
        </w:r>
        <w:r w:rsidRPr="002642F2">
          <w:rPr>
            <w:rStyle w:val="Hyperlink"/>
            <w:lang w:val="en-US"/>
          </w:rPr>
          <w:t>-</w:t>
        </w:r>
        <w:r w:rsidRPr="00FF658E">
          <w:rPr>
            <w:rStyle w:val="Hyperlink"/>
          </w:rPr>
          <w:t>and</w:t>
        </w:r>
        <w:r w:rsidRPr="002642F2">
          <w:rPr>
            <w:rStyle w:val="Hyperlink"/>
            <w:lang w:val="en-US"/>
          </w:rPr>
          <w:t>-</w:t>
        </w:r>
        <w:r w:rsidRPr="00FF658E">
          <w:rPr>
            <w:rStyle w:val="Hyperlink"/>
          </w:rPr>
          <w:t>social</w:t>
        </w:r>
        <w:r w:rsidRPr="002642F2">
          <w:rPr>
            <w:rStyle w:val="Hyperlink"/>
            <w:lang w:val="en-US"/>
          </w:rPr>
          <w:t>-</w:t>
        </w:r>
        <w:r w:rsidRPr="00FF658E">
          <w:rPr>
            <w:rStyle w:val="Hyperlink"/>
          </w:rPr>
          <w:t>reform</w:t>
        </w:r>
        <w:r w:rsidRPr="002642F2">
          <w:rPr>
            <w:rStyle w:val="Hyperlink"/>
            <w:lang w:val="en-US"/>
          </w:rPr>
          <w:t>-</w:t>
        </w:r>
        <w:r w:rsidRPr="00FF658E">
          <w:rPr>
            <w:rStyle w:val="Hyperlink"/>
          </w:rPr>
          <w:t>programme</w:t>
        </w:r>
      </w:hyperlink>
      <w:r>
        <w:rPr>
          <w:rFonts w:ascii="Book Antiqua" w:hAnsi="Book Antiqua"/>
          <w:sz w:val="18"/>
          <w:szCs w:val="18"/>
        </w:rPr>
        <w:t xml:space="preserve">. </w:t>
      </w:r>
    </w:p>
  </w:footnote>
  <w:footnote w:id="9">
    <w:p w:rsidR="0058233A" w:rsidRPr="00F9724E" w:rsidRDefault="0058233A" w:rsidP="00DB506B">
      <w:pPr>
        <w:pStyle w:val="FootnoteText"/>
        <w:rPr>
          <w:rFonts w:ascii="Book Antiqua" w:hAnsi="Book Antiqua"/>
          <w:sz w:val="18"/>
          <w:szCs w:val="18"/>
        </w:rPr>
      </w:pPr>
      <w:r w:rsidRPr="00F9724E">
        <w:rPr>
          <w:rStyle w:val="FootnoteReference"/>
          <w:rFonts w:ascii="Book Antiqua" w:hAnsi="Book Antiqua"/>
          <w:sz w:val="18"/>
          <w:szCs w:val="18"/>
        </w:rPr>
        <w:footnoteRef/>
      </w:r>
      <w:r>
        <w:rPr>
          <w:rFonts w:ascii="Book Antiqua" w:hAnsi="Book Antiqua"/>
          <w:sz w:val="18"/>
          <w:szCs w:val="18"/>
        </w:rPr>
        <w:t>Available at</w:t>
      </w:r>
      <w:r w:rsidRPr="00F9724E">
        <w:rPr>
          <w:rFonts w:ascii="Book Antiqua" w:hAnsi="Book Antiqua"/>
          <w:sz w:val="18"/>
          <w:szCs w:val="18"/>
        </w:rPr>
        <w:t>:</w:t>
      </w:r>
      <w:r>
        <w:rPr>
          <w:rFonts w:ascii="Book Antiqua" w:hAnsi="Book Antiqua"/>
          <w:sz w:val="18"/>
          <w:szCs w:val="18"/>
        </w:rPr>
        <w:t xml:space="preserve"> </w:t>
      </w:r>
      <w:hyperlink r:id="rId5" w:history="1">
        <w:r w:rsidRPr="00F9724E">
          <w:rPr>
            <w:rStyle w:val="Hyperlink"/>
            <w:rFonts w:ascii="Book Antiqua" w:hAnsi="Book Antiqua"/>
            <w:sz w:val="18"/>
            <w:szCs w:val="18"/>
          </w:rPr>
          <w:t>https</w:t>
        </w:r>
        <w:r w:rsidRPr="002642F2">
          <w:rPr>
            <w:rStyle w:val="Hyperlink"/>
            <w:rFonts w:ascii="Book Antiqua" w:hAnsi="Book Antiqua"/>
            <w:sz w:val="18"/>
            <w:szCs w:val="18"/>
            <w:lang w:val="en-US"/>
          </w:rPr>
          <w:t>://</w:t>
        </w:r>
        <w:r w:rsidRPr="00F9724E">
          <w:rPr>
            <w:rStyle w:val="Hyperlink"/>
            <w:rFonts w:ascii="Book Antiqua" w:hAnsi="Book Antiqua"/>
            <w:sz w:val="18"/>
            <w:szCs w:val="18"/>
          </w:rPr>
          <w:t>www</w:t>
        </w:r>
        <w:r w:rsidRPr="002642F2">
          <w:rPr>
            <w:rStyle w:val="Hyperlink"/>
            <w:rFonts w:ascii="Book Antiqua" w:hAnsi="Book Antiqua"/>
            <w:sz w:val="18"/>
            <w:szCs w:val="18"/>
            <w:lang w:val="en-US"/>
          </w:rPr>
          <w:t>.</w:t>
        </w:r>
        <w:r w:rsidRPr="00F9724E">
          <w:rPr>
            <w:rStyle w:val="Hyperlink"/>
            <w:rFonts w:ascii="Book Antiqua" w:hAnsi="Book Antiqua"/>
            <w:sz w:val="18"/>
            <w:szCs w:val="18"/>
          </w:rPr>
          <w:t>srbija</w:t>
        </w:r>
        <w:r w:rsidRPr="002642F2">
          <w:rPr>
            <w:rStyle w:val="Hyperlink"/>
            <w:rFonts w:ascii="Book Antiqua" w:hAnsi="Book Antiqua"/>
            <w:sz w:val="18"/>
            <w:szCs w:val="18"/>
            <w:lang w:val="en-US"/>
          </w:rPr>
          <w:t>.</w:t>
        </w:r>
        <w:r w:rsidRPr="00F9724E">
          <w:rPr>
            <w:rStyle w:val="Hyperlink"/>
            <w:rFonts w:ascii="Book Antiqua" w:hAnsi="Book Antiqua"/>
            <w:sz w:val="18"/>
            <w:szCs w:val="18"/>
          </w:rPr>
          <w:t>gov</w:t>
        </w:r>
        <w:r w:rsidRPr="002642F2">
          <w:rPr>
            <w:rStyle w:val="Hyperlink"/>
            <w:rFonts w:ascii="Book Antiqua" w:hAnsi="Book Antiqua"/>
            <w:sz w:val="18"/>
            <w:szCs w:val="18"/>
            <w:lang w:val="en-US"/>
          </w:rPr>
          <w:t>.</w:t>
        </w:r>
        <w:r w:rsidRPr="00F9724E">
          <w:rPr>
            <w:rStyle w:val="Hyperlink"/>
            <w:rFonts w:ascii="Book Antiqua" w:hAnsi="Book Antiqua"/>
            <w:sz w:val="18"/>
            <w:szCs w:val="18"/>
          </w:rPr>
          <w:t>rs</w:t>
        </w:r>
        <w:r w:rsidRPr="002642F2">
          <w:rPr>
            <w:rStyle w:val="Hyperlink"/>
            <w:rFonts w:ascii="Book Antiqua" w:hAnsi="Book Antiqua"/>
            <w:sz w:val="18"/>
            <w:szCs w:val="18"/>
            <w:lang w:val="en-US"/>
          </w:rPr>
          <w:t>/</w:t>
        </w:r>
        <w:r w:rsidRPr="00F9724E">
          <w:rPr>
            <w:rStyle w:val="Hyperlink"/>
            <w:rFonts w:ascii="Book Antiqua" w:hAnsi="Book Antiqua"/>
            <w:sz w:val="18"/>
            <w:szCs w:val="18"/>
          </w:rPr>
          <w:t>dokument</w:t>
        </w:r>
        <w:r w:rsidRPr="002642F2">
          <w:rPr>
            <w:rStyle w:val="Hyperlink"/>
            <w:rFonts w:ascii="Book Antiqua" w:hAnsi="Book Antiqua"/>
            <w:sz w:val="18"/>
            <w:szCs w:val="18"/>
            <w:lang w:val="en-US"/>
          </w:rPr>
          <w:t>/45678/</w:t>
        </w:r>
        <w:r w:rsidRPr="00F9724E">
          <w:rPr>
            <w:rStyle w:val="Hyperlink"/>
            <w:rFonts w:ascii="Book Antiqua" w:hAnsi="Book Antiqua"/>
            <w:sz w:val="18"/>
            <w:szCs w:val="18"/>
          </w:rPr>
          <w:t>strategije</w:t>
        </w:r>
        <w:r w:rsidRPr="002642F2">
          <w:rPr>
            <w:rStyle w:val="Hyperlink"/>
            <w:rFonts w:ascii="Book Antiqua" w:hAnsi="Book Antiqua"/>
            <w:sz w:val="18"/>
            <w:szCs w:val="18"/>
            <w:lang w:val="en-US"/>
          </w:rPr>
          <w:t>.</w:t>
        </w:r>
        <w:r w:rsidRPr="00F9724E">
          <w:rPr>
            <w:rStyle w:val="Hyperlink"/>
            <w:rFonts w:ascii="Book Antiqua" w:hAnsi="Book Antiqua"/>
            <w:sz w:val="18"/>
            <w:szCs w:val="18"/>
          </w:rPr>
          <w:t>php</w:t>
        </w:r>
      </w:hyperlink>
      <w:r w:rsidRPr="00F9724E">
        <w:rPr>
          <w:rFonts w:ascii="Book Antiqua" w:hAnsi="Book Antiqua"/>
          <w:sz w:val="18"/>
          <w:szCs w:val="18"/>
        </w:rPr>
        <w:t xml:space="preserve">. </w:t>
      </w:r>
    </w:p>
  </w:footnote>
  <w:footnote w:id="10">
    <w:p w:rsidR="0058233A" w:rsidRPr="00FF658E" w:rsidRDefault="0058233A">
      <w:pPr>
        <w:pStyle w:val="FootnoteText"/>
      </w:pPr>
      <w:r>
        <w:rPr>
          <w:rStyle w:val="FootnoteReference"/>
        </w:rPr>
        <w:footnoteRef/>
      </w:r>
      <w:r>
        <w:t>Available at</w:t>
      </w:r>
      <w:r w:rsidRPr="002642F2">
        <w:rPr>
          <w:lang w:val="en-US"/>
        </w:rPr>
        <w:t xml:space="preserve">: </w:t>
      </w:r>
      <w:hyperlink r:id="rId6" w:history="1">
        <w:r w:rsidRPr="00FF658E">
          <w:rPr>
            <w:rStyle w:val="Hyperlink"/>
            <w:rFonts w:ascii="Book Antiqua" w:hAnsi="Book Antiqua"/>
            <w:sz w:val="18"/>
            <w:szCs w:val="18"/>
          </w:rPr>
          <w:t>https</w:t>
        </w:r>
        <w:r w:rsidRPr="002642F2">
          <w:rPr>
            <w:rStyle w:val="Hyperlink"/>
            <w:rFonts w:ascii="Book Antiqua" w:hAnsi="Book Antiqua"/>
            <w:sz w:val="18"/>
            <w:szCs w:val="18"/>
            <w:lang w:val="en-US"/>
          </w:rPr>
          <w:t>://</w:t>
        </w:r>
        <w:r w:rsidRPr="00FF658E">
          <w:rPr>
            <w:rStyle w:val="Hyperlink"/>
            <w:rFonts w:ascii="Book Antiqua" w:hAnsi="Book Antiqua"/>
            <w:sz w:val="18"/>
            <w:szCs w:val="18"/>
          </w:rPr>
          <w:t>ljudskaprava</w:t>
        </w:r>
        <w:r w:rsidRPr="002642F2">
          <w:rPr>
            <w:rStyle w:val="Hyperlink"/>
            <w:rFonts w:ascii="Book Antiqua" w:hAnsi="Book Antiqua"/>
            <w:sz w:val="18"/>
            <w:szCs w:val="18"/>
            <w:lang w:val="en-US"/>
          </w:rPr>
          <w:t>.</w:t>
        </w:r>
        <w:r w:rsidRPr="00FF658E">
          <w:rPr>
            <w:rStyle w:val="Hyperlink"/>
            <w:rFonts w:ascii="Book Antiqua" w:hAnsi="Book Antiqua"/>
            <w:sz w:val="18"/>
            <w:szCs w:val="18"/>
          </w:rPr>
          <w:t>gov</w:t>
        </w:r>
        <w:r w:rsidRPr="002642F2">
          <w:rPr>
            <w:rStyle w:val="Hyperlink"/>
            <w:rFonts w:ascii="Book Antiqua" w:hAnsi="Book Antiqua"/>
            <w:sz w:val="18"/>
            <w:szCs w:val="18"/>
            <w:lang w:val="en-US"/>
          </w:rPr>
          <w:t>.</w:t>
        </w:r>
        <w:r w:rsidRPr="00FF658E">
          <w:rPr>
            <w:rStyle w:val="Hyperlink"/>
            <w:rFonts w:ascii="Book Antiqua" w:hAnsi="Book Antiqua"/>
            <w:sz w:val="18"/>
            <w:szCs w:val="18"/>
          </w:rPr>
          <w:t>rs</w:t>
        </w:r>
        <w:r w:rsidRPr="002642F2">
          <w:rPr>
            <w:rStyle w:val="Hyperlink"/>
            <w:rFonts w:ascii="Book Antiqua" w:hAnsi="Book Antiqua"/>
            <w:sz w:val="18"/>
            <w:szCs w:val="18"/>
            <w:lang w:val="en-US"/>
          </w:rPr>
          <w:t>/</w:t>
        </w:r>
        <w:r w:rsidRPr="00FF658E">
          <w:rPr>
            <w:rStyle w:val="Hyperlink"/>
            <w:rFonts w:ascii="Book Antiqua" w:hAnsi="Book Antiqua"/>
            <w:sz w:val="18"/>
            <w:szCs w:val="18"/>
          </w:rPr>
          <w:t>sh</w:t>
        </w:r>
        <w:r w:rsidRPr="002642F2">
          <w:rPr>
            <w:rStyle w:val="Hyperlink"/>
            <w:rFonts w:ascii="Book Antiqua" w:hAnsi="Book Antiqua"/>
            <w:sz w:val="18"/>
            <w:szCs w:val="18"/>
            <w:lang w:val="en-US"/>
          </w:rPr>
          <w:t>/</w:t>
        </w:r>
        <w:r w:rsidRPr="00FF658E">
          <w:rPr>
            <w:rStyle w:val="Hyperlink"/>
            <w:rFonts w:ascii="Book Antiqua" w:hAnsi="Book Antiqua"/>
            <w:sz w:val="18"/>
            <w:szCs w:val="18"/>
          </w:rPr>
          <w:t>node</w:t>
        </w:r>
        <w:r w:rsidRPr="002642F2">
          <w:rPr>
            <w:rStyle w:val="Hyperlink"/>
            <w:rFonts w:ascii="Book Antiqua" w:hAnsi="Book Antiqua"/>
            <w:sz w:val="18"/>
            <w:szCs w:val="18"/>
            <w:lang w:val="en-US"/>
          </w:rPr>
          <w:t>/19980</w:t>
        </w:r>
        <w:r w:rsidRPr="00FF658E">
          <w:rPr>
            <w:rStyle w:val="Hyperlink"/>
            <w:rFonts w:ascii="Book Antiqua" w:hAnsi="Book Antiqua"/>
            <w:sz w:val="18"/>
            <w:szCs w:val="18"/>
          </w:rPr>
          <w:t>-</w:t>
        </w:r>
      </w:hyperlink>
      <w:r>
        <w:rPr>
          <w:rFonts w:ascii="Book Antiqua" w:hAnsi="Book Antiqua"/>
          <w:color w:val="0000FF"/>
          <w:sz w:val="18"/>
          <w:szCs w:val="18"/>
          <w:u w:val="single"/>
        </w:rPr>
        <w:t xml:space="preserve">. </w:t>
      </w:r>
    </w:p>
  </w:footnote>
  <w:footnote w:id="11">
    <w:p w:rsidR="0058233A" w:rsidRPr="00FF658E" w:rsidRDefault="0058233A" w:rsidP="00DB506B">
      <w:pPr>
        <w:pStyle w:val="FootnoteText"/>
        <w:rPr>
          <w:rFonts w:ascii="Book Antiqua" w:hAnsi="Book Antiqua"/>
          <w:sz w:val="18"/>
          <w:szCs w:val="18"/>
          <w:lang w:val="sr-Cyrl-CS"/>
        </w:rPr>
      </w:pPr>
      <w:r w:rsidRPr="00F9724E">
        <w:rPr>
          <w:rStyle w:val="FootnoteReference"/>
          <w:rFonts w:ascii="Book Antiqua" w:hAnsi="Book Antiqua"/>
          <w:sz w:val="18"/>
          <w:szCs w:val="18"/>
        </w:rPr>
        <w:footnoteRef/>
      </w:r>
      <w:r w:rsidRPr="00B46D9D">
        <w:rPr>
          <w:rFonts w:ascii="Book Antiqua" w:hAnsi="Book Antiqua"/>
          <w:sz w:val="18"/>
          <w:szCs w:val="18"/>
          <w:lang w:val="sr-Cyrl-CS"/>
        </w:rPr>
        <w:t xml:space="preserve">Constitutional Court decision </w:t>
      </w:r>
      <w:r>
        <w:rPr>
          <w:rFonts w:ascii="Book Antiqua" w:hAnsi="Book Antiqua"/>
          <w:sz w:val="18"/>
          <w:szCs w:val="18"/>
        </w:rPr>
        <w:t>number</w:t>
      </w:r>
      <w:r w:rsidRPr="00FF658E">
        <w:rPr>
          <w:rFonts w:ascii="Book Antiqua" w:hAnsi="Book Antiqua"/>
          <w:sz w:val="18"/>
          <w:szCs w:val="18"/>
          <w:lang w:val="sr-Cyrl-CS"/>
        </w:rPr>
        <w:t xml:space="preserve"> IУз-244/2015 </w:t>
      </w:r>
      <w:r>
        <w:rPr>
          <w:rFonts w:ascii="Book Antiqua" w:hAnsi="Book Antiqua"/>
          <w:sz w:val="18"/>
          <w:szCs w:val="18"/>
        </w:rPr>
        <w:t>of</w:t>
      </w:r>
      <w:r w:rsidRPr="00FF658E">
        <w:rPr>
          <w:rFonts w:ascii="Book Antiqua" w:hAnsi="Book Antiqua"/>
          <w:sz w:val="18"/>
          <w:szCs w:val="18"/>
          <w:lang w:val="sr-Cyrl-CS"/>
        </w:rPr>
        <w:t xml:space="preserve"> 4</w:t>
      </w:r>
      <w:r>
        <w:rPr>
          <w:rFonts w:ascii="Book Antiqua" w:hAnsi="Book Antiqua"/>
          <w:sz w:val="18"/>
          <w:szCs w:val="18"/>
        </w:rPr>
        <w:t xml:space="preserve"> October </w:t>
      </w:r>
      <w:r w:rsidRPr="00FF658E">
        <w:rPr>
          <w:rFonts w:ascii="Book Antiqua" w:hAnsi="Book Antiqua"/>
          <w:sz w:val="18"/>
          <w:szCs w:val="18"/>
          <w:lang w:val="sr-Cyrl-CS"/>
        </w:rPr>
        <w:t xml:space="preserve">2016 </w:t>
      </w:r>
    </w:p>
  </w:footnote>
  <w:footnote w:id="12">
    <w:p w:rsidR="0058233A" w:rsidRPr="00F9724E" w:rsidRDefault="0058233A" w:rsidP="00DB506B">
      <w:pPr>
        <w:pStyle w:val="FootnoteText"/>
        <w:rPr>
          <w:rFonts w:ascii="Book Antiqua" w:hAnsi="Book Antiqua"/>
          <w:sz w:val="18"/>
          <w:szCs w:val="18"/>
        </w:rPr>
      </w:pPr>
      <w:r w:rsidRPr="00FF658E">
        <w:rPr>
          <w:rStyle w:val="FootnoteReference"/>
          <w:rFonts w:ascii="Book Antiqua" w:hAnsi="Book Antiqua"/>
          <w:sz w:val="18"/>
          <w:szCs w:val="18"/>
          <w:lang w:val="sr-Cyrl-CS"/>
        </w:rPr>
        <w:footnoteRef/>
      </w:r>
      <w:r w:rsidRPr="00B46D9D">
        <w:rPr>
          <w:rFonts w:ascii="Book Antiqua" w:hAnsi="Book Antiqua"/>
          <w:sz w:val="18"/>
          <w:szCs w:val="18"/>
          <w:lang w:val="sr-Cyrl-CS"/>
        </w:rPr>
        <w:t>"Official Gazette of the RS"</w:t>
      </w:r>
      <w:r w:rsidRPr="00FF658E">
        <w:rPr>
          <w:rFonts w:ascii="Book Antiqua" w:hAnsi="Book Antiqua"/>
          <w:sz w:val="18"/>
          <w:szCs w:val="18"/>
          <w:lang w:val="sr-Cyrl-CS"/>
        </w:rPr>
        <w:t xml:space="preserve">, </w:t>
      </w:r>
      <w:r>
        <w:rPr>
          <w:rFonts w:ascii="Book Antiqua" w:hAnsi="Book Antiqua"/>
          <w:sz w:val="18"/>
          <w:szCs w:val="18"/>
        </w:rPr>
        <w:t>number</w:t>
      </w:r>
      <w:r w:rsidRPr="00FF658E">
        <w:rPr>
          <w:rFonts w:ascii="Book Antiqua" w:hAnsi="Book Antiqua"/>
          <w:sz w:val="18"/>
          <w:szCs w:val="18"/>
          <w:lang w:val="sr-Cyrl-CS"/>
        </w:rPr>
        <w:t xml:space="preserve"> 113/17</w:t>
      </w:r>
      <w:r w:rsidRPr="00F9724E">
        <w:rPr>
          <w:rFonts w:ascii="Book Antiqua" w:hAnsi="Book Antiqua"/>
          <w:sz w:val="18"/>
          <w:szCs w:val="18"/>
        </w:rPr>
        <w:t>.</w:t>
      </w:r>
    </w:p>
  </w:footnote>
  <w:footnote w:id="13">
    <w:p w:rsidR="0058233A" w:rsidRPr="00F9724E" w:rsidRDefault="0058233A" w:rsidP="00DB506B">
      <w:pPr>
        <w:pStyle w:val="FootnoteText"/>
        <w:rPr>
          <w:rFonts w:ascii="Book Antiqua" w:hAnsi="Book Antiqua"/>
          <w:sz w:val="18"/>
          <w:szCs w:val="18"/>
        </w:rPr>
      </w:pPr>
      <w:r w:rsidRPr="00F9724E">
        <w:rPr>
          <w:rStyle w:val="FootnoteReference"/>
          <w:rFonts w:ascii="Book Antiqua" w:hAnsi="Book Antiqua"/>
          <w:sz w:val="18"/>
          <w:szCs w:val="18"/>
        </w:rPr>
        <w:footnoteRef/>
      </w:r>
      <w:r w:rsidRPr="00B46D9D">
        <w:rPr>
          <w:rFonts w:ascii="Book Antiqua" w:hAnsi="Book Antiqua"/>
          <w:sz w:val="18"/>
          <w:szCs w:val="18"/>
        </w:rPr>
        <w:t>Available at</w:t>
      </w:r>
      <w:r w:rsidRPr="00F9724E">
        <w:rPr>
          <w:rFonts w:ascii="Book Antiqua" w:hAnsi="Book Antiqua"/>
          <w:sz w:val="18"/>
          <w:szCs w:val="18"/>
        </w:rPr>
        <w:t>:</w:t>
      </w:r>
      <w:r>
        <w:rPr>
          <w:rFonts w:ascii="Book Antiqua" w:hAnsi="Book Antiqua"/>
          <w:sz w:val="18"/>
          <w:szCs w:val="18"/>
        </w:rPr>
        <w:t xml:space="preserve"> </w:t>
      </w:r>
      <w:hyperlink r:id="rId7" w:history="1">
        <w:r w:rsidRPr="00F9724E">
          <w:rPr>
            <w:rStyle w:val="Hyperlink"/>
            <w:rFonts w:ascii="Book Antiqua" w:hAnsi="Book Antiqua"/>
            <w:sz w:val="18"/>
            <w:szCs w:val="18"/>
          </w:rPr>
          <w:t>http</w:t>
        </w:r>
        <w:r w:rsidRPr="002642F2">
          <w:rPr>
            <w:rStyle w:val="Hyperlink"/>
            <w:rFonts w:ascii="Book Antiqua" w:hAnsi="Book Antiqua"/>
            <w:sz w:val="18"/>
            <w:szCs w:val="18"/>
            <w:lang w:val="en-US"/>
          </w:rPr>
          <w:t>://</w:t>
        </w:r>
        <w:r w:rsidRPr="00F9724E">
          <w:rPr>
            <w:rStyle w:val="Hyperlink"/>
            <w:rFonts w:ascii="Book Antiqua" w:hAnsi="Book Antiqua"/>
            <w:sz w:val="18"/>
            <w:szCs w:val="18"/>
          </w:rPr>
          <w:t>www</w:t>
        </w:r>
        <w:r w:rsidRPr="002642F2">
          <w:rPr>
            <w:rStyle w:val="Hyperlink"/>
            <w:rFonts w:ascii="Book Antiqua" w:hAnsi="Book Antiqua"/>
            <w:sz w:val="18"/>
            <w:szCs w:val="18"/>
            <w:lang w:val="en-US"/>
          </w:rPr>
          <w:t>.</w:t>
        </w:r>
        <w:r w:rsidRPr="00F9724E">
          <w:rPr>
            <w:rStyle w:val="Hyperlink"/>
            <w:rFonts w:ascii="Book Antiqua" w:hAnsi="Book Antiqua"/>
            <w:sz w:val="18"/>
            <w:szCs w:val="18"/>
          </w:rPr>
          <w:t>ombudsman</w:t>
        </w:r>
        <w:r w:rsidRPr="002642F2">
          <w:rPr>
            <w:rStyle w:val="Hyperlink"/>
            <w:rFonts w:ascii="Book Antiqua" w:hAnsi="Book Antiqua"/>
            <w:sz w:val="18"/>
            <w:szCs w:val="18"/>
            <w:lang w:val="en-US"/>
          </w:rPr>
          <w:t>.</w:t>
        </w:r>
        <w:r w:rsidRPr="00F9724E">
          <w:rPr>
            <w:rStyle w:val="Hyperlink"/>
            <w:rFonts w:ascii="Book Antiqua" w:hAnsi="Book Antiqua"/>
            <w:sz w:val="18"/>
            <w:szCs w:val="18"/>
          </w:rPr>
          <w:t>rs</w:t>
        </w:r>
        <w:r w:rsidRPr="002642F2">
          <w:rPr>
            <w:rStyle w:val="Hyperlink"/>
            <w:rFonts w:ascii="Book Antiqua" w:hAnsi="Book Antiqua"/>
            <w:sz w:val="18"/>
            <w:szCs w:val="18"/>
            <w:lang w:val="en-US"/>
          </w:rPr>
          <w:t>/</w:t>
        </w:r>
        <w:r w:rsidRPr="00F9724E">
          <w:rPr>
            <w:rStyle w:val="Hyperlink"/>
            <w:rFonts w:ascii="Book Antiqua" w:hAnsi="Book Antiqua"/>
            <w:sz w:val="18"/>
            <w:szCs w:val="18"/>
          </w:rPr>
          <w:t>index</w:t>
        </w:r>
        <w:r w:rsidRPr="002642F2">
          <w:rPr>
            <w:rStyle w:val="Hyperlink"/>
            <w:rFonts w:ascii="Book Antiqua" w:hAnsi="Book Antiqua"/>
            <w:sz w:val="18"/>
            <w:szCs w:val="18"/>
            <w:lang w:val="en-US"/>
          </w:rPr>
          <w:t>.</w:t>
        </w:r>
        <w:r w:rsidRPr="00F9724E">
          <w:rPr>
            <w:rStyle w:val="Hyperlink"/>
            <w:rFonts w:ascii="Book Antiqua" w:hAnsi="Book Antiqua"/>
            <w:sz w:val="18"/>
            <w:szCs w:val="18"/>
          </w:rPr>
          <w:t>php</w:t>
        </w:r>
        <w:r w:rsidRPr="002642F2">
          <w:rPr>
            <w:rStyle w:val="Hyperlink"/>
            <w:rFonts w:ascii="Book Antiqua" w:hAnsi="Book Antiqua"/>
            <w:sz w:val="18"/>
            <w:szCs w:val="18"/>
            <w:lang w:val="en-US"/>
          </w:rPr>
          <w:t>/</w:t>
        </w:r>
        <w:r w:rsidRPr="00F9724E">
          <w:rPr>
            <w:rStyle w:val="Hyperlink"/>
            <w:rFonts w:ascii="Book Antiqua" w:hAnsi="Book Antiqua"/>
            <w:sz w:val="18"/>
            <w:szCs w:val="18"/>
          </w:rPr>
          <w:t>izvestaji</w:t>
        </w:r>
        <w:r w:rsidRPr="002642F2">
          <w:rPr>
            <w:rStyle w:val="Hyperlink"/>
            <w:rFonts w:ascii="Book Antiqua" w:hAnsi="Book Antiqua"/>
            <w:sz w:val="18"/>
            <w:szCs w:val="18"/>
            <w:lang w:val="en-US"/>
          </w:rPr>
          <w:t>/</w:t>
        </w:r>
        <w:r w:rsidRPr="00F9724E">
          <w:rPr>
            <w:rStyle w:val="Hyperlink"/>
            <w:rFonts w:ascii="Book Antiqua" w:hAnsi="Book Antiqua"/>
            <w:sz w:val="18"/>
            <w:szCs w:val="18"/>
          </w:rPr>
          <w:t>godisnji</w:t>
        </w:r>
        <w:r w:rsidRPr="002642F2">
          <w:rPr>
            <w:rStyle w:val="Hyperlink"/>
            <w:rFonts w:ascii="Book Antiqua" w:hAnsi="Book Antiqua"/>
            <w:sz w:val="18"/>
            <w:szCs w:val="18"/>
            <w:lang w:val="en-US"/>
          </w:rPr>
          <w:t>-</w:t>
        </w:r>
        <w:r w:rsidRPr="00F9724E">
          <w:rPr>
            <w:rStyle w:val="Hyperlink"/>
            <w:rFonts w:ascii="Book Antiqua" w:hAnsi="Book Antiqua"/>
            <w:sz w:val="18"/>
            <w:szCs w:val="18"/>
          </w:rPr>
          <w:t>izvestaji</w:t>
        </w:r>
      </w:hyperlink>
      <w:r w:rsidRPr="00F9724E">
        <w:rPr>
          <w:rStyle w:val="Hyperlink"/>
          <w:rFonts w:ascii="Book Antiqua" w:hAnsi="Book Antiqua"/>
          <w:sz w:val="18"/>
          <w:szCs w:val="18"/>
        </w:rPr>
        <w:t xml:space="preserve">. </w:t>
      </w:r>
    </w:p>
  </w:footnote>
  <w:footnote w:id="14">
    <w:p w:rsidR="0058233A" w:rsidRPr="00F9724E" w:rsidRDefault="0058233A" w:rsidP="00DB506B">
      <w:pPr>
        <w:pStyle w:val="FootnoteText"/>
        <w:rPr>
          <w:rFonts w:ascii="Book Antiqua" w:hAnsi="Book Antiqua"/>
          <w:sz w:val="18"/>
          <w:szCs w:val="18"/>
        </w:rPr>
      </w:pPr>
      <w:r w:rsidRPr="00F9724E">
        <w:rPr>
          <w:rStyle w:val="FootnoteReference"/>
          <w:rFonts w:ascii="Book Antiqua" w:hAnsi="Book Antiqua"/>
          <w:sz w:val="18"/>
          <w:szCs w:val="18"/>
        </w:rPr>
        <w:footnoteRef/>
      </w:r>
      <w:r w:rsidRPr="00B46D9D">
        <w:rPr>
          <w:rFonts w:ascii="Book Antiqua" w:hAnsi="Book Antiqua"/>
          <w:sz w:val="18"/>
          <w:szCs w:val="18"/>
        </w:rPr>
        <w:t xml:space="preserve">Opinion of the Protector of Citizens </w:t>
      </w:r>
      <w:r>
        <w:rPr>
          <w:rFonts w:ascii="Book Antiqua" w:hAnsi="Book Antiqua"/>
          <w:sz w:val="18"/>
          <w:szCs w:val="18"/>
        </w:rPr>
        <w:t>no</w:t>
      </w:r>
      <w:r w:rsidRPr="00F9724E">
        <w:rPr>
          <w:rFonts w:ascii="Book Antiqua" w:hAnsi="Book Antiqua"/>
          <w:sz w:val="18"/>
          <w:szCs w:val="18"/>
        </w:rPr>
        <w:t xml:space="preserve">. 183-25/2017 </w:t>
      </w:r>
      <w:r>
        <w:rPr>
          <w:rFonts w:ascii="Book Antiqua" w:hAnsi="Book Antiqua"/>
          <w:sz w:val="18"/>
          <w:szCs w:val="18"/>
        </w:rPr>
        <w:t>ref</w:t>
      </w:r>
      <w:r w:rsidRPr="00F9724E">
        <w:rPr>
          <w:rFonts w:ascii="Book Antiqua" w:hAnsi="Book Antiqua"/>
          <w:sz w:val="18"/>
          <w:szCs w:val="18"/>
        </w:rPr>
        <w:t xml:space="preserve">. </w:t>
      </w:r>
      <w:r>
        <w:rPr>
          <w:rFonts w:ascii="Book Antiqua" w:hAnsi="Book Antiqua"/>
          <w:sz w:val="18"/>
          <w:szCs w:val="18"/>
        </w:rPr>
        <w:t>no</w:t>
      </w:r>
      <w:r w:rsidRPr="00F9724E">
        <w:rPr>
          <w:rFonts w:ascii="Book Antiqua" w:hAnsi="Book Antiqua"/>
          <w:sz w:val="18"/>
          <w:szCs w:val="18"/>
        </w:rPr>
        <w:t>. 37867 о</w:t>
      </w:r>
      <w:r>
        <w:rPr>
          <w:rFonts w:ascii="Book Antiqua" w:hAnsi="Book Antiqua"/>
          <w:sz w:val="18"/>
          <w:szCs w:val="18"/>
        </w:rPr>
        <w:t>f</w:t>
      </w:r>
      <w:r w:rsidRPr="00F9724E">
        <w:rPr>
          <w:rFonts w:ascii="Book Antiqua" w:hAnsi="Book Antiqua"/>
          <w:sz w:val="18"/>
          <w:szCs w:val="18"/>
        </w:rPr>
        <w:t xml:space="preserve"> 13</w:t>
      </w:r>
      <w:r>
        <w:rPr>
          <w:rFonts w:ascii="Book Antiqua" w:hAnsi="Book Antiqua"/>
          <w:sz w:val="18"/>
          <w:szCs w:val="18"/>
        </w:rPr>
        <w:t xml:space="preserve"> October</w:t>
      </w:r>
      <w:r w:rsidRPr="00F9724E">
        <w:rPr>
          <w:rFonts w:ascii="Book Antiqua" w:hAnsi="Book Antiqua"/>
          <w:sz w:val="18"/>
          <w:szCs w:val="18"/>
        </w:rPr>
        <w:t xml:space="preserve"> 2017.</w:t>
      </w:r>
    </w:p>
  </w:footnote>
  <w:footnote w:id="15">
    <w:p w:rsidR="0058233A" w:rsidRPr="00F9724E" w:rsidRDefault="0058233A" w:rsidP="00DB506B">
      <w:pPr>
        <w:pStyle w:val="FootnoteText"/>
        <w:rPr>
          <w:rFonts w:ascii="Book Antiqua" w:hAnsi="Book Antiqua"/>
          <w:sz w:val="18"/>
          <w:szCs w:val="18"/>
        </w:rPr>
      </w:pPr>
      <w:r w:rsidRPr="00F9724E">
        <w:rPr>
          <w:rStyle w:val="FootnoteReference"/>
          <w:rFonts w:ascii="Book Antiqua" w:hAnsi="Book Antiqua"/>
          <w:sz w:val="18"/>
          <w:szCs w:val="18"/>
        </w:rPr>
        <w:footnoteRef/>
      </w:r>
      <w:r w:rsidRPr="00B46D9D">
        <w:rPr>
          <w:rFonts w:ascii="Book Antiqua" w:hAnsi="Book Antiqua"/>
          <w:sz w:val="18"/>
          <w:szCs w:val="18"/>
        </w:rPr>
        <w:t xml:space="preserve">Opinion of the Protector of Citizens </w:t>
      </w:r>
      <w:r>
        <w:rPr>
          <w:rFonts w:ascii="Book Antiqua" w:hAnsi="Book Antiqua"/>
          <w:sz w:val="18"/>
          <w:szCs w:val="18"/>
        </w:rPr>
        <w:t>no</w:t>
      </w:r>
      <w:r w:rsidRPr="00F9724E">
        <w:rPr>
          <w:rFonts w:ascii="Book Antiqua" w:hAnsi="Book Antiqua"/>
          <w:sz w:val="18"/>
          <w:szCs w:val="18"/>
        </w:rPr>
        <w:t xml:space="preserve">. 183-25/2017 </w:t>
      </w:r>
      <w:r>
        <w:rPr>
          <w:rFonts w:ascii="Book Antiqua" w:hAnsi="Book Antiqua"/>
          <w:sz w:val="18"/>
          <w:szCs w:val="18"/>
        </w:rPr>
        <w:t>ref</w:t>
      </w:r>
      <w:r w:rsidRPr="00F9724E">
        <w:rPr>
          <w:rFonts w:ascii="Book Antiqua" w:hAnsi="Book Antiqua"/>
          <w:sz w:val="18"/>
          <w:szCs w:val="18"/>
        </w:rPr>
        <w:t xml:space="preserve">. </w:t>
      </w:r>
      <w:r>
        <w:rPr>
          <w:rFonts w:ascii="Book Antiqua" w:hAnsi="Book Antiqua"/>
          <w:sz w:val="18"/>
          <w:szCs w:val="18"/>
        </w:rPr>
        <w:t>no</w:t>
      </w:r>
      <w:r w:rsidRPr="00F9724E">
        <w:rPr>
          <w:rFonts w:ascii="Book Antiqua" w:hAnsi="Book Antiqua"/>
          <w:sz w:val="18"/>
          <w:szCs w:val="18"/>
        </w:rPr>
        <w:t>. 37867 о</w:t>
      </w:r>
      <w:r>
        <w:rPr>
          <w:rFonts w:ascii="Book Antiqua" w:hAnsi="Book Antiqua"/>
          <w:sz w:val="18"/>
          <w:szCs w:val="18"/>
        </w:rPr>
        <w:t>f</w:t>
      </w:r>
      <w:r w:rsidRPr="00F9724E">
        <w:rPr>
          <w:rFonts w:ascii="Book Antiqua" w:hAnsi="Book Antiqua"/>
          <w:sz w:val="18"/>
          <w:szCs w:val="18"/>
        </w:rPr>
        <w:t xml:space="preserve"> 13. </w:t>
      </w:r>
      <w:r w:rsidRPr="00B46D9D">
        <w:rPr>
          <w:rFonts w:ascii="Book Antiqua" w:hAnsi="Book Antiqua"/>
          <w:sz w:val="18"/>
          <w:szCs w:val="18"/>
        </w:rPr>
        <w:t>October 2017.</w:t>
      </w:r>
    </w:p>
  </w:footnote>
  <w:footnote w:id="16">
    <w:p w:rsidR="0058233A" w:rsidRPr="00F9724E" w:rsidRDefault="0058233A" w:rsidP="00DB506B">
      <w:pPr>
        <w:pStyle w:val="FootnoteText"/>
        <w:rPr>
          <w:rFonts w:ascii="Book Antiqua" w:hAnsi="Book Antiqua"/>
          <w:sz w:val="18"/>
          <w:szCs w:val="18"/>
        </w:rPr>
      </w:pPr>
      <w:r w:rsidRPr="00F9724E">
        <w:rPr>
          <w:rStyle w:val="FootnoteReference"/>
          <w:rFonts w:ascii="Book Antiqua" w:hAnsi="Book Antiqua"/>
          <w:sz w:val="18"/>
          <w:szCs w:val="18"/>
        </w:rPr>
        <w:footnoteRef/>
      </w:r>
      <w:r w:rsidRPr="00B46D9D">
        <w:rPr>
          <w:rFonts w:ascii="Book Antiqua" w:hAnsi="Book Antiqua"/>
          <w:sz w:val="18"/>
          <w:szCs w:val="18"/>
        </w:rPr>
        <w:t xml:space="preserve">Opinion of the Protector of Citizens </w:t>
      </w:r>
      <w:r>
        <w:rPr>
          <w:rFonts w:ascii="Book Antiqua" w:hAnsi="Book Antiqua"/>
          <w:sz w:val="18"/>
          <w:szCs w:val="18"/>
        </w:rPr>
        <w:t>no</w:t>
      </w:r>
      <w:r w:rsidRPr="00F9724E">
        <w:rPr>
          <w:rFonts w:ascii="Book Antiqua" w:hAnsi="Book Antiqua"/>
          <w:sz w:val="18"/>
          <w:szCs w:val="18"/>
        </w:rPr>
        <w:t xml:space="preserve">. 183-25/2017 </w:t>
      </w:r>
      <w:r>
        <w:rPr>
          <w:rFonts w:ascii="Book Antiqua" w:hAnsi="Book Antiqua"/>
          <w:sz w:val="18"/>
          <w:szCs w:val="18"/>
        </w:rPr>
        <w:t>ref</w:t>
      </w:r>
      <w:r w:rsidRPr="00F9724E">
        <w:rPr>
          <w:rFonts w:ascii="Book Antiqua" w:hAnsi="Book Antiqua"/>
          <w:sz w:val="18"/>
          <w:szCs w:val="18"/>
        </w:rPr>
        <w:t xml:space="preserve">. </w:t>
      </w:r>
      <w:r>
        <w:rPr>
          <w:rFonts w:ascii="Book Antiqua" w:hAnsi="Book Antiqua"/>
          <w:sz w:val="18"/>
          <w:szCs w:val="18"/>
        </w:rPr>
        <w:t>no</w:t>
      </w:r>
      <w:r w:rsidRPr="00F9724E">
        <w:rPr>
          <w:rFonts w:ascii="Book Antiqua" w:hAnsi="Book Antiqua"/>
          <w:sz w:val="18"/>
          <w:szCs w:val="18"/>
        </w:rPr>
        <w:t>. 37867 о</w:t>
      </w:r>
      <w:r>
        <w:rPr>
          <w:rFonts w:ascii="Book Antiqua" w:hAnsi="Book Antiqua"/>
          <w:sz w:val="18"/>
          <w:szCs w:val="18"/>
        </w:rPr>
        <w:t>f</w:t>
      </w:r>
      <w:r w:rsidRPr="00F9724E">
        <w:rPr>
          <w:rFonts w:ascii="Book Antiqua" w:hAnsi="Book Antiqua"/>
          <w:sz w:val="18"/>
          <w:szCs w:val="18"/>
        </w:rPr>
        <w:t xml:space="preserve"> 13. </w:t>
      </w:r>
      <w:r w:rsidRPr="00B46D9D">
        <w:rPr>
          <w:rFonts w:ascii="Book Antiqua" w:hAnsi="Book Antiqua"/>
          <w:sz w:val="18"/>
          <w:szCs w:val="18"/>
        </w:rPr>
        <w:t>October 2017.</w:t>
      </w:r>
    </w:p>
  </w:footnote>
  <w:footnote w:id="17">
    <w:p w:rsidR="0058233A" w:rsidRPr="00D710B3" w:rsidRDefault="0058233A" w:rsidP="00DB506B">
      <w:pPr>
        <w:pStyle w:val="FootnoteText"/>
        <w:rPr>
          <w:rFonts w:ascii="Book Antiqua" w:hAnsi="Book Antiqua"/>
          <w:sz w:val="18"/>
          <w:szCs w:val="18"/>
        </w:rPr>
      </w:pPr>
      <w:r w:rsidRPr="00D710B3">
        <w:rPr>
          <w:rStyle w:val="FootnoteReference"/>
          <w:rFonts w:ascii="Book Antiqua" w:hAnsi="Book Antiqua"/>
          <w:sz w:val="18"/>
          <w:szCs w:val="18"/>
        </w:rPr>
        <w:footnoteRef/>
      </w:r>
      <w:r w:rsidRPr="00B46D9D">
        <w:rPr>
          <w:rFonts w:ascii="Book Antiqua" w:hAnsi="Book Antiqua"/>
          <w:sz w:val="18"/>
          <w:szCs w:val="18"/>
        </w:rPr>
        <w:t>Available at</w:t>
      </w:r>
      <w:r w:rsidRPr="00D710B3">
        <w:rPr>
          <w:rFonts w:ascii="Book Antiqua" w:hAnsi="Book Antiqua"/>
          <w:sz w:val="18"/>
          <w:szCs w:val="18"/>
        </w:rPr>
        <w:t xml:space="preserve">: </w:t>
      </w:r>
      <w:hyperlink r:id="rId8" w:history="1">
        <w:r w:rsidRPr="00D710B3">
          <w:rPr>
            <w:rStyle w:val="Hyperlink"/>
            <w:rFonts w:ascii="Book Antiqua" w:hAnsi="Book Antiqua"/>
            <w:sz w:val="18"/>
            <w:szCs w:val="18"/>
          </w:rPr>
          <w:t>https://www.ombudsman.rs/index.php/2012-02-07-14-03-33/5977-n-dl-zni-rg-ni-d-b-zb-d-ispl-u-n-n-d-z-r-d-pri-uzi-lj-sh-uv-s-v-ru-u-pr-v-n-n-n-du-z-r-d-zb-g-rudnic-g-b-l-v-nj-i-dsus-v-s-r-d-zb-g-p-r-d-n-g-d-i-p-s-bn-n-g-d</w:t>
        </w:r>
      </w:hyperlink>
      <w:r w:rsidRPr="00D710B3">
        <w:rPr>
          <w:rStyle w:val="Hyperlink"/>
          <w:rFonts w:ascii="Book Antiqua" w:hAnsi="Book Antiqua"/>
          <w:sz w:val="18"/>
          <w:szCs w:val="18"/>
        </w:rPr>
        <w:t xml:space="preserve">. </w:t>
      </w:r>
    </w:p>
  </w:footnote>
  <w:footnote w:id="18">
    <w:p w:rsidR="0058233A" w:rsidRPr="00D710B3" w:rsidRDefault="0058233A" w:rsidP="00DB506B">
      <w:pPr>
        <w:pStyle w:val="FootnoteText"/>
        <w:rPr>
          <w:rFonts w:ascii="Book Antiqua" w:hAnsi="Book Antiqua"/>
          <w:sz w:val="18"/>
          <w:szCs w:val="18"/>
        </w:rPr>
      </w:pPr>
      <w:r w:rsidRPr="00D710B3">
        <w:rPr>
          <w:rStyle w:val="FootnoteReference"/>
          <w:rFonts w:ascii="Book Antiqua" w:hAnsi="Book Antiqua"/>
          <w:sz w:val="18"/>
          <w:szCs w:val="18"/>
        </w:rPr>
        <w:footnoteRef/>
      </w:r>
      <w:r>
        <w:rPr>
          <w:rFonts w:ascii="Book Antiqua" w:hAnsi="Book Antiqua"/>
          <w:sz w:val="18"/>
          <w:szCs w:val="18"/>
        </w:rPr>
        <w:t>Available at</w:t>
      </w:r>
      <w:r w:rsidRPr="00D710B3">
        <w:rPr>
          <w:rFonts w:ascii="Book Antiqua" w:hAnsi="Book Antiqua"/>
          <w:sz w:val="18"/>
          <w:szCs w:val="18"/>
        </w:rPr>
        <w:t xml:space="preserve">: </w:t>
      </w:r>
      <w:hyperlink r:id="rId9" w:history="1">
        <w:r w:rsidRPr="00D710B3">
          <w:rPr>
            <w:rStyle w:val="Hyperlink"/>
            <w:rFonts w:ascii="Book Antiqua" w:hAnsi="Book Antiqua"/>
            <w:sz w:val="18"/>
            <w:szCs w:val="18"/>
          </w:rPr>
          <w:t>https://www.rodnaravnopravnost.rs/index.php?option=com_content&amp;view=featured&amp;Itemid=2</w:t>
        </w:r>
      </w:hyperlink>
      <w:r w:rsidRPr="00D710B3">
        <w:rPr>
          <w:rFonts w:ascii="Book Antiqua" w:hAnsi="Book Antiqua"/>
          <w:sz w:val="18"/>
          <w:szCs w:val="18"/>
        </w:rPr>
        <w:t xml:space="preserve">. </w:t>
      </w:r>
    </w:p>
  </w:footnote>
  <w:footnote w:id="19">
    <w:p w:rsidR="0058233A" w:rsidRPr="00D710B3" w:rsidRDefault="0058233A" w:rsidP="00DB506B">
      <w:pPr>
        <w:pStyle w:val="FootnoteText"/>
        <w:rPr>
          <w:rFonts w:ascii="Book Antiqua" w:hAnsi="Book Antiqua"/>
          <w:sz w:val="18"/>
          <w:szCs w:val="18"/>
        </w:rPr>
      </w:pPr>
      <w:r w:rsidRPr="00D710B3">
        <w:rPr>
          <w:rStyle w:val="FootnoteReference"/>
          <w:rFonts w:ascii="Book Antiqua" w:hAnsi="Book Antiqua"/>
          <w:sz w:val="18"/>
          <w:szCs w:val="18"/>
        </w:rPr>
        <w:footnoteRef/>
      </w:r>
      <w:r>
        <w:rPr>
          <w:rFonts w:ascii="Book Antiqua" w:hAnsi="Book Antiqua"/>
          <w:sz w:val="18"/>
          <w:szCs w:val="18"/>
        </w:rPr>
        <w:t xml:space="preserve"> Opinion available at</w:t>
      </w:r>
      <w:r w:rsidRPr="00D710B3">
        <w:rPr>
          <w:rFonts w:ascii="Book Antiqua" w:hAnsi="Book Antiqua"/>
          <w:sz w:val="18"/>
          <w:szCs w:val="18"/>
        </w:rPr>
        <w:t xml:space="preserve">: </w:t>
      </w:r>
      <w:hyperlink r:id="rId10" w:history="1">
        <w:r w:rsidRPr="00D710B3">
          <w:rPr>
            <w:rStyle w:val="Hyperlink"/>
            <w:rFonts w:ascii="Book Antiqua" w:hAnsi="Book Antiqua"/>
            <w:sz w:val="18"/>
            <w:szCs w:val="18"/>
          </w:rPr>
          <w:t>http</w:t>
        </w:r>
        <w:r w:rsidRPr="002642F2">
          <w:rPr>
            <w:rStyle w:val="Hyperlink"/>
            <w:rFonts w:ascii="Book Antiqua" w:hAnsi="Book Antiqua"/>
            <w:sz w:val="18"/>
            <w:szCs w:val="18"/>
            <w:lang w:val="en-US"/>
          </w:rPr>
          <w:t>://</w:t>
        </w:r>
        <w:r w:rsidRPr="00D710B3">
          <w:rPr>
            <w:rStyle w:val="Hyperlink"/>
            <w:rFonts w:ascii="Book Antiqua" w:hAnsi="Book Antiqua"/>
            <w:sz w:val="18"/>
            <w:szCs w:val="18"/>
          </w:rPr>
          <w:t>www</w:t>
        </w:r>
        <w:r w:rsidRPr="002642F2">
          <w:rPr>
            <w:rStyle w:val="Hyperlink"/>
            <w:rFonts w:ascii="Book Antiqua" w:hAnsi="Book Antiqua"/>
            <w:sz w:val="18"/>
            <w:szCs w:val="18"/>
            <w:lang w:val="en-US"/>
          </w:rPr>
          <w:t>.</w:t>
        </w:r>
        <w:r w:rsidRPr="00D710B3">
          <w:rPr>
            <w:rStyle w:val="Hyperlink"/>
            <w:rFonts w:ascii="Book Antiqua" w:hAnsi="Book Antiqua"/>
            <w:sz w:val="18"/>
            <w:szCs w:val="18"/>
          </w:rPr>
          <w:t>ombudsman</w:t>
        </w:r>
        <w:r w:rsidRPr="002642F2">
          <w:rPr>
            <w:rStyle w:val="Hyperlink"/>
            <w:rFonts w:ascii="Book Antiqua" w:hAnsi="Book Antiqua"/>
            <w:sz w:val="18"/>
            <w:szCs w:val="18"/>
            <w:lang w:val="en-US"/>
          </w:rPr>
          <w:t>.</w:t>
        </w:r>
        <w:r w:rsidRPr="00D710B3">
          <w:rPr>
            <w:rStyle w:val="Hyperlink"/>
            <w:rFonts w:ascii="Book Antiqua" w:hAnsi="Book Antiqua"/>
            <w:sz w:val="18"/>
            <w:szCs w:val="18"/>
          </w:rPr>
          <w:t>rs</w:t>
        </w:r>
        <w:r w:rsidRPr="002642F2">
          <w:rPr>
            <w:rStyle w:val="Hyperlink"/>
            <w:rFonts w:ascii="Book Antiqua" w:hAnsi="Book Antiqua"/>
            <w:sz w:val="18"/>
            <w:szCs w:val="18"/>
            <w:lang w:val="en-US"/>
          </w:rPr>
          <w:t>/</w:t>
        </w:r>
        <w:r w:rsidRPr="00D710B3">
          <w:rPr>
            <w:rStyle w:val="Hyperlink"/>
            <w:rFonts w:ascii="Book Antiqua" w:hAnsi="Book Antiqua"/>
            <w:sz w:val="18"/>
            <w:szCs w:val="18"/>
          </w:rPr>
          <w:t>index</w:t>
        </w:r>
        <w:r w:rsidRPr="002642F2">
          <w:rPr>
            <w:rStyle w:val="Hyperlink"/>
            <w:rFonts w:ascii="Book Antiqua" w:hAnsi="Book Antiqua"/>
            <w:sz w:val="18"/>
            <w:szCs w:val="18"/>
            <w:lang w:val="en-US"/>
          </w:rPr>
          <w:t>.</w:t>
        </w:r>
        <w:r w:rsidRPr="00D710B3">
          <w:rPr>
            <w:rStyle w:val="Hyperlink"/>
            <w:rFonts w:ascii="Book Antiqua" w:hAnsi="Book Antiqua"/>
            <w:sz w:val="18"/>
            <w:szCs w:val="18"/>
          </w:rPr>
          <w:t>php</w:t>
        </w:r>
        <w:r w:rsidRPr="002642F2">
          <w:rPr>
            <w:rStyle w:val="Hyperlink"/>
            <w:rFonts w:ascii="Book Antiqua" w:hAnsi="Book Antiqua"/>
            <w:sz w:val="18"/>
            <w:szCs w:val="18"/>
            <w:lang w:val="en-US"/>
          </w:rPr>
          <w:t>/2011-12-11-11-34-45/5501-</w:t>
        </w:r>
        <w:r w:rsidRPr="00D710B3">
          <w:rPr>
            <w:rStyle w:val="Hyperlink"/>
            <w:rFonts w:ascii="Book Antiqua" w:hAnsi="Book Antiqua"/>
            <w:sz w:val="18"/>
            <w:szCs w:val="18"/>
          </w:rPr>
          <w:t>ishlj</w:t>
        </w:r>
        <w:r w:rsidRPr="002642F2">
          <w:rPr>
            <w:rStyle w:val="Hyperlink"/>
            <w:rFonts w:ascii="Book Antiqua" w:hAnsi="Book Antiqua"/>
            <w:sz w:val="18"/>
            <w:szCs w:val="18"/>
            <w:lang w:val="en-US"/>
          </w:rPr>
          <w:t>-</w:t>
        </w:r>
        <w:r w:rsidRPr="00D710B3">
          <w:rPr>
            <w:rStyle w:val="Hyperlink"/>
            <w:rFonts w:ascii="Book Antiqua" w:hAnsi="Book Antiqua"/>
            <w:sz w:val="18"/>
            <w:szCs w:val="18"/>
          </w:rPr>
          <w:t>nj</w:t>
        </w:r>
        <w:r w:rsidRPr="002642F2">
          <w:rPr>
            <w:rStyle w:val="Hyperlink"/>
            <w:rFonts w:ascii="Book Antiqua" w:hAnsi="Book Antiqua"/>
            <w:sz w:val="18"/>
            <w:szCs w:val="18"/>
            <w:lang w:val="en-US"/>
          </w:rPr>
          <w:t>-</w:t>
        </w:r>
        <w:r w:rsidRPr="00D710B3">
          <w:rPr>
            <w:rStyle w:val="Hyperlink"/>
            <w:rFonts w:ascii="Book Antiqua" w:hAnsi="Book Antiqua"/>
            <w:sz w:val="18"/>
            <w:szCs w:val="18"/>
          </w:rPr>
          <w:t>z</w:t>
        </w:r>
        <w:r w:rsidRPr="002642F2">
          <w:rPr>
            <w:rStyle w:val="Hyperlink"/>
            <w:rFonts w:ascii="Book Antiqua" w:hAnsi="Book Antiqua"/>
            <w:sz w:val="18"/>
            <w:szCs w:val="18"/>
            <w:lang w:val="en-US"/>
          </w:rPr>
          <w:t>-</w:t>
        </w:r>
        <w:r w:rsidRPr="00D710B3">
          <w:rPr>
            <w:rStyle w:val="Hyperlink"/>
            <w:rFonts w:ascii="Book Antiqua" w:hAnsi="Book Antiqua"/>
            <w:sz w:val="18"/>
            <w:szCs w:val="18"/>
          </w:rPr>
          <w:t>sh</w:t>
        </w:r>
        <w:r w:rsidRPr="002642F2">
          <w:rPr>
            <w:rStyle w:val="Hyperlink"/>
            <w:rFonts w:ascii="Book Antiqua" w:hAnsi="Book Antiqua"/>
            <w:sz w:val="18"/>
            <w:szCs w:val="18"/>
            <w:lang w:val="en-US"/>
          </w:rPr>
          <w:t>-</w:t>
        </w:r>
        <w:r w:rsidRPr="00D710B3">
          <w:rPr>
            <w:rStyle w:val="Hyperlink"/>
            <w:rFonts w:ascii="Book Antiqua" w:hAnsi="Book Antiqua"/>
            <w:sz w:val="18"/>
            <w:szCs w:val="18"/>
          </w:rPr>
          <w:t>i</w:t>
        </w:r>
        <w:r w:rsidRPr="002642F2">
          <w:rPr>
            <w:rStyle w:val="Hyperlink"/>
            <w:rFonts w:ascii="Book Antiqua" w:hAnsi="Book Antiqua"/>
            <w:sz w:val="18"/>
            <w:szCs w:val="18"/>
            <w:lang w:val="en-US"/>
          </w:rPr>
          <w:t>-</w:t>
        </w:r>
        <w:r w:rsidRPr="00D710B3">
          <w:rPr>
            <w:rStyle w:val="Hyperlink"/>
            <w:rFonts w:ascii="Book Antiqua" w:hAnsi="Book Antiqua"/>
            <w:sz w:val="18"/>
            <w:szCs w:val="18"/>
          </w:rPr>
          <w:t>ni</w:t>
        </w:r>
        <w:r w:rsidRPr="002642F2">
          <w:rPr>
            <w:rStyle w:val="Hyperlink"/>
            <w:rFonts w:ascii="Book Antiqua" w:hAnsi="Book Antiqua"/>
            <w:sz w:val="18"/>
            <w:szCs w:val="18"/>
            <w:lang w:val="en-US"/>
          </w:rPr>
          <w:t>-</w:t>
        </w:r>
        <w:r w:rsidRPr="00D710B3">
          <w:rPr>
            <w:rStyle w:val="Hyperlink"/>
            <w:rFonts w:ascii="Book Antiqua" w:hAnsi="Book Antiqua"/>
            <w:sz w:val="18"/>
            <w:szCs w:val="18"/>
          </w:rPr>
          <w:t>gr</w:t>
        </w:r>
        <w:r w:rsidRPr="002642F2">
          <w:rPr>
            <w:rStyle w:val="Hyperlink"/>
            <w:rFonts w:ascii="Book Antiqua" w:hAnsi="Book Antiqua"/>
            <w:sz w:val="18"/>
            <w:szCs w:val="18"/>
            <w:lang w:val="en-US"/>
          </w:rPr>
          <w:t>-</w:t>
        </w:r>
        <w:r w:rsidRPr="00D710B3">
          <w:rPr>
            <w:rStyle w:val="Hyperlink"/>
            <w:rFonts w:ascii="Book Antiqua" w:hAnsi="Book Antiqua"/>
            <w:sz w:val="18"/>
            <w:szCs w:val="18"/>
          </w:rPr>
          <w:t>d</w:t>
        </w:r>
        <w:r w:rsidRPr="002642F2">
          <w:rPr>
            <w:rStyle w:val="Hyperlink"/>
            <w:rFonts w:ascii="Book Antiqua" w:hAnsi="Book Antiqua"/>
            <w:sz w:val="18"/>
            <w:szCs w:val="18"/>
            <w:lang w:val="en-US"/>
          </w:rPr>
          <w:t>-</w:t>
        </w:r>
        <w:r w:rsidRPr="00D710B3">
          <w:rPr>
            <w:rStyle w:val="Hyperlink"/>
            <w:rFonts w:ascii="Book Antiqua" w:hAnsi="Book Antiqua"/>
            <w:sz w:val="18"/>
            <w:szCs w:val="18"/>
          </w:rPr>
          <w:t>n</w:t>
        </w:r>
        <w:r w:rsidRPr="002642F2">
          <w:rPr>
            <w:rStyle w:val="Hyperlink"/>
            <w:rFonts w:ascii="Book Antiqua" w:hAnsi="Book Antiqua"/>
            <w:sz w:val="18"/>
            <w:szCs w:val="18"/>
            <w:lang w:val="en-US"/>
          </w:rPr>
          <w:t>-</w:t>
        </w:r>
        <w:r w:rsidRPr="00D710B3">
          <w:rPr>
            <w:rStyle w:val="Hyperlink"/>
            <w:rFonts w:ascii="Book Antiqua" w:hAnsi="Book Antiqua"/>
            <w:sz w:val="18"/>
            <w:szCs w:val="18"/>
          </w:rPr>
          <w:t>n</w:t>
        </w:r>
        <w:r w:rsidRPr="002642F2">
          <w:rPr>
            <w:rStyle w:val="Hyperlink"/>
            <w:rFonts w:ascii="Book Antiqua" w:hAnsi="Book Antiqua"/>
            <w:sz w:val="18"/>
            <w:szCs w:val="18"/>
            <w:lang w:val="en-US"/>
          </w:rPr>
          <w:t>-</w:t>
        </w:r>
        <w:r w:rsidRPr="00D710B3">
          <w:rPr>
            <w:rStyle w:val="Hyperlink"/>
            <w:rFonts w:ascii="Book Antiqua" w:hAnsi="Book Antiqua"/>
            <w:sz w:val="18"/>
            <w:szCs w:val="18"/>
          </w:rPr>
          <w:t>s</w:t>
        </w:r>
        <w:r w:rsidRPr="002642F2">
          <w:rPr>
            <w:rStyle w:val="Hyperlink"/>
            <w:rFonts w:ascii="Book Antiqua" w:hAnsi="Book Antiqua"/>
            <w:sz w:val="18"/>
            <w:szCs w:val="18"/>
            <w:lang w:val="en-US"/>
          </w:rPr>
          <w:t>-</w:t>
        </w:r>
        <w:r w:rsidRPr="00D710B3">
          <w:rPr>
            <w:rStyle w:val="Hyperlink"/>
            <w:rFonts w:ascii="Book Antiqua" w:hAnsi="Book Antiqua"/>
            <w:sz w:val="18"/>
            <w:szCs w:val="18"/>
          </w:rPr>
          <w:t>n</w:t>
        </w:r>
        <w:r w:rsidRPr="002642F2">
          <w:rPr>
            <w:rStyle w:val="Hyperlink"/>
            <w:rFonts w:ascii="Book Antiqua" w:hAnsi="Book Antiqua"/>
            <w:sz w:val="18"/>
            <w:szCs w:val="18"/>
            <w:lang w:val="en-US"/>
          </w:rPr>
          <w:t>-</w:t>
        </w:r>
        <w:r w:rsidRPr="00D710B3">
          <w:rPr>
            <w:rStyle w:val="Hyperlink"/>
            <w:rFonts w:ascii="Book Antiqua" w:hAnsi="Book Antiqua"/>
            <w:sz w:val="18"/>
            <w:szCs w:val="18"/>
          </w:rPr>
          <w:t>cr</w:t>
        </w:r>
        <w:r w:rsidRPr="002642F2">
          <w:rPr>
            <w:rStyle w:val="Hyperlink"/>
            <w:rFonts w:ascii="Book Antiqua" w:hAnsi="Book Antiqua"/>
            <w:sz w:val="18"/>
            <w:szCs w:val="18"/>
            <w:lang w:val="en-US"/>
          </w:rPr>
          <w:t>-</w:t>
        </w:r>
        <w:r w:rsidRPr="00D710B3">
          <w:rPr>
            <w:rStyle w:val="Hyperlink"/>
            <w:rFonts w:ascii="Book Antiqua" w:hAnsi="Book Antiqua"/>
            <w:sz w:val="18"/>
            <w:szCs w:val="18"/>
          </w:rPr>
          <w:t>z</w:t>
        </w:r>
        <w:r w:rsidRPr="002642F2">
          <w:rPr>
            <w:rStyle w:val="Hyperlink"/>
            <w:rFonts w:ascii="Book Antiqua" w:hAnsi="Book Antiqua"/>
            <w:sz w:val="18"/>
            <w:szCs w:val="18"/>
            <w:lang w:val="en-US"/>
          </w:rPr>
          <w:t>-</w:t>
        </w:r>
        <w:r w:rsidRPr="00D710B3">
          <w:rPr>
            <w:rStyle w:val="Hyperlink"/>
            <w:rFonts w:ascii="Book Antiqua" w:hAnsi="Book Antiqua"/>
            <w:sz w:val="18"/>
            <w:szCs w:val="18"/>
          </w:rPr>
          <w:t>n</w:t>
        </w:r>
        <w:r w:rsidRPr="002642F2">
          <w:rPr>
            <w:rStyle w:val="Hyperlink"/>
            <w:rFonts w:ascii="Book Antiqua" w:hAnsi="Book Antiqua"/>
            <w:sz w:val="18"/>
            <w:szCs w:val="18"/>
            <w:lang w:val="en-US"/>
          </w:rPr>
          <w:t>-</w:t>
        </w:r>
        <w:r w:rsidRPr="00D710B3">
          <w:rPr>
            <w:rStyle w:val="Hyperlink"/>
            <w:rFonts w:ascii="Book Antiqua" w:hAnsi="Book Antiqua"/>
            <w:sz w:val="18"/>
            <w:szCs w:val="18"/>
          </w:rPr>
          <w:t>z</w:t>
        </w:r>
        <w:r w:rsidRPr="002642F2">
          <w:rPr>
            <w:rStyle w:val="Hyperlink"/>
            <w:rFonts w:ascii="Book Antiqua" w:hAnsi="Book Antiqua"/>
            <w:sz w:val="18"/>
            <w:szCs w:val="18"/>
            <w:lang w:val="en-US"/>
          </w:rPr>
          <w:t>-</w:t>
        </w:r>
        <w:r w:rsidRPr="00D710B3">
          <w:rPr>
            <w:rStyle w:val="Hyperlink"/>
            <w:rFonts w:ascii="Book Antiqua" w:hAnsi="Book Antiqua"/>
            <w:sz w:val="18"/>
            <w:szCs w:val="18"/>
          </w:rPr>
          <w:t>p</w:t>
        </w:r>
        <w:r w:rsidRPr="002642F2">
          <w:rPr>
            <w:rStyle w:val="Hyperlink"/>
            <w:rFonts w:ascii="Book Antiqua" w:hAnsi="Book Antiqua"/>
            <w:sz w:val="18"/>
            <w:szCs w:val="18"/>
            <w:lang w:val="en-US"/>
          </w:rPr>
          <w:t>-</w:t>
        </w:r>
        <w:r w:rsidRPr="00D710B3">
          <w:rPr>
            <w:rStyle w:val="Hyperlink"/>
            <w:rFonts w:ascii="Book Antiqua" w:hAnsi="Book Antiqua"/>
            <w:sz w:val="18"/>
            <w:szCs w:val="18"/>
          </w:rPr>
          <w:t>sl</w:t>
        </w:r>
        <w:r w:rsidRPr="002642F2">
          <w:rPr>
            <w:rStyle w:val="Hyperlink"/>
            <w:rFonts w:ascii="Book Antiqua" w:hAnsi="Book Antiqua"/>
            <w:sz w:val="18"/>
            <w:szCs w:val="18"/>
            <w:lang w:val="en-US"/>
          </w:rPr>
          <w:t>-</w:t>
        </w:r>
        <w:r w:rsidRPr="00D710B3">
          <w:rPr>
            <w:rStyle w:val="Hyperlink"/>
            <w:rFonts w:ascii="Book Antiqua" w:hAnsi="Book Antiqua"/>
            <w:sz w:val="18"/>
            <w:szCs w:val="18"/>
          </w:rPr>
          <w:t>ni</w:t>
        </w:r>
        <w:r w:rsidRPr="002642F2">
          <w:rPr>
            <w:rStyle w:val="Hyperlink"/>
            <w:rFonts w:ascii="Book Antiqua" w:hAnsi="Book Antiqua"/>
            <w:sz w:val="18"/>
            <w:szCs w:val="18"/>
            <w:lang w:val="en-US"/>
          </w:rPr>
          <w:t>-</w:t>
        </w:r>
        <w:r w:rsidRPr="00D710B3">
          <w:rPr>
            <w:rStyle w:val="Hyperlink"/>
            <w:rFonts w:ascii="Book Antiqua" w:hAnsi="Book Antiqua"/>
            <w:sz w:val="18"/>
            <w:szCs w:val="18"/>
          </w:rPr>
          <w:t>u</w:t>
        </w:r>
        <w:r w:rsidRPr="002642F2">
          <w:rPr>
            <w:rStyle w:val="Hyperlink"/>
            <w:rFonts w:ascii="Book Antiqua" w:hAnsi="Book Antiqua"/>
            <w:sz w:val="18"/>
            <w:szCs w:val="18"/>
            <w:lang w:val="en-US"/>
          </w:rPr>
          <w:t>-</w:t>
        </w:r>
        <w:r w:rsidRPr="00D710B3">
          <w:rPr>
            <w:rStyle w:val="Hyperlink"/>
            <w:rFonts w:ascii="Book Antiqua" w:hAnsi="Book Antiqua"/>
            <w:sz w:val="18"/>
            <w:szCs w:val="18"/>
          </w:rPr>
          <w:t>vni</w:t>
        </w:r>
        <w:r w:rsidRPr="002642F2">
          <w:rPr>
            <w:rStyle w:val="Hyperlink"/>
            <w:rFonts w:ascii="Book Antiqua" w:hAnsi="Book Antiqua"/>
            <w:sz w:val="18"/>
            <w:szCs w:val="18"/>
            <w:lang w:val="en-US"/>
          </w:rPr>
          <w:t>-</w:t>
        </w:r>
        <w:r w:rsidRPr="00D710B3">
          <w:rPr>
            <w:rStyle w:val="Hyperlink"/>
            <w:rFonts w:ascii="Book Antiqua" w:hAnsi="Book Antiqua"/>
            <w:sz w:val="18"/>
            <w:szCs w:val="18"/>
          </w:rPr>
          <w:t>sluzb</w:t>
        </w:r>
      </w:hyperlink>
      <w:r w:rsidRPr="00D710B3">
        <w:rPr>
          <w:rStyle w:val="Hyperlink"/>
          <w:rFonts w:ascii="Book Antiqua" w:hAnsi="Book Antiqua"/>
          <w:sz w:val="18"/>
          <w:szCs w:val="18"/>
        </w:rPr>
        <w:t xml:space="preserve">. </w:t>
      </w:r>
    </w:p>
  </w:footnote>
  <w:footnote w:id="20">
    <w:p w:rsidR="0058233A" w:rsidRPr="00D710B3" w:rsidRDefault="0058233A" w:rsidP="00DB506B">
      <w:pPr>
        <w:pStyle w:val="FootnoteText"/>
        <w:rPr>
          <w:rFonts w:ascii="Book Antiqua" w:hAnsi="Book Antiqua"/>
          <w:sz w:val="18"/>
          <w:szCs w:val="18"/>
        </w:rPr>
      </w:pPr>
      <w:r w:rsidRPr="00D710B3">
        <w:rPr>
          <w:rStyle w:val="FootnoteReference"/>
          <w:rFonts w:ascii="Book Antiqua" w:hAnsi="Book Antiqua"/>
          <w:sz w:val="18"/>
          <w:szCs w:val="18"/>
        </w:rPr>
        <w:footnoteRef/>
      </w:r>
      <w:r w:rsidRPr="002642F2">
        <w:rPr>
          <w:rFonts w:ascii="Book Antiqua" w:hAnsi="Book Antiqua"/>
          <w:sz w:val="18"/>
          <w:szCs w:val="18"/>
          <w:lang w:val="en-US"/>
        </w:rPr>
        <w:t xml:space="preserve"> "Official Gazette of the RS", </w:t>
      </w:r>
      <w:r>
        <w:rPr>
          <w:rFonts w:ascii="Book Antiqua" w:hAnsi="Book Antiqua"/>
          <w:sz w:val="18"/>
          <w:szCs w:val="18"/>
        </w:rPr>
        <w:t>number</w:t>
      </w:r>
      <w:r w:rsidRPr="002642F2">
        <w:rPr>
          <w:rFonts w:ascii="Book Antiqua" w:hAnsi="Book Antiqua"/>
          <w:sz w:val="18"/>
          <w:szCs w:val="18"/>
          <w:lang w:val="en-US"/>
        </w:rPr>
        <w:t xml:space="preserve"> 113/17</w:t>
      </w:r>
      <w:r w:rsidRPr="00D710B3">
        <w:rPr>
          <w:rFonts w:ascii="Book Antiqua" w:hAnsi="Book Antiqua"/>
          <w:sz w:val="18"/>
          <w:szCs w:val="18"/>
        </w:rPr>
        <w:t>.</w:t>
      </w:r>
    </w:p>
  </w:footnote>
  <w:footnote w:id="21">
    <w:p w:rsidR="0058233A" w:rsidRPr="00D710B3" w:rsidRDefault="0058233A" w:rsidP="00DB506B">
      <w:pPr>
        <w:pStyle w:val="FootnoteText"/>
        <w:rPr>
          <w:rFonts w:ascii="Book Antiqua" w:hAnsi="Book Antiqua"/>
          <w:sz w:val="18"/>
          <w:szCs w:val="18"/>
        </w:rPr>
      </w:pPr>
      <w:r w:rsidRPr="00D710B3">
        <w:rPr>
          <w:rStyle w:val="FootnoteReference"/>
          <w:rFonts w:ascii="Book Antiqua" w:hAnsi="Book Antiqua"/>
          <w:sz w:val="18"/>
          <w:szCs w:val="18"/>
        </w:rPr>
        <w:footnoteRef/>
      </w:r>
      <w:r>
        <w:rPr>
          <w:rFonts w:ascii="Book Antiqua" w:hAnsi="Book Antiqua"/>
          <w:sz w:val="18"/>
          <w:szCs w:val="18"/>
        </w:rPr>
        <w:t xml:space="preserve"> Article</w:t>
      </w:r>
      <w:r w:rsidRPr="00D710B3">
        <w:rPr>
          <w:rFonts w:ascii="Book Antiqua" w:hAnsi="Book Antiqua"/>
          <w:sz w:val="18"/>
          <w:szCs w:val="18"/>
        </w:rPr>
        <w:t xml:space="preserve"> 58. </w:t>
      </w:r>
      <w:r>
        <w:rPr>
          <w:rFonts w:ascii="Book Antiqua" w:hAnsi="Book Antiqua"/>
          <w:sz w:val="18"/>
          <w:szCs w:val="18"/>
        </w:rPr>
        <w:t>of the Law on employees in public services</w:t>
      </w:r>
      <w:r w:rsidRPr="00D710B3">
        <w:rPr>
          <w:rFonts w:ascii="Book Antiqua" w:hAnsi="Book Antiqua"/>
          <w:sz w:val="18"/>
          <w:szCs w:val="18"/>
        </w:rPr>
        <w:t xml:space="preserve">, </w:t>
      </w:r>
      <w:r w:rsidRPr="002642F2">
        <w:rPr>
          <w:rFonts w:ascii="Book Antiqua" w:hAnsi="Book Antiqua"/>
          <w:sz w:val="18"/>
          <w:szCs w:val="18"/>
          <w:lang w:val="en-US"/>
        </w:rPr>
        <w:t xml:space="preserve">"Official Gazette of the RS", </w:t>
      </w:r>
      <w:r>
        <w:rPr>
          <w:rFonts w:ascii="Book Antiqua" w:hAnsi="Book Antiqua"/>
          <w:sz w:val="18"/>
          <w:szCs w:val="18"/>
        </w:rPr>
        <w:t>number</w:t>
      </w:r>
      <w:r w:rsidRPr="002642F2">
        <w:rPr>
          <w:rFonts w:ascii="Book Antiqua" w:hAnsi="Book Antiqua"/>
          <w:sz w:val="18"/>
          <w:szCs w:val="18"/>
          <w:lang w:val="en-US"/>
        </w:rPr>
        <w:t xml:space="preserve"> 113/17</w:t>
      </w:r>
      <w:r w:rsidRPr="00D710B3">
        <w:rPr>
          <w:rFonts w:ascii="Book Antiqua" w:hAnsi="Book Antiqua"/>
          <w:sz w:val="18"/>
          <w:szCs w:val="18"/>
        </w:rPr>
        <w:t>.</w:t>
      </w:r>
    </w:p>
  </w:footnote>
  <w:footnote w:id="22">
    <w:p w:rsidR="0058233A" w:rsidRPr="00D710B3" w:rsidRDefault="0058233A" w:rsidP="00DB506B">
      <w:pPr>
        <w:pStyle w:val="FootnoteText"/>
        <w:rPr>
          <w:rFonts w:ascii="Book Antiqua" w:hAnsi="Book Antiqua"/>
          <w:sz w:val="18"/>
          <w:szCs w:val="18"/>
        </w:rPr>
      </w:pPr>
      <w:r w:rsidRPr="00D710B3">
        <w:rPr>
          <w:rStyle w:val="FootnoteReference"/>
          <w:rFonts w:ascii="Book Antiqua" w:hAnsi="Book Antiqua"/>
          <w:sz w:val="18"/>
          <w:szCs w:val="18"/>
        </w:rPr>
        <w:footnoteRef/>
      </w:r>
      <w:r>
        <w:rPr>
          <w:rFonts w:ascii="Book Antiqua" w:hAnsi="Book Antiqua"/>
          <w:sz w:val="18"/>
          <w:szCs w:val="18"/>
        </w:rPr>
        <w:t>Available at</w:t>
      </w:r>
      <w:r w:rsidRPr="00D710B3">
        <w:rPr>
          <w:rFonts w:ascii="Book Antiqua" w:hAnsi="Book Antiqua"/>
          <w:sz w:val="18"/>
          <w:szCs w:val="18"/>
        </w:rPr>
        <w:t xml:space="preserve">: </w:t>
      </w:r>
      <w:hyperlink r:id="rId11" w:history="1">
        <w:r w:rsidRPr="00D710B3">
          <w:rPr>
            <w:rStyle w:val="Hyperlink"/>
            <w:rFonts w:ascii="Book Antiqua" w:hAnsi="Book Antiqua"/>
            <w:sz w:val="18"/>
            <w:szCs w:val="18"/>
          </w:rPr>
          <w:t>https://www.ombudsman.rs/attachments/article/5902/Zastitnik%20gradjana%20engleski.pdf</w:t>
        </w:r>
      </w:hyperlink>
      <w:r w:rsidRPr="00D710B3">
        <w:rPr>
          <w:rFonts w:ascii="Book Antiqua" w:hAnsi="Book Antiqua"/>
          <w:sz w:val="18"/>
          <w:szCs w:val="18"/>
        </w:rPr>
        <w:t xml:space="preserve">. </w:t>
      </w:r>
    </w:p>
  </w:footnote>
  <w:footnote w:id="23">
    <w:p w:rsidR="0058233A" w:rsidRPr="00FF658E" w:rsidRDefault="0058233A" w:rsidP="00DB506B">
      <w:pPr>
        <w:pStyle w:val="FootnoteText"/>
        <w:rPr>
          <w:rFonts w:ascii="Book Antiqua" w:hAnsi="Book Antiqua"/>
          <w:sz w:val="18"/>
          <w:szCs w:val="18"/>
        </w:rPr>
      </w:pPr>
      <w:r w:rsidRPr="00D710B3">
        <w:rPr>
          <w:rStyle w:val="FootnoteReference"/>
          <w:rFonts w:ascii="Book Antiqua" w:hAnsi="Book Antiqua"/>
          <w:sz w:val="18"/>
          <w:szCs w:val="18"/>
        </w:rPr>
        <w:footnoteRef/>
      </w:r>
      <w:r w:rsidRPr="0058233A">
        <w:rPr>
          <w:rFonts w:ascii="Book Antiqua" w:hAnsi="Book Antiqua"/>
          <w:sz w:val="18"/>
          <w:szCs w:val="18"/>
        </w:rPr>
        <w:t>Concluding observations on the third periodic report of Serbia on the Implementation of the International Covenant on Civil and Political Rights, available at</w:t>
      </w:r>
      <w:r w:rsidRPr="00D710B3">
        <w:rPr>
          <w:rFonts w:ascii="Book Antiqua" w:hAnsi="Book Antiqua"/>
          <w:sz w:val="18"/>
          <w:szCs w:val="18"/>
        </w:rPr>
        <w:t>:</w:t>
      </w:r>
      <w:r>
        <w:rPr>
          <w:rFonts w:ascii="Book Antiqua" w:hAnsi="Book Antiqua"/>
          <w:sz w:val="18"/>
          <w:szCs w:val="18"/>
        </w:rPr>
        <w:t xml:space="preserve"> </w:t>
      </w:r>
      <w:hyperlink r:id="rId12" w:history="1">
        <w:r w:rsidRPr="00D710B3">
          <w:rPr>
            <w:rStyle w:val="Hyperlink"/>
            <w:rFonts w:ascii="Book Antiqua" w:hAnsi="Book Antiqua"/>
            <w:sz w:val="18"/>
            <w:szCs w:val="18"/>
          </w:rPr>
          <w:t>http</w:t>
        </w:r>
        <w:r w:rsidRPr="002642F2">
          <w:rPr>
            <w:rStyle w:val="Hyperlink"/>
            <w:rFonts w:ascii="Book Antiqua" w:hAnsi="Book Antiqua"/>
            <w:sz w:val="18"/>
            <w:szCs w:val="18"/>
            <w:lang w:val="en-US"/>
          </w:rPr>
          <w:t>://</w:t>
        </w:r>
        <w:r w:rsidRPr="00D710B3">
          <w:rPr>
            <w:rStyle w:val="Hyperlink"/>
            <w:rFonts w:ascii="Book Antiqua" w:hAnsi="Book Antiqua"/>
            <w:sz w:val="18"/>
            <w:szCs w:val="18"/>
          </w:rPr>
          <w:t>www</w:t>
        </w:r>
        <w:r w:rsidRPr="002642F2">
          <w:rPr>
            <w:rStyle w:val="Hyperlink"/>
            <w:rFonts w:ascii="Book Antiqua" w:hAnsi="Book Antiqua"/>
            <w:sz w:val="18"/>
            <w:szCs w:val="18"/>
            <w:lang w:val="en-US"/>
          </w:rPr>
          <w:t>.</w:t>
        </w:r>
        <w:r w:rsidRPr="00D710B3">
          <w:rPr>
            <w:rStyle w:val="Hyperlink"/>
            <w:rFonts w:ascii="Book Antiqua" w:hAnsi="Book Antiqua"/>
            <w:sz w:val="18"/>
            <w:szCs w:val="18"/>
          </w:rPr>
          <w:t>ljudskaprava</w:t>
        </w:r>
        <w:r w:rsidRPr="002642F2">
          <w:rPr>
            <w:rStyle w:val="Hyperlink"/>
            <w:rFonts w:ascii="Book Antiqua" w:hAnsi="Book Antiqua"/>
            <w:sz w:val="18"/>
            <w:szCs w:val="18"/>
            <w:lang w:val="en-US"/>
          </w:rPr>
          <w:t>.</w:t>
        </w:r>
        <w:r w:rsidRPr="00D710B3">
          <w:rPr>
            <w:rStyle w:val="Hyperlink"/>
            <w:rFonts w:ascii="Book Antiqua" w:hAnsi="Book Antiqua"/>
            <w:sz w:val="18"/>
            <w:szCs w:val="18"/>
          </w:rPr>
          <w:t>gov</w:t>
        </w:r>
        <w:r w:rsidRPr="002642F2">
          <w:rPr>
            <w:rStyle w:val="Hyperlink"/>
            <w:rFonts w:ascii="Book Antiqua" w:hAnsi="Book Antiqua"/>
            <w:sz w:val="18"/>
            <w:szCs w:val="18"/>
            <w:lang w:val="en-US"/>
          </w:rPr>
          <w:t>.</w:t>
        </w:r>
        <w:r w:rsidRPr="00D710B3">
          <w:rPr>
            <w:rStyle w:val="Hyperlink"/>
            <w:rFonts w:ascii="Book Antiqua" w:hAnsi="Book Antiqua"/>
            <w:sz w:val="18"/>
            <w:szCs w:val="18"/>
          </w:rPr>
          <w:t>rs</w:t>
        </w:r>
        <w:r w:rsidRPr="002642F2">
          <w:rPr>
            <w:rStyle w:val="Hyperlink"/>
            <w:rFonts w:ascii="Book Antiqua" w:hAnsi="Book Antiqua"/>
            <w:sz w:val="18"/>
            <w:szCs w:val="18"/>
            <w:lang w:val="en-US"/>
          </w:rPr>
          <w:t>/</w:t>
        </w:r>
        <w:r w:rsidRPr="00D710B3">
          <w:rPr>
            <w:rStyle w:val="Hyperlink"/>
            <w:rFonts w:ascii="Book Antiqua" w:hAnsi="Book Antiqua"/>
            <w:sz w:val="18"/>
            <w:szCs w:val="18"/>
          </w:rPr>
          <w:t>sites</w:t>
        </w:r>
        <w:r w:rsidRPr="002642F2">
          <w:rPr>
            <w:rStyle w:val="Hyperlink"/>
            <w:rFonts w:ascii="Book Antiqua" w:hAnsi="Book Antiqua"/>
            <w:sz w:val="18"/>
            <w:szCs w:val="18"/>
            <w:lang w:val="en-US"/>
          </w:rPr>
          <w:t>/</w:t>
        </w:r>
        <w:r w:rsidRPr="00D710B3">
          <w:rPr>
            <w:rStyle w:val="Hyperlink"/>
            <w:rFonts w:ascii="Book Antiqua" w:hAnsi="Book Antiqua"/>
            <w:sz w:val="18"/>
            <w:szCs w:val="18"/>
          </w:rPr>
          <w:t>default</w:t>
        </w:r>
        <w:r w:rsidRPr="002642F2">
          <w:rPr>
            <w:rStyle w:val="Hyperlink"/>
            <w:rFonts w:ascii="Book Antiqua" w:hAnsi="Book Antiqua"/>
            <w:sz w:val="18"/>
            <w:szCs w:val="18"/>
            <w:lang w:val="en-US"/>
          </w:rPr>
          <w:t>/</w:t>
        </w:r>
        <w:r w:rsidRPr="00D710B3">
          <w:rPr>
            <w:rStyle w:val="Hyperlink"/>
            <w:rFonts w:ascii="Book Antiqua" w:hAnsi="Book Antiqua"/>
            <w:sz w:val="18"/>
            <w:szCs w:val="18"/>
          </w:rPr>
          <w:t>files</w:t>
        </w:r>
        <w:r w:rsidRPr="002642F2">
          <w:rPr>
            <w:rStyle w:val="Hyperlink"/>
            <w:rFonts w:ascii="Book Antiqua" w:hAnsi="Book Antiqua"/>
            <w:sz w:val="18"/>
            <w:szCs w:val="18"/>
            <w:lang w:val="en-US"/>
          </w:rPr>
          <w:t>/</w:t>
        </w:r>
        <w:r w:rsidRPr="00D710B3">
          <w:rPr>
            <w:rStyle w:val="Hyperlink"/>
            <w:rFonts w:ascii="Book Antiqua" w:hAnsi="Book Antiqua"/>
            <w:sz w:val="18"/>
            <w:szCs w:val="18"/>
          </w:rPr>
          <w:t>dokument</w:t>
        </w:r>
        <w:r w:rsidRPr="002642F2">
          <w:rPr>
            <w:rStyle w:val="Hyperlink"/>
            <w:rFonts w:ascii="Book Antiqua" w:hAnsi="Book Antiqua"/>
            <w:sz w:val="18"/>
            <w:szCs w:val="18"/>
            <w:lang w:val="en-US"/>
          </w:rPr>
          <w:t>_</w:t>
        </w:r>
        <w:r w:rsidRPr="00D710B3">
          <w:rPr>
            <w:rStyle w:val="Hyperlink"/>
            <w:rFonts w:ascii="Book Antiqua" w:hAnsi="Book Antiqua"/>
            <w:sz w:val="18"/>
            <w:szCs w:val="18"/>
          </w:rPr>
          <w:t>file</w:t>
        </w:r>
        <w:r w:rsidRPr="002642F2">
          <w:rPr>
            <w:rStyle w:val="Hyperlink"/>
            <w:rFonts w:ascii="Book Antiqua" w:hAnsi="Book Antiqua"/>
            <w:sz w:val="18"/>
            <w:szCs w:val="18"/>
            <w:lang w:val="en-US"/>
          </w:rPr>
          <w:t>/</w:t>
        </w:r>
        <w:r w:rsidRPr="00D710B3">
          <w:rPr>
            <w:rStyle w:val="Hyperlink"/>
            <w:rFonts w:ascii="Book Antiqua" w:hAnsi="Book Antiqua"/>
            <w:sz w:val="18"/>
            <w:szCs w:val="18"/>
          </w:rPr>
          <w:t>zakljucna</w:t>
        </w:r>
        <w:r w:rsidRPr="002642F2">
          <w:rPr>
            <w:rStyle w:val="Hyperlink"/>
            <w:rFonts w:ascii="Book Antiqua" w:hAnsi="Book Antiqua"/>
            <w:sz w:val="18"/>
            <w:szCs w:val="18"/>
            <w:lang w:val="en-US"/>
          </w:rPr>
          <w:t>_</w:t>
        </w:r>
        <w:r w:rsidRPr="00D710B3">
          <w:rPr>
            <w:rStyle w:val="Hyperlink"/>
            <w:rFonts w:ascii="Book Antiqua" w:hAnsi="Book Antiqua"/>
            <w:sz w:val="18"/>
            <w:szCs w:val="18"/>
          </w:rPr>
          <w:t>zapazanja</w:t>
        </w:r>
        <w:r w:rsidRPr="002642F2">
          <w:rPr>
            <w:rStyle w:val="Hyperlink"/>
            <w:rFonts w:ascii="Book Antiqua" w:hAnsi="Book Antiqua"/>
            <w:sz w:val="18"/>
            <w:szCs w:val="18"/>
            <w:lang w:val="en-US"/>
          </w:rPr>
          <w:t>_</w:t>
        </w:r>
        <w:r w:rsidRPr="00D710B3">
          <w:rPr>
            <w:rStyle w:val="Hyperlink"/>
            <w:rFonts w:ascii="Book Antiqua" w:hAnsi="Book Antiqua"/>
            <w:sz w:val="18"/>
            <w:szCs w:val="18"/>
          </w:rPr>
          <w:t>komitetaccpr</w:t>
        </w:r>
        <w:r w:rsidRPr="002642F2">
          <w:rPr>
            <w:rStyle w:val="Hyperlink"/>
            <w:rFonts w:ascii="Book Antiqua" w:hAnsi="Book Antiqua"/>
            <w:sz w:val="18"/>
            <w:szCs w:val="18"/>
            <w:lang w:val="en-US"/>
          </w:rPr>
          <w:t>_</w:t>
        </w:r>
        <w:r w:rsidRPr="00D710B3">
          <w:rPr>
            <w:rStyle w:val="Hyperlink"/>
            <w:rFonts w:ascii="Book Antiqua" w:hAnsi="Book Antiqua"/>
            <w:sz w:val="18"/>
            <w:szCs w:val="18"/>
          </w:rPr>
          <w:t>c</w:t>
        </w:r>
        <w:r w:rsidRPr="002642F2">
          <w:rPr>
            <w:rStyle w:val="Hyperlink"/>
            <w:rFonts w:ascii="Book Antiqua" w:hAnsi="Book Antiqua"/>
            <w:sz w:val="18"/>
            <w:szCs w:val="18"/>
            <w:lang w:val="en-US"/>
          </w:rPr>
          <w:t>_</w:t>
        </w:r>
        <w:r w:rsidRPr="00D710B3">
          <w:rPr>
            <w:rStyle w:val="Hyperlink"/>
            <w:rFonts w:ascii="Book Antiqua" w:hAnsi="Book Antiqua"/>
            <w:sz w:val="18"/>
            <w:szCs w:val="18"/>
          </w:rPr>
          <w:t>srb</w:t>
        </w:r>
        <w:r w:rsidRPr="002642F2">
          <w:rPr>
            <w:rStyle w:val="Hyperlink"/>
            <w:rFonts w:ascii="Book Antiqua" w:hAnsi="Book Antiqua"/>
            <w:sz w:val="18"/>
            <w:szCs w:val="18"/>
            <w:lang w:val="en-US"/>
          </w:rPr>
          <w:t>_</w:t>
        </w:r>
        <w:r w:rsidRPr="00D710B3">
          <w:rPr>
            <w:rStyle w:val="Hyperlink"/>
            <w:rFonts w:ascii="Book Antiqua" w:hAnsi="Book Antiqua"/>
            <w:sz w:val="18"/>
            <w:szCs w:val="18"/>
          </w:rPr>
          <w:t>co</w:t>
        </w:r>
        <w:r w:rsidRPr="002642F2">
          <w:rPr>
            <w:rStyle w:val="Hyperlink"/>
            <w:rFonts w:ascii="Book Antiqua" w:hAnsi="Book Antiqua"/>
            <w:sz w:val="18"/>
            <w:szCs w:val="18"/>
            <w:lang w:val="en-US"/>
          </w:rPr>
          <w:t>_3_27019_</w:t>
        </w:r>
        <w:r w:rsidRPr="00D710B3">
          <w:rPr>
            <w:rStyle w:val="Hyperlink"/>
            <w:rFonts w:ascii="Book Antiqua" w:hAnsi="Book Antiqua"/>
            <w:sz w:val="18"/>
            <w:szCs w:val="18"/>
          </w:rPr>
          <w:t>e</w:t>
        </w:r>
        <w:r w:rsidRPr="002642F2">
          <w:rPr>
            <w:rStyle w:val="Hyperlink"/>
            <w:rFonts w:ascii="Book Antiqua" w:hAnsi="Book Antiqua"/>
            <w:sz w:val="18"/>
            <w:szCs w:val="18"/>
            <w:lang w:val="en-US"/>
          </w:rPr>
          <w:t>_</w:t>
        </w:r>
        <w:r w:rsidRPr="00D710B3">
          <w:rPr>
            <w:rStyle w:val="Hyperlink"/>
            <w:rFonts w:ascii="Book Antiqua" w:hAnsi="Book Antiqua"/>
            <w:sz w:val="18"/>
            <w:szCs w:val="18"/>
          </w:rPr>
          <w:t>srp</w:t>
        </w:r>
        <w:r w:rsidRPr="002642F2">
          <w:rPr>
            <w:rStyle w:val="Hyperlink"/>
            <w:rFonts w:ascii="Book Antiqua" w:hAnsi="Book Antiqua"/>
            <w:sz w:val="18"/>
            <w:szCs w:val="18"/>
            <w:lang w:val="en-US"/>
          </w:rPr>
          <w:t>.</w:t>
        </w:r>
        <w:r w:rsidRPr="00D710B3">
          <w:rPr>
            <w:rStyle w:val="Hyperlink"/>
            <w:rFonts w:ascii="Book Antiqua" w:hAnsi="Book Antiqua"/>
            <w:sz w:val="18"/>
            <w:szCs w:val="18"/>
          </w:rPr>
          <w:t>pdf</w:t>
        </w:r>
      </w:hyperlink>
      <w:r w:rsidRPr="00FF658E">
        <w:rPr>
          <w:rStyle w:val="Hyperlink"/>
          <w:rFonts w:ascii="Book Antiqua" w:hAnsi="Book Antiqu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3A" w:rsidRDefault="0058233A" w:rsidP="00E8471B">
    <w:pPr>
      <w:pStyle w:val="Header"/>
      <w:tabs>
        <w:tab w:val="clear" w:pos="8640"/>
        <w:tab w:val="right" w:pos="9720"/>
      </w:tabs>
      <w:rPr>
        <w:rStyle w:val="PageNumber"/>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642F2">
      <w:rPr>
        <w:rStyle w:val="PageNumber"/>
        <w:noProof/>
      </w:rPr>
      <w:t>2</w:t>
    </w:r>
    <w:r>
      <w:rPr>
        <w:rStyle w:val="PageNumber"/>
      </w:rPr>
      <w:fldChar w:fldCharType="end"/>
    </w:r>
  </w:p>
  <w:p w:rsidR="0058233A" w:rsidRPr="00AA62CD" w:rsidRDefault="0058233A">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600"/>
      <w:gridCol w:w="2520"/>
      <w:gridCol w:w="3240"/>
    </w:tblGrid>
    <w:tr w:rsidR="0058233A" w:rsidRPr="00A0248D">
      <w:tc>
        <w:tcPr>
          <w:tcW w:w="3600" w:type="dxa"/>
        </w:tcPr>
        <w:p w:rsidR="0058233A" w:rsidRPr="00A0248D" w:rsidRDefault="0058233A" w:rsidP="00DE33FD">
          <w:pPr>
            <w:pStyle w:val="BodyTextIndent"/>
            <w:tabs>
              <w:tab w:val="left" w:pos="552"/>
              <w:tab w:val="center" w:pos="1368"/>
            </w:tabs>
            <w:ind w:firstLine="0"/>
            <w:jc w:val="center"/>
            <w:rPr>
              <w:rFonts w:ascii="Book Antiqua" w:hAnsi="Book Antiqua"/>
              <w:spacing w:val="6"/>
              <w:sz w:val="22"/>
              <w:szCs w:val="22"/>
            </w:rPr>
          </w:pPr>
          <w:r>
            <w:rPr>
              <w:noProof/>
              <w:lang w:val="en-US"/>
            </w:rPr>
            <w:drawing>
              <wp:inline distT="0" distB="0" distL="0" distR="0">
                <wp:extent cx="471170" cy="947420"/>
                <wp:effectExtent l="0" t="0" r="5080" b="508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947420"/>
                        </a:xfrm>
                        <a:prstGeom prst="rect">
                          <a:avLst/>
                        </a:prstGeom>
                        <a:noFill/>
                        <a:ln>
                          <a:noFill/>
                        </a:ln>
                      </pic:spPr>
                    </pic:pic>
                  </a:graphicData>
                </a:graphic>
              </wp:inline>
            </w:drawing>
          </w:r>
        </w:p>
      </w:tc>
      <w:tc>
        <w:tcPr>
          <w:tcW w:w="2520" w:type="dxa"/>
        </w:tcPr>
        <w:p w:rsidR="0058233A" w:rsidRPr="00A0248D" w:rsidRDefault="0058233A" w:rsidP="00DE33FD">
          <w:pPr>
            <w:pStyle w:val="BodyTextIndent"/>
            <w:ind w:firstLine="0"/>
            <w:jc w:val="left"/>
            <w:rPr>
              <w:rFonts w:ascii="Book Antiqua" w:hAnsi="Book Antiqua"/>
              <w:spacing w:val="6"/>
              <w:sz w:val="22"/>
              <w:szCs w:val="22"/>
            </w:rPr>
          </w:pPr>
        </w:p>
      </w:tc>
      <w:tc>
        <w:tcPr>
          <w:tcW w:w="3240" w:type="dxa"/>
          <w:vMerge w:val="restart"/>
        </w:tcPr>
        <w:p w:rsidR="0058233A" w:rsidRDefault="0058233A" w:rsidP="00CA022A">
          <w:pPr>
            <w:pStyle w:val="BodyTextIndent"/>
            <w:ind w:firstLine="0"/>
            <w:jc w:val="center"/>
            <w:rPr>
              <w:rFonts w:ascii="Book Antiqua" w:hAnsi="Book Antiqua"/>
              <w:spacing w:val="6"/>
              <w:sz w:val="22"/>
              <w:szCs w:val="22"/>
              <w:lang w:val="en-US"/>
            </w:rPr>
          </w:pPr>
        </w:p>
        <w:p w:rsidR="0058233A" w:rsidRPr="00CA022A" w:rsidRDefault="0058233A" w:rsidP="00CA022A">
          <w:pPr>
            <w:pStyle w:val="BodyTextIndent"/>
            <w:ind w:firstLine="0"/>
            <w:jc w:val="center"/>
            <w:rPr>
              <w:rFonts w:ascii="Book Antiqua" w:hAnsi="Book Antiqua"/>
              <w:spacing w:val="6"/>
              <w:sz w:val="22"/>
              <w:szCs w:val="22"/>
              <w:lang w:val="en-US"/>
            </w:rPr>
          </w:pPr>
          <w:r w:rsidRPr="00841D3E">
            <w:rPr>
              <w:rFonts w:ascii="Book Antiqua" w:hAnsi="Book Antiqua"/>
              <w:noProof/>
              <w:spacing w:val="6"/>
              <w:sz w:val="22"/>
              <w:szCs w:val="22"/>
              <w:lang w:val="en-US"/>
            </w:rPr>
            <w:drawing>
              <wp:inline distT="0" distB="0" distL="0" distR="0">
                <wp:extent cx="1884045" cy="1601470"/>
                <wp:effectExtent l="0" t="0" r="1905" b="0"/>
                <wp:docPr id="2" name="Picture 2" descr="logo ombudsma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udsman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045" cy="1601470"/>
                        </a:xfrm>
                        <a:prstGeom prst="rect">
                          <a:avLst/>
                        </a:prstGeom>
                        <a:noFill/>
                        <a:ln>
                          <a:noFill/>
                        </a:ln>
                      </pic:spPr>
                    </pic:pic>
                  </a:graphicData>
                </a:graphic>
              </wp:inline>
            </w:drawing>
          </w:r>
        </w:p>
      </w:tc>
    </w:tr>
    <w:tr w:rsidR="0058233A" w:rsidRPr="00A0248D">
      <w:tc>
        <w:tcPr>
          <w:tcW w:w="3600" w:type="dxa"/>
          <w:tcBorders>
            <w:bottom w:val="single" w:sz="4" w:space="0" w:color="auto"/>
          </w:tcBorders>
        </w:tcPr>
        <w:p w:rsidR="0058233A" w:rsidRPr="00FF658E" w:rsidRDefault="0058233A" w:rsidP="00DE33FD">
          <w:pPr>
            <w:pStyle w:val="BodyTextIndent"/>
            <w:ind w:firstLine="0"/>
            <w:jc w:val="center"/>
            <w:rPr>
              <w:rFonts w:ascii="Georgia" w:eastAsia="Arial Unicode MS" w:hAnsi="Georgia" w:cs="Arial Unicode MS"/>
              <w:b/>
              <w:bCs/>
              <w:sz w:val="22"/>
              <w:szCs w:val="22"/>
              <w:lang w:val="sr-Latn-CS"/>
            </w:rPr>
          </w:pPr>
        </w:p>
        <w:p w:rsidR="0058233A" w:rsidRPr="00FF658E" w:rsidRDefault="0058233A" w:rsidP="00DE33FD">
          <w:pPr>
            <w:pStyle w:val="BodyTextIndent"/>
            <w:ind w:firstLine="0"/>
            <w:jc w:val="center"/>
            <w:rPr>
              <w:rFonts w:ascii="Georgia" w:eastAsia="Arial Unicode MS" w:hAnsi="Georgia" w:cs="Arial Unicode MS"/>
              <w:b/>
              <w:bCs/>
              <w:sz w:val="22"/>
              <w:szCs w:val="22"/>
              <w:lang w:val="en-US"/>
            </w:rPr>
          </w:pPr>
          <w:r w:rsidRPr="00FF658E">
            <w:rPr>
              <w:rFonts w:ascii="Georgia" w:eastAsia="Arial Unicode MS" w:hAnsi="Georgia" w:cs="Arial Unicode MS"/>
              <w:b/>
              <w:bCs/>
              <w:sz w:val="22"/>
              <w:szCs w:val="22"/>
              <w:lang w:val="en-US"/>
            </w:rPr>
            <w:t>REPUBLIC OF SERBIA</w:t>
          </w:r>
        </w:p>
        <w:p w:rsidR="0058233A" w:rsidRPr="00FF658E" w:rsidRDefault="0058233A" w:rsidP="00DE33FD">
          <w:pPr>
            <w:pStyle w:val="BodyTextIndent"/>
            <w:ind w:firstLine="0"/>
            <w:jc w:val="center"/>
            <w:rPr>
              <w:rFonts w:ascii="Georgia" w:eastAsia="Arial Unicode MS" w:hAnsi="Georgia" w:cs="Arial Unicode MS"/>
              <w:bCs/>
              <w:sz w:val="22"/>
              <w:szCs w:val="22"/>
            </w:rPr>
          </w:pPr>
          <w:r w:rsidRPr="00FF658E">
            <w:rPr>
              <w:rFonts w:ascii="Georgia" w:eastAsia="Arial Unicode MS" w:hAnsi="Georgia" w:cs="Arial Unicode MS"/>
              <w:bCs/>
              <w:sz w:val="22"/>
              <w:szCs w:val="22"/>
            </w:rPr>
            <w:t>346-444/19</w:t>
          </w:r>
        </w:p>
        <w:p w:rsidR="0058233A" w:rsidRPr="00FF658E" w:rsidRDefault="0058233A" w:rsidP="00DE33FD">
          <w:pPr>
            <w:pStyle w:val="BodyTextIndent"/>
            <w:ind w:firstLine="0"/>
            <w:jc w:val="center"/>
            <w:rPr>
              <w:rFonts w:ascii="Georgia" w:eastAsia="Arial Unicode MS" w:hAnsi="Georgia" w:cs="Arial Unicode MS"/>
              <w:bCs/>
              <w:sz w:val="22"/>
              <w:szCs w:val="22"/>
              <w:lang w:val="en-US"/>
            </w:rPr>
          </w:pPr>
          <w:r w:rsidRPr="00FF658E">
            <w:rPr>
              <w:rFonts w:ascii="Georgia" w:eastAsia="Arial Unicode MS" w:hAnsi="Georgia" w:cs="Arial Unicode MS"/>
              <w:bCs/>
              <w:sz w:val="22"/>
              <w:szCs w:val="22"/>
              <w:lang w:val="en-US"/>
            </w:rPr>
            <w:t>B e l g r a d e</w:t>
          </w:r>
        </w:p>
        <w:p w:rsidR="0058233A" w:rsidRPr="00FF658E" w:rsidRDefault="0058233A" w:rsidP="00DE33FD">
          <w:pPr>
            <w:pStyle w:val="BodyTextIndent"/>
            <w:ind w:firstLine="0"/>
            <w:jc w:val="center"/>
            <w:rPr>
              <w:rFonts w:ascii="Book Antiqua" w:hAnsi="Book Antiqua"/>
              <w:spacing w:val="6"/>
              <w:sz w:val="22"/>
              <w:szCs w:val="22"/>
            </w:rPr>
          </w:pPr>
        </w:p>
      </w:tc>
      <w:tc>
        <w:tcPr>
          <w:tcW w:w="2520" w:type="dxa"/>
          <w:tcBorders>
            <w:bottom w:val="single" w:sz="4" w:space="0" w:color="auto"/>
          </w:tcBorders>
        </w:tcPr>
        <w:p w:rsidR="0058233A" w:rsidRPr="00B948BB" w:rsidRDefault="0058233A" w:rsidP="00DE33FD">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rsidR="0058233A" w:rsidRPr="00A0248D" w:rsidRDefault="0058233A" w:rsidP="00DE33FD">
          <w:pPr>
            <w:pStyle w:val="BodyTextIndent"/>
            <w:ind w:firstLine="0"/>
            <w:jc w:val="left"/>
            <w:rPr>
              <w:rFonts w:ascii="Book Antiqua" w:hAnsi="Book Antiqua"/>
              <w:spacing w:val="6"/>
              <w:sz w:val="22"/>
              <w:szCs w:val="22"/>
            </w:rPr>
          </w:pPr>
        </w:p>
      </w:tc>
    </w:tr>
    <w:tr w:rsidR="0058233A" w:rsidRPr="00A0248D">
      <w:tc>
        <w:tcPr>
          <w:tcW w:w="3600" w:type="dxa"/>
          <w:tcBorders>
            <w:top w:val="single" w:sz="4" w:space="0" w:color="auto"/>
          </w:tcBorders>
        </w:tcPr>
        <w:p w:rsidR="0058233A" w:rsidRPr="00FF658E" w:rsidRDefault="0058233A" w:rsidP="009356F0">
          <w:pPr>
            <w:pStyle w:val="BodyTextIndent"/>
            <w:ind w:firstLine="0"/>
            <w:jc w:val="left"/>
            <w:rPr>
              <w:rFonts w:ascii="Georgia" w:eastAsia="Arial Unicode MS" w:hAnsi="Georgia" w:cs="Arial Unicode MS"/>
              <w:b/>
              <w:bCs/>
              <w:sz w:val="20"/>
              <w:szCs w:val="20"/>
              <w:lang w:val="en-US"/>
            </w:rPr>
          </w:pPr>
          <w:r w:rsidRPr="00FF658E">
            <w:rPr>
              <w:rFonts w:ascii="Georgia" w:hAnsi="Georgia"/>
              <w:sz w:val="20"/>
              <w:szCs w:val="20"/>
              <w:lang w:val="en-US"/>
            </w:rPr>
            <w:t>Ref</w:t>
          </w:r>
          <w:r w:rsidRPr="00FF658E">
            <w:rPr>
              <w:rFonts w:ascii="Georgia" w:hAnsi="Georgia"/>
              <w:sz w:val="20"/>
              <w:szCs w:val="20"/>
            </w:rPr>
            <w:t>.</w:t>
          </w:r>
          <w:r w:rsidRPr="00FF658E">
            <w:rPr>
              <w:rFonts w:ascii="Georgia" w:hAnsi="Georgia"/>
              <w:sz w:val="20"/>
              <w:szCs w:val="20"/>
              <w:lang w:val="en-US"/>
            </w:rPr>
            <w:t>No</w:t>
          </w:r>
          <w:r w:rsidRPr="00FF658E">
            <w:rPr>
              <w:rFonts w:ascii="Georgia" w:hAnsi="Georgia"/>
              <w:sz w:val="20"/>
              <w:szCs w:val="20"/>
            </w:rPr>
            <w:t>.24809</w:t>
          </w:r>
          <w:r w:rsidR="002642F2">
            <w:rPr>
              <w:rFonts w:ascii="Georgia" w:hAnsi="Georgia"/>
              <w:sz w:val="20"/>
              <w:szCs w:val="20"/>
              <w:lang w:val="sr-Latn-RS"/>
            </w:rPr>
            <w:t xml:space="preserve"> </w:t>
          </w:r>
          <w:r w:rsidRPr="00FF658E">
            <w:rPr>
              <w:rFonts w:ascii="Georgia" w:hAnsi="Georgia"/>
              <w:sz w:val="20"/>
              <w:szCs w:val="20"/>
              <w:lang w:val="en-US"/>
            </w:rPr>
            <w:t xml:space="preserve">Date: </w:t>
          </w:r>
          <w:r w:rsidRPr="00FF658E">
            <w:rPr>
              <w:rFonts w:ascii="Georgia" w:hAnsi="Georgia"/>
              <w:sz w:val="20"/>
              <w:szCs w:val="20"/>
            </w:rPr>
            <w:t>30.</w:t>
          </w:r>
          <w:r w:rsidRPr="00FF658E">
            <w:rPr>
              <w:rFonts w:ascii="Georgia" w:hAnsi="Georgia"/>
              <w:sz w:val="20"/>
              <w:szCs w:val="20"/>
              <w:lang w:val="en-US"/>
            </w:rPr>
            <w:t>August 2019.</w:t>
          </w:r>
        </w:p>
      </w:tc>
      <w:tc>
        <w:tcPr>
          <w:tcW w:w="2520" w:type="dxa"/>
          <w:tcBorders>
            <w:top w:val="single" w:sz="4" w:space="0" w:color="auto"/>
          </w:tcBorders>
        </w:tcPr>
        <w:p w:rsidR="0058233A" w:rsidRPr="00B948BB" w:rsidRDefault="0058233A" w:rsidP="00DE33FD">
          <w:pPr>
            <w:pStyle w:val="BodyTextIndent"/>
            <w:ind w:firstLine="0"/>
            <w:jc w:val="left"/>
            <w:rPr>
              <w:rFonts w:ascii="Book Antiqua" w:hAnsi="Book Antiqua"/>
              <w:spacing w:val="6"/>
              <w:sz w:val="22"/>
              <w:szCs w:val="22"/>
            </w:rPr>
          </w:pPr>
        </w:p>
      </w:tc>
      <w:tc>
        <w:tcPr>
          <w:tcW w:w="3240" w:type="dxa"/>
          <w:tcBorders>
            <w:top w:val="single" w:sz="4" w:space="0" w:color="auto"/>
          </w:tcBorders>
        </w:tcPr>
        <w:p w:rsidR="0058233A" w:rsidRPr="00A0248D" w:rsidRDefault="0058233A" w:rsidP="00DE33FD">
          <w:pPr>
            <w:pStyle w:val="BodyTextIndent"/>
            <w:ind w:firstLine="0"/>
            <w:jc w:val="left"/>
            <w:rPr>
              <w:rFonts w:ascii="Book Antiqua" w:hAnsi="Book Antiqua"/>
              <w:spacing w:val="6"/>
              <w:sz w:val="22"/>
              <w:szCs w:val="22"/>
            </w:rPr>
          </w:pPr>
        </w:p>
      </w:tc>
    </w:tr>
  </w:tbl>
  <w:p w:rsidR="0058233A" w:rsidRDefault="00582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3C8E"/>
    <w:multiLevelType w:val="hybridMultilevel"/>
    <w:tmpl w:val="B14C36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77D6FAF"/>
    <w:multiLevelType w:val="multilevel"/>
    <w:tmpl w:val="D388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E5543"/>
    <w:multiLevelType w:val="hybridMultilevel"/>
    <w:tmpl w:val="43D2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01AFE"/>
    <w:multiLevelType w:val="hybridMultilevel"/>
    <w:tmpl w:val="3178352A"/>
    <w:lvl w:ilvl="0" w:tplc="C908A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DF5747"/>
    <w:multiLevelType w:val="multilevel"/>
    <w:tmpl w:val="5FACD494"/>
    <w:lvl w:ilvl="0">
      <w:start w:val="1"/>
      <w:numFmt w:val="upperRoman"/>
      <w:lvlText w:val="%1"/>
      <w:lvlJc w:val="left"/>
      <w:pPr>
        <w:ind w:left="397" w:hanging="397"/>
      </w:pPr>
      <w:rPr>
        <w:rFonts w:ascii="Book Antiqua" w:hAnsi="Book Antiqua" w:cs="Times New Roman" w:hint="default"/>
      </w:rPr>
    </w:lvl>
    <w:lvl w:ilvl="1">
      <w:start w:val="1"/>
      <w:numFmt w:val="decimal"/>
      <w:isLgl/>
      <w:lvlText w:val="%2."/>
      <w:lvlJc w:val="left"/>
      <w:pPr>
        <w:ind w:left="397" w:hanging="397"/>
      </w:pPr>
      <w:rPr>
        <w:rFonts w:cs="Times New Roman" w:hint="default"/>
      </w:rPr>
    </w:lvl>
    <w:lvl w:ilvl="2">
      <w:start w:val="1"/>
      <w:numFmt w:val="decimal"/>
      <w:lvlText w:val="%3."/>
      <w:lvlJc w:val="left"/>
      <w:pPr>
        <w:ind w:left="284" w:hanging="284"/>
      </w:pPr>
      <w:rPr>
        <w:rFonts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5">
    <w:nsid w:val="279949AF"/>
    <w:multiLevelType w:val="hybridMultilevel"/>
    <w:tmpl w:val="28FA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2C724EA1"/>
    <w:multiLevelType w:val="hybridMultilevel"/>
    <w:tmpl w:val="7D6AD9E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8">
    <w:nsid w:val="2DE56594"/>
    <w:multiLevelType w:val="hybridMultilevel"/>
    <w:tmpl w:val="60065360"/>
    <w:lvl w:ilvl="0" w:tplc="0409000F">
      <w:start w:val="1"/>
      <w:numFmt w:val="decimal"/>
      <w:lvlText w:val="%1."/>
      <w:lvlJc w:val="left"/>
      <w:pPr>
        <w:ind w:left="1714" w:hanging="360"/>
      </w:pPr>
      <w:rPr>
        <w:rFont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9">
    <w:nsid w:val="378A72BA"/>
    <w:multiLevelType w:val="hybridMultilevel"/>
    <w:tmpl w:val="45E26E10"/>
    <w:lvl w:ilvl="0" w:tplc="DA64CC00">
      <w:start w:val="1"/>
      <w:numFmt w:val="decimal"/>
      <w:lvlText w:val="%1."/>
      <w:lvlJc w:val="left"/>
      <w:pPr>
        <w:ind w:left="7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42EABE">
      <w:start w:val="1"/>
      <w:numFmt w:val="bullet"/>
      <w:lvlText w:val="•"/>
      <w:lvlJc w:val="left"/>
      <w:pPr>
        <w:ind w:left="1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262358E">
      <w:start w:val="1"/>
      <w:numFmt w:val="bullet"/>
      <w:lvlText w:val="▪"/>
      <w:lvlJc w:val="left"/>
      <w:pPr>
        <w:ind w:left="1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86082AE">
      <w:start w:val="1"/>
      <w:numFmt w:val="bullet"/>
      <w:lvlText w:val="•"/>
      <w:lvlJc w:val="left"/>
      <w:pPr>
        <w:ind w:left="2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EDE6F14">
      <w:start w:val="1"/>
      <w:numFmt w:val="bullet"/>
      <w:lvlText w:val="o"/>
      <w:lvlJc w:val="left"/>
      <w:pPr>
        <w:ind w:left="28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4B61DA8">
      <w:start w:val="1"/>
      <w:numFmt w:val="bullet"/>
      <w:lvlText w:val="▪"/>
      <w:lvlJc w:val="left"/>
      <w:pPr>
        <w:ind w:left="3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B01818">
      <w:start w:val="1"/>
      <w:numFmt w:val="bullet"/>
      <w:lvlText w:val="•"/>
      <w:lvlJc w:val="left"/>
      <w:pPr>
        <w:ind w:left="43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BAAC30">
      <w:start w:val="1"/>
      <w:numFmt w:val="bullet"/>
      <w:lvlText w:val="o"/>
      <w:lvlJc w:val="left"/>
      <w:pPr>
        <w:ind w:left="50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EA03B98">
      <w:start w:val="1"/>
      <w:numFmt w:val="bullet"/>
      <w:lvlText w:val="▪"/>
      <w:lvlJc w:val="left"/>
      <w:pPr>
        <w:ind w:left="57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nsid w:val="3B7667CC"/>
    <w:multiLevelType w:val="hybridMultilevel"/>
    <w:tmpl w:val="7BF8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C5127CD"/>
    <w:multiLevelType w:val="hybridMultilevel"/>
    <w:tmpl w:val="9BC0A33A"/>
    <w:lvl w:ilvl="0" w:tplc="08090001">
      <w:start w:val="1"/>
      <w:numFmt w:val="bullet"/>
      <w:lvlText w:val=""/>
      <w:lvlJc w:val="left"/>
      <w:pPr>
        <w:ind w:left="720" w:hanging="360"/>
      </w:pPr>
      <w:rPr>
        <w:rFonts w:ascii="Symbol" w:hAnsi="Symbol" w:hint="default"/>
      </w:rPr>
    </w:lvl>
    <w:lvl w:ilvl="1" w:tplc="B010CB92">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620064D"/>
    <w:multiLevelType w:val="hybridMultilevel"/>
    <w:tmpl w:val="BE788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3051A"/>
    <w:multiLevelType w:val="multilevel"/>
    <w:tmpl w:val="0A48AF2A"/>
    <w:styleLink w:val="Rimska"/>
    <w:lvl w:ilvl="0">
      <w:start w:val="1"/>
      <w:numFmt w:val="upperRoman"/>
      <w:pStyle w:val="NasloviRimski"/>
      <w:lvlText w:val="%1"/>
      <w:lvlJc w:val="left"/>
      <w:pPr>
        <w:ind w:left="397" w:hanging="397"/>
      </w:pPr>
      <w:rPr>
        <w:rFonts w:ascii="Book Antiqua" w:hAnsi="Book Antiqua" w:cs="Times New Roman" w:hint="default"/>
      </w:rPr>
    </w:lvl>
    <w:lvl w:ilvl="1">
      <w:start w:val="1"/>
      <w:numFmt w:val="decimal"/>
      <w:pStyle w:val="Podnaslovi"/>
      <w:isLgl/>
      <w:lvlText w:val="%2."/>
      <w:lvlJc w:val="left"/>
      <w:pPr>
        <w:ind w:left="397" w:hanging="397"/>
      </w:pPr>
      <w:rPr>
        <w:rFonts w:cs="Times New Roman" w:hint="default"/>
      </w:rPr>
    </w:lvl>
    <w:lvl w:ilvl="2">
      <w:start w:val="1"/>
      <w:numFmt w:val="decimal"/>
      <w:pStyle w:val="Numeracija1"/>
      <w:isLgl/>
      <w:lvlText w:val="%2.%3."/>
      <w:lvlJc w:val="left"/>
      <w:pPr>
        <w:ind w:left="284" w:hanging="284"/>
      </w:pPr>
      <w:rPr>
        <w:rFonts w:cs="Times New Roman" w:hint="default"/>
      </w:rPr>
    </w:lvl>
    <w:lvl w:ilvl="3">
      <w:start w:val="1"/>
      <w:numFmt w:val="decimal"/>
      <w:pStyle w:val="Numeracija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5">
    <w:nsid w:val="503A120B"/>
    <w:multiLevelType w:val="hybridMultilevel"/>
    <w:tmpl w:val="D680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2321A"/>
    <w:multiLevelType w:val="hybridMultilevel"/>
    <w:tmpl w:val="A2169722"/>
    <w:lvl w:ilvl="0" w:tplc="0409000B">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7">
    <w:nsid w:val="50EE7484"/>
    <w:multiLevelType w:val="multilevel"/>
    <w:tmpl w:val="8A2E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9B6FB3"/>
    <w:multiLevelType w:val="hybridMultilevel"/>
    <w:tmpl w:val="F612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411CBA"/>
    <w:multiLevelType w:val="hybridMultilevel"/>
    <w:tmpl w:val="224624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EEB1803"/>
    <w:multiLevelType w:val="hybridMultilevel"/>
    <w:tmpl w:val="C9E29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BF3A06"/>
    <w:multiLevelType w:val="hybridMultilevel"/>
    <w:tmpl w:val="681A0F48"/>
    <w:lvl w:ilvl="0" w:tplc="B010CB92">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23">
    <w:nsid w:val="624A6D14"/>
    <w:multiLevelType w:val="hybridMultilevel"/>
    <w:tmpl w:val="CB6CAC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B06703"/>
    <w:multiLevelType w:val="hybridMultilevel"/>
    <w:tmpl w:val="224624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13D789D"/>
    <w:multiLevelType w:val="hybridMultilevel"/>
    <w:tmpl w:val="E31097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99B79BD"/>
    <w:multiLevelType w:val="hybridMultilevel"/>
    <w:tmpl w:val="4DAA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D4AD0"/>
    <w:multiLevelType w:val="hybridMultilevel"/>
    <w:tmpl w:val="B14A03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1"/>
  </w:num>
  <w:num w:numId="4">
    <w:abstractNumId w:val="7"/>
  </w:num>
  <w:num w:numId="5">
    <w:abstractNumId w:val="8"/>
  </w:num>
  <w:num w:numId="6">
    <w:abstractNumId w:val="16"/>
  </w:num>
  <w:num w:numId="7">
    <w:abstractNumId w:val="13"/>
  </w:num>
  <w:num w:numId="8">
    <w:abstractNumId w:val="3"/>
  </w:num>
  <w:num w:numId="9">
    <w:abstractNumId w:val="10"/>
  </w:num>
  <w:num w:numId="10">
    <w:abstractNumId w:val="21"/>
  </w:num>
  <w:num w:numId="11">
    <w:abstractNumId w:val="14"/>
    <w:lvlOverride w:ilvl="0">
      <w:lvl w:ilvl="0">
        <w:start w:val="1"/>
        <w:numFmt w:val="upperRoman"/>
        <w:pStyle w:val="NasloviRimski"/>
        <w:lvlText w:val="%1"/>
        <w:lvlJc w:val="left"/>
        <w:pPr>
          <w:ind w:left="397" w:hanging="397"/>
        </w:pPr>
        <w:rPr>
          <w:rFonts w:ascii="Book Antiqua" w:hAnsi="Book Antiqua" w:cs="Times New Roman" w:hint="default"/>
        </w:rPr>
      </w:lvl>
    </w:lvlOverride>
    <w:lvlOverride w:ilvl="1">
      <w:lvl w:ilvl="1">
        <w:start w:val="1"/>
        <w:numFmt w:val="decimal"/>
        <w:pStyle w:val="Podnaslovi"/>
        <w:isLgl/>
        <w:lvlText w:val="%2."/>
        <w:lvlJc w:val="left"/>
        <w:pPr>
          <w:ind w:left="397" w:hanging="397"/>
        </w:pPr>
        <w:rPr>
          <w:rFonts w:cs="Times New Roman" w:hint="default"/>
        </w:rPr>
      </w:lvl>
    </w:lvlOverride>
    <w:lvlOverride w:ilvl="2">
      <w:lvl w:ilvl="2">
        <w:start w:val="1"/>
        <w:numFmt w:val="decimal"/>
        <w:pStyle w:val="Numeracija1"/>
        <w:isLgl/>
        <w:lvlText w:val="%2.%3."/>
        <w:lvlJc w:val="left"/>
        <w:pPr>
          <w:ind w:left="284" w:hanging="284"/>
        </w:pPr>
        <w:rPr>
          <w:rFonts w:cs="Times New Roman" w:hint="default"/>
          <w:b w:val="0"/>
        </w:rPr>
      </w:lvl>
    </w:lvlOverride>
    <w:lvlOverride w:ilvl="3">
      <w:lvl w:ilvl="3">
        <w:start w:val="1"/>
        <w:numFmt w:val="decimal"/>
        <w:pStyle w:val="Numeracija4"/>
        <w:lvlText w:val="(%4)"/>
        <w:lvlJc w:val="left"/>
        <w:pPr>
          <w:ind w:left="2160" w:hanging="360"/>
        </w:pPr>
        <w:rPr>
          <w:rFonts w:cs="Times New Roman" w:hint="default"/>
        </w:rPr>
      </w:lvl>
    </w:lvlOverride>
    <w:lvlOverride w:ilvl="4">
      <w:lvl w:ilvl="4">
        <w:start w:val="1"/>
        <w:numFmt w:val="lowerLetter"/>
        <w:lvlText w:val="(%5)"/>
        <w:lvlJc w:val="left"/>
        <w:pPr>
          <w:ind w:left="2520" w:hanging="360"/>
        </w:pPr>
        <w:rPr>
          <w:rFonts w:cs="Times New Roman" w:hint="default"/>
        </w:rPr>
      </w:lvl>
    </w:lvlOverride>
    <w:lvlOverride w:ilvl="5">
      <w:lvl w:ilvl="5">
        <w:start w:val="1"/>
        <w:numFmt w:val="lowerRoman"/>
        <w:lvlText w:val="(%6)"/>
        <w:lvlJc w:val="left"/>
        <w:pPr>
          <w:ind w:left="2880" w:hanging="360"/>
        </w:pPr>
        <w:rPr>
          <w:rFonts w:cs="Times New Roman" w:hint="default"/>
        </w:rPr>
      </w:lvl>
    </w:lvlOverride>
    <w:lvlOverride w:ilvl="6">
      <w:lvl w:ilvl="6">
        <w:start w:val="1"/>
        <w:numFmt w:val="decimal"/>
        <w:lvlText w:val="%7."/>
        <w:lvlJc w:val="left"/>
        <w:pPr>
          <w:ind w:left="3240" w:hanging="360"/>
        </w:pPr>
        <w:rPr>
          <w:rFonts w:cs="Times New Roman" w:hint="default"/>
        </w:rPr>
      </w:lvl>
    </w:lvlOverride>
    <w:lvlOverride w:ilvl="7">
      <w:lvl w:ilvl="7">
        <w:start w:val="1"/>
        <w:numFmt w:val="lowerLetter"/>
        <w:lvlText w:val="%8."/>
        <w:lvlJc w:val="left"/>
        <w:pPr>
          <w:ind w:left="3600" w:hanging="360"/>
        </w:pPr>
        <w:rPr>
          <w:rFonts w:cs="Times New Roman" w:hint="default"/>
        </w:rPr>
      </w:lvl>
    </w:lvlOverride>
    <w:lvlOverride w:ilvl="8">
      <w:lvl w:ilvl="8">
        <w:start w:val="1"/>
        <w:numFmt w:val="lowerRoman"/>
        <w:lvlText w:val="%9."/>
        <w:lvlJc w:val="left"/>
        <w:pPr>
          <w:ind w:left="3960" w:hanging="360"/>
        </w:pPr>
        <w:rPr>
          <w:rFonts w:cs="Times New Roman" w:hint="default"/>
        </w:rPr>
      </w:lvl>
    </w:lvlOverride>
  </w:num>
  <w:num w:numId="12">
    <w:abstractNumId w:val="14"/>
  </w:num>
  <w:num w:numId="13">
    <w:abstractNumId w:val="9"/>
  </w:num>
  <w:num w:numId="14">
    <w:abstractNumId w:val="0"/>
  </w:num>
  <w:num w:numId="15">
    <w:abstractNumId w:val="23"/>
  </w:num>
  <w:num w:numId="16">
    <w:abstractNumId w:val="15"/>
  </w:num>
  <w:num w:numId="17">
    <w:abstractNumId w:val="5"/>
  </w:num>
  <w:num w:numId="18">
    <w:abstractNumId w:val="25"/>
  </w:num>
  <w:num w:numId="19">
    <w:abstractNumId w:val="24"/>
  </w:num>
  <w:num w:numId="20">
    <w:abstractNumId w:val="20"/>
  </w:num>
  <w:num w:numId="21">
    <w:abstractNumId w:val="2"/>
  </w:num>
  <w:num w:numId="22">
    <w:abstractNumId w:val="18"/>
  </w:num>
  <w:num w:numId="23">
    <w:abstractNumId w:val="27"/>
  </w:num>
  <w:num w:numId="24">
    <w:abstractNumId w:val="12"/>
  </w:num>
  <w:num w:numId="25">
    <w:abstractNumId w:val="22"/>
  </w:num>
  <w:num w:numId="26">
    <w:abstractNumId w:val="26"/>
  </w:num>
  <w:num w:numId="27">
    <w:abstractNumId w:val="17"/>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D135AC"/>
    <w:rsid w:val="000033E4"/>
    <w:rsid w:val="000154F0"/>
    <w:rsid w:val="000216D8"/>
    <w:rsid w:val="00023127"/>
    <w:rsid w:val="00024FC9"/>
    <w:rsid w:val="0002551E"/>
    <w:rsid w:val="00025DA2"/>
    <w:rsid w:val="0003553B"/>
    <w:rsid w:val="0004038A"/>
    <w:rsid w:val="00040F41"/>
    <w:rsid w:val="000421A9"/>
    <w:rsid w:val="0005029B"/>
    <w:rsid w:val="00054C73"/>
    <w:rsid w:val="0005556C"/>
    <w:rsid w:val="00063533"/>
    <w:rsid w:val="000648A0"/>
    <w:rsid w:val="000659BE"/>
    <w:rsid w:val="00070A50"/>
    <w:rsid w:val="00075AF5"/>
    <w:rsid w:val="0008426B"/>
    <w:rsid w:val="00087B98"/>
    <w:rsid w:val="00087D06"/>
    <w:rsid w:val="0009036B"/>
    <w:rsid w:val="000A18C1"/>
    <w:rsid w:val="000C471E"/>
    <w:rsid w:val="000D1CF2"/>
    <w:rsid w:val="000D2F45"/>
    <w:rsid w:val="000D5127"/>
    <w:rsid w:val="000D5F59"/>
    <w:rsid w:val="000D6E34"/>
    <w:rsid w:val="000D7C97"/>
    <w:rsid w:val="000D7D3C"/>
    <w:rsid w:val="000E122B"/>
    <w:rsid w:val="000E3653"/>
    <w:rsid w:val="000E4955"/>
    <w:rsid w:val="000E5D85"/>
    <w:rsid w:val="000F4D91"/>
    <w:rsid w:val="00103CBA"/>
    <w:rsid w:val="00104E27"/>
    <w:rsid w:val="0013616F"/>
    <w:rsid w:val="0015454D"/>
    <w:rsid w:val="001575C1"/>
    <w:rsid w:val="001615AD"/>
    <w:rsid w:val="00164737"/>
    <w:rsid w:val="001765FE"/>
    <w:rsid w:val="00181FD1"/>
    <w:rsid w:val="001859E1"/>
    <w:rsid w:val="001861EA"/>
    <w:rsid w:val="00194E5A"/>
    <w:rsid w:val="001A2357"/>
    <w:rsid w:val="001A2F4A"/>
    <w:rsid w:val="001B4E85"/>
    <w:rsid w:val="001B5561"/>
    <w:rsid w:val="001C4334"/>
    <w:rsid w:val="001C7C7C"/>
    <w:rsid w:val="001D2825"/>
    <w:rsid w:val="001D5B7B"/>
    <w:rsid w:val="001D7BC7"/>
    <w:rsid w:val="001E0E0A"/>
    <w:rsid w:val="001E231C"/>
    <w:rsid w:val="001E2A50"/>
    <w:rsid w:val="001E5B25"/>
    <w:rsid w:val="001F1308"/>
    <w:rsid w:val="001F34CB"/>
    <w:rsid w:val="001F7E07"/>
    <w:rsid w:val="00206318"/>
    <w:rsid w:val="002071AA"/>
    <w:rsid w:val="00217604"/>
    <w:rsid w:val="00222186"/>
    <w:rsid w:val="00226B8E"/>
    <w:rsid w:val="00231A50"/>
    <w:rsid w:val="002323B4"/>
    <w:rsid w:val="00245AB1"/>
    <w:rsid w:val="00252D20"/>
    <w:rsid w:val="002554CF"/>
    <w:rsid w:val="002556FF"/>
    <w:rsid w:val="002642F2"/>
    <w:rsid w:val="00271E5F"/>
    <w:rsid w:val="0027213A"/>
    <w:rsid w:val="00274BE5"/>
    <w:rsid w:val="0027730C"/>
    <w:rsid w:val="00284BD4"/>
    <w:rsid w:val="00284D18"/>
    <w:rsid w:val="002A3477"/>
    <w:rsid w:val="002A4137"/>
    <w:rsid w:val="002B0139"/>
    <w:rsid w:val="002B6AC5"/>
    <w:rsid w:val="002C1462"/>
    <w:rsid w:val="002E3628"/>
    <w:rsid w:val="002F085A"/>
    <w:rsid w:val="002F4825"/>
    <w:rsid w:val="002F7F5A"/>
    <w:rsid w:val="003027D3"/>
    <w:rsid w:val="00305387"/>
    <w:rsid w:val="0031722D"/>
    <w:rsid w:val="00317A04"/>
    <w:rsid w:val="00323F45"/>
    <w:rsid w:val="0034179D"/>
    <w:rsid w:val="00342CA0"/>
    <w:rsid w:val="003436DE"/>
    <w:rsid w:val="003443D3"/>
    <w:rsid w:val="0037160D"/>
    <w:rsid w:val="00376300"/>
    <w:rsid w:val="00384926"/>
    <w:rsid w:val="003906B7"/>
    <w:rsid w:val="00396CBE"/>
    <w:rsid w:val="00397780"/>
    <w:rsid w:val="003A7B44"/>
    <w:rsid w:val="003C2746"/>
    <w:rsid w:val="003D3A82"/>
    <w:rsid w:val="003F0C0F"/>
    <w:rsid w:val="003F0C73"/>
    <w:rsid w:val="003F52B6"/>
    <w:rsid w:val="004068B5"/>
    <w:rsid w:val="00422CCA"/>
    <w:rsid w:val="0043450F"/>
    <w:rsid w:val="00436277"/>
    <w:rsid w:val="00444B65"/>
    <w:rsid w:val="00460005"/>
    <w:rsid w:val="004668C6"/>
    <w:rsid w:val="00470E56"/>
    <w:rsid w:val="004721D4"/>
    <w:rsid w:val="004779F6"/>
    <w:rsid w:val="00484549"/>
    <w:rsid w:val="004905B6"/>
    <w:rsid w:val="00493F47"/>
    <w:rsid w:val="00497BE8"/>
    <w:rsid w:val="004A459A"/>
    <w:rsid w:val="004A4BB3"/>
    <w:rsid w:val="004A4CA8"/>
    <w:rsid w:val="004A6659"/>
    <w:rsid w:val="004A79D7"/>
    <w:rsid w:val="004B2C68"/>
    <w:rsid w:val="004D117A"/>
    <w:rsid w:val="004D533D"/>
    <w:rsid w:val="004D7997"/>
    <w:rsid w:val="004E274F"/>
    <w:rsid w:val="004E4611"/>
    <w:rsid w:val="004F4711"/>
    <w:rsid w:val="004F79C7"/>
    <w:rsid w:val="00503762"/>
    <w:rsid w:val="00504FC1"/>
    <w:rsid w:val="00505187"/>
    <w:rsid w:val="00507BA3"/>
    <w:rsid w:val="00520903"/>
    <w:rsid w:val="005228CD"/>
    <w:rsid w:val="00523720"/>
    <w:rsid w:val="005325BA"/>
    <w:rsid w:val="00534887"/>
    <w:rsid w:val="005364FA"/>
    <w:rsid w:val="00544AF3"/>
    <w:rsid w:val="00545791"/>
    <w:rsid w:val="00553A7F"/>
    <w:rsid w:val="005546CF"/>
    <w:rsid w:val="00561257"/>
    <w:rsid w:val="00562E72"/>
    <w:rsid w:val="00563408"/>
    <w:rsid w:val="00566FDE"/>
    <w:rsid w:val="00572262"/>
    <w:rsid w:val="00575582"/>
    <w:rsid w:val="005765F6"/>
    <w:rsid w:val="00577686"/>
    <w:rsid w:val="0058233A"/>
    <w:rsid w:val="00586A9C"/>
    <w:rsid w:val="00587EDC"/>
    <w:rsid w:val="0059067E"/>
    <w:rsid w:val="00592A0A"/>
    <w:rsid w:val="005A21B3"/>
    <w:rsid w:val="005A598F"/>
    <w:rsid w:val="005B7C28"/>
    <w:rsid w:val="005D7C33"/>
    <w:rsid w:val="005E1A5E"/>
    <w:rsid w:val="005E38B1"/>
    <w:rsid w:val="005F4270"/>
    <w:rsid w:val="005F7D9C"/>
    <w:rsid w:val="00601D3A"/>
    <w:rsid w:val="0060438F"/>
    <w:rsid w:val="00616648"/>
    <w:rsid w:val="0062533B"/>
    <w:rsid w:val="00631EA8"/>
    <w:rsid w:val="006327D3"/>
    <w:rsid w:val="00632834"/>
    <w:rsid w:val="00632DD6"/>
    <w:rsid w:val="00636C9B"/>
    <w:rsid w:val="006371CA"/>
    <w:rsid w:val="0064034C"/>
    <w:rsid w:val="00640D9A"/>
    <w:rsid w:val="00640FC2"/>
    <w:rsid w:val="0064530E"/>
    <w:rsid w:val="00654611"/>
    <w:rsid w:val="00665794"/>
    <w:rsid w:val="006755F6"/>
    <w:rsid w:val="0068243C"/>
    <w:rsid w:val="00682A29"/>
    <w:rsid w:val="00685261"/>
    <w:rsid w:val="006879AD"/>
    <w:rsid w:val="006A0775"/>
    <w:rsid w:val="006A54CC"/>
    <w:rsid w:val="006A7BF2"/>
    <w:rsid w:val="006B40DD"/>
    <w:rsid w:val="006C632B"/>
    <w:rsid w:val="006D0B8B"/>
    <w:rsid w:val="006D4427"/>
    <w:rsid w:val="006E0932"/>
    <w:rsid w:val="006E1D9F"/>
    <w:rsid w:val="006E5066"/>
    <w:rsid w:val="006E6821"/>
    <w:rsid w:val="006F22CF"/>
    <w:rsid w:val="006F5FCD"/>
    <w:rsid w:val="007012C5"/>
    <w:rsid w:val="00702BAE"/>
    <w:rsid w:val="007133F7"/>
    <w:rsid w:val="00713D7C"/>
    <w:rsid w:val="00722461"/>
    <w:rsid w:val="00733805"/>
    <w:rsid w:val="00746655"/>
    <w:rsid w:val="00751378"/>
    <w:rsid w:val="00756CC1"/>
    <w:rsid w:val="007620E7"/>
    <w:rsid w:val="00763B5F"/>
    <w:rsid w:val="0077738E"/>
    <w:rsid w:val="00785086"/>
    <w:rsid w:val="007850A4"/>
    <w:rsid w:val="007B2BB5"/>
    <w:rsid w:val="007B2CBB"/>
    <w:rsid w:val="007B375A"/>
    <w:rsid w:val="007D04FD"/>
    <w:rsid w:val="007D0A0C"/>
    <w:rsid w:val="007D0B91"/>
    <w:rsid w:val="007D3BFA"/>
    <w:rsid w:val="007D587E"/>
    <w:rsid w:val="007D6B78"/>
    <w:rsid w:val="007D7A97"/>
    <w:rsid w:val="007E2FD7"/>
    <w:rsid w:val="007E597E"/>
    <w:rsid w:val="007E737D"/>
    <w:rsid w:val="007F65BF"/>
    <w:rsid w:val="007F65CE"/>
    <w:rsid w:val="007F72E8"/>
    <w:rsid w:val="007F7426"/>
    <w:rsid w:val="00804BCC"/>
    <w:rsid w:val="00805151"/>
    <w:rsid w:val="00807190"/>
    <w:rsid w:val="00814B62"/>
    <w:rsid w:val="00837407"/>
    <w:rsid w:val="008405E4"/>
    <w:rsid w:val="0084079E"/>
    <w:rsid w:val="00841D3E"/>
    <w:rsid w:val="00843D9E"/>
    <w:rsid w:val="00846989"/>
    <w:rsid w:val="00854329"/>
    <w:rsid w:val="00862A05"/>
    <w:rsid w:val="008640FA"/>
    <w:rsid w:val="00873B3E"/>
    <w:rsid w:val="008768FF"/>
    <w:rsid w:val="008827EB"/>
    <w:rsid w:val="0088520B"/>
    <w:rsid w:val="008862A2"/>
    <w:rsid w:val="00886919"/>
    <w:rsid w:val="00886D11"/>
    <w:rsid w:val="008872D1"/>
    <w:rsid w:val="0089063B"/>
    <w:rsid w:val="008907F7"/>
    <w:rsid w:val="00891A7E"/>
    <w:rsid w:val="00895F95"/>
    <w:rsid w:val="008A0D9C"/>
    <w:rsid w:val="008A4586"/>
    <w:rsid w:val="008A7079"/>
    <w:rsid w:val="008A7D48"/>
    <w:rsid w:val="008B0C68"/>
    <w:rsid w:val="008B4AF6"/>
    <w:rsid w:val="008B6D78"/>
    <w:rsid w:val="008C7A68"/>
    <w:rsid w:val="008D67A6"/>
    <w:rsid w:val="008D78CD"/>
    <w:rsid w:val="008E3210"/>
    <w:rsid w:val="008F1730"/>
    <w:rsid w:val="008F7E84"/>
    <w:rsid w:val="00901471"/>
    <w:rsid w:val="00904B0D"/>
    <w:rsid w:val="00907986"/>
    <w:rsid w:val="00910DEA"/>
    <w:rsid w:val="00913318"/>
    <w:rsid w:val="00913EE4"/>
    <w:rsid w:val="00923F3F"/>
    <w:rsid w:val="009304B0"/>
    <w:rsid w:val="00930D03"/>
    <w:rsid w:val="00933FCE"/>
    <w:rsid w:val="009356F0"/>
    <w:rsid w:val="009449FD"/>
    <w:rsid w:val="00944F20"/>
    <w:rsid w:val="009461CD"/>
    <w:rsid w:val="009515BF"/>
    <w:rsid w:val="00961C61"/>
    <w:rsid w:val="00962C71"/>
    <w:rsid w:val="00966527"/>
    <w:rsid w:val="00970364"/>
    <w:rsid w:val="0097234C"/>
    <w:rsid w:val="00974695"/>
    <w:rsid w:val="0097768A"/>
    <w:rsid w:val="009803FF"/>
    <w:rsid w:val="00982F13"/>
    <w:rsid w:val="00984267"/>
    <w:rsid w:val="009843F6"/>
    <w:rsid w:val="00984DD5"/>
    <w:rsid w:val="00993F7F"/>
    <w:rsid w:val="00996C09"/>
    <w:rsid w:val="009A0541"/>
    <w:rsid w:val="009A2258"/>
    <w:rsid w:val="009A2E87"/>
    <w:rsid w:val="009B3903"/>
    <w:rsid w:val="009D0BCE"/>
    <w:rsid w:val="009D240D"/>
    <w:rsid w:val="009F0637"/>
    <w:rsid w:val="009F5F6B"/>
    <w:rsid w:val="00A0032E"/>
    <w:rsid w:val="00A04C98"/>
    <w:rsid w:val="00A11D3A"/>
    <w:rsid w:val="00A159F7"/>
    <w:rsid w:val="00A16F33"/>
    <w:rsid w:val="00A22DE0"/>
    <w:rsid w:val="00A359C1"/>
    <w:rsid w:val="00A45ACE"/>
    <w:rsid w:val="00A473B7"/>
    <w:rsid w:val="00A52B76"/>
    <w:rsid w:val="00A607A3"/>
    <w:rsid w:val="00A613A3"/>
    <w:rsid w:val="00A7314C"/>
    <w:rsid w:val="00A76A10"/>
    <w:rsid w:val="00A8043E"/>
    <w:rsid w:val="00A84C18"/>
    <w:rsid w:val="00A907B1"/>
    <w:rsid w:val="00A90F19"/>
    <w:rsid w:val="00A91912"/>
    <w:rsid w:val="00AA112A"/>
    <w:rsid w:val="00AA1553"/>
    <w:rsid w:val="00AA62CD"/>
    <w:rsid w:val="00AC0292"/>
    <w:rsid w:val="00AC4178"/>
    <w:rsid w:val="00AD3C7B"/>
    <w:rsid w:val="00AE1F68"/>
    <w:rsid w:val="00AE4FAB"/>
    <w:rsid w:val="00AE58FA"/>
    <w:rsid w:val="00AE7651"/>
    <w:rsid w:val="00AF4E32"/>
    <w:rsid w:val="00AF79F9"/>
    <w:rsid w:val="00AF7B13"/>
    <w:rsid w:val="00B022F2"/>
    <w:rsid w:val="00B059AA"/>
    <w:rsid w:val="00B1759C"/>
    <w:rsid w:val="00B251F6"/>
    <w:rsid w:val="00B35AC5"/>
    <w:rsid w:val="00B4398E"/>
    <w:rsid w:val="00B46D9D"/>
    <w:rsid w:val="00B561F5"/>
    <w:rsid w:val="00B609D1"/>
    <w:rsid w:val="00B663BF"/>
    <w:rsid w:val="00B6789D"/>
    <w:rsid w:val="00B70B30"/>
    <w:rsid w:val="00B85B9B"/>
    <w:rsid w:val="00B948BB"/>
    <w:rsid w:val="00B977F0"/>
    <w:rsid w:val="00B97D04"/>
    <w:rsid w:val="00BA4CC8"/>
    <w:rsid w:val="00BA552A"/>
    <w:rsid w:val="00BB28DB"/>
    <w:rsid w:val="00BB2D4F"/>
    <w:rsid w:val="00BB3228"/>
    <w:rsid w:val="00BB6C12"/>
    <w:rsid w:val="00BC158E"/>
    <w:rsid w:val="00BC481A"/>
    <w:rsid w:val="00BD54E6"/>
    <w:rsid w:val="00BE11B7"/>
    <w:rsid w:val="00BE52E6"/>
    <w:rsid w:val="00BF79CF"/>
    <w:rsid w:val="00C047D1"/>
    <w:rsid w:val="00C12FEF"/>
    <w:rsid w:val="00C26F82"/>
    <w:rsid w:val="00C27DED"/>
    <w:rsid w:val="00C32C3A"/>
    <w:rsid w:val="00C35426"/>
    <w:rsid w:val="00C428DB"/>
    <w:rsid w:val="00C505CA"/>
    <w:rsid w:val="00C51A42"/>
    <w:rsid w:val="00C52D59"/>
    <w:rsid w:val="00C55378"/>
    <w:rsid w:val="00C5560F"/>
    <w:rsid w:val="00C5780E"/>
    <w:rsid w:val="00C63AAD"/>
    <w:rsid w:val="00C64B13"/>
    <w:rsid w:val="00C80037"/>
    <w:rsid w:val="00C84F50"/>
    <w:rsid w:val="00C9057D"/>
    <w:rsid w:val="00C95EAE"/>
    <w:rsid w:val="00CA022A"/>
    <w:rsid w:val="00CA06A7"/>
    <w:rsid w:val="00CA4A8F"/>
    <w:rsid w:val="00CA4BF6"/>
    <w:rsid w:val="00CB0B95"/>
    <w:rsid w:val="00CB522E"/>
    <w:rsid w:val="00CC09BB"/>
    <w:rsid w:val="00CC542B"/>
    <w:rsid w:val="00CC5E97"/>
    <w:rsid w:val="00CD1D6D"/>
    <w:rsid w:val="00CD45A5"/>
    <w:rsid w:val="00CD645C"/>
    <w:rsid w:val="00CE042E"/>
    <w:rsid w:val="00CE388F"/>
    <w:rsid w:val="00CE465D"/>
    <w:rsid w:val="00CF1C37"/>
    <w:rsid w:val="00D00DAC"/>
    <w:rsid w:val="00D0181F"/>
    <w:rsid w:val="00D02D0E"/>
    <w:rsid w:val="00D04902"/>
    <w:rsid w:val="00D135AC"/>
    <w:rsid w:val="00D13E92"/>
    <w:rsid w:val="00D1605B"/>
    <w:rsid w:val="00D206B6"/>
    <w:rsid w:val="00D269FC"/>
    <w:rsid w:val="00D366E7"/>
    <w:rsid w:val="00D44FF4"/>
    <w:rsid w:val="00D56707"/>
    <w:rsid w:val="00D57D61"/>
    <w:rsid w:val="00D62235"/>
    <w:rsid w:val="00D6390D"/>
    <w:rsid w:val="00D64168"/>
    <w:rsid w:val="00D6795E"/>
    <w:rsid w:val="00D710B3"/>
    <w:rsid w:val="00D72852"/>
    <w:rsid w:val="00D7366D"/>
    <w:rsid w:val="00D91292"/>
    <w:rsid w:val="00D93F0F"/>
    <w:rsid w:val="00D943F9"/>
    <w:rsid w:val="00D960FA"/>
    <w:rsid w:val="00D96E57"/>
    <w:rsid w:val="00D97175"/>
    <w:rsid w:val="00D97272"/>
    <w:rsid w:val="00DA0B22"/>
    <w:rsid w:val="00DA0DBC"/>
    <w:rsid w:val="00DA2715"/>
    <w:rsid w:val="00DA499A"/>
    <w:rsid w:val="00DA49C5"/>
    <w:rsid w:val="00DA55C0"/>
    <w:rsid w:val="00DA770C"/>
    <w:rsid w:val="00DB027A"/>
    <w:rsid w:val="00DB506B"/>
    <w:rsid w:val="00DC2D2F"/>
    <w:rsid w:val="00DD3B43"/>
    <w:rsid w:val="00DD3BE0"/>
    <w:rsid w:val="00DD6919"/>
    <w:rsid w:val="00DE33FD"/>
    <w:rsid w:val="00DE48F0"/>
    <w:rsid w:val="00DF352A"/>
    <w:rsid w:val="00DF6CB8"/>
    <w:rsid w:val="00DF7406"/>
    <w:rsid w:val="00E0038A"/>
    <w:rsid w:val="00E005C6"/>
    <w:rsid w:val="00E0269D"/>
    <w:rsid w:val="00E040A2"/>
    <w:rsid w:val="00E06DB5"/>
    <w:rsid w:val="00E20A65"/>
    <w:rsid w:val="00E23A73"/>
    <w:rsid w:val="00E263F3"/>
    <w:rsid w:val="00E309CE"/>
    <w:rsid w:val="00E35437"/>
    <w:rsid w:val="00E354B6"/>
    <w:rsid w:val="00E37E20"/>
    <w:rsid w:val="00E45180"/>
    <w:rsid w:val="00E4560C"/>
    <w:rsid w:val="00E46133"/>
    <w:rsid w:val="00E51058"/>
    <w:rsid w:val="00E54CF6"/>
    <w:rsid w:val="00E566AA"/>
    <w:rsid w:val="00E57EE0"/>
    <w:rsid w:val="00E6077B"/>
    <w:rsid w:val="00E719CC"/>
    <w:rsid w:val="00E81A2A"/>
    <w:rsid w:val="00E82E5D"/>
    <w:rsid w:val="00E8471B"/>
    <w:rsid w:val="00E85F86"/>
    <w:rsid w:val="00E86C5F"/>
    <w:rsid w:val="00E95040"/>
    <w:rsid w:val="00EA010A"/>
    <w:rsid w:val="00EB1606"/>
    <w:rsid w:val="00EB6423"/>
    <w:rsid w:val="00EC3794"/>
    <w:rsid w:val="00ED7174"/>
    <w:rsid w:val="00EE0F20"/>
    <w:rsid w:val="00EE22EE"/>
    <w:rsid w:val="00EE49F2"/>
    <w:rsid w:val="00EE4FFB"/>
    <w:rsid w:val="00EE5CEE"/>
    <w:rsid w:val="00EF1335"/>
    <w:rsid w:val="00EF24C2"/>
    <w:rsid w:val="00F15E24"/>
    <w:rsid w:val="00F16523"/>
    <w:rsid w:val="00F25485"/>
    <w:rsid w:val="00F265D2"/>
    <w:rsid w:val="00F32918"/>
    <w:rsid w:val="00F34238"/>
    <w:rsid w:val="00F35682"/>
    <w:rsid w:val="00F438F2"/>
    <w:rsid w:val="00F44C03"/>
    <w:rsid w:val="00F47C0B"/>
    <w:rsid w:val="00F50D53"/>
    <w:rsid w:val="00F530CE"/>
    <w:rsid w:val="00F60D8A"/>
    <w:rsid w:val="00F6160A"/>
    <w:rsid w:val="00F66A86"/>
    <w:rsid w:val="00F722A0"/>
    <w:rsid w:val="00F722B9"/>
    <w:rsid w:val="00F7235C"/>
    <w:rsid w:val="00F81C45"/>
    <w:rsid w:val="00F82C59"/>
    <w:rsid w:val="00F84AFB"/>
    <w:rsid w:val="00F87FF8"/>
    <w:rsid w:val="00F93DCA"/>
    <w:rsid w:val="00F95FE5"/>
    <w:rsid w:val="00F9724E"/>
    <w:rsid w:val="00FA0E7E"/>
    <w:rsid w:val="00FA1D69"/>
    <w:rsid w:val="00FA235B"/>
    <w:rsid w:val="00FB1B76"/>
    <w:rsid w:val="00FC269E"/>
    <w:rsid w:val="00FC7FD3"/>
    <w:rsid w:val="00FD2B5D"/>
    <w:rsid w:val="00FE2BD0"/>
    <w:rsid w:val="00FF25CB"/>
    <w:rsid w:val="00FF262F"/>
    <w:rsid w:val="00FF6487"/>
    <w:rsid w:val="00FF65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644D375-AAEC-4A3E-B24B-9BED88A4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CE"/>
    <w:rPr>
      <w:sz w:val="24"/>
      <w:szCs w:val="24"/>
      <w:lang w:val="en-GB"/>
    </w:rPr>
  </w:style>
  <w:style w:type="paragraph" w:styleId="Heading2">
    <w:name w:val="heading 2"/>
    <w:basedOn w:val="Normal"/>
    <w:next w:val="Normal"/>
    <w:link w:val="Heading2Char"/>
    <w:uiPriority w:val="9"/>
    <w:semiHidden/>
    <w:unhideWhenUsed/>
    <w:qFormat/>
    <w:rsid w:val="00DB506B"/>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link w:val="FooterChar"/>
    <w:uiPriority w:val="99"/>
    <w:rsid w:val="00901471"/>
    <w:pPr>
      <w:tabs>
        <w:tab w:val="center" w:pos="4320"/>
        <w:tab w:val="right" w:pos="8640"/>
      </w:tabs>
    </w:pPr>
  </w:style>
  <w:style w:type="paragraph" w:styleId="BodyTextIndent">
    <w:name w:val="Body Text Indent"/>
    <w:basedOn w:val="Normal"/>
    <w:rsid w:val="00901471"/>
    <w:pPr>
      <w:ind w:firstLine="720"/>
      <w:jc w:val="both"/>
    </w:pPr>
    <w:rPr>
      <w:rFonts w:ascii="Verdana" w:hAnsi="Verdana"/>
      <w:lang w:val="sr-Cyrl-CS"/>
    </w:r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harCharChar2Char">
    <w:name w:val="Char Char Char2 Char"/>
    <w:basedOn w:val="NormalBookAntiqua"/>
    <w:rsid w:val="00FD2B5D"/>
  </w:style>
  <w:style w:type="paragraph" w:styleId="BalloonText">
    <w:name w:val="Balloon Text"/>
    <w:basedOn w:val="Normal"/>
    <w:link w:val="BalloonTextChar"/>
    <w:uiPriority w:val="99"/>
    <w:semiHidden/>
    <w:rsid w:val="00D62235"/>
    <w:rPr>
      <w:rFonts w:ascii="Tahoma" w:hAnsi="Tahoma" w:cs="Tahoma"/>
      <w:sz w:val="16"/>
      <w:szCs w:val="16"/>
    </w:rPr>
  </w:style>
  <w:style w:type="paragraph" w:customStyle="1" w:styleId="CharCharChar2Char0">
    <w:name w:val="Char Char Char2 Char"/>
    <w:basedOn w:val="Normal"/>
    <w:rsid w:val="00BD54E6"/>
    <w:pPr>
      <w:spacing w:after="160" w:line="240" w:lineRule="exact"/>
    </w:pPr>
    <w:rPr>
      <w:rFonts w:ascii="Tahoma" w:hAnsi="Tahoma"/>
      <w:sz w:val="20"/>
      <w:szCs w:val="20"/>
      <w:lang w:val="en-US"/>
    </w:rPr>
  </w:style>
  <w:style w:type="paragraph" w:styleId="NormalWeb">
    <w:name w:val="Normal (Web)"/>
    <w:basedOn w:val="Normal"/>
    <w:uiPriority w:val="99"/>
    <w:rsid w:val="008A7079"/>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t Char Char Char,f,Footnote Text Char1"/>
    <w:basedOn w:val="Normal"/>
    <w:link w:val="FootnoteTextChar"/>
    <w:unhideWhenUsed/>
    <w:qFormat/>
    <w:rsid w:val="008A7079"/>
    <w:rPr>
      <w:sz w:val="20"/>
      <w:szCs w:val="20"/>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rsid w:val="008A7079"/>
    <w:rPr>
      <w:lang w:val="en-GB"/>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unhideWhenUsed/>
    <w:qFormat/>
    <w:rsid w:val="008A7079"/>
    <w:rPr>
      <w:vertAlign w:val="superscript"/>
    </w:rPr>
  </w:style>
  <w:style w:type="paragraph" w:styleId="ListParagraph">
    <w:name w:val="List Paragraph"/>
    <w:basedOn w:val="Normal"/>
    <w:uiPriority w:val="34"/>
    <w:qFormat/>
    <w:rsid w:val="008A7079"/>
    <w:pPr>
      <w:ind w:left="720"/>
      <w:contextualSpacing/>
    </w:pPr>
  </w:style>
  <w:style w:type="character" w:styleId="Hyperlink">
    <w:name w:val="Hyperlink"/>
    <w:basedOn w:val="DefaultParagraphFont"/>
    <w:uiPriority w:val="99"/>
    <w:rsid w:val="001859E1"/>
    <w:rPr>
      <w:color w:val="0563C1" w:themeColor="hyperlink"/>
      <w:u w:val="single"/>
    </w:rPr>
  </w:style>
  <w:style w:type="character" w:customStyle="1" w:styleId="FooterChar">
    <w:name w:val="Footer Char"/>
    <w:basedOn w:val="DefaultParagraphFont"/>
    <w:link w:val="Footer"/>
    <w:uiPriority w:val="99"/>
    <w:rsid w:val="00913318"/>
    <w:rPr>
      <w:sz w:val="24"/>
      <w:szCs w:val="24"/>
      <w:lang w:val="en-GB"/>
    </w:rPr>
  </w:style>
  <w:style w:type="paragraph" w:customStyle="1" w:styleId="xmsonormal">
    <w:name w:val="x_msonormal"/>
    <w:basedOn w:val="Normal"/>
    <w:rsid w:val="005546CF"/>
    <w:rPr>
      <w:rFonts w:ascii="Calibri" w:eastAsiaTheme="minorHAnsi" w:hAnsi="Calibri" w:cs="Calibri"/>
      <w:sz w:val="22"/>
      <w:szCs w:val="22"/>
      <w:lang w:eastAsia="en-GB"/>
    </w:rPr>
  </w:style>
  <w:style w:type="character" w:customStyle="1" w:styleId="xapple-converted-space">
    <w:name w:val="x_apple-converted-space"/>
    <w:basedOn w:val="DefaultParagraphFont"/>
    <w:rsid w:val="005546CF"/>
  </w:style>
  <w:style w:type="paragraph" w:customStyle="1" w:styleId="ftrefChar1">
    <w:name w:val="ftref Char1"/>
    <w:aliases w:val="4_G Char,BVI fnr Char1,ftref Char Char Char,BVI fnr Char Char Char,BVI fnr Car Car Char Char Char,BVI fnr Car Char Char Char,BVI fnr Car Car Car Car Char Char Char,ftref Char Char,4_G Char Char Char,Footnotes refss Char Char Char"/>
    <w:basedOn w:val="Normal"/>
    <w:link w:val="FootnoteReference"/>
    <w:uiPriority w:val="99"/>
    <w:rsid w:val="00C5560F"/>
    <w:pPr>
      <w:spacing w:after="160" w:line="240" w:lineRule="exact"/>
    </w:pPr>
    <w:rPr>
      <w:sz w:val="20"/>
      <w:szCs w:val="20"/>
      <w:vertAlign w:val="superscript"/>
      <w:lang w:val="en-US"/>
    </w:rPr>
  </w:style>
  <w:style w:type="character" w:styleId="CommentReference">
    <w:name w:val="annotation reference"/>
    <w:basedOn w:val="DefaultParagraphFont"/>
    <w:uiPriority w:val="99"/>
    <w:unhideWhenUsed/>
    <w:rsid w:val="00C5560F"/>
    <w:rPr>
      <w:sz w:val="16"/>
      <w:szCs w:val="16"/>
    </w:rPr>
  </w:style>
  <w:style w:type="paragraph" w:styleId="CommentText">
    <w:name w:val="annotation text"/>
    <w:basedOn w:val="Normal"/>
    <w:link w:val="CommentTextChar"/>
    <w:uiPriority w:val="99"/>
    <w:unhideWhenUsed/>
    <w:rsid w:val="00C5560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5560F"/>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632DD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32DD6"/>
    <w:rPr>
      <w:rFonts w:asciiTheme="minorHAnsi" w:eastAsiaTheme="minorHAnsi" w:hAnsiTheme="minorHAnsi" w:cstheme="minorBidi"/>
      <w:b/>
      <w:bCs/>
      <w:lang w:val="en-GB"/>
    </w:rPr>
  </w:style>
  <w:style w:type="paragraph" w:customStyle="1" w:styleId="NasloviRimski">
    <w:name w:val="Naslovi Rimski"/>
    <w:basedOn w:val="Normal"/>
    <w:uiPriority w:val="99"/>
    <w:rsid w:val="00910DEA"/>
    <w:pPr>
      <w:numPr>
        <w:numId w:val="11"/>
      </w:numPr>
      <w:spacing w:before="160" w:after="160"/>
      <w:jc w:val="center"/>
    </w:pPr>
    <w:rPr>
      <w:rFonts w:ascii="Book Antiqua" w:eastAsia="Calibri" w:hAnsi="Book Antiqua"/>
      <w:b/>
      <w:sz w:val="22"/>
      <w:szCs w:val="22"/>
    </w:rPr>
  </w:style>
  <w:style w:type="paragraph" w:customStyle="1" w:styleId="Podnaslovi">
    <w:name w:val="Podnaslovi"/>
    <w:basedOn w:val="Normal"/>
    <w:uiPriority w:val="99"/>
    <w:rsid w:val="00910DEA"/>
    <w:pPr>
      <w:numPr>
        <w:ilvl w:val="1"/>
        <w:numId w:val="11"/>
      </w:numPr>
      <w:spacing w:before="120" w:after="120"/>
      <w:jc w:val="center"/>
    </w:pPr>
    <w:rPr>
      <w:rFonts w:ascii="Book Antiqua" w:eastAsia="Calibri" w:hAnsi="Book Antiqua"/>
      <w:b/>
      <w:sz w:val="22"/>
      <w:szCs w:val="22"/>
      <w:lang w:val="en-US"/>
    </w:rPr>
  </w:style>
  <w:style w:type="paragraph" w:customStyle="1" w:styleId="Numeracija1">
    <w:name w:val="Numeracija 1"/>
    <w:basedOn w:val="Normal"/>
    <w:uiPriority w:val="99"/>
    <w:qFormat/>
    <w:rsid w:val="00910DEA"/>
    <w:pPr>
      <w:numPr>
        <w:ilvl w:val="2"/>
        <w:numId w:val="11"/>
      </w:numPr>
      <w:spacing w:after="120"/>
      <w:ind w:left="0" w:firstLine="0"/>
      <w:jc w:val="both"/>
    </w:pPr>
    <w:rPr>
      <w:rFonts w:ascii="Book Antiqua" w:eastAsia="Calibri" w:hAnsi="Book Antiqua"/>
      <w:sz w:val="22"/>
      <w:szCs w:val="22"/>
      <w:lang w:val="sr-Cyrl-CS"/>
    </w:rPr>
  </w:style>
  <w:style w:type="paragraph" w:customStyle="1" w:styleId="Numeracija4">
    <w:name w:val="Numeracija 4"/>
    <w:basedOn w:val="Numeracija1"/>
    <w:uiPriority w:val="99"/>
    <w:rsid w:val="00910DEA"/>
    <w:pPr>
      <w:numPr>
        <w:ilvl w:val="3"/>
      </w:numPr>
      <w:ind w:firstLine="567"/>
    </w:pPr>
  </w:style>
  <w:style w:type="numbering" w:customStyle="1" w:styleId="Rimska">
    <w:name w:val="Rimska"/>
    <w:rsid w:val="00910DEA"/>
    <w:pPr>
      <w:numPr>
        <w:numId w:val="12"/>
      </w:numPr>
    </w:pPr>
  </w:style>
  <w:style w:type="numbering" w:customStyle="1" w:styleId="NoList1">
    <w:name w:val="No List1"/>
    <w:next w:val="NoList"/>
    <w:uiPriority w:val="99"/>
    <w:semiHidden/>
    <w:unhideWhenUsed/>
    <w:rsid w:val="00A52B76"/>
  </w:style>
  <w:style w:type="paragraph" w:styleId="NoSpacing">
    <w:name w:val="No Spacing"/>
    <w:basedOn w:val="Normal"/>
    <w:qFormat/>
    <w:rsid w:val="00A52B76"/>
    <w:rPr>
      <w:rFonts w:ascii="Calibri" w:hAnsi="Calibri"/>
      <w:sz w:val="22"/>
      <w:szCs w:val="22"/>
      <w:lang w:val="en-US"/>
    </w:rPr>
  </w:style>
  <w:style w:type="character" w:customStyle="1" w:styleId="BalloonTextChar">
    <w:name w:val="Balloon Text Char"/>
    <w:basedOn w:val="DefaultParagraphFont"/>
    <w:link w:val="BalloonText"/>
    <w:uiPriority w:val="99"/>
    <w:semiHidden/>
    <w:rsid w:val="00A52B76"/>
    <w:rPr>
      <w:rFonts w:ascii="Tahoma" w:hAnsi="Tahoma" w:cs="Tahoma"/>
      <w:sz w:val="16"/>
      <w:szCs w:val="16"/>
      <w:lang w:val="en-GB"/>
    </w:rPr>
  </w:style>
  <w:style w:type="paragraph" w:customStyle="1" w:styleId="Normal1">
    <w:name w:val="Normal1"/>
    <w:basedOn w:val="Normal"/>
    <w:uiPriority w:val="99"/>
    <w:rsid w:val="00A52B76"/>
    <w:pPr>
      <w:spacing w:before="100" w:beforeAutospacing="1" w:after="100" w:afterAutospacing="1"/>
    </w:pPr>
    <w:rPr>
      <w:rFonts w:eastAsia="Calibri"/>
      <w:lang w:val="sr-Latn-CS" w:eastAsia="sr-Latn-CS"/>
    </w:rPr>
  </w:style>
  <w:style w:type="character" w:styleId="Strong">
    <w:name w:val="Strong"/>
    <w:basedOn w:val="DefaultParagraphFont"/>
    <w:uiPriority w:val="22"/>
    <w:qFormat/>
    <w:rsid w:val="00A52B76"/>
    <w:rPr>
      <w:b/>
      <w:bCs/>
    </w:rPr>
  </w:style>
  <w:style w:type="paragraph" w:styleId="Revision">
    <w:name w:val="Revision"/>
    <w:hidden/>
    <w:uiPriority w:val="99"/>
    <w:semiHidden/>
    <w:rsid w:val="004A79D7"/>
    <w:rPr>
      <w:sz w:val="24"/>
      <w:szCs w:val="24"/>
      <w:lang w:val="en-GB"/>
    </w:rPr>
  </w:style>
  <w:style w:type="character" w:styleId="FollowedHyperlink">
    <w:name w:val="FollowedHyperlink"/>
    <w:basedOn w:val="DefaultParagraphFont"/>
    <w:uiPriority w:val="99"/>
    <w:semiHidden/>
    <w:unhideWhenUsed/>
    <w:rsid w:val="004A459A"/>
    <w:rPr>
      <w:color w:val="954F72" w:themeColor="followedHyperlink"/>
      <w:u w:val="single"/>
    </w:rPr>
  </w:style>
  <w:style w:type="character" w:customStyle="1" w:styleId="Heading2Char">
    <w:name w:val="Heading 2 Char"/>
    <w:basedOn w:val="DefaultParagraphFont"/>
    <w:link w:val="Heading2"/>
    <w:uiPriority w:val="9"/>
    <w:semiHidden/>
    <w:rsid w:val="00DB506B"/>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DB506B"/>
  </w:style>
  <w:style w:type="numbering" w:customStyle="1" w:styleId="Rimska1">
    <w:name w:val="Rimska1"/>
    <w:rsid w:val="00DB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ombudsman.rs/index.php/2012-02-07-14-03-33/5977-n-dl-zni-rg-ni-d-b-zb-d-ispl-u-n-n-d-z-r-d-pri-uzi-lj-sh-uv-s-v-ru-u-pr-v-n-n-n-du-z-r-d-zb-g-rudnic-g-b-l-v-nj-i-dsus-v-s-r-d-zb-g-p-r-d-n-g-d-i-p-s-bn-n-g-d" TargetMode="External"/><Relationship Id="rId3" Type="http://schemas.openxmlformats.org/officeDocument/2006/relationships/hyperlink" Target="http://www.nsz.gov.rs/live/digitalAssets/13/13260_bilten_nsz_07_2019_-_broj_203.pdf" TargetMode="External"/><Relationship Id="rId7" Type="http://schemas.openxmlformats.org/officeDocument/2006/relationships/hyperlink" Target="http://www.ombudsman.rs/index.php/izvestaji/godisnji-izvestaji" TargetMode="External"/><Relationship Id="rId12" Type="http://schemas.openxmlformats.org/officeDocument/2006/relationships/hyperlink" Target="http://www.ljudskaprava.gov.rs/sites/default/files/dokument_file/zakljucna_zapazanja_komitetaccpr_c_srb_co_3_27019_e_srp.pdf" TargetMode="External"/><Relationship Id="rId2" Type="http://schemas.openxmlformats.org/officeDocument/2006/relationships/hyperlink" Target="http://publikacije.stat.gov.rs/G2019/Pdf/G20191204.pdf" TargetMode="External"/><Relationship Id="rId1" Type="http://schemas.openxmlformats.org/officeDocument/2006/relationships/hyperlink" Target="http://publikacije.stat.gov.rs/G2017/Pdf/G20176008.pdf" TargetMode="External"/><Relationship Id="rId6" Type="http://schemas.openxmlformats.org/officeDocument/2006/relationships/hyperlink" Target="https://ljudskaprava.gov.rs/sh/node/19980-" TargetMode="External"/><Relationship Id="rId11" Type="http://schemas.openxmlformats.org/officeDocument/2006/relationships/hyperlink" Target="https://www.ombudsman.rs/attachments/article/5902/Zastitnik%20gradjana%20engleski.pdf" TargetMode="External"/><Relationship Id="rId5" Type="http://schemas.openxmlformats.org/officeDocument/2006/relationships/hyperlink" Target="https://www.srbija.gov.rs/dokument/45678/strategije.php" TargetMode="External"/><Relationship Id="rId10" Type="http://schemas.openxmlformats.org/officeDocument/2006/relationships/hyperlink" Target="http://www.ombudsman.rs/index.php/2011-12-11-11-34-45/5501-ishlj-nj-z-sh-i-ni-gr-d-n-n-s-n-cr-z-n-z-p-sl-ni-u-vni-sluzb" TargetMode="External"/><Relationship Id="rId4" Type="http://schemas.openxmlformats.org/officeDocument/2006/relationships/hyperlink" Target="http://www.minrzs.gov.rs/cir/aktuelno/item/5781-program-reformi-politike-zaposljavanja-i-socijalne-politike-u-procesu-pristupanja-evropskoj-uniji-employment-and-social-reform-programme" TargetMode="External"/><Relationship Id="rId9" Type="http://schemas.openxmlformats.org/officeDocument/2006/relationships/hyperlink" Target="https://www.rodnaravnopravnost.rs/index.php?option=com_content&amp;view=featured&amp;Itemid=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ar\Documents\Custom%20Office%20Templates\&#1041;&#1045;&#1054;&#1043;&#1056;&#1040;&#104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623780-B529-4D0A-A96F-7437150198AB}">
  <ds:schemaRefs>
    <ds:schemaRef ds:uri="http://schemas.openxmlformats.org/officeDocument/2006/bibliography"/>
  </ds:schemaRefs>
</ds:datastoreItem>
</file>

<file path=customXml/itemProps2.xml><?xml version="1.0" encoding="utf-8"?>
<ds:datastoreItem xmlns:ds="http://schemas.openxmlformats.org/officeDocument/2006/customXml" ds:itemID="{8E41D898-6B57-42F5-9222-870728CF991C}"/>
</file>

<file path=customXml/itemProps3.xml><?xml version="1.0" encoding="utf-8"?>
<ds:datastoreItem xmlns:ds="http://schemas.openxmlformats.org/officeDocument/2006/customXml" ds:itemID="{6E46FF34-A4DB-44F5-877E-031EB80715DD}"/>
</file>

<file path=customXml/itemProps4.xml><?xml version="1.0" encoding="utf-8"?>
<ds:datastoreItem xmlns:ds="http://schemas.openxmlformats.org/officeDocument/2006/customXml" ds:itemID="{3392F871-F5EC-41FE-96BE-DA3A7ACDC0F8}"/>
</file>

<file path=docProps/app.xml><?xml version="1.0" encoding="utf-8"?>
<Properties xmlns="http://schemas.openxmlformats.org/officeDocument/2006/extended-properties" xmlns:vt="http://schemas.openxmlformats.org/officeDocument/2006/docPropsVTypes">
  <Template>БЕОГРАД 1</Template>
  <TotalTime>268</TotalTime>
  <Pages>6</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creator>Aleksandar Tasić</dc:creator>
  <cp:lastModifiedBy>Jovana Milovanović</cp:lastModifiedBy>
  <cp:revision>67</cp:revision>
  <cp:lastPrinted>2019-08-30T09:00:00Z</cp:lastPrinted>
  <dcterms:created xsi:type="dcterms:W3CDTF">2019-08-27T18:01:00Z</dcterms:created>
  <dcterms:modified xsi:type="dcterms:W3CDTF">2019-08-30T09:00:00Z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