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B6" w:rsidRDefault="008E78DA" w:rsidP="00C50026">
      <w:pPr>
        <w:bidi w:val="0"/>
        <w:jc w:val="center"/>
        <w:rPr>
          <w:b/>
          <w:bCs/>
          <w:sz w:val="24"/>
          <w:szCs w:val="24"/>
        </w:rPr>
      </w:pPr>
      <w:r w:rsidRPr="000D7830">
        <w:rPr>
          <w:b/>
          <w:bCs/>
          <w:sz w:val="24"/>
          <w:szCs w:val="24"/>
        </w:rPr>
        <w:t>THE IMPACT OF VIOLENCE AGAINST WOMEN ON WOMEN’S ECONOMIC AND SOCIAL LIFE</w:t>
      </w:r>
    </w:p>
    <w:p w:rsidR="00DD6E71" w:rsidRPr="00CF6B28" w:rsidRDefault="00DD6E71" w:rsidP="00DD6E71">
      <w:pPr>
        <w:bidi w:val="0"/>
        <w:jc w:val="center"/>
      </w:pPr>
      <w:r w:rsidRPr="00CF6B28">
        <w:rPr>
          <w:b/>
          <w:bCs/>
        </w:rPr>
        <w:t>Background Paper</w:t>
      </w:r>
    </w:p>
    <w:p w:rsidR="000E5CB6" w:rsidRPr="00C50026" w:rsidRDefault="00B154AF" w:rsidP="00DD6E71">
      <w:pPr>
        <w:bidi w:val="0"/>
        <w:jc w:val="center"/>
      </w:pPr>
      <w:r>
        <w:t xml:space="preserve"> Frances </w:t>
      </w:r>
      <w:proofErr w:type="spellStart"/>
      <w:r>
        <w:t>Raday</w:t>
      </w:r>
      <w:proofErr w:type="spellEnd"/>
      <w:r>
        <w:t xml:space="preserve"> and </w:t>
      </w:r>
      <w:proofErr w:type="spellStart"/>
      <w:r w:rsidR="000E5CB6" w:rsidRPr="00C50026">
        <w:t>Shai</w:t>
      </w:r>
      <w:proofErr w:type="spellEnd"/>
      <w:r w:rsidR="000E5CB6" w:rsidRPr="00C50026">
        <w:t xml:space="preserve"> </w:t>
      </w:r>
      <w:proofErr w:type="spellStart"/>
      <w:r w:rsidR="000E5CB6" w:rsidRPr="00C50026">
        <w:t>Oksenberg</w:t>
      </w:r>
      <w:proofErr w:type="spellEnd"/>
      <w:r w:rsidR="000E5CB6" w:rsidRPr="00C50026">
        <w:rPr>
          <w:rStyle w:val="FootnoteReference"/>
        </w:rPr>
        <w:footnoteReference w:id="1"/>
      </w:r>
    </w:p>
    <w:p w:rsidR="00080D84" w:rsidRPr="000A6797" w:rsidRDefault="008E78DA" w:rsidP="00C50026">
      <w:pPr>
        <w:pStyle w:val="ListParagraph"/>
        <w:numPr>
          <w:ilvl w:val="0"/>
          <w:numId w:val="2"/>
        </w:numPr>
        <w:bidi w:val="0"/>
        <w:jc w:val="both"/>
        <w:rPr>
          <w:b/>
          <w:bCs/>
        </w:rPr>
      </w:pPr>
      <w:r w:rsidRPr="000A6797">
        <w:rPr>
          <w:b/>
          <w:bCs/>
        </w:rPr>
        <w:t>INTRODUCTION</w:t>
      </w:r>
    </w:p>
    <w:p w:rsidR="005F0B93" w:rsidRPr="00C50026" w:rsidRDefault="00ED1498" w:rsidP="00B079E3">
      <w:pPr>
        <w:autoSpaceDE w:val="0"/>
        <w:autoSpaceDN w:val="0"/>
        <w:bidi w:val="0"/>
        <w:adjustRightInd w:val="0"/>
        <w:spacing w:after="0"/>
        <w:jc w:val="both"/>
      </w:pPr>
      <w:r w:rsidRPr="00C50026">
        <w:t xml:space="preserve">In the current paper, </w:t>
      </w:r>
      <w:r w:rsidR="007454F9">
        <w:t>we</w:t>
      </w:r>
      <w:r w:rsidR="00FE3321" w:rsidRPr="00C50026">
        <w:t xml:space="preserve"> </w:t>
      </w:r>
      <w:r w:rsidR="00915229" w:rsidRPr="00C50026">
        <w:t xml:space="preserve">shall </w:t>
      </w:r>
      <w:r w:rsidRPr="00C50026">
        <w:t>examin</w:t>
      </w:r>
      <w:r w:rsidR="00915229" w:rsidRPr="00C50026">
        <w:t>e</w:t>
      </w:r>
      <w:r w:rsidRPr="00C50026">
        <w:t xml:space="preserve"> the impact of </w:t>
      </w:r>
      <w:r w:rsidR="00B154AF">
        <w:t>violence against women “</w:t>
      </w:r>
      <w:r w:rsidR="00B079E3">
        <w:t>VAW</w:t>
      </w:r>
      <w:r w:rsidR="00B154AF">
        <w:t>”</w:t>
      </w:r>
      <w:r w:rsidR="00B30EA0">
        <w:t xml:space="preserve"> or </w:t>
      </w:r>
      <w:r w:rsidR="00B154AF">
        <w:t>“</w:t>
      </w:r>
      <w:r w:rsidR="00B30EA0">
        <w:t>GBV – gender based violence</w:t>
      </w:r>
      <w:r w:rsidR="00B154AF">
        <w:t>”</w:t>
      </w:r>
      <w:r w:rsidR="003A5767" w:rsidRPr="00C50026">
        <w:t>)</w:t>
      </w:r>
      <w:r w:rsidRPr="00C50026">
        <w:t xml:space="preserve"> on women’s economic and social life which concerns the impact of </w:t>
      </w:r>
      <w:r w:rsidR="00B079E3">
        <w:t>VAW/GBV</w:t>
      </w:r>
      <w:r w:rsidRPr="00C50026">
        <w:t xml:space="preserve"> in the community on their economic and social potential. </w:t>
      </w:r>
      <w:r w:rsidR="005C0904" w:rsidRPr="00C50026">
        <w:t xml:space="preserve">Women face diverse forms of violence in the </w:t>
      </w:r>
      <w:r w:rsidR="005C0904">
        <w:t>community</w:t>
      </w:r>
      <w:r w:rsidR="005C0904" w:rsidRPr="00C50026">
        <w:t xml:space="preserve">, motivated by </w:t>
      </w:r>
      <w:r w:rsidR="005C0904">
        <w:t xml:space="preserve">discrimination and </w:t>
      </w:r>
      <w:r w:rsidR="006C197D">
        <w:t>misogyny, including</w:t>
      </w:r>
      <w:r w:rsidR="005C0904" w:rsidRPr="00C50026">
        <w:t xml:space="preserve"> murder, rape, gang rape, sexual assault</w:t>
      </w:r>
      <w:r w:rsidR="006C197D">
        <w:t xml:space="preserve"> and</w:t>
      </w:r>
      <w:r w:rsidR="005C0904">
        <w:t xml:space="preserve"> </w:t>
      </w:r>
      <w:r w:rsidR="005C0904" w:rsidRPr="00C50026">
        <w:t>sexual harassment.</w:t>
      </w:r>
      <w:r w:rsidR="005C0904">
        <w:t xml:space="preserve"> They may also face state violence</w:t>
      </w:r>
      <w:r w:rsidR="00AD7E36">
        <w:t xml:space="preserve"> in</w:t>
      </w:r>
      <w:r w:rsidR="005C0904">
        <w:t xml:space="preserve"> the imposition of penalties and punishment for </w:t>
      </w:r>
      <w:r w:rsidR="006C197D" w:rsidRPr="00C50026">
        <w:t>crimes agains</w:t>
      </w:r>
      <w:r w:rsidR="006C197D">
        <w:t>t patriarchy, such as adultery</w:t>
      </w:r>
      <w:r w:rsidR="00B30EA0">
        <w:t>,</w:t>
      </w:r>
      <w:r w:rsidR="006C197D">
        <w:t xml:space="preserve"> imposition of highly </w:t>
      </w:r>
      <w:r w:rsidR="006C197D" w:rsidRPr="00C50026">
        <w:t xml:space="preserve">restrictive modesty </w:t>
      </w:r>
      <w:r w:rsidR="006C197D">
        <w:t>codes</w:t>
      </w:r>
      <w:r w:rsidR="00B30EA0">
        <w:t>,</w:t>
      </w:r>
      <w:r w:rsidR="006C197D" w:rsidRPr="00C50026">
        <w:t xml:space="preserve"> forced abortion or sterilization</w:t>
      </w:r>
      <w:r w:rsidR="00AD7E36">
        <w:t xml:space="preserve"> and violence by law enforcement officers.</w:t>
      </w:r>
      <w:r w:rsidR="006C197D" w:rsidRPr="006C197D">
        <w:t xml:space="preserve"> </w:t>
      </w:r>
    </w:p>
    <w:p w:rsidR="005F0B93" w:rsidRPr="00C50026" w:rsidRDefault="005F0B93" w:rsidP="00C50026">
      <w:pPr>
        <w:autoSpaceDE w:val="0"/>
        <w:autoSpaceDN w:val="0"/>
        <w:bidi w:val="0"/>
        <w:adjustRightInd w:val="0"/>
        <w:spacing w:after="0"/>
        <w:jc w:val="both"/>
      </w:pPr>
    </w:p>
    <w:p w:rsidR="006C197D" w:rsidRDefault="00ED1498" w:rsidP="00B30EA0">
      <w:pPr>
        <w:autoSpaceDE w:val="0"/>
        <w:autoSpaceDN w:val="0"/>
        <w:bidi w:val="0"/>
        <w:adjustRightInd w:val="0"/>
        <w:spacing w:after="0"/>
        <w:jc w:val="both"/>
      </w:pPr>
      <w:r w:rsidRPr="00C50026">
        <w:t xml:space="preserve">This paper does not attempt to relate to the problem of </w:t>
      </w:r>
      <w:r w:rsidR="00B30EA0">
        <w:t>VAW/GBV</w:t>
      </w:r>
      <w:r w:rsidRPr="00C50026">
        <w:t xml:space="preserve"> in its entirety or to relate to the numerous initiatives taken to combat </w:t>
      </w:r>
      <w:r w:rsidR="00B30EA0">
        <w:t>VAW/GBV</w:t>
      </w:r>
      <w:r w:rsidRPr="00C50026">
        <w:t xml:space="preserve"> in all its facets by UN agencies, Special Rapporteurs on </w:t>
      </w:r>
      <w:r w:rsidR="00B30EA0">
        <w:t>VAW/GBV</w:t>
      </w:r>
      <w:r w:rsidRPr="00C50026">
        <w:t>, the CEDAW Committee, the treaty bodies including HRC, CAT, CRC and ESCRC</w:t>
      </w:r>
      <w:r w:rsidR="00B30EA0">
        <w:t>;</w:t>
      </w:r>
      <w:r w:rsidRPr="00C50026">
        <w:t xml:space="preserve"> nor does it relate to more than a fraction of the enormously wide and rich literature on </w:t>
      </w:r>
      <w:r w:rsidR="00B30EA0">
        <w:t>VAW/GBV</w:t>
      </w:r>
      <w:r w:rsidRPr="00C50026">
        <w:t xml:space="preserve"> which has emerged in less than 40 years. In its thematic framework the Working Group regards </w:t>
      </w:r>
      <w:r w:rsidR="00B30EA0">
        <w:t>VAW/GBV</w:t>
      </w:r>
      <w:r w:rsidRPr="00C50026">
        <w:t xml:space="preserve"> as a cross-cutting issue</w:t>
      </w:r>
      <w:r w:rsidR="00410C55" w:rsidRPr="00C50026">
        <w:t xml:space="preserve">. </w:t>
      </w:r>
      <w:r w:rsidRPr="00C50026">
        <w:t xml:space="preserve">The impact of </w:t>
      </w:r>
      <w:r w:rsidR="00B30EA0">
        <w:t>VAW/GBV</w:t>
      </w:r>
      <w:r w:rsidRPr="00C50026">
        <w:t xml:space="preserve"> in other spheres of women’s lives </w:t>
      </w:r>
      <w:r w:rsidR="00B30EA0" w:rsidRPr="00B30EA0">
        <w:t xml:space="preserve">GBV </w:t>
      </w:r>
      <w:r w:rsidR="00B30EA0">
        <w:t xml:space="preserve">– </w:t>
      </w:r>
      <w:r w:rsidRPr="00C50026">
        <w:t xml:space="preserve">public and political life, the family and health care </w:t>
      </w:r>
      <w:r w:rsidR="00B30EA0">
        <w:t>–</w:t>
      </w:r>
      <w:r w:rsidRPr="00C50026">
        <w:t xml:space="preserve"> will be examined in other thematic reports by the Working Group.  The impact of </w:t>
      </w:r>
      <w:r w:rsidR="00B30EA0">
        <w:t>VAW/GBV</w:t>
      </w:r>
      <w:r w:rsidRPr="00C50026">
        <w:t xml:space="preserve"> in any one of these spheres</w:t>
      </w:r>
      <w:r w:rsidR="00B30EA0">
        <w:t>,</w:t>
      </w:r>
      <w:r w:rsidRPr="00C50026">
        <w:t xml:space="preserve"> and in particular violence against women and girls in the family, has a direct and devastating impact on all aspects of a woman’s life and creates an intolerable barrier to women’s fulfillment of their economic and social potential. Hence the focus on violence in the economic and social spheres cannot be understood in isolation from </w:t>
      </w:r>
      <w:r w:rsidR="00B30EA0">
        <w:t>VAW/GBV</w:t>
      </w:r>
      <w:r w:rsidRPr="00C50026">
        <w:t xml:space="preserve"> in the other spheres of their lives and the discussion in this paper is to be understood in close integration with </w:t>
      </w:r>
      <w:r w:rsidR="00237E2E" w:rsidRPr="00C50026">
        <w:t xml:space="preserve">other issues of </w:t>
      </w:r>
      <w:r w:rsidR="00B30EA0">
        <w:t>VAW/GBV</w:t>
      </w:r>
      <w:r w:rsidR="00237E2E" w:rsidRPr="00C50026">
        <w:t>, including for example, domestic violence, marital rape, incest and acquaintance rape</w:t>
      </w:r>
      <w:r w:rsidR="005F0B93" w:rsidRPr="00C50026">
        <w:t xml:space="preserve">, </w:t>
      </w:r>
      <w:r w:rsidR="00293EEE">
        <w:t xml:space="preserve">the </w:t>
      </w:r>
      <w:r w:rsidR="006C197D">
        <w:t xml:space="preserve">commercialization of </w:t>
      </w:r>
      <w:r w:rsidR="00B30EA0">
        <w:t>VAW/GBV</w:t>
      </w:r>
      <w:r w:rsidR="006C197D">
        <w:t xml:space="preserve"> in pornography and prostitution and trafficking for sexual exploitation.</w:t>
      </w:r>
    </w:p>
    <w:p w:rsidR="006C197D" w:rsidRDefault="006C197D" w:rsidP="00B50D8A">
      <w:pPr>
        <w:autoSpaceDE w:val="0"/>
        <w:autoSpaceDN w:val="0"/>
        <w:bidi w:val="0"/>
        <w:adjustRightInd w:val="0"/>
        <w:spacing w:after="0"/>
        <w:jc w:val="both"/>
      </w:pPr>
    </w:p>
    <w:p w:rsidR="00D7650C" w:rsidRPr="00C50026" w:rsidRDefault="00D7650C" w:rsidP="00575A80">
      <w:pPr>
        <w:autoSpaceDE w:val="0"/>
        <w:autoSpaceDN w:val="0"/>
        <w:bidi w:val="0"/>
        <w:adjustRightInd w:val="0"/>
        <w:spacing w:after="0"/>
        <w:jc w:val="both"/>
      </w:pPr>
      <w:r w:rsidRPr="00C50026">
        <w:t xml:space="preserve">It was not until the second half of the </w:t>
      </w:r>
      <w:r w:rsidR="00212077" w:rsidRPr="00C50026">
        <w:t>1970s</w:t>
      </w:r>
      <w:r w:rsidRPr="00C50026">
        <w:t xml:space="preserve"> that a conceptual understanding developed that </w:t>
      </w:r>
      <w:r w:rsidR="00B30EA0">
        <w:t>VAW/GBV</w:t>
      </w:r>
      <w:r w:rsidRPr="00C50026">
        <w:t xml:space="preserve"> was </w:t>
      </w:r>
      <w:r w:rsidR="00B50D8A" w:rsidRPr="00C50026">
        <w:t xml:space="preserve">not merely a matter of individual criminal </w:t>
      </w:r>
      <w:r w:rsidR="00B50D8A">
        <w:t xml:space="preserve">behavior but rather </w:t>
      </w:r>
      <w:r w:rsidRPr="00C50026">
        <w:t xml:space="preserve">a gender-based manifestation of patriarchal domination, which </w:t>
      </w:r>
      <w:r w:rsidR="00B50D8A">
        <w:t xml:space="preserve">has been </w:t>
      </w:r>
      <w:r w:rsidRPr="00C50026">
        <w:t xml:space="preserve">protected </w:t>
      </w:r>
      <w:r w:rsidR="00B50D8A">
        <w:t xml:space="preserve">variously </w:t>
      </w:r>
      <w:r w:rsidRPr="00C50026">
        <w:t>by cultural norms</w:t>
      </w:r>
      <w:r w:rsidR="00B50D8A">
        <w:t xml:space="preserve"> and</w:t>
      </w:r>
      <w:r w:rsidRPr="00C50026">
        <w:t xml:space="preserve"> by </w:t>
      </w:r>
      <w:r w:rsidR="00B50D8A">
        <w:t>legal</w:t>
      </w:r>
      <w:r w:rsidRPr="00C50026">
        <w:t xml:space="preserve"> right</w:t>
      </w:r>
      <w:r w:rsidR="00B50D8A">
        <w:t>s</w:t>
      </w:r>
      <w:r w:rsidRPr="00C50026">
        <w:t xml:space="preserve"> to privacy in the family. </w:t>
      </w:r>
      <w:r w:rsidR="00B50D8A">
        <w:t xml:space="preserve">Despite this conceptual recognition of </w:t>
      </w:r>
      <w:r w:rsidR="00B30EA0">
        <w:t>VAW/GBV</w:t>
      </w:r>
      <w:r w:rsidR="00B50D8A">
        <w:t xml:space="preserve"> as a form of discrimination against women and of patriarchal domination, CEDAW did not expressly incorporate a prohibition of </w:t>
      </w:r>
      <w:r w:rsidR="00B30EA0">
        <w:t>VAW/GBV</w:t>
      </w:r>
      <w:r w:rsidR="00B50D8A">
        <w:t xml:space="preserve">.  </w:t>
      </w:r>
      <w:r w:rsidR="00212077" w:rsidRPr="00C50026">
        <w:t xml:space="preserve">In the 1980s, </w:t>
      </w:r>
      <w:r w:rsidR="00212077" w:rsidRPr="00C50026">
        <w:lastRenderedPageBreak/>
        <w:t xml:space="preserve">academic articles began to </w:t>
      </w:r>
      <w:r w:rsidR="00B50D8A">
        <w:t xml:space="preserve">critique the fact that </w:t>
      </w:r>
      <w:r w:rsidR="00B30EA0">
        <w:t>VAW/GBV</w:t>
      </w:r>
      <w:r w:rsidR="00212077" w:rsidRPr="00C50026">
        <w:t xml:space="preserve"> had been wro</w:t>
      </w:r>
      <w:r w:rsidR="00ED1498" w:rsidRPr="00C50026">
        <w:t>n</w:t>
      </w:r>
      <w:r w:rsidR="00212077" w:rsidRPr="00C50026">
        <w:t xml:space="preserve">gly </w:t>
      </w:r>
      <w:r w:rsidR="00B50D8A">
        <w:t xml:space="preserve">left out of </w:t>
      </w:r>
      <w:r w:rsidR="00212077" w:rsidRPr="00C50026">
        <w:t>the human rights framework</w:t>
      </w:r>
      <w:r w:rsidR="00622CED">
        <w:t>.</w:t>
      </w:r>
      <w:r w:rsidR="00ED1498" w:rsidRPr="00C50026">
        <w:rPr>
          <w:rStyle w:val="FootnoteReference"/>
        </w:rPr>
        <w:footnoteReference w:id="2"/>
      </w:r>
    </w:p>
    <w:p w:rsidR="00D7650C" w:rsidRPr="00C50026" w:rsidRDefault="00D7650C" w:rsidP="00C50026">
      <w:pPr>
        <w:autoSpaceDE w:val="0"/>
        <w:autoSpaceDN w:val="0"/>
        <w:bidi w:val="0"/>
        <w:adjustRightInd w:val="0"/>
        <w:spacing w:after="0"/>
        <w:jc w:val="both"/>
      </w:pPr>
    </w:p>
    <w:p w:rsidR="003B45BD" w:rsidRPr="00C50026" w:rsidRDefault="00E4262C" w:rsidP="00622CED">
      <w:pPr>
        <w:bidi w:val="0"/>
        <w:jc w:val="both"/>
      </w:pPr>
      <w:r w:rsidRPr="00C50026">
        <w:t>In 1992 the CEDAW Committee adopted General Recommendation 19 on Violence against Women. This "was the instrument that brought violence against women unequivocally into the domain of international human rights law"</w:t>
      </w:r>
      <w:r w:rsidR="00622CED">
        <w:t>.</w:t>
      </w:r>
      <w:r w:rsidRPr="00C50026">
        <w:rPr>
          <w:rStyle w:val="FootnoteReference"/>
        </w:rPr>
        <w:footnoteReference w:id="3"/>
      </w:r>
      <w:r w:rsidRPr="00C50026">
        <w:t xml:space="preserve"> "It asserts that gender-based violence against women is a form of discrimination within Article 1 of the Convention, despite the omission of any explicit article on this subject. It is 'a form of discrimination that seriously inhibits women's ability to enjoy rights and freedoms on a basis of equality with men' and, as such, constitutes discrimination in and of itself and signifies lack of respect fo</w:t>
      </w:r>
      <w:r w:rsidR="00575A80">
        <w:t>r women's integrity and dignity"</w:t>
      </w:r>
      <w:r w:rsidR="00622CED">
        <w:t>.</w:t>
      </w:r>
      <w:r w:rsidRPr="00C50026">
        <w:rPr>
          <w:rStyle w:val="FootnoteReference"/>
        </w:rPr>
        <w:footnoteReference w:id="4"/>
      </w:r>
      <w:r w:rsidR="000442CD" w:rsidRPr="00C50026">
        <w:t xml:space="preserve"> GR 19 provides the first comprehensive international law definition of gender-based violence against women: </w:t>
      </w:r>
      <w:r w:rsidR="00A26FCE">
        <w:t>"</w:t>
      </w:r>
      <w:r w:rsidR="000442CD" w:rsidRPr="00C50026">
        <w:t>violence that is directed against a woman because she is a woman or that affects women disproportionately</w:t>
      </w:r>
      <w:r w:rsidR="00A26FCE">
        <w:t>"</w:t>
      </w:r>
      <w:r w:rsidR="000442CD" w:rsidRPr="00C50026">
        <w:t>. "Violence against women encompasses acts that inflict physical, mental, or sexual harm or suffering, threats of such acts, coercion and other deprivations of liberty"</w:t>
      </w:r>
      <w:r w:rsidR="00622CED">
        <w:t>,</w:t>
      </w:r>
      <w:r w:rsidR="000442CD" w:rsidRPr="00C50026">
        <w:rPr>
          <w:rStyle w:val="FootnoteReference"/>
        </w:rPr>
        <w:footnoteReference w:id="5"/>
      </w:r>
      <w:r w:rsidR="000442CD" w:rsidRPr="00C50026">
        <w:t xml:space="preserve"> "whether occurring in public or in private life"</w:t>
      </w:r>
      <w:r w:rsidR="00622CED">
        <w:t>.</w:t>
      </w:r>
      <w:r w:rsidR="000442CD" w:rsidRPr="00C50026">
        <w:rPr>
          <w:rStyle w:val="FootnoteReference"/>
        </w:rPr>
        <w:footnoteReference w:id="6"/>
      </w:r>
      <w:r w:rsidR="000442CD" w:rsidRPr="00C50026">
        <w:t xml:space="preserve"> </w:t>
      </w:r>
      <w:r w:rsidR="004C315D">
        <w:t>GR</w:t>
      </w:r>
      <w:r w:rsidR="004C315D" w:rsidRPr="00C50026">
        <w:t xml:space="preserve"> 19 distinguishes between violence occurring in the family and violence occurring within the community. </w:t>
      </w:r>
      <w:r w:rsidR="00D905CB" w:rsidRPr="00C50026">
        <w:t>G</w:t>
      </w:r>
      <w:r w:rsidR="00D905CB">
        <w:t>R</w:t>
      </w:r>
      <w:r w:rsidR="007454F9">
        <w:t xml:space="preserve"> </w:t>
      </w:r>
      <w:r w:rsidR="00D905CB" w:rsidRPr="00C50026">
        <w:t>28</w:t>
      </w:r>
      <w:r w:rsidR="00D905CB">
        <w:t xml:space="preserve"> </w:t>
      </w:r>
      <w:r w:rsidR="00D905CB" w:rsidRPr="00C50026">
        <w:t>emphasizes that Article 2 of CEDAW is not limited to the prohibition of discrimination against women caused directly or indirectly by States parties</w:t>
      </w:r>
      <w:r w:rsidR="00D905CB">
        <w:t>,</w:t>
      </w:r>
      <w:r w:rsidR="00D905CB" w:rsidRPr="00C50026">
        <w:t xml:space="preserve"> but also imposes a due diligence obligation to prevent discrimination by private actors</w:t>
      </w:r>
      <w:r w:rsidR="00622CED">
        <w:t>.</w:t>
      </w:r>
      <w:r w:rsidR="00D905CB" w:rsidRPr="00C50026">
        <w:rPr>
          <w:rStyle w:val="FootnoteReference"/>
        </w:rPr>
        <w:footnoteReference w:id="7"/>
      </w:r>
    </w:p>
    <w:p w:rsidR="000442CD" w:rsidRPr="00C50026" w:rsidRDefault="00043EFF" w:rsidP="00622CED">
      <w:pPr>
        <w:pStyle w:val="ListParagraph"/>
        <w:bidi w:val="0"/>
        <w:ind w:left="0"/>
        <w:jc w:val="both"/>
      </w:pPr>
      <w:r w:rsidRPr="00C50026">
        <w:t xml:space="preserve">In the following years, </w:t>
      </w:r>
      <w:r w:rsidR="00344273" w:rsidRPr="00C50026">
        <w:t>further</w:t>
      </w:r>
      <w:r w:rsidRPr="00C50026">
        <w:t xml:space="preserve"> resolutions regarding elimination of </w:t>
      </w:r>
      <w:r w:rsidR="00B30EA0">
        <w:t>VAW/GBV</w:t>
      </w:r>
      <w:r w:rsidRPr="00C50026">
        <w:t xml:space="preserve"> were adopted – such as The General </w:t>
      </w:r>
      <w:r w:rsidRPr="00C50026">
        <w:rPr>
          <w:color w:val="000000"/>
        </w:rPr>
        <w:t>Assembl</w:t>
      </w:r>
      <w:r w:rsidRPr="00C50026">
        <w:t>y RES/48/104 Declaration on the Elimination of Violence against Women (1993)</w:t>
      </w:r>
      <w:r w:rsidR="000442CD" w:rsidRPr="00C50026">
        <w:t>.</w:t>
      </w:r>
      <w:r w:rsidRPr="00C50026">
        <w:rPr>
          <w:rStyle w:val="FootnoteReference"/>
        </w:rPr>
        <w:t xml:space="preserve"> </w:t>
      </w:r>
      <w:r w:rsidR="00344273" w:rsidRPr="00C50026">
        <w:t xml:space="preserve"> </w:t>
      </w:r>
      <w:r w:rsidR="003B45BD" w:rsidRPr="00C50026">
        <w:t>The Vienna Declaration</w:t>
      </w:r>
      <w:r w:rsidR="0093614E">
        <w:t xml:space="preserve"> and Program of Action</w:t>
      </w:r>
      <w:r w:rsidR="003B45BD" w:rsidRPr="00C50026">
        <w:t xml:space="preserve"> </w:t>
      </w:r>
      <w:r w:rsidR="00344273" w:rsidRPr="00C50026">
        <w:t xml:space="preserve">recognized </w:t>
      </w:r>
      <w:r w:rsidR="007454F9">
        <w:t>i</w:t>
      </w:r>
      <w:r w:rsidR="007454F9" w:rsidRPr="00C50026">
        <w:t xml:space="preserve">n 1993 </w:t>
      </w:r>
      <w:r w:rsidR="003B45BD" w:rsidRPr="00C50026">
        <w:t>the need for an integrated approach to the elimination of violence against women, requiring equality in many spheres of women’s lives: "Gender-based violence and all forms of sexual harassment and exploitation… must be eliminated. This can be achieved by legal measures and through national action and international cooperation in such fields as economic and social development, education, safe maternity and health care, and social support"</w:t>
      </w:r>
      <w:r w:rsidR="00622CED">
        <w:t>.</w:t>
      </w:r>
      <w:r w:rsidR="00B8169E">
        <w:rPr>
          <w:rStyle w:val="FootnoteReference"/>
        </w:rPr>
        <w:footnoteReference w:id="8"/>
      </w:r>
      <w:r w:rsidR="004C315D" w:rsidRPr="004C315D">
        <w:t xml:space="preserve"> </w:t>
      </w:r>
    </w:p>
    <w:p w:rsidR="0082368C" w:rsidRPr="00C50026" w:rsidRDefault="0082368C" w:rsidP="0070485E">
      <w:pPr>
        <w:autoSpaceDE w:val="0"/>
        <w:autoSpaceDN w:val="0"/>
        <w:bidi w:val="0"/>
        <w:adjustRightInd w:val="0"/>
        <w:spacing w:after="0"/>
        <w:jc w:val="both"/>
      </w:pPr>
      <w:r w:rsidRPr="00C50026">
        <w:t>In this paper we wil</w:t>
      </w:r>
      <w:r w:rsidR="004857B0">
        <w:t xml:space="preserve">l discuss </w:t>
      </w:r>
      <w:r w:rsidR="008C70AD" w:rsidRPr="004C315D">
        <w:t xml:space="preserve">the multiple ways in which violence </w:t>
      </w:r>
      <w:r w:rsidR="004C315D" w:rsidRPr="004C315D">
        <w:t>within</w:t>
      </w:r>
      <w:r w:rsidR="008C70AD" w:rsidRPr="004C315D">
        <w:t xml:space="preserve"> the community</w:t>
      </w:r>
      <w:r w:rsidR="00D905CB">
        <w:t xml:space="preserve"> </w:t>
      </w:r>
      <w:r w:rsidR="008C70AD" w:rsidRPr="004C315D">
        <w:t>imp</w:t>
      </w:r>
      <w:r w:rsidR="008C70AD" w:rsidRPr="00C50026">
        <w:t xml:space="preserve">edes women’s participation in economic and social life. </w:t>
      </w:r>
      <w:r w:rsidR="00CB7738" w:rsidRPr="00C50026">
        <w:t>W</w:t>
      </w:r>
      <w:r w:rsidR="00F66265" w:rsidRPr="00C50026">
        <w:t xml:space="preserve">e will </w:t>
      </w:r>
      <w:r w:rsidR="00D905CB">
        <w:t xml:space="preserve">examine </w:t>
      </w:r>
      <w:r w:rsidR="00B30EA0">
        <w:t>VAW/GBV</w:t>
      </w:r>
      <w:r w:rsidR="00D905CB">
        <w:t xml:space="preserve"> on the street and public transport,</w:t>
      </w:r>
      <w:r w:rsidR="00D905CB" w:rsidRPr="004C315D">
        <w:t xml:space="preserve"> </w:t>
      </w:r>
      <w:r w:rsidR="0070485E">
        <w:t xml:space="preserve">and </w:t>
      </w:r>
      <w:r w:rsidR="00F66265" w:rsidRPr="00C50026">
        <w:t>in th</w:t>
      </w:r>
      <w:r w:rsidR="000C3052" w:rsidRPr="00C50026">
        <w:t>os</w:t>
      </w:r>
      <w:r w:rsidR="00F66265" w:rsidRPr="00C50026">
        <w:t xml:space="preserve">e </w:t>
      </w:r>
      <w:r w:rsidR="000C3052" w:rsidRPr="00C50026">
        <w:t>socio-economic i</w:t>
      </w:r>
      <w:r w:rsidR="00F66265" w:rsidRPr="00C50026">
        <w:t xml:space="preserve">nstitutions </w:t>
      </w:r>
      <w:r w:rsidR="000C3052" w:rsidRPr="00C50026">
        <w:t>on</w:t>
      </w:r>
      <w:r w:rsidR="00F66265" w:rsidRPr="00C50026">
        <w:t xml:space="preserve"> which women</w:t>
      </w:r>
      <w:r w:rsidR="000C3052" w:rsidRPr="00C50026">
        <w:t>’s economic opportunity directly depends</w:t>
      </w:r>
      <w:r w:rsidR="00D905CB">
        <w:t>, particularly</w:t>
      </w:r>
      <w:r w:rsidR="00F66265" w:rsidRPr="00C50026">
        <w:t xml:space="preserve"> the workplace</w:t>
      </w:r>
      <w:r w:rsidR="00F1016B">
        <w:t xml:space="preserve"> and </w:t>
      </w:r>
      <w:r w:rsidR="00F26F61" w:rsidRPr="00C50026">
        <w:t>educational institutions</w:t>
      </w:r>
      <w:r w:rsidR="00F66265" w:rsidRPr="00C50026">
        <w:t>.</w:t>
      </w:r>
      <w:r w:rsidR="00F26F61" w:rsidRPr="00C50026">
        <w:t xml:space="preserve"> </w:t>
      </w:r>
      <w:r w:rsidR="00966D89" w:rsidRPr="00C50026">
        <w:t>We</w:t>
      </w:r>
      <w:r w:rsidR="00853311" w:rsidRPr="00C50026">
        <w:t xml:space="preserve"> </w:t>
      </w:r>
      <w:r w:rsidR="00D905CB">
        <w:t xml:space="preserve">will </w:t>
      </w:r>
      <w:r w:rsidR="00646144" w:rsidRPr="00C50026">
        <w:t xml:space="preserve">then </w:t>
      </w:r>
      <w:r w:rsidR="00853311" w:rsidRPr="00C50026">
        <w:t xml:space="preserve">examine </w:t>
      </w:r>
      <w:r w:rsidR="00B30EA0">
        <w:t>VAW/GBV</w:t>
      </w:r>
      <w:r w:rsidR="00D905CB">
        <w:t xml:space="preserve"> in the community</w:t>
      </w:r>
      <w:r w:rsidR="00853311" w:rsidRPr="00C50026">
        <w:t xml:space="preserve"> perpetrated or condoned by the state.</w:t>
      </w:r>
      <w:r w:rsidR="0070485E">
        <w:t xml:space="preserve"> T</w:t>
      </w:r>
      <w:r w:rsidR="00410C55" w:rsidRPr="00C50026">
        <w:t>hroughout this paper w</w:t>
      </w:r>
      <w:r w:rsidR="009E7486" w:rsidRPr="00C50026">
        <w:t xml:space="preserve">e </w:t>
      </w:r>
      <w:r w:rsidR="00F66265" w:rsidRPr="00C50026">
        <w:t xml:space="preserve">seek to </w:t>
      </w:r>
      <w:r w:rsidR="009E7486" w:rsidRPr="00C50026">
        <w:t xml:space="preserve">indicate good practices in eliminating </w:t>
      </w:r>
      <w:r w:rsidR="00410C55" w:rsidRPr="00C50026">
        <w:t xml:space="preserve">the </w:t>
      </w:r>
      <w:r w:rsidR="009E7486" w:rsidRPr="00C50026">
        <w:t xml:space="preserve">various forms of </w:t>
      </w:r>
      <w:r w:rsidR="00B30EA0">
        <w:t>VAW/GBV</w:t>
      </w:r>
      <w:r w:rsidR="00853311" w:rsidRPr="00C50026">
        <w:t xml:space="preserve"> in economic and social life</w:t>
      </w:r>
      <w:r w:rsidR="009E7486" w:rsidRPr="00C50026">
        <w:t xml:space="preserve">. </w:t>
      </w:r>
    </w:p>
    <w:p w:rsidR="0047344D" w:rsidRPr="00C50026" w:rsidRDefault="0047344D" w:rsidP="00C50026">
      <w:pPr>
        <w:bidi w:val="0"/>
        <w:jc w:val="both"/>
      </w:pPr>
    </w:p>
    <w:p w:rsidR="0082368C" w:rsidRPr="00140AE6" w:rsidRDefault="008E78DA" w:rsidP="0070485E">
      <w:pPr>
        <w:pStyle w:val="ListParagraph"/>
        <w:numPr>
          <w:ilvl w:val="0"/>
          <w:numId w:val="2"/>
        </w:numPr>
        <w:bidi w:val="0"/>
        <w:jc w:val="both"/>
        <w:rPr>
          <w:b/>
          <w:bCs/>
        </w:rPr>
      </w:pPr>
      <w:r w:rsidRPr="00140AE6">
        <w:rPr>
          <w:b/>
          <w:bCs/>
        </w:rPr>
        <w:lastRenderedPageBreak/>
        <w:t xml:space="preserve">VIOLENCE IN THE </w:t>
      </w:r>
      <w:r w:rsidR="0070485E">
        <w:rPr>
          <w:b/>
          <w:bCs/>
        </w:rPr>
        <w:t>COMMUNITY – THE STREET AND PUBLIC TRANSPORT</w:t>
      </w:r>
    </w:p>
    <w:p w:rsidR="00F17A80" w:rsidRPr="00C50026" w:rsidRDefault="00F17A80" w:rsidP="00C50026">
      <w:pPr>
        <w:pStyle w:val="ListParagraph"/>
        <w:tabs>
          <w:tab w:val="right" w:pos="3969"/>
        </w:tabs>
        <w:bidi w:val="0"/>
        <w:ind w:left="0"/>
        <w:jc w:val="both"/>
      </w:pPr>
    </w:p>
    <w:p w:rsidR="006C6203" w:rsidRDefault="00B30EA0" w:rsidP="005C0904">
      <w:pPr>
        <w:pStyle w:val="ListParagraph"/>
        <w:tabs>
          <w:tab w:val="right" w:pos="3969"/>
        </w:tabs>
        <w:bidi w:val="0"/>
        <w:ind w:left="0"/>
        <w:jc w:val="both"/>
      </w:pPr>
      <w:r>
        <w:t>VAW/GBV</w:t>
      </w:r>
      <w:r w:rsidR="0070485E">
        <w:t xml:space="preserve"> </w:t>
      </w:r>
      <w:r w:rsidR="005C0904">
        <w:t>on</w:t>
      </w:r>
      <w:r w:rsidR="00853311" w:rsidRPr="00C50026">
        <w:t xml:space="preserve"> the </w:t>
      </w:r>
      <w:r w:rsidR="005C0904">
        <w:t>street and public transport</w:t>
      </w:r>
      <w:r w:rsidR="00853311" w:rsidRPr="00C50026">
        <w:t xml:space="preserve"> severely curtails </w:t>
      </w:r>
      <w:r w:rsidR="0070485E">
        <w:t>women’s</w:t>
      </w:r>
      <w:r w:rsidR="00853311" w:rsidRPr="00C50026">
        <w:t xml:space="preserve"> freedom of movement, freedom of occupation and equal opportunity to participate in public, political, economic, social and cultural life. </w:t>
      </w:r>
      <w:r w:rsidR="005C0904">
        <w:t xml:space="preserve">“The street” in this context is inclusive of service places and shopping areas, which women need to access in their daily lives. </w:t>
      </w:r>
      <w:r w:rsidR="005F6DE1" w:rsidRPr="00C50026">
        <w:t xml:space="preserve">This kind of violence produces a fear factor which reaches beyond the victims and results in women refraining from </w:t>
      </w:r>
      <w:r w:rsidR="00AD7E36">
        <w:t xml:space="preserve">economic, social and cultural </w:t>
      </w:r>
      <w:r w:rsidR="005F6DE1" w:rsidRPr="00C50026">
        <w:t>activities in which they could otherwise take part.</w:t>
      </w:r>
      <w:r w:rsidR="0070485E">
        <w:t xml:space="preserve"> Furthermore, </w:t>
      </w:r>
      <w:r>
        <w:t>VAW/GBV</w:t>
      </w:r>
      <w:r w:rsidR="0070485E">
        <w:t xml:space="preserve"> on the street or public transport directly affects access to the workplace and educational institutions.</w:t>
      </w:r>
    </w:p>
    <w:p w:rsidR="00F17A80" w:rsidRPr="00C50026" w:rsidRDefault="00695748" w:rsidP="00622CED">
      <w:pPr>
        <w:tabs>
          <w:tab w:val="right" w:pos="3969"/>
        </w:tabs>
        <w:bidi w:val="0"/>
        <w:jc w:val="both"/>
      </w:pPr>
      <w:r>
        <w:t>A systemic</w:t>
      </w:r>
      <w:r w:rsidR="000852B3" w:rsidRPr="00C50026">
        <w:t xml:space="preserve"> example of this form of violence</w:t>
      </w:r>
      <w:r w:rsidR="00AD7E36">
        <w:t xml:space="preserve">, affecting </w:t>
      </w:r>
      <w:r w:rsidR="00575A80">
        <w:t xml:space="preserve">among other things </w:t>
      </w:r>
      <w:r w:rsidR="00AD7E36">
        <w:t>women’s transport to their workplaces, o</w:t>
      </w:r>
      <w:r w:rsidR="001A1AFC" w:rsidRPr="00C50026">
        <w:t>ccurred in Ciudad Juarez, Mexico and was the subject of international investigation</w:t>
      </w:r>
      <w:r w:rsidR="00AD7E36">
        <w:t xml:space="preserve"> and </w:t>
      </w:r>
      <w:r w:rsidR="00575A80">
        <w:t>of a</w:t>
      </w:r>
      <w:r w:rsidR="00AD7E36">
        <w:t xml:space="preserve"> decision of the CEDAW Committee</w:t>
      </w:r>
      <w:r w:rsidR="001A1AFC" w:rsidRPr="00C50026">
        <w:t>. Over a period of years,</w:t>
      </w:r>
      <w:r w:rsidR="00F44C2B" w:rsidRPr="00C50026">
        <w:t xml:space="preserve"> there were systematic </w:t>
      </w:r>
      <w:r w:rsidR="00F26F61" w:rsidRPr="00C50026">
        <w:t>murders</w:t>
      </w:r>
      <w:r w:rsidR="00962F14" w:rsidRPr="00C50026">
        <w:t xml:space="preserve">, abductions and </w:t>
      </w:r>
      <w:r w:rsidR="00F26F61" w:rsidRPr="00C50026">
        <w:t>rapes of hundreds of</w:t>
      </w:r>
      <w:r w:rsidR="00F44C2B" w:rsidRPr="00C50026">
        <w:t xml:space="preserve"> women</w:t>
      </w:r>
      <w:r w:rsidR="0085436D" w:rsidRPr="00C50026">
        <w:t xml:space="preserve">, especially young women, </w:t>
      </w:r>
      <w:r w:rsidR="00AD7E36">
        <w:t>who</w:t>
      </w:r>
      <w:r w:rsidR="00AD7E36" w:rsidRPr="00C50026">
        <w:t xml:space="preserve"> lived in extreme poverty </w:t>
      </w:r>
      <w:r w:rsidR="00AD7E36">
        <w:t xml:space="preserve">and were </w:t>
      </w:r>
      <w:r w:rsidR="0085436D" w:rsidRPr="00C50026">
        <w:t xml:space="preserve">employed in the </w:t>
      </w:r>
      <w:proofErr w:type="spellStart"/>
      <w:r w:rsidR="00915229" w:rsidRPr="00C50026">
        <w:t>M</w:t>
      </w:r>
      <w:r w:rsidR="0085436D" w:rsidRPr="00C50026">
        <w:t>aquilas</w:t>
      </w:r>
      <w:proofErr w:type="spellEnd"/>
      <w:r w:rsidR="00F44C2B" w:rsidRPr="00C50026">
        <w:t xml:space="preserve">. </w:t>
      </w:r>
      <w:r w:rsidR="00FD027A" w:rsidRPr="00C50026">
        <w:t xml:space="preserve">The </w:t>
      </w:r>
      <w:r w:rsidR="00F44C2B" w:rsidRPr="00C50026">
        <w:t xml:space="preserve">CEDAW </w:t>
      </w:r>
      <w:r w:rsidR="00FD027A" w:rsidRPr="00C50026">
        <w:t xml:space="preserve">Committee </w:t>
      </w:r>
      <w:r w:rsidR="00F44C2B" w:rsidRPr="00C50026">
        <w:t>in an Optional Protocol decision</w:t>
      </w:r>
      <w:r w:rsidR="00FD027A" w:rsidRPr="00C50026">
        <w:t xml:space="preserve"> </w:t>
      </w:r>
      <w:r w:rsidR="00962F14" w:rsidRPr="00C50026">
        <w:t xml:space="preserve">found </w:t>
      </w:r>
      <w:r w:rsidR="0047078B" w:rsidRPr="00C50026">
        <w:t xml:space="preserve">"that repetition of such serious acts of violence… constitute systematic violence 'founded in a culture of violence and discrimination, based upon women's </w:t>
      </w:r>
      <w:r w:rsidR="005A2A62" w:rsidRPr="00C50026">
        <w:t>alleged</w:t>
      </w:r>
      <w:r w:rsidR="0047078B" w:rsidRPr="00C50026">
        <w:t xml:space="preserve"> inferiority' that has developed specific characteristics 'marked by hatred </w:t>
      </w:r>
      <w:r w:rsidR="00A765CB" w:rsidRPr="00C50026">
        <w:t>and misogyny'</w:t>
      </w:r>
      <w:r w:rsidR="000852B3" w:rsidRPr="00C50026">
        <w:t>"</w:t>
      </w:r>
      <w:r w:rsidR="00622CED">
        <w:t>.</w:t>
      </w:r>
      <w:r w:rsidR="00DD1737" w:rsidRPr="00C50026">
        <w:rPr>
          <w:rStyle w:val="FootnoteReference"/>
        </w:rPr>
        <w:footnoteReference w:id="9"/>
      </w:r>
      <w:r w:rsidR="000852B3" w:rsidRPr="00C50026">
        <w:t xml:space="preserve"> </w:t>
      </w:r>
      <w:r w:rsidR="0085436D" w:rsidRPr="00C50026">
        <w:t xml:space="preserve"> </w:t>
      </w:r>
      <w:r w:rsidR="00AD7E36">
        <w:t>The Committee considered</w:t>
      </w:r>
      <w:r w:rsidR="0085436D" w:rsidRPr="00C50026">
        <w:t xml:space="preserve"> that </w:t>
      </w:r>
      <w:r w:rsidR="00AD7E36">
        <w:t>“</w:t>
      </w:r>
      <w:r w:rsidR="0085436D" w:rsidRPr="00C50026">
        <w:t xml:space="preserve">the establishment of the </w:t>
      </w:r>
      <w:proofErr w:type="spellStart"/>
      <w:r w:rsidR="00915229" w:rsidRPr="00C50026">
        <w:t>M</w:t>
      </w:r>
      <w:r w:rsidR="0085436D" w:rsidRPr="00C50026">
        <w:t>aquilas</w:t>
      </w:r>
      <w:proofErr w:type="spellEnd"/>
      <w:r w:rsidR="0085436D" w:rsidRPr="00C50026">
        <w:t xml:space="preserve"> and the creation of jobs mainly for women, without the creation of enough alternatives for men, </w:t>
      </w:r>
      <w:proofErr w:type="gramStart"/>
      <w:r w:rsidR="0085436D" w:rsidRPr="00C50026">
        <w:t>has</w:t>
      </w:r>
      <w:proofErr w:type="gramEnd"/>
      <w:r w:rsidR="0085436D" w:rsidRPr="00C50026">
        <w:t xml:space="preserve"> changed the traditional dynamic of relations between the sexes, which was characterized by gender inequality… This social change in women’s roles has not been accompanied by a change in traditionally patriarchal attitudes and mentalities, and thus the stereotyped view of men’s and women’s social roles has been perpetuated"</w:t>
      </w:r>
      <w:r w:rsidR="00622CED">
        <w:t>.</w:t>
      </w:r>
      <w:r w:rsidR="00007998" w:rsidRPr="00C50026">
        <w:rPr>
          <w:rStyle w:val="FootnoteReference"/>
        </w:rPr>
        <w:footnoteReference w:id="10"/>
      </w:r>
      <w:r w:rsidR="0085436D" w:rsidRPr="00C50026">
        <w:t xml:space="preserve"> </w:t>
      </w:r>
      <w:r w:rsidR="00ED2794" w:rsidRPr="00C50026">
        <w:t xml:space="preserve"> </w:t>
      </w:r>
    </w:p>
    <w:p w:rsidR="007E447E" w:rsidRDefault="00962F14" w:rsidP="00695748">
      <w:pPr>
        <w:pStyle w:val="ListParagraph"/>
        <w:tabs>
          <w:tab w:val="right" w:pos="3969"/>
        </w:tabs>
        <w:bidi w:val="0"/>
        <w:ind w:left="0"/>
        <w:jc w:val="both"/>
        <w:rPr>
          <w:rFonts w:cstheme="majorBidi"/>
        </w:rPr>
      </w:pPr>
      <w:r w:rsidRPr="00C50026">
        <w:t xml:space="preserve">The Committee found that the Mexican government had not taken necessary measures to prevent the violence and had condoned a </w:t>
      </w:r>
      <w:r w:rsidR="00F17A80" w:rsidRPr="00C50026">
        <w:t>"</w:t>
      </w:r>
      <w:r w:rsidRPr="00C50026">
        <w:t>culture of impunity</w:t>
      </w:r>
      <w:r w:rsidR="00F17A80" w:rsidRPr="00C50026">
        <w:t>"</w:t>
      </w:r>
      <w:r w:rsidR="00622CED">
        <w:t>.</w:t>
      </w:r>
      <w:r w:rsidR="00521DD3" w:rsidRPr="00C50026">
        <w:rPr>
          <w:rStyle w:val="FootnoteReference"/>
        </w:rPr>
        <w:footnoteReference w:id="11"/>
      </w:r>
      <w:r w:rsidR="00AF0F13" w:rsidRPr="00C50026">
        <w:t xml:space="preserve"> </w:t>
      </w:r>
      <w:r w:rsidR="00695748">
        <w:t>It</w:t>
      </w:r>
      <w:r w:rsidR="00AF0F13" w:rsidRPr="00C50026">
        <w:t xml:space="preserve"> </w:t>
      </w:r>
      <w:r w:rsidR="00AF0F13" w:rsidRPr="00C50026">
        <w:rPr>
          <w:rFonts w:cstheme="majorBidi"/>
        </w:rPr>
        <w:t>provided</w:t>
      </w:r>
      <w:r w:rsidR="007E447E" w:rsidRPr="00C50026">
        <w:rPr>
          <w:rFonts w:cstheme="majorBidi"/>
        </w:rPr>
        <w:t xml:space="preserve"> a framework of criminal, social and cultural responses</w:t>
      </w:r>
      <w:r w:rsidR="00695748">
        <w:rPr>
          <w:rFonts w:cstheme="majorBidi"/>
        </w:rPr>
        <w:t>,</w:t>
      </w:r>
      <w:r w:rsidR="007E447E" w:rsidRPr="00C50026">
        <w:rPr>
          <w:rFonts w:cstheme="majorBidi"/>
        </w:rPr>
        <w:t xml:space="preserve"> required to comply with </w:t>
      </w:r>
      <w:r w:rsidR="00AF0F13" w:rsidRPr="00C50026">
        <w:rPr>
          <w:rFonts w:cstheme="majorBidi"/>
        </w:rPr>
        <w:t xml:space="preserve">the </w:t>
      </w:r>
      <w:r w:rsidR="007E447E" w:rsidRPr="00C50026">
        <w:rPr>
          <w:rFonts w:cstheme="majorBidi"/>
        </w:rPr>
        <w:t>Convention</w:t>
      </w:r>
      <w:r w:rsidR="00AF0F13" w:rsidRPr="00C50026">
        <w:rPr>
          <w:rFonts w:cstheme="majorBidi"/>
        </w:rPr>
        <w:t xml:space="preserve"> </w:t>
      </w:r>
      <w:r w:rsidR="007E447E" w:rsidRPr="00C50026">
        <w:rPr>
          <w:rFonts w:cstheme="majorBidi"/>
        </w:rPr>
        <w:t xml:space="preserve">obligations of due </w:t>
      </w:r>
      <w:r w:rsidR="00B154AF" w:rsidRPr="00C50026">
        <w:rPr>
          <w:rFonts w:cstheme="majorBidi"/>
        </w:rPr>
        <w:t>diligence that</w:t>
      </w:r>
      <w:r w:rsidR="007E447E" w:rsidRPr="00C50026">
        <w:rPr>
          <w:rFonts w:cstheme="majorBidi"/>
        </w:rPr>
        <w:t xml:space="preserve"> included: </w:t>
      </w:r>
    </w:p>
    <w:p w:rsidR="00B154AF" w:rsidRPr="00C50026" w:rsidRDefault="00B154AF" w:rsidP="00B154AF">
      <w:pPr>
        <w:pStyle w:val="ListParagraph"/>
        <w:tabs>
          <w:tab w:val="right" w:pos="3969"/>
        </w:tabs>
        <w:bidi w:val="0"/>
        <w:ind w:left="0"/>
        <w:jc w:val="both"/>
      </w:pPr>
    </w:p>
    <w:p w:rsidR="007E447E" w:rsidRPr="00C50026" w:rsidRDefault="007E447E" w:rsidP="00C50026">
      <w:pPr>
        <w:pStyle w:val="ListParagraph"/>
        <w:numPr>
          <w:ilvl w:val="1"/>
          <w:numId w:val="8"/>
        </w:numPr>
        <w:bidi w:val="0"/>
        <w:ind w:left="720"/>
        <w:jc w:val="both"/>
        <w:rPr>
          <w:rFonts w:cstheme="majorBidi"/>
        </w:rPr>
      </w:pPr>
      <w:r w:rsidRPr="00C50026">
        <w:rPr>
          <w:rFonts w:cstheme="majorBidi"/>
        </w:rPr>
        <w:t>Investigation of the crimes, including punishment of the perpetrators;</w:t>
      </w:r>
    </w:p>
    <w:p w:rsidR="007E447E" w:rsidRPr="00C50026" w:rsidRDefault="007E447E" w:rsidP="00C50026">
      <w:pPr>
        <w:pStyle w:val="ListParagraph"/>
        <w:numPr>
          <w:ilvl w:val="1"/>
          <w:numId w:val="8"/>
        </w:numPr>
        <w:bidi w:val="0"/>
        <w:ind w:left="720"/>
        <w:jc w:val="both"/>
        <w:rPr>
          <w:rFonts w:cstheme="majorBidi"/>
        </w:rPr>
      </w:pPr>
      <w:r w:rsidRPr="00C50026">
        <w:rPr>
          <w:rFonts w:cstheme="majorBidi"/>
        </w:rPr>
        <w:t>Support for the victims’ families;</w:t>
      </w:r>
    </w:p>
    <w:p w:rsidR="007E447E" w:rsidRPr="00C50026" w:rsidRDefault="007E447E" w:rsidP="00C50026">
      <w:pPr>
        <w:pStyle w:val="ListParagraph"/>
        <w:numPr>
          <w:ilvl w:val="1"/>
          <w:numId w:val="8"/>
        </w:numPr>
        <w:bidi w:val="0"/>
        <w:ind w:left="720"/>
        <w:jc w:val="both"/>
        <w:rPr>
          <w:rFonts w:cstheme="majorBidi"/>
        </w:rPr>
      </w:pPr>
      <w:r w:rsidRPr="00C50026">
        <w:rPr>
          <w:rFonts w:cstheme="majorBidi"/>
        </w:rPr>
        <w:t>Effective dialogue with NGOs and protection of HRDs;</w:t>
      </w:r>
    </w:p>
    <w:p w:rsidR="007E447E" w:rsidRPr="00C50026" w:rsidRDefault="007E447E" w:rsidP="00C50026">
      <w:pPr>
        <w:pStyle w:val="ListParagraph"/>
        <w:numPr>
          <w:ilvl w:val="1"/>
          <w:numId w:val="8"/>
        </w:numPr>
        <w:bidi w:val="0"/>
        <w:ind w:left="720"/>
        <w:jc w:val="both"/>
        <w:rPr>
          <w:rFonts w:cstheme="majorBidi"/>
        </w:rPr>
      </w:pPr>
      <w:r w:rsidRPr="00C50026">
        <w:rPr>
          <w:rFonts w:cstheme="majorBidi"/>
        </w:rPr>
        <w:t>Prevention of violence, including guaranteeing security and promoting the human rights of women;</w:t>
      </w:r>
    </w:p>
    <w:p w:rsidR="007E447E" w:rsidRPr="00C50026" w:rsidRDefault="007E447E" w:rsidP="00C50026">
      <w:pPr>
        <w:pStyle w:val="ListParagraph"/>
        <w:numPr>
          <w:ilvl w:val="1"/>
          <w:numId w:val="8"/>
        </w:numPr>
        <w:bidi w:val="0"/>
        <w:ind w:left="720"/>
        <w:jc w:val="both"/>
        <w:rPr>
          <w:rFonts w:cstheme="majorBidi"/>
        </w:rPr>
      </w:pPr>
      <w:r w:rsidRPr="00C50026">
        <w:rPr>
          <w:rFonts w:cstheme="majorBidi"/>
        </w:rPr>
        <w:t>Provision of the necessary resources - financial, human and organizational - to combat violence in Ciudad Juarez.</w:t>
      </w:r>
    </w:p>
    <w:p w:rsidR="005F6DE1" w:rsidRPr="00C50026" w:rsidRDefault="005F6DE1" w:rsidP="00C50026">
      <w:pPr>
        <w:pStyle w:val="ListParagraph"/>
        <w:bidi w:val="0"/>
        <w:ind w:left="0"/>
        <w:jc w:val="both"/>
        <w:rPr>
          <w:rFonts w:cstheme="majorBidi"/>
        </w:rPr>
      </w:pPr>
    </w:p>
    <w:p w:rsidR="00B154AF" w:rsidRDefault="00695748" w:rsidP="00B154AF">
      <w:pPr>
        <w:autoSpaceDE w:val="0"/>
        <w:autoSpaceDN w:val="0"/>
        <w:bidi w:val="0"/>
        <w:adjustRightInd w:val="0"/>
        <w:jc w:val="both"/>
        <w:rPr>
          <w:rFonts w:cstheme="majorBidi"/>
        </w:rPr>
      </w:pPr>
      <w:r>
        <w:rPr>
          <w:rFonts w:cstheme="majorBidi"/>
        </w:rPr>
        <w:lastRenderedPageBreak/>
        <w:t>State legal systems have largely failed</w:t>
      </w:r>
      <w:r w:rsidR="00AD7E36" w:rsidRPr="00695748">
        <w:rPr>
          <w:rFonts w:cstheme="majorBidi"/>
        </w:rPr>
        <w:t xml:space="preserve"> to address the harms caused by sexual</w:t>
      </w:r>
      <w:r w:rsidR="00516DFA">
        <w:rPr>
          <w:rFonts w:cstheme="majorBidi"/>
        </w:rPr>
        <w:t xml:space="preserve"> violence and </w:t>
      </w:r>
      <w:r w:rsidR="00AD7E36" w:rsidRPr="00695748">
        <w:rPr>
          <w:rFonts w:cstheme="majorBidi"/>
        </w:rPr>
        <w:t xml:space="preserve">harassment women face </w:t>
      </w:r>
      <w:r>
        <w:rPr>
          <w:rFonts w:cstheme="majorBidi"/>
        </w:rPr>
        <w:t>on the street and public transport</w:t>
      </w:r>
      <w:r w:rsidR="00AD7E36" w:rsidRPr="00695748">
        <w:rPr>
          <w:rFonts w:cstheme="majorBidi"/>
        </w:rPr>
        <w:t>. Indeed</w:t>
      </w:r>
      <w:r w:rsidR="00575A80">
        <w:rPr>
          <w:rFonts w:cstheme="majorBidi"/>
        </w:rPr>
        <w:t>,</w:t>
      </w:r>
      <w:r w:rsidR="00AD7E36" w:rsidRPr="00695748">
        <w:rPr>
          <w:rFonts w:cstheme="majorBidi"/>
        </w:rPr>
        <w:t xml:space="preserve"> as demonstrated in the data from Women, Business and the Law </w:t>
      </w:r>
      <w:r w:rsidR="0046477C">
        <w:rPr>
          <w:rFonts w:cstheme="majorBidi"/>
        </w:rPr>
        <w:t>research</w:t>
      </w:r>
      <w:r w:rsidR="00AD7E36" w:rsidRPr="00695748">
        <w:rPr>
          <w:rFonts w:cstheme="majorBidi"/>
        </w:rPr>
        <w:t xml:space="preserve">, </w:t>
      </w:r>
      <w:r w:rsidR="00AD7E36" w:rsidRPr="00575A80">
        <w:rPr>
          <w:rFonts w:cstheme="majorBidi"/>
          <w:b/>
          <w:bCs/>
        </w:rPr>
        <w:t>only 8 of the 100</w:t>
      </w:r>
      <w:r w:rsidR="00AD7E36" w:rsidRPr="00CF6B28">
        <w:rPr>
          <w:rFonts w:cstheme="majorBidi"/>
        </w:rPr>
        <w:t xml:space="preserve"> economies examined have enacted laws on sexual harassment </w:t>
      </w:r>
      <w:r w:rsidR="00935101">
        <w:rPr>
          <w:rFonts w:cstheme="majorBidi"/>
        </w:rPr>
        <w:t xml:space="preserve">specifically </w:t>
      </w:r>
      <w:r w:rsidR="00AD7E36" w:rsidRPr="00CF6B28">
        <w:rPr>
          <w:rFonts w:cstheme="majorBidi"/>
        </w:rPr>
        <w:t>in public spaces</w:t>
      </w:r>
      <w:r w:rsidR="00622CED">
        <w:rPr>
          <w:rFonts w:cstheme="majorBidi"/>
        </w:rPr>
        <w:t>.</w:t>
      </w:r>
      <w:r w:rsidRPr="00CF6B28">
        <w:rPr>
          <w:rStyle w:val="FootnoteReference"/>
          <w:rFonts w:cstheme="majorBidi"/>
        </w:rPr>
        <w:footnoteReference w:id="12"/>
      </w:r>
      <w:r w:rsidR="00AD7E36" w:rsidRPr="00CF6B28">
        <w:rPr>
          <w:rFonts w:cstheme="majorBidi"/>
        </w:rPr>
        <w:t xml:space="preserve"> </w:t>
      </w:r>
      <w:r w:rsidR="00943BB6">
        <w:rPr>
          <w:rFonts w:cstheme="majorBidi"/>
        </w:rPr>
        <w:t>Some of t</w:t>
      </w:r>
      <w:r w:rsidR="00232CDA" w:rsidRPr="00CF6B28">
        <w:rPr>
          <w:rFonts w:cstheme="majorBidi"/>
        </w:rPr>
        <w:t>hese</w:t>
      </w:r>
      <w:r w:rsidR="00575A80">
        <w:rPr>
          <w:rFonts w:cstheme="majorBidi"/>
        </w:rPr>
        <w:t xml:space="preserve"> 8</w:t>
      </w:r>
      <w:r w:rsidR="00232CDA" w:rsidRPr="00CF6B28">
        <w:rPr>
          <w:rFonts w:cstheme="majorBidi"/>
        </w:rPr>
        <w:t xml:space="preserve"> </w:t>
      </w:r>
      <w:r w:rsidR="0046477C" w:rsidRPr="00CF6B28">
        <w:rPr>
          <w:rFonts w:cstheme="majorBidi"/>
        </w:rPr>
        <w:t xml:space="preserve">countries are examples for </w:t>
      </w:r>
      <w:r w:rsidR="00E71A85" w:rsidRPr="00CF6B28">
        <w:rPr>
          <w:rFonts w:cstheme="majorBidi"/>
        </w:rPr>
        <w:t xml:space="preserve">good practices </w:t>
      </w:r>
      <w:r w:rsidR="00943BB6">
        <w:rPr>
          <w:rFonts w:cstheme="majorBidi"/>
        </w:rPr>
        <w:t>in</w:t>
      </w:r>
      <w:r w:rsidR="00943BB6" w:rsidRPr="00CF6B28">
        <w:rPr>
          <w:rFonts w:cstheme="majorBidi"/>
        </w:rPr>
        <w:t xml:space="preserve"> </w:t>
      </w:r>
      <w:r w:rsidR="00E71A85" w:rsidRPr="00CF6B28">
        <w:rPr>
          <w:rFonts w:cstheme="majorBidi"/>
        </w:rPr>
        <w:t>deal</w:t>
      </w:r>
      <w:r w:rsidR="00943BB6">
        <w:rPr>
          <w:rFonts w:cstheme="majorBidi"/>
        </w:rPr>
        <w:t>ing</w:t>
      </w:r>
      <w:r w:rsidR="00E71A85" w:rsidRPr="00CF6B28">
        <w:rPr>
          <w:rFonts w:cstheme="majorBidi"/>
        </w:rPr>
        <w:t xml:space="preserve"> with the problem of </w:t>
      </w:r>
      <w:r w:rsidR="00B30EA0">
        <w:rPr>
          <w:rFonts w:cstheme="majorBidi"/>
        </w:rPr>
        <w:t>VAW/GBV</w:t>
      </w:r>
      <w:r w:rsidR="00E71A85" w:rsidRPr="00CF6B28">
        <w:rPr>
          <w:rFonts w:cstheme="majorBidi"/>
        </w:rPr>
        <w:t xml:space="preserve"> in the public arena</w:t>
      </w:r>
      <w:r w:rsidR="00943BB6">
        <w:rPr>
          <w:rFonts w:cstheme="majorBidi"/>
        </w:rPr>
        <w:t xml:space="preserve"> in the framework of the law.</w:t>
      </w:r>
      <w:r w:rsidR="00943BB6" w:rsidRPr="00943BB6">
        <w:rPr>
          <w:rFonts w:cstheme="majorBidi"/>
        </w:rPr>
        <w:t xml:space="preserve"> </w:t>
      </w:r>
      <w:r w:rsidR="00575A80">
        <w:rPr>
          <w:rFonts w:cstheme="majorBidi"/>
        </w:rPr>
        <w:t>I</w:t>
      </w:r>
      <w:r w:rsidR="0046477C" w:rsidRPr="00CF6B28">
        <w:rPr>
          <w:rFonts w:cstheme="majorBidi"/>
        </w:rPr>
        <w:t>n Bangladesh</w:t>
      </w:r>
      <w:r w:rsidR="00575A80">
        <w:rPr>
          <w:rFonts w:cstheme="majorBidi"/>
        </w:rPr>
        <w:t xml:space="preserve">, for instance, </w:t>
      </w:r>
      <w:r w:rsidR="005E3E5A" w:rsidRPr="00CF6B28">
        <w:rPr>
          <w:rFonts w:cstheme="majorBidi"/>
        </w:rPr>
        <w:t>section 76 of the Dhak</w:t>
      </w:r>
      <w:r w:rsidR="00666E47" w:rsidRPr="00666E47">
        <w:rPr>
          <w:rFonts w:cstheme="majorBidi"/>
        </w:rPr>
        <w:t>a Metropolitan Police Ordinance</w:t>
      </w:r>
      <w:r w:rsidR="005E3E5A" w:rsidRPr="00CF6B28">
        <w:rPr>
          <w:rFonts w:cstheme="majorBidi"/>
        </w:rPr>
        <w:t xml:space="preserve"> </w:t>
      </w:r>
      <w:r w:rsidR="00666E47">
        <w:rPr>
          <w:rFonts w:cstheme="majorBidi"/>
        </w:rPr>
        <w:t>(</w:t>
      </w:r>
      <w:r w:rsidR="005E3E5A" w:rsidRPr="00CF6B28">
        <w:rPr>
          <w:rFonts w:cstheme="majorBidi"/>
        </w:rPr>
        <w:t>1976</w:t>
      </w:r>
      <w:r w:rsidR="00666E47">
        <w:rPr>
          <w:rFonts w:cstheme="majorBidi"/>
        </w:rPr>
        <w:t>)</w:t>
      </w:r>
      <w:r w:rsidR="00666E47">
        <w:rPr>
          <w:rStyle w:val="FootnoteReference"/>
          <w:rFonts w:cstheme="majorBidi"/>
        </w:rPr>
        <w:footnoteReference w:id="13"/>
      </w:r>
      <w:r w:rsidR="005E3E5A" w:rsidRPr="00CF6B28">
        <w:rPr>
          <w:rFonts w:cstheme="majorBidi"/>
        </w:rPr>
        <w:t xml:space="preserve"> declares that:" Whoever … wilfully presses or obstructs any woman in a street or public place or insults or annoys any woman by using indecent language or making indecent sounds, gestures, or remarks in any street or public place, shall be punishable with imprisonment for a term which may extend to one year, or with fine which may extend to two thousand taka, or with both". </w:t>
      </w:r>
      <w:r w:rsidR="000F12AC">
        <w:rPr>
          <w:rFonts w:cstheme="majorBidi"/>
        </w:rPr>
        <w:t>In Benin</w:t>
      </w:r>
      <w:r w:rsidR="00F7213B">
        <w:rPr>
          <w:rStyle w:val="FootnoteReference"/>
          <w:rFonts w:cstheme="majorBidi"/>
        </w:rPr>
        <w:footnoteReference w:id="14"/>
      </w:r>
      <w:r w:rsidR="000F12AC">
        <w:rPr>
          <w:rFonts w:cstheme="majorBidi"/>
        </w:rPr>
        <w:t xml:space="preserve"> </w:t>
      </w:r>
      <w:r w:rsidR="00F7213B">
        <w:rPr>
          <w:rFonts w:cstheme="majorBidi"/>
        </w:rPr>
        <w:t>and Zambia</w:t>
      </w:r>
      <w:r w:rsidR="00F7213B">
        <w:rPr>
          <w:rStyle w:val="FootnoteReference"/>
          <w:rFonts w:cstheme="majorBidi"/>
        </w:rPr>
        <w:footnoteReference w:id="15"/>
      </w:r>
      <w:r w:rsidR="00943BB6">
        <w:rPr>
          <w:rFonts w:cstheme="majorBidi"/>
        </w:rPr>
        <w:t xml:space="preserve">, </w:t>
      </w:r>
      <w:r w:rsidR="000F12AC" w:rsidRPr="00CF6B28">
        <w:rPr>
          <w:rFonts w:cstheme="majorBidi"/>
        </w:rPr>
        <w:t xml:space="preserve">the definition of </w:t>
      </w:r>
      <w:r w:rsidR="004C0B27" w:rsidRPr="00CF6B28">
        <w:rPr>
          <w:rFonts w:cstheme="majorBidi"/>
        </w:rPr>
        <w:t xml:space="preserve">VAW </w:t>
      </w:r>
      <w:r w:rsidR="00943BB6" w:rsidRPr="00943BB6">
        <w:rPr>
          <w:rFonts w:cstheme="majorBidi"/>
        </w:rPr>
        <w:t xml:space="preserve">includes acts that result in physical, sexual or psychological harm or suffering to the women, including threats of such acts, and coercion </w:t>
      </w:r>
      <w:r w:rsidR="00943BB6" w:rsidRPr="00F7213B">
        <w:rPr>
          <w:rFonts w:cstheme="majorBidi"/>
        </w:rPr>
        <w:t>or arbitrary deprivation of liberty,</w:t>
      </w:r>
      <w:r w:rsidR="00943BB6">
        <w:rPr>
          <w:rFonts w:cstheme="majorBidi"/>
        </w:rPr>
        <w:t xml:space="preserve"> </w:t>
      </w:r>
      <w:r w:rsidR="00943BB6" w:rsidRPr="00F7213B">
        <w:rPr>
          <w:rFonts w:cstheme="majorBidi"/>
        </w:rPr>
        <w:t xml:space="preserve">whether occurring in </w:t>
      </w:r>
      <w:r w:rsidR="00943BB6" w:rsidRPr="00CF6B28">
        <w:rPr>
          <w:rFonts w:cstheme="majorBidi"/>
          <w:b/>
          <w:bCs/>
        </w:rPr>
        <w:t>public</w:t>
      </w:r>
      <w:r w:rsidR="00943BB6" w:rsidRPr="00F7213B">
        <w:rPr>
          <w:rFonts w:cstheme="majorBidi"/>
        </w:rPr>
        <w:t xml:space="preserve"> or private life</w:t>
      </w:r>
      <w:r w:rsidR="00A54F95">
        <w:rPr>
          <w:rFonts w:cstheme="majorBidi"/>
        </w:rPr>
        <w:t>.</w:t>
      </w:r>
      <w:r w:rsidR="0032181C" w:rsidRPr="0032181C">
        <w:rPr>
          <w:rFonts w:cstheme="majorBidi"/>
        </w:rPr>
        <w:t xml:space="preserve"> </w:t>
      </w:r>
      <w:r w:rsidR="004C0B27" w:rsidRPr="00CF6B28">
        <w:rPr>
          <w:rFonts w:cstheme="majorBidi"/>
        </w:rPr>
        <w:t xml:space="preserve">Article 14 of </w:t>
      </w:r>
      <w:r w:rsidR="00CD285E" w:rsidRPr="00CF6B28">
        <w:rPr>
          <w:rFonts w:cstheme="majorBidi"/>
        </w:rPr>
        <w:t xml:space="preserve">the </w:t>
      </w:r>
      <w:hyperlink r:id="rId9" w:history="1">
        <w:r w:rsidR="00CF6B28" w:rsidRPr="00CF6B28">
          <w:rPr>
            <w:rFonts w:cstheme="majorBidi"/>
          </w:rPr>
          <w:t>Canad</w:t>
        </w:r>
        <w:r w:rsidR="00CF6B28">
          <w:rPr>
            <w:rFonts w:cstheme="majorBidi"/>
          </w:rPr>
          <w:t>ian</w:t>
        </w:r>
        <w:r w:rsidR="004C0B27" w:rsidRPr="00CF6B28">
          <w:rPr>
            <w:rFonts w:cstheme="majorBidi"/>
          </w:rPr>
          <w:t xml:space="preserve"> Human Rights Act</w:t>
        </w:r>
      </w:hyperlink>
      <w:r w:rsidR="004C0B27" w:rsidRPr="00CF6B28">
        <w:rPr>
          <w:rFonts w:cstheme="majorBidi"/>
        </w:rPr>
        <w:t xml:space="preserve"> considers discriminatory </w:t>
      </w:r>
      <w:r w:rsidR="00CD285E" w:rsidRPr="00CF6B28">
        <w:rPr>
          <w:rFonts w:cstheme="majorBidi"/>
        </w:rPr>
        <w:t xml:space="preserve">the </w:t>
      </w:r>
      <w:r w:rsidR="004C0B27" w:rsidRPr="00CF6B28">
        <w:rPr>
          <w:rFonts w:cstheme="majorBidi"/>
        </w:rPr>
        <w:t xml:space="preserve">harassment </w:t>
      </w:r>
      <w:r w:rsidR="00CD285E" w:rsidRPr="00CF6B28">
        <w:rPr>
          <w:rFonts w:cstheme="majorBidi"/>
        </w:rPr>
        <w:t>of an individual in the provisions of goods, services, facilities or accommodation customarily to the general public</w:t>
      </w:r>
      <w:r w:rsidR="00622CED">
        <w:rPr>
          <w:rFonts w:cstheme="majorBidi"/>
        </w:rPr>
        <w:t>.</w:t>
      </w:r>
      <w:r w:rsidR="00A54F95">
        <w:rPr>
          <w:rStyle w:val="FootnoteReference"/>
          <w:rFonts w:cstheme="majorBidi"/>
        </w:rPr>
        <w:footnoteReference w:id="16"/>
      </w:r>
      <w:r w:rsidR="00CD285E" w:rsidRPr="00CF6B28">
        <w:rPr>
          <w:rFonts w:cstheme="majorBidi"/>
        </w:rPr>
        <w:t xml:space="preserve"> </w:t>
      </w:r>
      <w:r w:rsidR="00467412">
        <w:rPr>
          <w:rFonts w:cstheme="majorBidi"/>
        </w:rPr>
        <w:t xml:space="preserve">In </w:t>
      </w:r>
      <w:r w:rsidR="00467412" w:rsidRPr="00CF6B28">
        <w:rPr>
          <w:rFonts w:cstheme="majorBidi"/>
        </w:rPr>
        <w:t xml:space="preserve">Ecuador, article 5 of the </w:t>
      </w:r>
      <w:hyperlink r:id="rId10" w:history="1">
        <w:proofErr w:type="spellStart"/>
        <w:r w:rsidR="00467412" w:rsidRPr="00CF6B28">
          <w:rPr>
            <w:rFonts w:cstheme="majorBidi"/>
          </w:rPr>
          <w:t>Ordenanza</w:t>
        </w:r>
        <w:proofErr w:type="spellEnd"/>
        <w:r w:rsidR="00467412" w:rsidRPr="00CF6B28">
          <w:rPr>
            <w:rFonts w:cstheme="majorBidi"/>
          </w:rPr>
          <w:t xml:space="preserve"> Municipal </w:t>
        </w:r>
        <w:proofErr w:type="gramStart"/>
        <w:r w:rsidR="00467412" w:rsidRPr="00CF6B28">
          <w:rPr>
            <w:rFonts w:cstheme="majorBidi"/>
          </w:rPr>
          <w:t>del</w:t>
        </w:r>
        <w:proofErr w:type="gramEnd"/>
        <w:r w:rsidR="00467412" w:rsidRPr="00CF6B28">
          <w:rPr>
            <w:rFonts w:cstheme="majorBidi"/>
          </w:rPr>
          <w:t xml:space="preserve"> Distrito </w:t>
        </w:r>
        <w:proofErr w:type="spellStart"/>
        <w:r w:rsidR="00467412" w:rsidRPr="00CF6B28">
          <w:rPr>
            <w:rFonts w:cstheme="majorBidi"/>
          </w:rPr>
          <w:t>Metropolitano</w:t>
        </w:r>
        <w:proofErr w:type="spellEnd"/>
        <w:r w:rsidR="00467412" w:rsidRPr="00CF6B28">
          <w:rPr>
            <w:rFonts w:cstheme="majorBidi"/>
          </w:rPr>
          <w:t xml:space="preserve"> de Quito. N. 235</w:t>
        </w:r>
      </w:hyperlink>
      <w:r w:rsidR="00467412" w:rsidRPr="00CF6B28">
        <w:rPr>
          <w:rFonts w:cstheme="majorBidi"/>
        </w:rPr>
        <w:t xml:space="preserve"> </w:t>
      </w:r>
      <w:proofErr w:type="gramStart"/>
      <w:r w:rsidR="00467412" w:rsidRPr="00CF6B28">
        <w:rPr>
          <w:rFonts w:cstheme="majorBidi"/>
        </w:rPr>
        <w:t>enables</w:t>
      </w:r>
      <w:proofErr w:type="gramEnd"/>
      <w:r w:rsidR="00467412" w:rsidRPr="00CF6B28">
        <w:rPr>
          <w:rFonts w:cstheme="majorBidi"/>
        </w:rPr>
        <w:t xml:space="preserve"> sanctioning street harassment of women, specifically in public transportation</w:t>
      </w:r>
      <w:r w:rsidR="00622CED">
        <w:rPr>
          <w:rFonts w:cstheme="majorBidi"/>
        </w:rPr>
        <w:t>.</w:t>
      </w:r>
      <w:r w:rsidR="00467412">
        <w:rPr>
          <w:rStyle w:val="FootnoteReference"/>
          <w:rFonts w:cstheme="majorBidi"/>
        </w:rPr>
        <w:footnoteReference w:id="17"/>
      </w:r>
      <w:r w:rsidR="00467412" w:rsidRPr="00CF6B28">
        <w:rPr>
          <w:rFonts w:cstheme="majorBidi"/>
        </w:rPr>
        <w:t xml:space="preserve"> </w:t>
      </w:r>
      <w:r w:rsidR="0032181C">
        <w:rPr>
          <w:rFonts w:cstheme="majorBidi"/>
        </w:rPr>
        <w:t xml:space="preserve">Fiji, as well, prohibits </w:t>
      </w:r>
      <w:r w:rsidR="0032181C" w:rsidRPr="00CF6B28">
        <w:rPr>
          <w:rFonts w:cstheme="majorBidi"/>
        </w:rPr>
        <w:t xml:space="preserve">differentiating or harassing </w:t>
      </w:r>
      <w:r w:rsidR="00575A80">
        <w:rPr>
          <w:rFonts w:cstheme="majorBidi"/>
        </w:rPr>
        <w:t>a</w:t>
      </w:r>
      <w:r w:rsidR="0032181C" w:rsidRPr="00CF6B28">
        <w:rPr>
          <w:rFonts w:cstheme="majorBidi"/>
        </w:rPr>
        <w:t xml:space="preserve"> person by reason of a prohibited ground of discrimination in </w:t>
      </w:r>
      <w:r w:rsidR="0032181C">
        <w:rPr>
          <w:rFonts w:cstheme="majorBidi"/>
        </w:rPr>
        <w:t>the "</w:t>
      </w:r>
      <w:r w:rsidR="0032181C" w:rsidRPr="00CF6B28">
        <w:rPr>
          <w:rFonts w:cstheme="majorBidi"/>
        </w:rPr>
        <w:t>access by the public to any place, vehicle, vessel, aircraft or hovercraft which members of the public are entitled or allowed to enter or use</w:t>
      </w:r>
      <w:r w:rsidR="0032181C">
        <w:rPr>
          <w:rFonts w:cstheme="majorBidi"/>
        </w:rPr>
        <w:t>"</w:t>
      </w:r>
      <w:r w:rsidR="00622CED">
        <w:rPr>
          <w:rFonts w:cstheme="majorBidi"/>
        </w:rPr>
        <w:t>.</w:t>
      </w:r>
      <w:r w:rsidR="0032181C">
        <w:rPr>
          <w:rStyle w:val="FootnoteReference"/>
          <w:rFonts w:cstheme="majorBidi"/>
        </w:rPr>
        <w:footnoteReference w:id="18"/>
      </w:r>
      <w:r w:rsidR="00956F09">
        <w:rPr>
          <w:rFonts w:cstheme="majorBidi"/>
        </w:rPr>
        <w:t xml:space="preserve"> </w:t>
      </w:r>
    </w:p>
    <w:p w:rsidR="00516DFA" w:rsidRPr="00B154AF" w:rsidRDefault="00E71A85" w:rsidP="00B154AF">
      <w:pPr>
        <w:autoSpaceDE w:val="0"/>
        <w:autoSpaceDN w:val="0"/>
        <w:bidi w:val="0"/>
        <w:adjustRightInd w:val="0"/>
        <w:jc w:val="both"/>
        <w:rPr>
          <w:rFonts w:cstheme="majorBidi"/>
        </w:rPr>
      </w:pPr>
      <w:r>
        <w:rPr>
          <w:rFonts w:cstheme="majorBidi"/>
        </w:rPr>
        <w:t xml:space="preserve">Furthermore, there is evidence of </w:t>
      </w:r>
      <w:r w:rsidR="00516DFA">
        <w:rPr>
          <w:rFonts w:cstheme="majorBidi"/>
        </w:rPr>
        <w:t xml:space="preserve">some </w:t>
      </w:r>
      <w:r>
        <w:rPr>
          <w:rFonts w:cstheme="majorBidi"/>
        </w:rPr>
        <w:t>good practice by municip</w:t>
      </w:r>
      <w:r w:rsidR="005D2CAB">
        <w:rPr>
          <w:rFonts w:cstheme="majorBidi"/>
        </w:rPr>
        <w:t>al</w:t>
      </w:r>
      <w:r>
        <w:rPr>
          <w:rFonts w:cstheme="majorBidi"/>
        </w:rPr>
        <w:t xml:space="preserve">ities, </w:t>
      </w:r>
      <w:r w:rsidR="005D2CAB">
        <w:rPr>
          <w:rFonts w:cstheme="majorBidi"/>
        </w:rPr>
        <w:t>UN agencies, NGOs and communities</w:t>
      </w:r>
      <w:r>
        <w:rPr>
          <w:rFonts w:cstheme="majorBidi"/>
        </w:rPr>
        <w:t xml:space="preserve"> to prevent street violence and </w:t>
      </w:r>
      <w:r w:rsidRPr="000E7631">
        <w:rPr>
          <w:rFonts w:cstheme="majorBidi"/>
        </w:rPr>
        <w:t>make public spaces safer for women</w:t>
      </w:r>
      <w:r w:rsidR="00622CED">
        <w:rPr>
          <w:rFonts w:cstheme="majorBidi"/>
        </w:rPr>
        <w:t>.</w:t>
      </w:r>
      <w:r>
        <w:rPr>
          <w:rStyle w:val="FootnoteReference"/>
          <w:rFonts w:cstheme="majorBidi"/>
        </w:rPr>
        <w:footnoteReference w:id="19"/>
      </w:r>
      <w:r w:rsidR="00516DFA">
        <w:rPr>
          <w:rFonts w:cstheme="majorBidi"/>
        </w:rPr>
        <w:t xml:space="preserve"> </w:t>
      </w:r>
      <w:r w:rsidR="005D2CAB">
        <w:rPr>
          <w:rFonts w:cstheme="majorBidi"/>
        </w:rPr>
        <w:t xml:space="preserve">Good practices for safe cities have been developed </w:t>
      </w:r>
      <w:r w:rsidR="00516DFA">
        <w:rPr>
          <w:rFonts w:cstheme="majorBidi"/>
        </w:rPr>
        <w:t xml:space="preserve">mainly </w:t>
      </w:r>
      <w:r>
        <w:rPr>
          <w:rFonts w:cstheme="majorBidi"/>
        </w:rPr>
        <w:t xml:space="preserve">at the municipal level, </w:t>
      </w:r>
      <w:r w:rsidRPr="002D0DB7">
        <w:rPr>
          <w:rFonts w:cs="Times New Roman"/>
        </w:rPr>
        <w:t xml:space="preserve">in some cases </w:t>
      </w:r>
      <w:r>
        <w:rPr>
          <w:rFonts w:cs="Times New Roman"/>
        </w:rPr>
        <w:t xml:space="preserve">with the assistance of </w:t>
      </w:r>
      <w:r w:rsidRPr="002D0DB7">
        <w:rPr>
          <w:rFonts w:cs="Times New Roman"/>
        </w:rPr>
        <w:t>the state or federal government</w:t>
      </w:r>
      <w:r w:rsidR="00622CED">
        <w:rPr>
          <w:rFonts w:cs="Times New Roman"/>
        </w:rPr>
        <w:t>.</w:t>
      </w:r>
      <w:r w:rsidR="00F97DD0" w:rsidRPr="002D0DB7">
        <w:rPr>
          <w:rStyle w:val="FootnoteReference"/>
          <w:rFonts w:cs="Times New Roman"/>
        </w:rPr>
        <w:footnoteReference w:id="20"/>
      </w:r>
      <w:r w:rsidR="00F97DD0" w:rsidRPr="002D0DB7">
        <w:rPr>
          <w:rFonts w:cs="Times New Roman"/>
        </w:rPr>
        <w:t xml:space="preserve"> Many of the local efforts </w:t>
      </w:r>
      <w:r>
        <w:rPr>
          <w:rFonts w:cs="Times New Roman"/>
        </w:rPr>
        <w:t>were supported by</w:t>
      </w:r>
      <w:r w:rsidR="00887AE1" w:rsidRPr="002D0DB7">
        <w:rPr>
          <w:rFonts w:cs="Times New Roman"/>
        </w:rPr>
        <w:t xml:space="preserve"> </w:t>
      </w:r>
      <w:r w:rsidR="00F97DD0" w:rsidRPr="002D0DB7">
        <w:rPr>
          <w:rFonts w:cs="Times New Roman"/>
        </w:rPr>
        <w:t>the UN and</w:t>
      </w:r>
      <w:r w:rsidR="002D0DB7">
        <w:rPr>
          <w:rFonts w:cs="Times New Roman"/>
        </w:rPr>
        <w:t xml:space="preserve"> other</w:t>
      </w:r>
      <w:r w:rsidR="00F97DD0" w:rsidRPr="002D0DB7">
        <w:rPr>
          <w:rFonts w:cs="Times New Roman"/>
        </w:rPr>
        <w:t xml:space="preserve"> global </w:t>
      </w:r>
      <w:r w:rsidR="002D0DB7">
        <w:rPr>
          <w:rFonts w:cs="Times New Roman"/>
        </w:rPr>
        <w:t>bodies</w:t>
      </w:r>
      <w:r w:rsidR="00F97DD0" w:rsidRPr="002D0DB7">
        <w:rPr>
          <w:rFonts w:cs="Times New Roman"/>
        </w:rPr>
        <w:t xml:space="preserve">. For instance, The Global Safe Cities </w:t>
      </w:r>
      <w:r w:rsidR="00F97DD0" w:rsidRPr="002D0DB7">
        <w:rPr>
          <w:rFonts w:cs="Times New Roman"/>
        </w:rPr>
        <w:lastRenderedPageBreak/>
        <w:t>Initiative has provided invaluable assistance to Quito, Ecuador; New Delhi, India; Kigali, Rwanda; Port Moresby, Papua New Guinea and Cairo, Egypt.</w:t>
      </w:r>
      <w:r w:rsidR="00F97DD0" w:rsidRPr="002D0DB7">
        <w:rPr>
          <w:rStyle w:val="FootnoteReference"/>
          <w:rFonts w:cs="Times New Roman"/>
        </w:rPr>
        <w:footnoteReference w:id="21"/>
      </w:r>
      <w:r w:rsidR="00F97DD0" w:rsidRPr="002D0DB7">
        <w:rPr>
          <w:rFonts w:cs="Times New Roman"/>
        </w:rPr>
        <w:t xml:space="preserve"> </w:t>
      </w:r>
      <w:r w:rsidR="009E44BC" w:rsidRPr="00B93381">
        <w:rPr>
          <w:rFonts w:cstheme="majorBidi"/>
        </w:rPr>
        <w:t>One of the mechanisms utilize</w:t>
      </w:r>
      <w:r w:rsidR="00E57735">
        <w:rPr>
          <w:rFonts w:cstheme="majorBidi"/>
        </w:rPr>
        <w:t>d</w:t>
      </w:r>
      <w:r w:rsidR="009E44BC" w:rsidRPr="00B93381">
        <w:rPr>
          <w:rFonts w:cstheme="majorBidi"/>
        </w:rPr>
        <w:t xml:space="preserve"> to increase women’s safety is employing personnel who are specially trained to deal with gender-based violence. </w:t>
      </w:r>
      <w:r w:rsidR="009E44BC" w:rsidRPr="00B93381">
        <w:rPr>
          <w:rFonts w:cs="Times New Roman"/>
        </w:rPr>
        <w:t xml:space="preserve">At the </w:t>
      </w:r>
      <w:proofErr w:type="spellStart"/>
      <w:r w:rsidR="009E44BC" w:rsidRPr="00B93381">
        <w:rPr>
          <w:rFonts w:cs="Times New Roman"/>
        </w:rPr>
        <w:t>Gerehu</w:t>
      </w:r>
      <w:proofErr w:type="spellEnd"/>
      <w:r w:rsidR="009E44BC" w:rsidRPr="00B93381">
        <w:rPr>
          <w:rFonts w:cs="Times New Roman"/>
        </w:rPr>
        <w:t xml:space="preserve"> Market in Port Moresby, Papua New Guinea, there is a specialized police unit that makes the area safer for female merchants. Implemented two years ago as part of the UN Women’s Safe City Port Moresby </w:t>
      </w:r>
      <w:proofErr w:type="spellStart"/>
      <w:r w:rsidR="009E44BC" w:rsidRPr="00B93381">
        <w:rPr>
          <w:rFonts w:cs="Times New Roman"/>
        </w:rPr>
        <w:t>Prog</w:t>
      </w:r>
      <w:r w:rsidR="00575A80">
        <w:rPr>
          <w:rFonts w:cs="Times New Roman"/>
        </w:rPr>
        <w:t>ramme</w:t>
      </w:r>
      <w:proofErr w:type="spellEnd"/>
      <w:r w:rsidR="00575A80">
        <w:rPr>
          <w:rFonts w:cs="Times New Roman"/>
        </w:rPr>
        <w:t xml:space="preserve">, </w:t>
      </w:r>
      <w:r w:rsidR="00622CED" w:rsidRPr="00B93381">
        <w:rPr>
          <w:rFonts w:cs="Times New Roman"/>
        </w:rPr>
        <w:t>according to the manager of UN Women Safe Cities Global Initiatives</w:t>
      </w:r>
      <w:r w:rsidR="00622CED">
        <w:rPr>
          <w:rFonts w:cs="Times New Roman"/>
        </w:rPr>
        <w:t xml:space="preserve">, </w:t>
      </w:r>
      <w:r w:rsidR="00575A80">
        <w:rPr>
          <w:rFonts w:cs="Times New Roman"/>
        </w:rPr>
        <w:t>the project has already "</w:t>
      </w:r>
      <w:r w:rsidR="009E44BC" w:rsidRPr="00B93381">
        <w:rPr>
          <w:rFonts w:cs="Times New Roman"/>
        </w:rPr>
        <w:t>mobilized and trained grassroots women and youth, and sensitized relevant divisions of the local government and the judiciary</w:t>
      </w:r>
      <w:r w:rsidR="00575A80">
        <w:rPr>
          <w:rFonts w:cs="Times New Roman"/>
        </w:rPr>
        <w:t>"</w:t>
      </w:r>
      <w:r w:rsidR="00622CED">
        <w:rPr>
          <w:rFonts w:cs="Times New Roman"/>
        </w:rPr>
        <w:t>.</w:t>
      </w:r>
      <w:r w:rsidR="009E44BC" w:rsidRPr="00B93381">
        <w:rPr>
          <w:rStyle w:val="FootnoteReference"/>
          <w:rFonts w:cs="Times New Roman"/>
        </w:rPr>
        <w:footnoteReference w:id="22"/>
      </w:r>
      <w:r w:rsidR="00E57735">
        <w:rPr>
          <w:rFonts w:cstheme="majorBidi"/>
        </w:rPr>
        <w:t xml:space="preserve"> </w:t>
      </w:r>
      <w:r w:rsidR="00622CED">
        <w:rPr>
          <w:rFonts w:cs="Times New Roman"/>
        </w:rPr>
        <w:t>Another example is the</w:t>
      </w:r>
      <w:r w:rsidR="009E44BC" w:rsidRPr="00B93381">
        <w:rPr>
          <w:rFonts w:cs="Times New Roman"/>
        </w:rPr>
        <w:t xml:space="preserve"> Municipal Urban Gua</w:t>
      </w:r>
      <w:r w:rsidR="00622CED">
        <w:rPr>
          <w:rFonts w:cs="Times New Roman"/>
        </w:rPr>
        <w:t>rd (GUM) in Rosario, Argentina that "</w:t>
      </w:r>
      <w:r w:rsidR="009E44BC" w:rsidRPr="00B93381">
        <w:rPr>
          <w:rFonts w:cs="Times New Roman"/>
        </w:rPr>
        <w:t>promotes safety and urban coexistence in public city spaces (streets, squares, public buildings)</w:t>
      </w:r>
      <w:r w:rsidR="00622CED">
        <w:rPr>
          <w:rFonts w:cs="Times New Roman"/>
        </w:rPr>
        <w:t>".</w:t>
      </w:r>
      <w:r w:rsidR="009E44BC" w:rsidRPr="00B93381">
        <w:rPr>
          <w:rStyle w:val="FootnoteReference"/>
          <w:rFonts w:cs="Times New Roman"/>
        </w:rPr>
        <w:footnoteReference w:id="23"/>
      </w:r>
      <w:r w:rsidR="009E44BC" w:rsidRPr="00B93381">
        <w:rPr>
          <w:rFonts w:cs="Times New Roman"/>
        </w:rPr>
        <w:t xml:space="preserve"> Consisting of the same number of unarmed male and female officers, </w:t>
      </w:r>
      <w:r w:rsidR="00E57735" w:rsidRPr="00B93381">
        <w:rPr>
          <w:rFonts w:cs="Times New Roman"/>
        </w:rPr>
        <w:t>trained in mediation, persuasion, dissuasion techniques to deal with gender-based violence</w:t>
      </w:r>
      <w:r w:rsidR="00E57735">
        <w:rPr>
          <w:rFonts w:cs="Times New Roman"/>
        </w:rPr>
        <w:t>,</w:t>
      </w:r>
      <w:r w:rsidR="00E57735" w:rsidRPr="00B93381">
        <w:rPr>
          <w:rFonts w:cs="Times New Roman"/>
        </w:rPr>
        <w:t xml:space="preserve"> </w:t>
      </w:r>
      <w:r w:rsidR="009E44BC" w:rsidRPr="00B93381">
        <w:rPr>
          <w:rFonts w:cs="Times New Roman"/>
        </w:rPr>
        <w:t xml:space="preserve">GUM patrols the city, provides </w:t>
      </w:r>
      <w:r w:rsidR="00E57735">
        <w:rPr>
          <w:rFonts w:cs="Times New Roman"/>
        </w:rPr>
        <w:t>assistance to residents in need and</w:t>
      </w:r>
      <w:r w:rsidR="009E44BC" w:rsidRPr="00B93381">
        <w:rPr>
          <w:rFonts w:cs="Times New Roman"/>
        </w:rPr>
        <w:t xml:space="preserve"> </w:t>
      </w:r>
      <w:r w:rsidR="00E57735">
        <w:rPr>
          <w:rFonts w:cs="Times New Roman"/>
        </w:rPr>
        <w:t xml:space="preserve">promotes solutions such as provision of </w:t>
      </w:r>
      <w:r w:rsidR="009E44BC" w:rsidRPr="00B93381">
        <w:rPr>
          <w:rFonts w:cs="Times New Roman"/>
        </w:rPr>
        <w:t>sufficient</w:t>
      </w:r>
      <w:r w:rsidR="00E57735">
        <w:rPr>
          <w:rFonts w:cs="Times New Roman"/>
        </w:rPr>
        <w:t xml:space="preserve"> street</w:t>
      </w:r>
      <w:r w:rsidR="009E44BC" w:rsidRPr="00B93381">
        <w:rPr>
          <w:rFonts w:cs="Times New Roman"/>
        </w:rPr>
        <w:t xml:space="preserve"> lighting</w:t>
      </w:r>
      <w:r w:rsidR="00622CED">
        <w:rPr>
          <w:rFonts w:cs="Times New Roman"/>
        </w:rPr>
        <w:t>.</w:t>
      </w:r>
      <w:r w:rsidR="009E44BC" w:rsidRPr="00B93381">
        <w:rPr>
          <w:rStyle w:val="FootnoteReference"/>
          <w:rFonts w:cs="Times New Roman"/>
        </w:rPr>
        <w:footnoteReference w:id="24"/>
      </w:r>
    </w:p>
    <w:p w:rsidR="00923CBA" w:rsidRPr="00B93381" w:rsidRDefault="00923CBA" w:rsidP="00382FA3">
      <w:pPr>
        <w:bidi w:val="0"/>
        <w:jc w:val="both"/>
        <w:rPr>
          <w:rFonts w:cs="Times New Roman"/>
          <w:rtl/>
        </w:rPr>
      </w:pPr>
      <w:r>
        <w:rPr>
          <w:rFonts w:cs="Times New Roman"/>
        </w:rPr>
        <w:t>Municipalities</w:t>
      </w:r>
      <w:r w:rsidR="00516DFA" w:rsidRPr="00B93381">
        <w:rPr>
          <w:rFonts w:cs="Times New Roman"/>
        </w:rPr>
        <w:t xml:space="preserve"> can also make </w:t>
      </w:r>
      <w:r>
        <w:rPr>
          <w:rFonts w:cs="Times New Roman"/>
        </w:rPr>
        <w:t>the street</w:t>
      </w:r>
      <w:r w:rsidR="00516DFA" w:rsidRPr="00B93381">
        <w:rPr>
          <w:rFonts w:cs="Times New Roman"/>
        </w:rPr>
        <w:t xml:space="preserve"> safer with infrastructural changes. </w:t>
      </w:r>
      <w:r w:rsidRPr="00B93381">
        <w:rPr>
          <w:rFonts w:cs="Times New Roman"/>
        </w:rPr>
        <w:t>Montreal, Canada</w:t>
      </w:r>
      <w:r w:rsidRPr="00B93381">
        <w:rPr>
          <w:rStyle w:val="FootnoteReference"/>
          <w:rFonts w:cs="Times New Roman"/>
        </w:rPr>
        <w:footnoteReference w:id="25"/>
      </w:r>
      <w:r w:rsidRPr="00B93381">
        <w:rPr>
          <w:rFonts w:cs="Times New Roman"/>
        </w:rPr>
        <w:t xml:space="preserve"> identified a series of factors regarding the physical construct of a space </w:t>
      </w:r>
      <w:r>
        <w:rPr>
          <w:rFonts w:cs="Times New Roman"/>
        </w:rPr>
        <w:t xml:space="preserve">to </w:t>
      </w:r>
      <w:r w:rsidRPr="00B93381">
        <w:rPr>
          <w:rFonts w:cs="Times New Roman"/>
        </w:rPr>
        <w:t xml:space="preserve">make it </w:t>
      </w:r>
      <w:r>
        <w:rPr>
          <w:rFonts w:cs="Times New Roman"/>
        </w:rPr>
        <w:t>safer</w:t>
      </w:r>
      <w:r w:rsidRPr="00B93381">
        <w:rPr>
          <w:rFonts w:cs="Times New Roman"/>
        </w:rPr>
        <w:t xml:space="preserve"> for women</w:t>
      </w:r>
      <w:r>
        <w:rPr>
          <w:rFonts w:cs="Times New Roman"/>
        </w:rPr>
        <w:t>:</w:t>
      </w:r>
      <w:r w:rsidRPr="00B93381">
        <w:rPr>
          <w:rFonts w:cs="Times New Roman"/>
        </w:rPr>
        <w:t xml:space="preserve"> sufficient signposting, sufficient lighting, open spaces that extend the field of visibility and </w:t>
      </w:r>
      <w:r>
        <w:rPr>
          <w:rFonts w:cs="Times New Roman"/>
        </w:rPr>
        <w:t>removal of hidden spots</w:t>
      </w:r>
      <w:r w:rsidRPr="00B93381">
        <w:rPr>
          <w:rFonts w:cs="Times New Roman"/>
        </w:rPr>
        <w:t xml:space="preserve"> where potential predators could </w:t>
      </w:r>
      <w:r>
        <w:rPr>
          <w:rFonts w:cs="Times New Roman"/>
        </w:rPr>
        <w:t>lurk</w:t>
      </w:r>
      <w:r w:rsidRPr="00B93381">
        <w:rPr>
          <w:rFonts w:cs="Times New Roman"/>
        </w:rPr>
        <w:t>.</w:t>
      </w:r>
      <w:r w:rsidRPr="00B93381">
        <w:rPr>
          <w:rStyle w:val="FootnoteReference"/>
          <w:rFonts w:cs="Times New Roman"/>
        </w:rPr>
        <w:footnoteReference w:id="26"/>
      </w:r>
      <w:r w:rsidRPr="00B93381">
        <w:rPr>
          <w:rFonts w:cs="Times New Roman"/>
        </w:rPr>
        <w:tab/>
      </w:r>
      <w:r>
        <w:rPr>
          <w:rFonts w:cs="Times New Roman"/>
        </w:rPr>
        <w:t>P</w:t>
      </w:r>
      <w:r w:rsidRPr="00B93381">
        <w:rPr>
          <w:rFonts w:cs="Times New Roman"/>
        </w:rPr>
        <w:t>ublic spaces should be full</w:t>
      </w:r>
      <w:r>
        <w:rPr>
          <w:rFonts w:cs="Times New Roman"/>
        </w:rPr>
        <w:t xml:space="preserve"> of people, especially at night,</w:t>
      </w:r>
      <w:r w:rsidRPr="00B93381">
        <w:rPr>
          <w:rStyle w:val="FootnoteReference"/>
          <w:rFonts w:cs="Times New Roman"/>
        </w:rPr>
        <w:footnoteReference w:id="27"/>
      </w:r>
      <w:r w:rsidRPr="00B93381">
        <w:rPr>
          <w:rFonts w:cs="Times New Roman"/>
        </w:rPr>
        <w:t xml:space="preserve"> </w:t>
      </w:r>
      <w:r>
        <w:rPr>
          <w:rFonts w:cs="Times New Roman"/>
        </w:rPr>
        <w:t>and so should be</w:t>
      </w:r>
      <w:r w:rsidRPr="00B93381">
        <w:rPr>
          <w:rFonts w:cs="Times New Roman"/>
        </w:rPr>
        <w:t xml:space="preserve"> designed to facilitate various forms of activit</w:t>
      </w:r>
      <w:r w:rsidR="00382FA3">
        <w:rPr>
          <w:rFonts w:cs="Times New Roman"/>
        </w:rPr>
        <w:t>ies</w:t>
      </w:r>
      <w:r w:rsidRPr="00B93381">
        <w:rPr>
          <w:rFonts w:cs="Times New Roman"/>
        </w:rPr>
        <w:t xml:space="preserve">, </w:t>
      </w:r>
      <w:r>
        <w:rPr>
          <w:rFonts w:cs="Times New Roman"/>
        </w:rPr>
        <w:t xml:space="preserve">which </w:t>
      </w:r>
      <w:r w:rsidRPr="00B93381">
        <w:rPr>
          <w:rFonts w:cs="Times New Roman"/>
        </w:rPr>
        <w:t>will encourage people to remain in the area.</w:t>
      </w:r>
      <w:r w:rsidRPr="00B93381">
        <w:rPr>
          <w:rStyle w:val="FootnoteReference"/>
          <w:rFonts w:cs="Times New Roman"/>
        </w:rPr>
        <w:footnoteReference w:id="28"/>
      </w:r>
      <w:r w:rsidRPr="00B93381">
        <w:rPr>
          <w:rFonts w:cs="Times New Roman"/>
        </w:rPr>
        <w:t xml:space="preserve"> </w:t>
      </w:r>
      <w:r>
        <w:rPr>
          <w:rFonts w:cs="Times New Roman"/>
        </w:rPr>
        <w:t>T</w:t>
      </w:r>
      <w:r w:rsidRPr="00B93381">
        <w:rPr>
          <w:rFonts w:cs="Times New Roman"/>
        </w:rPr>
        <w:t>here should be formal surveillance and access to help</w:t>
      </w:r>
      <w:r>
        <w:rPr>
          <w:rFonts w:cs="Times New Roman"/>
        </w:rPr>
        <w:t>, including security guards,</w:t>
      </w:r>
      <w:r w:rsidRPr="00B93381">
        <w:rPr>
          <w:rFonts w:cs="Times New Roman"/>
        </w:rPr>
        <w:t xml:space="preserve"> public tele</w:t>
      </w:r>
      <w:r w:rsidR="00382FA3">
        <w:rPr>
          <w:rFonts w:cs="Times New Roman"/>
        </w:rPr>
        <w:t xml:space="preserve">phones and </w:t>
      </w:r>
      <w:r>
        <w:rPr>
          <w:rFonts w:cs="Times New Roman"/>
        </w:rPr>
        <w:t xml:space="preserve">surveillance cameras, </w:t>
      </w:r>
      <w:r w:rsidRPr="00B93381">
        <w:rPr>
          <w:rFonts w:cs="Times New Roman"/>
        </w:rPr>
        <w:t>prominently displayed, so that potential predators are deterred from attacking</w:t>
      </w:r>
      <w:r>
        <w:rPr>
          <w:rFonts w:cs="Times New Roman"/>
        </w:rPr>
        <w:t>.</w:t>
      </w:r>
      <w:r w:rsidRPr="00B93381">
        <w:rPr>
          <w:rFonts w:cs="Times New Roman"/>
        </w:rPr>
        <w:t xml:space="preserve"> </w:t>
      </w:r>
    </w:p>
    <w:p w:rsidR="009E44BC" w:rsidRPr="00B93381" w:rsidRDefault="00516DFA" w:rsidP="00314D38">
      <w:pPr>
        <w:pStyle w:val="ListParagraph"/>
        <w:bidi w:val="0"/>
        <w:ind w:left="0"/>
        <w:jc w:val="both"/>
        <w:rPr>
          <w:rFonts w:cstheme="majorBidi"/>
        </w:rPr>
      </w:pPr>
      <w:r>
        <w:rPr>
          <w:rFonts w:cs="Times New Roman"/>
        </w:rPr>
        <w:t>T</w:t>
      </w:r>
      <w:r w:rsidR="009E44BC" w:rsidRPr="00B93381">
        <w:rPr>
          <w:rFonts w:cs="Times New Roman"/>
        </w:rPr>
        <w:t>echnology has come to play an increasingly important role in making women safer</w:t>
      </w:r>
      <w:r>
        <w:rPr>
          <w:rFonts w:cs="Times New Roman"/>
        </w:rPr>
        <w:t xml:space="preserve"> on the street</w:t>
      </w:r>
      <w:r w:rsidR="009E44BC" w:rsidRPr="000E7631">
        <w:rPr>
          <w:rFonts w:cstheme="majorBidi"/>
        </w:rPr>
        <w:t xml:space="preserve">. </w:t>
      </w:r>
      <w:r w:rsidR="009E44BC" w:rsidRPr="00B93381">
        <w:rPr>
          <w:rFonts w:cs="Times New Roman"/>
        </w:rPr>
        <w:t>Brazil</w:t>
      </w:r>
      <w:r w:rsidR="000E7631">
        <w:rPr>
          <w:rFonts w:cs="Times New Roman"/>
        </w:rPr>
        <w:t>,</w:t>
      </w:r>
      <w:r w:rsidR="009E44BC" w:rsidRPr="00B93381">
        <w:rPr>
          <w:rFonts w:cs="Times New Roman"/>
        </w:rPr>
        <w:t xml:space="preserve"> </w:t>
      </w:r>
      <w:r w:rsidR="000E7631">
        <w:rPr>
          <w:rFonts w:cs="Times New Roman"/>
        </w:rPr>
        <w:t xml:space="preserve">for example, </w:t>
      </w:r>
      <w:r w:rsidR="009E44BC" w:rsidRPr="00B93381">
        <w:rPr>
          <w:rFonts w:cs="Times New Roman"/>
        </w:rPr>
        <w:t xml:space="preserve">has </w:t>
      </w:r>
      <w:r w:rsidR="000F3335">
        <w:rPr>
          <w:rFonts w:cs="Times New Roman"/>
        </w:rPr>
        <w:t xml:space="preserve">promoted the use of </w:t>
      </w:r>
      <w:r w:rsidR="009E44BC" w:rsidRPr="00B93381">
        <w:rPr>
          <w:rFonts w:cs="Times New Roman"/>
        </w:rPr>
        <w:t>cell phones to map safety risks</w:t>
      </w:r>
      <w:r w:rsidR="000F3335">
        <w:rPr>
          <w:rFonts w:cs="Times New Roman"/>
        </w:rPr>
        <w:t xml:space="preserve"> in </w:t>
      </w:r>
      <w:r w:rsidR="000F3335" w:rsidRPr="00B93381">
        <w:rPr>
          <w:rFonts w:cs="Times New Roman"/>
        </w:rPr>
        <w:t>low-income communities in Rio</w:t>
      </w:r>
      <w:r w:rsidR="009E44BC" w:rsidRPr="00B93381">
        <w:rPr>
          <w:rFonts w:cs="Times New Roman"/>
        </w:rPr>
        <w:t>.</w:t>
      </w:r>
      <w:r w:rsidR="009E44BC" w:rsidRPr="00B93381">
        <w:rPr>
          <w:rStyle w:val="FootnoteReference"/>
          <w:rFonts w:cs="Times New Roman"/>
        </w:rPr>
        <w:footnoteReference w:id="29"/>
      </w:r>
      <w:r w:rsidR="009E44BC" w:rsidRPr="00B93381">
        <w:rPr>
          <w:rFonts w:cs="Times New Roman"/>
        </w:rPr>
        <w:t xml:space="preserve"> Women use </w:t>
      </w:r>
      <w:r w:rsidR="000F3335">
        <w:rPr>
          <w:rFonts w:cs="Times New Roman"/>
        </w:rPr>
        <w:t xml:space="preserve">an application on </w:t>
      </w:r>
      <w:r w:rsidR="009E44BC" w:rsidRPr="00B93381">
        <w:rPr>
          <w:rFonts w:cs="Times New Roman"/>
        </w:rPr>
        <w:t>their phones to map faulty infrastructure or services, obscured walking routes and areas with lack of lighting</w:t>
      </w:r>
      <w:r w:rsidR="000F3335">
        <w:rPr>
          <w:rFonts w:cs="Times New Roman"/>
        </w:rPr>
        <w:t>,</w:t>
      </w:r>
      <w:r w:rsidR="00382FA3">
        <w:rPr>
          <w:rFonts w:cs="Times New Roman"/>
        </w:rPr>
        <w:t xml:space="preserve"> and connect them with </w:t>
      </w:r>
      <w:r w:rsidR="00382FA3" w:rsidRPr="00B93381">
        <w:rPr>
          <w:rFonts w:cs="Times New Roman"/>
        </w:rPr>
        <w:t xml:space="preserve">police stations that specialize in </w:t>
      </w:r>
      <w:r w:rsidR="00314D38">
        <w:rPr>
          <w:rFonts w:cs="Times New Roman"/>
        </w:rPr>
        <w:t>GBV. This enables</w:t>
      </w:r>
      <w:r w:rsidR="009E44BC" w:rsidRPr="00B93381">
        <w:rPr>
          <w:rFonts w:cs="Times New Roman"/>
        </w:rPr>
        <w:t xml:space="preserve"> the</w:t>
      </w:r>
      <w:r w:rsidR="00314D38">
        <w:rPr>
          <w:rFonts w:cs="Times New Roman"/>
        </w:rPr>
        <w:t xml:space="preserve"> women</w:t>
      </w:r>
      <w:r w:rsidR="009E44BC" w:rsidRPr="00B93381">
        <w:rPr>
          <w:rFonts w:cs="Times New Roman"/>
        </w:rPr>
        <w:t xml:space="preserve"> to establish action plans to prevent an</w:t>
      </w:r>
      <w:r w:rsidR="00382FA3">
        <w:rPr>
          <w:rFonts w:cs="Times New Roman"/>
        </w:rPr>
        <w:t>d respond to violence</w:t>
      </w:r>
      <w:r w:rsidR="009E44BC" w:rsidRPr="00B93381">
        <w:rPr>
          <w:rFonts w:cs="Times New Roman"/>
        </w:rPr>
        <w:t>.</w:t>
      </w:r>
      <w:r w:rsidR="009E44BC" w:rsidRPr="00B93381">
        <w:rPr>
          <w:rStyle w:val="FootnoteReference"/>
          <w:rFonts w:cs="Times New Roman"/>
        </w:rPr>
        <w:footnoteReference w:id="30"/>
      </w:r>
    </w:p>
    <w:p w:rsidR="009E44BC" w:rsidRPr="00B93381" w:rsidRDefault="00516DFA" w:rsidP="00314D38">
      <w:pPr>
        <w:bidi w:val="0"/>
        <w:jc w:val="both"/>
        <w:rPr>
          <w:rFonts w:cs="Times New Roman"/>
          <w:rtl/>
        </w:rPr>
      </w:pPr>
      <w:r>
        <w:rPr>
          <w:rFonts w:cs="Times New Roman"/>
        </w:rPr>
        <w:lastRenderedPageBreak/>
        <w:t>P</w:t>
      </w:r>
      <w:r w:rsidR="00F16E18">
        <w:rPr>
          <w:rFonts w:cs="Times New Roman"/>
        </w:rPr>
        <w:t>ublic</w:t>
      </w:r>
      <w:r w:rsidR="009E44BC" w:rsidRPr="00B93381">
        <w:rPr>
          <w:rFonts w:cs="Times New Roman"/>
        </w:rPr>
        <w:t xml:space="preserve"> transportation</w:t>
      </w:r>
      <w:r w:rsidR="00F16E18">
        <w:rPr>
          <w:rFonts w:cs="Times New Roman"/>
        </w:rPr>
        <w:t>,</w:t>
      </w:r>
      <w:r w:rsidR="009E44BC" w:rsidRPr="00B93381">
        <w:rPr>
          <w:rFonts w:cs="Times New Roman"/>
        </w:rPr>
        <w:t xml:space="preserve"> </w:t>
      </w:r>
      <w:r w:rsidR="00F16E18">
        <w:rPr>
          <w:rFonts w:cs="Times New Roman"/>
        </w:rPr>
        <w:t xml:space="preserve">which </w:t>
      </w:r>
      <w:r>
        <w:rPr>
          <w:rFonts w:cs="Times New Roman"/>
        </w:rPr>
        <w:t>women</w:t>
      </w:r>
      <w:r w:rsidR="009E44BC" w:rsidRPr="00B93381">
        <w:rPr>
          <w:rFonts w:cs="Times New Roman"/>
        </w:rPr>
        <w:t xml:space="preserve"> must </w:t>
      </w:r>
      <w:r w:rsidR="00F16E18">
        <w:rPr>
          <w:rFonts w:cs="Times New Roman"/>
        </w:rPr>
        <w:t>use</w:t>
      </w:r>
      <w:r w:rsidR="009E44BC" w:rsidRPr="00B93381">
        <w:rPr>
          <w:rFonts w:cs="Times New Roman"/>
        </w:rPr>
        <w:t xml:space="preserve"> to get to work, </w:t>
      </w:r>
      <w:r w:rsidR="00F16E18">
        <w:rPr>
          <w:rFonts w:cs="Times New Roman"/>
        </w:rPr>
        <w:t xml:space="preserve">educational institutions, </w:t>
      </w:r>
      <w:r w:rsidR="009E44BC" w:rsidRPr="00B93381">
        <w:rPr>
          <w:rFonts w:cs="Times New Roman"/>
        </w:rPr>
        <w:t>or run errands</w:t>
      </w:r>
      <w:r w:rsidR="00F16E18">
        <w:rPr>
          <w:rFonts w:cs="Times New Roman"/>
        </w:rPr>
        <w:t>,</w:t>
      </w:r>
      <w:r w:rsidR="009E44BC" w:rsidRPr="00B93381">
        <w:rPr>
          <w:rFonts w:cs="Times New Roman"/>
        </w:rPr>
        <w:t xml:space="preserve"> </w:t>
      </w:r>
      <w:r>
        <w:rPr>
          <w:rFonts w:cs="Times New Roman"/>
        </w:rPr>
        <w:t xml:space="preserve">often </w:t>
      </w:r>
      <w:r w:rsidR="009E44BC" w:rsidRPr="00B93381">
        <w:rPr>
          <w:rFonts w:cs="Times New Roman"/>
        </w:rPr>
        <w:t>pose</w:t>
      </w:r>
      <w:r w:rsidR="00F16E18">
        <w:rPr>
          <w:rFonts w:cs="Times New Roman"/>
        </w:rPr>
        <w:t>s</w:t>
      </w:r>
      <w:r w:rsidR="009E44BC" w:rsidRPr="00B93381">
        <w:rPr>
          <w:rFonts w:cs="Times New Roman"/>
        </w:rPr>
        <w:t xml:space="preserve"> </w:t>
      </w:r>
      <w:r>
        <w:rPr>
          <w:rFonts w:cs="Times New Roman"/>
        </w:rPr>
        <w:t xml:space="preserve">one of </w:t>
      </w:r>
      <w:r w:rsidR="009E44BC" w:rsidRPr="00B93381">
        <w:rPr>
          <w:rFonts w:cs="Times New Roman"/>
        </w:rPr>
        <w:t>the greatest threat</w:t>
      </w:r>
      <w:r>
        <w:rPr>
          <w:rFonts w:cs="Times New Roman"/>
        </w:rPr>
        <w:t>s</w:t>
      </w:r>
      <w:r w:rsidR="009E44BC" w:rsidRPr="00B93381">
        <w:rPr>
          <w:rFonts w:cs="Times New Roman"/>
        </w:rPr>
        <w:t>.</w:t>
      </w:r>
      <w:r w:rsidR="009E44BC" w:rsidRPr="00B93381">
        <w:rPr>
          <w:rStyle w:val="FootnoteReference"/>
          <w:rFonts w:cs="Times New Roman"/>
        </w:rPr>
        <w:footnoteReference w:id="31"/>
      </w:r>
      <w:r w:rsidR="009E44BC" w:rsidRPr="00B93381">
        <w:rPr>
          <w:rFonts w:cs="Times New Roman"/>
        </w:rPr>
        <w:t xml:space="preserve"> </w:t>
      </w:r>
      <w:r w:rsidR="00F16E18">
        <w:rPr>
          <w:rFonts w:cs="Times New Roman"/>
        </w:rPr>
        <w:t xml:space="preserve">In 2014, in India, the gang rape and murder of a </w:t>
      </w:r>
      <w:r w:rsidR="00CF6B28">
        <w:rPr>
          <w:rFonts w:cs="Times New Roman"/>
        </w:rPr>
        <w:t xml:space="preserve">female university </w:t>
      </w:r>
      <w:r w:rsidR="00F16E18">
        <w:rPr>
          <w:rFonts w:cs="Times New Roman"/>
        </w:rPr>
        <w:t>student on a bus, with the cooperation of the driver, produced public demonstrations</w:t>
      </w:r>
      <w:r w:rsidR="00CF6B28">
        <w:rPr>
          <w:rFonts w:cs="Times New Roman"/>
        </w:rPr>
        <w:t xml:space="preserve"> and international concern</w:t>
      </w:r>
      <w:r w:rsidR="00CF6B28">
        <w:rPr>
          <w:rStyle w:val="FootnoteReference"/>
          <w:rFonts w:cs="Times New Roman"/>
        </w:rPr>
        <w:footnoteReference w:id="32"/>
      </w:r>
      <w:r w:rsidR="00F16E18">
        <w:rPr>
          <w:rFonts w:cs="Times New Roman"/>
        </w:rPr>
        <w:t xml:space="preserve"> </w:t>
      </w:r>
      <w:r w:rsidR="00CF6B28">
        <w:rPr>
          <w:rFonts w:cs="Times New Roman"/>
        </w:rPr>
        <w:t xml:space="preserve">that led </w:t>
      </w:r>
      <w:r w:rsidR="00F16E18">
        <w:rPr>
          <w:rFonts w:cs="Times New Roman"/>
        </w:rPr>
        <w:t xml:space="preserve">the Indian government </w:t>
      </w:r>
      <w:r w:rsidR="00CF6B28">
        <w:rPr>
          <w:rFonts w:cs="Times New Roman"/>
        </w:rPr>
        <w:t xml:space="preserve">to take </w:t>
      </w:r>
      <w:r w:rsidR="00F16E18">
        <w:rPr>
          <w:rFonts w:cs="Times New Roman"/>
        </w:rPr>
        <w:t xml:space="preserve">radical steps to increase the criminal penalties for </w:t>
      </w:r>
      <w:r w:rsidR="00B30EA0">
        <w:rPr>
          <w:rFonts w:cs="Times New Roman"/>
        </w:rPr>
        <w:t>VAW/GBV</w:t>
      </w:r>
      <w:r w:rsidR="00F16E18">
        <w:rPr>
          <w:rFonts w:cs="Times New Roman"/>
        </w:rPr>
        <w:t>.</w:t>
      </w:r>
      <w:r w:rsidR="00CF6B28">
        <w:rPr>
          <w:rFonts w:cs="Times New Roman"/>
        </w:rPr>
        <w:t xml:space="preserve"> This included the </w:t>
      </w:r>
      <w:r w:rsidR="00D444F2">
        <w:rPr>
          <w:rFonts w:cs="Times New Roman"/>
        </w:rPr>
        <w:t>enacting</w:t>
      </w:r>
      <w:r w:rsidR="00CF6B28">
        <w:rPr>
          <w:rFonts w:cs="Times New Roman"/>
        </w:rPr>
        <w:t xml:space="preserve"> of </w:t>
      </w:r>
      <w:r w:rsidR="00D444F2">
        <w:rPr>
          <w:rFonts w:cs="Times New Roman"/>
        </w:rPr>
        <w:t xml:space="preserve">the </w:t>
      </w:r>
      <w:r w:rsidR="00D444F2" w:rsidRPr="00FE3321">
        <w:rPr>
          <w:rFonts w:cs="Times New Roman"/>
        </w:rPr>
        <w:t>Criminal Law (Amendment) Act, 2013,</w:t>
      </w:r>
      <w:r w:rsidR="00D444F2">
        <w:rPr>
          <w:rFonts w:cs="Times New Roman"/>
        </w:rPr>
        <w:t xml:space="preserve"> that </w:t>
      </w:r>
      <w:r w:rsidR="00091377">
        <w:rPr>
          <w:rFonts w:cs="Times New Roman"/>
        </w:rPr>
        <w:t>punishes gang rape or those who guilty of causing death or leaving a rape victim in a permanent vegetative state with "r</w:t>
      </w:r>
      <w:r w:rsidR="00091377" w:rsidRPr="00FE3321">
        <w:rPr>
          <w:rFonts w:cs="Times New Roman"/>
        </w:rPr>
        <w:t>igorous imprisonment of not less than 20 years but which may extend to imprisonment for life which shall mean the remainder of that person’s natural life or with death"</w:t>
      </w:r>
      <w:r w:rsidR="00091377">
        <w:rPr>
          <w:rStyle w:val="FootnoteReference"/>
          <w:rFonts w:cs="Times New Roman"/>
        </w:rPr>
        <w:footnoteReference w:id="33"/>
      </w:r>
      <w:r w:rsidR="00091377" w:rsidRPr="00FE3321">
        <w:rPr>
          <w:rFonts w:cs="Times New Roman"/>
        </w:rPr>
        <w:t>.</w:t>
      </w:r>
      <w:r w:rsidR="00091377">
        <w:rPr>
          <w:rFonts w:cs="Times New Roman"/>
        </w:rPr>
        <w:t xml:space="preserve"> </w:t>
      </w:r>
      <w:r w:rsidR="009E44BC" w:rsidRPr="00B93381">
        <w:rPr>
          <w:rFonts w:cs="Times New Roman"/>
        </w:rPr>
        <w:t xml:space="preserve">In </w:t>
      </w:r>
      <w:r w:rsidR="00314D38">
        <w:rPr>
          <w:rFonts w:cs="Times New Roman"/>
        </w:rPr>
        <w:t>Cairo, Egypt, a study revealed "</w:t>
      </w:r>
      <w:r w:rsidR="009E44BC" w:rsidRPr="00B93381">
        <w:rPr>
          <w:rFonts w:cs="Times New Roman"/>
        </w:rPr>
        <w:t>that public transportation ranks high on the list of unsafe spaces, and is the second-highest place where sexual harassment takes place, with pu</w:t>
      </w:r>
      <w:r w:rsidR="00314D38">
        <w:rPr>
          <w:rFonts w:cs="Times New Roman"/>
        </w:rPr>
        <w:t>blic streets being the highest".</w:t>
      </w:r>
      <w:r w:rsidR="009E44BC" w:rsidRPr="00B93381">
        <w:rPr>
          <w:rStyle w:val="FootnoteReference"/>
          <w:rFonts w:cs="Times New Roman"/>
        </w:rPr>
        <w:footnoteReference w:id="34"/>
      </w:r>
      <w:r w:rsidR="009E44BC" w:rsidRPr="00B93381">
        <w:rPr>
          <w:rFonts w:cs="Times New Roman"/>
        </w:rPr>
        <w:t xml:space="preserve"> UN Women launched a Transit Campaign in Cairo in 2012 in partnership with three youth groups to encourage Egyptians to take a stand against violence and harassment on public transport.</w:t>
      </w:r>
      <w:r w:rsidR="009E44BC" w:rsidRPr="00B93381">
        <w:rPr>
          <w:rStyle w:val="FootnoteReference"/>
          <w:rFonts w:cs="Times New Roman"/>
        </w:rPr>
        <w:footnoteReference w:id="35"/>
      </w:r>
      <w:r w:rsidR="009E44BC" w:rsidRPr="00B93381">
        <w:rPr>
          <w:rFonts w:cs="Times New Roman"/>
        </w:rPr>
        <w:t xml:space="preserve"> One of the youth groups re-enacts sexual harassment incidents in metro-cars (without notifying the other passengers it is a re-enactment until the end) to gauge passengers’ reactions and raise awareness about the seriousness of such incidents.</w:t>
      </w:r>
      <w:r w:rsidR="009E44BC" w:rsidRPr="00B93381">
        <w:rPr>
          <w:rStyle w:val="FootnoteReference"/>
          <w:rFonts w:cs="Times New Roman"/>
        </w:rPr>
        <w:footnoteReference w:id="36"/>
      </w:r>
      <w:r w:rsidR="009E44BC" w:rsidRPr="00B93381">
        <w:rPr>
          <w:rFonts w:cs="Times New Roman"/>
        </w:rPr>
        <w:t xml:space="preserve"> A second youth group works with micro-bus drivers to teac</w:t>
      </w:r>
      <w:r w:rsidR="00314D38">
        <w:rPr>
          <w:rFonts w:cs="Times New Roman"/>
        </w:rPr>
        <w:t>h them how to make their buses "</w:t>
      </w:r>
      <w:r w:rsidR="009E44BC" w:rsidRPr="00B93381">
        <w:rPr>
          <w:rFonts w:cs="Times New Roman"/>
        </w:rPr>
        <w:t>harassment free</w:t>
      </w:r>
      <w:r w:rsidR="00314D38">
        <w:rPr>
          <w:rFonts w:cs="Times New Roman"/>
        </w:rPr>
        <w:t>"</w:t>
      </w:r>
      <w:r w:rsidR="009E44BC" w:rsidRPr="00B93381">
        <w:rPr>
          <w:rFonts w:cs="Times New Roman"/>
        </w:rPr>
        <w:t>.</w:t>
      </w:r>
      <w:r w:rsidR="009E44BC" w:rsidRPr="00B93381">
        <w:rPr>
          <w:rStyle w:val="FootnoteReference"/>
          <w:rFonts w:cs="Times New Roman"/>
        </w:rPr>
        <w:footnoteReference w:id="37"/>
      </w:r>
    </w:p>
    <w:p w:rsidR="004F43A8" w:rsidRDefault="00516DFA" w:rsidP="00314D38">
      <w:pPr>
        <w:bidi w:val="0"/>
        <w:jc w:val="both"/>
        <w:rPr>
          <w:rFonts w:cs="Times New Roman"/>
        </w:rPr>
      </w:pPr>
      <w:r>
        <w:rPr>
          <w:rFonts w:cs="Times New Roman"/>
        </w:rPr>
        <w:t xml:space="preserve">The point of getting off public transportation onto the street may also pose a problem and so </w:t>
      </w:r>
      <w:r w:rsidRPr="00B93381">
        <w:rPr>
          <w:rFonts w:cs="Times New Roman"/>
        </w:rPr>
        <w:t xml:space="preserve">Montreal and Toronto, Canada have implemented a </w:t>
      </w:r>
      <w:r w:rsidR="00314D38">
        <w:rPr>
          <w:rFonts w:cs="Times New Roman"/>
        </w:rPr>
        <w:t>"</w:t>
      </w:r>
      <w:r w:rsidRPr="00B93381">
        <w:rPr>
          <w:rFonts w:cs="Times New Roman"/>
        </w:rPr>
        <w:t>Between Two Stops</w:t>
      </w:r>
      <w:r w:rsidR="00314D38">
        <w:rPr>
          <w:rFonts w:cs="Times New Roman"/>
        </w:rPr>
        <w:t>"</w:t>
      </w:r>
      <w:r w:rsidRPr="00B93381">
        <w:rPr>
          <w:rFonts w:cs="Times New Roman"/>
        </w:rPr>
        <w:t xml:space="preserve"> Service</w:t>
      </w:r>
      <w:r>
        <w:rPr>
          <w:rFonts w:cs="Times New Roman"/>
        </w:rPr>
        <w:t>, in which w</w:t>
      </w:r>
      <w:r w:rsidRPr="00B93381">
        <w:rPr>
          <w:rFonts w:cs="Times New Roman"/>
        </w:rPr>
        <w:t>omen and girls can elect to get off the bus in between the designated stops at night to minimize the distance they have to walk in the dark.</w:t>
      </w:r>
      <w:r w:rsidRPr="00B93381">
        <w:rPr>
          <w:rStyle w:val="FootnoteReference"/>
          <w:rFonts w:cs="Times New Roman"/>
        </w:rPr>
        <w:footnoteReference w:id="38"/>
      </w:r>
    </w:p>
    <w:p w:rsidR="00B154AF" w:rsidRDefault="00B154AF" w:rsidP="00B154AF">
      <w:pPr>
        <w:bidi w:val="0"/>
        <w:jc w:val="both"/>
        <w:rPr>
          <w:rFonts w:cs="Times New Roman"/>
        </w:rPr>
      </w:pPr>
    </w:p>
    <w:p w:rsidR="00B154AF" w:rsidRDefault="00B154AF" w:rsidP="00B154AF">
      <w:pPr>
        <w:bidi w:val="0"/>
        <w:jc w:val="both"/>
        <w:rPr>
          <w:rFonts w:cs="Times New Roman"/>
        </w:rPr>
      </w:pPr>
    </w:p>
    <w:p w:rsidR="00B154AF" w:rsidRDefault="00B154AF" w:rsidP="00B154AF">
      <w:pPr>
        <w:bidi w:val="0"/>
        <w:jc w:val="both"/>
        <w:rPr>
          <w:rFonts w:cs="Times New Roman"/>
        </w:rPr>
      </w:pPr>
    </w:p>
    <w:p w:rsidR="00B154AF" w:rsidRDefault="00B154AF" w:rsidP="00B154AF">
      <w:pPr>
        <w:bidi w:val="0"/>
        <w:jc w:val="both"/>
        <w:rPr>
          <w:rFonts w:cs="Times New Roman"/>
        </w:rPr>
      </w:pPr>
    </w:p>
    <w:p w:rsidR="00B154AF" w:rsidRDefault="00B154AF" w:rsidP="00B154AF">
      <w:pPr>
        <w:bidi w:val="0"/>
        <w:jc w:val="both"/>
        <w:rPr>
          <w:rFonts w:cs="Times New Roman"/>
        </w:rPr>
      </w:pPr>
    </w:p>
    <w:p w:rsidR="00B154AF" w:rsidRDefault="00B154AF" w:rsidP="00B154AF">
      <w:pPr>
        <w:bidi w:val="0"/>
        <w:jc w:val="both"/>
        <w:rPr>
          <w:rFonts w:cs="Times New Roman"/>
        </w:rPr>
      </w:pPr>
    </w:p>
    <w:p w:rsidR="00B154AF" w:rsidRPr="00661A66" w:rsidRDefault="00B154AF" w:rsidP="00B154AF">
      <w:pPr>
        <w:bidi w:val="0"/>
        <w:jc w:val="both"/>
        <w:rPr>
          <w:rFonts w:cs="Times New Roman"/>
        </w:rPr>
      </w:pPr>
    </w:p>
    <w:p w:rsidR="001C6419" w:rsidRPr="00AB3B38" w:rsidRDefault="008E78DA" w:rsidP="000A6797">
      <w:pPr>
        <w:pStyle w:val="ListParagraph"/>
        <w:numPr>
          <w:ilvl w:val="0"/>
          <w:numId w:val="2"/>
        </w:numPr>
        <w:autoSpaceDE w:val="0"/>
        <w:autoSpaceDN w:val="0"/>
        <w:bidi w:val="0"/>
        <w:adjustRightInd w:val="0"/>
        <w:spacing w:after="0"/>
        <w:jc w:val="both"/>
      </w:pPr>
      <w:r w:rsidRPr="00140AE6">
        <w:rPr>
          <w:b/>
          <w:bCs/>
        </w:rPr>
        <w:lastRenderedPageBreak/>
        <w:t>VIOLENCE AGAINST WOMEN IN SOCIO-ECONOMIC INSTITUTIONS</w:t>
      </w:r>
      <w:r w:rsidRPr="00AB3B38">
        <w:t xml:space="preserve"> </w:t>
      </w:r>
    </w:p>
    <w:p w:rsidR="00853311" w:rsidRPr="00C50026" w:rsidRDefault="00853311" w:rsidP="000A6797">
      <w:pPr>
        <w:pStyle w:val="ListParagraph"/>
        <w:autoSpaceDE w:val="0"/>
        <w:autoSpaceDN w:val="0"/>
        <w:bidi w:val="0"/>
        <w:adjustRightInd w:val="0"/>
        <w:spacing w:after="0"/>
        <w:jc w:val="both"/>
      </w:pPr>
    </w:p>
    <w:p w:rsidR="0027630E" w:rsidRPr="00C50026" w:rsidRDefault="00B30EA0" w:rsidP="00314D38">
      <w:pPr>
        <w:autoSpaceDE w:val="0"/>
        <w:autoSpaceDN w:val="0"/>
        <w:bidi w:val="0"/>
        <w:adjustRightInd w:val="0"/>
        <w:spacing w:after="0"/>
        <w:jc w:val="both"/>
        <w:rPr>
          <w:rFonts w:cs="Times New Roman"/>
        </w:rPr>
      </w:pPr>
      <w:r>
        <w:t>VAW/GBV</w:t>
      </w:r>
      <w:r w:rsidR="00C6233B">
        <w:t>, including rape and indecent acts, is, when it occurs</w:t>
      </w:r>
      <w:r w:rsidR="001C6419" w:rsidRPr="00C50026">
        <w:t xml:space="preserve"> in socio-economic institutions</w:t>
      </w:r>
      <w:r w:rsidR="00C6233B">
        <w:t>,</w:t>
      </w:r>
      <w:r w:rsidR="001C6419" w:rsidRPr="00C50026">
        <w:t xml:space="preserve"> often treated under the heading of </w:t>
      </w:r>
      <w:r w:rsidR="001C6419" w:rsidRPr="005102AF">
        <w:rPr>
          <w:b/>
          <w:bCs/>
        </w:rPr>
        <w:t>sexual harassment</w:t>
      </w:r>
      <w:r w:rsidR="001C6419" w:rsidRPr="00C50026">
        <w:t xml:space="preserve">. </w:t>
      </w:r>
      <w:r w:rsidR="00DB1122" w:rsidRPr="00C50026">
        <w:t xml:space="preserve">In some instances, violent </w:t>
      </w:r>
      <w:r w:rsidR="00DB1122">
        <w:t>criminal offences</w:t>
      </w:r>
      <w:r w:rsidR="00DB1122" w:rsidRPr="00C50026">
        <w:t xml:space="preserve"> such as </w:t>
      </w:r>
      <w:r w:rsidR="00153585">
        <w:t xml:space="preserve">rape and even </w:t>
      </w:r>
      <w:r w:rsidR="00DB1122">
        <w:t xml:space="preserve">gang </w:t>
      </w:r>
      <w:r w:rsidR="00DB1122" w:rsidRPr="00C50026">
        <w:t>rape</w:t>
      </w:r>
      <w:r w:rsidR="00DB1122">
        <w:t>,</w:t>
      </w:r>
      <w:r w:rsidR="00DB1122" w:rsidRPr="00C50026">
        <w:t xml:space="preserve"> when they have occurred in the workplace</w:t>
      </w:r>
      <w:r w:rsidR="00DB1122">
        <w:t>,</w:t>
      </w:r>
      <w:r w:rsidR="00DB1122" w:rsidRPr="00C50026">
        <w:t xml:space="preserve"> have been </w:t>
      </w:r>
      <w:r w:rsidR="00DB1122">
        <w:t>classified as</w:t>
      </w:r>
      <w:r w:rsidR="00DB1122" w:rsidRPr="00C50026">
        <w:t xml:space="preserve"> sexual harassment</w:t>
      </w:r>
      <w:r w:rsidR="00153585">
        <w:t xml:space="preserve">, as </w:t>
      </w:r>
      <w:r w:rsidR="00153585" w:rsidRPr="00C50026">
        <w:t xml:space="preserve">in the 1990's in India when a women social worker, </w:t>
      </w:r>
      <w:proofErr w:type="spellStart"/>
      <w:r w:rsidR="00153585" w:rsidRPr="00C50026">
        <w:rPr>
          <w:rFonts w:cs="Times New Roman"/>
        </w:rPr>
        <w:t>Bhawani</w:t>
      </w:r>
      <w:proofErr w:type="spellEnd"/>
      <w:r w:rsidR="00153585" w:rsidRPr="00C50026">
        <w:rPr>
          <w:rFonts w:cs="Times New Roman"/>
        </w:rPr>
        <w:t xml:space="preserve"> Devi,</w:t>
      </w:r>
      <w:r w:rsidR="00153585" w:rsidRPr="00C50026">
        <w:t xml:space="preserve"> was gang raped</w:t>
      </w:r>
      <w:r w:rsidR="00153585">
        <w:t xml:space="preserve"> and the court found the perpetrators guilty of sexual harassment</w:t>
      </w:r>
      <w:r w:rsidR="00153585" w:rsidRPr="00C50026">
        <w:rPr>
          <w:rStyle w:val="FootnoteReference"/>
        </w:rPr>
        <w:footnoteReference w:id="39"/>
      </w:r>
      <w:r w:rsidR="00153585" w:rsidRPr="00C50026">
        <w:t xml:space="preserve">. </w:t>
      </w:r>
      <w:r w:rsidR="00DB1122">
        <w:t xml:space="preserve"> </w:t>
      </w:r>
      <w:r w:rsidR="0027630E">
        <w:rPr>
          <w:rFonts w:cs="Times New Roman"/>
        </w:rPr>
        <w:t xml:space="preserve">In </w:t>
      </w:r>
      <w:r w:rsidR="0027630E">
        <w:t>the aftermath of the</w:t>
      </w:r>
      <w:r w:rsidR="0027630E" w:rsidRPr="00C50026">
        <w:t xml:space="preserve"> </w:t>
      </w:r>
      <w:proofErr w:type="spellStart"/>
      <w:r w:rsidR="0027630E" w:rsidRPr="00C50026">
        <w:rPr>
          <w:rFonts w:cs="Times New Roman"/>
        </w:rPr>
        <w:t>Bhawani</w:t>
      </w:r>
      <w:proofErr w:type="spellEnd"/>
      <w:r w:rsidR="0027630E" w:rsidRPr="00C50026">
        <w:rPr>
          <w:rFonts w:cs="Times New Roman"/>
        </w:rPr>
        <w:t xml:space="preserve"> Devi</w:t>
      </w:r>
      <w:r w:rsidR="0027630E">
        <w:rPr>
          <w:rFonts w:cs="Times New Roman"/>
        </w:rPr>
        <w:t xml:space="preserve"> </w:t>
      </w:r>
      <w:r w:rsidR="0027630E" w:rsidRPr="00C50026">
        <w:t>gang rape</w:t>
      </w:r>
      <w:r w:rsidR="0027630E">
        <w:t xml:space="preserve"> case,</w:t>
      </w:r>
      <w:r w:rsidR="0027630E" w:rsidRPr="00C50026">
        <w:t xml:space="preserve"> </w:t>
      </w:r>
      <w:r w:rsidR="0027630E" w:rsidRPr="00C50026">
        <w:rPr>
          <w:rFonts w:cs="Times New Roman"/>
        </w:rPr>
        <w:t xml:space="preserve">NGO’s filed a class action to demand suitable methods for prevention of sexual harassment of working women in all work places through judicial process, to fill the vacuum in existing legislation. The result was the Supreme Court </w:t>
      </w:r>
      <w:proofErr w:type="spellStart"/>
      <w:r w:rsidR="0027630E" w:rsidRPr="00C50026">
        <w:rPr>
          <w:rFonts w:cs="Times New Roman"/>
        </w:rPr>
        <w:t>Vishakha</w:t>
      </w:r>
      <w:proofErr w:type="spellEnd"/>
      <w:r w:rsidR="0027630E" w:rsidRPr="00C50026">
        <w:rPr>
          <w:rFonts w:cs="Times New Roman"/>
        </w:rPr>
        <w:t xml:space="preserve"> Guidelines. According to these guidelines the employer has to prevent the acts of sexual harassment, to provide for resolution, settlement or prosecution of acts of sexual harassment, and to take appropriate disciplinary action.</w:t>
      </w:r>
      <w:r w:rsidR="0027630E" w:rsidRPr="00C50026">
        <w:rPr>
          <w:rStyle w:val="FootnoteReference"/>
          <w:rFonts w:cs="Times New Roman"/>
        </w:rPr>
        <w:footnoteReference w:id="40"/>
      </w:r>
      <w:r w:rsidR="0027630E" w:rsidRPr="00C50026">
        <w:rPr>
          <w:rFonts w:cs="Times New Roman"/>
        </w:rPr>
        <w:t xml:space="preserve"> </w:t>
      </w:r>
    </w:p>
    <w:p w:rsidR="0027630E" w:rsidRDefault="0027630E" w:rsidP="0027630E">
      <w:pPr>
        <w:pStyle w:val="ListParagraph"/>
        <w:autoSpaceDE w:val="0"/>
        <w:autoSpaceDN w:val="0"/>
        <w:bidi w:val="0"/>
        <w:adjustRightInd w:val="0"/>
        <w:spacing w:after="0"/>
        <w:ind w:left="0"/>
        <w:jc w:val="both"/>
      </w:pPr>
    </w:p>
    <w:p w:rsidR="00DB1122" w:rsidRDefault="0055118A" w:rsidP="0027630E">
      <w:pPr>
        <w:pStyle w:val="ListParagraph"/>
        <w:autoSpaceDE w:val="0"/>
        <w:autoSpaceDN w:val="0"/>
        <w:bidi w:val="0"/>
        <w:adjustRightInd w:val="0"/>
        <w:spacing w:after="0"/>
        <w:ind w:left="0"/>
        <w:jc w:val="both"/>
      </w:pPr>
      <w:r>
        <w:t xml:space="preserve">It is important to recognize the fact that </w:t>
      </w:r>
      <w:r w:rsidR="00C6233B">
        <w:t xml:space="preserve">the general </w:t>
      </w:r>
      <w:r>
        <w:t xml:space="preserve">criminal prohibition of sexual violence should extend into all areas where it is perpetrated and so no special legal regulation </w:t>
      </w:r>
      <w:r w:rsidR="00C6233B">
        <w:t>should be required</w:t>
      </w:r>
      <w:r>
        <w:t xml:space="preserve"> </w:t>
      </w:r>
      <w:r w:rsidR="00C6233B">
        <w:t xml:space="preserve">in order </w:t>
      </w:r>
      <w:r>
        <w:t>to apply the prohibition</w:t>
      </w:r>
      <w:r w:rsidR="00C6233B">
        <w:t xml:space="preserve"> and prosecute the offence</w:t>
      </w:r>
      <w:r>
        <w:t xml:space="preserve"> in </w:t>
      </w:r>
      <w:r w:rsidR="00C6233B">
        <w:t>the workplace or in other social-economic institutions.</w:t>
      </w:r>
      <w:r>
        <w:t xml:space="preserve"> </w:t>
      </w:r>
      <w:r w:rsidR="00C6233B">
        <w:t>The offence of s</w:t>
      </w:r>
      <w:r>
        <w:t xml:space="preserve">exual harassment </w:t>
      </w:r>
      <w:r w:rsidR="00C6233B">
        <w:t>adds an additional category of prohibition</w:t>
      </w:r>
      <w:r w:rsidR="00B3236A">
        <w:t>,</w:t>
      </w:r>
      <w:r w:rsidR="00C6233B">
        <w:t xml:space="preserve"> </w:t>
      </w:r>
      <w:r w:rsidR="00B3236A">
        <w:t>beyond</w:t>
      </w:r>
      <w:r w:rsidR="00C6233B">
        <w:t xml:space="preserve"> the criminal offences of rape and indecent acts, outlawing</w:t>
      </w:r>
      <w:r w:rsidR="00B3236A">
        <w:t xml:space="preserve"> kinds of behavior which are more widely defined</w:t>
      </w:r>
      <w:r w:rsidR="00C6233B">
        <w:t xml:space="preserve"> </w:t>
      </w:r>
      <w:r w:rsidR="00B3236A">
        <w:t xml:space="preserve">as offences </w:t>
      </w:r>
      <w:r w:rsidR="00C6233B">
        <w:t xml:space="preserve">in </w:t>
      </w:r>
      <w:r w:rsidR="00B3236A">
        <w:t xml:space="preserve">the institutional context in </w:t>
      </w:r>
      <w:r w:rsidR="00C6233B">
        <w:t>which they occur.</w:t>
      </w:r>
      <w:r w:rsidR="00B3236A">
        <w:t xml:space="preserve"> Prohibition of these kinds of behavior is aimed to prevent abuse of power to obtain sexual benefits from those who are subject to authority in the socio-economic hierarchy.</w:t>
      </w:r>
      <w:r w:rsidR="0027630E">
        <w:t xml:space="preserve"> It may also add requirements for disciplinary measures by the employer to prevent and punish violence which occurs in the workplace. These context specific measures should not detract from the full force of the criminal procedure and punishment for </w:t>
      </w:r>
      <w:r w:rsidR="00B30EA0">
        <w:t>VAW/GBV</w:t>
      </w:r>
      <w:r w:rsidR="0027630E">
        <w:t>.</w:t>
      </w:r>
    </w:p>
    <w:p w:rsidR="00DB1122" w:rsidRDefault="00DB1122" w:rsidP="00DB1122">
      <w:pPr>
        <w:pStyle w:val="ListParagraph"/>
        <w:autoSpaceDE w:val="0"/>
        <w:autoSpaceDN w:val="0"/>
        <w:bidi w:val="0"/>
        <w:adjustRightInd w:val="0"/>
        <w:spacing w:after="0"/>
        <w:ind w:left="0"/>
        <w:jc w:val="both"/>
      </w:pPr>
    </w:p>
    <w:p w:rsidR="0055118A" w:rsidRPr="00C50026" w:rsidRDefault="00B3236A" w:rsidP="00896B43">
      <w:pPr>
        <w:pStyle w:val="ListParagraph"/>
        <w:bidi w:val="0"/>
        <w:ind w:left="0"/>
        <w:jc w:val="both"/>
        <w:rPr>
          <w:rFonts w:cstheme="majorBidi"/>
        </w:rPr>
      </w:pPr>
      <w:r>
        <w:rPr>
          <w:rFonts w:cstheme="majorBidi"/>
        </w:rPr>
        <w:t>The</w:t>
      </w:r>
      <w:r w:rsidR="0055118A" w:rsidRPr="00C50026">
        <w:rPr>
          <w:rFonts w:cstheme="majorBidi"/>
        </w:rPr>
        <w:t xml:space="preserve"> CEDAW Committee addressed </w:t>
      </w:r>
      <w:r w:rsidR="00B30EA0">
        <w:rPr>
          <w:rFonts w:cstheme="majorBidi"/>
        </w:rPr>
        <w:t>VAW/GBV</w:t>
      </w:r>
      <w:r w:rsidR="0055118A">
        <w:rPr>
          <w:rFonts w:cstheme="majorBidi"/>
        </w:rPr>
        <w:t xml:space="preserve"> in the context of employment </w:t>
      </w:r>
      <w:r>
        <w:rPr>
          <w:rFonts w:cstheme="majorBidi"/>
        </w:rPr>
        <w:t>in</w:t>
      </w:r>
      <w:r w:rsidR="0055118A" w:rsidRPr="00C50026">
        <w:rPr>
          <w:rFonts w:cstheme="majorBidi"/>
        </w:rPr>
        <w:t xml:space="preserve"> the case of </w:t>
      </w:r>
      <w:proofErr w:type="spellStart"/>
      <w:r w:rsidR="0055118A" w:rsidRPr="00C50026">
        <w:rPr>
          <w:rFonts w:cstheme="majorBidi"/>
          <w:i/>
          <w:iCs/>
        </w:rPr>
        <w:t>Vertido</w:t>
      </w:r>
      <w:proofErr w:type="spellEnd"/>
      <w:r w:rsidR="0055118A" w:rsidRPr="00C50026">
        <w:rPr>
          <w:rFonts w:cstheme="majorBidi"/>
          <w:i/>
          <w:iCs/>
        </w:rPr>
        <w:t xml:space="preserve"> v</w:t>
      </w:r>
      <w:r w:rsidR="0055118A">
        <w:rPr>
          <w:rFonts w:cstheme="majorBidi"/>
          <w:i/>
          <w:iCs/>
        </w:rPr>
        <w:t>.</w:t>
      </w:r>
      <w:r w:rsidR="0055118A" w:rsidRPr="00C50026">
        <w:rPr>
          <w:rFonts w:cstheme="majorBidi"/>
          <w:i/>
          <w:iCs/>
        </w:rPr>
        <w:t xml:space="preserve"> </w:t>
      </w:r>
      <w:proofErr w:type="gramStart"/>
      <w:r w:rsidR="0055118A" w:rsidRPr="00C50026">
        <w:rPr>
          <w:rFonts w:cstheme="majorBidi"/>
          <w:i/>
          <w:iCs/>
        </w:rPr>
        <w:t>The Philippines</w:t>
      </w:r>
      <w:r w:rsidR="0055118A">
        <w:rPr>
          <w:rFonts w:cstheme="majorBidi"/>
        </w:rPr>
        <w:t xml:space="preserve"> in</w:t>
      </w:r>
      <w:r w:rsidR="0055118A" w:rsidRPr="00C50026">
        <w:rPr>
          <w:rFonts w:cstheme="majorBidi"/>
        </w:rPr>
        <w:t xml:space="preserve"> 1996</w:t>
      </w:r>
      <w:r w:rsidR="00095FD6">
        <w:rPr>
          <w:rFonts w:cstheme="majorBidi"/>
        </w:rPr>
        <w:t>.</w:t>
      </w:r>
      <w:proofErr w:type="gramEnd"/>
      <w:r w:rsidR="0055118A" w:rsidRPr="00C50026">
        <w:rPr>
          <w:rStyle w:val="FootnoteReference"/>
          <w:rFonts w:cstheme="majorBidi"/>
        </w:rPr>
        <w:footnoteReference w:id="41"/>
      </w:r>
      <w:r w:rsidR="0055118A" w:rsidRPr="00C50026">
        <w:rPr>
          <w:rFonts w:cstheme="majorBidi"/>
        </w:rPr>
        <w:t xml:space="preserve"> Karen </w:t>
      </w:r>
      <w:proofErr w:type="spellStart"/>
      <w:r w:rsidR="0055118A" w:rsidRPr="00C50026">
        <w:rPr>
          <w:rFonts w:cstheme="majorBidi"/>
        </w:rPr>
        <w:t>Tayag</w:t>
      </w:r>
      <w:proofErr w:type="spellEnd"/>
      <w:r w:rsidR="0055118A" w:rsidRPr="00C50026">
        <w:rPr>
          <w:rFonts w:cstheme="majorBidi"/>
        </w:rPr>
        <w:t xml:space="preserve"> </w:t>
      </w:r>
      <w:proofErr w:type="spellStart"/>
      <w:r w:rsidR="0055118A" w:rsidRPr="00C50026">
        <w:rPr>
          <w:rFonts w:cstheme="majorBidi"/>
        </w:rPr>
        <w:t>Vertido</w:t>
      </w:r>
      <w:proofErr w:type="spellEnd"/>
      <w:r w:rsidR="0055118A" w:rsidRPr="00C50026">
        <w:rPr>
          <w:rFonts w:cstheme="majorBidi"/>
        </w:rPr>
        <w:t xml:space="preserve"> worked as </w:t>
      </w:r>
      <w:r w:rsidR="0055118A">
        <w:rPr>
          <w:rFonts w:cstheme="majorBidi"/>
        </w:rPr>
        <w:t xml:space="preserve">the </w:t>
      </w:r>
      <w:r w:rsidR="0055118A" w:rsidRPr="00C50026">
        <w:rPr>
          <w:rFonts w:cstheme="majorBidi"/>
        </w:rPr>
        <w:t xml:space="preserve">Executive Director of the Davao City Chamber of Commerce and Industry in the Philippines.  She </w:t>
      </w:r>
      <w:r w:rsidR="00855491">
        <w:rPr>
          <w:rFonts w:cstheme="majorBidi"/>
        </w:rPr>
        <w:t>alleged that</w:t>
      </w:r>
      <w:r w:rsidR="0055118A" w:rsidRPr="00C50026">
        <w:rPr>
          <w:rFonts w:cstheme="majorBidi"/>
        </w:rPr>
        <w:t xml:space="preserve"> the President of the Chamber</w:t>
      </w:r>
      <w:r w:rsidR="00855491">
        <w:rPr>
          <w:rFonts w:cstheme="majorBidi"/>
        </w:rPr>
        <w:t xml:space="preserve"> had raped </w:t>
      </w:r>
      <w:r>
        <w:rPr>
          <w:rFonts w:cstheme="majorBidi"/>
        </w:rPr>
        <w:t xml:space="preserve">her when </w:t>
      </w:r>
      <w:r w:rsidR="00855491">
        <w:rPr>
          <w:rFonts w:cstheme="majorBidi"/>
        </w:rPr>
        <w:t xml:space="preserve">she accepted his offer of </w:t>
      </w:r>
      <w:r w:rsidR="0055118A" w:rsidRPr="00C50026">
        <w:rPr>
          <w:rFonts w:cstheme="majorBidi"/>
        </w:rPr>
        <w:t>a lift home following a business meeting</w:t>
      </w:r>
      <w:r w:rsidR="00855491">
        <w:rPr>
          <w:rFonts w:cstheme="majorBidi"/>
        </w:rPr>
        <w:t xml:space="preserve"> in the evening</w:t>
      </w:r>
      <w:r w:rsidR="0055118A" w:rsidRPr="00C50026">
        <w:rPr>
          <w:rFonts w:cstheme="majorBidi"/>
        </w:rPr>
        <w:t xml:space="preserve">.  </w:t>
      </w:r>
      <w:r w:rsidR="00855491">
        <w:rPr>
          <w:rFonts w:cstheme="majorBidi"/>
        </w:rPr>
        <w:t xml:space="preserve">The Philippines Court acquitted. </w:t>
      </w:r>
      <w:r w:rsidR="00A05AFC">
        <w:rPr>
          <w:rFonts w:cstheme="majorBidi"/>
        </w:rPr>
        <w:t xml:space="preserve"> </w:t>
      </w:r>
      <w:r w:rsidR="00C237F8" w:rsidRPr="00C237F8">
        <w:rPr>
          <w:rFonts w:cstheme="majorBidi"/>
        </w:rPr>
        <w:t>Ms</w:t>
      </w:r>
      <w:r w:rsidR="00C237F8" w:rsidRPr="00A05AFC">
        <w:rPr>
          <w:rFonts w:cstheme="majorBidi"/>
        </w:rPr>
        <w:t>.</w:t>
      </w:r>
      <w:r w:rsidR="00C237F8" w:rsidRPr="00C237F8">
        <w:rPr>
          <w:rFonts w:cstheme="majorBidi"/>
        </w:rPr>
        <w:t xml:space="preserve"> </w:t>
      </w:r>
      <w:proofErr w:type="spellStart"/>
      <w:r w:rsidR="00C237F8" w:rsidRPr="00C237F8">
        <w:rPr>
          <w:rFonts w:cstheme="majorBidi"/>
        </w:rPr>
        <w:t>Vertido</w:t>
      </w:r>
      <w:proofErr w:type="spellEnd"/>
      <w:r w:rsidR="00C237F8" w:rsidRPr="00C237F8">
        <w:rPr>
          <w:rFonts w:cstheme="majorBidi"/>
        </w:rPr>
        <w:t xml:space="preserve"> submitted a communication to the </w:t>
      </w:r>
      <w:r w:rsidR="00C237F8" w:rsidRPr="00A05AFC">
        <w:rPr>
          <w:rFonts w:cstheme="majorBidi"/>
        </w:rPr>
        <w:t xml:space="preserve">CEDAW </w:t>
      </w:r>
      <w:r w:rsidR="00C237F8" w:rsidRPr="00C237F8">
        <w:rPr>
          <w:rFonts w:cstheme="majorBidi"/>
        </w:rPr>
        <w:t>Committee</w:t>
      </w:r>
      <w:r w:rsidR="00ED209C">
        <w:rPr>
          <w:rStyle w:val="FootnoteReference"/>
          <w:rFonts w:cstheme="majorBidi"/>
        </w:rPr>
        <w:footnoteReference w:id="42"/>
      </w:r>
      <w:r w:rsidR="00C237F8" w:rsidRPr="00A05AFC">
        <w:rPr>
          <w:rFonts w:cstheme="majorBidi"/>
        </w:rPr>
        <w:t xml:space="preserve">, alleging </w:t>
      </w:r>
      <w:r w:rsidR="00C237F8" w:rsidRPr="00C237F8">
        <w:rPr>
          <w:rFonts w:cstheme="majorBidi"/>
        </w:rPr>
        <w:t xml:space="preserve">that </w:t>
      </w:r>
      <w:r w:rsidR="00A05AFC" w:rsidRPr="00A05AFC">
        <w:rPr>
          <w:rFonts w:cstheme="majorBidi"/>
        </w:rPr>
        <w:t>the court decision "was</w:t>
      </w:r>
      <w:r w:rsidR="00A05AFC" w:rsidRPr="00A05AFC">
        <w:rPr>
          <w:rFonts w:ascii="Georgia" w:eastAsia="Times New Roman" w:hAnsi="Georgia" w:cs="Times New Roman"/>
          <w:color w:val="000000"/>
          <w:sz w:val="18"/>
          <w:szCs w:val="18"/>
        </w:rPr>
        <w:t xml:space="preserve"> </w:t>
      </w:r>
      <w:r w:rsidR="00A05AFC" w:rsidRPr="00A05AFC">
        <w:rPr>
          <w:rFonts w:cstheme="majorBidi"/>
        </w:rPr>
        <w:t>grounded in gender-based myths and misconceptions about rape and rape victims", without which the accused would have been convicted</w:t>
      </w:r>
      <w:r w:rsidR="00A05AFC">
        <w:rPr>
          <w:rStyle w:val="FootnoteReference"/>
          <w:rFonts w:cstheme="majorBidi"/>
        </w:rPr>
        <w:footnoteReference w:id="43"/>
      </w:r>
      <w:r w:rsidR="00A05AFC" w:rsidRPr="00A05AFC">
        <w:rPr>
          <w:rFonts w:cstheme="majorBidi"/>
        </w:rPr>
        <w:t xml:space="preserve">. </w:t>
      </w:r>
      <w:r w:rsidR="0055118A" w:rsidRPr="00C50026">
        <w:rPr>
          <w:rFonts w:cstheme="majorBidi"/>
        </w:rPr>
        <w:t xml:space="preserve">The Committee regarded the national court’s grounds for acquittal of the crime of rape as incorporating "references to stereotypes about male and female sexuality and as being more supportive of the credibility of the </w:t>
      </w:r>
      <w:r w:rsidR="0055118A" w:rsidRPr="00C50026">
        <w:rPr>
          <w:rFonts w:cstheme="majorBidi"/>
        </w:rPr>
        <w:lastRenderedPageBreak/>
        <w:t>alleged perpetrator than for the creditability of the victim"</w:t>
      </w:r>
      <w:r w:rsidR="00095FD6">
        <w:rPr>
          <w:rFonts w:cstheme="majorBidi"/>
        </w:rPr>
        <w:t>.</w:t>
      </w:r>
      <w:r w:rsidR="0055118A" w:rsidRPr="00C50026">
        <w:rPr>
          <w:rStyle w:val="FootnoteReference"/>
          <w:rFonts w:cstheme="majorBidi"/>
        </w:rPr>
        <w:footnoteReference w:id="44"/>
      </w:r>
      <w:r w:rsidR="0055118A" w:rsidRPr="00C50026">
        <w:rPr>
          <w:rFonts w:cstheme="majorBidi"/>
        </w:rPr>
        <w:t xml:space="preserve"> The committee "clarified that rape is to be understood as violating a women's right to 'personal security and bodily integrity'", and "recommended a legislative definition of rape that places 'the lack of consent at its </w:t>
      </w:r>
      <w:proofErr w:type="spellStart"/>
      <w:r w:rsidR="0055118A" w:rsidRPr="00C50026">
        <w:rPr>
          <w:rFonts w:cstheme="majorBidi"/>
        </w:rPr>
        <w:t>centre</w:t>
      </w:r>
      <w:proofErr w:type="spellEnd"/>
      <w:r w:rsidR="0055118A" w:rsidRPr="00C50026">
        <w:rPr>
          <w:rFonts w:cstheme="majorBidi"/>
        </w:rPr>
        <w:t>' and removes requirements that sexual assault be</w:t>
      </w:r>
      <w:r w:rsidR="00095FD6">
        <w:rPr>
          <w:rFonts w:cstheme="majorBidi"/>
        </w:rPr>
        <w:t xml:space="preserve"> committed by force or violence</w:t>
      </w:r>
      <w:r w:rsidR="00855491">
        <w:rPr>
          <w:rFonts w:cstheme="majorBidi"/>
        </w:rPr>
        <w:t>…</w:t>
      </w:r>
      <w:r w:rsidR="0055118A" w:rsidRPr="00C50026">
        <w:rPr>
          <w:rFonts w:cstheme="majorBidi"/>
        </w:rPr>
        <w:t>".</w:t>
      </w:r>
      <w:r w:rsidR="0055118A" w:rsidRPr="00C50026">
        <w:rPr>
          <w:rStyle w:val="FootnoteReference"/>
          <w:rFonts w:cstheme="majorBidi"/>
        </w:rPr>
        <w:footnoteReference w:id="45"/>
      </w:r>
      <w:r w:rsidR="0055118A" w:rsidRPr="00C50026">
        <w:rPr>
          <w:rFonts w:cstheme="majorBidi"/>
        </w:rPr>
        <w:t xml:space="preserve"> It called for the government to pay compensation to the author and take measures</w:t>
      </w:r>
      <w:r w:rsidR="00BD73AE">
        <w:rPr>
          <w:rFonts w:cstheme="majorBidi"/>
        </w:rPr>
        <w:t xml:space="preserve"> to ensure effective and </w:t>
      </w:r>
      <w:r w:rsidR="00BD73AE" w:rsidRPr="00BD73AE">
        <w:rPr>
          <w:rFonts w:cstheme="majorBidi"/>
        </w:rPr>
        <w:t>impartial</w:t>
      </w:r>
      <w:r w:rsidR="00BD73AE">
        <w:rPr>
          <w:rFonts w:cstheme="majorBidi"/>
        </w:rPr>
        <w:t xml:space="preserve"> legal procedures regarding rape</w:t>
      </w:r>
      <w:r w:rsidR="0055118A" w:rsidRPr="00C50026">
        <w:rPr>
          <w:rFonts w:cstheme="majorBidi"/>
        </w:rPr>
        <w:t xml:space="preserve">. </w:t>
      </w:r>
      <w:r w:rsidR="00896B43">
        <w:rPr>
          <w:rFonts w:cstheme="majorBidi"/>
        </w:rPr>
        <w:t xml:space="preserve">It should be noted, that </w:t>
      </w:r>
      <w:r w:rsidR="00896B43" w:rsidRPr="00896B43">
        <w:rPr>
          <w:rFonts w:cstheme="majorBidi"/>
        </w:rPr>
        <w:t xml:space="preserve">although </w:t>
      </w:r>
      <w:r w:rsidR="00896B43">
        <w:rPr>
          <w:rFonts w:cstheme="majorBidi"/>
        </w:rPr>
        <w:t xml:space="preserve">the focus of this case was </w:t>
      </w:r>
      <w:r w:rsidR="00896B43" w:rsidRPr="00896B43">
        <w:rPr>
          <w:rFonts w:cstheme="majorBidi"/>
        </w:rPr>
        <w:t>gender stereot</w:t>
      </w:r>
      <w:r w:rsidR="00896B43">
        <w:rPr>
          <w:rFonts w:cstheme="majorBidi"/>
        </w:rPr>
        <w:t>yping in rape trial a</w:t>
      </w:r>
      <w:r w:rsidR="00501E92">
        <w:rPr>
          <w:rFonts w:cstheme="majorBidi"/>
        </w:rPr>
        <w:t>s a</w:t>
      </w:r>
      <w:r w:rsidR="00896B43">
        <w:rPr>
          <w:rFonts w:cstheme="majorBidi"/>
        </w:rPr>
        <w:t xml:space="preserve"> violation </w:t>
      </w:r>
      <w:r w:rsidR="00896B43" w:rsidRPr="00896B43">
        <w:rPr>
          <w:rFonts w:cstheme="majorBidi"/>
        </w:rPr>
        <w:t>of CEDAW</w:t>
      </w:r>
      <w:r w:rsidR="00896B43">
        <w:rPr>
          <w:rFonts w:cstheme="majorBidi"/>
        </w:rPr>
        <w:t xml:space="preserve">, </w:t>
      </w:r>
      <w:r w:rsidR="00896B43" w:rsidRPr="00896B43">
        <w:rPr>
          <w:rFonts w:cstheme="majorBidi"/>
        </w:rPr>
        <w:t>this case was in a workplace context</w:t>
      </w:r>
      <w:r w:rsidR="00896B43">
        <w:rPr>
          <w:rFonts w:cstheme="majorBidi"/>
        </w:rPr>
        <w:t xml:space="preserve">. </w:t>
      </w:r>
    </w:p>
    <w:p w:rsidR="0055118A" w:rsidRPr="00896B43" w:rsidRDefault="0055118A" w:rsidP="00896B43">
      <w:pPr>
        <w:pStyle w:val="ListParagraph"/>
        <w:bidi w:val="0"/>
        <w:ind w:left="0"/>
        <w:jc w:val="both"/>
        <w:rPr>
          <w:rFonts w:cstheme="majorBidi"/>
        </w:rPr>
      </w:pPr>
    </w:p>
    <w:p w:rsidR="00DB1122" w:rsidRPr="00F000BF" w:rsidRDefault="00B3236A" w:rsidP="00B80563">
      <w:pPr>
        <w:pStyle w:val="ListParagraph"/>
        <w:autoSpaceDE w:val="0"/>
        <w:autoSpaceDN w:val="0"/>
        <w:bidi w:val="0"/>
        <w:adjustRightInd w:val="0"/>
        <w:spacing w:after="0"/>
        <w:ind w:left="0"/>
        <w:jc w:val="both"/>
        <w:rPr>
          <w:rtl/>
        </w:rPr>
      </w:pPr>
      <w:r>
        <w:t>Legislation</w:t>
      </w:r>
      <w:r w:rsidRPr="00C50026">
        <w:t xml:space="preserve"> </w:t>
      </w:r>
      <w:r>
        <w:t>prohibiting</w:t>
      </w:r>
      <w:r w:rsidRPr="00C50026">
        <w:t xml:space="preserve"> </w:t>
      </w:r>
      <w:r>
        <w:t>sexual harassment</w:t>
      </w:r>
      <w:r w:rsidRPr="00C50026">
        <w:t xml:space="preserve"> has generally focused on preventing sexual harassment in the workplace. The development of </w:t>
      </w:r>
      <w:r>
        <w:t xml:space="preserve">legal prohibition of </w:t>
      </w:r>
      <w:r w:rsidRPr="00C50026">
        <w:t xml:space="preserve">sexual harassment in the workplace can serve as a model for the </w:t>
      </w:r>
      <w:r>
        <w:t>prohibition</w:t>
      </w:r>
      <w:r w:rsidRPr="00C50026">
        <w:t xml:space="preserve"> of </w:t>
      </w:r>
      <w:r w:rsidR="00855491">
        <w:t>sexual harassment</w:t>
      </w:r>
      <w:r w:rsidRPr="00C50026">
        <w:t xml:space="preserve"> in </w:t>
      </w:r>
      <w:r>
        <w:t xml:space="preserve">other </w:t>
      </w:r>
      <w:r w:rsidRPr="00C50026">
        <w:t>socio-economic institut</w:t>
      </w:r>
      <w:r>
        <w:t>ion</w:t>
      </w:r>
      <w:r w:rsidRPr="00C50026">
        <w:t xml:space="preserve">s </w:t>
      </w:r>
      <w:r>
        <w:t>and</w:t>
      </w:r>
      <w:r w:rsidRPr="00C50026">
        <w:t xml:space="preserve"> in the community, </w:t>
      </w:r>
      <w:r>
        <w:t xml:space="preserve">particularly </w:t>
      </w:r>
      <w:r w:rsidRPr="00855491">
        <w:t xml:space="preserve">educational and service institutions, where similar measures are required. </w:t>
      </w:r>
      <w:r w:rsidR="00855491" w:rsidRPr="00855491">
        <w:t>T</w:t>
      </w:r>
      <w:r w:rsidR="00257442" w:rsidRPr="00855491">
        <w:t>he devel</w:t>
      </w:r>
      <w:r w:rsidR="00855491" w:rsidRPr="00855491">
        <w:t>opment of the</w:t>
      </w:r>
      <w:r w:rsidR="00960CC8" w:rsidRPr="00855491">
        <w:t xml:space="preserve"> </w:t>
      </w:r>
      <w:r w:rsidR="00257442" w:rsidRPr="00855491">
        <w:t xml:space="preserve">conceptual framework of </w:t>
      </w:r>
      <w:r w:rsidR="00960CC8" w:rsidRPr="00855491">
        <w:t xml:space="preserve">sexual harassment as </w:t>
      </w:r>
      <w:r w:rsidR="00855491" w:rsidRPr="00855491">
        <w:t xml:space="preserve">being not only </w:t>
      </w:r>
      <w:r w:rsidR="00960CC8" w:rsidRPr="00855491">
        <w:t>discrimination against women</w:t>
      </w:r>
      <w:r w:rsidR="00855491" w:rsidRPr="00855491">
        <w:t xml:space="preserve"> and girls but also a violation of their human </w:t>
      </w:r>
      <w:r w:rsidR="00855491" w:rsidRPr="00095FD6">
        <w:rPr>
          <w:b/>
          <w:bCs/>
        </w:rPr>
        <w:t>dignity</w:t>
      </w:r>
      <w:r w:rsidR="00855491" w:rsidRPr="00855491">
        <w:t xml:space="preserve">, </w:t>
      </w:r>
      <w:r w:rsidR="00960CC8" w:rsidRPr="00855491">
        <w:t>allow</w:t>
      </w:r>
      <w:r w:rsidR="00855491" w:rsidRPr="00855491">
        <w:t>s</w:t>
      </w:r>
      <w:r w:rsidR="00960CC8" w:rsidRPr="00855491">
        <w:t xml:space="preserve"> a broader application of sexual harassment not only in the workplace, but in other public non-workplace settings</w:t>
      </w:r>
      <w:r w:rsidR="00855491">
        <w:t xml:space="preserve"> in which discrimination </w:t>
      </w:r>
      <w:r w:rsidR="007F2E07">
        <w:t>may not found an appropriate cause of action</w:t>
      </w:r>
      <w:r w:rsidR="00960CC8" w:rsidRPr="00C50026">
        <w:t>.</w:t>
      </w:r>
      <w:r w:rsidR="00960CC8" w:rsidRPr="00C50026">
        <w:rPr>
          <w:rStyle w:val="FootnoteReference"/>
        </w:rPr>
        <w:footnoteReference w:id="46"/>
      </w:r>
    </w:p>
    <w:p w:rsidR="00853311" w:rsidRPr="00C50026" w:rsidRDefault="00853311" w:rsidP="000A6797">
      <w:pPr>
        <w:pStyle w:val="ListParagraph"/>
        <w:autoSpaceDE w:val="0"/>
        <w:autoSpaceDN w:val="0"/>
        <w:bidi w:val="0"/>
        <w:adjustRightInd w:val="0"/>
        <w:spacing w:after="0"/>
        <w:ind w:left="0"/>
        <w:jc w:val="both"/>
      </w:pPr>
    </w:p>
    <w:p w:rsidR="00853311" w:rsidRPr="00C50026" w:rsidRDefault="002D3A8F" w:rsidP="00C50026">
      <w:pPr>
        <w:pStyle w:val="ListParagraph"/>
        <w:numPr>
          <w:ilvl w:val="0"/>
          <w:numId w:val="29"/>
        </w:numPr>
        <w:bidi w:val="0"/>
        <w:jc w:val="both"/>
        <w:rPr>
          <w:b/>
          <w:bCs/>
          <w:i/>
          <w:iCs/>
        </w:rPr>
      </w:pPr>
      <w:r w:rsidRPr="00C50026">
        <w:rPr>
          <w:b/>
          <w:bCs/>
          <w:i/>
          <w:iCs/>
        </w:rPr>
        <w:t xml:space="preserve">The </w:t>
      </w:r>
      <w:r w:rsidR="009E65E8" w:rsidRPr="00C50026">
        <w:rPr>
          <w:b/>
          <w:bCs/>
          <w:i/>
          <w:iCs/>
        </w:rPr>
        <w:t xml:space="preserve">Workplace  </w:t>
      </w:r>
    </w:p>
    <w:p w:rsidR="00153585" w:rsidRPr="00C50026" w:rsidRDefault="007F2E07" w:rsidP="00095FD6">
      <w:pPr>
        <w:autoSpaceDE w:val="0"/>
        <w:autoSpaceDN w:val="0"/>
        <w:bidi w:val="0"/>
        <w:adjustRightInd w:val="0"/>
        <w:spacing w:after="0"/>
        <w:jc w:val="both"/>
        <w:rPr>
          <w:rFonts w:cs="Times New Roman"/>
        </w:rPr>
      </w:pPr>
      <w:r>
        <w:rPr>
          <w:color w:val="000000"/>
        </w:rPr>
        <w:t>Sexual harassment in the</w:t>
      </w:r>
      <w:r w:rsidR="0019646B" w:rsidRPr="00C50026">
        <w:rPr>
          <w:color w:val="000000"/>
        </w:rPr>
        <w:t xml:space="preserve"> </w:t>
      </w:r>
      <w:r w:rsidR="00D96ACE" w:rsidRPr="00C50026">
        <w:rPr>
          <w:color w:val="000000"/>
        </w:rPr>
        <w:t xml:space="preserve">workplace </w:t>
      </w:r>
      <w:r>
        <w:rPr>
          <w:color w:val="000000"/>
        </w:rPr>
        <w:t xml:space="preserve">was </w:t>
      </w:r>
      <w:r w:rsidR="0019646B" w:rsidRPr="00C50026">
        <w:rPr>
          <w:color w:val="000000"/>
        </w:rPr>
        <w:t xml:space="preserve">only </w:t>
      </w:r>
      <w:r w:rsidR="00D96ACE" w:rsidRPr="00C50026">
        <w:rPr>
          <w:color w:val="000000"/>
        </w:rPr>
        <w:t>given a name</w:t>
      </w:r>
      <w:r>
        <w:rPr>
          <w:color w:val="000000"/>
        </w:rPr>
        <w:t xml:space="preserve"> and</w:t>
      </w:r>
      <w:r w:rsidR="0019646B" w:rsidRPr="00C50026">
        <w:rPr>
          <w:color w:val="000000"/>
        </w:rPr>
        <w:t xml:space="preserve"> </w:t>
      </w:r>
      <w:r>
        <w:rPr>
          <w:color w:val="000000"/>
        </w:rPr>
        <w:t>prohibited</w:t>
      </w:r>
      <w:r w:rsidR="0019646B" w:rsidRPr="00C50026">
        <w:rPr>
          <w:color w:val="000000"/>
        </w:rPr>
        <w:t xml:space="preserve"> as </w:t>
      </w:r>
      <w:r>
        <w:rPr>
          <w:color w:val="000000"/>
        </w:rPr>
        <w:t xml:space="preserve">employment </w:t>
      </w:r>
      <w:r w:rsidR="0019646B" w:rsidRPr="00C50026">
        <w:rPr>
          <w:color w:val="000000"/>
        </w:rPr>
        <w:t>discriminat</w:t>
      </w:r>
      <w:r>
        <w:rPr>
          <w:color w:val="000000"/>
        </w:rPr>
        <w:t>ion</w:t>
      </w:r>
      <w:r w:rsidR="0019646B" w:rsidRPr="00C50026">
        <w:rPr>
          <w:color w:val="000000"/>
        </w:rPr>
        <w:t xml:space="preserve"> in the United States in the</w:t>
      </w:r>
      <w:r w:rsidR="00D96ACE" w:rsidRPr="00C50026">
        <w:rPr>
          <w:color w:val="000000"/>
        </w:rPr>
        <w:t xml:space="preserve"> 1970s</w:t>
      </w:r>
      <w:r w:rsidR="0019646B" w:rsidRPr="00C50026">
        <w:rPr>
          <w:color w:val="000000"/>
        </w:rPr>
        <w:t xml:space="preserve">. During the </w:t>
      </w:r>
      <w:r>
        <w:rPr>
          <w:color w:val="000000"/>
        </w:rPr>
        <w:t>following</w:t>
      </w:r>
      <w:r w:rsidR="0019646B" w:rsidRPr="00C50026">
        <w:rPr>
          <w:color w:val="000000"/>
        </w:rPr>
        <w:t xml:space="preserve"> decades, governments, organizations and workplaces </w:t>
      </w:r>
      <w:r>
        <w:rPr>
          <w:color w:val="000000"/>
        </w:rPr>
        <w:t>adopted</w:t>
      </w:r>
      <w:r w:rsidR="0019646B" w:rsidRPr="00C50026">
        <w:rPr>
          <w:color w:val="000000"/>
        </w:rPr>
        <w:t xml:space="preserve"> the term "sexual harassment" and </w:t>
      </w:r>
      <w:r w:rsidR="00095FD6">
        <w:rPr>
          <w:color w:val="000000"/>
        </w:rPr>
        <w:t>started to take</w:t>
      </w:r>
      <w:r w:rsidR="0019646B" w:rsidRPr="00C50026">
        <w:rPr>
          <w:color w:val="000000"/>
        </w:rPr>
        <w:t xml:space="preserve"> action against it</w:t>
      </w:r>
      <w:r w:rsidR="00095FD6">
        <w:rPr>
          <w:color w:val="000000"/>
        </w:rPr>
        <w:t xml:space="preserve">s </w:t>
      </w:r>
      <w:r w:rsidR="00095FD6" w:rsidRPr="00095FD6">
        <w:rPr>
          <w:color w:val="000000"/>
        </w:rPr>
        <w:t>occurrence</w:t>
      </w:r>
      <w:r w:rsidR="00095FD6">
        <w:rPr>
          <w:color w:val="000000"/>
        </w:rPr>
        <w:t xml:space="preserve"> in the workplace</w:t>
      </w:r>
      <w:r w:rsidR="0019646B" w:rsidRPr="00C50026">
        <w:rPr>
          <w:color w:val="000000"/>
        </w:rPr>
        <w:t xml:space="preserve"> in various </w:t>
      </w:r>
      <w:r>
        <w:rPr>
          <w:color w:val="000000"/>
        </w:rPr>
        <w:t>way</w:t>
      </w:r>
      <w:r w:rsidR="0019646B" w:rsidRPr="00C50026">
        <w:rPr>
          <w:color w:val="000000"/>
        </w:rPr>
        <w:t>s</w:t>
      </w:r>
      <w:r w:rsidR="00095FD6">
        <w:rPr>
          <w:color w:val="000000"/>
        </w:rPr>
        <w:t>.</w:t>
      </w:r>
      <w:r w:rsidR="00A12DF6" w:rsidRPr="00C50026">
        <w:rPr>
          <w:rStyle w:val="FootnoteReference"/>
          <w:color w:val="000000"/>
        </w:rPr>
        <w:footnoteReference w:id="47"/>
      </w:r>
      <w:r w:rsidR="0019646B" w:rsidRPr="00C50026">
        <w:rPr>
          <w:color w:val="000000"/>
        </w:rPr>
        <w:t xml:space="preserve">  </w:t>
      </w:r>
      <w:r w:rsidR="00153585" w:rsidRPr="00C50026">
        <w:t xml:space="preserve">Many </w:t>
      </w:r>
      <w:r w:rsidR="00153585">
        <w:t>states</w:t>
      </w:r>
      <w:r w:rsidR="00153585" w:rsidRPr="00C50026">
        <w:t xml:space="preserve"> have adopted some form of legislation at </w:t>
      </w:r>
      <w:r w:rsidR="00095FD6">
        <w:t xml:space="preserve">the </w:t>
      </w:r>
      <w:r w:rsidR="00153585" w:rsidRPr="00C50026">
        <w:t>national level against sexual harassment in the workplace.</w:t>
      </w:r>
      <w:r w:rsidR="00153585" w:rsidRPr="00C50026" w:rsidDel="00A63EA2">
        <w:t xml:space="preserve"> </w:t>
      </w:r>
      <w:r w:rsidR="00153585" w:rsidRPr="00C50026">
        <w:t xml:space="preserve">Data from </w:t>
      </w:r>
      <w:r w:rsidR="00153585" w:rsidRPr="00CD7511">
        <w:t>Women, Business and the Law</w:t>
      </w:r>
      <w:r w:rsidR="00153585" w:rsidRPr="00C50026">
        <w:rPr>
          <w:i/>
          <w:iCs/>
        </w:rPr>
        <w:t xml:space="preserve"> </w:t>
      </w:r>
      <w:r w:rsidR="00CD7511" w:rsidRPr="00CD7511">
        <w:t>research</w:t>
      </w:r>
      <w:r w:rsidR="00CD7511">
        <w:rPr>
          <w:i/>
          <w:iCs/>
        </w:rPr>
        <w:t xml:space="preserve"> </w:t>
      </w:r>
      <w:r w:rsidR="00153585" w:rsidRPr="00C50026">
        <w:t xml:space="preserve">show that </w:t>
      </w:r>
      <w:r w:rsidR="00153585" w:rsidRPr="00095FD6">
        <w:rPr>
          <w:b/>
          <w:bCs/>
        </w:rPr>
        <w:t>78 of the 100</w:t>
      </w:r>
      <w:r w:rsidR="00153585" w:rsidRPr="00C50026">
        <w:t xml:space="preserve"> economies covered have laws addressing sexual harassment in employment</w:t>
      </w:r>
      <w:r w:rsidR="00153585">
        <w:t xml:space="preserve"> and it </w:t>
      </w:r>
      <w:r w:rsidR="00153585" w:rsidRPr="00C50026">
        <w:t>is criminalized in 52 of these economies</w:t>
      </w:r>
      <w:r w:rsidR="00153585" w:rsidRPr="00C50026">
        <w:rPr>
          <w:rStyle w:val="FootnoteReference"/>
        </w:rPr>
        <w:footnoteReference w:id="48"/>
      </w:r>
      <w:r w:rsidR="00153585" w:rsidRPr="00C50026">
        <w:t xml:space="preserve">. </w:t>
      </w:r>
    </w:p>
    <w:p w:rsidR="00153585" w:rsidRPr="00C50026" w:rsidRDefault="00153585" w:rsidP="00153585">
      <w:pPr>
        <w:autoSpaceDE w:val="0"/>
        <w:autoSpaceDN w:val="0"/>
        <w:bidi w:val="0"/>
        <w:adjustRightInd w:val="0"/>
        <w:spacing w:after="0"/>
        <w:jc w:val="both"/>
        <w:rPr>
          <w:rFonts w:cs="Times New Roman"/>
        </w:rPr>
      </w:pPr>
    </w:p>
    <w:p w:rsidR="00696C95" w:rsidRPr="00C50026" w:rsidRDefault="007F2E07" w:rsidP="00C8763E">
      <w:pPr>
        <w:bidi w:val="0"/>
        <w:ind w:left="45"/>
        <w:jc w:val="both"/>
        <w:rPr>
          <w:color w:val="000000"/>
        </w:rPr>
      </w:pPr>
      <w:r>
        <w:rPr>
          <w:color w:val="000000"/>
        </w:rPr>
        <w:t>I</w:t>
      </w:r>
      <w:r w:rsidR="00693CD3" w:rsidRPr="00C50026">
        <w:rPr>
          <w:color w:val="000000"/>
        </w:rPr>
        <w:t xml:space="preserve">n 1989 the CEDAW Committee, in GR 12, recognized sexual harassment as a form of violence against women.  Following this, in </w:t>
      </w:r>
      <w:r w:rsidR="00693CD3" w:rsidRPr="00733A0A">
        <w:rPr>
          <w:color w:val="000000"/>
        </w:rPr>
        <w:t>GR 19</w:t>
      </w:r>
      <w:r w:rsidR="00693CD3" w:rsidRPr="00C50026">
        <w:rPr>
          <w:color w:val="000000"/>
        </w:rPr>
        <w:t>, the Committee characterized gender-based violence as a type of sex discrimination and therefore a breach of CEDAW.</w:t>
      </w:r>
      <w:r w:rsidR="00696C95" w:rsidRPr="00C50026">
        <w:rPr>
          <w:color w:val="000000"/>
        </w:rPr>
        <w:t xml:space="preserve"> This has led the way to further development</w:t>
      </w:r>
      <w:r>
        <w:rPr>
          <w:color w:val="000000"/>
        </w:rPr>
        <w:t xml:space="preserve"> of prohibition of sexual harassment</w:t>
      </w:r>
      <w:r w:rsidR="00696C95" w:rsidRPr="00C50026">
        <w:rPr>
          <w:color w:val="000000"/>
        </w:rPr>
        <w:t xml:space="preserve">, for instance in the </w:t>
      </w:r>
      <w:r w:rsidR="00696C95" w:rsidRPr="00C50026">
        <w:rPr>
          <w:color w:val="000000"/>
        </w:rPr>
        <w:lastRenderedPageBreak/>
        <w:t xml:space="preserve">1993 General Assembly Resolution </w:t>
      </w:r>
      <w:r w:rsidR="00095FD6">
        <w:rPr>
          <w:color w:val="000000"/>
        </w:rPr>
        <w:t>"</w:t>
      </w:r>
      <w:r w:rsidR="00696C95" w:rsidRPr="00C50026">
        <w:rPr>
          <w:color w:val="000000"/>
        </w:rPr>
        <w:t>The Declaration on the Elimination of Violence against Women</w:t>
      </w:r>
      <w:r w:rsidR="00095FD6">
        <w:rPr>
          <w:color w:val="000000"/>
        </w:rPr>
        <w:t>"</w:t>
      </w:r>
      <w:r w:rsidR="00696C95" w:rsidRPr="00C50026">
        <w:rPr>
          <w:color w:val="000000"/>
        </w:rPr>
        <w:t>, and in the 1995 Beijing platform</w:t>
      </w:r>
      <w:r w:rsidR="00095FD6">
        <w:rPr>
          <w:color w:val="000000"/>
        </w:rPr>
        <w:t>.</w:t>
      </w:r>
    </w:p>
    <w:p w:rsidR="003E0F89" w:rsidRPr="00C50026" w:rsidRDefault="00CC654F" w:rsidP="00C50026">
      <w:pPr>
        <w:bidi w:val="0"/>
        <w:ind w:left="45"/>
        <w:jc w:val="both"/>
      </w:pPr>
      <w:r w:rsidRPr="00C50026">
        <w:t>GR 19 identifies the workplace as a site of violence and sexual harassment</w:t>
      </w:r>
      <w:r w:rsidRPr="00C50026">
        <w:rPr>
          <w:b/>
          <w:bCs/>
        </w:rPr>
        <w:t xml:space="preserve"> </w:t>
      </w:r>
      <w:r w:rsidRPr="00C50026">
        <w:t xml:space="preserve">of women. </w:t>
      </w:r>
      <w:r w:rsidR="001F591B" w:rsidRPr="00C50026">
        <w:t>Sexual harassment denies women's equality in the workplace</w:t>
      </w:r>
      <w:r w:rsidR="0075441F" w:rsidRPr="00C50026">
        <w:t xml:space="preserve"> and is discriminatory</w:t>
      </w:r>
      <w:r w:rsidR="005A4739" w:rsidRPr="00C50026">
        <w:t xml:space="preserve">. </w:t>
      </w:r>
      <w:r w:rsidR="003E0F89" w:rsidRPr="00C50026">
        <w:t>It humiliates them</w:t>
      </w:r>
      <w:r w:rsidR="00D96ACE" w:rsidRPr="00C50026">
        <w:t>, jeopardizes their well-being</w:t>
      </w:r>
      <w:r w:rsidR="003E0F89" w:rsidRPr="00C50026">
        <w:t xml:space="preserve"> and severely violates their dignity. </w:t>
      </w:r>
    </w:p>
    <w:p w:rsidR="001C6419" w:rsidRPr="00C50026" w:rsidRDefault="001E228E" w:rsidP="00C50026">
      <w:pPr>
        <w:bidi w:val="0"/>
        <w:ind w:left="45"/>
        <w:jc w:val="both"/>
      </w:pPr>
      <w:r w:rsidRPr="00C50026">
        <w:t>The definition of sexual harassment in</w:t>
      </w:r>
      <w:r w:rsidR="005A4739" w:rsidRPr="00C50026">
        <w:t xml:space="preserve"> GR </w:t>
      </w:r>
      <w:r w:rsidRPr="00C50026">
        <w:t>19, as well as in other country specific legislation</w:t>
      </w:r>
      <w:r w:rsidR="003E0F89" w:rsidRPr="00C50026">
        <w:t xml:space="preserve"> and academic writing,</w:t>
      </w:r>
      <w:r w:rsidRPr="00C50026">
        <w:t xml:space="preserve"> outlines </w:t>
      </w:r>
      <w:r w:rsidR="001C6419" w:rsidRPr="00C50026">
        <w:t xml:space="preserve">two broad classes of prohibited behavior: </w:t>
      </w:r>
    </w:p>
    <w:p w:rsidR="001C6419" w:rsidRPr="00C50026" w:rsidRDefault="001C6419" w:rsidP="00C50026">
      <w:pPr>
        <w:pStyle w:val="ListParagraph"/>
        <w:numPr>
          <w:ilvl w:val="0"/>
          <w:numId w:val="18"/>
        </w:numPr>
        <w:bidi w:val="0"/>
        <w:jc w:val="both"/>
      </w:pPr>
      <w:r w:rsidRPr="00C50026">
        <w:rPr>
          <w:b/>
          <w:bCs/>
        </w:rPr>
        <w:t>Quid pro quo</w:t>
      </w:r>
      <w:r w:rsidRPr="00C50026">
        <w:t xml:space="preserve"> – behaviors of employers that extort sexual cooperation by means of subtle or explicit threats of job-related consequences. </w:t>
      </w:r>
    </w:p>
    <w:p w:rsidR="001C6419" w:rsidRPr="00095FD6" w:rsidRDefault="001C6419" w:rsidP="00095FD6">
      <w:pPr>
        <w:pStyle w:val="ListParagraph"/>
        <w:numPr>
          <w:ilvl w:val="0"/>
          <w:numId w:val="18"/>
        </w:numPr>
        <w:bidi w:val="0"/>
        <w:jc w:val="both"/>
      </w:pPr>
      <w:r w:rsidRPr="00C50026">
        <w:rPr>
          <w:b/>
          <w:bCs/>
        </w:rPr>
        <w:t>Hostile environment</w:t>
      </w:r>
      <w:r w:rsidRPr="00C50026">
        <w:t xml:space="preserve"> </w:t>
      </w:r>
      <w:r w:rsidR="00D154E5" w:rsidRPr="00C50026">
        <w:t>–</w:t>
      </w:r>
      <w:r w:rsidRPr="00C50026">
        <w:t xml:space="preserve"> sex related behaviors</w:t>
      </w:r>
      <w:r w:rsidRPr="00C50026">
        <w:rPr>
          <w:b/>
          <w:bCs/>
        </w:rPr>
        <w:t xml:space="preserve"> </w:t>
      </w:r>
      <w:r w:rsidRPr="00C50026">
        <w:t xml:space="preserve">that are unwelcome, offensive and humiliating </w:t>
      </w:r>
      <w:r w:rsidR="007F2E07">
        <w:t>that</w:t>
      </w:r>
      <w:r w:rsidRPr="00C50026">
        <w:t xml:space="preserve"> damage and embitter the</w:t>
      </w:r>
      <w:r w:rsidR="007F2E07">
        <w:t xml:space="preserve"> employee’s</w:t>
      </w:r>
      <w:r w:rsidRPr="00C50026">
        <w:t xml:space="preserve"> working conditions.</w:t>
      </w:r>
    </w:p>
    <w:p w:rsidR="00D96ACE" w:rsidRPr="00C50026" w:rsidRDefault="00153585" w:rsidP="00095FD6">
      <w:pPr>
        <w:bidi w:val="0"/>
        <w:jc w:val="both"/>
      </w:pPr>
      <w:r>
        <w:t>In country legislation, unlike in GR19</w:t>
      </w:r>
      <w:r w:rsidR="00095FD6">
        <w:t>,</w:t>
      </w:r>
      <w:r>
        <w:t xml:space="preserve"> the prohibition of sexual harassment is generally gender neutral and hence applies to male as well as female victims. </w:t>
      </w:r>
      <w:r w:rsidR="007F2E07">
        <w:t xml:space="preserve">Men </w:t>
      </w:r>
      <w:r>
        <w:t xml:space="preserve">have been known to </w:t>
      </w:r>
      <w:r w:rsidR="00826EBE" w:rsidRPr="00C50026">
        <w:t xml:space="preserve">report </w:t>
      </w:r>
      <w:r w:rsidR="00972A87" w:rsidRPr="00C50026">
        <w:t>workplace sexual harassment</w:t>
      </w:r>
      <w:r w:rsidR="00733A0A">
        <w:t xml:space="preserve"> of both classes mentioned above</w:t>
      </w:r>
      <w:r w:rsidR="00BC5A57" w:rsidRPr="00C50026">
        <w:t>.</w:t>
      </w:r>
      <w:r w:rsidR="00972A87" w:rsidRPr="00C50026">
        <w:t xml:space="preserve"> </w:t>
      </w:r>
      <w:r w:rsidR="00BC5A57" w:rsidRPr="00C50026">
        <w:t>N</w:t>
      </w:r>
      <w:r w:rsidR="00972A87" w:rsidRPr="00C50026">
        <w:t xml:space="preserve">evertheless, women remain the group </w:t>
      </w:r>
      <w:r w:rsidR="00826EBE" w:rsidRPr="00C50026">
        <w:t xml:space="preserve">that is </w:t>
      </w:r>
      <w:r>
        <w:t xml:space="preserve">most usually </w:t>
      </w:r>
      <w:r w:rsidR="00826EBE" w:rsidRPr="00C50026">
        <w:t xml:space="preserve">exposed to </w:t>
      </w:r>
      <w:r>
        <w:t>sexual</w:t>
      </w:r>
      <w:r w:rsidR="00826EBE" w:rsidRPr="00C50026">
        <w:t xml:space="preserve"> harassment</w:t>
      </w:r>
      <w:r w:rsidR="006E4114" w:rsidRPr="00C50026">
        <w:t xml:space="preserve"> </w:t>
      </w:r>
      <w:r>
        <w:t>carried out</w:t>
      </w:r>
      <w:r w:rsidR="006E4114" w:rsidRPr="00C50026">
        <w:t xml:space="preserve"> by men</w:t>
      </w:r>
      <w:r w:rsidR="006E4114" w:rsidRPr="00C50026">
        <w:rPr>
          <w:rStyle w:val="FootnoteReference"/>
        </w:rPr>
        <w:footnoteReference w:id="49"/>
      </w:r>
      <w:r w:rsidR="00826EBE" w:rsidRPr="00C50026">
        <w:t xml:space="preserve">. </w:t>
      </w:r>
      <w:r w:rsidR="009304AA" w:rsidRPr="00C50026">
        <w:t>We could not find an inclusive glo</w:t>
      </w:r>
      <w:r w:rsidR="004B1D11" w:rsidRPr="00C50026">
        <w:t xml:space="preserve">bal </w:t>
      </w:r>
      <w:r w:rsidR="009304AA" w:rsidRPr="00C50026">
        <w:t xml:space="preserve">information regarding </w:t>
      </w:r>
      <w:r w:rsidR="004B1D11" w:rsidRPr="00C50026">
        <w:t xml:space="preserve">percentage of victims, </w:t>
      </w:r>
      <w:r w:rsidR="003155BB" w:rsidRPr="00C50026">
        <w:t xml:space="preserve">but the existing data indicate for example that </w:t>
      </w:r>
      <w:r w:rsidR="001C6419" w:rsidRPr="00C50026">
        <w:t xml:space="preserve">between 40 and 50 per cent of women in the </w:t>
      </w:r>
      <w:r w:rsidR="004B1D11" w:rsidRPr="00C50026">
        <w:t>EU</w:t>
      </w:r>
      <w:r w:rsidR="001C6419" w:rsidRPr="00C50026">
        <w:t xml:space="preserve"> experience "unwanted sexual advances, physical contact, verbal suggestions or other forms of sexual harassment" at work</w:t>
      </w:r>
      <w:r w:rsidR="003155BB" w:rsidRPr="00C50026">
        <w:t xml:space="preserve">, and </w:t>
      </w:r>
      <w:r w:rsidR="009304AA" w:rsidRPr="00C50026">
        <w:t>i</w:t>
      </w:r>
      <w:r w:rsidR="00BC5A57" w:rsidRPr="00C50026">
        <w:t>n</w:t>
      </w:r>
      <w:r w:rsidR="00C23B3B" w:rsidRPr="00C50026">
        <w:t xml:space="preserve"> Asia-Pacific countries 30 to 40 per cent of women workers</w:t>
      </w:r>
      <w:r w:rsidR="003155BB" w:rsidRPr="00C50026">
        <w:t xml:space="preserve"> report some form of harassment</w:t>
      </w:r>
      <w:r w:rsidR="00C23B3B" w:rsidRPr="00C50026">
        <w:t xml:space="preserve"> </w:t>
      </w:r>
      <w:r w:rsidR="00BC5A57" w:rsidRPr="00C50026">
        <w:t>(</w:t>
      </w:r>
      <w:r w:rsidR="00C23B3B" w:rsidRPr="00C50026">
        <w:t>verbal, physical or sexual</w:t>
      </w:r>
      <w:r w:rsidR="00BC5A57" w:rsidRPr="00C50026">
        <w:t>)</w:t>
      </w:r>
      <w:r w:rsidR="001C6419" w:rsidRPr="00C50026">
        <w:t>.</w:t>
      </w:r>
      <w:r w:rsidR="001C6419" w:rsidRPr="00C50026">
        <w:rPr>
          <w:rStyle w:val="FootnoteReference"/>
        </w:rPr>
        <w:footnoteReference w:id="50"/>
      </w:r>
      <w:r w:rsidR="001C6419" w:rsidRPr="00C50026">
        <w:t xml:space="preserve"> </w:t>
      </w:r>
      <w:r w:rsidR="00C272F3" w:rsidRPr="00C50026">
        <w:t xml:space="preserve">ILO research has suggested that </w:t>
      </w:r>
      <w:r>
        <w:t xml:space="preserve">the </w:t>
      </w:r>
      <w:r w:rsidR="00C272F3" w:rsidRPr="00C50026">
        <w:t>women who are mo</w:t>
      </w:r>
      <w:r>
        <w:t>st</w:t>
      </w:r>
      <w:r w:rsidR="00C272F3" w:rsidRPr="00C50026">
        <w:t xml:space="preserve"> vulnerable to sexual harassment in the workplace are young, financially dependent, single or divorced or have a migrant status in the community in which they live</w:t>
      </w:r>
      <w:r w:rsidR="00D4460F" w:rsidRPr="00C50026">
        <w:rPr>
          <w:rStyle w:val="FootnoteReference"/>
        </w:rPr>
        <w:footnoteReference w:id="51"/>
      </w:r>
      <w:r w:rsidR="00C272F3" w:rsidRPr="00C50026">
        <w:t xml:space="preserve">. In addition, some </w:t>
      </w:r>
      <w:r w:rsidR="00382D63" w:rsidRPr="00C50026">
        <w:t>forms of work create particular vulnerability – for example domestic work, especially for women migrant workers.</w:t>
      </w:r>
      <w:r w:rsidR="00382D63" w:rsidRPr="00C50026">
        <w:rPr>
          <w:rStyle w:val="FootnoteReference"/>
        </w:rPr>
        <w:footnoteReference w:id="52"/>
      </w:r>
      <w:r w:rsidR="00382D63" w:rsidRPr="00C50026">
        <w:t xml:space="preserve"> </w:t>
      </w:r>
    </w:p>
    <w:p w:rsidR="004F43A8" w:rsidRPr="00C50026" w:rsidRDefault="004F43A8" w:rsidP="00B56226">
      <w:pPr>
        <w:pStyle w:val="ListParagraph"/>
        <w:numPr>
          <w:ilvl w:val="0"/>
          <w:numId w:val="29"/>
        </w:numPr>
        <w:bidi w:val="0"/>
        <w:jc w:val="both"/>
        <w:rPr>
          <w:b/>
          <w:bCs/>
          <w:i/>
          <w:iCs/>
        </w:rPr>
      </w:pPr>
      <w:r w:rsidRPr="00C50026">
        <w:rPr>
          <w:b/>
          <w:bCs/>
          <w:i/>
          <w:iCs/>
        </w:rPr>
        <w:t>Non-</w:t>
      </w:r>
      <w:r w:rsidR="00B56226">
        <w:rPr>
          <w:b/>
          <w:bCs/>
          <w:i/>
          <w:iCs/>
        </w:rPr>
        <w:t>W</w:t>
      </w:r>
      <w:r w:rsidR="00B56226" w:rsidRPr="00C50026">
        <w:rPr>
          <w:b/>
          <w:bCs/>
          <w:i/>
          <w:iCs/>
        </w:rPr>
        <w:t xml:space="preserve">orkplace </w:t>
      </w:r>
      <w:r w:rsidR="00B56226">
        <w:rPr>
          <w:b/>
          <w:bCs/>
          <w:i/>
          <w:iCs/>
        </w:rPr>
        <w:t>S</w:t>
      </w:r>
      <w:r w:rsidR="00B56226" w:rsidRPr="00C50026">
        <w:rPr>
          <w:b/>
          <w:bCs/>
          <w:i/>
          <w:iCs/>
        </w:rPr>
        <w:t xml:space="preserve">ettings </w:t>
      </w:r>
    </w:p>
    <w:p w:rsidR="00152418" w:rsidRPr="00C50026" w:rsidRDefault="00BE3F16" w:rsidP="00DA4D6A">
      <w:pPr>
        <w:bidi w:val="0"/>
        <w:jc w:val="both"/>
        <w:rPr>
          <w:rFonts w:cs="Times New Roman"/>
        </w:rPr>
      </w:pPr>
      <w:r w:rsidRPr="00C50026">
        <w:t>D</w:t>
      </w:r>
      <w:r w:rsidR="004F43A8" w:rsidRPr="00C50026">
        <w:t>evelopment regarding sexual harassment foc</w:t>
      </w:r>
      <w:r w:rsidRPr="00C50026">
        <w:t xml:space="preserve">used </w:t>
      </w:r>
      <w:r w:rsidR="004F43A8" w:rsidRPr="00C50026">
        <w:t>on the workplace, while in real-life women are</w:t>
      </w:r>
      <w:r w:rsidR="0037504D" w:rsidRPr="00C50026">
        <w:t xml:space="preserve"> also</w:t>
      </w:r>
      <w:r w:rsidR="004F43A8" w:rsidRPr="00C50026">
        <w:t xml:space="preserve"> exposed to sexual harassment in many other </w:t>
      </w:r>
      <w:r w:rsidR="00DA4D6A">
        <w:t xml:space="preserve">institutional </w:t>
      </w:r>
      <w:r w:rsidR="000832AF" w:rsidRPr="00C50026">
        <w:rPr>
          <w:rFonts w:cs="Times New Roman"/>
        </w:rPr>
        <w:t>settings</w:t>
      </w:r>
      <w:r w:rsidR="0037504D" w:rsidRPr="00C50026">
        <w:rPr>
          <w:rFonts w:cs="Times New Roman"/>
        </w:rPr>
        <w:t xml:space="preserve">, in the </w:t>
      </w:r>
      <w:r w:rsidR="00DA4D6A">
        <w:rPr>
          <w:rFonts w:cs="Times New Roman"/>
        </w:rPr>
        <w:lastRenderedPageBreak/>
        <w:t>socio-economic</w:t>
      </w:r>
      <w:r w:rsidR="0037504D" w:rsidRPr="00C50026">
        <w:rPr>
          <w:rFonts w:cs="Times New Roman"/>
        </w:rPr>
        <w:t xml:space="preserve"> arena, </w:t>
      </w:r>
      <w:r w:rsidR="00DA4D6A">
        <w:rPr>
          <w:rFonts w:cs="Times New Roman"/>
        </w:rPr>
        <w:t xml:space="preserve">especially </w:t>
      </w:r>
      <w:r w:rsidR="0037504D" w:rsidRPr="00C50026">
        <w:rPr>
          <w:rFonts w:cs="Times New Roman"/>
        </w:rPr>
        <w:t xml:space="preserve">in educational and </w:t>
      </w:r>
      <w:r w:rsidR="00045CC7" w:rsidRPr="00C50026">
        <w:rPr>
          <w:rFonts w:cs="Times New Roman"/>
        </w:rPr>
        <w:t xml:space="preserve">service providing </w:t>
      </w:r>
      <w:r w:rsidR="0037504D" w:rsidRPr="00C50026">
        <w:rPr>
          <w:rFonts w:cs="Times New Roman"/>
        </w:rPr>
        <w:t xml:space="preserve">institutions, and in their contact with police and armed forces. </w:t>
      </w:r>
      <w:r w:rsidR="00E672E2" w:rsidRPr="00C50026">
        <w:rPr>
          <w:rFonts w:cs="Times New Roman"/>
        </w:rPr>
        <w:t xml:space="preserve"> </w:t>
      </w:r>
      <w:r w:rsidR="00152418" w:rsidRPr="00C50026">
        <w:rPr>
          <w:rFonts w:cs="Times New Roman"/>
        </w:rPr>
        <w:t xml:space="preserve">In this </w:t>
      </w:r>
      <w:r w:rsidR="00C50026">
        <w:rPr>
          <w:rFonts w:cs="Times New Roman"/>
        </w:rPr>
        <w:t>sub-</w:t>
      </w:r>
      <w:r w:rsidR="00152418" w:rsidRPr="00C50026">
        <w:rPr>
          <w:rFonts w:cs="Times New Roman"/>
        </w:rPr>
        <w:t xml:space="preserve">section we will mainly relate to the education system. In the following section </w:t>
      </w:r>
      <w:r w:rsidR="00045CC7" w:rsidRPr="00C50026">
        <w:rPr>
          <w:rFonts w:cs="Times New Roman"/>
        </w:rPr>
        <w:t>- Violence</w:t>
      </w:r>
      <w:r w:rsidR="00152418" w:rsidRPr="00C50026">
        <w:rPr>
          <w:rFonts w:cs="Times New Roman"/>
        </w:rPr>
        <w:t xml:space="preserve"> Condoned or Perpetrated by the State – we will elaborate on army and police forces.</w:t>
      </w:r>
    </w:p>
    <w:p w:rsidR="006722FB" w:rsidRPr="00C50026" w:rsidRDefault="00C60987" w:rsidP="00935101">
      <w:pPr>
        <w:bidi w:val="0"/>
        <w:jc w:val="both"/>
        <w:rPr>
          <w:rFonts w:cs="Times New Roman"/>
        </w:rPr>
      </w:pPr>
      <w:r w:rsidRPr="00C50026">
        <w:rPr>
          <w:rFonts w:cs="Times New Roman"/>
        </w:rPr>
        <w:t>While rape, gang rape</w:t>
      </w:r>
      <w:r w:rsidR="00DA4D6A">
        <w:rPr>
          <w:rFonts w:cs="Times New Roman"/>
        </w:rPr>
        <w:t>, indecent acts</w:t>
      </w:r>
      <w:r w:rsidRPr="00C50026">
        <w:rPr>
          <w:rFonts w:cs="Times New Roman"/>
        </w:rPr>
        <w:t xml:space="preserve"> and other forms of physical sexual assault in the public arena </w:t>
      </w:r>
      <w:r w:rsidR="0054713E">
        <w:rPr>
          <w:rFonts w:cs="Times New Roman"/>
        </w:rPr>
        <w:t>are</w:t>
      </w:r>
      <w:r w:rsidRPr="00C50026">
        <w:rPr>
          <w:rFonts w:cs="Times New Roman"/>
        </w:rPr>
        <w:t xml:space="preserve"> a matter </w:t>
      </w:r>
      <w:r w:rsidR="00095FD6">
        <w:rPr>
          <w:rFonts w:cs="Times New Roman"/>
        </w:rPr>
        <w:t>for</w:t>
      </w:r>
      <w:r w:rsidRPr="00C50026">
        <w:rPr>
          <w:rFonts w:cs="Times New Roman"/>
        </w:rPr>
        <w:t xml:space="preserve"> the criminal law, </w:t>
      </w:r>
      <w:r w:rsidR="00095FD6">
        <w:rPr>
          <w:rFonts w:cs="Times New Roman"/>
        </w:rPr>
        <w:t xml:space="preserve">only </w:t>
      </w:r>
      <w:r w:rsidRPr="00C50026">
        <w:rPr>
          <w:rFonts w:cs="Times New Roman"/>
        </w:rPr>
        <w:t>f</w:t>
      </w:r>
      <w:r w:rsidR="0054713E">
        <w:rPr>
          <w:rFonts w:cs="Times New Roman"/>
        </w:rPr>
        <w:t>ew</w:t>
      </w:r>
      <w:r w:rsidR="0037504D" w:rsidRPr="00C50026">
        <w:rPr>
          <w:rFonts w:cs="Times New Roman"/>
        </w:rPr>
        <w:t xml:space="preserve"> countries have made express provision to prohibit </w:t>
      </w:r>
      <w:r w:rsidRPr="00C50026">
        <w:rPr>
          <w:rFonts w:cs="Times New Roman"/>
        </w:rPr>
        <w:t xml:space="preserve">all forms of </w:t>
      </w:r>
      <w:r w:rsidR="0037504D" w:rsidRPr="0054713E">
        <w:rPr>
          <w:rFonts w:cs="Times New Roman"/>
        </w:rPr>
        <w:t>s</w:t>
      </w:r>
      <w:r w:rsidRPr="0054713E">
        <w:rPr>
          <w:rFonts w:cs="Times New Roman"/>
        </w:rPr>
        <w:t>exual harassment outside the</w:t>
      </w:r>
      <w:r w:rsidRPr="00C50026">
        <w:rPr>
          <w:rFonts w:cs="Times New Roman"/>
        </w:rPr>
        <w:t xml:space="preserve"> wor</w:t>
      </w:r>
      <w:r w:rsidR="0037504D" w:rsidRPr="00C50026">
        <w:rPr>
          <w:rFonts w:cs="Times New Roman"/>
        </w:rPr>
        <w:t>kplace</w:t>
      </w:r>
      <w:r w:rsidRPr="00C50026">
        <w:rPr>
          <w:rFonts w:cs="Times New Roman"/>
        </w:rPr>
        <w:t>.</w:t>
      </w:r>
      <w:r w:rsidR="000D7F07" w:rsidRPr="00C50026">
        <w:rPr>
          <w:rFonts w:cs="Times New Roman"/>
        </w:rPr>
        <w:t xml:space="preserve"> Nevertheless, there </w:t>
      </w:r>
      <w:r w:rsidR="00F3497D">
        <w:rPr>
          <w:rFonts w:cs="Times New Roman"/>
        </w:rPr>
        <w:t>are</w:t>
      </w:r>
      <w:r w:rsidR="000D7F07" w:rsidRPr="00C50026">
        <w:rPr>
          <w:rFonts w:cs="Times New Roman"/>
        </w:rPr>
        <w:t xml:space="preserve"> some </w:t>
      </w:r>
      <w:r w:rsidR="00DA4D6A">
        <w:rPr>
          <w:rFonts w:cs="Times New Roman"/>
        </w:rPr>
        <w:t xml:space="preserve">good </w:t>
      </w:r>
      <w:r w:rsidR="00F3497D">
        <w:rPr>
          <w:rFonts w:cs="Times New Roman"/>
        </w:rPr>
        <w:t>examples for</w:t>
      </w:r>
      <w:r w:rsidR="00DA4D6A">
        <w:rPr>
          <w:rFonts w:cs="Times New Roman"/>
        </w:rPr>
        <w:t xml:space="preserve"> legislation on </w:t>
      </w:r>
      <w:r w:rsidR="000D7F07" w:rsidRPr="00C50026">
        <w:rPr>
          <w:rFonts w:cs="Times New Roman"/>
        </w:rPr>
        <w:t>non-workplace harassment</w:t>
      </w:r>
      <w:r w:rsidR="002D3A8F" w:rsidRPr="00C50026">
        <w:rPr>
          <w:rFonts w:cs="Times New Roman"/>
        </w:rPr>
        <w:t>.</w:t>
      </w:r>
      <w:r w:rsidR="000D7F07" w:rsidRPr="00C50026" w:rsidDel="0037504D">
        <w:rPr>
          <w:rFonts w:cs="Times New Roman"/>
        </w:rPr>
        <w:t xml:space="preserve"> </w:t>
      </w:r>
      <w:r w:rsidR="000D7F07" w:rsidRPr="00C50026">
        <w:t xml:space="preserve">For example, </w:t>
      </w:r>
      <w:r w:rsidR="00935101">
        <w:rPr>
          <w:rFonts w:cs="Times New Roman"/>
        </w:rPr>
        <w:t>t</w:t>
      </w:r>
      <w:r w:rsidR="00186001" w:rsidRPr="00C50026">
        <w:rPr>
          <w:rFonts w:cs="Times New Roman"/>
        </w:rPr>
        <w:t xml:space="preserve">he Israeli law </w:t>
      </w:r>
      <w:r w:rsidR="00DA4D6A">
        <w:rPr>
          <w:rFonts w:cs="Times New Roman"/>
        </w:rPr>
        <w:t>prohibits</w:t>
      </w:r>
      <w:r w:rsidR="00F97611" w:rsidRPr="00C50026">
        <w:rPr>
          <w:rFonts w:cs="Times New Roman"/>
        </w:rPr>
        <w:t xml:space="preserve"> sexual harassment </w:t>
      </w:r>
      <w:r w:rsidR="00DA4D6A">
        <w:rPr>
          <w:rFonts w:cs="Times New Roman"/>
        </w:rPr>
        <w:t xml:space="preserve">as a </w:t>
      </w:r>
      <w:r w:rsidR="0032603C" w:rsidRPr="00C50026">
        <w:rPr>
          <w:rFonts w:cs="Times New Roman"/>
        </w:rPr>
        <w:t>general</w:t>
      </w:r>
      <w:r w:rsidR="00DA4D6A">
        <w:rPr>
          <w:rFonts w:cs="Times New Roman"/>
        </w:rPr>
        <w:t xml:space="preserve"> offence in all contexts and</w:t>
      </w:r>
      <w:r w:rsidR="0032603C" w:rsidRPr="00C50026">
        <w:rPr>
          <w:rFonts w:cs="Times New Roman"/>
        </w:rPr>
        <w:t>,</w:t>
      </w:r>
      <w:r w:rsidR="00F97611" w:rsidRPr="00C50026">
        <w:rPr>
          <w:rFonts w:cs="Times New Roman"/>
        </w:rPr>
        <w:t xml:space="preserve"> in addition</w:t>
      </w:r>
      <w:r w:rsidR="00DA4D6A">
        <w:rPr>
          <w:rFonts w:cs="Times New Roman"/>
        </w:rPr>
        <w:t xml:space="preserve">, specifically prohibits </w:t>
      </w:r>
      <w:r w:rsidR="00F97611" w:rsidRPr="00C50026">
        <w:rPr>
          <w:rFonts w:cs="Times New Roman"/>
        </w:rPr>
        <w:t>sexual harassment in</w:t>
      </w:r>
      <w:r w:rsidR="00DA4D6A">
        <w:rPr>
          <w:rFonts w:cs="Times New Roman"/>
        </w:rPr>
        <w:t xml:space="preserve"> situations in which there is an abuse of authority, as in</w:t>
      </w:r>
      <w:r w:rsidR="00F97611" w:rsidRPr="00C50026">
        <w:rPr>
          <w:rFonts w:cs="Times New Roman"/>
        </w:rPr>
        <w:t xml:space="preserve"> the</w:t>
      </w:r>
      <w:r w:rsidR="00935101">
        <w:rPr>
          <w:rFonts w:cs="Times New Roman"/>
        </w:rPr>
        <w:t xml:space="preserve"> </w:t>
      </w:r>
      <w:r w:rsidR="00F97611" w:rsidRPr="00C50026">
        <w:rPr>
          <w:rFonts w:cs="Times New Roman"/>
        </w:rPr>
        <w:t xml:space="preserve">workplace </w:t>
      </w:r>
      <w:r w:rsidR="00DA4D6A">
        <w:rPr>
          <w:rFonts w:cs="Times New Roman"/>
        </w:rPr>
        <w:t xml:space="preserve">and in </w:t>
      </w:r>
      <w:r w:rsidR="0032603C" w:rsidRPr="00C50026">
        <w:rPr>
          <w:rFonts w:cs="Times New Roman"/>
        </w:rPr>
        <w:t>medical</w:t>
      </w:r>
      <w:r w:rsidR="00DA4D6A">
        <w:rPr>
          <w:rFonts w:cs="Times New Roman"/>
        </w:rPr>
        <w:t xml:space="preserve"> facilities</w:t>
      </w:r>
      <w:r w:rsidR="0032603C" w:rsidRPr="00C50026">
        <w:rPr>
          <w:rFonts w:cs="Times New Roman"/>
        </w:rPr>
        <w:t>, educational</w:t>
      </w:r>
      <w:r w:rsidR="00DA4D6A">
        <w:rPr>
          <w:rFonts w:cs="Times New Roman"/>
        </w:rPr>
        <w:t xml:space="preserve"> institutions</w:t>
      </w:r>
      <w:r w:rsidR="00430E42" w:rsidRPr="00C50026">
        <w:rPr>
          <w:rFonts w:cs="Times New Roman"/>
        </w:rPr>
        <w:t xml:space="preserve">, security services </w:t>
      </w:r>
      <w:r w:rsidR="00DA4D6A">
        <w:rPr>
          <w:rFonts w:cs="Times New Roman"/>
        </w:rPr>
        <w:t>or religious settings</w:t>
      </w:r>
      <w:r w:rsidR="00F3497D">
        <w:rPr>
          <w:rFonts w:cs="Times New Roman"/>
        </w:rPr>
        <w:t>.</w:t>
      </w:r>
      <w:r w:rsidR="0032603C" w:rsidRPr="00C50026">
        <w:rPr>
          <w:rStyle w:val="FootnoteReference"/>
          <w:rFonts w:cs="Times New Roman"/>
        </w:rPr>
        <w:footnoteReference w:id="53"/>
      </w:r>
      <w:r w:rsidR="0032603C" w:rsidRPr="00C50026">
        <w:rPr>
          <w:rFonts w:cs="Times New Roman"/>
        </w:rPr>
        <w:t xml:space="preserve"> </w:t>
      </w:r>
      <w:r w:rsidR="00DA4D6A">
        <w:rPr>
          <w:rFonts w:cs="Times New Roman"/>
        </w:rPr>
        <w:t xml:space="preserve">In abuse of authority cases, the penalty is a three year term of imprisonment and the offence will be committed even if the object of the harassment does not clearly reject the sexual proposal. </w:t>
      </w:r>
      <w:r w:rsidR="000D7F07" w:rsidRPr="00C50026">
        <w:rPr>
          <w:rFonts w:cs="Times New Roman"/>
        </w:rPr>
        <w:t xml:space="preserve">The law </w:t>
      </w:r>
      <w:r w:rsidR="0054713E">
        <w:rPr>
          <w:rFonts w:cs="Times New Roman"/>
        </w:rPr>
        <w:t>conceptualizes</w:t>
      </w:r>
      <w:r w:rsidR="00BE3177" w:rsidRPr="00C50026">
        <w:rPr>
          <w:rFonts w:cs="Times New Roman"/>
        </w:rPr>
        <w:t xml:space="preserve"> </w:t>
      </w:r>
      <w:r w:rsidR="002D3A8F" w:rsidRPr="00C50026">
        <w:rPr>
          <w:rFonts w:cs="Times New Roman"/>
        </w:rPr>
        <w:t>sexual harassment</w:t>
      </w:r>
      <w:r w:rsidR="00BE3177" w:rsidRPr="00C50026">
        <w:rPr>
          <w:rFonts w:cs="Times New Roman"/>
        </w:rPr>
        <w:t xml:space="preserve"> as </w:t>
      </w:r>
      <w:r w:rsidR="00DA4D6A">
        <w:rPr>
          <w:rFonts w:cs="Times New Roman"/>
        </w:rPr>
        <w:t xml:space="preserve">primarily </w:t>
      </w:r>
      <w:r w:rsidR="002D3A8F" w:rsidRPr="00C50026">
        <w:rPr>
          <w:rFonts w:cs="Times New Roman"/>
        </w:rPr>
        <w:t xml:space="preserve">an </w:t>
      </w:r>
      <w:r w:rsidR="00430E42" w:rsidRPr="00C50026">
        <w:rPr>
          <w:rFonts w:cs="Times New Roman"/>
        </w:rPr>
        <w:t>injury to human dignity</w:t>
      </w:r>
      <w:r w:rsidR="002D3A8F" w:rsidRPr="00C50026">
        <w:rPr>
          <w:rFonts w:cs="Times New Roman"/>
        </w:rPr>
        <w:t xml:space="preserve">, instead </w:t>
      </w:r>
      <w:r w:rsidR="00BE3177" w:rsidRPr="00C50026">
        <w:rPr>
          <w:rFonts w:cs="Times New Roman"/>
        </w:rPr>
        <w:t xml:space="preserve">of associating </w:t>
      </w:r>
      <w:r w:rsidR="002D3A8F" w:rsidRPr="00C50026">
        <w:rPr>
          <w:rFonts w:cs="Times New Roman"/>
        </w:rPr>
        <w:t>it</w:t>
      </w:r>
      <w:r w:rsidR="00BE3177" w:rsidRPr="00C50026">
        <w:rPr>
          <w:rFonts w:cs="Times New Roman"/>
        </w:rPr>
        <w:t xml:space="preserve"> exclusively with sex-based discrimination</w:t>
      </w:r>
      <w:r w:rsidR="002D3A8F" w:rsidRPr="00C50026">
        <w:rPr>
          <w:rFonts w:cs="Times New Roman"/>
        </w:rPr>
        <w:t xml:space="preserve">. </w:t>
      </w:r>
    </w:p>
    <w:p w:rsidR="004F43A8" w:rsidRPr="00C50026" w:rsidRDefault="002D3A8F" w:rsidP="000A6797">
      <w:pPr>
        <w:bidi w:val="0"/>
        <w:ind w:left="720"/>
        <w:jc w:val="both"/>
        <w:rPr>
          <w:rFonts w:cs="Times New Roman"/>
          <w:b/>
          <w:bCs/>
          <w:i/>
          <w:iCs/>
        </w:rPr>
      </w:pPr>
      <w:r w:rsidRPr="00C50026">
        <w:rPr>
          <w:rFonts w:cs="Times New Roman"/>
          <w:b/>
          <w:bCs/>
          <w:i/>
          <w:iCs/>
        </w:rPr>
        <w:t>The Education System:</w:t>
      </w:r>
    </w:p>
    <w:p w:rsidR="00F5070C" w:rsidRDefault="00745352" w:rsidP="00CC6590">
      <w:pPr>
        <w:bidi w:val="0"/>
        <w:jc w:val="both"/>
        <w:rPr>
          <w:rFonts w:cs="Arial"/>
          <w:color w:val="000000"/>
          <w:shd w:val="clear" w:color="auto" w:fill="FFFFFF"/>
        </w:rPr>
      </w:pPr>
      <w:r w:rsidRPr="00C50026">
        <w:t>A major area of concern regarding sexual violence and harassment</w:t>
      </w:r>
      <w:r w:rsidR="00427114" w:rsidRPr="00C50026">
        <w:t xml:space="preserve"> is the </w:t>
      </w:r>
      <w:r w:rsidR="009927F8" w:rsidRPr="00C50026">
        <w:t>e</w:t>
      </w:r>
      <w:r w:rsidR="004F43A8" w:rsidRPr="00C50026">
        <w:t>ducation</w:t>
      </w:r>
      <w:r w:rsidR="00427114" w:rsidRPr="00C50026">
        <w:t xml:space="preserve"> system</w:t>
      </w:r>
      <w:r w:rsidR="00297EC6" w:rsidRPr="00C50026">
        <w:t>.</w:t>
      </w:r>
      <w:r w:rsidR="004F43A8" w:rsidRPr="00C50026">
        <w:t xml:space="preserve"> </w:t>
      </w:r>
      <w:r w:rsidR="00297EC6" w:rsidRPr="00C50026">
        <w:rPr>
          <w:rFonts w:cs="Arial"/>
          <w:color w:val="000000"/>
          <w:shd w:val="clear" w:color="auto" w:fill="FFFFFF"/>
        </w:rPr>
        <w:t>School-related gender-based violence</w:t>
      </w:r>
      <w:r w:rsidR="0088066D" w:rsidRPr="00C50026">
        <w:rPr>
          <w:rFonts w:cs="Arial"/>
          <w:color w:val="000000"/>
          <w:shd w:val="clear" w:color="auto" w:fill="FFFFFF"/>
        </w:rPr>
        <w:t xml:space="preserve"> (SRGBV)</w:t>
      </w:r>
      <w:r w:rsidR="00297EC6" w:rsidRPr="00C50026">
        <w:rPr>
          <w:rFonts w:cs="Arial"/>
          <w:color w:val="000000"/>
          <w:shd w:val="clear" w:color="auto" w:fill="FFFFFF"/>
        </w:rPr>
        <w:t xml:space="preserve"> </w:t>
      </w:r>
      <w:r w:rsidR="0088066D" w:rsidRPr="00C50026">
        <w:t>refers to acts of sexual, physical or psychological violence in</w:t>
      </w:r>
      <w:r w:rsidRPr="00C50026">
        <w:t>fl</w:t>
      </w:r>
      <w:r w:rsidR="0088066D" w:rsidRPr="00C50026">
        <w:t>icted on children in and around schools because of stereotypes and roles or norms attributed to or expected of them because of their sex or gendered identity</w:t>
      </w:r>
      <w:r w:rsidR="00935101">
        <w:t>.</w:t>
      </w:r>
      <w:r w:rsidR="0026497E" w:rsidRPr="00C50026">
        <w:rPr>
          <w:rStyle w:val="FootnoteReference"/>
        </w:rPr>
        <w:footnoteReference w:id="54"/>
      </w:r>
      <w:r w:rsidR="00935101">
        <w:t xml:space="preserve"> </w:t>
      </w:r>
      <w:r w:rsidR="0026497E" w:rsidRPr="00C50026">
        <w:t xml:space="preserve">These </w:t>
      </w:r>
      <w:r w:rsidR="0088066D" w:rsidRPr="00C50026">
        <w:t>gender stereotypes</w:t>
      </w:r>
      <w:r w:rsidR="0026497E" w:rsidRPr="00C50026">
        <w:t xml:space="preserve">, </w:t>
      </w:r>
      <w:r w:rsidR="00F5070C">
        <w:t>when superimposed on the</w:t>
      </w:r>
      <w:r w:rsidR="0026497E" w:rsidRPr="00C50026">
        <w:t xml:space="preserve"> unequal power relations between </w:t>
      </w:r>
      <w:r w:rsidR="00F5070C">
        <w:t>adult teachers and school children </w:t>
      </w:r>
      <w:r w:rsidR="0088066D" w:rsidRPr="00C50026">
        <w:t>leave schoolgirls especially vulnerable to sexual harassment, rape, coercion, exploitation and discrimination</w:t>
      </w:r>
      <w:r w:rsidR="00F5070C">
        <w:t xml:space="preserve"> from teachers and staff</w:t>
      </w:r>
      <w:r w:rsidR="00935101">
        <w:t>.</w:t>
      </w:r>
      <w:r w:rsidR="0088066D" w:rsidRPr="00C50026">
        <w:rPr>
          <w:rStyle w:val="FootnoteReference"/>
        </w:rPr>
        <w:footnoteReference w:id="55"/>
      </w:r>
      <w:r w:rsidR="0088066D" w:rsidRPr="00C50026">
        <w:t xml:space="preserve"> </w:t>
      </w:r>
      <w:r w:rsidR="0026497E" w:rsidRPr="00C50026">
        <w:t>SRGBV</w:t>
      </w:r>
      <w:r w:rsidR="0026497E" w:rsidRPr="00C50026">
        <w:rPr>
          <w:rFonts w:cs="Arial"/>
          <w:color w:val="000000"/>
          <w:shd w:val="clear" w:color="auto" w:fill="FFFFFF"/>
        </w:rPr>
        <w:t xml:space="preserve"> or fear of </w:t>
      </w:r>
      <w:r w:rsidR="00CC6590" w:rsidRPr="00C50026">
        <w:rPr>
          <w:rFonts w:cs="Arial"/>
          <w:color w:val="000000"/>
          <w:shd w:val="clear" w:color="auto" w:fill="FFFFFF"/>
        </w:rPr>
        <w:t>it</w:t>
      </w:r>
      <w:r w:rsidR="00F5070C" w:rsidRPr="00F5070C">
        <w:rPr>
          <w:rFonts w:cs="Arial"/>
          <w:color w:val="000000"/>
          <w:shd w:val="clear" w:color="auto" w:fill="FFFFFF"/>
        </w:rPr>
        <w:t xml:space="preserve"> can have profound consequences on students’ participation, achievement, and continuation</w:t>
      </w:r>
      <w:r w:rsidR="00F5070C">
        <w:rPr>
          <w:rFonts w:cs="Arial"/>
          <w:color w:val="000000"/>
          <w:shd w:val="clear" w:color="auto" w:fill="FFFFFF"/>
        </w:rPr>
        <w:t xml:space="preserve"> in school, particularly for girls.</w:t>
      </w:r>
      <w:r w:rsidR="00F5070C" w:rsidRPr="00F5070C">
        <w:t xml:space="preserve"> </w:t>
      </w:r>
      <w:r w:rsidR="00F5070C" w:rsidRPr="00F5070C">
        <w:rPr>
          <w:rFonts w:cs="Arial"/>
          <w:color w:val="000000"/>
          <w:shd w:val="clear" w:color="auto" w:fill="FFFFFF"/>
        </w:rPr>
        <w:t xml:space="preserve">Sexual harassment and violence form a major barrier to access education and </w:t>
      </w:r>
      <w:r w:rsidR="00CC6590">
        <w:rPr>
          <w:rFonts w:cs="Arial"/>
          <w:color w:val="000000"/>
          <w:shd w:val="clear" w:color="auto" w:fill="FFFFFF"/>
        </w:rPr>
        <w:t xml:space="preserve">to </w:t>
      </w:r>
      <w:r w:rsidR="00F5070C" w:rsidRPr="00F5070C">
        <w:rPr>
          <w:rFonts w:cs="Arial"/>
          <w:color w:val="000000"/>
          <w:shd w:val="clear" w:color="auto" w:fill="FFFFFF"/>
        </w:rPr>
        <w:t>the ability to benefit from</w:t>
      </w:r>
      <w:r w:rsidR="00CC6590">
        <w:rPr>
          <w:rFonts w:cs="Arial"/>
          <w:color w:val="000000"/>
          <w:shd w:val="clear" w:color="auto" w:fill="FFFFFF"/>
        </w:rPr>
        <w:t xml:space="preserve"> it,</w:t>
      </w:r>
      <w:r w:rsidR="00BD73AE">
        <w:rPr>
          <w:rStyle w:val="FootnoteReference"/>
          <w:rFonts w:cs="Arial"/>
          <w:color w:val="000000"/>
          <w:shd w:val="clear" w:color="auto" w:fill="FFFFFF"/>
        </w:rPr>
        <w:footnoteReference w:id="56"/>
      </w:r>
      <w:r w:rsidR="00F5070C" w:rsidRPr="00F5070C">
        <w:rPr>
          <w:rFonts w:cs="Arial"/>
          <w:color w:val="000000"/>
          <w:shd w:val="clear" w:color="auto" w:fill="FFFFFF"/>
        </w:rPr>
        <w:t xml:space="preserve"> and may influence parents’ decision to keep their children out of school. </w:t>
      </w:r>
      <w:r w:rsidR="005103DE" w:rsidRPr="005103DE">
        <w:rPr>
          <w:rFonts w:cs="Arial"/>
          <w:color w:val="000000"/>
          <w:shd w:val="clear" w:color="auto" w:fill="FFFFFF"/>
        </w:rPr>
        <w:t xml:space="preserve">The consequences of </w:t>
      </w:r>
      <w:r w:rsidR="00CC6590" w:rsidRPr="00C50026">
        <w:t>SRGBV</w:t>
      </w:r>
      <w:r w:rsidR="00CC6590" w:rsidRPr="00C50026">
        <w:rPr>
          <w:rFonts w:cs="Arial"/>
          <w:color w:val="000000"/>
          <w:shd w:val="clear" w:color="auto" w:fill="FFFFFF"/>
        </w:rPr>
        <w:t xml:space="preserve"> </w:t>
      </w:r>
      <w:r w:rsidR="005103DE" w:rsidRPr="005103DE">
        <w:rPr>
          <w:rFonts w:cs="Arial"/>
          <w:color w:val="000000"/>
          <w:shd w:val="clear" w:color="auto" w:fill="FFFFFF"/>
        </w:rPr>
        <w:t xml:space="preserve">on </w:t>
      </w:r>
      <w:r w:rsidR="00BD73AE">
        <w:rPr>
          <w:rFonts w:cs="Arial"/>
          <w:color w:val="000000"/>
          <w:shd w:val="clear" w:color="auto" w:fill="FFFFFF"/>
        </w:rPr>
        <w:t xml:space="preserve">the </w:t>
      </w:r>
      <w:r w:rsidR="005103DE" w:rsidRPr="005103DE">
        <w:rPr>
          <w:rFonts w:cs="Arial"/>
          <w:color w:val="000000"/>
          <w:shd w:val="clear" w:color="auto" w:fill="FFFFFF"/>
        </w:rPr>
        <w:t>health and psychosocia</w:t>
      </w:r>
      <w:r w:rsidR="005103DE">
        <w:rPr>
          <w:rFonts w:cs="Arial"/>
          <w:color w:val="000000"/>
          <w:shd w:val="clear" w:color="auto" w:fill="FFFFFF"/>
        </w:rPr>
        <w:t xml:space="preserve">l well-being </w:t>
      </w:r>
      <w:r w:rsidR="00BD73AE">
        <w:rPr>
          <w:rFonts w:cs="Arial"/>
          <w:color w:val="000000"/>
          <w:shd w:val="clear" w:color="auto" w:fill="FFFFFF"/>
        </w:rPr>
        <w:t>of children can be severe</w:t>
      </w:r>
      <w:r w:rsidR="005103DE">
        <w:rPr>
          <w:rFonts w:cs="Arial"/>
          <w:color w:val="000000"/>
          <w:shd w:val="clear" w:color="auto" w:fill="FFFFFF"/>
        </w:rPr>
        <w:t xml:space="preserve">, and </w:t>
      </w:r>
      <w:r w:rsidR="00BD73AE">
        <w:rPr>
          <w:rFonts w:cs="Arial"/>
          <w:color w:val="000000"/>
          <w:shd w:val="clear" w:color="auto" w:fill="FFFFFF"/>
        </w:rPr>
        <w:t xml:space="preserve">may </w:t>
      </w:r>
      <w:r w:rsidR="005103DE" w:rsidRPr="005103DE">
        <w:rPr>
          <w:rFonts w:cs="Arial"/>
          <w:color w:val="000000"/>
          <w:shd w:val="clear" w:color="auto" w:fill="FFFFFF"/>
        </w:rPr>
        <w:t xml:space="preserve">include: </w:t>
      </w:r>
      <w:r w:rsidR="00BD73AE">
        <w:rPr>
          <w:rFonts w:cs="Arial"/>
          <w:color w:val="000000"/>
          <w:shd w:val="clear" w:color="auto" w:fill="FFFFFF"/>
        </w:rPr>
        <w:t>"</w:t>
      </w:r>
      <w:r w:rsidR="005103DE" w:rsidRPr="005103DE">
        <w:rPr>
          <w:rFonts w:cs="Arial"/>
          <w:color w:val="000000"/>
          <w:shd w:val="clear" w:color="auto" w:fill="FFFFFF"/>
        </w:rPr>
        <w:t xml:space="preserve">low self-esteem, depression, increased risk of suicide, high-risk sexual and drug-using </w:t>
      </w:r>
      <w:proofErr w:type="spellStart"/>
      <w:r w:rsidR="005103DE" w:rsidRPr="005103DE">
        <w:rPr>
          <w:rFonts w:cs="Arial"/>
          <w:color w:val="000000"/>
          <w:shd w:val="clear" w:color="auto" w:fill="FFFFFF"/>
        </w:rPr>
        <w:t>behaviour</w:t>
      </w:r>
      <w:proofErr w:type="spellEnd"/>
      <w:r w:rsidR="005103DE" w:rsidRPr="005103DE">
        <w:rPr>
          <w:rFonts w:cs="Arial"/>
          <w:color w:val="000000"/>
          <w:shd w:val="clear" w:color="auto" w:fill="FFFFFF"/>
        </w:rPr>
        <w:t>, poor physical health, and post-traumatic stress disorder</w:t>
      </w:r>
      <w:r w:rsidR="00BD73AE">
        <w:rPr>
          <w:rFonts w:cs="Arial"/>
          <w:color w:val="000000"/>
          <w:shd w:val="clear" w:color="auto" w:fill="FFFFFF"/>
        </w:rPr>
        <w:t>"</w:t>
      </w:r>
      <w:r w:rsidR="00CC6590">
        <w:rPr>
          <w:rFonts w:cs="Arial"/>
          <w:color w:val="000000"/>
          <w:shd w:val="clear" w:color="auto" w:fill="FFFFFF"/>
        </w:rPr>
        <w:t>.</w:t>
      </w:r>
      <w:r w:rsidR="00BD73AE">
        <w:rPr>
          <w:rStyle w:val="FootnoteReference"/>
          <w:rFonts w:cs="Arial"/>
          <w:color w:val="000000"/>
          <w:shd w:val="clear" w:color="auto" w:fill="FFFFFF"/>
        </w:rPr>
        <w:footnoteReference w:id="57"/>
      </w:r>
      <w:r w:rsidR="005103DE" w:rsidRPr="005103DE">
        <w:rPr>
          <w:rFonts w:cs="Arial"/>
          <w:color w:val="000000"/>
          <w:shd w:val="clear" w:color="auto" w:fill="FFFFFF"/>
        </w:rPr>
        <w:t xml:space="preserve"> Further</w:t>
      </w:r>
      <w:r w:rsidR="00DE1A85">
        <w:rPr>
          <w:rFonts w:cs="Arial"/>
          <w:color w:val="000000"/>
          <w:shd w:val="clear" w:color="auto" w:fill="FFFFFF"/>
        </w:rPr>
        <w:t>more</w:t>
      </w:r>
      <w:r w:rsidR="005103DE" w:rsidRPr="005103DE">
        <w:rPr>
          <w:rFonts w:cs="Arial"/>
          <w:color w:val="000000"/>
          <w:shd w:val="clear" w:color="auto" w:fill="FFFFFF"/>
        </w:rPr>
        <w:t xml:space="preserve">, </w:t>
      </w:r>
      <w:r w:rsidR="00DE1A85">
        <w:rPr>
          <w:rFonts w:cs="Arial"/>
          <w:color w:val="000000"/>
          <w:shd w:val="clear" w:color="auto" w:fill="FFFFFF"/>
        </w:rPr>
        <w:t>"</w:t>
      </w:r>
      <w:r w:rsidR="005103DE" w:rsidRPr="005103DE">
        <w:rPr>
          <w:rFonts w:cs="Arial"/>
          <w:color w:val="000000"/>
          <w:shd w:val="clear" w:color="auto" w:fill="FFFFFF"/>
        </w:rPr>
        <w:t>adolescent pregnancy can lead to the abandonment of education and complications during birth</w:t>
      </w:r>
      <w:r w:rsidR="00DE1A85">
        <w:rPr>
          <w:rFonts w:cs="Arial"/>
          <w:color w:val="000000"/>
          <w:shd w:val="clear" w:color="auto" w:fill="FFFFFF"/>
        </w:rPr>
        <w:t>"</w:t>
      </w:r>
      <w:r w:rsidR="00CC6590">
        <w:rPr>
          <w:rFonts w:cs="Arial"/>
          <w:color w:val="000000"/>
          <w:shd w:val="clear" w:color="auto" w:fill="FFFFFF"/>
        </w:rPr>
        <w:t>.</w:t>
      </w:r>
      <w:r w:rsidR="00DE1A85">
        <w:rPr>
          <w:rStyle w:val="FootnoteReference"/>
          <w:rFonts w:cs="Arial"/>
          <w:color w:val="000000"/>
          <w:shd w:val="clear" w:color="auto" w:fill="FFFFFF"/>
        </w:rPr>
        <w:footnoteReference w:id="58"/>
      </w:r>
      <w:r w:rsidR="005103DE" w:rsidRPr="005103DE">
        <w:rPr>
          <w:rFonts w:cs="Arial"/>
          <w:color w:val="000000"/>
          <w:shd w:val="clear" w:color="auto" w:fill="FFFFFF"/>
        </w:rPr>
        <w:t xml:space="preserve"> </w:t>
      </w:r>
    </w:p>
    <w:p w:rsidR="005C2A84" w:rsidRPr="00C50026" w:rsidRDefault="005238EA" w:rsidP="006A15E1">
      <w:pPr>
        <w:bidi w:val="0"/>
        <w:jc w:val="both"/>
        <w:rPr>
          <w:rFonts w:cs="UniversLTStd"/>
        </w:rPr>
      </w:pPr>
      <w:r w:rsidRPr="00C50026">
        <w:t>A</w:t>
      </w:r>
      <w:r w:rsidR="0054713E">
        <w:t xml:space="preserve"> s</w:t>
      </w:r>
      <w:r w:rsidRPr="00C50026">
        <w:t xml:space="preserve">tudy on </w:t>
      </w:r>
      <w:r w:rsidR="0054713E">
        <w:t xml:space="preserve">bullying, teasing and sexual harassment in school </w:t>
      </w:r>
      <w:r w:rsidR="004F2E0B">
        <w:t>in the United States found that</w:t>
      </w:r>
      <w:r w:rsidRPr="00C50026">
        <w:t xml:space="preserve"> 83 per cent of girls in grades 8 through 11 in public schools experienced some form </w:t>
      </w:r>
      <w:r w:rsidR="001371FB">
        <w:t xml:space="preserve">of sexual </w:t>
      </w:r>
      <w:r w:rsidR="001371FB">
        <w:lastRenderedPageBreak/>
        <w:t>harassment</w:t>
      </w:r>
      <w:r w:rsidR="00CC6590">
        <w:t>.</w:t>
      </w:r>
      <w:r w:rsidR="004F43A8" w:rsidRPr="00C50026">
        <w:rPr>
          <w:rStyle w:val="FootnoteReference"/>
        </w:rPr>
        <w:footnoteReference w:id="59"/>
      </w:r>
      <w:r w:rsidR="001371FB">
        <w:t xml:space="preserve"> </w:t>
      </w:r>
      <w:r w:rsidR="00E928FB" w:rsidRPr="00C50026">
        <w:t xml:space="preserve">In </w:t>
      </w:r>
      <w:r w:rsidR="00773BF4" w:rsidRPr="00C50026">
        <w:rPr>
          <w:rFonts w:cs="UniversLTStd"/>
        </w:rPr>
        <w:t>Sub-Saharan Africa</w:t>
      </w:r>
      <w:r w:rsidR="006A4692" w:rsidRPr="00C50026">
        <w:rPr>
          <w:rFonts w:cs="UniversLTStd"/>
        </w:rPr>
        <w:t xml:space="preserve"> countries</w:t>
      </w:r>
      <w:r w:rsidR="00CC6590">
        <w:rPr>
          <w:rFonts w:cs="UniversLTStd"/>
        </w:rPr>
        <w:t>,</w:t>
      </w:r>
      <w:r w:rsidR="006A4692" w:rsidRPr="00C50026">
        <w:rPr>
          <w:rFonts w:cs="UniversLTStd"/>
        </w:rPr>
        <w:t xml:space="preserve"> gender-based violence </w:t>
      </w:r>
      <w:r w:rsidR="001371FB">
        <w:rPr>
          <w:rFonts w:cs="UniversLTStd"/>
        </w:rPr>
        <w:t>towards both</w:t>
      </w:r>
      <w:r w:rsidR="00773BF4" w:rsidRPr="00C50026">
        <w:rPr>
          <w:rFonts w:cs="UniversLTStd"/>
        </w:rPr>
        <w:t xml:space="preserve"> male and female students </w:t>
      </w:r>
      <w:r w:rsidR="006A4692" w:rsidRPr="00C50026">
        <w:rPr>
          <w:rFonts w:cs="UniversLTStd"/>
        </w:rPr>
        <w:t xml:space="preserve">was found to be </w:t>
      </w:r>
      <w:r w:rsidR="00773BF4" w:rsidRPr="00C50026">
        <w:rPr>
          <w:rFonts w:cs="UniversLTStd"/>
        </w:rPr>
        <w:t>common at school</w:t>
      </w:r>
      <w:r w:rsidR="00CC6590">
        <w:rPr>
          <w:rFonts w:cs="UniversLTStd"/>
        </w:rPr>
        <w:t>s</w:t>
      </w:r>
      <w:r w:rsidR="00773BF4" w:rsidRPr="00C50026">
        <w:rPr>
          <w:rFonts w:cs="UniversLTStd"/>
        </w:rPr>
        <w:t xml:space="preserve">. </w:t>
      </w:r>
      <w:r w:rsidR="006A4692" w:rsidRPr="00C50026">
        <w:rPr>
          <w:rFonts w:cs="UniversLTStd"/>
        </w:rPr>
        <w:t xml:space="preserve">Field studies in seven African countries indicated </w:t>
      </w:r>
      <w:r w:rsidR="001371FB">
        <w:rPr>
          <w:rFonts w:cs="UniversLTStd"/>
        </w:rPr>
        <w:t xml:space="preserve">that, </w:t>
      </w:r>
      <w:r w:rsidR="00CC6590">
        <w:rPr>
          <w:rFonts w:cs="UniversLTStd"/>
        </w:rPr>
        <w:t>"</w:t>
      </w:r>
      <w:r w:rsidR="001371FB">
        <w:rPr>
          <w:rFonts w:cs="UniversLTStd"/>
        </w:rPr>
        <w:t>w</w:t>
      </w:r>
      <w:r w:rsidR="00773BF4" w:rsidRPr="00C50026">
        <w:rPr>
          <w:rFonts w:cs="UniversLTStd"/>
        </w:rPr>
        <w:t>hen asked about early pregnancy, 16 per cent of children in Togo named a teacher as responsible for the pregnancy of a classmate; this figure was 15 per cent in Mali and 11 per cent in Senegal. In Ghana, 75 per cent of children cited teachers as the main perpetrators of violence in school; in Senegal, the figure was 80 per cent</w:t>
      </w:r>
      <w:r w:rsidR="00CC6590">
        <w:rPr>
          <w:rFonts w:cs="UniversLTStd"/>
        </w:rPr>
        <w:t>"</w:t>
      </w:r>
      <w:r w:rsidR="00773BF4" w:rsidRPr="00C50026">
        <w:rPr>
          <w:rFonts w:cs="UniversLTStd"/>
        </w:rPr>
        <w:t>.</w:t>
      </w:r>
      <w:r w:rsidR="006A15E1">
        <w:rPr>
          <w:rStyle w:val="FootnoteReference"/>
          <w:rFonts w:cs="UniversLTStd"/>
        </w:rPr>
        <w:footnoteReference w:id="60"/>
      </w:r>
      <w:r w:rsidR="006A4692" w:rsidRPr="00C50026">
        <w:rPr>
          <w:rFonts w:cs="UniversLTStd"/>
        </w:rPr>
        <w:t xml:space="preserve"> </w:t>
      </w:r>
      <w:r w:rsidR="006A4692" w:rsidRPr="00C50026">
        <w:t>In Malawi, a 2006 s</w:t>
      </w:r>
      <w:r w:rsidR="001371FB">
        <w:t xml:space="preserve">tudy of schoolgirls found that </w:t>
      </w:r>
      <w:r w:rsidR="006A15E1">
        <w:t>"</w:t>
      </w:r>
      <w:r w:rsidR="006A4692" w:rsidRPr="00C50026">
        <w:t>50 per cent of the girl</w:t>
      </w:r>
      <w:r w:rsidR="006A15E1">
        <w:t xml:space="preserve">s said they had been touched in </w:t>
      </w:r>
      <w:r w:rsidR="006A4692" w:rsidRPr="00C50026">
        <w:t>a sexual manner without permission, by either their teachers or fellow schoolboys</w:t>
      </w:r>
      <w:r w:rsidR="006A4692" w:rsidRPr="00C50026">
        <w:rPr>
          <w:rFonts w:cs="UniversLTStd"/>
        </w:rPr>
        <w:t>"</w:t>
      </w:r>
      <w:r w:rsidR="006A15E1">
        <w:rPr>
          <w:rFonts w:cs="UniversLTStd"/>
        </w:rPr>
        <w:t>.</w:t>
      </w:r>
      <w:r w:rsidR="006A4692" w:rsidRPr="00C50026">
        <w:rPr>
          <w:rStyle w:val="FootnoteReference"/>
          <w:rFonts w:cs="UniversLTStd"/>
        </w:rPr>
        <w:footnoteReference w:id="61"/>
      </w:r>
      <w:r w:rsidR="001371FB">
        <w:rPr>
          <w:rFonts w:cs="UniversLTStd"/>
        </w:rPr>
        <w:t xml:space="preserve"> In</w:t>
      </w:r>
      <w:r w:rsidR="006A4692" w:rsidRPr="00C50026">
        <w:rPr>
          <w:rFonts w:cs="UniversLTStd"/>
        </w:rPr>
        <w:t xml:space="preserve"> the Latin-American region,</w:t>
      </w:r>
      <w:r w:rsidR="00EE157F" w:rsidRPr="00C50026">
        <w:rPr>
          <w:rFonts w:cs="UniversLTStd"/>
        </w:rPr>
        <w:t xml:space="preserve"> </w:t>
      </w:r>
      <w:r w:rsidR="001371FB">
        <w:rPr>
          <w:rFonts w:cs="UniversLTStd"/>
        </w:rPr>
        <w:t>s</w:t>
      </w:r>
      <w:r w:rsidR="00EE157F" w:rsidRPr="00C50026">
        <w:rPr>
          <w:rFonts w:cs="UniversLTStd"/>
        </w:rPr>
        <w:t xml:space="preserve">chool-based surveys in </w:t>
      </w:r>
      <w:r w:rsidR="005C2A84" w:rsidRPr="00C50026">
        <w:rPr>
          <w:rFonts w:cs="UniversLTStd"/>
        </w:rPr>
        <w:t xml:space="preserve">Chile, Costa Rica, Panama and Peru, found </w:t>
      </w:r>
      <w:r w:rsidR="00EE157F" w:rsidRPr="00C50026">
        <w:rPr>
          <w:rFonts w:cs="UniversLTStd"/>
        </w:rPr>
        <w:t xml:space="preserve">that </w:t>
      </w:r>
      <w:r w:rsidR="005C2A84" w:rsidRPr="00C50026">
        <w:rPr>
          <w:rFonts w:cs="UniversLTStd"/>
        </w:rPr>
        <w:t>between 5 and 40 per cent of adolescent girls report</w:t>
      </w:r>
      <w:r w:rsidR="00EE157F" w:rsidRPr="00C50026">
        <w:rPr>
          <w:rFonts w:cs="UniversLTStd"/>
        </w:rPr>
        <w:t>ed</w:t>
      </w:r>
      <w:r w:rsidR="001371FB">
        <w:rPr>
          <w:rFonts w:cs="UniversLTStd"/>
        </w:rPr>
        <w:t xml:space="preserve"> experience of sexual abuse.</w:t>
      </w:r>
      <w:r w:rsidR="00EE157F" w:rsidRPr="00C50026">
        <w:rPr>
          <w:rStyle w:val="FootnoteReference"/>
          <w:rFonts w:cs="UniversLTStd"/>
        </w:rPr>
        <w:footnoteReference w:id="62"/>
      </w:r>
      <w:r w:rsidR="005C2A84" w:rsidRPr="00C50026">
        <w:rPr>
          <w:rFonts w:cs="UniversLTStd"/>
        </w:rPr>
        <w:t xml:space="preserve"> </w:t>
      </w:r>
      <w:r w:rsidR="006A15E1">
        <w:rPr>
          <w:rFonts w:cs="UniversLTStd"/>
        </w:rPr>
        <w:t>"</w:t>
      </w:r>
      <w:r w:rsidR="005C2A84" w:rsidRPr="00C50026">
        <w:rPr>
          <w:rFonts w:cs="UniversLTStd"/>
        </w:rPr>
        <w:t>Girls in the Dominican Republic, Honduras, Guatemala, Mexico, Panama and Nicaragua report</w:t>
      </w:r>
      <w:r w:rsidR="001371FB">
        <w:rPr>
          <w:rFonts w:cs="UniversLTStd"/>
        </w:rPr>
        <w:t>ed</w:t>
      </w:r>
      <w:r w:rsidR="005C2A84" w:rsidRPr="00C50026">
        <w:rPr>
          <w:rFonts w:cs="UniversLTStd"/>
        </w:rPr>
        <w:t xml:space="preserve"> being victims of sexual coercion from teachers, sometimes under the threat of their grades suffering if they do not accept sexual advances</w:t>
      </w:r>
      <w:r w:rsidR="00EE157F" w:rsidRPr="00C50026">
        <w:rPr>
          <w:rFonts w:cs="UniversLTStd"/>
        </w:rPr>
        <w:t>"</w:t>
      </w:r>
      <w:r w:rsidR="006A15E1">
        <w:rPr>
          <w:rFonts w:cs="UniversLTStd"/>
        </w:rPr>
        <w:t>.</w:t>
      </w:r>
      <w:r w:rsidR="005C2A84" w:rsidRPr="00C50026">
        <w:rPr>
          <w:rStyle w:val="FootnoteReference"/>
          <w:rFonts w:cs="UniversLTStd"/>
        </w:rPr>
        <w:footnoteReference w:id="63"/>
      </w:r>
      <w:r w:rsidR="001371FB">
        <w:rPr>
          <w:rFonts w:cs="UniversLTStd"/>
        </w:rPr>
        <w:t xml:space="preserve"> I</w:t>
      </w:r>
      <w:r w:rsidR="001371FB" w:rsidRPr="00C50026">
        <w:rPr>
          <w:rFonts w:cs="UniversLTStd"/>
        </w:rPr>
        <w:t xml:space="preserve">n </w:t>
      </w:r>
      <w:r w:rsidR="001371FB" w:rsidRPr="00C50026">
        <w:t>Ecuador</w:t>
      </w:r>
      <w:r w:rsidR="001371FB" w:rsidRPr="00C50026">
        <w:rPr>
          <w:rFonts w:cs="UniversLTStd"/>
        </w:rPr>
        <w:t xml:space="preserve"> </w:t>
      </w:r>
      <w:r w:rsidR="004F2E0B">
        <w:rPr>
          <w:rFonts w:cs="UniversLTStd"/>
        </w:rPr>
        <w:t>"</w:t>
      </w:r>
      <w:r w:rsidR="001371FB" w:rsidRPr="00C50026">
        <w:t>a 2002 World Bank study found that 22 per cent of adolescent girls reported being victims of sexua</w:t>
      </w:r>
      <w:r w:rsidR="001371FB">
        <w:t>l abuse in educational settings</w:t>
      </w:r>
      <w:r w:rsidR="004F2E0B">
        <w:t>"</w:t>
      </w:r>
      <w:r w:rsidR="006A15E1">
        <w:t>.</w:t>
      </w:r>
      <w:r w:rsidR="001371FB" w:rsidRPr="00C50026">
        <w:rPr>
          <w:rStyle w:val="FootnoteReference"/>
        </w:rPr>
        <w:footnoteReference w:id="64"/>
      </w:r>
    </w:p>
    <w:p w:rsidR="00F5070C" w:rsidRDefault="001E7B89" w:rsidP="00C8763E">
      <w:pPr>
        <w:autoSpaceDE w:val="0"/>
        <w:autoSpaceDN w:val="0"/>
        <w:bidi w:val="0"/>
        <w:adjustRightInd w:val="0"/>
        <w:spacing w:after="0"/>
        <w:jc w:val="both"/>
      </w:pPr>
      <w:r w:rsidRPr="00C50026">
        <w:t xml:space="preserve">In </w:t>
      </w:r>
      <w:r w:rsidR="00F5070C">
        <w:t xml:space="preserve">the </w:t>
      </w:r>
      <w:r w:rsidRPr="00C50026">
        <w:t>Asia</w:t>
      </w:r>
      <w:r w:rsidR="00F5070C">
        <w:t>-Pacific region</w:t>
      </w:r>
      <w:r w:rsidRPr="00C50026">
        <w:t>,</w:t>
      </w:r>
      <w:r w:rsidR="00BF0F7D" w:rsidRPr="00C50026">
        <w:t xml:space="preserve"> </w:t>
      </w:r>
      <w:r w:rsidR="00F5070C">
        <w:t xml:space="preserve">there is a </w:t>
      </w:r>
      <w:r w:rsidR="006B27E7">
        <w:t>growing</w:t>
      </w:r>
      <w:r w:rsidR="00F5070C">
        <w:t xml:space="preserve"> amount of evidence highlighting sexual violence and abuse on the way to and from schools</w:t>
      </w:r>
      <w:r w:rsidR="006B27E7">
        <w:t>,</w:t>
      </w:r>
      <w:r w:rsidR="00F5070C">
        <w:t xml:space="preserve"> for example in Papua New Guinea, female students were</w:t>
      </w:r>
      <w:r w:rsidR="00C43AE6">
        <w:t xml:space="preserve"> </w:t>
      </w:r>
      <w:r w:rsidR="00F5070C">
        <w:t>found to be fearful of sexual assault and violence both in and on their way to school</w:t>
      </w:r>
      <w:r w:rsidR="00C43AE6">
        <w:t xml:space="preserve">. This </w:t>
      </w:r>
      <w:r w:rsidR="006A15E1">
        <w:t>is</w:t>
      </w:r>
      <w:r w:rsidR="00C43AE6">
        <w:t xml:space="preserve"> a key factor affecting enrolment of girls</w:t>
      </w:r>
      <w:r w:rsidR="006A15E1">
        <w:t>.</w:t>
      </w:r>
      <w:r w:rsidR="00C43AE6">
        <w:rPr>
          <w:rStyle w:val="FootnoteReference"/>
        </w:rPr>
        <w:footnoteReference w:id="65"/>
      </w:r>
      <w:r w:rsidR="00F5070C">
        <w:t xml:space="preserve"> In Fiji, girls</w:t>
      </w:r>
      <w:r w:rsidR="004F2E0B">
        <w:t xml:space="preserve"> are at risk of </w:t>
      </w:r>
      <w:r w:rsidR="000A1F25">
        <w:t>being</w:t>
      </w:r>
      <w:r w:rsidR="00F5070C">
        <w:t xml:space="preserve"> sexually blackmailed </w:t>
      </w:r>
      <w:r w:rsidR="000A1F25">
        <w:t>"</w:t>
      </w:r>
      <w:r w:rsidR="00F5070C">
        <w:t>in return for transport to school, school fees and other costs associated with their education</w:t>
      </w:r>
      <w:r w:rsidR="000A1F25">
        <w:t>"</w:t>
      </w:r>
      <w:r w:rsidR="006A15E1">
        <w:t>.</w:t>
      </w:r>
      <w:r w:rsidR="000A1F25">
        <w:rPr>
          <w:rStyle w:val="FootnoteReference"/>
        </w:rPr>
        <w:footnoteReference w:id="66"/>
      </w:r>
      <w:r w:rsidR="00F5070C">
        <w:t xml:space="preserve"> </w:t>
      </w:r>
      <w:r w:rsidR="00A86CCD">
        <w:t>Schools themselves were found to be unsafe, as q</w:t>
      </w:r>
      <w:r w:rsidR="00F5070C">
        <w:t>ualitative data from Indonesia, Mongolia and the Philippines indicate</w:t>
      </w:r>
      <w:r w:rsidR="00A86CCD">
        <w:t>,</w:t>
      </w:r>
      <w:r w:rsidR="00F5070C">
        <w:t xml:space="preserve"> and </w:t>
      </w:r>
      <w:r w:rsidR="00A86CCD">
        <w:t>"</w:t>
      </w:r>
      <w:r w:rsidR="00F5070C">
        <w:t>government officials may view this as less important than dropout rates or drug addiction</w:t>
      </w:r>
      <w:r w:rsidR="00A86CCD">
        <w:t>"</w:t>
      </w:r>
      <w:r w:rsidR="00A86CCD">
        <w:rPr>
          <w:rStyle w:val="FootnoteReference"/>
        </w:rPr>
        <w:footnoteReference w:id="67"/>
      </w:r>
      <w:r w:rsidR="00F5070C">
        <w:t xml:space="preserve">. </w:t>
      </w:r>
      <w:r w:rsidR="00336008">
        <w:t>There are also s</w:t>
      </w:r>
      <w:r w:rsidR="00F5070C">
        <w:t xml:space="preserve">everal small studies </w:t>
      </w:r>
      <w:r w:rsidR="00336008">
        <w:t xml:space="preserve">from </w:t>
      </w:r>
      <w:r w:rsidR="00F5070C">
        <w:t xml:space="preserve">Bangladesh, India, Nepal and Pakistan </w:t>
      </w:r>
      <w:r w:rsidR="00336008">
        <w:t>that provide "</w:t>
      </w:r>
      <w:r w:rsidR="00F5070C">
        <w:t xml:space="preserve">examples of inappropriate sexualized </w:t>
      </w:r>
      <w:proofErr w:type="spellStart"/>
      <w:r w:rsidR="00F5070C">
        <w:t>behaviour</w:t>
      </w:r>
      <w:proofErr w:type="spellEnd"/>
      <w:r w:rsidR="00F5070C">
        <w:t xml:space="preserve"> by teachers towards girls, with several reports of teachers raping schoolgirls in India and serious sexual abuse by teachers in Nepal</w:t>
      </w:r>
      <w:r w:rsidR="00336008">
        <w:t>"</w:t>
      </w:r>
      <w:r w:rsidR="006A15E1">
        <w:t>.</w:t>
      </w:r>
      <w:r w:rsidR="00336008">
        <w:rPr>
          <w:rStyle w:val="FootnoteReference"/>
        </w:rPr>
        <w:footnoteReference w:id="68"/>
      </w:r>
      <w:r w:rsidR="006A15E1">
        <w:t xml:space="preserve"> </w:t>
      </w:r>
    </w:p>
    <w:p w:rsidR="00F5070C" w:rsidRDefault="00F5070C" w:rsidP="00F5070C">
      <w:pPr>
        <w:autoSpaceDE w:val="0"/>
        <w:autoSpaceDN w:val="0"/>
        <w:bidi w:val="0"/>
        <w:adjustRightInd w:val="0"/>
        <w:spacing w:after="0"/>
        <w:jc w:val="both"/>
      </w:pPr>
    </w:p>
    <w:p w:rsidR="0015769C" w:rsidRPr="000A6797" w:rsidRDefault="001371FB" w:rsidP="007C7290">
      <w:pPr>
        <w:autoSpaceDE w:val="0"/>
        <w:autoSpaceDN w:val="0"/>
        <w:bidi w:val="0"/>
        <w:adjustRightInd w:val="0"/>
        <w:spacing w:after="0"/>
        <w:jc w:val="both"/>
        <w:rPr>
          <w:rStyle w:val="apple-converted-space"/>
          <w:rFonts w:cs="Arial"/>
          <w:color w:val="000000"/>
          <w:shd w:val="clear" w:color="auto" w:fill="FFFFFF"/>
        </w:rPr>
      </w:pPr>
      <w:r>
        <w:t xml:space="preserve">Furthermore, </w:t>
      </w:r>
      <w:r w:rsidR="00BF0F7D" w:rsidRPr="00C50026">
        <w:t>there have been incidents, in which armed groups who ideologically oppose to education of girls, violently attacked, intimidate and even kill g</w:t>
      </w:r>
      <w:r w:rsidR="00EE157F" w:rsidRPr="00C50026">
        <w:t xml:space="preserve">irl </w:t>
      </w:r>
      <w:r w:rsidR="00BF0F7D" w:rsidRPr="00C50026">
        <w:t xml:space="preserve">students, teachers of girls </w:t>
      </w:r>
      <w:r w:rsidR="00BF0F7D" w:rsidRPr="00C50026">
        <w:lastRenderedPageBreak/>
        <w:t>or schools for girls</w:t>
      </w:r>
      <w:r w:rsidR="007C7290">
        <w:t>.</w:t>
      </w:r>
      <w:r w:rsidR="00BF0F7D" w:rsidRPr="00C50026">
        <w:rPr>
          <w:rStyle w:val="FootnoteReference"/>
        </w:rPr>
        <w:footnoteReference w:id="69"/>
      </w:r>
      <w:r w:rsidR="00BF0F7D" w:rsidRPr="00C50026">
        <w:t xml:space="preserve">  In this context, the story of Pakistani young girl </w:t>
      </w:r>
      <w:proofErr w:type="spellStart"/>
      <w:r w:rsidR="00BF0F7D" w:rsidRPr="00C50026">
        <w:t>Malala</w:t>
      </w:r>
      <w:proofErr w:type="spellEnd"/>
      <w:r w:rsidR="00BF0F7D" w:rsidRPr="00C50026">
        <w:t xml:space="preserve"> </w:t>
      </w:r>
      <w:proofErr w:type="spellStart"/>
      <w:r w:rsidR="00BF0F7D" w:rsidRPr="00C50026">
        <w:t>Yousafzai</w:t>
      </w:r>
      <w:proofErr w:type="spellEnd"/>
      <w:r w:rsidR="00BF0F7D" w:rsidRPr="00C50026">
        <w:t xml:space="preserve"> is a lesson and an inspiration. </w:t>
      </w:r>
      <w:proofErr w:type="spellStart"/>
      <w:r w:rsidR="00BF0F7D" w:rsidRPr="00C50026">
        <w:t>Malala</w:t>
      </w:r>
      <w:proofErr w:type="spellEnd"/>
      <w:r w:rsidR="00BF0F7D" w:rsidRPr="00C50026">
        <w:t>, a school girl under the rule of the Taliban</w:t>
      </w:r>
      <w:r w:rsidR="0015769C" w:rsidRPr="00C50026">
        <w:t>,</w:t>
      </w:r>
      <w:r w:rsidR="00BF0F7D" w:rsidRPr="00C50026">
        <w:t xml:space="preserve"> advocated for girls rights for education</w:t>
      </w:r>
      <w:r w:rsidR="0015769C" w:rsidRPr="00C50026">
        <w:t xml:space="preserve">. She survived an attempt to assassinate her life, which provoked national and international support of her and her cause. </w:t>
      </w:r>
      <w:proofErr w:type="spellStart"/>
      <w:r w:rsidR="0015769C" w:rsidRPr="00C50026">
        <w:t>Malala</w:t>
      </w:r>
      <w:proofErr w:type="spellEnd"/>
      <w:r w:rsidR="0015769C" w:rsidRPr="00C50026">
        <w:t xml:space="preserve"> has received the support of the UN Special Envoy for Global Education</w:t>
      </w:r>
      <w:r w:rsidR="007C7290">
        <w:t>,</w:t>
      </w:r>
      <w:r w:rsidR="0015769C" w:rsidRPr="00C50026">
        <w:rPr>
          <w:rStyle w:val="FootnoteReference"/>
        </w:rPr>
        <w:footnoteReference w:id="70"/>
      </w:r>
      <w:r w:rsidR="0015769C" w:rsidRPr="00C50026">
        <w:t xml:space="preserve"> was honored with prizes and was nominated in February 2014 for the Nobel Peace Prize.</w:t>
      </w:r>
    </w:p>
    <w:p w:rsidR="005238EA" w:rsidRPr="00C50026" w:rsidRDefault="0015769C" w:rsidP="00C50026">
      <w:pPr>
        <w:autoSpaceDE w:val="0"/>
        <w:autoSpaceDN w:val="0"/>
        <w:bidi w:val="0"/>
        <w:adjustRightInd w:val="0"/>
        <w:spacing w:after="0"/>
        <w:jc w:val="both"/>
        <w:rPr>
          <w:rFonts w:cs="UniversLTStd"/>
        </w:rPr>
      </w:pPr>
      <w:r w:rsidRPr="000A6797">
        <w:rPr>
          <w:rStyle w:val="apple-converted-space"/>
          <w:rFonts w:cs="Arial"/>
          <w:color w:val="000000"/>
          <w:shd w:val="clear" w:color="auto" w:fill="FFFFFF"/>
        </w:rPr>
        <w:t xml:space="preserve">   </w:t>
      </w:r>
      <w:r w:rsidR="00BF0F7D" w:rsidRPr="000A6797">
        <w:rPr>
          <w:rStyle w:val="apple-converted-space"/>
          <w:rFonts w:cs="Arial"/>
          <w:color w:val="000000"/>
          <w:shd w:val="clear" w:color="auto" w:fill="FFFFFF"/>
        </w:rPr>
        <w:t xml:space="preserve">   </w:t>
      </w:r>
    </w:p>
    <w:p w:rsidR="00D91A24" w:rsidRDefault="00D91A24" w:rsidP="007C7290">
      <w:pPr>
        <w:bidi w:val="0"/>
        <w:jc w:val="both"/>
      </w:pPr>
      <w:r w:rsidRPr="00C50026">
        <w:rPr>
          <w:rFonts w:cs="UniversLTStd"/>
        </w:rPr>
        <w:t>SRGBV is likely to increase when there are poorly designed or managed physical infrastructure since they increase the vulnerability</w:t>
      </w:r>
      <w:r w:rsidR="00E103F8">
        <w:rPr>
          <w:rFonts w:cs="UniversLTStd"/>
        </w:rPr>
        <w:t xml:space="preserve"> of students, especially girls. </w:t>
      </w:r>
      <w:r w:rsidRPr="00C50026">
        <w:rPr>
          <w:rFonts w:cs="UniversLTStd"/>
        </w:rPr>
        <w:t xml:space="preserve">Sexual violence is most likely to occur in or near latrines, in empty classrooms or dormitories, on the perimeter of the school grounds, or en route to and from school. The risk of abuse is heightened when these areas are inadequately maintained (for example, having dim lighting or broken </w:t>
      </w:r>
      <w:r w:rsidR="00E103F8">
        <w:t>locks)</w:t>
      </w:r>
      <w:r w:rsidR="007C7290">
        <w:t>.</w:t>
      </w:r>
      <w:r w:rsidR="002F7A3A">
        <w:rPr>
          <w:rStyle w:val="FootnoteReference"/>
        </w:rPr>
        <w:footnoteReference w:id="71"/>
      </w:r>
      <w:r w:rsidRPr="00C50026">
        <w:t xml:space="preserve"> </w:t>
      </w:r>
    </w:p>
    <w:p w:rsidR="00401BB7" w:rsidRDefault="00E103F8" w:rsidP="00401BB7">
      <w:pPr>
        <w:autoSpaceDE w:val="0"/>
        <w:autoSpaceDN w:val="0"/>
        <w:bidi w:val="0"/>
        <w:adjustRightInd w:val="0"/>
        <w:spacing w:after="0"/>
        <w:jc w:val="both"/>
      </w:pPr>
      <w:r w:rsidRPr="00C50026">
        <w:t xml:space="preserve">Another form of SRGBV that is especially relevant in our days is cyber-bullying: </w:t>
      </w:r>
      <w:r w:rsidR="007C7290">
        <w:rPr>
          <w:rFonts w:cs="UniversLTStd"/>
        </w:rPr>
        <w:t>i</w:t>
      </w:r>
      <w:r w:rsidRPr="00C50026">
        <w:rPr>
          <w:rFonts w:cs="UniversLTStd"/>
        </w:rPr>
        <w:t>n developed countries such as New Zealand, Japan, Australia and North America, the expanding access to online technologies is driving new forms of SRGBV violence, such as cyber-bullying based on sexual orientation</w:t>
      </w:r>
      <w:r>
        <w:rPr>
          <w:rStyle w:val="FootnoteReference"/>
        </w:rPr>
        <w:footnoteReference w:id="72"/>
      </w:r>
      <w:r w:rsidR="007C7290">
        <w:t xml:space="preserve"> – </w:t>
      </w:r>
      <w:r w:rsidRPr="00C50026">
        <w:t>girls are often subject to online harm from frie</w:t>
      </w:r>
      <w:r>
        <w:t>nds, classmates, or boyfriends</w:t>
      </w:r>
      <w:r w:rsidR="00E0479A">
        <w:rPr>
          <w:rStyle w:val="FootnoteReference"/>
        </w:rPr>
        <w:footnoteReference w:id="73"/>
      </w:r>
      <w:r>
        <w:t>, including severe and harmful violation of their right to sexual privacy, which has led to a growing number of suicides.</w:t>
      </w:r>
      <w:r w:rsidRPr="00C50026">
        <w:rPr>
          <w:rStyle w:val="FootnoteReference"/>
        </w:rPr>
        <w:t xml:space="preserve"> </w:t>
      </w:r>
    </w:p>
    <w:p w:rsidR="00401BB7" w:rsidRDefault="00401BB7" w:rsidP="00401BB7">
      <w:pPr>
        <w:autoSpaceDE w:val="0"/>
        <w:autoSpaceDN w:val="0"/>
        <w:bidi w:val="0"/>
        <w:adjustRightInd w:val="0"/>
        <w:spacing w:after="0"/>
        <w:jc w:val="both"/>
      </w:pPr>
    </w:p>
    <w:p w:rsidR="00401BB7" w:rsidRDefault="00D91A24" w:rsidP="00401BB7">
      <w:pPr>
        <w:autoSpaceDE w:val="0"/>
        <w:autoSpaceDN w:val="0"/>
        <w:bidi w:val="0"/>
        <w:adjustRightInd w:val="0"/>
        <w:spacing w:after="0"/>
        <w:jc w:val="both"/>
      </w:pPr>
      <w:r w:rsidRPr="00C50026">
        <w:t xml:space="preserve">Times of conflict </w:t>
      </w:r>
      <w:r w:rsidR="00E103F8">
        <w:t>increase the</w:t>
      </w:r>
      <w:r w:rsidRPr="00C50026">
        <w:t xml:space="preserve"> risk of sexual abuse for girls and boys. This is especially true for teenage girls, when fear of abuse in schools that are used as barracks or bases by armed forces or groups, brings them to drop out or </w:t>
      </w:r>
      <w:r w:rsidR="00E103F8">
        <w:t>to have their families pull them</w:t>
      </w:r>
      <w:r w:rsidRPr="00C50026">
        <w:t xml:space="preserve"> out</w:t>
      </w:r>
      <w:r w:rsidR="00E103F8">
        <w:t xml:space="preserve"> of school</w:t>
      </w:r>
      <w:r w:rsidRPr="00C50026">
        <w:t xml:space="preserve">. When sexual violence is used as a weapon of war, the consequences of rape put girls </w:t>
      </w:r>
      <w:r w:rsidR="00E103F8">
        <w:t>school at severe risk and</w:t>
      </w:r>
      <w:r w:rsidRPr="00C50026">
        <w:t xml:space="preserve"> in countries like the Central African Republic, Chad, Democratic Republic of the Congo, Liberia and Sudan</w:t>
      </w:r>
      <w:r w:rsidR="00073C22" w:rsidRPr="00C50026">
        <w:t>, the fear of the</w:t>
      </w:r>
      <w:r w:rsidRPr="00C50026">
        <w:t xml:space="preserve"> armed conflict and ethnic violence insecurity </w:t>
      </w:r>
      <w:r w:rsidR="00073C22" w:rsidRPr="00C50026">
        <w:t>has</w:t>
      </w:r>
      <w:r w:rsidRPr="00C50026">
        <w:t xml:space="preserve"> prevent</w:t>
      </w:r>
      <w:r w:rsidR="00073C22" w:rsidRPr="00C50026">
        <w:t>ed</w:t>
      </w:r>
      <w:r w:rsidRPr="00C50026">
        <w:t xml:space="preserve"> millions of girls from attending school</w:t>
      </w:r>
      <w:r w:rsidR="00401BB7">
        <w:t>.</w:t>
      </w:r>
      <w:r w:rsidRPr="00C50026">
        <w:rPr>
          <w:rStyle w:val="FootnoteReference"/>
        </w:rPr>
        <w:footnoteReference w:id="74"/>
      </w:r>
    </w:p>
    <w:p w:rsidR="00401BB7" w:rsidRDefault="00401BB7" w:rsidP="00401BB7">
      <w:pPr>
        <w:autoSpaceDE w:val="0"/>
        <w:autoSpaceDN w:val="0"/>
        <w:bidi w:val="0"/>
        <w:adjustRightInd w:val="0"/>
        <w:spacing w:after="0"/>
        <w:jc w:val="both"/>
      </w:pPr>
    </w:p>
    <w:p w:rsidR="006B5754" w:rsidRPr="00C50026" w:rsidRDefault="00742DA1" w:rsidP="00401BB7">
      <w:pPr>
        <w:autoSpaceDE w:val="0"/>
        <w:autoSpaceDN w:val="0"/>
        <w:bidi w:val="0"/>
        <w:adjustRightInd w:val="0"/>
        <w:spacing w:after="0"/>
        <w:jc w:val="both"/>
      </w:pPr>
      <w:r w:rsidRPr="00C50026">
        <w:t xml:space="preserve">The Convention on the Rights of the Child (CRC) and CEDAW </w:t>
      </w:r>
      <w:r w:rsidR="00E103F8">
        <w:t>establish</w:t>
      </w:r>
      <w:r w:rsidRPr="00C50026">
        <w:t xml:space="preserve"> an international legal framework to assure girls (and boys) the right to be free from all forms of violence</w:t>
      </w:r>
      <w:r w:rsidR="00E103F8">
        <w:t xml:space="preserve">, including </w:t>
      </w:r>
      <w:r w:rsidR="008E1683" w:rsidRPr="00C50026">
        <w:t xml:space="preserve">in the education system. Accordingly, some countries have introduced laws and policies aimed at </w:t>
      </w:r>
      <w:r w:rsidR="00DA6C60" w:rsidRPr="00C50026">
        <w:rPr>
          <w:rFonts w:cs="UniversLTStd"/>
        </w:rPr>
        <w:t>eliminating violence in schools</w:t>
      </w:r>
      <w:r w:rsidR="008E1683" w:rsidRPr="00C50026">
        <w:rPr>
          <w:rFonts w:cs="UniversLTStd"/>
        </w:rPr>
        <w:t xml:space="preserve">, or at </w:t>
      </w:r>
      <w:r w:rsidR="00DA6C60" w:rsidRPr="00C50026">
        <w:rPr>
          <w:rFonts w:cs="UniversLTStd"/>
        </w:rPr>
        <w:t>protecting girls from violence in their communities</w:t>
      </w:r>
      <w:r w:rsidR="00401BB7">
        <w:rPr>
          <w:rFonts w:cs="UniversLTStd"/>
        </w:rPr>
        <w:t>.</w:t>
      </w:r>
      <w:r w:rsidR="008E1683" w:rsidRPr="00C50026">
        <w:rPr>
          <w:rStyle w:val="FootnoteReference"/>
          <w:rFonts w:cs="UniversLTStd"/>
        </w:rPr>
        <w:footnoteReference w:id="75"/>
      </w:r>
      <w:r w:rsidR="008E1683" w:rsidRPr="00C50026">
        <w:t xml:space="preserve"> </w:t>
      </w:r>
      <w:r w:rsidR="00DA6C60" w:rsidRPr="00C50026">
        <w:rPr>
          <w:rFonts w:cs="UniversLTStd"/>
        </w:rPr>
        <w:t xml:space="preserve"> </w:t>
      </w:r>
      <w:r w:rsidR="008E1683" w:rsidRPr="00C50026">
        <w:t xml:space="preserve">Data from Women, Business and the Law </w:t>
      </w:r>
      <w:r w:rsidR="00E0479A">
        <w:t>research</w:t>
      </w:r>
      <w:r w:rsidR="008E1683" w:rsidRPr="00C50026">
        <w:rPr>
          <w:rStyle w:val="FootnoteReference"/>
        </w:rPr>
        <w:footnoteReference w:id="76"/>
      </w:r>
      <w:r w:rsidR="008E1683" w:rsidRPr="00C50026">
        <w:t xml:space="preserve"> show that 32 of 100 economies have specific </w:t>
      </w:r>
      <w:r w:rsidR="00E103F8">
        <w:t xml:space="preserve">legal </w:t>
      </w:r>
      <w:r w:rsidR="008E1683" w:rsidRPr="00C50026">
        <w:t xml:space="preserve">provisions </w:t>
      </w:r>
      <w:r w:rsidR="00E103F8">
        <w:t>addressing</w:t>
      </w:r>
      <w:r w:rsidR="008E1683" w:rsidRPr="00C50026">
        <w:t xml:space="preserve"> sexual harassment in schools</w:t>
      </w:r>
      <w:r w:rsidR="008E1683" w:rsidRPr="00C50026">
        <w:rPr>
          <w:rFonts w:cs="UniversLTStd"/>
        </w:rPr>
        <w:t>. However, many countries still l</w:t>
      </w:r>
      <w:r w:rsidR="00E103F8">
        <w:rPr>
          <w:rFonts w:cs="UniversLTStd"/>
        </w:rPr>
        <w:t>a</w:t>
      </w:r>
      <w:r w:rsidR="008E1683" w:rsidRPr="00C50026">
        <w:rPr>
          <w:rFonts w:cs="UniversLTStd"/>
        </w:rPr>
        <w:t xml:space="preserve">ck such laws, and even if they exist, </w:t>
      </w:r>
      <w:r w:rsidR="00DA6C60" w:rsidRPr="00C50026">
        <w:rPr>
          <w:rFonts w:cs="UniversLTStd"/>
        </w:rPr>
        <w:t xml:space="preserve">they are often not implemented or </w:t>
      </w:r>
      <w:r w:rsidR="00DA6C60" w:rsidRPr="00C50026">
        <w:rPr>
          <w:rFonts w:cs="UniversLTStd"/>
        </w:rPr>
        <w:lastRenderedPageBreak/>
        <w:t>enforced</w:t>
      </w:r>
      <w:r w:rsidR="008E1683" w:rsidRPr="00C50026">
        <w:rPr>
          <w:rFonts w:cs="UniversLTStd"/>
        </w:rPr>
        <w:t>, and the</w:t>
      </w:r>
      <w:r w:rsidR="00E103F8">
        <w:rPr>
          <w:rFonts w:cs="UniversLTStd"/>
        </w:rPr>
        <w:t xml:space="preserve"> </w:t>
      </w:r>
      <w:r w:rsidR="008E1683" w:rsidRPr="00C50026">
        <w:rPr>
          <w:rFonts w:cs="UniversLTStd"/>
        </w:rPr>
        <w:t xml:space="preserve">reporting </w:t>
      </w:r>
      <w:r w:rsidR="00DA6C60" w:rsidRPr="00C50026">
        <w:rPr>
          <w:rFonts w:cs="UniversLTStd"/>
        </w:rPr>
        <w:t>and accountability mechanisms are often weak</w:t>
      </w:r>
      <w:r w:rsidR="00E103F8">
        <w:rPr>
          <w:rFonts w:cs="UniversLTStd"/>
        </w:rPr>
        <w:t xml:space="preserve"> </w:t>
      </w:r>
      <w:r w:rsidR="00DA6C60" w:rsidRPr="00C50026">
        <w:rPr>
          <w:rFonts w:cs="UniversLTStd"/>
        </w:rPr>
        <w:t>and do not protect victims’ privacy and rights</w:t>
      </w:r>
      <w:r w:rsidR="00401BB7">
        <w:rPr>
          <w:rFonts w:cs="UniversLTStd"/>
        </w:rPr>
        <w:t>.</w:t>
      </w:r>
      <w:r w:rsidR="00DC2372" w:rsidRPr="00C50026">
        <w:rPr>
          <w:rStyle w:val="FootnoteReference"/>
        </w:rPr>
        <w:footnoteReference w:id="77"/>
      </w:r>
    </w:p>
    <w:p w:rsidR="00C31DCC" w:rsidRPr="00C50026" w:rsidRDefault="00C31DCC" w:rsidP="00C50026">
      <w:pPr>
        <w:autoSpaceDE w:val="0"/>
        <w:autoSpaceDN w:val="0"/>
        <w:bidi w:val="0"/>
        <w:adjustRightInd w:val="0"/>
        <w:spacing w:after="0"/>
        <w:jc w:val="both"/>
      </w:pPr>
    </w:p>
    <w:p w:rsidR="000B32FE" w:rsidRPr="00C50026" w:rsidRDefault="00E103F8" w:rsidP="0038398C">
      <w:pPr>
        <w:autoSpaceDE w:val="0"/>
        <w:autoSpaceDN w:val="0"/>
        <w:bidi w:val="0"/>
        <w:adjustRightInd w:val="0"/>
        <w:spacing w:after="0"/>
        <w:jc w:val="both"/>
      </w:pPr>
      <w:r>
        <w:t xml:space="preserve">The Israeli </w:t>
      </w:r>
      <w:r w:rsidR="00401BB7">
        <w:t>law, discussed above, applies</w:t>
      </w:r>
      <w:r>
        <w:t xml:space="preserve"> sexual harassment provisions to the educational environment. In Africa, </w:t>
      </w:r>
      <w:r w:rsidR="006B5754" w:rsidRPr="00C50026">
        <w:t xml:space="preserve">Swaziland </w:t>
      </w:r>
      <w:r w:rsidR="001F6154">
        <w:t>set</w:t>
      </w:r>
      <w:r w:rsidR="00034202" w:rsidRPr="00C50026">
        <w:t xml:space="preserve"> </w:t>
      </w:r>
      <w:r w:rsidR="00AB112C" w:rsidRPr="00C50026">
        <w:t>a good practice</w:t>
      </w:r>
      <w:r w:rsidR="00401BB7">
        <w:rPr>
          <w:rStyle w:val="FootnoteReference"/>
        </w:rPr>
        <w:footnoteReference w:id="78"/>
      </w:r>
      <w:r w:rsidR="00AB112C" w:rsidRPr="00C50026">
        <w:t xml:space="preserve"> in </w:t>
      </w:r>
      <w:r w:rsidR="001F6154">
        <w:t xml:space="preserve">response to a </w:t>
      </w:r>
      <w:r w:rsidR="00AB112C" w:rsidRPr="00C50026">
        <w:t xml:space="preserve">2007 survey </w:t>
      </w:r>
      <w:r w:rsidR="001F6154">
        <w:t>which</w:t>
      </w:r>
      <w:r w:rsidR="00AB112C" w:rsidRPr="00C50026">
        <w:t xml:space="preserve"> showed </w:t>
      </w:r>
      <w:r w:rsidR="00E768AF" w:rsidRPr="00C50026">
        <w:t>that more</w:t>
      </w:r>
      <w:r w:rsidR="006B5754" w:rsidRPr="00C50026">
        <w:t xml:space="preserve"> than a third of Swazi girls had been victims of sexual violence before</w:t>
      </w:r>
      <w:r w:rsidR="00401BB7">
        <w:t xml:space="preserve"> the</w:t>
      </w:r>
      <w:r w:rsidR="006B5754" w:rsidRPr="00C50026">
        <w:t xml:space="preserve"> age</w:t>
      </w:r>
      <w:r w:rsidR="00401BB7">
        <w:t xml:space="preserve"> of</w:t>
      </w:r>
      <w:r w:rsidR="006B5754" w:rsidRPr="00C50026">
        <w:t xml:space="preserve"> 18.</w:t>
      </w:r>
      <w:r w:rsidR="000B32FE" w:rsidRPr="00C50026">
        <w:t xml:space="preserve"> </w:t>
      </w:r>
      <w:r w:rsidR="001F6154">
        <w:t>The government established</w:t>
      </w:r>
      <w:r w:rsidR="00AB112C" w:rsidRPr="00C50026">
        <w:t xml:space="preserve"> new policies that publicized</w:t>
      </w:r>
      <w:r w:rsidR="000B32FE" w:rsidRPr="00C50026">
        <w:t xml:space="preserve"> the issue of sexual violence</w:t>
      </w:r>
      <w:r w:rsidR="00AB112C" w:rsidRPr="00C50026">
        <w:t xml:space="preserve">, </w:t>
      </w:r>
      <w:r w:rsidR="001F6154">
        <w:t>set up</w:t>
      </w:r>
      <w:r w:rsidR="000B32FE" w:rsidRPr="00C50026">
        <w:t xml:space="preserve"> safe schools</w:t>
      </w:r>
      <w:r w:rsidR="001F6154">
        <w:t xml:space="preserve">, </w:t>
      </w:r>
      <w:r w:rsidR="000B32FE" w:rsidRPr="00C50026">
        <w:t>confidential school reporting mechanisms</w:t>
      </w:r>
      <w:r w:rsidR="00AB112C" w:rsidRPr="00C50026">
        <w:t xml:space="preserve">, </w:t>
      </w:r>
      <w:r w:rsidR="00E928FB" w:rsidRPr="00C50026">
        <w:t xml:space="preserve">capacity building for </w:t>
      </w:r>
      <w:r w:rsidR="000B32FE" w:rsidRPr="00C50026">
        <w:t>police</w:t>
      </w:r>
      <w:r w:rsidR="00E928FB" w:rsidRPr="00C50026">
        <w:t xml:space="preserve">, </w:t>
      </w:r>
      <w:r w:rsidR="000B32FE" w:rsidRPr="00C50026">
        <w:t>child-friendly courts</w:t>
      </w:r>
      <w:r w:rsidR="00E928FB" w:rsidRPr="00C50026">
        <w:t>,</w:t>
      </w:r>
      <w:r w:rsidR="00E928FB" w:rsidRPr="00C50026" w:rsidDel="00E928FB">
        <w:t xml:space="preserve"> </w:t>
      </w:r>
      <w:r w:rsidR="000B32FE" w:rsidRPr="00C50026">
        <w:t>a public register of sexual offenders, and prevent</w:t>
      </w:r>
      <w:r w:rsidR="001F6154">
        <w:t>ed</w:t>
      </w:r>
      <w:r w:rsidR="000B32FE" w:rsidRPr="00C50026">
        <w:t xml:space="preserve"> previous </w:t>
      </w:r>
      <w:r w:rsidR="001F6154">
        <w:t xml:space="preserve">sex </w:t>
      </w:r>
      <w:r w:rsidR="000B32FE" w:rsidRPr="00C50026">
        <w:t>offenders from becoming teachers.</w:t>
      </w:r>
      <w:r w:rsidR="0038398C">
        <w:t xml:space="preserve"> It also </w:t>
      </w:r>
      <w:r w:rsidR="0038398C" w:rsidRPr="0038398C">
        <w:t xml:space="preserve">extended </w:t>
      </w:r>
      <w:r w:rsidR="0038398C">
        <w:t xml:space="preserve">the </w:t>
      </w:r>
      <w:r w:rsidR="0038398C" w:rsidRPr="00C50026">
        <w:t xml:space="preserve">definition of rape </w:t>
      </w:r>
      <w:r w:rsidR="0038398C">
        <w:t xml:space="preserve">to </w:t>
      </w:r>
      <w:r w:rsidR="0038398C" w:rsidRPr="00C50026">
        <w:t>include young men and boys</w:t>
      </w:r>
      <w:r w:rsidR="0038398C">
        <w:t>.</w:t>
      </w:r>
      <w:r w:rsidR="000B32FE" w:rsidRPr="00C50026">
        <w:t xml:space="preserve"> The Swazi experience has inspired </w:t>
      </w:r>
      <w:r w:rsidR="00E928FB" w:rsidRPr="00C50026">
        <w:t>t</w:t>
      </w:r>
      <w:r w:rsidR="000B32FE" w:rsidRPr="00C50026">
        <w:t>he Together for Girls initiative in Kenya, Tanzania and Zimbabwe.</w:t>
      </w:r>
      <w:r w:rsidR="00757DD3" w:rsidRPr="00C50026">
        <w:rPr>
          <w:rStyle w:val="FootnoteReference"/>
        </w:rPr>
        <w:footnoteReference w:id="79"/>
      </w:r>
    </w:p>
    <w:p w:rsidR="00AB112C" w:rsidRPr="00C50026" w:rsidRDefault="00AB112C" w:rsidP="00C50026">
      <w:pPr>
        <w:autoSpaceDE w:val="0"/>
        <w:autoSpaceDN w:val="0"/>
        <w:bidi w:val="0"/>
        <w:adjustRightInd w:val="0"/>
        <w:spacing w:after="0"/>
        <w:jc w:val="both"/>
      </w:pPr>
    </w:p>
    <w:p w:rsidR="000B32FE" w:rsidRDefault="00375193" w:rsidP="00E103F8">
      <w:pPr>
        <w:autoSpaceDE w:val="0"/>
        <w:autoSpaceDN w:val="0"/>
        <w:bidi w:val="0"/>
        <w:adjustRightInd w:val="0"/>
        <w:spacing w:after="0"/>
        <w:jc w:val="both"/>
      </w:pPr>
      <w:r w:rsidRPr="00C50026">
        <w:t xml:space="preserve">Another </w:t>
      </w:r>
      <w:r w:rsidR="000B32FE" w:rsidRPr="00C50026">
        <w:t xml:space="preserve">good practice </w:t>
      </w:r>
      <w:r w:rsidRPr="00C50026">
        <w:t xml:space="preserve">is </w:t>
      </w:r>
      <w:r w:rsidR="000B32FE" w:rsidRPr="00C50026">
        <w:t xml:space="preserve">to be found in Jamaica, </w:t>
      </w:r>
      <w:r w:rsidR="00E928FB" w:rsidRPr="00C50026">
        <w:t xml:space="preserve">which </w:t>
      </w:r>
      <w:r w:rsidR="000B32FE" w:rsidRPr="00C50026">
        <w:t>developed a plan to monitor the prevalence of violence by sex, age and type of crime</w:t>
      </w:r>
      <w:r w:rsidR="00757DD3" w:rsidRPr="00C50026">
        <w:t>, passed several laws to address violence in early childhood, and restructured and reformed its police and judicial system in order to provide support services to victims and to eliminate impunity for perpetrators.</w:t>
      </w:r>
      <w:r w:rsidRPr="00C50026">
        <w:t xml:space="preserve"> Jamaica has also set funds to implement policies in the </w:t>
      </w:r>
      <w:r w:rsidR="00E768AF" w:rsidRPr="00C50026">
        <w:t>Ministry</w:t>
      </w:r>
      <w:r w:rsidRPr="00C50026">
        <w:t xml:space="preserve"> of Education that are aimed at preventing violence and supporting vulnerable youth</w:t>
      </w:r>
      <w:r w:rsidR="00E768AF" w:rsidRPr="00C50026">
        <w:t xml:space="preserve">. It has </w:t>
      </w:r>
      <w:r w:rsidR="00E103F8">
        <w:t>also</w:t>
      </w:r>
      <w:r w:rsidR="00E768AF" w:rsidRPr="00C50026">
        <w:t xml:space="preserve"> </w:t>
      </w:r>
      <w:r w:rsidRPr="00C50026">
        <w:t xml:space="preserve">established </w:t>
      </w:r>
      <w:r w:rsidR="00383ACB">
        <w:t>a</w:t>
      </w:r>
      <w:r w:rsidR="00383ACB" w:rsidRPr="00C50026">
        <w:t xml:space="preserve"> </w:t>
      </w:r>
      <w:r w:rsidRPr="00C50026">
        <w:t>Task Force on Educational Reform and the Education</w:t>
      </w:r>
      <w:r w:rsidR="00E768AF" w:rsidRPr="00C50026">
        <w:t xml:space="preserve"> </w:t>
      </w:r>
      <w:r w:rsidRPr="00C50026">
        <w:t>Transformation Program</w:t>
      </w:r>
      <w:r w:rsidR="00E768AF" w:rsidRPr="00C50026">
        <w:t xml:space="preserve"> that</w:t>
      </w:r>
      <w:r w:rsidRPr="00C50026">
        <w:t xml:space="preserve"> focus on training teachers and school</w:t>
      </w:r>
      <w:r w:rsidR="00E768AF" w:rsidRPr="00C50026">
        <w:t xml:space="preserve"> </w:t>
      </w:r>
      <w:r w:rsidRPr="00C50026">
        <w:t xml:space="preserve">leadership to respond to violence and identify anti-social </w:t>
      </w:r>
      <w:r w:rsidR="00E768AF" w:rsidRPr="00C50026">
        <w:t>behavior</w:t>
      </w:r>
      <w:r w:rsidR="0038398C">
        <w:t>.</w:t>
      </w:r>
      <w:r w:rsidR="00757DD3" w:rsidRPr="00C50026">
        <w:rPr>
          <w:rStyle w:val="FootnoteReference"/>
        </w:rPr>
        <w:footnoteReference w:id="80"/>
      </w: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B154AF" w:rsidRDefault="00B154AF" w:rsidP="00B154AF">
      <w:pPr>
        <w:autoSpaceDE w:val="0"/>
        <w:autoSpaceDN w:val="0"/>
        <w:bidi w:val="0"/>
        <w:adjustRightInd w:val="0"/>
        <w:spacing w:after="0"/>
        <w:jc w:val="both"/>
      </w:pPr>
    </w:p>
    <w:p w:rsidR="00207279" w:rsidRPr="00C50026" w:rsidRDefault="00207279" w:rsidP="00207279">
      <w:pPr>
        <w:autoSpaceDE w:val="0"/>
        <w:autoSpaceDN w:val="0"/>
        <w:bidi w:val="0"/>
        <w:adjustRightInd w:val="0"/>
        <w:spacing w:after="0"/>
        <w:jc w:val="both"/>
      </w:pPr>
    </w:p>
    <w:p w:rsidR="00096C93" w:rsidRDefault="008E78DA" w:rsidP="0038398C">
      <w:pPr>
        <w:pStyle w:val="ListParagraph"/>
        <w:numPr>
          <w:ilvl w:val="0"/>
          <w:numId w:val="2"/>
        </w:numPr>
        <w:autoSpaceDE w:val="0"/>
        <w:autoSpaceDN w:val="0"/>
        <w:bidi w:val="0"/>
        <w:adjustRightInd w:val="0"/>
        <w:spacing w:after="0"/>
        <w:jc w:val="both"/>
        <w:rPr>
          <w:b/>
          <w:bCs/>
        </w:rPr>
      </w:pPr>
      <w:r w:rsidRPr="00140AE6">
        <w:rPr>
          <w:b/>
          <w:bCs/>
        </w:rPr>
        <w:lastRenderedPageBreak/>
        <w:t>VIOLENCE CONDONED OR PERPETRATED BY THE STATE</w:t>
      </w:r>
      <w:r w:rsidR="00613D24">
        <w:rPr>
          <w:rStyle w:val="FootnoteReference"/>
          <w:b/>
          <w:bCs/>
        </w:rPr>
        <w:footnoteReference w:id="81"/>
      </w:r>
      <w:r w:rsidRPr="00140AE6">
        <w:rPr>
          <w:b/>
          <w:bCs/>
        </w:rPr>
        <w:t xml:space="preserve"> </w:t>
      </w:r>
    </w:p>
    <w:p w:rsidR="0038398C" w:rsidRPr="0038398C" w:rsidRDefault="0038398C" w:rsidP="0038398C">
      <w:pPr>
        <w:pStyle w:val="ListParagraph"/>
        <w:autoSpaceDE w:val="0"/>
        <w:autoSpaceDN w:val="0"/>
        <w:bidi w:val="0"/>
        <w:adjustRightInd w:val="0"/>
        <w:spacing w:after="0"/>
        <w:jc w:val="both"/>
        <w:rPr>
          <w:b/>
          <w:bCs/>
        </w:rPr>
      </w:pPr>
    </w:p>
    <w:p w:rsidR="00091D72" w:rsidRDefault="0047132C" w:rsidP="0038398C">
      <w:pPr>
        <w:tabs>
          <w:tab w:val="right" w:pos="4253"/>
        </w:tabs>
        <w:bidi w:val="0"/>
        <w:jc w:val="both"/>
      </w:pPr>
      <w:r w:rsidRPr="00C50026">
        <w:t>The State</w:t>
      </w:r>
      <w:r w:rsidR="00383ACB">
        <w:t>,</w:t>
      </w:r>
      <w:r w:rsidRPr="00C50026">
        <w:t xml:space="preserve"> through its agents or its public policy</w:t>
      </w:r>
      <w:r w:rsidR="00383ACB">
        <w:t>,</w:t>
      </w:r>
      <w:r w:rsidRPr="00C50026">
        <w:t xml:space="preserve"> can perpetrate different kinds of violence </w:t>
      </w:r>
      <w:r w:rsidR="0038398C">
        <w:t>–</w:t>
      </w:r>
      <w:r w:rsidRPr="00C50026">
        <w:t xml:space="preserve"> physical, sexual and psychological </w:t>
      </w:r>
      <w:r w:rsidR="0038398C">
        <w:t>–</w:t>
      </w:r>
      <w:r w:rsidRPr="00C50026">
        <w:t xml:space="preserve"> against women.  </w:t>
      </w:r>
    </w:p>
    <w:p w:rsidR="008A727A" w:rsidRDefault="00091D72" w:rsidP="008A727A">
      <w:pPr>
        <w:bidi w:val="0"/>
        <w:jc w:val="both"/>
      </w:pPr>
      <w:r w:rsidRPr="00C50026">
        <w:t xml:space="preserve">The criminal law deserves special mention in addressing elimination of </w:t>
      </w:r>
      <w:r w:rsidR="00B30EA0">
        <w:t>VAW/GBV</w:t>
      </w:r>
      <w:r w:rsidRPr="00C50026">
        <w:t xml:space="preserve">. By means of the criminal law the state may directly victimize women. The criminal law may either target women by criminalizing behaviors which are not criminalized or punished in the same way when performed by men or by not criminalizing behavior in which women are the sole or main victim. </w:t>
      </w:r>
    </w:p>
    <w:p w:rsidR="008A727A" w:rsidRPr="000A6797" w:rsidRDefault="00091D72" w:rsidP="00012793">
      <w:pPr>
        <w:bidi w:val="0"/>
        <w:jc w:val="both"/>
        <w:rPr>
          <w:rFonts w:cs="CalistoMT"/>
        </w:rPr>
      </w:pPr>
      <w:r w:rsidRPr="00C50026">
        <w:t xml:space="preserve">The criminalizing of women’s sexual and reproductive behavior in some states includes: prohibition and punishment of abortion, including pregnancy resulting from rape and therapeutic abortion to save the woman’s life; </w:t>
      </w:r>
      <w:r>
        <w:t xml:space="preserve">prohibition of </w:t>
      </w:r>
      <w:r w:rsidRPr="00C50026">
        <w:t>adultery, including sexual relations of unmarried women or girls, with or without their consent</w:t>
      </w:r>
      <w:r>
        <w:t xml:space="preserve"> and punishment including by sentences of stoning</w:t>
      </w:r>
      <w:r w:rsidR="0038398C" w:rsidRPr="00C50026">
        <w:t>;</w:t>
      </w:r>
      <w:r w:rsidR="0038398C" w:rsidRPr="0038398C">
        <w:rPr>
          <w:rStyle w:val="FootnoteReference"/>
        </w:rPr>
        <w:t xml:space="preserve"> </w:t>
      </w:r>
      <w:r w:rsidR="0038398C" w:rsidRPr="00C50026">
        <w:rPr>
          <w:rStyle w:val="FootnoteReference"/>
        </w:rPr>
        <w:footnoteReference w:id="82"/>
      </w:r>
      <w:r w:rsidRPr="00C50026">
        <w:t xml:space="preserve"> </w:t>
      </w:r>
      <w:r w:rsidR="00D074CC" w:rsidRPr="00C50026">
        <w:t>forced sterilization and forced abortion</w:t>
      </w:r>
      <w:r>
        <w:t>;</w:t>
      </w:r>
      <w:r w:rsidR="00D074CC" w:rsidRPr="00C50026">
        <w:t xml:space="preserve"> sanctioning forced marriages</w:t>
      </w:r>
      <w:r w:rsidR="008A727A">
        <w:t>; and punishment for violation of restrictive modesty codes</w:t>
      </w:r>
      <w:r w:rsidR="00D074CC" w:rsidRPr="00C50026">
        <w:t xml:space="preserve">. </w:t>
      </w:r>
      <w:r w:rsidR="008A727A" w:rsidRPr="00C50026">
        <w:t xml:space="preserve">For example, on August 2013 Amira Osman </w:t>
      </w:r>
      <w:proofErr w:type="spellStart"/>
      <w:r w:rsidR="008A727A" w:rsidRPr="00C50026">
        <w:t>Hamed</w:t>
      </w:r>
      <w:proofErr w:type="spellEnd"/>
      <w:r w:rsidR="008A727A" w:rsidRPr="00C50026">
        <w:t>, a 35-year-old Sudanese civil engineer and women's rights activist, was arrested by the Public Order Police at the outskirts of Khartoum. She was charged under Article 152 of Sudan's 1991 Criminal Code with 'inde</w:t>
      </w:r>
      <w:r w:rsidR="008A727A">
        <w:t>cent or immoral dress' and faced</w:t>
      </w:r>
      <w:r w:rsidR="008A727A" w:rsidRPr="00C50026">
        <w:t xml:space="preserve"> the possibility of receiving up to 40 lashes</w:t>
      </w:r>
      <w:r w:rsidR="00012793">
        <w:t>.</w:t>
      </w:r>
      <w:r w:rsidR="008A727A" w:rsidRPr="00C50026">
        <w:rPr>
          <w:rStyle w:val="FootnoteReference"/>
        </w:rPr>
        <w:footnoteReference w:id="83"/>
      </w:r>
      <w:r w:rsidR="008A727A" w:rsidRPr="00C50026">
        <w:t xml:space="preserve"> The women of Sudan, supported by NGO's and UN personal, have begun protesting against the threat women face under the</w:t>
      </w:r>
      <w:r w:rsidR="00012793">
        <w:t xml:space="preserve"> </w:t>
      </w:r>
      <w:r w:rsidR="008A727A" w:rsidRPr="00C50026">
        <w:t>code and established movements like "One Billion Rising Khartoum" and "</w:t>
      </w:r>
      <w:hyperlink r:id="rId11" w:history="1">
        <w:r w:rsidR="008A727A" w:rsidRPr="00C50026">
          <w:t>We Will Not Be Silenced</w:t>
        </w:r>
      </w:hyperlink>
      <w:r w:rsidR="008A727A" w:rsidRPr="00C50026">
        <w:t>".</w:t>
      </w:r>
      <w:r w:rsidR="00012793" w:rsidRPr="00C50026">
        <w:rPr>
          <w:rStyle w:val="FootnoteReference"/>
        </w:rPr>
        <w:footnoteReference w:id="84"/>
      </w:r>
      <w:r w:rsidR="008A727A" w:rsidRPr="00C50026">
        <w:t xml:space="preserve"> These </w:t>
      </w:r>
      <w:r w:rsidR="008A727A">
        <w:t>protests</w:t>
      </w:r>
      <w:r w:rsidR="008A727A" w:rsidRPr="00C50026">
        <w:t xml:space="preserve"> form a good practice that should be noted and supported.</w:t>
      </w:r>
    </w:p>
    <w:p w:rsidR="00383ACB" w:rsidRDefault="008A727A" w:rsidP="00BC5ADA">
      <w:pPr>
        <w:bidi w:val="0"/>
        <w:jc w:val="both"/>
      </w:pPr>
      <w:r w:rsidRPr="00C50026">
        <w:t>Non-criminalization of behavior in which women are the sole or main victim includes: impunity for marital rape; impunity or reduced sentences for domestic violence, honor killings or crimes of passion; impunity for child or forced marriage; or failure to prosecute rape.</w:t>
      </w:r>
      <w:r>
        <w:t xml:space="preserve"> </w:t>
      </w:r>
      <w:r w:rsidR="00D074CC" w:rsidRPr="00C50026">
        <w:t>Th</w:t>
      </w:r>
      <w:r>
        <w:t>us, th</w:t>
      </w:r>
      <w:r w:rsidR="00D074CC" w:rsidRPr="00C50026">
        <w:t xml:space="preserve">e In-depth Study on All Forms of Violence against Women Report of the UN Secretary General finds that states may condone </w:t>
      </w:r>
      <w:r w:rsidR="00B30EA0">
        <w:t>VAW/GBV</w:t>
      </w:r>
      <w:r w:rsidR="00091D72">
        <w:t xml:space="preserve"> </w:t>
      </w:r>
      <w:r w:rsidR="00D074CC" w:rsidRPr="00C50026">
        <w:t>through inadequate laws or through ineffective implementation of laws, effectively allowing perpetrators of violence agains</w:t>
      </w:r>
      <w:r w:rsidR="00091D72">
        <w:t>t women impunity for their acts</w:t>
      </w:r>
      <w:r w:rsidR="00BC5ADA">
        <w:t>.</w:t>
      </w:r>
      <w:r w:rsidR="00383ACB">
        <w:rPr>
          <w:rStyle w:val="FootnoteReference"/>
        </w:rPr>
        <w:footnoteReference w:id="85"/>
      </w:r>
      <w:r w:rsidR="00F000BF">
        <w:t xml:space="preserve"> </w:t>
      </w:r>
    </w:p>
    <w:p w:rsidR="00207279" w:rsidRPr="00C50026" w:rsidRDefault="00D074CC" w:rsidP="00BC5ADA">
      <w:pPr>
        <w:bidi w:val="0"/>
        <w:jc w:val="both"/>
        <w:rPr>
          <w:rFonts w:cs="Times New Roman"/>
        </w:rPr>
      </w:pPr>
      <w:r w:rsidRPr="00C50026">
        <w:t>State agents</w:t>
      </w:r>
      <w:r w:rsidR="003C3D8E" w:rsidRPr="00C50026">
        <w:rPr>
          <w:rStyle w:val="FootnoteReference"/>
        </w:rPr>
        <w:footnoteReference w:id="86"/>
      </w:r>
      <w:r w:rsidRPr="00C50026">
        <w:t xml:space="preserve"> </w:t>
      </w:r>
      <w:r w:rsidR="003C3D8E" w:rsidRPr="00C50026">
        <w:t>may</w:t>
      </w:r>
      <w:r w:rsidRPr="00C50026">
        <w:t xml:space="preserve"> commit violence wh</w:t>
      </w:r>
      <w:r w:rsidR="00C30762">
        <w:t>ile per</w:t>
      </w:r>
      <w:r w:rsidRPr="00C50026">
        <w:t>forming their duty.</w:t>
      </w:r>
      <w:r w:rsidR="00B134F2" w:rsidRPr="00C50026">
        <w:t xml:space="preserve"> </w:t>
      </w:r>
      <w:r w:rsidR="00C30762">
        <w:t xml:space="preserve">The state is directly responsible for acts carried out by its uniformed agents. </w:t>
      </w:r>
      <w:r w:rsidR="00DB0AE4">
        <w:rPr>
          <w:rFonts w:cs="Times New Roman"/>
        </w:rPr>
        <w:t>This aspect of state violence is discussed in the Lowenstein Project background paper.</w:t>
      </w:r>
    </w:p>
    <w:p w:rsidR="00B134F2" w:rsidRDefault="008E78DA" w:rsidP="00BC5ADA">
      <w:pPr>
        <w:pStyle w:val="ListParagraph"/>
        <w:numPr>
          <w:ilvl w:val="0"/>
          <w:numId w:val="2"/>
        </w:numPr>
        <w:autoSpaceDE w:val="0"/>
        <w:autoSpaceDN w:val="0"/>
        <w:bidi w:val="0"/>
        <w:adjustRightInd w:val="0"/>
        <w:spacing w:after="0"/>
        <w:jc w:val="both"/>
        <w:rPr>
          <w:b/>
          <w:bCs/>
        </w:rPr>
      </w:pPr>
      <w:r w:rsidRPr="00140AE6">
        <w:rPr>
          <w:b/>
          <w:bCs/>
        </w:rPr>
        <w:lastRenderedPageBreak/>
        <w:t>CONCLUSION</w:t>
      </w:r>
      <w:r>
        <w:rPr>
          <w:b/>
          <w:bCs/>
        </w:rPr>
        <w:t xml:space="preserve"> AND RECOMMENDATIONS </w:t>
      </w:r>
      <w:r w:rsidRPr="00140AE6">
        <w:rPr>
          <w:b/>
          <w:bCs/>
        </w:rPr>
        <w:t xml:space="preserve"> </w:t>
      </w:r>
    </w:p>
    <w:p w:rsidR="00BC5ADA" w:rsidRPr="00BC5ADA" w:rsidRDefault="00BC5ADA" w:rsidP="00BC5ADA">
      <w:pPr>
        <w:pStyle w:val="ListParagraph"/>
        <w:autoSpaceDE w:val="0"/>
        <w:autoSpaceDN w:val="0"/>
        <w:bidi w:val="0"/>
        <w:adjustRightInd w:val="0"/>
        <w:spacing w:after="0"/>
        <w:jc w:val="both"/>
        <w:rPr>
          <w:b/>
          <w:bCs/>
        </w:rPr>
      </w:pPr>
    </w:p>
    <w:p w:rsidR="00DB0AE4" w:rsidRPr="00A7236E" w:rsidRDefault="00DB0AE4" w:rsidP="00B154AF">
      <w:pPr>
        <w:pStyle w:val="ListParagraph"/>
        <w:numPr>
          <w:ilvl w:val="0"/>
          <w:numId w:val="37"/>
        </w:numPr>
        <w:bidi w:val="0"/>
        <w:jc w:val="both"/>
      </w:pPr>
      <w:r w:rsidRPr="00A7236E">
        <w:t>States must take preventive measures, deter and severely punish all forms of violence</w:t>
      </w:r>
      <w:r w:rsidR="00BC5ADA">
        <w:t xml:space="preserve"> </w:t>
      </w:r>
      <w:r>
        <w:t>and sexual harassment</w:t>
      </w:r>
      <w:r w:rsidRPr="00A7236E">
        <w:t xml:space="preserve"> against women in the public arena, including</w:t>
      </w:r>
      <w:r>
        <w:t xml:space="preserve"> the street,</w:t>
      </w:r>
      <w:r w:rsidRPr="00A7236E">
        <w:t xml:space="preserve"> transport, workplaces and educational institutions, whether it is perpetrated by state agents or by private persons. </w:t>
      </w:r>
    </w:p>
    <w:p w:rsidR="008A3C43" w:rsidRPr="00477861" w:rsidRDefault="00B93381" w:rsidP="00B154AF">
      <w:pPr>
        <w:pStyle w:val="ListParagraph"/>
        <w:numPr>
          <w:ilvl w:val="0"/>
          <w:numId w:val="37"/>
        </w:numPr>
        <w:bidi w:val="0"/>
        <w:jc w:val="both"/>
        <w:rPr>
          <w:rtl/>
        </w:rPr>
      </w:pPr>
      <w:bookmarkStart w:id="0" w:name="_GoBack"/>
      <w:bookmarkEnd w:id="0"/>
      <w:r w:rsidRPr="00A7236E">
        <w:t xml:space="preserve">States must eliminate all </w:t>
      </w:r>
      <w:r>
        <w:t xml:space="preserve">criminal </w:t>
      </w:r>
      <w:r w:rsidRPr="00A7236E">
        <w:t>laws which discriminate against women by punishment of behaviours which are not punished when performed by men or which involve forcible invasion of women’s physical integrity and autonomy.</w:t>
      </w:r>
    </w:p>
    <w:sectPr w:rsidR="008A3C43" w:rsidRPr="00477861" w:rsidSect="00E73976">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06" w:rsidRDefault="00176906" w:rsidP="00F27659">
      <w:pPr>
        <w:spacing w:after="0" w:line="240" w:lineRule="auto"/>
      </w:pPr>
      <w:r>
        <w:separator/>
      </w:r>
    </w:p>
  </w:endnote>
  <w:endnote w:type="continuationSeparator" w:id="0">
    <w:p w:rsidR="00176906" w:rsidRDefault="00176906" w:rsidP="00F2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lanStorytellingClean">
    <w:altName w:val="Times New Roman"/>
    <w:panose1 w:val="00000000000000000000"/>
    <w:charset w:val="00"/>
    <w:family w:val="roman"/>
    <w:notTrueType/>
    <w:pitch w:val="default"/>
    <w:sig w:usb0="00000003" w:usb1="00000000" w:usb2="00000000" w:usb3="00000000" w:csb0="00000001" w:csb1="00000000"/>
  </w:font>
  <w:font w:name="UniversLTStd">
    <w:altName w:val="Arial"/>
    <w:panose1 w:val="00000000000000000000"/>
    <w:charset w:val="00"/>
    <w:family w:val="swiss"/>
    <w:notTrueType/>
    <w:pitch w:val="default"/>
    <w:sig w:usb0="00000003" w:usb1="00000000" w:usb2="00000000" w:usb3="00000000" w:csb0="00000001" w:csb1="00000000"/>
  </w:font>
  <w:font w:name="Calisto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06" w:rsidRDefault="00176906" w:rsidP="00F27659">
      <w:pPr>
        <w:spacing w:after="0" w:line="240" w:lineRule="auto"/>
      </w:pPr>
      <w:r>
        <w:separator/>
      </w:r>
    </w:p>
  </w:footnote>
  <w:footnote w:type="continuationSeparator" w:id="0">
    <w:p w:rsidR="00176906" w:rsidRDefault="00176906" w:rsidP="00F27659">
      <w:pPr>
        <w:spacing w:after="0" w:line="240" w:lineRule="auto"/>
      </w:pPr>
      <w:r>
        <w:continuationSeparator/>
      </w:r>
    </w:p>
  </w:footnote>
  <w:footnote w:id="1">
    <w:p w:rsidR="00575A80" w:rsidRPr="00A44782" w:rsidRDefault="00575A80" w:rsidP="00B154AF">
      <w:pPr>
        <w:pStyle w:val="FootnoteText"/>
        <w:bidi w:val="0"/>
        <w:rPr>
          <w:sz w:val="18"/>
          <w:szCs w:val="18"/>
        </w:rPr>
      </w:pPr>
      <w:r w:rsidRPr="00A44782">
        <w:rPr>
          <w:rStyle w:val="FootnoteReference"/>
          <w:sz w:val="18"/>
          <w:szCs w:val="18"/>
        </w:rPr>
        <w:footnoteRef/>
      </w:r>
      <w:r>
        <w:rPr>
          <w:sz w:val="18"/>
          <w:szCs w:val="18"/>
        </w:rPr>
        <w:t xml:space="preserve"> </w:t>
      </w:r>
      <w:r w:rsidRPr="00A44782">
        <w:rPr>
          <w:sz w:val="18"/>
          <w:szCs w:val="18"/>
        </w:rPr>
        <w:t xml:space="preserve">This research paper was written under the direction of Professor Frances </w:t>
      </w:r>
      <w:proofErr w:type="spellStart"/>
      <w:r w:rsidRPr="00A44782">
        <w:rPr>
          <w:sz w:val="18"/>
          <w:szCs w:val="18"/>
        </w:rPr>
        <w:t>Raday</w:t>
      </w:r>
      <w:proofErr w:type="spellEnd"/>
      <w:r w:rsidRPr="00A44782">
        <w:rPr>
          <w:sz w:val="18"/>
          <w:szCs w:val="18"/>
        </w:rPr>
        <w:t xml:space="preserve"> (Mandate Holder, UN Human Rights Council, Chair WG on Discrimination against Women; President of Concord Research Center for Integration of International Law in Israel</w:t>
      </w:r>
      <w:r>
        <w:rPr>
          <w:sz w:val="18"/>
          <w:szCs w:val="18"/>
        </w:rPr>
        <w:t>,</w:t>
      </w:r>
      <w:r w:rsidRPr="00A44782">
        <w:rPr>
          <w:sz w:val="18"/>
          <w:szCs w:val="18"/>
        </w:rPr>
        <w:t xml:space="preserve"> The </w:t>
      </w:r>
      <w:proofErr w:type="spellStart"/>
      <w:r w:rsidRPr="00A44782">
        <w:rPr>
          <w:sz w:val="18"/>
          <w:szCs w:val="18"/>
        </w:rPr>
        <w:t>Haim</w:t>
      </w:r>
      <w:proofErr w:type="spellEnd"/>
      <w:r w:rsidRPr="00A44782">
        <w:rPr>
          <w:sz w:val="18"/>
          <w:szCs w:val="18"/>
        </w:rPr>
        <w:t xml:space="preserve"> </w:t>
      </w:r>
      <w:proofErr w:type="spellStart"/>
      <w:r w:rsidRPr="00A44782">
        <w:rPr>
          <w:sz w:val="18"/>
          <w:szCs w:val="18"/>
        </w:rPr>
        <w:t>Striks</w:t>
      </w:r>
      <w:proofErr w:type="spellEnd"/>
      <w:r w:rsidRPr="00A44782">
        <w:rPr>
          <w:sz w:val="18"/>
          <w:szCs w:val="18"/>
        </w:rPr>
        <w:t xml:space="preserve"> School of Law, COLMAN and Professor of Law, Hebrew University, Jerusalem Israel (emerita)).</w:t>
      </w:r>
    </w:p>
  </w:footnote>
  <w:footnote w:id="2">
    <w:p w:rsidR="00575A80" w:rsidRPr="00A44782" w:rsidRDefault="00575A80" w:rsidP="00B154AF">
      <w:pPr>
        <w:pStyle w:val="FootnoteText"/>
        <w:bidi w:val="0"/>
        <w:rPr>
          <w:sz w:val="18"/>
          <w:szCs w:val="18"/>
        </w:rPr>
      </w:pPr>
      <w:r w:rsidRPr="00A44782">
        <w:rPr>
          <w:rStyle w:val="FootnoteReference"/>
          <w:sz w:val="18"/>
          <w:szCs w:val="18"/>
        </w:rPr>
        <w:footnoteRef/>
      </w:r>
      <w:r>
        <w:rPr>
          <w:rFonts w:hint="cs"/>
          <w:sz w:val="18"/>
          <w:szCs w:val="18"/>
          <w:rtl/>
        </w:rPr>
        <w:t xml:space="preserve"> </w:t>
      </w:r>
      <w:r w:rsidRPr="00A44782">
        <w:rPr>
          <w:sz w:val="18"/>
          <w:szCs w:val="18"/>
        </w:rPr>
        <w:t xml:space="preserve">See for example </w:t>
      </w:r>
      <w:proofErr w:type="spellStart"/>
      <w:r w:rsidRPr="00A44782">
        <w:rPr>
          <w:sz w:val="18"/>
          <w:szCs w:val="18"/>
        </w:rPr>
        <w:t>Felice</w:t>
      </w:r>
      <w:proofErr w:type="spellEnd"/>
      <w:r w:rsidRPr="00A44782">
        <w:rPr>
          <w:sz w:val="18"/>
          <w:szCs w:val="18"/>
        </w:rPr>
        <w:t xml:space="preserve"> </w:t>
      </w:r>
      <w:proofErr w:type="spellStart"/>
      <w:r w:rsidRPr="00A44782">
        <w:rPr>
          <w:sz w:val="18"/>
          <w:szCs w:val="18"/>
        </w:rPr>
        <w:t>Gaer</w:t>
      </w:r>
      <w:proofErr w:type="spellEnd"/>
      <w:r w:rsidRPr="00A44782">
        <w:rPr>
          <w:sz w:val="18"/>
          <w:szCs w:val="18"/>
        </w:rPr>
        <w:t xml:space="preserve">, "Rape as a Form of Torture: The Experience of the Committee against Torture", </w:t>
      </w:r>
      <w:proofErr w:type="spellStart"/>
      <w:r w:rsidRPr="00A44782">
        <w:rPr>
          <w:sz w:val="18"/>
          <w:szCs w:val="18"/>
        </w:rPr>
        <w:t>Cuny</w:t>
      </w:r>
      <w:proofErr w:type="spellEnd"/>
      <w:r w:rsidRPr="00A44782">
        <w:rPr>
          <w:sz w:val="18"/>
          <w:szCs w:val="18"/>
        </w:rPr>
        <w:t xml:space="preserve"> Law Review 15 (2012), 293.</w:t>
      </w:r>
    </w:p>
  </w:footnote>
  <w:footnote w:id="3">
    <w:p w:rsidR="00575A80" w:rsidRPr="00A44782" w:rsidRDefault="00575A80" w:rsidP="00B154AF">
      <w:pPr>
        <w:pStyle w:val="FootnoteText"/>
        <w:bidi w:val="0"/>
        <w:rPr>
          <w:sz w:val="18"/>
          <w:szCs w:val="18"/>
        </w:rPr>
      </w:pPr>
      <w:r w:rsidRPr="00A44782">
        <w:rPr>
          <w:rStyle w:val="FootnoteReference"/>
          <w:sz w:val="18"/>
          <w:szCs w:val="18"/>
        </w:rPr>
        <w:footnoteRef/>
      </w:r>
      <w:r>
        <w:rPr>
          <w:rFonts w:hint="cs"/>
          <w:sz w:val="18"/>
          <w:szCs w:val="18"/>
          <w:rtl/>
        </w:rPr>
        <w:t xml:space="preserve"> </w:t>
      </w:r>
      <w:r w:rsidRPr="00A44782">
        <w:rPr>
          <w:sz w:val="18"/>
          <w:szCs w:val="18"/>
        </w:rPr>
        <w:t xml:space="preserve">Marsha Freeman et al. eds., </w:t>
      </w:r>
      <w:proofErr w:type="gramStart"/>
      <w:r w:rsidRPr="00A44782">
        <w:rPr>
          <w:sz w:val="18"/>
          <w:szCs w:val="18"/>
        </w:rPr>
        <w:t>The</w:t>
      </w:r>
      <w:proofErr w:type="gramEnd"/>
      <w:r w:rsidRPr="00A44782">
        <w:rPr>
          <w:sz w:val="18"/>
          <w:szCs w:val="18"/>
        </w:rPr>
        <w:t xml:space="preserve"> U</w:t>
      </w:r>
      <w:r>
        <w:rPr>
          <w:sz w:val="18"/>
          <w:szCs w:val="18"/>
        </w:rPr>
        <w:t>N</w:t>
      </w:r>
      <w:r w:rsidRPr="00A44782">
        <w:rPr>
          <w:sz w:val="18"/>
          <w:szCs w:val="18"/>
        </w:rPr>
        <w:t xml:space="preserve"> Convention on The Elimination of All Forms of </w:t>
      </w:r>
      <w:r>
        <w:rPr>
          <w:sz w:val="18"/>
          <w:szCs w:val="18"/>
        </w:rPr>
        <w:t xml:space="preserve">Discrimination Against Women – </w:t>
      </w:r>
      <w:r w:rsidRPr="00A44782">
        <w:rPr>
          <w:sz w:val="18"/>
          <w:szCs w:val="18"/>
        </w:rPr>
        <w:t>A Commentary (Oxford, 2012), 444.</w:t>
      </w:r>
    </w:p>
  </w:footnote>
  <w:footnote w:id="4">
    <w:p w:rsidR="00575A80" w:rsidRPr="00A44782" w:rsidRDefault="00575A80" w:rsidP="00B154AF">
      <w:pPr>
        <w:pStyle w:val="FootnoteText"/>
        <w:bidi w:val="0"/>
        <w:rPr>
          <w:sz w:val="18"/>
          <w:szCs w:val="18"/>
          <w:rtl/>
        </w:rPr>
      </w:pPr>
      <w:r w:rsidRPr="00A44782">
        <w:rPr>
          <w:rStyle w:val="FootnoteReference"/>
          <w:sz w:val="18"/>
          <w:szCs w:val="18"/>
        </w:rPr>
        <w:footnoteRef/>
      </w:r>
      <w:r>
        <w:rPr>
          <w:rFonts w:hint="cs"/>
          <w:sz w:val="18"/>
          <w:szCs w:val="18"/>
          <w:rtl/>
        </w:rPr>
        <w:t xml:space="preserve"> </w:t>
      </w:r>
      <w:r w:rsidRPr="00A44782">
        <w:rPr>
          <w:sz w:val="18"/>
          <w:szCs w:val="18"/>
        </w:rPr>
        <w:t>Ibid, 450-451.</w:t>
      </w:r>
    </w:p>
  </w:footnote>
  <w:footnote w:id="5">
    <w:p w:rsidR="00575A80" w:rsidRPr="00A44782" w:rsidRDefault="00575A80" w:rsidP="00B154AF">
      <w:pPr>
        <w:pStyle w:val="FootnoteText"/>
        <w:bidi w:val="0"/>
        <w:rPr>
          <w:sz w:val="18"/>
          <w:szCs w:val="18"/>
        </w:rPr>
      </w:pPr>
      <w:r w:rsidRPr="00A44782">
        <w:rPr>
          <w:rStyle w:val="FootnoteReference"/>
          <w:sz w:val="18"/>
          <w:szCs w:val="18"/>
        </w:rPr>
        <w:footnoteRef/>
      </w:r>
      <w:r w:rsidRPr="00A44782">
        <w:rPr>
          <w:sz w:val="18"/>
          <w:szCs w:val="18"/>
          <w:rtl/>
        </w:rPr>
        <w:t xml:space="preserve"> </w:t>
      </w:r>
      <w:proofErr w:type="gramStart"/>
      <w:r w:rsidRPr="00A44782">
        <w:rPr>
          <w:sz w:val="18"/>
          <w:szCs w:val="18"/>
        </w:rPr>
        <w:t>Ibid, 453.</w:t>
      </w:r>
      <w:proofErr w:type="gramEnd"/>
    </w:p>
  </w:footnote>
  <w:footnote w:id="6">
    <w:p w:rsidR="00575A80" w:rsidRPr="00A44782" w:rsidRDefault="00575A80" w:rsidP="00B154AF">
      <w:pPr>
        <w:pStyle w:val="FootnoteText"/>
        <w:bidi w:val="0"/>
        <w:rPr>
          <w:sz w:val="18"/>
          <w:szCs w:val="18"/>
          <w:rtl/>
        </w:rPr>
      </w:pPr>
      <w:r w:rsidRPr="00A44782">
        <w:rPr>
          <w:rStyle w:val="FootnoteReference"/>
          <w:sz w:val="18"/>
          <w:szCs w:val="18"/>
        </w:rPr>
        <w:footnoteRef/>
      </w:r>
      <w:r>
        <w:rPr>
          <w:rFonts w:hint="cs"/>
          <w:sz w:val="18"/>
          <w:szCs w:val="18"/>
          <w:rtl/>
        </w:rPr>
        <w:t xml:space="preserve"> </w:t>
      </w:r>
      <w:proofErr w:type="gramStart"/>
      <w:r w:rsidRPr="00A44782">
        <w:rPr>
          <w:sz w:val="18"/>
          <w:szCs w:val="18"/>
        </w:rPr>
        <w:t>The General Assembly RES/48/104 Declaration on the Elimina</w:t>
      </w:r>
      <w:r w:rsidR="00B079E3">
        <w:rPr>
          <w:sz w:val="18"/>
          <w:szCs w:val="18"/>
        </w:rPr>
        <w:t xml:space="preserve">tion of Violence against Women </w:t>
      </w:r>
      <w:r w:rsidRPr="00A44782">
        <w:rPr>
          <w:sz w:val="18"/>
          <w:szCs w:val="18"/>
        </w:rPr>
        <w:t>(1993)</w:t>
      </w:r>
      <w:r w:rsidR="00B079E3">
        <w:rPr>
          <w:sz w:val="18"/>
          <w:szCs w:val="18"/>
        </w:rPr>
        <w:t xml:space="preserve">, </w:t>
      </w:r>
      <w:r w:rsidR="00B079E3" w:rsidRPr="00A44782">
        <w:rPr>
          <w:sz w:val="18"/>
          <w:szCs w:val="18"/>
        </w:rPr>
        <w:t>Art.</w:t>
      </w:r>
      <w:proofErr w:type="gramEnd"/>
      <w:r w:rsidR="00B079E3" w:rsidRPr="00A44782">
        <w:rPr>
          <w:sz w:val="18"/>
          <w:szCs w:val="18"/>
        </w:rPr>
        <w:t xml:space="preserve"> 1</w:t>
      </w:r>
      <w:r w:rsidRPr="00A44782">
        <w:rPr>
          <w:sz w:val="18"/>
          <w:szCs w:val="18"/>
        </w:rPr>
        <w:t>.</w:t>
      </w:r>
    </w:p>
  </w:footnote>
  <w:footnote w:id="7">
    <w:p w:rsidR="00575A80" w:rsidRPr="00A44782" w:rsidRDefault="00575A80" w:rsidP="00B154AF">
      <w:pPr>
        <w:pStyle w:val="FootnoteText"/>
        <w:bidi w:val="0"/>
        <w:rPr>
          <w:sz w:val="18"/>
          <w:szCs w:val="18"/>
          <w:rtl/>
        </w:rPr>
      </w:pPr>
      <w:r w:rsidRPr="00A44782">
        <w:rPr>
          <w:rStyle w:val="FootnoteReference"/>
          <w:sz w:val="18"/>
          <w:szCs w:val="18"/>
        </w:rPr>
        <w:footnoteRef/>
      </w:r>
      <w:r w:rsidRPr="00A44782">
        <w:rPr>
          <w:sz w:val="18"/>
          <w:szCs w:val="18"/>
          <w:rtl/>
        </w:rPr>
        <w:t xml:space="preserve"> </w:t>
      </w:r>
      <w:r w:rsidRPr="00A44782">
        <w:rPr>
          <w:sz w:val="18"/>
          <w:szCs w:val="18"/>
        </w:rPr>
        <w:t xml:space="preserve">General recommendation No. 28, forty-seventh </w:t>
      </w:r>
      <w:proofErr w:type="gramStart"/>
      <w:r w:rsidRPr="00A44782">
        <w:rPr>
          <w:sz w:val="18"/>
          <w:szCs w:val="18"/>
        </w:rPr>
        <w:t>session</w:t>
      </w:r>
      <w:proofErr w:type="gramEnd"/>
      <w:r w:rsidRPr="00A44782">
        <w:rPr>
          <w:sz w:val="18"/>
          <w:szCs w:val="18"/>
        </w:rPr>
        <w:t>, 2010: The Core Obligations of States Parties under Article 2 of the Convention on the Elimination of All Forms of Discrimination against Women</w:t>
      </w:r>
      <w:r w:rsidR="00AB797D">
        <w:rPr>
          <w:sz w:val="18"/>
          <w:szCs w:val="18"/>
        </w:rPr>
        <w:t xml:space="preserve"> (2010)</w:t>
      </w:r>
      <w:r w:rsidRPr="00A44782">
        <w:rPr>
          <w:sz w:val="18"/>
          <w:szCs w:val="18"/>
        </w:rPr>
        <w:t>.</w:t>
      </w:r>
    </w:p>
  </w:footnote>
  <w:footnote w:id="8">
    <w:p w:rsidR="00575A80" w:rsidRPr="00A44782" w:rsidRDefault="00575A80" w:rsidP="00B154AF">
      <w:pPr>
        <w:pStyle w:val="CommentText"/>
        <w:bidi w:val="0"/>
        <w:rPr>
          <w:sz w:val="18"/>
          <w:szCs w:val="18"/>
        </w:rPr>
      </w:pPr>
      <w:r w:rsidRPr="00A44782">
        <w:rPr>
          <w:rStyle w:val="FootnoteReference"/>
          <w:sz w:val="18"/>
          <w:szCs w:val="18"/>
        </w:rPr>
        <w:footnoteRef/>
      </w:r>
      <w:r>
        <w:rPr>
          <w:sz w:val="18"/>
          <w:szCs w:val="18"/>
        </w:rPr>
        <w:t xml:space="preserve"> </w:t>
      </w:r>
      <w:proofErr w:type="gramStart"/>
      <w:r w:rsidRPr="00A44782">
        <w:rPr>
          <w:sz w:val="18"/>
          <w:szCs w:val="18"/>
        </w:rPr>
        <w:t>The Vienna Declaration and Program of Action (1993), para.</w:t>
      </w:r>
      <w:proofErr w:type="gramEnd"/>
      <w:r w:rsidRPr="00A44782">
        <w:rPr>
          <w:sz w:val="18"/>
          <w:szCs w:val="18"/>
        </w:rPr>
        <w:t xml:space="preserve"> 18.</w:t>
      </w:r>
    </w:p>
  </w:footnote>
  <w:footnote w:id="9">
    <w:p w:rsidR="00575A80" w:rsidRPr="00A44782" w:rsidRDefault="00575A80" w:rsidP="00B154AF">
      <w:pPr>
        <w:pStyle w:val="FootnoteText"/>
        <w:bidi w:val="0"/>
        <w:rPr>
          <w:sz w:val="18"/>
          <w:szCs w:val="18"/>
          <w:rtl/>
        </w:rPr>
      </w:pPr>
      <w:r w:rsidRPr="00A44782">
        <w:rPr>
          <w:rStyle w:val="FootnoteReference"/>
          <w:sz w:val="18"/>
          <w:szCs w:val="18"/>
        </w:rPr>
        <w:footnoteRef/>
      </w:r>
      <w:r>
        <w:rPr>
          <w:sz w:val="18"/>
          <w:szCs w:val="18"/>
        </w:rPr>
        <w:t xml:space="preserve"> </w:t>
      </w:r>
      <w:r w:rsidRPr="00A44782">
        <w:rPr>
          <w:sz w:val="18"/>
          <w:szCs w:val="18"/>
        </w:rPr>
        <w:t>Supra note 3, 457.</w:t>
      </w:r>
    </w:p>
  </w:footnote>
  <w:footnote w:id="10">
    <w:p w:rsidR="00575A80" w:rsidRPr="00A44782" w:rsidRDefault="00575A80" w:rsidP="00B154AF">
      <w:pPr>
        <w:pStyle w:val="FootnoteText"/>
        <w:bidi w:val="0"/>
        <w:rPr>
          <w:sz w:val="18"/>
          <w:szCs w:val="18"/>
        </w:rPr>
      </w:pPr>
      <w:r w:rsidRPr="00A44782">
        <w:rPr>
          <w:rStyle w:val="FootnoteReference"/>
          <w:sz w:val="18"/>
          <w:szCs w:val="18"/>
        </w:rPr>
        <w:footnoteRef/>
      </w:r>
      <w:r>
        <w:rPr>
          <w:sz w:val="18"/>
          <w:szCs w:val="18"/>
        </w:rPr>
        <w:t xml:space="preserve"> </w:t>
      </w:r>
      <w:r w:rsidRPr="00A44782">
        <w:rPr>
          <w:sz w:val="18"/>
          <w:szCs w:val="18"/>
        </w:rPr>
        <w:t xml:space="preserve">Report on Mexico produced by the Committee on the Elimination of Discrimination against Women </w:t>
      </w:r>
      <w:r w:rsidR="00B079E3">
        <w:rPr>
          <w:sz w:val="18"/>
          <w:szCs w:val="18"/>
        </w:rPr>
        <w:t>under article 8 of the Optional</w:t>
      </w:r>
      <w:r w:rsidRPr="00A44782">
        <w:rPr>
          <w:sz w:val="18"/>
          <w:szCs w:val="18"/>
        </w:rPr>
        <w:t xml:space="preserve"> Protocol to the Convention, and reply fr</w:t>
      </w:r>
      <w:r w:rsidR="00B079E3">
        <w:rPr>
          <w:sz w:val="18"/>
          <w:szCs w:val="18"/>
        </w:rPr>
        <w:t xml:space="preserve">om the Government of </w:t>
      </w:r>
      <w:r w:rsidRPr="00A44782">
        <w:rPr>
          <w:sz w:val="18"/>
          <w:szCs w:val="18"/>
        </w:rPr>
        <w:t xml:space="preserve">Mexico (CEDAW/C/2005/OP.8/MEXICO) (2005), 9. </w:t>
      </w:r>
    </w:p>
  </w:footnote>
  <w:footnote w:id="11">
    <w:p w:rsidR="00575A80" w:rsidRPr="00A44782" w:rsidRDefault="00575A80" w:rsidP="00B154AF">
      <w:pPr>
        <w:pStyle w:val="FootnoteText"/>
        <w:bidi w:val="0"/>
        <w:rPr>
          <w:sz w:val="18"/>
          <w:szCs w:val="18"/>
        </w:rPr>
      </w:pPr>
      <w:r w:rsidRPr="00A44782">
        <w:rPr>
          <w:rStyle w:val="FootnoteReference"/>
          <w:sz w:val="18"/>
          <w:szCs w:val="18"/>
        </w:rPr>
        <w:footnoteRef/>
      </w:r>
      <w:r>
        <w:rPr>
          <w:sz w:val="18"/>
          <w:szCs w:val="18"/>
        </w:rPr>
        <w:t xml:space="preserve"> </w:t>
      </w:r>
      <w:proofErr w:type="gramStart"/>
      <w:r w:rsidRPr="00A44782">
        <w:rPr>
          <w:sz w:val="18"/>
          <w:szCs w:val="18"/>
        </w:rPr>
        <w:t>Ibid.</w:t>
      </w:r>
      <w:proofErr w:type="gramEnd"/>
      <w:r w:rsidRPr="00A44782">
        <w:rPr>
          <w:sz w:val="18"/>
          <w:szCs w:val="18"/>
        </w:rPr>
        <w:t xml:space="preserve"> </w:t>
      </w:r>
      <w:r w:rsidRPr="00A44782">
        <w:rPr>
          <w:sz w:val="18"/>
          <w:szCs w:val="18"/>
          <w:rtl/>
        </w:rPr>
        <w:cr/>
      </w:r>
    </w:p>
    <w:p w:rsidR="00575A80" w:rsidRPr="00A44782" w:rsidRDefault="00575A80" w:rsidP="00A44782">
      <w:pPr>
        <w:pStyle w:val="FootnoteText"/>
        <w:bidi w:val="0"/>
        <w:rPr>
          <w:sz w:val="18"/>
          <w:szCs w:val="18"/>
        </w:rPr>
      </w:pPr>
    </w:p>
  </w:footnote>
  <w:footnote w:id="12">
    <w:p w:rsidR="00575A80" w:rsidRPr="00A44782" w:rsidRDefault="00575A80" w:rsidP="00B154AF">
      <w:pPr>
        <w:autoSpaceDE w:val="0"/>
        <w:autoSpaceDN w:val="0"/>
        <w:bidi w:val="0"/>
        <w:adjustRightInd w:val="0"/>
        <w:spacing w:after="0" w:line="240" w:lineRule="auto"/>
        <w:rPr>
          <w:rFonts w:cs="Times New Roman"/>
          <w:sz w:val="18"/>
          <w:szCs w:val="18"/>
        </w:rPr>
      </w:pPr>
      <w:r w:rsidRPr="00A44782">
        <w:rPr>
          <w:rStyle w:val="FootnoteReference"/>
          <w:sz w:val="18"/>
          <w:szCs w:val="18"/>
        </w:rPr>
        <w:footnoteRef/>
      </w:r>
      <w:r>
        <w:rPr>
          <w:sz w:val="18"/>
          <w:szCs w:val="18"/>
        </w:rPr>
        <w:t xml:space="preserve"> </w:t>
      </w:r>
      <w:r w:rsidRPr="00A44782">
        <w:rPr>
          <w:rFonts w:cs="Times New Roman"/>
          <w:sz w:val="18"/>
          <w:szCs w:val="18"/>
        </w:rPr>
        <w:t>The World Bank, Women, Business and the Law 2014 - Removing Restrictions to Enhance Gender Equality - Key Findings (2013), accessed March 2, 2014, http://wbl.worldbank.org/~/media/FPDKM/WBL/Documents/Reports/2014/Women-Business-and-the-Law-2014-Key-Findings.pdf. These eight countries are: Bangladesh, Benin, Canada, Ecuador, Ethiopia, Fiji, Pakistan and Zambia – see "Protecting Women from Violence", Women, Business and the Law, accessed March 2, 2014, http://wbl.worldbank.org/data/exploretopics/protecting-women-from-violence#sexual-harassment.  For further reading regarding harassment of women in public spaces see Cynthia Grant Bowman, "Street Harassment and the Informal Ghettoization of Women", Harvard Law Review 106 (1993)</w:t>
      </w:r>
      <w:r>
        <w:rPr>
          <w:rFonts w:cs="Times New Roman"/>
          <w:sz w:val="18"/>
          <w:szCs w:val="18"/>
        </w:rPr>
        <w:t xml:space="preserve">, 517. </w:t>
      </w:r>
    </w:p>
  </w:footnote>
  <w:footnote w:id="13">
    <w:p w:rsidR="00575A80" w:rsidRPr="00DE6C0C" w:rsidRDefault="00575A80" w:rsidP="00B154AF">
      <w:pPr>
        <w:pStyle w:val="FootnoteText"/>
        <w:bidi w:val="0"/>
        <w:rPr>
          <w:sz w:val="18"/>
          <w:szCs w:val="18"/>
          <w:lang w:val="fr-CH"/>
        </w:rPr>
      </w:pPr>
      <w:r w:rsidRPr="00A44782">
        <w:rPr>
          <w:rStyle w:val="FootnoteReference"/>
          <w:sz w:val="18"/>
          <w:szCs w:val="18"/>
        </w:rPr>
        <w:footnoteRef/>
      </w:r>
      <w:r w:rsidRPr="00DE6C0C">
        <w:rPr>
          <w:sz w:val="18"/>
          <w:szCs w:val="18"/>
          <w:lang w:val="fr-CH"/>
        </w:rPr>
        <w:t xml:space="preserve"> </w:t>
      </w:r>
      <w:r w:rsidRPr="00DE6C0C">
        <w:rPr>
          <w:rFonts w:cstheme="majorBidi"/>
          <w:sz w:val="18"/>
          <w:szCs w:val="18"/>
          <w:lang w:val="fr-CH"/>
        </w:rPr>
        <w:t>Dhaka Metropolitan Police Ordinance</w:t>
      </w:r>
      <w:r w:rsidRPr="00DE6C0C">
        <w:rPr>
          <w:sz w:val="18"/>
          <w:szCs w:val="18"/>
          <w:lang w:val="fr-CH"/>
        </w:rPr>
        <w:t>, accessed April 29, 2014, http://bdlaws.minlaw.gov.bd/print_sections_all.php?id=511.</w:t>
      </w:r>
    </w:p>
  </w:footnote>
  <w:footnote w:id="14">
    <w:p w:rsidR="00575A80" w:rsidRPr="00A44782" w:rsidRDefault="00575A80" w:rsidP="00B154AF">
      <w:pPr>
        <w:pStyle w:val="FootnoteText"/>
        <w:bidi w:val="0"/>
        <w:rPr>
          <w:sz w:val="18"/>
          <w:szCs w:val="18"/>
          <w:rtl/>
        </w:rPr>
      </w:pPr>
      <w:r w:rsidRPr="00A44782">
        <w:rPr>
          <w:rStyle w:val="FootnoteReference"/>
          <w:sz w:val="18"/>
          <w:szCs w:val="18"/>
        </w:rPr>
        <w:footnoteRef/>
      </w:r>
      <w:r w:rsidRPr="00DE6C0C">
        <w:rPr>
          <w:sz w:val="18"/>
          <w:szCs w:val="18"/>
          <w:lang w:val="fr-CH"/>
        </w:rPr>
        <w:t xml:space="preserve"> </w:t>
      </w:r>
      <w:r w:rsidRPr="00DE6C0C">
        <w:rPr>
          <w:rFonts w:cs="Arial"/>
          <w:sz w:val="18"/>
          <w:szCs w:val="18"/>
          <w:bdr w:val="none" w:sz="0" w:space="0" w:color="auto" w:frame="1"/>
          <w:shd w:val="clear" w:color="auto" w:fill="FFFFFF"/>
          <w:lang w:val="fr-CH"/>
        </w:rPr>
        <w:t>Loi n°2011-26 du 09 janvier 2012 Portant prévention et repression des violences faites aux femmes, Art. 2</w:t>
      </w:r>
      <w:r w:rsidRPr="00DE6C0C">
        <w:rPr>
          <w:rStyle w:val="apple-converted-space"/>
          <w:rFonts w:cs="Arial"/>
          <w:color w:val="0066CC"/>
          <w:sz w:val="18"/>
          <w:szCs w:val="18"/>
          <w:bdr w:val="none" w:sz="0" w:space="0" w:color="auto" w:frame="1"/>
          <w:shd w:val="clear" w:color="auto" w:fill="FFFFFF"/>
          <w:lang w:val="fr-CH"/>
        </w:rPr>
        <w:t xml:space="preserve">, </w:t>
      </w:r>
      <w:r w:rsidRPr="00DE6C0C">
        <w:rPr>
          <w:sz w:val="18"/>
          <w:szCs w:val="18"/>
          <w:lang w:val="fr-CH"/>
        </w:rPr>
        <w:t xml:space="preserve">accessed April 29, 2014, http://www.bj.undp.org/content/dam/benin/docs/emancipationdesfemes/violences-faites-aux-femmes.pdf . </w:t>
      </w:r>
    </w:p>
  </w:footnote>
  <w:footnote w:id="15">
    <w:p w:rsidR="00575A80" w:rsidRPr="00A44782" w:rsidRDefault="00575A80" w:rsidP="00B154AF">
      <w:pPr>
        <w:pStyle w:val="FootnoteText"/>
        <w:bidi w:val="0"/>
        <w:rPr>
          <w:sz w:val="18"/>
          <w:szCs w:val="18"/>
        </w:rPr>
      </w:pPr>
      <w:r w:rsidRPr="00A44782">
        <w:rPr>
          <w:rStyle w:val="FootnoteReference"/>
          <w:sz w:val="18"/>
          <w:szCs w:val="18"/>
        </w:rPr>
        <w:footnoteRef/>
      </w:r>
      <w:r>
        <w:rPr>
          <w:sz w:val="18"/>
          <w:szCs w:val="18"/>
        </w:rPr>
        <w:t xml:space="preserve"> </w:t>
      </w:r>
      <w:r w:rsidRPr="00A44782">
        <w:rPr>
          <w:rFonts w:cs="Arial"/>
          <w:sz w:val="18"/>
          <w:szCs w:val="18"/>
          <w:bdr w:val="none" w:sz="0" w:space="0" w:color="auto" w:frame="1"/>
          <w:shd w:val="clear" w:color="auto" w:fill="FFFFFF"/>
        </w:rPr>
        <w:t>Anti-Gender-Based Violence Act, 2011, Sec.</w:t>
      </w:r>
      <w:r w:rsidR="00B154AF">
        <w:rPr>
          <w:rFonts w:cs="Arial"/>
          <w:sz w:val="18"/>
          <w:szCs w:val="18"/>
          <w:bdr w:val="none" w:sz="0" w:space="0" w:color="auto" w:frame="1"/>
          <w:shd w:val="clear" w:color="auto" w:fill="FFFFFF"/>
        </w:rPr>
        <w:t xml:space="preserve"> </w:t>
      </w:r>
      <w:r w:rsidRPr="00A44782">
        <w:rPr>
          <w:rFonts w:cs="Arial"/>
          <w:sz w:val="18"/>
          <w:szCs w:val="18"/>
          <w:bdr w:val="none" w:sz="0" w:space="0" w:color="auto" w:frame="1"/>
          <w:shd w:val="clear" w:color="auto" w:fill="FFFFFF"/>
        </w:rPr>
        <w:t>3(1)</w:t>
      </w:r>
      <w:r w:rsidRPr="00A44782">
        <w:rPr>
          <w:sz w:val="18"/>
          <w:szCs w:val="18"/>
        </w:rPr>
        <w:t>, accessed April 29, 2014, http://www.africanchildforum.org/clr/Legislation%20Per%20Country/Zambia/zambia_violence_2011_en.pdf.</w:t>
      </w:r>
    </w:p>
  </w:footnote>
  <w:footnote w:id="16">
    <w:p w:rsidR="00575A80" w:rsidRPr="00A44782" w:rsidRDefault="00575A80" w:rsidP="00B154AF">
      <w:pPr>
        <w:pStyle w:val="FootnoteText"/>
        <w:bidi w:val="0"/>
        <w:rPr>
          <w:sz w:val="18"/>
          <w:szCs w:val="18"/>
          <w:rtl/>
        </w:rPr>
      </w:pPr>
      <w:r w:rsidRPr="00A44782">
        <w:rPr>
          <w:rStyle w:val="FootnoteReference"/>
          <w:sz w:val="18"/>
          <w:szCs w:val="18"/>
        </w:rPr>
        <w:footnoteRef/>
      </w:r>
      <w:r>
        <w:rPr>
          <w:sz w:val="18"/>
          <w:szCs w:val="18"/>
        </w:rPr>
        <w:t xml:space="preserve"> </w:t>
      </w:r>
      <w:hyperlink r:id="rId1" w:history="1">
        <w:r w:rsidRPr="00A44782">
          <w:rPr>
            <w:rFonts w:cstheme="majorBidi"/>
            <w:sz w:val="18"/>
            <w:szCs w:val="18"/>
          </w:rPr>
          <w:t>Canada Human Rights Act</w:t>
        </w:r>
      </w:hyperlink>
      <w:proofErr w:type="gramStart"/>
      <w:r w:rsidRPr="00A44782">
        <w:rPr>
          <w:rFonts w:cstheme="majorBidi"/>
          <w:sz w:val="18"/>
          <w:szCs w:val="18"/>
        </w:rPr>
        <w:t>,</w:t>
      </w:r>
      <w:proofErr w:type="gramEnd"/>
      <w:r w:rsidRPr="00A44782">
        <w:rPr>
          <w:sz w:val="18"/>
          <w:szCs w:val="18"/>
        </w:rPr>
        <w:t xml:space="preserve"> accessed April 29, 2014</w:t>
      </w:r>
      <w:r w:rsidRPr="00A44782">
        <w:rPr>
          <w:rFonts w:cstheme="majorBidi"/>
          <w:sz w:val="18"/>
          <w:szCs w:val="18"/>
        </w:rPr>
        <w:t>,</w:t>
      </w:r>
      <w:r w:rsidRPr="00A44782">
        <w:rPr>
          <w:sz w:val="18"/>
          <w:szCs w:val="18"/>
        </w:rPr>
        <w:t xml:space="preserve"> http://laws-lois.justice.gc.ca/PDF/H-6.pdf.</w:t>
      </w:r>
    </w:p>
  </w:footnote>
  <w:footnote w:id="17">
    <w:p w:rsidR="00575A80" w:rsidRPr="00A44782" w:rsidRDefault="00575A80" w:rsidP="00B154AF">
      <w:pPr>
        <w:pStyle w:val="FootnoteText"/>
        <w:bidi w:val="0"/>
        <w:rPr>
          <w:sz w:val="18"/>
          <w:szCs w:val="18"/>
        </w:rPr>
      </w:pPr>
      <w:r w:rsidRPr="00A44782">
        <w:rPr>
          <w:rStyle w:val="FootnoteReference"/>
          <w:sz w:val="18"/>
          <w:szCs w:val="18"/>
        </w:rPr>
        <w:footnoteRef/>
      </w:r>
      <w:r w:rsidRPr="00DE6C0C">
        <w:rPr>
          <w:sz w:val="18"/>
          <w:szCs w:val="18"/>
          <w:lang w:val="fr-CH"/>
        </w:rPr>
        <w:t xml:space="preserve"> </w:t>
      </w:r>
      <w:hyperlink r:id="rId2" w:history="1">
        <w:r w:rsidRPr="00DE6C0C">
          <w:rPr>
            <w:rFonts w:cstheme="majorBidi"/>
            <w:sz w:val="18"/>
            <w:szCs w:val="18"/>
            <w:lang w:val="fr-CH"/>
          </w:rPr>
          <w:t xml:space="preserve">Ordenanza Municipal del Distrito Metropolitano de Quito. </w:t>
        </w:r>
        <w:r w:rsidRPr="00A44782">
          <w:rPr>
            <w:rFonts w:cstheme="majorBidi"/>
            <w:sz w:val="18"/>
            <w:szCs w:val="18"/>
          </w:rPr>
          <w:t>N. 235</w:t>
        </w:r>
      </w:hyperlink>
      <w:proofErr w:type="gramStart"/>
      <w:r w:rsidRPr="00A44782">
        <w:rPr>
          <w:rFonts w:cstheme="majorBidi"/>
          <w:sz w:val="18"/>
          <w:szCs w:val="18"/>
        </w:rPr>
        <w:t>,</w:t>
      </w:r>
      <w:proofErr w:type="gramEnd"/>
      <w:r w:rsidRPr="00A44782">
        <w:rPr>
          <w:sz w:val="18"/>
          <w:szCs w:val="18"/>
        </w:rPr>
        <w:t xml:space="preserve"> accessed April 29, 2014, http://www7.quito.gob.ec/mdmq_ordenanzas/Ordenanzas/ORDENANZAS%20MUNICIPALES%202012/ORDM-0235%20%20%20%20ERRADICACION%20DE%20LA%20VIOLENCIA.pdf.</w:t>
      </w:r>
    </w:p>
  </w:footnote>
  <w:footnote w:id="18">
    <w:p w:rsidR="00575A80" w:rsidRPr="00A44782" w:rsidRDefault="00575A80" w:rsidP="00B154AF">
      <w:pPr>
        <w:pStyle w:val="FootnoteText"/>
        <w:bidi w:val="0"/>
        <w:rPr>
          <w:sz w:val="18"/>
          <w:szCs w:val="18"/>
        </w:rPr>
      </w:pPr>
      <w:r w:rsidRPr="00A44782">
        <w:rPr>
          <w:rStyle w:val="FootnoteReference"/>
          <w:sz w:val="18"/>
          <w:szCs w:val="18"/>
        </w:rPr>
        <w:footnoteRef/>
      </w:r>
      <w:r>
        <w:rPr>
          <w:sz w:val="18"/>
          <w:szCs w:val="18"/>
        </w:rPr>
        <w:t xml:space="preserve"> </w:t>
      </w:r>
      <w:r w:rsidRPr="00A44782">
        <w:rPr>
          <w:rFonts w:cs="Arial"/>
          <w:sz w:val="18"/>
          <w:szCs w:val="18"/>
          <w:bdr w:val="none" w:sz="0" w:space="0" w:color="auto" w:frame="1"/>
          <w:shd w:val="clear" w:color="auto" w:fill="FFFFFF"/>
        </w:rPr>
        <w:t>Human Rights Commission Decree (No. 11) 2009, Sec.</w:t>
      </w:r>
      <w:r w:rsidR="00B154AF">
        <w:rPr>
          <w:rFonts w:cs="Arial"/>
          <w:sz w:val="18"/>
          <w:szCs w:val="18"/>
          <w:bdr w:val="none" w:sz="0" w:space="0" w:color="auto" w:frame="1"/>
          <w:shd w:val="clear" w:color="auto" w:fill="FFFFFF"/>
        </w:rPr>
        <w:t xml:space="preserve"> </w:t>
      </w:r>
      <w:proofErr w:type="gramStart"/>
      <w:r w:rsidRPr="00A44782">
        <w:rPr>
          <w:rFonts w:cs="Arial"/>
          <w:sz w:val="18"/>
          <w:szCs w:val="18"/>
          <w:bdr w:val="none" w:sz="0" w:space="0" w:color="auto" w:frame="1"/>
          <w:shd w:val="clear" w:color="auto" w:fill="FFFFFF"/>
        </w:rPr>
        <w:t>19(h</w:t>
      </w:r>
      <w:proofErr w:type="gramEnd"/>
      <w:r w:rsidRPr="00A44782">
        <w:rPr>
          <w:rFonts w:cs="Arial"/>
          <w:sz w:val="18"/>
          <w:szCs w:val="18"/>
          <w:bdr w:val="none" w:sz="0" w:space="0" w:color="auto" w:frame="1"/>
          <w:shd w:val="clear" w:color="auto" w:fill="FFFFFF"/>
        </w:rPr>
        <w:t>)</w:t>
      </w:r>
      <w:r w:rsidRPr="00A44782">
        <w:rPr>
          <w:sz w:val="18"/>
          <w:szCs w:val="18"/>
        </w:rPr>
        <w:t>, accessed April 29, 2014, http://www.paclii.org/fj/promu/promu_dec/hrcd2009280</w:t>
      </w:r>
      <w:r w:rsidRPr="00A44782">
        <w:rPr>
          <w:rFonts w:cs="Arial"/>
          <w:sz w:val="18"/>
          <w:szCs w:val="18"/>
          <w:rtl/>
        </w:rPr>
        <w:t>/</w:t>
      </w:r>
      <w:r w:rsidRPr="00A44782">
        <w:rPr>
          <w:sz w:val="18"/>
          <w:szCs w:val="18"/>
        </w:rPr>
        <w:t>.</w:t>
      </w:r>
    </w:p>
  </w:footnote>
  <w:footnote w:id="19">
    <w:p w:rsidR="00575A80" w:rsidRPr="00A44782" w:rsidRDefault="00575A80" w:rsidP="00A44782">
      <w:pPr>
        <w:pStyle w:val="FootnoteText"/>
        <w:bidi w:val="0"/>
        <w:rPr>
          <w:sz w:val="18"/>
          <w:szCs w:val="18"/>
        </w:rPr>
      </w:pPr>
      <w:r w:rsidRPr="00A44782">
        <w:rPr>
          <w:rStyle w:val="FootnoteReference"/>
          <w:sz w:val="18"/>
          <w:szCs w:val="18"/>
        </w:rPr>
        <w:footnoteRef/>
      </w:r>
      <w:r>
        <w:rPr>
          <w:sz w:val="18"/>
          <w:szCs w:val="18"/>
        </w:rPr>
        <w:t xml:space="preserve"> </w:t>
      </w:r>
      <w:r w:rsidRPr="00A44782">
        <w:rPr>
          <w:sz w:val="18"/>
          <w:szCs w:val="18"/>
        </w:rPr>
        <w:t xml:space="preserve">This part uses information from the </w:t>
      </w:r>
      <w:r w:rsidRPr="00A44782">
        <w:rPr>
          <w:rFonts w:cs="Times New Roman"/>
          <w:sz w:val="18"/>
          <w:szCs w:val="18"/>
        </w:rPr>
        <w:t>background paper prepared for the Working Group by the Lowenstein Human Rights Project</w:t>
      </w:r>
      <w:r w:rsidRPr="00A44782">
        <w:rPr>
          <w:sz w:val="18"/>
          <w:szCs w:val="18"/>
        </w:rPr>
        <w:t xml:space="preserve"> at </w:t>
      </w:r>
      <w:r w:rsidRPr="00A44782">
        <w:rPr>
          <w:rFonts w:cs="Times New Roman"/>
          <w:sz w:val="18"/>
          <w:szCs w:val="18"/>
        </w:rPr>
        <w:t>Yale Law School: "Good Practices for Addressing Sexual Violence against Women</w:t>
      </w:r>
      <w:r w:rsidR="00B079E3">
        <w:rPr>
          <w:rFonts w:cs="Times New Roman"/>
          <w:sz w:val="18"/>
          <w:szCs w:val="18"/>
        </w:rPr>
        <w:t>"</w:t>
      </w:r>
      <w:r w:rsidRPr="00A44782">
        <w:rPr>
          <w:sz w:val="18"/>
          <w:szCs w:val="18"/>
        </w:rPr>
        <w:t>.</w:t>
      </w:r>
    </w:p>
  </w:footnote>
  <w:footnote w:id="20">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Pr>
          <w:rFonts w:cs="Times New Roman"/>
          <w:sz w:val="18"/>
          <w:szCs w:val="18"/>
        </w:rPr>
        <w:t xml:space="preserve"> </w:t>
      </w:r>
      <w:r w:rsidRPr="00A44782">
        <w:rPr>
          <w:rFonts w:cs="Times New Roman"/>
          <w:sz w:val="18"/>
          <w:szCs w:val="18"/>
        </w:rPr>
        <w:t xml:space="preserve">Liliana </w:t>
      </w:r>
      <w:proofErr w:type="spellStart"/>
      <w:r w:rsidRPr="00A44782">
        <w:rPr>
          <w:rFonts w:cs="Times New Roman"/>
          <w:sz w:val="18"/>
          <w:szCs w:val="18"/>
        </w:rPr>
        <w:t>Rainero</w:t>
      </w:r>
      <w:proofErr w:type="spellEnd"/>
      <w:r w:rsidRPr="00A44782">
        <w:rPr>
          <w:rFonts w:cs="Times New Roman"/>
          <w:sz w:val="18"/>
          <w:szCs w:val="18"/>
        </w:rPr>
        <w:t>, </w:t>
      </w:r>
      <w:proofErr w:type="spellStart"/>
      <w:r w:rsidRPr="00A44782">
        <w:rPr>
          <w:rFonts w:cs="Times New Roman"/>
          <w:sz w:val="18"/>
          <w:szCs w:val="18"/>
        </w:rPr>
        <w:t>Maite</w:t>
      </w:r>
      <w:proofErr w:type="spellEnd"/>
      <w:r w:rsidRPr="00A44782">
        <w:rPr>
          <w:rFonts w:cs="Times New Roman"/>
          <w:sz w:val="18"/>
          <w:szCs w:val="18"/>
        </w:rPr>
        <w:t xml:space="preserve"> </w:t>
      </w:r>
      <w:proofErr w:type="spellStart"/>
      <w:r w:rsidRPr="00A44782">
        <w:rPr>
          <w:rFonts w:cs="Times New Roman"/>
          <w:sz w:val="18"/>
          <w:szCs w:val="18"/>
        </w:rPr>
        <w:t>Rodigou</w:t>
      </w:r>
      <w:proofErr w:type="spellEnd"/>
      <w:r w:rsidRPr="00A44782">
        <w:rPr>
          <w:rFonts w:cs="Times New Roman"/>
          <w:sz w:val="18"/>
          <w:szCs w:val="18"/>
        </w:rPr>
        <w:t xml:space="preserve"> &amp; Soledad Pérez</w:t>
      </w:r>
      <w:r w:rsidRPr="00A44782">
        <w:rPr>
          <w:sz w:val="18"/>
          <w:szCs w:val="18"/>
        </w:rPr>
        <w:t xml:space="preserve">, </w:t>
      </w:r>
      <w:r w:rsidRPr="00A44782">
        <w:rPr>
          <w:rFonts w:cs="Times New Roman"/>
          <w:sz w:val="18"/>
          <w:szCs w:val="18"/>
        </w:rPr>
        <w:t>Tools for the Promotion of Safe Cities from the Gender Perspective (2006), 8, accessed March 2, 2014, http://www.redmujer.org.ar/pdf_publicaciones/art_18.pdf.</w:t>
      </w:r>
    </w:p>
  </w:footnote>
  <w:footnote w:id="21">
    <w:p w:rsidR="00575A80" w:rsidRPr="00A44782" w:rsidRDefault="00575A80" w:rsidP="00A44782">
      <w:pPr>
        <w:pStyle w:val="FootnoteText"/>
        <w:bidi w:val="0"/>
        <w:rPr>
          <w:rFonts w:cs="Times New Roman"/>
          <w:sz w:val="18"/>
          <w:szCs w:val="18"/>
          <w:rtl/>
        </w:rPr>
      </w:pPr>
      <w:r w:rsidRPr="00A44782">
        <w:rPr>
          <w:rStyle w:val="FootnoteReference"/>
          <w:rFonts w:cs="Times New Roman"/>
          <w:sz w:val="18"/>
          <w:szCs w:val="18"/>
        </w:rPr>
        <w:footnoteRef/>
      </w:r>
      <w:r>
        <w:rPr>
          <w:rFonts w:cs="Times New Roman"/>
          <w:sz w:val="18"/>
          <w:szCs w:val="18"/>
        </w:rPr>
        <w:t xml:space="preserve"> </w:t>
      </w:r>
      <w:r w:rsidRPr="00A44782">
        <w:rPr>
          <w:rFonts w:cs="Times New Roman"/>
          <w:sz w:val="18"/>
          <w:szCs w:val="18"/>
        </w:rPr>
        <w:t>UN Women, Cities Working Across the Globe to Prevent and Reduce Sexual Harassment And Violence in Public Spaces, accessed March 2, 2014, http://saynotoviolence.org/sites/default/files/Brief%20Safe%20Cities%20Global%20Initiative%20CSW.pdf</w:t>
      </w:r>
    </w:p>
  </w:footnote>
  <w:footnote w:id="22">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Pr>
          <w:rFonts w:cs="Times New Roman"/>
          <w:sz w:val="18"/>
          <w:szCs w:val="18"/>
        </w:rPr>
        <w:t xml:space="preserve"> </w:t>
      </w:r>
      <w:r w:rsidRPr="00A44782">
        <w:rPr>
          <w:rFonts w:cs="Times New Roman"/>
          <w:sz w:val="18"/>
          <w:szCs w:val="18"/>
        </w:rPr>
        <w:t>UN Women, Breaking the Vicious Circle of Violence in Local Markets in Papua New Guinea, accessed March 2, 2014</w:t>
      </w:r>
      <w:r w:rsidRPr="00A44782">
        <w:rPr>
          <w:rFonts w:cs="Times New Roman"/>
          <w:smallCaps/>
          <w:sz w:val="18"/>
          <w:szCs w:val="18"/>
        </w:rPr>
        <w:t>,</w:t>
      </w:r>
      <w:r w:rsidRPr="00A44782">
        <w:rPr>
          <w:rFonts w:cs="Times New Roman"/>
          <w:sz w:val="18"/>
          <w:szCs w:val="18"/>
        </w:rPr>
        <w:t xml:space="preserve"> http://www.unwomen.org/en/news/stories/2012/11/breaking-the-vicious-circle-of-violence-in-local-markets-in-papua-new-guinea.</w:t>
      </w:r>
    </w:p>
  </w:footnote>
  <w:footnote w:id="23">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Pr>
          <w:rFonts w:cs="Times New Roman"/>
          <w:sz w:val="18"/>
          <w:szCs w:val="18"/>
        </w:rPr>
        <w:t xml:space="preserve"> </w:t>
      </w:r>
      <w:r w:rsidRPr="00A44782">
        <w:rPr>
          <w:rFonts w:cs="Times New Roman"/>
          <w:sz w:val="18"/>
          <w:szCs w:val="18"/>
        </w:rPr>
        <w:t>Supra note 20, 26.</w:t>
      </w:r>
    </w:p>
  </w:footnote>
  <w:footnote w:id="24">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w:t>
      </w:r>
      <w:proofErr w:type="gramEnd"/>
      <w:r w:rsidRPr="00A44782">
        <w:rPr>
          <w:rFonts w:cs="Times New Roman"/>
          <w:sz w:val="18"/>
          <w:szCs w:val="18"/>
        </w:rPr>
        <w:t xml:space="preserve"> </w:t>
      </w:r>
    </w:p>
  </w:footnote>
  <w:footnote w:id="25">
    <w:p w:rsidR="00575A80" w:rsidRPr="00A44782" w:rsidRDefault="00575A80" w:rsidP="00AB797D">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00B079E3">
        <w:rPr>
          <w:rFonts w:cs="Times New Roman"/>
          <w:sz w:val="18"/>
          <w:szCs w:val="18"/>
        </w:rPr>
        <w:t>Ibid</w:t>
      </w:r>
      <w:r w:rsidRPr="00A44782">
        <w:rPr>
          <w:rFonts w:cs="Times New Roman"/>
          <w:sz w:val="18"/>
          <w:szCs w:val="18"/>
        </w:rPr>
        <w:t>, 72.</w:t>
      </w:r>
      <w:proofErr w:type="gramEnd"/>
      <w:r w:rsidRPr="00A44782">
        <w:rPr>
          <w:rFonts w:cs="Times New Roman"/>
          <w:sz w:val="18"/>
          <w:szCs w:val="18"/>
        </w:rPr>
        <w:t xml:space="preserve">   </w:t>
      </w:r>
    </w:p>
  </w:footnote>
  <w:footnote w:id="26">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 73.</w:t>
      </w:r>
      <w:proofErr w:type="gramEnd"/>
      <w:r w:rsidRPr="00A44782">
        <w:rPr>
          <w:rFonts w:cs="Times New Roman"/>
          <w:sz w:val="18"/>
          <w:szCs w:val="18"/>
        </w:rPr>
        <w:t xml:space="preserve"> </w:t>
      </w:r>
    </w:p>
  </w:footnote>
  <w:footnote w:id="27">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 75.</w:t>
      </w:r>
      <w:proofErr w:type="gramEnd"/>
    </w:p>
  </w:footnote>
  <w:footnote w:id="28">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w:t>
      </w:r>
      <w:proofErr w:type="gramEnd"/>
      <w:r w:rsidRPr="00A44782">
        <w:rPr>
          <w:rFonts w:cs="Times New Roman"/>
          <w:sz w:val="18"/>
          <w:szCs w:val="18"/>
        </w:rPr>
        <w:t xml:space="preserve"> </w:t>
      </w:r>
    </w:p>
  </w:footnote>
  <w:footnote w:id="29">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William Thorpe, "How Can we Make Cities Safer for Women?</w:t>
      </w:r>
      <w:proofErr w:type="gramStart"/>
      <w:r w:rsidRPr="00A44782">
        <w:rPr>
          <w:rFonts w:cs="Times New Roman"/>
          <w:sz w:val="18"/>
          <w:szCs w:val="18"/>
        </w:rPr>
        <w:t>",</w:t>
      </w:r>
      <w:proofErr w:type="gramEnd"/>
      <w:r w:rsidRPr="00A44782">
        <w:rPr>
          <w:rFonts w:cs="Times New Roman"/>
          <w:sz w:val="18"/>
          <w:szCs w:val="18"/>
        </w:rPr>
        <w:t xml:space="preserve"> </w:t>
      </w:r>
      <w:r w:rsidRPr="00A44782">
        <w:rPr>
          <w:sz w:val="18"/>
          <w:szCs w:val="18"/>
        </w:rPr>
        <w:t>Cities Today</w:t>
      </w:r>
      <w:r w:rsidRPr="00A44782">
        <w:rPr>
          <w:rFonts w:cs="Times New Roman"/>
          <w:smallCaps/>
          <w:sz w:val="18"/>
          <w:szCs w:val="18"/>
        </w:rPr>
        <w:t>,</w:t>
      </w:r>
      <w:r w:rsidRPr="00A44782">
        <w:rPr>
          <w:rFonts w:cs="Times New Roman"/>
          <w:sz w:val="18"/>
          <w:szCs w:val="18"/>
        </w:rPr>
        <w:t xml:space="preserve"> August 15,</w:t>
      </w:r>
      <w:r w:rsidRPr="00A44782">
        <w:rPr>
          <w:rFonts w:cs="Times New Roman"/>
          <w:smallCaps/>
          <w:sz w:val="18"/>
          <w:szCs w:val="18"/>
        </w:rPr>
        <w:t xml:space="preserve"> 2013</w:t>
      </w:r>
      <w:r w:rsidRPr="00A44782">
        <w:rPr>
          <w:rFonts w:cs="Times New Roman"/>
          <w:sz w:val="18"/>
          <w:szCs w:val="18"/>
        </w:rPr>
        <w:t>.</w:t>
      </w:r>
    </w:p>
  </w:footnote>
  <w:footnote w:id="30">
    <w:p w:rsidR="00575A80" w:rsidRPr="00A44782" w:rsidRDefault="00575A80" w:rsidP="00A44782">
      <w:pPr>
        <w:pStyle w:val="FootnoteText"/>
        <w:bidi w:val="0"/>
        <w:rPr>
          <w:rFonts w:cs="Times New Roman"/>
          <w:sz w:val="18"/>
          <w:szCs w:val="18"/>
          <w:rtl/>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w:t>
      </w:r>
      <w:proofErr w:type="gramEnd"/>
      <w:r w:rsidRPr="00A44782">
        <w:rPr>
          <w:rFonts w:cs="Times New Roman"/>
          <w:sz w:val="18"/>
          <w:szCs w:val="18"/>
        </w:rPr>
        <w:t xml:space="preserve"> </w:t>
      </w:r>
    </w:p>
  </w:footnote>
  <w:footnote w:id="31">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Tim </w:t>
      </w:r>
      <w:proofErr w:type="spellStart"/>
      <w:r w:rsidRPr="00A44782">
        <w:rPr>
          <w:rFonts w:cs="Times New Roman"/>
          <w:sz w:val="18"/>
          <w:szCs w:val="18"/>
        </w:rPr>
        <w:t>Halbur</w:t>
      </w:r>
      <w:proofErr w:type="spellEnd"/>
      <w:r w:rsidRPr="00A44782">
        <w:rPr>
          <w:rFonts w:cs="Times New Roman"/>
          <w:sz w:val="18"/>
          <w:szCs w:val="18"/>
        </w:rPr>
        <w:t>, "Is Public Transportation Scary for Women?</w:t>
      </w:r>
      <w:proofErr w:type="gramStart"/>
      <w:r w:rsidRPr="00A44782">
        <w:rPr>
          <w:rFonts w:cs="Times New Roman"/>
          <w:sz w:val="18"/>
          <w:szCs w:val="18"/>
        </w:rPr>
        <w:t>",</w:t>
      </w:r>
      <w:proofErr w:type="gramEnd"/>
      <w:r w:rsidRPr="00A44782">
        <w:rPr>
          <w:rFonts w:cs="Times New Roman"/>
          <w:sz w:val="18"/>
          <w:szCs w:val="18"/>
        </w:rPr>
        <w:t xml:space="preserve"> February 17, 2010 , accessed March 2, 2014, http://grist.org/article/women-transit-and-the-perception-of-safety/.</w:t>
      </w:r>
    </w:p>
  </w:footnote>
  <w:footnote w:id="32">
    <w:p w:rsidR="00575A80" w:rsidRPr="00A44782" w:rsidRDefault="00575A80" w:rsidP="00A44782">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UN Women, "</w:t>
      </w:r>
      <w:proofErr w:type="gramStart"/>
      <w:r w:rsidRPr="00A44782">
        <w:rPr>
          <w:sz w:val="18"/>
          <w:szCs w:val="18"/>
        </w:rPr>
        <w:t>UN women condemns</w:t>
      </w:r>
      <w:proofErr w:type="gramEnd"/>
      <w:r w:rsidRPr="00A44782">
        <w:rPr>
          <w:sz w:val="18"/>
          <w:szCs w:val="18"/>
        </w:rPr>
        <w:t xml:space="preserve"> gang rape of Delhi student", December 20, 2012, accessed April 29, 2014, http://www.unwomen.org/en/news/stories/2012/12/un-women-condemns-gang-rape-of-delhi-student</w:t>
      </w:r>
      <w:r w:rsidRPr="00A44782">
        <w:rPr>
          <w:rFonts w:cs="Arial"/>
          <w:sz w:val="18"/>
          <w:szCs w:val="18"/>
          <w:rtl/>
        </w:rPr>
        <w:t>/</w:t>
      </w:r>
      <w:r w:rsidRPr="00A44782">
        <w:rPr>
          <w:sz w:val="18"/>
          <w:szCs w:val="18"/>
        </w:rPr>
        <w:t>.</w:t>
      </w:r>
    </w:p>
  </w:footnote>
  <w:footnote w:id="33">
    <w:p w:rsidR="00575A80" w:rsidRPr="00A44782" w:rsidRDefault="00575A80" w:rsidP="00A44782">
      <w:pPr>
        <w:pStyle w:val="FootnoteText"/>
        <w:bidi w:val="0"/>
        <w:rPr>
          <w:sz w:val="18"/>
          <w:szCs w:val="18"/>
          <w:rtl/>
        </w:rPr>
      </w:pPr>
      <w:r w:rsidRPr="00A44782">
        <w:rPr>
          <w:rStyle w:val="FootnoteReference"/>
          <w:sz w:val="18"/>
          <w:szCs w:val="18"/>
        </w:rPr>
        <w:footnoteRef/>
      </w:r>
      <w:r>
        <w:rPr>
          <w:sz w:val="18"/>
          <w:szCs w:val="18"/>
        </w:rPr>
        <w:t xml:space="preserve"> </w:t>
      </w:r>
      <w:r w:rsidRPr="00A44782">
        <w:rPr>
          <w:sz w:val="18"/>
          <w:szCs w:val="18"/>
        </w:rPr>
        <w:t>Criminal Law (Amendment) Ordinance, 2013, accessed April 29, 2014, http://www.pib.nic.in/newsite/erelease.aspx?relid=91979.</w:t>
      </w:r>
    </w:p>
  </w:footnote>
  <w:footnote w:id="34">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UN Women, From Play-acting to Real-Life Action- a Journey to End Harassment on Public Transit in Egypt, February 27, 2013, accessed March 2, 2014, http://www.unwomen.org/en/news/stories/2013/2/from-play-acting-to-real-life-action.</w:t>
      </w:r>
    </w:p>
  </w:footnote>
  <w:footnote w:id="35">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w:t>
      </w:r>
      <w:proofErr w:type="gramEnd"/>
      <w:r w:rsidRPr="00A44782">
        <w:rPr>
          <w:rFonts w:cs="Times New Roman"/>
          <w:sz w:val="18"/>
          <w:szCs w:val="18"/>
        </w:rPr>
        <w:t xml:space="preserve"> </w:t>
      </w:r>
    </w:p>
  </w:footnote>
  <w:footnote w:id="36">
    <w:p w:rsidR="00575A80" w:rsidRPr="00A44782" w:rsidRDefault="00575A80" w:rsidP="00A44782">
      <w:pPr>
        <w:pStyle w:val="FootnoteText"/>
        <w:bidi w:val="0"/>
        <w:rPr>
          <w:rFonts w:cs="Times New Roman"/>
          <w:sz w:val="18"/>
          <w:szCs w:val="18"/>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w:t>
      </w:r>
      <w:proofErr w:type="gramEnd"/>
      <w:r w:rsidRPr="00A44782">
        <w:rPr>
          <w:rFonts w:cs="Times New Roman"/>
          <w:sz w:val="18"/>
          <w:szCs w:val="18"/>
        </w:rPr>
        <w:t xml:space="preserve"> </w:t>
      </w:r>
    </w:p>
  </w:footnote>
  <w:footnote w:id="37">
    <w:p w:rsidR="00575A80" w:rsidRPr="00A44782" w:rsidRDefault="00575A80" w:rsidP="00A44782">
      <w:pPr>
        <w:pStyle w:val="FootnoteText"/>
        <w:bidi w:val="0"/>
        <w:rPr>
          <w:rFonts w:cs="Times New Roman"/>
          <w:sz w:val="18"/>
          <w:szCs w:val="18"/>
          <w:rtl/>
        </w:rPr>
      </w:pPr>
      <w:r w:rsidRPr="00A44782">
        <w:rPr>
          <w:rStyle w:val="FootnoteReference"/>
          <w:rFonts w:cs="Times New Roman"/>
          <w:sz w:val="18"/>
          <w:szCs w:val="18"/>
        </w:rPr>
        <w:footnoteRef/>
      </w:r>
      <w:r w:rsidRPr="00A44782">
        <w:rPr>
          <w:rFonts w:cs="Times New Roman"/>
          <w:sz w:val="18"/>
          <w:szCs w:val="18"/>
        </w:rPr>
        <w:t xml:space="preserve"> </w:t>
      </w:r>
      <w:proofErr w:type="gramStart"/>
      <w:r w:rsidRPr="00A44782">
        <w:rPr>
          <w:rFonts w:cs="Times New Roman"/>
          <w:sz w:val="18"/>
          <w:szCs w:val="18"/>
        </w:rPr>
        <w:t>Ibid.</w:t>
      </w:r>
      <w:proofErr w:type="gramEnd"/>
      <w:r w:rsidRPr="00A44782">
        <w:rPr>
          <w:rFonts w:cs="Times New Roman"/>
          <w:sz w:val="18"/>
          <w:szCs w:val="18"/>
        </w:rPr>
        <w:t xml:space="preserve"> </w:t>
      </w:r>
    </w:p>
  </w:footnote>
  <w:footnote w:id="38">
    <w:p w:rsidR="00575A80" w:rsidRPr="00A44782" w:rsidRDefault="00575A80" w:rsidP="00A44782">
      <w:pPr>
        <w:pStyle w:val="FootnoteText"/>
        <w:bidi w:val="0"/>
        <w:rPr>
          <w:rFonts w:cs="Times New Roman"/>
          <w:sz w:val="18"/>
          <w:szCs w:val="18"/>
          <w:rtl/>
        </w:rPr>
      </w:pPr>
      <w:r w:rsidRPr="00A44782">
        <w:rPr>
          <w:rStyle w:val="FootnoteReference"/>
          <w:rFonts w:cs="Times New Roman"/>
          <w:sz w:val="18"/>
          <w:szCs w:val="18"/>
        </w:rPr>
        <w:footnoteRef/>
      </w:r>
      <w:r w:rsidRPr="00A44782">
        <w:rPr>
          <w:rFonts w:cs="Times New Roman"/>
          <w:sz w:val="18"/>
          <w:szCs w:val="18"/>
        </w:rPr>
        <w:t xml:space="preserve"> Supra note 20, 68.  </w:t>
      </w:r>
    </w:p>
  </w:footnote>
  <w:footnote w:id="39">
    <w:p w:rsidR="00575A80" w:rsidRPr="00A44782" w:rsidRDefault="00575A80" w:rsidP="00A44782">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Supra note 3, 459.</w:t>
      </w:r>
    </w:p>
  </w:footnote>
  <w:footnote w:id="40">
    <w:p w:rsidR="00575A80" w:rsidRPr="00A44782" w:rsidRDefault="00575A80" w:rsidP="00A44782">
      <w:pPr>
        <w:pStyle w:val="FootnoteText"/>
        <w:bidi w:val="0"/>
        <w:rPr>
          <w:sz w:val="18"/>
          <w:szCs w:val="18"/>
          <w:rtl/>
        </w:rPr>
      </w:pPr>
      <w:r w:rsidRPr="00A44782">
        <w:rPr>
          <w:rStyle w:val="FootnoteReference"/>
          <w:sz w:val="18"/>
          <w:szCs w:val="18"/>
        </w:rPr>
        <w:footnoteRef/>
      </w:r>
      <w:r w:rsidRPr="00A44782">
        <w:rPr>
          <w:sz w:val="18"/>
          <w:szCs w:val="18"/>
          <w:rtl/>
        </w:rPr>
        <w:t xml:space="preserve"> </w:t>
      </w:r>
      <w:proofErr w:type="spellStart"/>
      <w:r w:rsidRPr="00A44782">
        <w:rPr>
          <w:sz w:val="18"/>
          <w:szCs w:val="18"/>
        </w:rPr>
        <w:t>Sapana</w:t>
      </w:r>
      <w:proofErr w:type="spellEnd"/>
      <w:r w:rsidRPr="00A44782">
        <w:rPr>
          <w:sz w:val="18"/>
          <w:szCs w:val="18"/>
        </w:rPr>
        <w:t xml:space="preserve"> Pradhan-</w:t>
      </w:r>
      <w:proofErr w:type="spellStart"/>
      <w:proofErr w:type="gramStart"/>
      <w:r w:rsidRPr="00A44782">
        <w:rPr>
          <w:sz w:val="18"/>
          <w:szCs w:val="18"/>
        </w:rPr>
        <w:t>Malla</w:t>
      </w:r>
      <w:proofErr w:type="spellEnd"/>
      <w:r w:rsidRPr="00A44782">
        <w:rPr>
          <w:sz w:val="18"/>
          <w:szCs w:val="18"/>
        </w:rPr>
        <w:t xml:space="preserve"> ,</w:t>
      </w:r>
      <w:proofErr w:type="gramEnd"/>
      <w:r w:rsidRPr="00A44782">
        <w:rPr>
          <w:sz w:val="18"/>
          <w:szCs w:val="18"/>
        </w:rPr>
        <w:t xml:space="preserve"> UN Division for the Advancement of Women, Sexual Harassment in the Workplace in Asia (2005), accessed</w:t>
      </w:r>
      <w:r w:rsidRPr="00A44782">
        <w:rPr>
          <w:rFonts w:cs="Times New Roman"/>
          <w:sz w:val="18"/>
          <w:szCs w:val="18"/>
        </w:rPr>
        <w:t> March 2, 2014,</w:t>
      </w:r>
      <w:r w:rsidRPr="00A44782">
        <w:rPr>
          <w:sz w:val="18"/>
          <w:szCs w:val="18"/>
        </w:rPr>
        <w:t xml:space="preserve">  http://www.un.org/womenwatch/daw/egm/GBV/VAW-gp-2005/docs/experts/pradhanmalla.sh.pdf.</w:t>
      </w:r>
    </w:p>
  </w:footnote>
  <w:footnote w:id="41">
    <w:p w:rsidR="00575A80" w:rsidRPr="00A44782" w:rsidRDefault="00575A80" w:rsidP="00ED209C">
      <w:pPr>
        <w:pStyle w:val="FootnoteText"/>
        <w:bidi w:val="0"/>
        <w:rPr>
          <w:sz w:val="18"/>
          <w:szCs w:val="18"/>
        </w:rPr>
      </w:pPr>
      <w:r w:rsidRPr="00A44782">
        <w:rPr>
          <w:rStyle w:val="FootnoteReference"/>
          <w:sz w:val="18"/>
          <w:szCs w:val="18"/>
        </w:rPr>
        <w:footnoteRef/>
      </w:r>
      <w:r w:rsidRPr="00A44782">
        <w:rPr>
          <w:sz w:val="18"/>
          <w:szCs w:val="18"/>
          <w:rtl/>
        </w:rPr>
        <w:t xml:space="preserve"> </w:t>
      </w:r>
      <w:proofErr w:type="gramStart"/>
      <w:r w:rsidR="00ED209C" w:rsidRPr="00ED209C">
        <w:rPr>
          <w:sz w:val="18"/>
          <w:szCs w:val="18"/>
        </w:rPr>
        <w:t>Committee on the Eliminati</w:t>
      </w:r>
      <w:r w:rsidR="00ED209C">
        <w:rPr>
          <w:sz w:val="18"/>
          <w:szCs w:val="18"/>
        </w:rPr>
        <w:t xml:space="preserve">on of Discrimination </w:t>
      </w:r>
      <w:r w:rsidR="00ED209C" w:rsidRPr="00ED209C">
        <w:rPr>
          <w:sz w:val="18"/>
          <w:szCs w:val="18"/>
        </w:rPr>
        <w:t>against Women</w:t>
      </w:r>
      <w:r w:rsidR="00ED209C">
        <w:rPr>
          <w:sz w:val="18"/>
          <w:szCs w:val="18"/>
        </w:rPr>
        <w:t xml:space="preserve">, </w:t>
      </w:r>
      <w:r w:rsidRPr="00A44782">
        <w:rPr>
          <w:sz w:val="18"/>
          <w:szCs w:val="18"/>
        </w:rPr>
        <w:t>CEDAW/C/46/</w:t>
      </w:r>
      <w:r w:rsidR="00B079E3">
        <w:rPr>
          <w:sz w:val="18"/>
          <w:szCs w:val="18"/>
        </w:rPr>
        <w:t>D/</w:t>
      </w:r>
      <w:r w:rsidRPr="00A44782">
        <w:rPr>
          <w:sz w:val="18"/>
          <w:szCs w:val="18"/>
        </w:rPr>
        <w:t>18/2008</w:t>
      </w:r>
      <w:r w:rsidR="00B079E3">
        <w:rPr>
          <w:sz w:val="18"/>
          <w:szCs w:val="18"/>
        </w:rPr>
        <w:t xml:space="preserve"> (2010</w:t>
      </w:r>
      <w:r w:rsidR="008B4C79">
        <w:rPr>
          <w:sz w:val="18"/>
          <w:szCs w:val="18"/>
        </w:rPr>
        <w:t>)</w:t>
      </w:r>
      <w:r w:rsidRPr="00A44782">
        <w:rPr>
          <w:sz w:val="18"/>
          <w:szCs w:val="18"/>
        </w:rPr>
        <w:t>.</w:t>
      </w:r>
      <w:proofErr w:type="gramEnd"/>
    </w:p>
  </w:footnote>
  <w:footnote w:id="42">
    <w:p w:rsidR="00ED209C" w:rsidRDefault="00ED209C" w:rsidP="00ED209C">
      <w:pPr>
        <w:pStyle w:val="FootnoteText"/>
        <w:bidi w:val="0"/>
      </w:pPr>
      <w:r>
        <w:rPr>
          <w:rStyle w:val="FootnoteReference"/>
        </w:rPr>
        <w:footnoteRef/>
      </w:r>
      <w:r>
        <w:rPr>
          <w:rtl/>
        </w:rPr>
        <w:t xml:space="preserve"> </w:t>
      </w:r>
      <w:r w:rsidRPr="008B4C79">
        <w:rPr>
          <w:sz w:val="18"/>
          <w:szCs w:val="18"/>
        </w:rPr>
        <w:t>Communication No. 18/2008</w:t>
      </w:r>
      <w:r>
        <w:rPr>
          <w:sz w:val="18"/>
          <w:szCs w:val="18"/>
        </w:rPr>
        <w:t xml:space="preserve"> (submitted </w:t>
      </w:r>
      <w:r w:rsidRPr="008B4C79">
        <w:rPr>
          <w:sz w:val="18"/>
          <w:szCs w:val="18"/>
        </w:rPr>
        <w:t xml:space="preserve">Karen </w:t>
      </w:r>
      <w:proofErr w:type="spellStart"/>
      <w:r w:rsidRPr="008B4C79">
        <w:rPr>
          <w:sz w:val="18"/>
          <w:szCs w:val="18"/>
        </w:rPr>
        <w:t>Tayag</w:t>
      </w:r>
      <w:proofErr w:type="spellEnd"/>
      <w:r w:rsidRPr="008B4C79">
        <w:rPr>
          <w:sz w:val="18"/>
          <w:szCs w:val="18"/>
        </w:rPr>
        <w:t xml:space="preserve"> </w:t>
      </w:r>
      <w:proofErr w:type="spellStart"/>
      <w:r w:rsidRPr="008B4C79">
        <w:rPr>
          <w:sz w:val="18"/>
          <w:szCs w:val="18"/>
        </w:rPr>
        <w:t>Vertido</w:t>
      </w:r>
      <w:proofErr w:type="spellEnd"/>
      <w:r>
        <w:rPr>
          <w:sz w:val="18"/>
          <w:szCs w:val="18"/>
        </w:rPr>
        <w:t>, November 29, 2007)</w:t>
      </w:r>
    </w:p>
  </w:footnote>
  <w:footnote w:id="43">
    <w:p w:rsidR="00A05AFC" w:rsidRDefault="00A05AFC" w:rsidP="006B093D">
      <w:pPr>
        <w:pStyle w:val="FootnoteText"/>
        <w:tabs>
          <w:tab w:val="left" w:pos="2785"/>
        </w:tabs>
        <w:bidi w:val="0"/>
      </w:pPr>
      <w:r>
        <w:rPr>
          <w:rStyle w:val="FootnoteReference"/>
        </w:rPr>
        <w:footnoteRef/>
      </w:r>
      <w:r>
        <w:rPr>
          <w:rtl/>
        </w:rPr>
        <w:t xml:space="preserve"> </w:t>
      </w:r>
      <w:r w:rsidR="006B093D">
        <w:rPr>
          <w:sz w:val="18"/>
          <w:szCs w:val="18"/>
        </w:rPr>
        <w:t>Supra note 41</w:t>
      </w:r>
      <w:r w:rsidRPr="00C8763E">
        <w:rPr>
          <w:sz w:val="18"/>
          <w:szCs w:val="18"/>
        </w:rPr>
        <w:t>, 5-6.</w:t>
      </w:r>
      <w:r w:rsidR="00ED209C">
        <w:rPr>
          <w:sz w:val="18"/>
          <w:szCs w:val="18"/>
        </w:rPr>
        <w:tab/>
      </w:r>
    </w:p>
  </w:footnote>
  <w:footnote w:id="44">
    <w:p w:rsidR="00575A80" w:rsidRPr="00A44782" w:rsidRDefault="00575A80" w:rsidP="001D55E5">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 xml:space="preserve">Supra note 3, </w:t>
      </w:r>
      <w:r w:rsidR="001D55E5">
        <w:rPr>
          <w:sz w:val="18"/>
          <w:szCs w:val="18"/>
        </w:rPr>
        <w:t>4</w:t>
      </w:r>
      <w:r w:rsidRPr="00A44782">
        <w:rPr>
          <w:sz w:val="18"/>
          <w:szCs w:val="18"/>
        </w:rPr>
        <w:t>57.</w:t>
      </w:r>
    </w:p>
  </w:footnote>
  <w:footnote w:id="45">
    <w:p w:rsidR="00575A80" w:rsidRPr="00A44782" w:rsidRDefault="00575A80" w:rsidP="00AB797D">
      <w:pPr>
        <w:pStyle w:val="FootnoteText"/>
        <w:bidi w:val="0"/>
        <w:rPr>
          <w:sz w:val="18"/>
          <w:szCs w:val="18"/>
          <w:rtl/>
        </w:rPr>
      </w:pPr>
      <w:r w:rsidRPr="00A44782">
        <w:rPr>
          <w:rStyle w:val="FootnoteReference"/>
          <w:sz w:val="18"/>
          <w:szCs w:val="18"/>
        </w:rPr>
        <w:footnoteRef/>
      </w:r>
      <w:r w:rsidRPr="00A44782">
        <w:rPr>
          <w:sz w:val="18"/>
          <w:szCs w:val="18"/>
          <w:rtl/>
        </w:rPr>
        <w:t xml:space="preserve"> </w:t>
      </w:r>
      <w:r w:rsidR="00AB797D">
        <w:rPr>
          <w:sz w:val="18"/>
          <w:szCs w:val="18"/>
        </w:rPr>
        <w:t>Ibid</w:t>
      </w:r>
      <w:r w:rsidRPr="00A44782">
        <w:rPr>
          <w:sz w:val="18"/>
          <w:szCs w:val="18"/>
        </w:rPr>
        <w:t>.</w:t>
      </w:r>
    </w:p>
  </w:footnote>
  <w:footnote w:id="46">
    <w:p w:rsidR="00575A80" w:rsidRPr="00A44782" w:rsidRDefault="00575A80" w:rsidP="00A44782">
      <w:pPr>
        <w:autoSpaceDE w:val="0"/>
        <w:autoSpaceDN w:val="0"/>
        <w:bidi w:val="0"/>
        <w:adjustRightInd w:val="0"/>
        <w:spacing w:after="0" w:line="240" w:lineRule="auto"/>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 xml:space="preserve">See Frances </w:t>
      </w:r>
      <w:proofErr w:type="spellStart"/>
      <w:r w:rsidRPr="00A44782">
        <w:rPr>
          <w:sz w:val="18"/>
          <w:szCs w:val="18"/>
        </w:rPr>
        <w:t>Raday</w:t>
      </w:r>
      <w:proofErr w:type="spellEnd"/>
      <w:r w:rsidRPr="00A44782">
        <w:rPr>
          <w:sz w:val="18"/>
          <w:szCs w:val="18"/>
        </w:rPr>
        <w:t xml:space="preserve">, "Feminist Legal Theory, Legislation and </w:t>
      </w:r>
      <w:proofErr w:type="spellStart"/>
      <w:r w:rsidRPr="00A44782">
        <w:rPr>
          <w:sz w:val="18"/>
          <w:szCs w:val="18"/>
        </w:rPr>
        <w:t>Ltigation</w:t>
      </w:r>
      <w:proofErr w:type="spellEnd"/>
      <w:r w:rsidRPr="00A44782">
        <w:rPr>
          <w:sz w:val="18"/>
          <w:szCs w:val="18"/>
        </w:rPr>
        <w:t xml:space="preserve"> in Israel; Retrospective", in Studies in Law, Gender and Feminism, eds. </w:t>
      </w:r>
      <w:proofErr w:type="spellStart"/>
      <w:r w:rsidRPr="00A44782">
        <w:rPr>
          <w:sz w:val="18"/>
          <w:szCs w:val="18"/>
        </w:rPr>
        <w:t>Dafna</w:t>
      </w:r>
      <w:proofErr w:type="spellEnd"/>
      <w:r w:rsidRPr="00A44782">
        <w:rPr>
          <w:sz w:val="18"/>
          <w:szCs w:val="18"/>
        </w:rPr>
        <w:t xml:space="preserve"> Barak-</w:t>
      </w:r>
      <w:proofErr w:type="spellStart"/>
      <w:r w:rsidRPr="00A44782">
        <w:rPr>
          <w:sz w:val="18"/>
          <w:szCs w:val="18"/>
        </w:rPr>
        <w:t>Erez</w:t>
      </w:r>
      <w:proofErr w:type="spellEnd"/>
      <w:r w:rsidRPr="00A44782">
        <w:rPr>
          <w:sz w:val="18"/>
          <w:szCs w:val="18"/>
        </w:rPr>
        <w:t xml:space="preserve"> et al. (2007), 19;  Anita Bernstein, "Treating Sexual Harassment with Respect", Harvard Law Review 11 (1997), 445; </w:t>
      </w:r>
      <w:proofErr w:type="spellStart"/>
      <w:r w:rsidRPr="00A44782">
        <w:rPr>
          <w:sz w:val="18"/>
          <w:szCs w:val="18"/>
        </w:rPr>
        <w:t>Noya</w:t>
      </w:r>
      <w:proofErr w:type="spellEnd"/>
      <w:r w:rsidRPr="00A44782">
        <w:rPr>
          <w:sz w:val="18"/>
          <w:szCs w:val="18"/>
        </w:rPr>
        <w:t xml:space="preserve"> </w:t>
      </w:r>
      <w:proofErr w:type="spellStart"/>
      <w:r w:rsidRPr="00A44782">
        <w:rPr>
          <w:sz w:val="18"/>
          <w:szCs w:val="18"/>
        </w:rPr>
        <w:t>Rimlat</w:t>
      </w:r>
      <w:proofErr w:type="spellEnd"/>
      <w:r w:rsidRPr="00A44782">
        <w:rPr>
          <w:sz w:val="18"/>
          <w:szCs w:val="18"/>
        </w:rPr>
        <w:t>, "Stereotyping Women, Individualizing Harassment: The Dignitary Paradigm of Sexual Harassment Law Between the Limits of Law and the Limits of Feminism", Yale Journal of Law and Feminism 19 (2008), 391.</w:t>
      </w:r>
    </w:p>
  </w:footnote>
  <w:footnote w:id="47">
    <w:p w:rsidR="00575A80" w:rsidRPr="00A44782" w:rsidRDefault="00575A80" w:rsidP="00A44782">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rFonts w:cs="Times New Roman"/>
          <w:sz w:val="18"/>
          <w:szCs w:val="18"/>
        </w:rPr>
        <w:t>Deirdre McCann</w:t>
      </w:r>
      <w:r w:rsidRPr="00A44782">
        <w:rPr>
          <w:sz w:val="18"/>
          <w:szCs w:val="18"/>
        </w:rPr>
        <w:t>, ILO, Sexual harassment at work: National and international responses (</w:t>
      </w:r>
      <w:r w:rsidRPr="00A44782">
        <w:rPr>
          <w:rFonts w:cs="Times New Roman"/>
          <w:sz w:val="18"/>
          <w:szCs w:val="18"/>
        </w:rPr>
        <w:t xml:space="preserve">Conditions of Work and Employment Series No. </w:t>
      </w:r>
      <w:proofErr w:type="gramStart"/>
      <w:r w:rsidRPr="00A44782">
        <w:rPr>
          <w:rFonts w:cs="Times New Roman"/>
          <w:sz w:val="18"/>
          <w:szCs w:val="18"/>
        </w:rPr>
        <w:t>2</w:t>
      </w:r>
      <w:r w:rsidRPr="00A44782">
        <w:rPr>
          <w:sz w:val="18"/>
          <w:szCs w:val="18"/>
        </w:rPr>
        <w:t>.,</w:t>
      </w:r>
      <w:proofErr w:type="gramEnd"/>
      <w:r w:rsidRPr="00A44782">
        <w:rPr>
          <w:sz w:val="18"/>
          <w:szCs w:val="18"/>
        </w:rPr>
        <w:t xml:space="preserve"> 2005).</w:t>
      </w:r>
    </w:p>
  </w:footnote>
  <w:footnote w:id="48">
    <w:p w:rsidR="00575A80" w:rsidRPr="00A44782" w:rsidRDefault="00575A80" w:rsidP="00A44782">
      <w:pPr>
        <w:pStyle w:val="FootnoteText"/>
        <w:bidi w:val="0"/>
        <w:rPr>
          <w:sz w:val="18"/>
          <w:szCs w:val="18"/>
          <w:rtl/>
        </w:rPr>
      </w:pPr>
      <w:r w:rsidRPr="00A44782">
        <w:rPr>
          <w:rStyle w:val="FootnoteReference"/>
          <w:sz w:val="18"/>
          <w:szCs w:val="18"/>
        </w:rPr>
        <w:footnoteRef/>
      </w:r>
      <w:r w:rsidRPr="00A44782">
        <w:rPr>
          <w:sz w:val="18"/>
          <w:szCs w:val="18"/>
          <w:rtl/>
        </w:rPr>
        <w:t xml:space="preserve"> </w:t>
      </w:r>
      <w:r w:rsidRPr="00A44782">
        <w:rPr>
          <w:rFonts w:cs="Times New Roman"/>
          <w:sz w:val="18"/>
          <w:szCs w:val="18"/>
        </w:rPr>
        <w:t>The World Bank, Women, Business and the Law 2014 - Removing Restrictions to Enhance Gender Equality - Key Findings (2013), accessed March 2, 2014, http://wbl.worldbank.org/~/media/FPDKM/WBL/Documents/Reports/2014/Women-Business-and-the-Law-2014-Key-Findings.pdf</w:t>
      </w:r>
      <w:r w:rsidRPr="00A44782">
        <w:rPr>
          <w:sz w:val="18"/>
          <w:szCs w:val="18"/>
        </w:rPr>
        <w:t>0.</w:t>
      </w:r>
    </w:p>
  </w:footnote>
  <w:footnote w:id="49">
    <w:p w:rsidR="00575A80" w:rsidRPr="00A44782" w:rsidRDefault="00575A80" w:rsidP="00B154AF">
      <w:pPr>
        <w:bidi w:val="0"/>
        <w:spacing w:after="0" w:line="240" w:lineRule="auto"/>
        <w:rPr>
          <w:sz w:val="18"/>
          <w:szCs w:val="18"/>
          <w:shd w:val="clear" w:color="auto" w:fill="FFFFFF"/>
        </w:rPr>
      </w:pPr>
      <w:r w:rsidRPr="00A44782">
        <w:rPr>
          <w:rStyle w:val="FootnoteReference"/>
          <w:sz w:val="18"/>
          <w:szCs w:val="18"/>
        </w:rPr>
        <w:footnoteRef/>
      </w:r>
      <w:r w:rsidRPr="00A44782">
        <w:rPr>
          <w:sz w:val="18"/>
          <w:szCs w:val="18"/>
          <w:rtl/>
        </w:rPr>
        <w:t xml:space="preserve"> </w:t>
      </w:r>
      <w:r w:rsidRPr="00A44782">
        <w:rPr>
          <w:sz w:val="18"/>
          <w:szCs w:val="18"/>
        </w:rPr>
        <w:t>For example: "The 1996 International Crime Victim Survey IC(V)S survey among more than 30 countries worldwide… found that the highest percentages of victimization at the workplace were observed for sexual incidents against women – inclusive of rape, attempted rape, indecent assault or offensive behavior"; "In a study of the Human Rights Commission in New Zealand that reviewed 284 sexual harassment complaints filed with the Commission between 1995-2000, it was found that despite the common assertion that ‘women also sexually harass men’, 90 per cent of complaints involved men sexually harassing women. ‘Male to male’ harassment was the next most common complaint (6 per cent), while ‘female to female’ harassment accounted for 2 per cent of the complaints. Fewer than 2 per cent of the cases involved women sexually harassing men." ILO, Action against Sexual Harassment at Work in Asia and the Pacific (2001), 49.</w:t>
      </w:r>
    </w:p>
  </w:footnote>
  <w:footnote w:id="50">
    <w:p w:rsidR="00575A80" w:rsidRPr="00A44782" w:rsidRDefault="00575A80" w:rsidP="00B154AF">
      <w:pPr>
        <w:pStyle w:val="FootnoteText"/>
        <w:bidi w:val="0"/>
        <w:rPr>
          <w:sz w:val="18"/>
          <w:szCs w:val="18"/>
          <w:rtl/>
        </w:rPr>
      </w:pPr>
      <w:r w:rsidRPr="00A44782">
        <w:rPr>
          <w:rStyle w:val="FootnoteReference"/>
          <w:sz w:val="18"/>
          <w:szCs w:val="18"/>
        </w:rPr>
        <w:footnoteRef/>
      </w:r>
      <w:r w:rsidRPr="00A44782">
        <w:rPr>
          <w:sz w:val="18"/>
          <w:szCs w:val="18"/>
        </w:rPr>
        <w:t xml:space="preserve"> </w:t>
      </w:r>
      <w:proofErr w:type="gramStart"/>
      <w:r w:rsidRPr="00A44782">
        <w:rPr>
          <w:sz w:val="18"/>
          <w:szCs w:val="18"/>
        </w:rPr>
        <w:t>Directorate-General for Employment, Industrial Relations and Soc</w:t>
      </w:r>
      <w:r>
        <w:rPr>
          <w:sz w:val="18"/>
          <w:szCs w:val="18"/>
        </w:rPr>
        <w:t xml:space="preserve">ial Affairs, Sexual harassment </w:t>
      </w:r>
      <w:r w:rsidRPr="00A44782">
        <w:rPr>
          <w:sz w:val="18"/>
          <w:szCs w:val="18"/>
        </w:rPr>
        <w:t>at the workplace in the European Union (European Commission, 1998).</w:t>
      </w:r>
      <w:proofErr w:type="gramEnd"/>
      <w:r w:rsidRPr="00A44782">
        <w:rPr>
          <w:sz w:val="18"/>
          <w:szCs w:val="18"/>
        </w:rPr>
        <w:t xml:space="preserve"> ILO, “Action against sexual harassment at work in Asia and the Pacific”, technical report for discussion at the ILO/Japan regional tripartite seminar on action against sexual harassment at work in Asia and the Pacific, Penang, Malaysia, 2-4 October 2001. Both resources are cited in UN General Assembly, “In-depth Study on All Forms of Violence against Women: Report of the Secretary-General” A/61/122/Add.1, (New York: 2006), 42. </w:t>
      </w:r>
    </w:p>
  </w:footnote>
  <w:footnote w:id="51">
    <w:p w:rsidR="00575A80" w:rsidRPr="00A44782" w:rsidRDefault="00575A80" w:rsidP="00B154AF">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ILO, Sexual Harassment at Work (2007), accessed March 2, 2014, http://www.ilo.org/wcmsp5/groups/public/---</w:t>
      </w:r>
      <w:proofErr w:type="spellStart"/>
      <w:r w:rsidRPr="00A44782">
        <w:rPr>
          <w:sz w:val="18"/>
          <w:szCs w:val="18"/>
        </w:rPr>
        <w:t>ed_norm</w:t>
      </w:r>
      <w:proofErr w:type="spellEnd"/>
      <w:r w:rsidRPr="00A44782">
        <w:rPr>
          <w:sz w:val="18"/>
          <w:szCs w:val="18"/>
        </w:rPr>
        <w:t>/---declaration/documents/publication/wcms_decl_fs_96_en.pdf.</w:t>
      </w:r>
    </w:p>
  </w:footnote>
  <w:footnote w:id="52">
    <w:p w:rsidR="00575A80" w:rsidRPr="00A44782" w:rsidRDefault="00575A80" w:rsidP="00B154AF">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Supra note 3, 459.</w:t>
      </w:r>
    </w:p>
  </w:footnote>
  <w:footnote w:id="53">
    <w:p w:rsidR="00575A80" w:rsidRPr="00A44782" w:rsidRDefault="00575A80" w:rsidP="00B154AF">
      <w:pPr>
        <w:pStyle w:val="FootnoteText"/>
        <w:bidi w:val="0"/>
        <w:rPr>
          <w:sz w:val="18"/>
          <w:szCs w:val="18"/>
          <w:rtl/>
        </w:rPr>
      </w:pPr>
      <w:r w:rsidRPr="00A44782">
        <w:rPr>
          <w:rStyle w:val="FootnoteReference"/>
          <w:sz w:val="18"/>
          <w:szCs w:val="18"/>
        </w:rPr>
        <w:footnoteRef/>
      </w:r>
      <w:r>
        <w:rPr>
          <w:sz w:val="18"/>
          <w:szCs w:val="18"/>
        </w:rPr>
        <w:t xml:space="preserve"> </w:t>
      </w:r>
      <w:r w:rsidRPr="00A44782">
        <w:rPr>
          <w:sz w:val="18"/>
          <w:szCs w:val="18"/>
        </w:rPr>
        <w:t xml:space="preserve">Orit </w:t>
      </w:r>
      <w:proofErr w:type="spellStart"/>
      <w:r w:rsidRPr="00A44782">
        <w:rPr>
          <w:sz w:val="18"/>
          <w:szCs w:val="18"/>
        </w:rPr>
        <w:t>Kamir</w:t>
      </w:r>
      <w:proofErr w:type="spellEnd"/>
      <w:r w:rsidRPr="00A44782">
        <w:rPr>
          <w:sz w:val="18"/>
          <w:szCs w:val="18"/>
        </w:rPr>
        <w:t>, "What Kind of Harassment: Is Sexual Harassment an Offense of Equality or Dignity?</w:t>
      </w:r>
      <w:proofErr w:type="gramStart"/>
      <w:r w:rsidRPr="00A44782">
        <w:rPr>
          <w:sz w:val="18"/>
          <w:szCs w:val="18"/>
        </w:rPr>
        <w:t>",</w:t>
      </w:r>
      <w:proofErr w:type="gramEnd"/>
      <w:r w:rsidRPr="00A44782">
        <w:rPr>
          <w:sz w:val="18"/>
          <w:szCs w:val="18"/>
        </w:rPr>
        <w:t xml:space="preserve"> </w:t>
      </w:r>
      <w:proofErr w:type="spellStart"/>
      <w:r w:rsidRPr="00A44782">
        <w:rPr>
          <w:sz w:val="18"/>
          <w:szCs w:val="18"/>
        </w:rPr>
        <w:t>Mishpatim</w:t>
      </w:r>
      <w:proofErr w:type="spellEnd"/>
      <w:r w:rsidRPr="00A44782">
        <w:rPr>
          <w:sz w:val="18"/>
          <w:szCs w:val="18"/>
        </w:rPr>
        <w:t xml:space="preserve"> 29 (1997), 317.</w:t>
      </w:r>
    </w:p>
  </w:footnote>
  <w:footnote w:id="54">
    <w:p w:rsidR="00575A80" w:rsidRPr="00A44782" w:rsidRDefault="00575A80" w:rsidP="00B154AF">
      <w:pPr>
        <w:autoSpaceDE w:val="0"/>
        <w:autoSpaceDN w:val="0"/>
        <w:bidi w:val="0"/>
        <w:adjustRightInd w:val="0"/>
        <w:spacing w:after="0" w:line="240" w:lineRule="auto"/>
        <w:rPr>
          <w:rFonts w:cs="PlanStorytellingClean"/>
          <w:sz w:val="18"/>
          <w:szCs w:val="18"/>
        </w:rPr>
      </w:pPr>
      <w:r w:rsidRPr="00A44782">
        <w:rPr>
          <w:rStyle w:val="FootnoteReference"/>
          <w:sz w:val="18"/>
          <w:szCs w:val="18"/>
        </w:rPr>
        <w:footnoteRef/>
      </w:r>
      <w:r>
        <w:rPr>
          <w:sz w:val="18"/>
          <w:szCs w:val="18"/>
        </w:rPr>
        <w:t xml:space="preserve"> </w:t>
      </w:r>
      <w:r w:rsidRPr="00A44782">
        <w:rPr>
          <w:rFonts w:cs="PlanStorytellingClean"/>
          <w:sz w:val="18"/>
          <w:szCs w:val="18"/>
        </w:rPr>
        <w:t>Plan Limited, A girl’s right to learn without fear: Working to end gender-based violence at school</w:t>
      </w:r>
      <w:r w:rsidRPr="00A44782">
        <w:rPr>
          <w:sz w:val="18"/>
          <w:szCs w:val="18"/>
        </w:rPr>
        <w:t xml:space="preserve"> </w:t>
      </w:r>
      <w:r w:rsidRPr="00A44782">
        <w:rPr>
          <w:rFonts w:cs="PlanStorytellingClean"/>
          <w:sz w:val="18"/>
          <w:szCs w:val="18"/>
        </w:rPr>
        <w:t>(2013)</w:t>
      </w:r>
      <w:r w:rsidRPr="00A44782">
        <w:rPr>
          <w:sz w:val="18"/>
          <w:szCs w:val="18"/>
        </w:rPr>
        <w:t>, 5, accessed March 2, 2014, http://www.planusa.org/stuff/contentmgr/files/5848557366630283d063c7ccf8212683/misc/a_girl__s_right_to_learn_without_fear.pdf</w:t>
      </w:r>
      <w:r w:rsidRPr="00A44782">
        <w:rPr>
          <w:rFonts w:cs="PlanStorytellingClean"/>
          <w:sz w:val="18"/>
          <w:szCs w:val="18"/>
        </w:rPr>
        <w:t>/.</w:t>
      </w:r>
    </w:p>
  </w:footnote>
  <w:footnote w:id="55">
    <w:p w:rsidR="00575A80" w:rsidRPr="00B80563" w:rsidRDefault="00575A80" w:rsidP="00B154AF">
      <w:pPr>
        <w:autoSpaceDE w:val="0"/>
        <w:autoSpaceDN w:val="0"/>
        <w:bidi w:val="0"/>
        <w:adjustRightInd w:val="0"/>
        <w:spacing w:after="0" w:line="240" w:lineRule="auto"/>
        <w:rPr>
          <w:rFonts w:cs="PlanStorytellingClean"/>
          <w:sz w:val="18"/>
          <w:szCs w:val="18"/>
        </w:rPr>
      </w:pPr>
      <w:r w:rsidRPr="00A44782">
        <w:rPr>
          <w:rStyle w:val="FootnoteReference"/>
          <w:sz w:val="18"/>
          <w:szCs w:val="18"/>
        </w:rPr>
        <w:footnoteRef/>
      </w:r>
      <w:r w:rsidRPr="00A44782">
        <w:rPr>
          <w:sz w:val="18"/>
          <w:szCs w:val="18"/>
          <w:rtl/>
        </w:rPr>
        <w:t xml:space="preserve"> </w:t>
      </w:r>
      <w:r>
        <w:rPr>
          <w:rFonts w:cs="PlanStorytellingClean"/>
          <w:sz w:val="18"/>
          <w:szCs w:val="18"/>
        </w:rPr>
        <w:t>Ibid.</w:t>
      </w:r>
    </w:p>
  </w:footnote>
  <w:footnote w:id="56">
    <w:p w:rsidR="00575A80" w:rsidRPr="00A44782" w:rsidRDefault="00575A80" w:rsidP="00B154AF">
      <w:pPr>
        <w:bidi w:val="0"/>
        <w:spacing w:after="0" w:line="240" w:lineRule="auto"/>
        <w:rPr>
          <w:sz w:val="18"/>
          <w:szCs w:val="18"/>
        </w:rPr>
      </w:pPr>
      <w:r w:rsidRPr="00A44782">
        <w:rPr>
          <w:rStyle w:val="FootnoteReference"/>
          <w:sz w:val="18"/>
          <w:szCs w:val="18"/>
        </w:rPr>
        <w:footnoteRef/>
      </w:r>
      <w:r w:rsidRPr="00A44782">
        <w:rPr>
          <w:sz w:val="18"/>
          <w:szCs w:val="18"/>
        </w:rPr>
        <w:t xml:space="preserve"> </w:t>
      </w:r>
      <w:r w:rsidRPr="00A44782">
        <w:rPr>
          <w:sz w:val="18"/>
          <w:szCs w:val="18"/>
          <w:shd w:val="clear" w:color="auto" w:fill="FFFFFF"/>
        </w:rPr>
        <w:t>UNESCO, School-Related Gender-</w:t>
      </w:r>
      <w:proofErr w:type="gramStart"/>
      <w:r w:rsidRPr="00A44782">
        <w:rPr>
          <w:sz w:val="18"/>
          <w:szCs w:val="18"/>
          <w:shd w:val="clear" w:color="auto" w:fill="FFFFFF"/>
        </w:rPr>
        <w:t>Based  Violence</w:t>
      </w:r>
      <w:proofErr w:type="gramEnd"/>
      <w:r w:rsidRPr="00A44782">
        <w:rPr>
          <w:sz w:val="18"/>
          <w:szCs w:val="18"/>
          <w:shd w:val="clear" w:color="auto" w:fill="FFFFFF"/>
        </w:rPr>
        <w:t xml:space="preserve"> in The Asia-Pacific Region (2014), 28, accessed April 29, 2014,</w:t>
      </w:r>
      <w:r w:rsidRPr="00A44782">
        <w:rPr>
          <w:sz w:val="18"/>
          <w:szCs w:val="18"/>
          <w:shd w:val="clear" w:color="auto" w:fill="FFFFFF"/>
          <w:rtl/>
        </w:rPr>
        <w:t xml:space="preserve">  </w:t>
      </w:r>
      <w:r w:rsidRPr="00A44782">
        <w:rPr>
          <w:sz w:val="18"/>
          <w:szCs w:val="18"/>
          <w:shd w:val="clear" w:color="auto" w:fill="FFFFFF"/>
        </w:rPr>
        <w:t>http://unesdoc.unesco.org/images/0022/002267/226754E.pdf.</w:t>
      </w:r>
    </w:p>
  </w:footnote>
  <w:footnote w:id="57">
    <w:p w:rsidR="00575A80" w:rsidRPr="00A44782" w:rsidRDefault="00575A80" w:rsidP="00B154AF">
      <w:pPr>
        <w:pStyle w:val="FootnoteText"/>
        <w:bidi w:val="0"/>
        <w:rPr>
          <w:sz w:val="18"/>
          <w:szCs w:val="18"/>
          <w:rtl/>
        </w:rPr>
      </w:pPr>
      <w:r w:rsidRPr="00A44782">
        <w:rPr>
          <w:rStyle w:val="FootnoteReference"/>
          <w:sz w:val="18"/>
          <w:szCs w:val="18"/>
        </w:rPr>
        <w:footnoteRef/>
      </w:r>
      <w:r w:rsidRPr="00A44782">
        <w:rPr>
          <w:sz w:val="18"/>
          <w:szCs w:val="18"/>
        </w:rPr>
        <w:t xml:space="preserve"> </w:t>
      </w:r>
      <w:proofErr w:type="gramStart"/>
      <w:r w:rsidRPr="00A44782">
        <w:rPr>
          <w:sz w:val="18"/>
          <w:szCs w:val="18"/>
        </w:rPr>
        <w:t>Ibid, 29.</w:t>
      </w:r>
      <w:proofErr w:type="gramEnd"/>
      <w:r w:rsidRPr="00A44782">
        <w:rPr>
          <w:sz w:val="18"/>
          <w:szCs w:val="18"/>
        </w:rPr>
        <w:fldChar w:fldCharType="begin"/>
      </w:r>
      <w:r w:rsidRPr="00A44782">
        <w:rPr>
          <w:sz w:val="18"/>
          <w:szCs w:val="18"/>
        </w:rPr>
        <w:instrText xml:space="preserve"> HYPERLINK "http://unesdoc.unesco.org/images/0022/002267/226754E.pdf" </w:instrText>
      </w:r>
      <w:r w:rsidRPr="00A44782">
        <w:rPr>
          <w:sz w:val="18"/>
          <w:szCs w:val="18"/>
        </w:rPr>
        <w:fldChar w:fldCharType="end"/>
      </w:r>
    </w:p>
  </w:footnote>
  <w:footnote w:id="58">
    <w:p w:rsidR="00575A80" w:rsidRPr="00A44782" w:rsidRDefault="00575A80" w:rsidP="00B154AF">
      <w:pPr>
        <w:pStyle w:val="FootnoteText"/>
        <w:bidi w:val="0"/>
        <w:rPr>
          <w:sz w:val="18"/>
          <w:szCs w:val="18"/>
          <w:rtl/>
        </w:rPr>
      </w:pPr>
      <w:r w:rsidRPr="00A44782">
        <w:rPr>
          <w:rStyle w:val="FootnoteReference"/>
          <w:sz w:val="18"/>
          <w:szCs w:val="18"/>
        </w:rPr>
        <w:footnoteRef/>
      </w:r>
      <w:r w:rsidRPr="00A44782">
        <w:rPr>
          <w:sz w:val="18"/>
          <w:szCs w:val="18"/>
          <w:rtl/>
        </w:rPr>
        <w:t xml:space="preserve"> </w:t>
      </w:r>
      <w:r>
        <w:rPr>
          <w:sz w:val="18"/>
          <w:szCs w:val="18"/>
        </w:rPr>
        <w:t>I</w:t>
      </w:r>
      <w:r w:rsidRPr="00A44782">
        <w:rPr>
          <w:sz w:val="18"/>
          <w:szCs w:val="18"/>
        </w:rPr>
        <w:t>bid.</w:t>
      </w:r>
    </w:p>
  </w:footnote>
  <w:footnote w:id="59">
    <w:p w:rsidR="00575A80" w:rsidRPr="00A44782" w:rsidRDefault="00575A80" w:rsidP="00B154AF">
      <w:pPr>
        <w:pStyle w:val="FootnoteText"/>
        <w:bidi w:val="0"/>
        <w:rPr>
          <w:sz w:val="18"/>
          <w:szCs w:val="18"/>
          <w:shd w:val="clear" w:color="auto" w:fill="FFFFFF"/>
          <w:rtl/>
        </w:rPr>
      </w:pPr>
      <w:r w:rsidRPr="00A44782">
        <w:rPr>
          <w:rStyle w:val="FootnoteReference"/>
          <w:sz w:val="18"/>
          <w:szCs w:val="18"/>
        </w:rPr>
        <w:footnoteRef/>
      </w:r>
      <w:r w:rsidRPr="00A44782">
        <w:rPr>
          <w:sz w:val="18"/>
          <w:szCs w:val="18"/>
          <w:rtl/>
        </w:rPr>
        <w:t xml:space="preserve"> </w:t>
      </w:r>
      <w:r w:rsidRPr="00A44782">
        <w:rPr>
          <w:sz w:val="18"/>
          <w:szCs w:val="18"/>
          <w:shd w:val="clear" w:color="auto" w:fill="FFFFFF"/>
        </w:rPr>
        <w:t xml:space="preserve">American Association of University Women, Hostile Hallways: bullying, teasing, and sexual harassment in school (Washington D.C., 2001) – cited in </w:t>
      </w:r>
      <w:r w:rsidRPr="00A44782">
        <w:rPr>
          <w:sz w:val="18"/>
          <w:szCs w:val="18"/>
        </w:rPr>
        <w:t>UN General Assembly, “In-depth Study on All Forms of Violence against Women: Report of the Secretary-General” A/61/122/Add.1, (New York: 2006), 42</w:t>
      </w:r>
      <w:r w:rsidRPr="00A44782">
        <w:rPr>
          <w:sz w:val="18"/>
          <w:szCs w:val="18"/>
          <w:shd w:val="clear" w:color="auto" w:fill="FFFFFF"/>
        </w:rPr>
        <w:t xml:space="preserve">. </w:t>
      </w:r>
    </w:p>
  </w:footnote>
  <w:footnote w:id="60">
    <w:p w:rsidR="006A15E1" w:rsidRDefault="006A15E1" w:rsidP="006A15E1">
      <w:pPr>
        <w:pStyle w:val="FootnoteText"/>
        <w:bidi w:val="0"/>
      </w:pPr>
      <w:r>
        <w:rPr>
          <w:rStyle w:val="FootnoteReference"/>
        </w:rPr>
        <w:footnoteRef/>
      </w:r>
      <w:r>
        <w:rPr>
          <w:rtl/>
        </w:rPr>
        <w:t xml:space="preserve"> </w:t>
      </w:r>
      <w:r w:rsidRPr="00A44782">
        <w:rPr>
          <w:sz w:val="18"/>
          <w:szCs w:val="18"/>
          <w:shd w:val="clear" w:color="auto" w:fill="FFFFFF"/>
        </w:rPr>
        <w:t xml:space="preserve">Action Aid and UNICEF commissioned survey on gender violence in Malawi that is cited in IRIN </w:t>
      </w:r>
      <w:r w:rsidRPr="00A44782">
        <w:rPr>
          <w:sz w:val="18"/>
          <w:szCs w:val="18"/>
        </w:rPr>
        <w:t xml:space="preserve">humanitarian news and analysis (a service of the UN Office for the Coordination of Humanitarian Affairs) </w:t>
      </w:r>
      <w:r w:rsidRPr="00A44782">
        <w:rPr>
          <w:sz w:val="18"/>
          <w:szCs w:val="18"/>
          <w:shd w:val="clear" w:color="auto" w:fill="FFFFFF"/>
        </w:rPr>
        <w:t xml:space="preserve">report, "Malawi: Abuse of women and girls a national shame" (2006 – cited </w:t>
      </w:r>
      <w:r w:rsidRPr="00A44782">
        <w:rPr>
          <w:sz w:val="18"/>
          <w:szCs w:val="18"/>
        </w:rPr>
        <w:t>in UN General Assembly, “In-depth Study on All Forms of Violence against Women: Report of the Secretary-General” A/61/122/Add.1, (New York: 2006)</w:t>
      </w:r>
      <w:r w:rsidRPr="00A44782">
        <w:rPr>
          <w:sz w:val="18"/>
          <w:szCs w:val="18"/>
          <w:shd w:val="clear" w:color="auto" w:fill="FFFFFF"/>
        </w:rPr>
        <w:t>, 42</w:t>
      </w:r>
      <w:r w:rsidRPr="00A44782">
        <w:rPr>
          <w:sz w:val="18"/>
          <w:szCs w:val="18"/>
        </w:rPr>
        <w:t>.</w:t>
      </w:r>
    </w:p>
  </w:footnote>
  <w:footnote w:id="61">
    <w:p w:rsidR="00575A80" w:rsidRPr="00A44782" w:rsidRDefault="00575A80" w:rsidP="006A15E1">
      <w:pPr>
        <w:pStyle w:val="FootnoteText"/>
        <w:bidi w:val="0"/>
        <w:rPr>
          <w:sz w:val="18"/>
          <w:szCs w:val="18"/>
          <w:shd w:val="clear" w:color="auto" w:fill="FFFFFF"/>
        </w:rPr>
      </w:pPr>
      <w:r w:rsidRPr="00A44782">
        <w:rPr>
          <w:rStyle w:val="FootnoteReference"/>
          <w:sz w:val="18"/>
          <w:szCs w:val="18"/>
        </w:rPr>
        <w:footnoteRef/>
      </w:r>
      <w:r w:rsidRPr="00A44782">
        <w:rPr>
          <w:sz w:val="18"/>
          <w:szCs w:val="18"/>
          <w:rtl/>
        </w:rPr>
        <w:t xml:space="preserve"> </w:t>
      </w:r>
      <w:r w:rsidR="006A15E1">
        <w:rPr>
          <w:sz w:val="18"/>
          <w:szCs w:val="18"/>
          <w:shd w:val="clear" w:color="auto" w:fill="FFFFFF"/>
        </w:rPr>
        <w:t>Ibid.</w:t>
      </w:r>
    </w:p>
  </w:footnote>
  <w:footnote w:id="62">
    <w:p w:rsidR="00575A80" w:rsidRPr="00A44782" w:rsidRDefault="00575A80" w:rsidP="00B736C2">
      <w:pPr>
        <w:autoSpaceDE w:val="0"/>
        <w:autoSpaceDN w:val="0"/>
        <w:bidi w:val="0"/>
        <w:adjustRightInd w:val="0"/>
        <w:spacing w:after="0" w:line="240" w:lineRule="auto"/>
        <w:rPr>
          <w:sz w:val="18"/>
          <w:szCs w:val="18"/>
          <w:rtl/>
        </w:rPr>
      </w:pPr>
      <w:r w:rsidRPr="00A44782">
        <w:rPr>
          <w:rStyle w:val="FootnoteReference"/>
          <w:sz w:val="18"/>
          <w:szCs w:val="18"/>
        </w:rPr>
        <w:footnoteRef/>
      </w:r>
      <w:r w:rsidRPr="00A44782">
        <w:rPr>
          <w:rFonts w:cs="PlanStorytellingClean"/>
          <w:sz w:val="18"/>
          <w:szCs w:val="18"/>
        </w:rPr>
        <w:t xml:space="preserve"> Supra note 5</w:t>
      </w:r>
      <w:r w:rsidR="00B736C2">
        <w:rPr>
          <w:rFonts w:cs="PlanStorytellingClean"/>
          <w:sz w:val="18"/>
          <w:szCs w:val="18"/>
        </w:rPr>
        <w:t>4</w:t>
      </w:r>
      <w:r w:rsidRPr="00A44782">
        <w:rPr>
          <w:rFonts w:cs="PlanStorytellingClean"/>
          <w:sz w:val="18"/>
          <w:szCs w:val="18"/>
        </w:rPr>
        <w:t>, 30.</w:t>
      </w:r>
      <w:r w:rsidRPr="00A44782">
        <w:rPr>
          <w:sz w:val="18"/>
          <w:szCs w:val="18"/>
          <w:rtl/>
        </w:rPr>
        <w:t xml:space="preserve"> </w:t>
      </w:r>
    </w:p>
  </w:footnote>
  <w:footnote w:id="63">
    <w:p w:rsidR="00575A80" w:rsidRPr="00A44782" w:rsidRDefault="00575A80" w:rsidP="00A44782">
      <w:pPr>
        <w:pStyle w:val="FootnoteText"/>
        <w:bidi w:val="0"/>
        <w:rPr>
          <w:sz w:val="18"/>
          <w:szCs w:val="18"/>
          <w:rtl/>
        </w:rPr>
      </w:pPr>
      <w:r w:rsidRPr="00A44782">
        <w:rPr>
          <w:rStyle w:val="FootnoteReference"/>
          <w:sz w:val="18"/>
          <w:szCs w:val="18"/>
        </w:rPr>
        <w:footnoteRef/>
      </w:r>
      <w:r w:rsidRPr="00A44782">
        <w:rPr>
          <w:sz w:val="18"/>
          <w:szCs w:val="18"/>
          <w:rtl/>
        </w:rPr>
        <w:t xml:space="preserve"> </w:t>
      </w:r>
      <w:r w:rsidRPr="00A44782">
        <w:rPr>
          <w:rFonts w:cs="PlanStorytellingClean"/>
          <w:sz w:val="18"/>
          <w:szCs w:val="18"/>
        </w:rPr>
        <w:t>Ibid.</w:t>
      </w:r>
    </w:p>
  </w:footnote>
  <w:footnote w:id="64">
    <w:p w:rsidR="00575A80" w:rsidRPr="00A44782" w:rsidRDefault="00575A80" w:rsidP="00A44782">
      <w:pPr>
        <w:pStyle w:val="FootnoteText"/>
        <w:bidi w:val="0"/>
        <w:rPr>
          <w:sz w:val="18"/>
          <w:szCs w:val="18"/>
          <w:shd w:val="clear" w:color="auto" w:fill="FFFFFF"/>
        </w:rPr>
      </w:pPr>
      <w:r w:rsidRPr="00A44782">
        <w:rPr>
          <w:rStyle w:val="FootnoteReference"/>
          <w:sz w:val="18"/>
          <w:szCs w:val="18"/>
        </w:rPr>
        <w:footnoteRef/>
      </w:r>
      <w:r w:rsidRPr="00A44782">
        <w:rPr>
          <w:sz w:val="18"/>
          <w:szCs w:val="18"/>
          <w:rtl/>
        </w:rPr>
        <w:t xml:space="preserve"> </w:t>
      </w:r>
      <w:r w:rsidRPr="00A44782">
        <w:rPr>
          <w:sz w:val="18"/>
          <w:szCs w:val="18"/>
          <w:shd w:val="clear" w:color="auto" w:fill="FFFFFF"/>
        </w:rPr>
        <w:t xml:space="preserve">As mentioned in Wellesley Centers for Research on Women, Unsafe Schools: A Literature Review of </w:t>
      </w:r>
    </w:p>
    <w:p w:rsidR="00575A80" w:rsidRPr="00A44782" w:rsidRDefault="00575A80" w:rsidP="00A44782">
      <w:pPr>
        <w:pStyle w:val="FootnoteText"/>
        <w:bidi w:val="0"/>
        <w:rPr>
          <w:sz w:val="18"/>
          <w:szCs w:val="18"/>
          <w:shd w:val="clear" w:color="auto" w:fill="FFFFFF"/>
        </w:rPr>
      </w:pPr>
      <w:r w:rsidRPr="00A44782">
        <w:rPr>
          <w:sz w:val="18"/>
          <w:szCs w:val="18"/>
          <w:shd w:val="clear" w:color="auto" w:fill="FFFFFF"/>
        </w:rPr>
        <w:t xml:space="preserve">School-Related Gender-Based Violence in Developing Countries (Arlington, Development and </w:t>
      </w:r>
    </w:p>
    <w:p w:rsidR="00575A80" w:rsidRPr="00A44782" w:rsidRDefault="00575A80" w:rsidP="00A44782">
      <w:pPr>
        <w:pStyle w:val="FootnoteText"/>
        <w:bidi w:val="0"/>
        <w:rPr>
          <w:sz w:val="18"/>
          <w:szCs w:val="18"/>
          <w:shd w:val="clear" w:color="auto" w:fill="FFFFFF"/>
        </w:rPr>
      </w:pPr>
      <w:r w:rsidRPr="00A44782">
        <w:rPr>
          <w:sz w:val="18"/>
          <w:szCs w:val="18"/>
          <w:shd w:val="clear" w:color="auto" w:fill="FFFFFF"/>
        </w:rPr>
        <w:t xml:space="preserve">Training Services, Inc., 2004) – cited in </w:t>
      </w:r>
      <w:r w:rsidRPr="00A44782">
        <w:rPr>
          <w:sz w:val="18"/>
          <w:szCs w:val="18"/>
        </w:rPr>
        <w:t>UN General Assembly, “In-depth Study on All Forms of Violence against Women: Report of the Secretary-General” A/61/122/Add.1, (New York: 2006)</w:t>
      </w:r>
      <w:r w:rsidRPr="00A44782">
        <w:rPr>
          <w:sz w:val="18"/>
          <w:szCs w:val="18"/>
          <w:shd w:val="clear" w:color="auto" w:fill="FFFFFF"/>
        </w:rPr>
        <w:t>, 42.</w:t>
      </w:r>
    </w:p>
  </w:footnote>
  <w:footnote w:id="65">
    <w:p w:rsidR="00575A80" w:rsidRPr="00A44782" w:rsidRDefault="00575A80" w:rsidP="00B736C2">
      <w:pPr>
        <w:pStyle w:val="FootnoteText"/>
        <w:bidi w:val="0"/>
        <w:rPr>
          <w:sz w:val="18"/>
          <w:szCs w:val="18"/>
          <w:rtl/>
        </w:rPr>
      </w:pPr>
      <w:r w:rsidRPr="00A44782">
        <w:rPr>
          <w:rStyle w:val="FootnoteReference"/>
          <w:sz w:val="18"/>
          <w:szCs w:val="18"/>
        </w:rPr>
        <w:footnoteRef/>
      </w:r>
      <w:r w:rsidRPr="00A44782">
        <w:rPr>
          <w:sz w:val="18"/>
          <w:szCs w:val="18"/>
        </w:rPr>
        <w:t xml:space="preserve"> Supra note </w:t>
      </w:r>
      <w:r w:rsidR="00CC6590">
        <w:rPr>
          <w:sz w:val="18"/>
          <w:szCs w:val="18"/>
        </w:rPr>
        <w:t>5</w:t>
      </w:r>
      <w:r w:rsidR="00B736C2">
        <w:rPr>
          <w:sz w:val="18"/>
          <w:szCs w:val="18"/>
        </w:rPr>
        <w:t>6</w:t>
      </w:r>
      <w:r w:rsidRPr="00A44782">
        <w:rPr>
          <w:sz w:val="18"/>
          <w:szCs w:val="18"/>
        </w:rPr>
        <w:t>, 16.</w:t>
      </w:r>
    </w:p>
  </w:footnote>
  <w:footnote w:id="66">
    <w:p w:rsidR="00575A80" w:rsidRPr="00A44782" w:rsidRDefault="00575A80" w:rsidP="00AB797D">
      <w:pPr>
        <w:pStyle w:val="FootnoteText"/>
        <w:bidi w:val="0"/>
        <w:rPr>
          <w:sz w:val="18"/>
          <w:szCs w:val="18"/>
        </w:rPr>
      </w:pPr>
      <w:r w:rsidRPr="00A44782">
        <w:rPr>
          <w:rStyle w:val="FootnoteReference"/>
          <w:sz w:val="18"/>
          <w:szCs w:val="18"/>
        </w:rPr>
        <w:footnoteRef/>
      </w:r>
      <w:r w:rsidR="00AB797D">
        <w:rPr>
          <w:sz w:val="18"/>
          <w:szCs w:val="18"/>
        </w:rPr>
        <w:t xml:space="preserve"> </w:t>
      </w:r>
      <w:proofErr w:type="gramStart"/>
      <w:r w:rsidRPr="00A44782">
        <w:rPr>
          <w:sz w:val="18"/>
          <w:szCs w:val="18"/>
        </w:rPr>
        <w:t>Ibid, 25.</w:t>
      </w:r>
      <w:proofErr w:type="gramEnd"/>
    </w:p>
  </w:footnote>
  <w:footnote w:id="67">
    <w:p w:rsidR="00575A80" w:rsidRPr="00A44782" w:rsidRDefault="00575A80" w:rsidP="00AB797D">
      <w:pPr>
        <w:pStyle w:val="FootnoteText"/>
        <w:bidi w:val="0"/>
        <w:rPr>
          <w:sz w:val="18"/>
          <w:szCs w:val="18"/>
        </w:rPr>
      </w:pPr>
      <w:r w:rsidRPr="00A44782">
        <w:rPr>
          <w:rStyle w:val="FootnoteReference"/>
          <w:sz w:val="18"/>
          <w:szCs w:val="18"/>
        </w:rPr>
        <w:footnoteRef/>
      </w:r>
      <w:r w:rsidR="00AB797D">
        <w:rPr>
          <w:sz w:val="18"/>
          <w:szCs w:val="18"/>
        </w:rPr>
        <w:t xml:space="preserve"> </w:t>
      </w:r>
      <w:r w:rsidRPr="00A44782">
        <w:rPr>
          <w:sz w:val="18"/>
          <w:szCs w:val="18"/>
        </w:rPr>
        <w:t>Ibid.</w:t>
      </w:r>
    </w:p>
  </w:footnote>
  <w:footnote w:id="68">
    <w:p w:rsidR="00575A80" w:rsidRPr="00A44782" w:rsidRDefault="00575A80" w:rsidP="00AB797D">
      <w:pPr>
        <w:pStyle w:val="FootnoteText"/>
        <w:bidi w:val="0"/>
        <w:rPr>
          <w:sz w:val="18"/>
          <w:szCs w:val="18"/>
          <w:rtl/>
        </w:rPr>
      </w:pPr>
      <w:r w:rsidRPr="00A44782">
        <w:rPr>
          <w:rStyle w:val="FootnoteReference"/>
          <w:sz w:val="18"/>
          <w:szCs w:val="18"/>
        </w:rPr>
        <w:footnoteRef/>
      </w:r>
      <w:r w:rsidR="00AB797D">
        <w:rPr>
          <w:sz w:val="18"/>
          <w:szCs w:val="18"/>
        </w:rPr>
        <w:t xml:space="preserve"> </w:t>
      </w:r>
      <w:r w:rsidRPr="00A44782">
        <w:rPr>
          <w:sz w:val="18"/>
          <w:szCs w:val="18"/>
        </w:rPr>
        <w:t>Ibid.</w:t>
      </w:r>
    </w:p>
  </w:footnote>
  <w:footnote w:id="69">
    <w:p w:rsidR="00575A80" w:rsidRPr="00A44782" w:rsidRDefault="00575A80" w:rsidP="00B736C2">
      <w:pPr>
        <w:pStyle w:val="FootnoteText"/>
        <w:tabs>
          <w:tab w:val="left" w:pos="6208"/>
        </w:tabs>
        <w:bidi w:val="0"/>
        <w:rPr>
          <w:sz w:val="18"/>
          <w:szCs w:val="18"/>
          <w:rtl/>
        </w:rPr>
      </w:pPr>
      <w:r w:rsidRPr="00A44782">
        <w:rPr>
          <w:rStyle w:val="FootnoteReference"/>
          <w:sz w:val="18"/>
          <w:szCs w:val="18"/>
        </w:rPr>
        <w:footnoteRef/>
      </w:r>
      <w:r>
        <w:rPr>
          <w:sz w:val="18"/>
          <w:szCs w:val="18"/>
        </w:rPr>
        <w:t xml:space="preserve"> </w:t>
      </w:r>
      <w:r w:rsidRPr="00A44782">
        <w:rPr>
          <w:sz w:val="18"/>
          <w:szCs w:val="18"/>
        </w:rPr>
        <w:t>Supra note 5</w:t>
      </w:r>
      <w:r w:rsidR="00B736C2">
        <w:rPr>
          <w:sz w:val="18"/>
          <w:szCs w:val="18"/>
        </w:rPr>
        <w:t>4</w:t>
      </w:r>
      <w:r w:rsidRPr="00A44782">
        <w:rPr>
          <w:sz w:val="18"/>
          <w:szCs w:val="18"/>
        </w:rPr>
        <w:t>, 29.</w:t>
      </w:r>
      <w:r w:rsidRPr="00A44782">
        <w:rPr>
          <w:sz w:val="18"/>
          <w:szCs w:val="18"/>
          <w:rtl/>
        </w:rPr>
        <w:tab/>
      </w:r>
    </w:p>
  </w:footnote>
  <w:footnote w:id="70">
    <w:p w:rsidR="00575A80" w:rsidRPr="00A44782" w:rsidRDefault="00575A80" w:rsidP="00B80563">
      <w:pPr>
        <w:pStyle w:val="FootnoteText"/>
        <w:bidi w:val="0"/>
        <w:rPr>
          <w:sz w:val="18"/>
          <w:szCs w:val="18"/>
        </w:rPr>
      </w:pPr>
      <w:r w:rsidRPr="00A44782">
        <w:rPr>
          <w:rStyle w:val="FootnoteReference"/>
          <w:sz w:val="18"/>
          <w:szCs w:val="18"/>
        </w:rPr>
        <w:footnoteRef/>
      </w:r>
      <w:r>
        <w:rPr>
          <w:sz w:val="18"/>
          <w:szCs w:val="18"/>
        </w:rPr>
        <w:t xml:space="preserve"> </w:t>
      </w:r>
      <w:r w:rsidRPr="00A44782">
        <w:rPr>
          <w:sz w:val="18"/>
          <w:szCs w:val="18"/>
        </w:rPr>
        <w:t>See for example the following: fhttp://educationenvoy.org/malala-day-2</w:t>
      </w:r>
      <w:r w:rsidRPr="00A44782">
        <w:rPr>
          <w:rFonts w:cs="Arial"/>
          <w:sz w:val="18"/>
          <w:szCs w:val="18"/>
          <w:rtl/>
        </w:rPr>
        <w:t>/</w:t>
      </w:r>
      <w:r w:rsidRPr="00A44782">
        <w:rPr>
          <w:sz w:val="18"/>
          <w:szCs w:val="18"/>
        </w:rPr>
        <w:t>.</w:t>
      </w:r>
    </w:p>
  </w:footnote>
  <w:footnote w:id="71">
    <w:p w:rsidR="00575A80" w:rsidRPr="00A44782" w:rsidRDefault="00575A80" w:rsidP="00B736C2">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 xml:space="preserve">Supra note </w:t>
      </w:r>
      <w:r w:rsidR="00935101">
        <w:rPr>
          <w:sz w:val="18"/>
          <w:szCs w:val="18"/>
        </w:rPr>
        <w:t>5</w:t>
      </w:r>
      <w:r w:rsidR="00B736C2">
        <w:rPr>
          <w:sz w:val="18"/>
          <w:szCs w:val="18"/>
        </w:rPr>
        <w:t>4</w:t>
      </w:r>
      <w:r w:rsidRPr="00A44782">
        <w:rPr>
          <w:sz w:val="18"/>
          <w:szCs w:val="18"/>
        </w:rPr>
        <w:t>, 12.</w:t>
      </w:r>
    </w:p>
  </w:footnote>
  <w:footnote w:id="72">
    <w:p w:rsidR="00575A80" w:rsidRPr="00A44782" w:rsidRDefault="00575A80" w:rsidP="00B736C2">
      <w:pPr>
        <w:pStyle w:val="FootnoteText"/>
        <w:bidi w:val="0"/>
        <w:rPr>
          <w:sz w:val="18"/>
          <w:szCs w:val="18"/>
        </w:rPr>
      </w:pPr>
      <w:r w:rsidRPr="00A44782">
        <w:rPr>
          <w:rStyle w:val="FootnoteReference"/>
          <w:sz w:val="18"/>
          <w:szCs w:val="18"/>
        </w:rPr>
        <w:footnoteRef/>
      </w:r>
      <w:r>
        <w:rPr>
          <w:sz w:val="18"/>
          <w:szCs w:val="18"/>
        </w:rPr>
        <w:t xml:space="preserve"> </w:t>
      </w:r>
      <w:proofErr w:type="gramStart"/>
      <w:r w:rsidR="00B736C2">
        <w:rPr>
          <w:sz w:val="18"/>
          <w:szCs w:val="18"/>
        </w:rPr>
        <w:t>Ibid</w:t>
      </w:r>
      <w:r w:rsidRPr="00A44782">
        <w:rPr>
          <w:sz w:val="18"/>
          <w:szCs w:val="18"/>
        </w:rPr>
        <w:t>, 29.</w:t>
      </w:r>
      <w:proofErr w:type="gramEnd"/>
    </w:p>
  </w:footnote>
  <w:footnote w:id="73">
    <w:p w:rsidR="00575A80" w:rsidRPr="00A44782" w:rsidRDefault="00575A80" w:rsidP="00B736C2">
      <w:pPr>
        <w:pStyle w:val="FootnoteText"/>
        <w:bidi w:val="0"/>
        <w:rPr>
          <w:sz w:val="18"/>
          <w:szCs w:val="18"/>
        </w:rPr>
      </w:pPr>
      <w:r w:rsidRPr="00A44782">
        <w:rPr>
          <w:rStyle w:val="FootnoteReference"/>
          <w:sz w:val="18"/>
          <w:szCs w:val="18"/>
        </w:rPr>
        <w:footnoteRef/>
      </w:r>
      <w:r>
        <w:rPr>
          <w:sz w:val="18"/>
          <w:szCs w:val="18"/>
        </w:rPr>
        <w:t xml:space="preserve"> </w:t>
      </w:r>
      <w:proofErr w:type="gramStart"/>
      <w:r w:rsidR="00B736C2">
        <w:rPr>
          <w:sz w:val="18"/>
          <w:szCs w:val="18"/>
        </w:rPr>
        <w:t>Ibid</w:t>
      </w:r>
      <w:r w:rsidRPr="00A44782">
        <w:rPr>
          <w:sz w:val="18"/>
          <w:szCs w:val="18"/>
        </w:rPr>
        <w:t>, 18.</w:t>
      </w:r>
      <w:proofErr w:type="gramEnd"/>
    </w:p>
  </w:footnote>
  <w:footnote w:id="74">
    <w:p w:rsidR="00575A80" w:rsidRPr="00A44782" w:rsidRDefault="00575A80" w:rsidP="00B736C2">
      <w:pPr>
        <w:pStyle w:val="FootnoteText"/>
        <w:bidi w:val="0"/>
        <w:rPr>
          <w:sz w:val="18"/>
          <w:szCs w:val="18"/>
          <w:rtl/>
        </w:rPr>
      </w:pPr>
      <w:r w:rsidRPr="00A44782">
        <w:rPr>
          <w:rStyle w:val="FootnoteReference"/>
          <w:sz w:val="18"/>
          <w:szCs w:val="18"/>
        </w:rPr>
        <w:footnoteRef/>
      </w:r>
      <w:r>
        <w:rPr>
          <w:sz w:val="18"/>
          <w:szCs w:val="18"/>
        </w:rPr>
        <w:t xml:space="preserve"> </w:t>
      </w:r>
      <w:proofErr w:type="gramStart"/>
      <w:r w:rsidR="00B736C2">
        <w:rPr>
          <w:rFonts w:cs="PlanStorytellingClean"/>
          <w:sz w:val="18"/>
          <w:szCs w:val="18"/>
        </w:rPr>
        <w:t>Ibid</w:t>
      </w:r>
      <w:r w:rsidRPr="00A44782">
        <w:rPr>
          <w:rFonts w:cs="PlanStorytellingClean"/>
          <w:sz w:val="18"/>
          <w:szCs w:val="18"/>
        </w:rPr>
        <w:t xml:space="preserve">, </w:t>
      </w:r>
      <w:r w:rsidRPr="00A44782">
        <w:rPr>
          <w:sz w:val="18"/>
          <w:szCs w:val="18"/>
        </w:rPr>
        <w:t>28.</w:t>
      </w:r>
      <w:proofErr w:type="gramEnd"/>
    </w:p>
  </w:footnote>
  <w:footnote w:id="75">
    <w:p w:rsidR="00575A80" w:rsidRPr="00A44782" w:rsidRDefault="00575A80" w:rsidP="00B736C2">
      <w:pPr>
        <w:pStyle w:val="FootnoteText"/>
        <w:bidi w:val="0"/>
        <w:rPr>
          <w:sz w:val="18"/>
          <w:szCs w:val="18"/>
          <w:rtl/>
        </w:rPr>
      </w:pPr>
      <w:r w:rsidRPr="00A44782">
        <w:rPr>
          <w:rStyle w:val="FootnoteReference"/>
          <w:sz w:val="18"/>
          <w:szCs w:val="18"/>
        </w:rPr>
        <w:footnoteRef/>
      </w:r>
      <w:r>
        <w:rPr>
          <w:sz w:val="18"/>
          <w:szCs w:val="18"/>
        </w:rPr>
        <w:t xml:space="preserve"> </w:t>
      </w:r>
      <w:proofErr w:type="gramStart"/>
      <w:r w:rsidR="00B736C2">
        <w:rPr>
          <w:sz w:val="18"/>
          <w:szCs w:val="18"/>
        </w:rPr>
        <w:t>Ibid</w:t>
      </w:r>
      <w:r w:rsidRPr="00A44782">
        <w:rPr>
          <w:sz w:val="18"/>
          <w:szCs w:val="18"/>
        </w:rPr>
        <w:t>, 23, 33.</w:t>
      </w:r>
      <w:proofErr w:type="gramEnd"/>
    </w:p>
  </w:footnote>
  <w:footnote w:id="76">
    <w:p w:rsidR="00575A80" w:rsidRPr="00A44782" w:rsidRDefault="00575A80" w:rsidP="00B80563">
      <w:pPr>
        <w:autoSpaceDE w:val="0"/>
        <w:autoSpaceDN w:val="0"/>
        <w:bidi w:val="0"/>
        <w:adjustRightInd w:val="0"/>
        <w:spacing w:after="0" w:line="240" w:lineRule="auto"/>
        <w:rPr>
          <w:sz w:val="18"/>
          <w:szCs w:val="18"/>
        </w:rPr>
      </w:pPr>
      <w:r w:rsidRPr="00A44782">
        <w:rPr>
          <w:rStyle w:val="FootnoteReference"/>
          <w:sz w:val="18"/>
          <w:szCs w:val="18"/>
        </w:rPr>
        <w:footnoteRef/>
      </w:r>
      <w:r w:rsidRPr="00A44782">
        <w:rPr>
          <w:sz w:val="18"/>
          <w:szCs w:val="18"/>
          <w:rtl/>
        </w:rPr>
        <w:t xml:space="preserve"> </w:t>
      </w:r>
      <w:r w:rsidRPr="00A44782">
        <w:rPr>
          <w:rFonts w:cs="Times New Roman"/>
          <w:sz w:val="18"/>
          <w:szCs w:val="18"/>
        </w:rPr>
        <w:t>The World Bank, Women, Business and the Law 2014 - Removing Restrictions to Enhance Gender Equality - Key Findings (2013), accessed March 2, 2014, http://wbl.worldbank.org/~/media/FPDKM/WBL/Documents/Reports/2014/Women-Business-and-the-Law-2014-Key-Findings.pdf</w:t>
      </w:r>
      <w:r>
        <w:rPr>
          <w:sz w:val="18"/>
          <w:szCs w:val="18"/>
        </w:rPr>
        <w:t>.</w:t>
      </w:r>
    </w:p>
  </w:footnote>
  <w:footnote w:id="77">
    <w:p w:rsidR="00575A80" w:rsidRPr="00A44782" w:rsidRDefault="00575A80" w:rsidP="00AB797D">
      <w:pPr>
        <w:pStyle w:val="FootnoteText"/>
        <w:bidi w:val="0"/>
        <w:rPr>
          <w:sz w:val="18"/>
          <w:szCs w:val="18"/>
          <w:rtl/>
        </w:rPr>
      </w:pPr>
      <w:r w:rsidRPr="00A44782">
        <w:rPr>
          <w:rStyle w:val="FootnoteReference"/>
          <w:sz w:val="18"/>
          <w:szCs w:val="18"/>
        </w:rPr>
        <w:footnoteRef/>
      </w:r>
      <w:r w:rsidRPr="00A44782">
        <w:rPr>
          <w:sz w:val="18"/>
          <w:szCs w:val="18"/>
          <w:rtl/>
        </w:rPr>
        <w:t xml:space="preserve"> </w:t>
      </w:r>
      <w:r w:rsidRPr="00A44782">
        <w:rPr>
          <w:rFonts w:cs="PlanStorytellingClean"/>
          <w:sz w:val="18"/>
          <w:szCs w:val="18"/>
        </w:rPr>
        <w:t xml:space="preserve">Supra note </w:t>
      </w:r>
      <w:r w:rsidR="00AB797D">
        <w:rPr>
          <w:rFonts w:cs="PlanStorytellingClean"/>
          <w:sz w:val="18"/>
          <w:szCs w:val="18"/>
        </w:rPr>
        <w:t>54</w:t>
      </w:r>
      <w:r w:rsidRPr="00A44782">
        <w:rPr>
          <w:rFonts w:cs="PlanStorytellingClean"/>
          <w:sz w:val="18"/>
          <w:szCs w:val="18"/>
        </w:rPr>
        <w:t xml:space="preserve">, </w:t>
      </w:r>
      <w:r w:rsidRPr="00A44782">
        <w:rPr>
          <w:sz w:val="18"/>
          <w:szCs w:val="18"/>
        </w:rPr>
        <w:t>23.</w:t>
      </w:r>
    </w:p>
  </w:footnote>
  <w:footnote w:id="78">
    <w:p w:rsidR="00401BB7" w:rsidRDefault="00401BB7" w:rsidP="00AB797D">
      <w:pPr>
        <w:pStyle w:val="FootnoteText"/>
        <w:bidi w:val="0"/>
      </w:pPr>
      <w:r>
        <w:rPr>
          <w:rStyle w:val="FootnoteReference"/>
        </w:rPr>
        <w:footnoteRef/>
      </w:r>
      <w:r w:rsidR="00AB797D">
        <w:t xml:space="preserve"> </w:t>
      </w:r>
      <w:r w:rsidR="00AB797D">
        <w:rPr>
          <w:rFonts w:cs="PlanStorytellingClean"/>
          <w:sz w:val="18"/>
          <w:szCs w:val="18"/>
        </w:rPr>
        <w:t>Ibid</w:t>
      </w:r>
      <w:r w:rsidRPr="00A44782">
        <w:rPr>
          <w:rFonts w:cs="PlanStorytellingClean"/>
          <w:sz w:val="18"/>
          <w:szCs w:val="18"/>
        </w:rPr>
        <w:t>,</w:t>
      </w:r>
      <w:r w:rsidRPr="00401BB7">
        <w:rPr>
          <w:rFonts w:cs="PlanStorytellingClean"/>
          <w:sz w:val="18"/>
          <w:szCs w:val="18"/>
        </w:rPr>
        <w:t xml:space="preserve"> 47-48.</w:t>
      </w:r>
    </w:p>
  </w:footnote>
  <w:footnote w:id="79">
    <w:p w:rsidR="00575A80" w:rsidRPr="00A44782" w:rsidRDefault="00575A80" w:rsidP="00AB797D">
      <w:pPr>
        <w:pStyle w:val="FootnoteText"/>
        <w:bidi w:val="0"/>
        <w:rPr>
          <w:sz w:val="18"/>
          <w:szCs w:val="18"/>
          <w:rtl/>
        </w:rPr>
      </w:pPr>
      <w:r w:rsidRPr="00A44782">
        <w:rPr>
          <w:rStyle w:val="FootnoteReference"/>
          <w:sz w:val="18"/>
          <w:szCs w:val="18"/>
        </w:rPr>
        <w:footnoteRef/>
      </w:r>
      <w:r w:rsidR="00AB797D">
        <w:rPr>
          <w:sz w:val="18"/>
          <w:szCs w:val="18"/>
        </w:rPr>
        <w:t xml:space="preserve"> </w:t>
      </w:r>
      <w:proofErr w:type="gramStart"/>
      <w:r w:rsidRPr="00A44782">
        <w:rPr>
          <w:sz w:val="18"/>
          <w:szCs w:val="18"/>
        </w:rPr>
        <w:t>Ibid.</w:t>
      </w:r>
      <w:proofErr w:type="gramEnd"/>
      <w:r w:rsidRPr="00A44782">
        <w:rPr>
          <w:sz w:val="18"/>
          <w:szCs w:val="18"/>
        </w:rPr>
        <w:t xml:space="preserve"> </w:t>
      </w:r>
      <w:r w:rsidRPr="00A44782">
        <w:rPr>
          <w:sz w:val="18"/>
          <w:szCs w:val="18"/>
          <w:rtl/>
        </w:rPr>
        <w:t xml:space="preserve"> </w:t>
      </w:r>
    </w:p>
  </w:footnote>
  <w:footnote w:id="80">
    <w:p w:rsidR="00575A80" w:rsidRPr="00A44782" w:rsidRDefault="00575A80" w:rsidP="00AB797D">
      <w:pPr>
        <w:pStyle w:val="FootnoteText"/>
        <w:bidi w:val="0"/>
        <w:rPr>
          <w:sz w:val="18"/>
          <w:szCs w:val="18"/>
          <w:rtl/>
        </w:rPr>
      </w:pPr>
      <w:r w:rsidRPr="00A44782">
        <w:rPr>
          <w:rStyle w:val="FootnoteReference"/>
          <w:sz w:val="18"/>
          <w:szCs w:val="18"/>
        </w:rPr>
        <w:footnoteRef/>
      </w:r>
      <w:r w:rsidR="00AB797D">
        <w:rPr>
          <w:sz w:val="18"/>
          <w:szCs w:val="18"/>
        </w:rPr>
        <w:t xml:space="preserve"> </w:t>
      </w:r>
      <w:r w:rsidR="00AB797D">
        <w:rPr>
          <w:rFonts w:cs="PlanStorytellingClean"/>
          <w:sz w:val="18"/>
          <w:szCs w:val="18"/>
        </w:rPr>
        <w:t>Ibid</w:t>
      </w:r>
      <w:r w:rsidRPr="00A44782">
        <w:rPr>
          <w:rFonts w:cs="PlanStorytellingClean"/>
          <w:sz w:val="18"/>
          <w:szCs w:val="18"/>
        </w:rPr>
        <w:t>, 51-52</w:t>
      </w:r>
      <w:r w:rsidRPr="00A44782">
        <w:rPr>
          <w:sz w:val="18"/>
          <w:szCs w:val="18"/>
        </w:rPr>
        <w:t>.</w:t>
      </w:r>
    </w:p>
  </w:footnote>
  <w:footnote w:id="81">
    <w:p w:rsidR="00575A80" w:rsidRPr="00A44782" w:rsidRDefault="00575A80" w:rsidP="00A44782">
      <w:pPr>
        <w:pStyle w:val="FootnoteText"/>
        <w:bidi w:val="0"/>
        <w:rPr>
          <w:sz w:val="18"/>
          <w:szCs w:val="18"/>
        </w:rPr>
      </w:pPr>
      <w:r w:rsidRPr="00A44782">
        <w:rPr>
          <w:rStyle w:val="FootnoteReference"/>
          <w:sz w:val="18"/>
          <w:szCs w:val="18"/>
        </w:rPr>
        <w:footnoteRef/>
      </w:r>
      <w:r w:rsidRPr="00A44782">
        <w:rPr>
          <w:sz w:val="18"/>
          <w:szCs w:val="18"/>
          <w:rtl/>
        </w:rPr>
        <w:t xml:space="preserve"> </w:t>
      </w:r>
      <w:r w:rsidRPr="00A44782">
        <w:rPr>
          <w:sz w:val="18"/>
          <w:szCs w:val="18"/>
        </w:rPr>
        <w:t xml:space="preserve">This part uses information from the </w:t>
      </w:r>
      <w:r w:rsidRPr="00A44782">
        <w:rPr>
          <w:rFonts w:cs="Times New Roman"/>
          <w:sz w:val="18"/>
          <w:szCs w:val="18"/>
        </w:rPr>
        <w:t>Lowenstein Human Rights Project</w:t>
      </w:r>
      <w:r w:rsidRPr="00A44782">
        <w:rPr>
          <w:sz w:val="18"/>
          <w:szCs w:val="18"/>
        </w:rPr>
        <w:t xml:space="preserve"> report, see supra note 19.</w:t>
      </w:r>
    </w:p>
  </w:footnote>
  <w:footnote w:id="82">
    <w:p w:rsidR="0038398C" w:rsidRPr="00A44782" w:rsidRDefault="0038398C" w:rsidP="0038398C">
      <w:pPr>
        <w:pStyle w:val="FootnoteText"/>
        <w:bidi w:val="0"/>
        <w:rPr>
          <w:sz w:val="18"/>
          <w:szCs w:val="18"/>
          <w:rtl/>
        </w:rPr>
      </w:pPr>
      <w:r w:rsidRPr="00A44782">
        <w:rPr>
          <w:rStyle w:val="FootnoteReference"/>
          <w:sz w:val="18"/>
          <w:szCs w:val="18"/>
        </w:rPr>
        <w:footnoteRef/>
      </w:r>
      <w:r w:rsidRPr="00A44782">
        <w:rPr>
          <w:sz w:val="18"/>
          <w:szCs w:val="18"/>
        </w:rPr>
        <w:t xml:space="preserve"> The HRC Working Group on Discrimination against Women has issued a statement calling for the decriminalization of adultery – see http://www.ohchr.org/Documents/Issues/Women/WG/BackgroundNoteAdultery2.doc.</w:t>
      </w:r>
    </w:p>
  </w:footnote>
  <w:footnote w:id="83">
    <w:p w:rsidR="00575A80" w:rsidRPr="00A44782" w:rsidRDefault="00575A80" w:rsidP="00A44782">
      <w:pPr>
        <w:pStyle w:val="FootnoteText"/>
        <w:bidi w:val="0"/>
        <w:rPr>
          <w:sz w:val="18"/>
          <w:szCs w:val="18"/>
          <w:rtl/>
        </w:rPr>
      </w:pPr>
      <w:r w:rsidRPr="00A44782">
        <w:rPr>
          <w:rStyle w:val="FootnoteReference"/>
          <w:sz w:val="18"/>
          <w:szCs w:val="18"/>
        </w:rPr>
        <w:footnoteRef/>
      </w:r>
      <w:r>
        <w:rPr>
          <w:sz w:val="18"/>
          <w:szCs w:val="18"/>
        </w:rPr>
        <w:t xml:space="preserve"> </w:t>
      </w:r>
      <w:r w:rsidRPr="00A44782">
        <w:rPr>
          <w:sz w:val="18"/>
          <w:szCs w:val="18"/>
        </w:rPr>
        <w:t xml:space="preserve">Amnesty International, Save Amira Osman from Flogging in Sudan, December 5, 2013, </w:t>
      </w:r>
      <w:r w:rsidRPr="00A44782">
        <w:rPr>
          <w:rFonts w:cs="Times New Roman"/>
          <w:sz w:val="18"/>
          <w:szCs w:val="18"/>
        </w:rPr>
        <w:t>accessed March 2, 2014</w:t>
      </w:r>
      <w:r w:rsidRPr="00A44782">
        <w:rPr>
          <w:sz w:val="18"/>
          <w:szCs w:val="18"/>
        </w:rPr>
        <w:t>, http://www.amnesty.org.au/action/action/32749/.</w:t>
      </w:r>
    </w:p>
  </w:footnote>
  <w:footnote w:id="84">
    <w:p w:rsidR="00012793" w:rsidRPr="00A44782" w:rsidRDefault="00012793" w:rsidP="00012793">
      <w:pPr>
        <w:pStyle w:val="FootnoteText"/>
        <w:bidi w:val="0"/>
        <w:rPr>
          <w:sz w:val="18"/>
          <w:szCs w:val="18"/>
          <w:rtl/>
        </w:rPr>
      </w:pPr>
      <w:r w:rsidRPr="00A44782">
        <w:rPr>
          <w:rStyle w:val="FootnoteReference"/>
          <w:sz w:val="18"/>
          <w:szCs w:val="18"/>
        </w:rPr>
        <w:footnoteRef/>
      </w:r>
      <w:r w:rsidRPr="00A44782">
        <w:rPr>
          <w:sz w:val="18"/>
          <w:szCs w:val="18"/>
        </w:rPr>
        <w:t> </w:t>
      </w:r>
      <w:hyperlink r:id="rId3" w:history="1">
        <w:r w:rsidRPr="00A44782">
          <w:rPr>
            <w:sz w:val="18"/>
            <w:szCs w:val="18"/>
          </w:rPr>
          <w:t>Katrien Hinderdael</w:t>
        </w:r>
      </w:hyperlink>
      <w:r w:rsidRPr="00A44782">
        <w:rPr>
          <w:sz w:val="18"/>
          <w:szCs w:val="18"/>
        </w:rPr>
        <w:t xml:space="preserve">, "Sudanese Stand Behind Amira Osman </w:t>
      </w:r>
      <w:proofErr w:type="spellStart"/>
      <w:r w:rsidRPr="00A44782">
        <w:rPr>
          <w:sz w:val="18"/>
          <w:szCs w:val="18"/>
        </w:rPr>
        <w:t>Hamed</w:t>
      </w:r>
      <w:proofErr w:type="spellEnd"/>
      <w:r w:rsidRPr="00A44782">
        <w:rPr>
          <w:sz w:val="18"/>
          <w:szCs w:val="18"/>
        </w:rPr>
        <w:t xml:space="preserve">", </w:t>
      </w:r>
      <w:proofErr w:type="spellStart"/>
      <w:r w:rsidRPr="00A44782">
        <w:rPr>
          <w:sz w:val="18"/>
          <w:szCs w:val="18"/>
        </w:rPr>
        <w:t>Enogh</w:t>
      </w:r>
      <w:proofErr w:type="spellEnd"/>
      <w:r w:rsidRPr="00A44782">
        <w:rPr>
          <w:sz w:val="18"/>
          <w:szCs w:val="18"/>
        </w:rPr>
        <w:t xml:space="preserve"> Project, November 13, 2013, </w:t>
      </w:r>
      <w:r w:rsidRPr="00A44782">
        <w:rPr>
          <w:rFonts w:cs="Times New Roman"/>
          <w:sz w:val="18"/>
          <w:szCs w:val="18"/>
        </w:rPr>
        <w:t>accessed March 2, 2014</w:t>
      </w:r>
      <w:r w:rsidRPr="00A44782">
        <w:rPr>
          <w:sz w:val="18"/>
          <w:szCs w:val="18"/>
        </w:rPr>
        <w:t>,</w:t>
      </w:r>
      <w:r w:rsidRPr="00A44782">
        <w:rPr>
          <w:sz w:val="18"/>
          <w:szCs w:val="18"/>
          <w:rtl/>
        </w:rPr>
        <w:t xml:space="preserve"> </w:t>
      </w:r>
      <w:hyperlink r:id="rId4" w:history="1">
        <w:r w:rsidRPr="00A44782">
          <w:rPr>
            <w:sz w:val="18"/>
            <w:szCs w:val="18"/>
          </w:rPr>
          <w:t>http://www.enoughproject.org/blogs/sudanese-stand-behind-amira-osman-hamed</w:t>
        </w:r>
      </w:hyperlink>
    </w:p>
  </w:footnote>
  <w:footnote w:id="85">
    <w:p w:rsidR="00575A80" w:rsidRPr="00A44782" w:rsidRDefault="00575A80" w:rsidP="00A44782">
      <w:pPr>
        <w:pStyle w:val="FootnoteText"/>
        <w:bidi w:val="0"/>
        <w:rPr>
          <w:sz w:val="18"/>
          <w:szCs w:val="18"/>
        </w:rPr>
      </w:pPr>
      <w:r w:rsidRPr="00A44782">
        <w:rPr>
          <w:rStyle w:val="FootnoteReference"/>
          <w:sz w:val="18"/>
          <w:szCs w:val="18"/>
        </w:rPr>
        <w:footnoteRef/>
      </w:r>
      <w:r w:rsidRPr="00A44782">
        <w:rPr>
          <w:sz w:val="18"/>
          <w:szCs w:val="18"/>
          <w:shd w:val="clear" w:color="auto" w:fill="FFFFFF"/>
        </w:rPr>
        <w:t xml:space="preserve"> </w:t>
      </w:r>
      <w:r w:rsidRPr="00A44782">
        <w:rPr>
          <w:sz w:val="18"/>
          <w:szCs w:val="18"/>
        </w:rPr>
        <w:t>UN General Assembly, “In-depth Study on All Forms of Violence against Women: Report of the Secretary-General” A/61/122/Add.1, (New York: 2006)</w:t>
      </w:r>
      <w:r w:rsidRPr="00A44782">
        <w:rPr>
          <w:sz w:val="18"/>
          <w:szCs w:val="18"/>
          <w:shd w:val="clear" w:color="auto" w:fill="FFFFFF"/>
        </w:rPr>
        <w:t xml:space="preserve">, 42. </w:t>
      </w:r>
      <w:r w:rsidRPr="00A44782">
        <w:rPr>
          <w:sz w:val="18"/>
          <w:szCs w:val="18"/>
          <w:rtl/>
        </w:rPr>
        <w:t xml:space="preserve"> </w:t>
      </w:r>
      <w:r w:rsidRPr="00A44782">
        <w:rPr>
          <w:sz w:val="18"/>
          <w:szCs w:val="18"/>
        </w:rPr>
        <w:t xml:space="preserve"> </w:t>
      </w:r>
    </w:p>
  </w:footnote>
  <w:footnote w:id="86">
    <w:p w:rsidR="00575A80" w:rsidRPr="00A44782" w:rsidRDefault="00575A80" w:rsidP="00A44782">
      <w:pPr>
        <w:bidi w:val="0"/>
        <w:spacing w:line="240" w:lineRule="auto"/>
        <w:rPr>
          <w:sz w:val="18"/>
          <w:szCs w:val="18"/>
        </w:rPr>
      </w:pPr>
      <w:r w:rsidRPr="00A44782">
        <w:rPr>
          <w:rStyle w:val="FootnoteReference"/>
          <w:sz w:val="18"/>
          <w:szCs w:val="18"/>
        </w:rPr>
        <w:footnoteRef/>
      </w:r>
      <w:r w:rsidRPr="00A44782">
        <w:rPr>
          <w:sz w:val="18"/>
          <w:szCs w:val="18"/>
        </w:rPr>
        <w:t xml:space="preserve"> "State agents include all  people empowered to exercise elements of State authority — members of the  legislative, executive and judicial branches, as well as law enforcement officials,  social security officials, prison guards, officials in places of detention, immigration  officials and military and security forces".</w:t>
      </w:r>
      <w:r w:rsidRPr="00A44782">
        <w:rPr>
          <w:sz w:val="18"/>
          <w:szCs w:val="18"/>
          <w:shd w:val="clear" w:color="auto" w:fill="FFFFFF"/>
        </w:rPr>
        <w:t xml:space="preserve"> </w:t>
      </w:r>
      <w:r w:rsidRPr="00A44782">
        <w:rPr>
          <w:sz w:val="18"/>
          <w:szCs w:val="18"/>
        </w:rPr>
        <w:t>UN General Assembly, “In-depth Study on All Forms of Violence against Women: Report of the Secretary-General” A/61/122/Add.1, (New York: 2006)</w:t>
      </w:r>
      <w:r w:rsidRPr="00A44782">
        <w:rPr>
          <w:sz w:val="18"/>
          <w:szCs w:val="18"/>
          <w:shd w:val="clear" w:color="auto" w:fill="FFFFFF"/>
        </w:rPr>
        <w:t>, 43.</w:t>
      </w:r>
      <w:r w:rsidRPr="00A44782">
        <w:rPr>
          <w:sz w:val="18"/>
          <w:szCs w:val="18"/>
        </w:rPr>
        <w:t xml:space="preserve"> </w:t>
      </w:r>
      <w:r w:rsidRPr="00A44782">
        <w:rPr>
          <w:sz w:val="18"/>
          <w:szCs w:val="1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7469362"/>
      <w:docPartObj>
        <w:docPartGallery w:val="Page Numbers (Top of Page)"/>
        <w:docPartUnique/>
      </w:docPartObj>
    </w:sdtPr>
    <w:sdtEndPr>
      <w:rPr>
        <w:noProof/>
      </w:rPr>
    </w:sdtEndPr>
    <w:sdtContent>
      <w:p w:rsidR="00575A80" w:rsidRDefault="00575A80">
        <w:pPr>
          <w:pStyle w:val="Header"/>
          <w:jc w:val="center"/>
        </w:pPr>
        <w:r>
          <w:fldChar w:fldCharType="begin"/>
        </w:r>
        <w:r>
          <w:instrText xml:space="preserve"> PAGE   \* MERGEFORMAT </w:instrText>
        </w:r>
        <w:r>
          <w:fldChar w:fldCharType="separate"/>
        </w:r>
        <w:r w:rsidR="00B154AF">
          <w:rPr>
            <w:noProof/>
          </w:rPr>
          <w:t>15</w:t>
        </w:r>
        <w:r>
          <w:rPr>
            <w:noProof/>
          </w:rPr>
          <w:fldChar w:fldCharType="end"/>
        </w:r>
      </w:p>
    </w:sdtContent>
  </w:sdt>
  <w:p w:rsidR="00575A80" w:rsidRDefault="00575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1E9"/>
    <w:multiLevelType w:val="hybridMultilevel"/>
    <w:tmpl w:val="577C9154"/>
    <w:lvl w:ilvl="0" w:tplc="783AED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6A36"/>
    <w:multiLevelType w:val="hybridMultilevel"/>
    <w:tmpl w:val="093A480E"/>
    <w:lvl w:ilvl="0" w:tplc="0E9248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67A3"/>
    <w:multiLevelType w:val="multilevel"/>
    <w:tmpl w:val="60B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A6093"/>
    <w:multiLevelType w:val="hybridMultilevel"/>
    <w:tmpl w:val="6ECE5E2C"/>
    <w:lvl w:ilvl="0" w:tplc="98FC9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8FA"/>
    <w:multiLevelType w:val="hybridMultilevel"/>
    <w:tmpl w:val="C89A47F8"/>
    <w:lvl w:ilvl="0" w:tplc="ABD248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D1789C"/>
    <w:multiLevelType w:val="multilevel"/>
    <w:tmpl w:val="715E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726AB"/>
    <w:multiLevelType w:val="hybridMultilevel"/>
    <w:tmpl w:val="739CB7B0"/>
    <w:lvl w:ilvl="0" w:tplc="A168C58C">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7058A"/>
    <w:multiLevelType w:val="hybridMultilevel"/>
    <w:tmpl w:val="2378F606"/>
    <w:lvl w:ilvl="0" w:tplc="2624BD8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BCF"/>
    <w:multiLevelType w:val="multilevel"/>
    <w:tmpl w:val="DD8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05CE7"/>
    <w:multiLevelType w:val="hybridMultilevel"/>
    <w:tmpl w:val="C0842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13225F"/>
    <w:multiLevelType w:val="hybridMultilevel"/>
    <w:tmpl w:val="577C9154"/>
    <w:lvl w:ilvl="0" w:tplc="783AED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16D10"/>
    <w:multiLevelType w:val="hybridMultilevel"/>
    <w:tmpl w:val="147E63B8"/>
    <w:lvl w:ilvl="0" w:tplc="F53E05B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10350"/>
    <w:multiLevelType w:val="hybridMultilevel"/>
    <w:tmpl w:val="44C6EFDC"/>
    <w:lvl w:ilvl="0" w:tplc="AC862C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1450F"/>
    <w:multiLevelType w:val="hybridMultilevel"/>
    <w:tmpl w:val="5A04A0B0"/>
    <w:lvl w:ilvl="0" w:tplc="2624BD8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D32AA"/>
    <w:multiLevelType w:val="hybridMultilevel"/>
    <w:tmpl w:val="577C9154"/>
    <w:lvl w:ilvl="0" w:tplc="783AED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A529F"/>
    <w:multiLevelType w:val="hybridMultilevel"/>
    <w:tmpl w:val="58807AB0"/>
    <w:lvl w:ilvl="0" w:tplc="A9B88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72519"/>
    <w:multiLevelType w:val="hybridMultilevel"/>
    <w:tmpl w:val="74C298C4"/>
    <w:lvl w:ilvl="0" w:tplc="517675D8">
      <w:start w:val="1"/>
      <w:numFmt w:val="decimal"/>
      <w:lvlText w:val="(%1)"/>
      <w:lvlJc w:val="left"/>
      <w:pPr>
        <w:ind w:left="405" w:hanging="360"/>
      </w:pPr>
      <w:rPr>
        <w:rFonts w:hint="default"/>
        <w:b/>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3B8F1F77"/>
    <w:multiLevelType w:val="hybridMultilevel"/>
    <w:tmpl w:val="A43407B8"/>
    <w:lvl w:ilvl="0" w:tplc="72F6AD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256B7"/>
    <w:multiLevelType w:val="hybridMultilevel"/>
    <w:tmpl w:val="C5A01F7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6F85466"/>
    <w:multiLevelType w:val="hybridMultilevel"/>
    <w:tmpl w:val="B5A86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C6048"/>
    <w:multiLevelType w:val="hybridMultilevel"/>
    <w:tmpl w:val="A584697C"/>
    <w:lvl w:ilvl="0" w:tplc="C8444B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23CD0"/>
    <w:multiLevelType w:val="hybridMultilevel"/>
    <w:tmpl w:val="ADF8A5D4"/>
    <w:lvl w:ilvl="0" w:tplc="31387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95B47"/>
    <w:multiLevelType w:val="hybridMultilevel"/>
    <w:tmpl w:val="85269516"/>
    <w:lvl w:ilvl="0" w:tplc="32241D82">
      <w:start w:val="1"/>
      <w:numFmt w:val="decimal"/>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2C91F1E"/>
    <w:multiLevelType w:val="hybridMultilevel"/>
    <w:tmpl w:val="8EB2D768"/>
    <w:lvl w:ilvl="0" w:tplc="4BEAAD10">
      <w:start w:val="1"/>
      <w:numFmt w:val="decimal"/>
      <w:lvlText w:val="(%1)"/>
      <w:lvlJc w:val="left"/>
      <w:pPr>
        <w:ind w:left="360" w:hanging="360"/>
      </w:pPr>
      <w:rPr>
        <w:rFonts w:hint="default"/>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3AA70DB"/>
    <w:multiLevelType w:val="hybridMultilevel"/>
    <w:tmpl w:val="0B201C02"/>
    <w:lvl w:ilvl="0" w:tplc="72F6AD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F5DA2"/>
    <w:multiLevelType w:val="hybridMultilevel"/>
    <w:tmpl w:val="C8341C64"/>
    <w:lvl w:ilvl="0" w:tplc="72F6AD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D16B7"/>
    <w:multiLevelType w:val="hybridMultilevel"/>
    <w:tmpl w:val="683AE994"/>
    <w:lvl w:ilvl="0" w:tplc="9E689F00">
      <w:start w:val="3"/>
      <w:numFmt w:val="upperRoman"/>
      <w:lvlText w:val="%1&gt;"/>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262D3"/>
    <w:multiLevelType w:val="hybridMultilevel"/>
    <w:tmpl w:val="1C4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60A4E"/>
    <w:multiLevelType w:val="hybridMultilevel"/>
    <w:tmpl w:val="901AD30A"/>
    <w:lvl w:ilvl="0" w:tplc="36CA6734">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851007"/>
    <w:multiLevelType w:val="multilevel"/>
    <w:tmpl w:val="176E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FB2FE0"/>
    <w:multiLevelType w:val="hybridMultilevel"/>
    <w:tmpl w:val="E84C4938"/>
    <w:lvl w:ilvl="0" w:tplc="E2DCCB8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F073D"/>
    <w:multiLevelType w:val="multilevel"/>
    <w:tmpl w:val="AA24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25258"/>
    <w:multiLevelType w:val="hybridMultilevel"/>
    <w:tmpl w:val="5A04A0B0"/>
    <w:lvl w:ilvl="0" w:tplc="2624BD8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3241D"/>
    <w:multiLevelType w:val="hybridMultilevel"/>
    <w:tmpl w:val="B49C3B70"/>
    <w:lvl w:ilvl="0" w:tplc="04626D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25172"/>
    <w:multiLevelType w:val="multilevel"/>
    <w:tmpl w:val="6F0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42BCE"/>
    <w:multiLevelType w:val="hybridMultilevel"/>
    <w:tmpl w:val="7352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C65AB9"/>
    <w:multiLevelType w:val="hybridMultilevel"/>
    <w:tmpl w:val="74C298C4"/>
    <w:lvl w:ilvl="0" w:tplc="517675D8">
      <w:start w:val="1"/>
      <w:numFmt w:val="decimal"/>
      <w:lvlText w:val="(%1)"/>
      <w:lvlJc w:val="left"/>
      <w:pPr>
        <w:ind w:left="405" w:hanging="360"/>
      </w:pPr>
      <w:rPr>
        <w:rFonts w:hint="default"/>
        <w:b/>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0"/>
  </w:num>
  <w:num w:numId="3">
    <w:abstractNumId w:val="32"/>
  </w:num>
  <w:num w:numId="4">
    <w:abstractNumId w:val="13"/>
  </w:num>
  <w:num w:numId="5">
    <w:abstractNumId w:val="1"/>
  </w:num>
  <w:num w:numId="6">
    <w:abstractNumId w:val="7"/>
  </w:num>
  <w:num w:numId="7">
    <w:abstractNumId w:val="6"/>
  </w:num>
  <w:num w:numId="8">
    <w:abstractNumId w:val="21"/>
  </w:num>
  <w:num w:numId="9">
    <w:abstractNumId w:val="30"/>
  </w:num>
  <w:num w:numId="10">
    <w:abstractNumId w:val="11"/>
  </w:num>
  <w:num w:numId="11">
    <w:abstractNumId w:val="2"/>
  </w:num>
  <w:num w:numId="12">
    <w:abstractNumId w:val="5"/>
  </w:num>
  <w:num w:numId="13">
    <w:abstractNumId w:val="8"/>
  </w:num>
  <w:num w:numId="14">
    <w:abstractNumId w:val="33"/>
  </w:num>
  <w:num w:numId="15">
    <w:abstractNumId w:val="34"/>
  </w:num>
  <w:num w:numId="16">
    <w:abstractNumId w:val="29"/>
  </w:num>
  <w:num w:numId="17">
    <w:abstractNumId w:val="31"/>
  </w:num>
  <w:num w:numId="18">
    <w:abstractNumId w:val="15"/>
  </w:num>
  <w:num w:numId="19">
    <w:abstractNumId w:val="20"/>
  </w:num>
  <w:num w:numId="20">
    <w:abstractNumId w:val="19"/>
  </w:num>
  <w:num w:numId="21">
    <w:abstractNumId w:val="9"/>
  </w:num>
  <w:num w:numId="22">
    <w:abstractNumId w:val="28"/>
  </w:num>
  <w:num w:numId="23">
    <w:abstractNumId w:val="22"/>
  </w:num>
  <w:num w:numId="24">
    <w:abstractNumId w:val="14"/>
  </w:num>
  <w:num w:numId="25">
    <w:abstractNumId w:val="36"/>
  </w:num>
  <w:num w:numId="26">
    <w:abstractNumId w:val="26"/>
  </w:num>
  <w:num w:numId="27">
    <w:abstractNumId w:val="16"/>
  </w:num>
  <w:num w:numId="28">
    <w:abstractNumId w:val="23"/>
  </w:num>
  <w:num w:numId="29">
    <w:abstractNumId w:val="3"/>
  </w:num>
  <w:num w:numId="30">
    <w:abstractNumId w:val="35"/>
  </w:num>
  <w:num w:numId="31">
    <w:abstractNumId w:val="24"/>
  </w:num>
  <w:num w:numId="32">
    <w:abstractNumId w:val="4"/>
  </w:num>
  <w:num w:numId="33">
    <w:abstractNumId w:val="18"/>
  </w:num>
  <w:num w:numId="34">
    <w:abstractNumId w:val="10"/>
  </w:num>
  <w:num w:numId="35">
    <w:abstractNumId w:val="25"/>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05"/>
    <w:rsid w:val="0000488A"/>
    <w:rsid w:val="00007998"/>
    <w:rsid w:val="000116D5"/>
    <w:rsid w:val="00012793"/>
    <w:rsid w:val="000127BF"/>
    <w:rsid w:val="0002208C"/>
    <w:rsid w:val="00027370"/>
    <w:rsid w:val="000307E8"/>
    <w:rsid w:val="0003221D"/>
    <w:rsid w:val="00034202"/>
    <w:rsid w:val="00037A21"/>
    <w:rsid w:val="0004196E"/>
    <w:rsid w:val="00043978"/>
    <w:rsid w:val="00043B12"/>
    <w:rsid w:val="00043EFF"/>
    <w:rsid w:val="000442CD"/>
    <w:rsid w:val="00045463"/>
    <w:rsid w:val="00045CC7"/>
    <w:rsid w:val="00046038"/>
    <w:rsid w:val="00047D07"/>
    <w:rsid w:val="00054379"/>
    <w:rsid w:val="000553A4"/>
    <w:rsid w:val="00056038"/>
    <w:rsid w:val="00061060"/>
    <w:rsid w:val="00065449"/>
    <w:rsid w:val="00066BD7"/>
    <w:rsid w:val="00073C22"/>
    <w:rsid w:val="00076DDA"/>
    <w:rsid w:val="00077357"/>
    <w:rsid w:val="00077E4D"/>
    <w:rsid w:val="00080D84"/>
    <w:rsid w:val="000832AF"/>
    <w:rsid w:val="000852B3"/>
    <w:rsid w:val="00091377"/>
    <w:rsid w:val="00091A4F"/>
    <w:rsid w:val="00091D72"/>
    <w:rsid w:val="00094A50"/>
    <w:rsid w:val="00095FD6"/>
    <w:rsid w:val="00096C93"/>
    <w:rsid w:val="000979A2"/>
    <w:rsid w:val="000A1C52"/>
    <w:rsid w:val="000A1F25"/>
    <w:rsid w:val="000A3E00"/>
    <w:rsid w:val="000A6797"/>
    <w:rsid w:val="000B32FE"/>
    <w:rsid w:val="000B5B19"/>
    <w:rsid w:val="000C3052"/>
    <w:rsid w:val="000C63EF"/>
    <w:rsid w:val="000D2CD5"/>
    <w:rsid w:val="000D5DD4"/>
    <w:rsid w:val="000D7830"/>
    <w:rsid w:val="000D7F07"/>
    <w:rsid w:val="000E58A0"/>
    <w:rsid w:val="000E5CB6"/>
    <w:rsid w:val="000E7631"/>
    <w:rsid w:val="000F12AC"/>
    <w:rsid w:val="000F24A4"/>
    <w:rsid w:val="000F3335"/>
    <w:rsid w:val="000F5177"/>
    <w:rsid w:val="000F6960"/>
    <w:rsid w:val="000F76CC"/>
    <w:rsid w:val="000F7E80"/>
    <w:rsid w:val="00100736"/>
    <w:rsid w:val="00102FF9"/>
    <w:rsid w:val="00103AE6"/>
    <w:rsid w:val="00105200"/>
    <w:rsid w:val="00110F39"/>
    <w:rsid w:val="00116763"/>
    <w:rsid w:val="001204A0"/>
    <w:rsid w:val="00135AD8"/>
    <w:rsid w:val="001371FB"/>
    <w:rsid w:val="00137E17"/>
    <w:rsid w:val="00140AE6"/>
    <w:rsid w:val="00144A60"/>
    <w:rsid w:val="00152418"/>
    <w:rsid w:val="00153585"/>
    <w:rsid w:val="00156FBC"/>
    <w:rsid w:val="00157628"/>
    <w:rsid w:val="0015769C"/>
    <w:rsid w:val="00173941"/>
    <w:rsid w:val="00173A70"/>
    <w:rsid w:val="00175EE3"/>
    <w:rsid w:val="00176906"/>
    <w:rsid w:val="0018251D"/>
    <w:rsid w:val="00186001"/>
    <w:rsid w:val="00191528"/>
    <w:rsid w:val="0019482D"/>
    <w:rsid w:val="0019646B"/>
    <w:rsid w:val="001A1AFC"/>
    <w:rsid w:val="001A625F"/>
    <w:rsid w:val="001A7958"/>
    <w:rsid w:val="001B09B8"/>
    <w:rsid w:val="001C6419"/>
    <w:rsid w:val="001D3313"/>
    <w:rsid w:val="001D3F17"/>
    <w:rsid w:val="001D55E5"/>
    <w:rsid w:val="001E228E"/>
    <w:rsid w:val="001E7B89"/>
    <w:rsid w:val="001F16A5"/>
    <w:rsid w:val="001F3D03"/>
    <w:rsid w:val="001F3E9C"/>
    <w:rsid w:val="001F591B"/>
    <w:rsid w:val="001F6154"/>
    <w:rsid w:val="00200311"/>
    <w:rsid w:val="0020126D"/>
    <w:rsid w:val="00201332"/>
    <w:rsid w:val="00202C50"/>
    <w:rsid w:val="00204443"/>
    <w:rsid w:val="00207279"/>
    <w:rsid w:val="00212077"/>
    <w:rsid w:val="00224B46"/>
    <w:rsid w:val="002300D8"/>
    <w:rsid w:val="0023101F"/>
    <w:rsid w:val="00232CDA"/>
    <w:rsid w:val="002373E1"/>
    <w:rsid w:val="00237E2E"/>
    <w:rsid w:val="00244740"/>
    <w:rsid w:val="00247AFE"/>
    <w:rsid w:val="00252654"/>
    <w:rsid w:val="00252B74"/>
    <w:rsid w:val="00256D0B"/>
    <w:rsid w:val="00257442"/>
    <w:rsid w:val="00257581"/>
    <w:rsid w:val="0026151E"/>
    <w:rsid w:val="0026497E"/>
    <w:rsid w:val="002672D4"/>
    <w:rsid w:val="0027630E"/>
    <w:rsid w:val="00281661"/>
    <w:rsid w:val="00286B43"/>
    <w:rsid w:val="00287C60"/>
    <w:rsid w:val="00293EEE"/>
    <w:rsid w:val="00293F10"/>
    <w:rsid w:val="002941C8"/>
    <w:rsid w:val="00297EC6"/>
    <w:rsid w:val="002A0DD5"/>
    <w:rsid w:val="002A2518"/>
    <w:rsid w:val="002A6DD5"/>
    <w:rsid w:val="002C0F70"/>
    <w:rsid w:val="002C6B8A"/>
    <w:rsid w:val="002D0DB7"/>
    <w:rsid w:val="002D3A29"/>
    <w:rsid w:val="002D3A8F"/>
    <w:rsid w:val="002D706E"/>
    <w:rsid w:val="002E0530"/>
    <w:rsid w:val="002E2619"/>
    <w:rsid w:val="002F267E"/>
    <w:rsid w:val="002F7A3A"/>
    <w:rsid w:val="00302850"/>
    <w:rsid w:val="0031282B"/>
    <w:rsid w:val="00314D38"/>
    <w:rsid w:val="0031507E"/>
    <w:rsid w:val="003155BB"/>
    <w:rsid w:val="0032181C"/>
    <w:rsid w:val="00323272"/>
    <w:rsid w:val="00324397"/>
    <w:rsid w:val="0032603C"/>
    <w:rsid w:val="00330CC5"/>
    <w:rsid w:val="00336008"/>
    <w:rsid w:val="00337F05"/>
    <w:rsid w:val="003407FE"/>
    <w:rsid w:val="00342121"/>
    <w:rsid w:val="00344273"/>
    <w:rsid w:val="00356F9C"/>
    <w:rsid w:val="00361946"/>
    <w:rsid w:val="00365AC6"/>
    <w:rsid w:val="00366416"/>
    <w:rsid w:val="003714F1"/>
    <w:rsid w:val="0037504D"/>
    <w:rsid w:val="00375193"/>
    <w:rsid w:val="00377DB5"/>
    <w:rsid w:val="00382D63"/>
    <w:rsid w:val="00382FA3"/>
    <w:rsid w:val="0038398C"/>
    <w:rsid w:val="00383ACB"/>
    <w:rsid w:val="00383D82"/>
    <w:rsid w:val="00385155"/>
    <w:rsid w:val="00385787"/>
    <w:rsid w:val="003906C9"/>
    <w:rsid w:val="00391FE0"/>
    <w:rsid w:val="00396CA9"/>
    <w:rsid w:val="003A0ABC"/>
    <w:rsid w:val="003A5767"/>
    <w:rsid w:val="003B3960"/>
    <w:rsid w:val="003B3CC0"/>
    <w:rsid w:val="003B45BD"/>
    <w:rsid w:val="003B59CB"/>
    <w:rsid w:val="003B671C"/>
    <w:rsid w:val="003C06E0"/>
    <w:rsid w:val="003C3D8E"/>
    <w:rsid w:val="003C6837"/>
    <w:rsid w:val="003E0F89"/>
    <w:rsid w:val="003E1FC7"/>
    <w:rsid w:val="003E2304"/>
    <w:rsid w:val="003F46AE"/>
    <w:rsid w:val="003F68FA"/>
    <w:rsid w:val="00401BB7"/>
    <w:rsid w:val="00406E17"/>
    <w:rsid w:val="004104E9"/>
    <w:rsid w:val="00410C55"/>
    <w:rsid w:val="004110A8"/>
    <w:rsid w:val="00415DF1"/>
    <w:rsid w:val="00417781"/>
    <w:rsid w:val="00424C6F"/>
    <w:rsid w:val="00427114"/>
    <w:rsid w:val="00430E42"/>
    <w:rsid w:val="00431526"/>
    <w:rsid w:val="00432E2C"/>
    <w:rsid w:val="0043380F"/>
    <w:rsid w:val="00434181"/>
    <w:rsid w:val="00435D6A"/>
    <w:rsid w:val="004410AC"/>
    <w:rsid w:val="004436D4"/>
    <w:rsid w:val="0044523C"/>
    <w:rsid w:val="0046477C"/>
    <w:rsid w:val="00465952"/>
    <w:rsid w:val="00467412"/>
    <w:rsid w:val="0047078B"/>
    <w:rsid w:val="00470F70"/>
    <w:rsid w:val="0047132C"/>
    <w:rsid w:val="0047344D"/>
    <w:rsid w:val="00477861"/>
    <w:rsid w:val="00480D11"/>
    <w:rsid w:val="00482915"/>
    <w:rsid w:val="004857B0"/>
    <w:rsid w:val="004A31E6"/>
    <w:rsid w:val="004B1D11"/>
    <w:rsid w:val="004C0B27"/>
    <w:rsid w:val="004C11CE"/>
    <w:rsid w:val="004C1B75"/>
    <w:rsid w:val="004C24C1"/>
    <w:rsid w:val="004C315D"/>
    <w:rsid w:val="004C6BE9"/>
    <w:rsid w:val="004D1A71"/>
    <w:rsid w:val="004D4726"/>
    <w:rsid w:val="004D4AF6"/>
    <w:rsid w:val="004E0B3A"/>
    <w:rsid w:val="004E459B"/>
    <w:rsid w:val="004E5099"/>
    <w:rsid w:val="004E6928"/>
    <w:rsid w:val="004F0359"/>
    <w:rsid w:val="004F0988"/>
    <w:rsid w:val="004F2E0B"/>
    <w:rsid w:val="004F39D6"/>
    <w:rsid w:val="004F43A8"/>
    <w:rsid w:val="004F60BE"/>
    <w:rsid w:val="005011B1"/>
    <w:rsid w:val="00501E92"/>
    <w:rsid w:val="0050227E"/>
    <w:rsid w:val="00505DCC"/>
    <w:rsid w:val="00506C33"/>
    <w:rsid w:val="0050719D"/>
    <w:rsid w:val="005102AF"/>
    <w:rsid w:val="005103DE"/>
    <w:rsid w:val="00516AE7"/>
    <w:rsid w:val="00516DFA"/>
    <w:rsid w:val="00521DD3"/>
    <w:rsid w:val="00522016"/>
    <w:rsid w:val="005238EA"/>
    <w:rsid w:val="00527704"/>
    <w:rsid w:val="00533027"/>
    <w:rsid w:val="00536BA4"/>
    <w:rsid w:val="00543C26"/>
    <w:rsid w:val="0054713E"/>
    <w:rsid w:val="00550A4A"/>
    <w:rsid w:val="0055118A"/>
    <w:rsid w:val="00557663"/>
    <w:rsid w:val="00562058"/>
    <w:rsid w:val="00574B28"/>
    <w:rsid w:val="00575A80"/>
    <w:rsid w:val="0058329C"/>
    <w:rsid w:val="00584019"/>
    <w:rsid w:val="00584BF6"/>
    <w:rsid w:val="0059357F"/>
    <w:rsid w:val="00596326"/>
    <w:rsid w:val="005A2A62"/>
    <w:rsid w:val="005A4739"/>
    <w:rsid w:val="005A7424"/>
    <w:rsid w:val="005B0B21"/>
    <w:rsid w:val="005B2C7C"/>
    <w:rsid w:val="005B4F1C"/>
    <w:rsid w:val="005B7F06"/>
    <w:rsid w:val="005C0904"/>
    <w:rsid w:val="005C1E75"/>
    <w:rsid w:val="005C2A84"/>
    <w:rsid w:val="005C44F0"/>
    <w:rsid w:val="005D14B0"/>
    <w:rsid w:val="005D2301"/>
    <w:rsid w:val="005D2CAB"/>
    <w:rsid w:val="005D60A4"/>
    <w:rsid w:val="005E3E5A"/>
    <w:rsid w:val="005E6E4F"/>
    <w:rsid w:val="005F0760"/>
    <w:rsid w:val="005F0B93"/>
    <w:rsid w:val="005F1649"/>
    <w:rsid w:val="005F1B64"/>
    <w:rsid w:val="005F4218"/>
    <w:rsid w:val="005F6DE1"/>
    <w:rsid w:val="006066F1"/>
    <w:rsid w:val="00606CB9"/>
    <w:rsid w:val="00607267"/>
    <w:rsid w:val="0061266E"/>
    <w:rsid w:val="00613D24"/>
    <w:rsid w:val="00622CED"/>
    <w:rsid w:val="00624733"/>
    <w:rsid w:val="00630AF0"/>
    <w:rsid w:val="006407F5"/>
    <w:rsid w:val="0064142B"/>
    <w:rsid w:val="00643BD6"/>
    <w:rsid w:val="00646144"/>
    <w:rsid w:val="006500C9"/>
    <w:rsid w:val="006530F7"/>
    <w:rsid w:val="00660E7D"/>
    <w:rsid w:val="00661A66"/>
    <w:rsid w:val="00664E5C"/>
    <w:rsid w:val="00666813"/>
    <w:rsid w:val="00666E47"/>
    <w:rsid w:val="00667909"/>
    <w:rsid w:val="006722FB"/>
    <w:rsid w:val="0067486A"/>
    <w:rsid w:val="0067487D"/>
    <w:rsid w:val="006865CF"/>
    <w:rsid w:val="00693CD3"/>
    <w:rsid w:val="00693D11"/>
    <w:rsid w:val="00695748"/>
    <w:rsid w:val="00696205"/>
    <w:rsid w:val="00696C95"/>
    <w:rsid w:val="006A15E1"/>
    <w:rsid w:val="006A3AD3"/>
    <w:rsid w:val="006A4692"/>
    <w:rsid w:val="006B093D"/>
    <w:rsid w:val="006B1575"/>
    <w:rsid w:val="006B27E7"/>
    <w:rsid w:val="006B2A6D"/>
    <w:rsid w:val="006B5754"/>
    <w:rsid w:val="006C009B"/>
    <w:rsid w:val="006C197D"/>
    <w:rsid w:val="006C6203"/>
    <w:rsid w:val="006C7963"/>
    <w:rsid w:val="006C7B06"/>
    <w:rsid w:val="006D33B1"/>
    <w:rsid w:val="006D7703"/>
    <w:rsid w:val="006E323D"/>
    <w:rsid w:val="006E4114"/>
    <w:rsid w:val="006F19DA"/>
    <w:rsid w:val="006F4C1C"/>
    <w:rsid w:val="006F4CD9"/>
    <w:rsid w:val="0070485E"/>
    <w:rsid w:val="007057FD"/>
    <w:rsid w:val="00706689"/>
    <w:rsid w:val="00710404"/>
    <w:rsid w:val="00717A09"/>
    <w:rsid w:val="00721E61"/>
    <w:rsid w:val="00723D15"/>
    <w:rsid w:val="00727159"/>
    <w:rsid w:val="00733A0A"/>
    <w:rsid w:val="00742DA1"/>
    <w:rsid w:val="00745286"/>
    <w:rsid w:val="00745352"/>
    <w:rsid w:val="007454F9"/>
    <w:rsid w:val="0075441F"/>
    <w:rsid w:val="0075490D"/>
    <w:rsid w:val="00757DD3"/>
    <w:rsid w:val="007659C1"/>
    <w:rsid w:val="00767466"/>
    <w:rsid w:val="00773BF4"/>
    <w:rsid w:val="00776703"/>
    <w:rsid w:val="0078107C"/>
    <w:rsid w:val="0078253B"/>
    <w:rsid w:val="00782674"/>
    <w:rsid w:val="00792FF5"/>
    <w:rsid w:val="00796513"/>
    <w:rsid w:val="007A6659"/>
    <w:rsid w:val="007A7DA9"/>
    <w:rsid w:val="007B01D6"/>
    <w:rsid w:val="007B48A9"/>
    <w:rsid w:val="007B5D58"/>
    <w:rsid w:val="007B6F4E"/>
    <w:rsid w:val="007C0FBD"/>
    <w:rsid w:val="007C7290"/>
    <w:rsid w:val="007D0E07"/>
    <w:rsid w:val="007D2B5E"/>
    <w:rsid w:val="007E447E"/>
    <w:rsid w:val="007E4F2B"/>
    <w:rsid w:val="007E5EC2"/>
    <w:rsid w:val="007E6A67"/>
    <w:rsid w:val="007F2E07"/>
    <w:rsid w:val="008002C3"/>
    <w:rsid w:val="00805E33"/>
    <w:rsid w:val="008141F3"/>
    <w:rsid w:val="00816A38"/>
    <w:rsid w:val="00820A56"/>
    <w:rsid w:val="0082368C"/>
    <w:rsid w:val="008237E7"/>
    <w:rsid w:val="00824BDC"/>
    <w:rsid w:val="008254E9"/>
    <w:rsid w:val="00826EBE"/>
    <w:rsid w:val="00832864"/>
    <w:rsid w:val="00843FA9"/>
    <w:rsid w:val="008441D3"/>
    <w:rsid w:val="00846380"/>
    <w:rsid w:val="00853311"/>
    <w:rsid w:val="0085436D"/>
    <w:rsid w:val="00854627"/>
    <w:rsid w:val="00855491"/>
    <w:rsid w:val="00856432"/>
    <w:rsid w:val="00865F7A"/>
    <w:rsid w:val="0086632F"/>
    <w:rsid w:val="0088066D"/>
    <w:rsid w:val="00881209"/>
    <w:rsid w:val="00886216"/>
    <w:rsid w:val="00887AE1"/>
    <w:rsid w:val="00891A67"/>
    <w:rsid w:val="008924F7"/>
    <w:rsid w:val="00893DDC"/>
    <w:rsid w:val="0089506B"/>
    <w:rsid w:val="0089551E"/>
    <w:rsid w:val="00896B43"/>
    <w:rsid w:val="008A260B"/>
    <w:rsid w:val="008A3C43"/>
    <w:rsid w:val="008A3D62"/>
    <w:rsid w:val="008A6924"/>
    <w:rsid w:val="008A727A"/>
    <w:rsid w:val="008A7BB4"/>
    <w:rsid w:val="008B1CA4"/>
    <w:rsid w:val="008B4C79"/>
    <w:rsid w:val="008B757E"/>
    <w:rsid w:val="008C363D"/>
    <w:rsid w:val="008C3F7E"/>
    <w:rsid w:val="008C70AD"/>
    <w:rsid w:val="008D0869"/>
    <w:rsid w:val="008D343F"/>
    <w:rsid w:val="008D57F0"/>
    <w:rsid w:val="008E1683"/>
    <w:rsid w:val="008E1E16"/>
    <w:rsid w:val="008E2C67"/>
    <w:rsid w:val="008E430F"/>
    <w:rsid w:val="008E78DA"/>
    <w:rsid w:val="008F47BA"/>
    <w:rsid w:val="00901C11"/>
    <w:rsid w:val="0091132E"/>
    <w:rsid w:val="00913F0D"/>
    <w:rsid w:val="00915229"/>
    <w:rsid w:val="00916CC3"/>
    <w:rsid w:val="009210FD"/>
    <w:rsid w:val="00923CBA"/>
    <w:rsid w:val="009304AA"/>
    <w:rsid w:val="009337AE"/>
    <w:rsid w:val="00935101"/>
    <w:rsid w:val="009359DE"/>
    <w:rsid w:val="0093614E"/>
    <w:rsid w:val="009432A8"/>
    <w:rsid w:val="00943BB6"/>
    <w:rsid w:val="00954FF4"/>
    <w:rsid w:val="00956F09"/>
    <w:rsid w:val="00960CC8"/>
    <w:rsid w:val="00962F14"/>
    <w:rsid w:val="00966D89"/>
    <w:rsid w:val="009701DE"/>
    <w:rsid w:val="00972A87"/>
    <w:rsid w:val="009757C2"/>
    <w:rsid w:val="009811F7"/>
    <w:rsid w:val="0099013E"/>
    <w:rsid w:val="00990FB8"/>
    <w:rsid w:val="00991031"/>
    <w:rsid w:val="009927F8"/>
    <w:rsid w:val="00995382"/>
    <w:rsid w:val="009979E0"/>
    <w:rsid w:val="009A333F"/>
    <w:rsid w:val="009A4270"/>
    <w:rsid w:val="009A5E10"/>
    <w:rsid w:val="009A640A"/>
    <w:rsid w:val="009B3313"/>
    <w:rsid w:val="009B5A71"/>
    <w:rsid w:val="009B60F1"/>
    <w:rsid w:val="009C3628"/>
    <w:rsid w:val="009C7D2E"/>
    <w:rsid w:val="009D545B"/>
    <w:rsid w:val="009E44BC"/>
    <w:rsid w:val="009E4B2F"/>
    <w:rsid w:val="009E508A"/>
    <w:rsid w:val="009E65E8"/>
    <w:rsid w:val="009E7486"/>
    <w:rsid w:val="009F1497"/>
    <w:rsid w:val="009F7999"/>
    <w:rsid w:val="00A01763"/>
    <w:rsid w:val="00A05AFC"/>
    <w:rsid w:val="00A10AA1"/>
    <w:rsid w:val="00A11B01"/>
    <w:rsid w:val="00A12C05"/>
    <w:rsid w:val="00A12DF6"/>
    <w:rsid w:val="00A15907"/>
    <w:rsid w:val="00A162B9"/>
    <w:rsid w:val="00A16CDF"/>
    <w:rsid w:val="00A1763E"/>
    <w:rsid w:val="00A26FCE"/>
    <w:rsid w:val="00A317B6"/>
    <w:rsid w:val="00A347B2"/>
    <w:rsid w:val="00A348AF"/>
    <w:rsid w:val="00A41549"/>
    <w:rsid w:val="00A44782"/>
    <w:rsid w:val="00A44C20"/>
    <w:rsid w:val="00A47488"/>
    <w:rsid w:val="00A5044E"/>
    <w:rsid w:val="00A54F95"/>
    <w:rsid w:val="00A55439"/>
    <w:rsid w:val="00A55A0C"/>
    <w:rsid w:val="00A61585"/>
    <w:rsid w:val="00A63EA2"/>
    <w:rsid w:val="00A66789"/>
    <w:rsid w:val="00A71F37"/>
    <w:rsid w:val="00A765CB"/>
    <w:rsid w:val="00A8011A"/>
    <w:rsid w:val="00A86A3B"/>
    <w:rsid w:val="00A86CCD"/>
    <w:rsid w:val="00A9013B"/>
    <w:rsid w:val="00A932D6"/>
    <w:rsid w:val="00A93A0B"/>
    <w:rsid w:val="00A942DD"/>
    <w:rsid w:val="00A979DB"/>
    <w:rsid w:val="00AA2CFE"/>
    <w:rsid w:val="00AA2E13"/>
    <w:rsid w:val="00AA45A5"/>
    <w:rsid w:val="00AB112C"/>
    <w:rsid w:val="00AB3116"/>
    <w:rsid w:val="00AB3B38"/>
    <w:rsid w:val="00AB77E5"/>
    <w:rsid w:val="00AB797D"/>
    <w:rsid w:val="00AC0529"/>
    <w:rsid w:val="00AC0A91"/>
    <w:rsid w:val="00AC10C2"/>
    <w:rsid w:val="00AC52CA"/>
    <w:rsid w:val="00AD7E36"/>
    <w:rsid w:val="00AE1848"/>
    <w:rsid w:val="00AE34E8"/>
    <w:rsid w:val="00AE4717"/>
    <w:rsid w:val="00AF0F13"/>
    <w:rsid w:val="00AF3B02"/>
    <w:rsid w:val="00AF4D98"/>
    <w:rsid w:val="00AF5631"/>
    <w:rsid w:val="00AF7C25"/>
    <w:rsid w:val="00B079E3"/>
    <w:rsid w:val="00B134F2"/>
    <w:rsid w:val="00B154AF"/>
    <w:rsid w:val="00B15BE9"/>
    <w:rsid w:val="00B2043B"/>
    <w:rsid w:val="00B21823"/>
    <w:rsid w:val="00B226C8"/>
    <w:rsid w:val="00B23F79"/>
    <w:rsid w:val="00B30BD1"/>
    <w:rsid w:val="00B30EA0"/>
    <w:rsid w:val="00B3236A"/>
    <w:rsid w:val="00B3657D"/>
    <w:rsid w:val="00B41C22"/>
    <w:rsid w:val="00B4231A"/>
    <w:rsid w:val="00B444DD"/>
    <w:rsid w:val="00B44FFA"/>
    <w:rsid w:val="00B50D8A"/>
    <w:rsid w:val="00B54AA6"/>
    <w:rsid w:val="00B56226"/>
    <w:rsid w:val="00B608CF"/>
    <w:rsid w:val="00B617C8"/>
    <w:rsid w:val="00B61B0B"/>
    <w:rsid w:val="00B65240"/>
    <w:rsid w:val="00B675AD"/>
    <w:rsid w:val="00B677FC"/>
    <w:rsid w:val="00B736C2"/>
    <w:rsid w:val="00B77A6C"/>
    <w:rsid w:val="00B8034F"/>
    <w:rsid w:val="00B80563"/>
    <w:rsid w:val="00B8169E"/>
    <w:rsid w:val="00B84A7E"/>
    <w:rsid w:val="00B86839"/>
    <w:rsid w:val="00B92572"/>
    <w:rsid w:val="00B931F7"/>
    <w:rsid w:val="00B93381"/>
    <w:rsid w:val="00BA060D"/>
    <w:rsid w:val="00BC3502"/>
    <w:rsid w:val="00BC5A57"/>
    <w:rsid w:val="00BC5ADA"/>
    <w:rsid w:val="00BD0916"/>
    <w:rsid w:val="00BD31F3"/>
    <w:rsid w:val="00BD6B8D"/>
    <w:rsid w:val="00BD711E"/>
    <w:rsid w:val="00BD73AE"/>
    <w:rsid w:val="00BE1BDB"/>
    <w:rsid w:val="00BE3177"/>
    <w:rsid w:val="00BE3F16"/>
    <w:rsid w:val="00BE4CAA"/>
    <w:rsid w:val="00BE566C"/>
    <w:rsid w:val="00BF0419"/>
    <w:rsid w:val="00BF0F7D"/>
    <w:rsid w:val="00BF100E"/>
    <w:rsid w:val="00BF2707"/>
    <w:rsid w:val="00BF28E5"/>
    <w:rsid w:val="00C039EE"/>
    <w:rsid w:val="00C07BD6"/>
    <w:rsid w:val="00C225F3"/>
    <w:rsid w:val="00C237F8"/>
    <w:rsid w:val="00C23B3B"/>
    <w:rsid w:val="00C241FD"/>
    <w:rsid w:val="00C27120"/>
    <w:rsid w:val="00C272F3"/>
    <w:rsid w:val="00C30762"/>
    <w:rsid w:val="00C30EB6"/>
    <w:rsid w:val="00C31022"/>
    <w:rsid w:val="00C31DCC"/>
    <w:rsid w:val="00C37915"/>
    <w:rsid w:val="00C43AE6"/>
    <w:rsid w:val="00C45D5F"/>
    <w:rsid w:val="00C46EC4"/>
    <w:rsid w:val="00C50026"/>
    <w:rsid w:val="00C538C5"/>
    <w:rsid w:val="00C57F0D"/>
    <w:rsid w:val="00C60603"/>
    <w:rsid w:val="00C60987"/>
    <w:rsid w:val="00C6112C"/>
    <w:rsid w:val="00C61A78"/>
    <w:rsid w:val="00C61F63"/>
    <w:rsid w:val="00C6233B"/>
    <w:rsid w:val="00C6645F"/>
    <w:rsid w:val="00C73BED"/>
    <w:rsid w:val="00C76DA5"/>
    <w:rsid w:val="00C774C6"/>
    <w:rsid w:val="00C77C46"/>
    <w:rsid w:val="00C81D2E"/>
    <w:rsid w:val="00C83F31"/>
    <w:rsid w:val="00C84321"/>
    <w:rsid w:val="00C86707"/>
    <w:rsid w:val="00C8763E"/>
    <w:rsid w:val="00C97085"/>
    <w:rsid w:val="00C97CA7"/>
    <w:rsid w:val="00C97F5A"/>
    <w:rsid w:val="00CA01AE"/>
    <w:rsid w:val="00CA237B"/>
    <w:rsid w:val="00CA2388"/>
    <w:rsid w:val="00CA7EE1"/>
    <w:rsid w:val="00CB5BAA"/>
    <w:rsid w:val="00CB67C7"/>
    <w:rsid w:val="00CB7738"/>
    <w:rsid w:val="00CC0134"/>
    <w:rsid w:val="00CC0326"/>
    <w:rsid w:val="00CC0D34"/>
    <w:rsid w:val="00CC163B"/>
    <w:rsid w:val="00CC654F"/>
    <w:rsid w:val="00CC6590"/>
    <w:rsid w:val="00CD285E"/>
    <w:rsid w:val="00CD28E8"/>
    <w:rsid w:val="00CD698E"/>
    <w:rsid w:val="00CD7511"/>
    <w:rsid w:val="00CE435C"/>
    <w:rsid w:val="00CF17BD"/>
    <w:rsid w:val="00CF1F54"/>
    <w:rsid w:val="00CF1FE3"/>
    <w:rsid w:val="00CF5AC7"/>
    <w:rsid w:val="00CF6B28"/>
    <w:rsid w:val="00D074CC"/>
    <w:rsid w:val="00D154E5"/>
    <w:rsid w:val="00D20050"/>
    <w:rsid w:val="00D225DA"/>
    <w:rsid w:val="00D27B3A"/>
    <w:rsid w:val="00D3021B"/>
    <w:rsid w:val="00D42814"/>
    <w:rsid w:val="00D435D0"/>
    <w:rsid w:val="00D444F2"/>
    <w:rsid w:val="00D4460F"/>
    <w:rsid w:val="00D52E02"/>
    <w:rsid w:val="00D54328"/>
    <w:rsid w:val="00D544A9"/>
    <w:rsid w:val="00D6007A"/>
    <w:rsid w:val="00D60149"/>
    <w:rsid w:val="00D6419C"/>
    <w:rsid w:val="00D64931"/>
    <w:rsid w:val="00D70EDE"/>
    <w:rsid w:val="00D73350"/>
    <w:rsid w:val="00D74CD6"/>
    <w:rsid w:val="00D7650C"/>
    <w:rsid w:val="00D77A12"/>
    <w:rsid w:val="00D825C5"/>
    <w:rsid w:val="00D905CB"/>
    <w:rsid w:val="00D91A24"/>
    <w:rsid w:val="00D92784"/>
    <w:rsid w:val="00D96ACE"/>
    <w:rsid w:val="00D97A24"/>
    <w:rsid w:val="00DA4D6A"/>
    <w:rsid w:val="00DA6167"/>
    <w:rsid w:val="00DA6C60"/>
    <w:rsid w:val="00DB0AE4"/>
    <w:rsid w:val="00DB1122"/>
    <w:rsid w:val="00DB120E"/>
    <w:rsid w:val="00DB32E3"/>
    <w:rsid w:val="00DC2372"/>
    <w:rsid w:val="00DC7FFD"/>
    <w:rsid w:val="00DD1737"/>
    <w:rsid w:val="00DD6E71"/>
    <w:rsid w:val="00DD7FC0"/>
    <w:rsid w:val="00DE177B"/>
    <w:rsid w:val="00DE1A85"/>
    <w:rsid w:val="00DE3C58"/>
    <w:rsid w:val="00DE6C0C"/>
    <w:rsid w:val="00DF09CC"/>
    <w:rsid w:val="00DF3AA3"/>
    <w:rsid w:val="00DF46D8"/>
    <w:rsid w:val="00E01418"/>
    <w:rsid w:val="00E03658"/>
    <w:rsid w:val="00E0479A"/>
    <w:rsid w:val="00E047DE"/>
    <w:rsid w:val="00E07A39"/>
    <w:rsid w:val="00E103F8"/>
    <w:rsid w:val="00E13E8A"/>
    <w:rsid w:val="00E20E99"/>
    <w:rsid w:val="00E2283F"/>
    <w:rsid w:val="00E22C56"/>
    <w:rsid w:val="00E250DB"/>
    <w:rsid w:val="00E27F4E"/>
    <w:rsid w:val="00E300AE"/>
    <w:rsid w:val="00E34A88"/>
    <w:rsid w:val="00E4262C"/>
    <w:rsid w:val="00E42A59"/>
    <w:rsid w:val="00E452AD"/>
    <w:rsid w:val="00E459DC"/>
    <w:rsid w:val="00E46222"/>
    <w:rsid w:val="00E5151E"/>
    <w:rsid w:val="00E52B41"/>
    <w:rsid w:val="00E57735"/>
    <w:rsid w:val="00E60D2D"/>
    <w:rsid w:val="00E61D7B"/>
    <w:rsid w:val="00E66DCF"/>
    <w:rsid w:val="00E672E2"/>
    <w:rsid w:val="00E71A85"/>
    <w:rsid w:val="00E71C4F"/>
    <w:rsid w:val="00E73976"/>
    <w:rsid w:val="00E749DB"/>
    <w:rsid w:val="00E768AF"/>
    <w:rsid w:val="00E77FE7"/>
    <w:rsid w:val="00E83C86"/>
    <w:rsid w:val="00E85139"/>
    <w:rsid w:val="00E86D68"/>
    <w:rsid w:val="00E909EB"/>
    <w:rsid w:val="00E913F8"/>
    <w:rsid w:val="00E91B19"/>
    <w:rsid w:val="00E925BA"/>
    <w:rsid w:val="00E928FB"/>
    <w:rsid w:val="00E92B23"/>
    <w:rsid w:val="00E945FE"/>
    <w:rsid w:val="00E94628"/>
    <w:rsid w:val="00E95379"/>
    <w:rsid w:val="00EB3903"/>
    <w:rsid w:val="00EC4160"/>
    <w:rsid w:val="00ED1498"/>
    <w:rsid w:val="00ED209C"/>
    <w:rsid w:val="00ED2794"/>
    <w:rsid w:val="00ED71F1"/>
    <w:rsid w:val="00EE10BB"/>
    <w:rsid w:val="00EE157F"/>
    <w:rsid w:val="00EE1C85"/>
    <w:rsid w:val="00EE20EF"/>
    <w:rsid w:val="00EE4EFF"/>
    <w:rsid w:val="00EE782A"/>
    <w:rsid w:val="00EF63FE"/>
    <w:rsid w:val="00EF790A"/>
    <w:rsid w:val="00F000BF"/>
    <w:rsid w:val="00F0663A"/>
    <w:rsid w:val="00F1016B"/>
    <w:rsid w:val="00F12181"/>
    <w:rsid w:val="00F16E18"/>
    <w:rsid w:val="00F179BE"/>
    <w:rsid w:val="00F17A80"/>
    <w:rsid w:val="00F20230"/>
    <w:rsid w:val="00F23C9E"/>
    <w:rsid w:val="00F26C5D"/>
    <w:rsid w:val="00F26F61"/>
    <w:rsid w:val="00F27659"/>
    <w:rsid w:val="00F3497D"/>
    <w:rsid w:val="00F354BC"/>
    <w:rsid w:val="00F35D0F"/>
    <w:rsid w:val="00F44C2B"/>
    <w:rsid w:val="00F4753B"/>
    <w:rsid w:val="00F5070C"/>
    <w:rsid w:val="00F55DA3"/>
    <w:rsid w:val="00F56F0A"/>
    <w:rsid w:val="00F65E0F"/>
    <w:rsid w:val="00F66265"/>
    <w:rsid w:val="00F66318"/>
    <w:rsid w:val="00F7213B"/>
    <w:rsid w:val="00F80200"/>
    <w:rsid w:val="00F80E9B"/>
    <w:rsid w:val="00F905A1"/>
    <w:rsid w:val="00F95654"/>
    <w:rsid w:val="00F95BDC"/>
    <w:rsid w:val="00F97611"/>
    <w:rsid w:val="00F979B0"/>
    <w:rsid w:val="00F97DD0"/>
    <w:rsid w:val="00FA2B30"/>
    <w:rsid w:val="00FB2D65"/>
    <w:rsid w:val="00FB41E9"/>
    <w:rsid w:val="00FC213A"/>
    <w:rsid w:val="00FC2AE2"/>
    <w:rsid w:val="00FC2EA7"/>
    <w:rsid w:val="00FD027A"/>
    <w:rsid w:val="00FD0B13"/>
    <w:rsid w:val="00FD2DD6"/>
    <w:rsid w:val="00FD65A3"/>
    <w:rsid w:val="00FE00CA"/>
    <w:rsid w:val="00FE0306"/>
    <w:rsid w:val="00FE0E8E"/>
    <w:rsid w:val="00FE3321"/>
    <w:rsid w:val="00FE3FF9"/>
    <w:rsid w:val="00FF1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81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01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4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3C43"/>
    <w:pPr>
      <w:ind w:left="720"/>
      <w:contextualSpacing/>
    </w:pPr>
  </w:style>
  <w:style w:type="paragraph" w:styleId="FootnoteText">
    <w:name w:val="footnote text"/>
    <w:aliases w:val="Footnote Text Char Char,Footnote Text Char,Footnote Text Char Char Char Char Char,Footnote Text Char Char Char,Footnote Text Char Char Char Char Cha Char,Footnote Text Char1,Footnote Text Char1 Char Char,FOOTNOTES,fn,Car,5_G,single spac"/>
    <w:basedOn w:val="Normal"/>
    <w:link w:val="FootnoteTextChar2"/>
    <w:uiPriority w:val="99"/>
    <w:unhideWhenUsed/>
    <w:rsid w:val="00F27659"/>
    <w:pPr>
      <w:spacing w:after="0" w:line="240" w:lineRule="auto"/>
    </w:pPr>
    <w:rPr>
      <w:sz w:val="20"/>
      <w:szCs w:val="20"/>
    </w:rPr>
  </w:style>
  <w:style w:type="character" w:customStyle="1" w:styleId="FootnoteTextChar2">
    <w:name w:val="Footnote Text Char2"/>
    <w:aliases w:val="Footnote Text Char Char Char1,Footnote Text Char Char1,Footnote Text Char Char Char Char Char Char,Footnote Text Char Char Char Char,Footnote Text Char Char Char Char Cha Char Char,Footnote Text Char1 Char,FOOTNOTES Char,fn Char"/>
    <w:basedOn w:val="DefaultParagraphFont"/>
    <w:link w:val="FootnoteText"/>
    <w:uiPriority w:val="99"/>
    <w:rsid w:val="00F27659"/>
    <w:rPr>
      <w:sz w:val="20"/>
      <w:szCs w:val="20"/>
    </w:rPr>
  </w:style>
  <w:style w:type="character" w:styleId="FootnoteReference">
    <w:name w:val="footnote reference"/>
    <w:aliases w:val="ftref,4_G,-E Fußnotenzeichen,16 Point,Superscript 6 Point,Carattere Char1,Carattere Char Char Carattere Carattere Char Char,fr, Carattere Char1, Carattere Char Char Carattere Carattere Char Char,Footnote,BVI fnr,Footnotes refss Char"/>
    <w:basedOn w:val="DefaultParagraphFont"/>
    <w:link w:val="Footnotesrefss"/>
    <w:uiPriority w:val="99"/>
    <w:unhideWhenUsed/>
    <w:rsid w:val="00F27659"/>
    <w:rPr>
      <w:vertAlign w:val="superscript"/>
    </w:rPr>
  </w:style>
  <w:style w:type="character" w:styleId="Hyperlink">
    <w:name w:val="Hyperlink"/>
    <w:basedOn w:val="DefaultParagraphFont"/>
    <w:uiPriority w:val="99"/>
    <w:unhideWhenUsed/>
    <w:rsid w:val="00F27659"/>
    <w:rPr>
      <w:color w:val="0000FF" w:themeColor="hyperlink"/>
      <w:u w:val="single"/>
    </w:rPr>
  </w:style>
  <w:style w:type="paragraph" w:styleId="BalloonText">
    <w:name w:val="Balloon Text"/>
    <w:basedOn w:val="Normal"/>
    <w:link w:val="BalloonTextChar"/>
    <w:uiPriority w:val="99"/>
    <w:semiHidden/>
    <w:unhideWhenUsed/>
    <w:rsid w:val="0090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11"/>
    <w:rPr>
      <w:rFonts w:ascii="Tahoma" w:hAnsi="Tahoma" w:cs="Tahoma"/>
      <w:sz w:val="16"/>
      <w:szCs w:val="16"/>
    </w:rPr>
  </w:style>
  <w:style w:type="character" w:customStyle="1" w:styleId="il">
    <w:name w:val="il"/>
    <w:basedOn w:val="DefaultParagraphFont"/>
    <w:rsid w:val="00286B43"/>
  </w:style>
  <w:style w:type="character" w:customStyle="1" w:styleId="apple-converted-space">
    <w:name w:val="apple-converted-space"/>
    <w:basedOn w:val="DefaultParagraphFont"/>
    <w:rsid w:val="00286B43"/>
  </w:style>
  <w:style w:type="paragraph" w:styleId="NormalWeb">
    <w:name w:val="Normal (Web)"/>
    <w:basedOn w:val="Normal"/>
    <w:uiPriority w:val="99"/>
    <w:unhideWhenUsed/>
    <w:rsid w:val="00286B4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srefss">
    <w:name w:val="Footnotes refss"/>
    <w:aliases w:val="Footnote Ref,Footnote text,BVI fnr Знак Char,BVI fnr Car Car Знак Char,BVI fnr Car Знак Char,BVI fnr Car Car Car Car Знак Char,callout Char,Footnotes refss Car,Footnote Ref Car"/>
    <w:basedOn w:val="Normal"/>
    <w:link w:val="FootnoteReference"/>
    <w:rsid w:val="000553A4"/>
    <w:pPr>
      <w:bidi w:val="0"/>
      <w:spacing w:after="160" w:line="240" w:lineRule="exact"/>
    </w:pPr>
    <w:rPr>
      <w:vertAlign w:val="superscript"/>
    </w:rPr>
  </w:style>
  <w:style w:type="paragraph" w:styleId="HTMLPreformatted">
    <w:name w:val="HTML Preformatted"/>
    <w:basedOn w:val="Normal"/>
    <w:link w:val="HTMLPreformattedChar"/>
    <w:uiPriority w:val="99"/>
    <w:semiHidden/>
    <w:unhideWhenUsed/>
    <w:rsid w:val="000F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177"/>
    <w:rPr>
      <w:rFonts w:ascii="Courier New" w:eastAsia="Times New Roman" w:hAnsi="Courier New" w:cs="Courier New"/>
      <w:sz w:val="20"/>
      <w:szCs w:val="20"/>
    </w:rPr>
  </w:style>
  <w:style w:type="paragraph" w:customStyle="1" w:styleId="Default">
    <w:name w:val="Default"/>
    <w:rsid w:val="000273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9013E"/>
    <w:rPr>
      <w:rFonts w:ascii="Times New Roman" w:eastAsia="Times New Roman" w:hAnsi="Times New Roman" w:cs="Times New Roman"/>
      <w:b/>
      <w:bCs/>
      <w:sz w:val="36"/>
      <w:szCs w:val="36"/>
    </w:rPr>
  </w:style>
  <w:style w:type="paragraph" w:customStyle="1" w:styleId="1">
    <w:name w:val="כותרת טקסט1"/>
    <w:basedOn w:val="Normal"/>
    <w:rsid w:val="009901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
    <w:name w:val="country"/>
    <w:basedOn w:val="Normal"/>
    <w:rsid w:val="009901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13E"/>
    <w:rPr>
      <w:b/>
      <w:bCs/>
    </w:rPr>
  </w:style>
  <w:style w:type="character" w:customStyle="1" w:styleId="p">
    <w:name w:val="p"/>
    <w:basedOn w:val="DefaultParagraphFont"/>
    <w:rsid w:val="006F4CD9"/>
  </w:style>
  <w:style w:type="character" w:customStyle="1" w:styleId="Heading1Char">
    <w:name w:val="Heading 1 Char"/>
    <w:basedOn w:val="DefaultParagraphFont"/>
    <w:link w:val="Heading1"/>
    <w:uiPriority w:val="9"/>
    <w:rsid w:val="0088120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4C2B"/>
    <w:rPr>
      <w:sz w:val="16"/>
      <w:szCs w:val="16"/>
    </w:rPr>
  </w:style>
  <w:style w:type="paragraph" w:styleId="CommentText">
    <w:name w:val="annotation text"/>
    <w:basedOn w:val="Normal"/>
    <w:link w:val="CommentTextChar"/>
    <w:uiPriority w:val="99"/>
    <w:unhideWhenUsed/>
    <w:rsid w:val="00F44C2B"/>
    <w:pPr>
      <w:spacing w:line="240" w:lineRule="auto"/>
    </w:pPr>
    <w:rPr>
      <w:sz w:val="20"/>
      <w:szCs w:val="20"/>
    </w:rPr>
  </w:style>
  <w:style w:type="character" w:customStyle="1" w:styleId="CommentTextChar">
    <w:name w:val="Comment Text Char"/>
    <w:basedOn w:val="DefaultParagraphFont"/>
    <w:link w:val="CommentText"/>
    <w:uiPriority w:val="99"/>
    <w:rsid w:val="00F44C2B"/>
    <w:rPr>
      <w:sz w:val="20"/>
      <w:szCs w:val="20"/>
    </w:rPr>
  </w:style>
  <w:style w:type="paragraph" w:styleId="CommentSubject">
    <w:name w:val="annotation subject"/>
    <w:basedOn w:val="CommentText"/>
    <w:next w:val="CommentText"/>
    <w:link w:val="CommentSubjectChar"/>
    <w:uiPriority w:val="99"/>
    <w:semiHidden/>
    <w:unhideWhenUsed/>
    <w:rsid w:val="00F44C2B"/>
    <w:rPr>
      <w:b/>
      <w:bCs/>
    </w:rPr>
  </w:style>
  <w:style w:type="character" w:customStyle="1" w:styleId="CommentSubjectChar">
    <w:name w:val="Comment Subject Char"/>
    <w:basedOn w:val="CommentTextChar"/>
    <w:link w:val="CommentSubject"/>
    <w:uiPriority w:val="99"/>
    <w:semiHidden/>
    <w:rsid w:val="00F44C2B"/>
    <w:rPr>
      <w:b/>
      <w:bCs/>
      <w:sz w:val="20"/>
      <w:szCs w:val="20"/>
    </w:rPr>
  </w:style>
  <w:style w:type="paragraph" w:styleId="Revision">
    <w:name w:val="Revision"/>
    <w:hidden/>
    <w:uiPriority w:val="99"/>
    <w:semiHidden/>
    <w:rsid w:val="00043B12"/>
    <w:pPr>
      <w:spacing w:after="0" w:line="240" w:lineRule="auto"/>
    </w:pPr>
  </w:style>
  <w:style w:type="paragraph" w:styleId="Header">
    <w:name w:val="header"/>
    <w:basedOn w:val="Normal"/>
    <w:link w:val="HeaderChar"/>
    <w:uiPriority w:val="99"/>
    <w:unhideWhenUsed/>
    <w:rsid w:val="00D765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650C"/>
  </w:style>
  <w:style w:type="paragraph" w:styleId="Footer">
    <w:name w:val="footer"/>
    <w:basedOn w:val="Normal"/>
    <w:link w:val="FooterChar"/>
    <w:uiPriority w:val="99"/>
    <w:unhideWhenUsed/>
    <w:rsid w:val="00D765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650C"/>
  </w:style>
  <w:style w:type="character" w:customStyle="1" w:styleId="googqs-tidbit">
    <w:name w:val="goog_qs-tidbit"/>
    <w:basedOn w:val="DefaultParagraphFont"/>
    <w:rsid w:val="00CA2388"/>
  </w:style>
  <w:style w:type="character" w:styleId="Emphasis">
    <w:name w:val="Emphasis"/>
    <w:basedOn w:val="DefaultParagraphFont"/>
    <w:uiPriority w:val="20"/>
    <w:qFormat/>
    <w:rsid w:val="00CA2388"/>
    <w:rPr>
      <w:i/>
      <w:iCs/>
    </w:rPr>
  </w:style>
  <w:style w:type="paragraph" w:customStyle="1" w:styleId="blog-label">
    <w:name w:val="blog-label"/>
    <w:basedOn w:val="Normal"/>
    <w:rsid w:val="00CA23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abel-authors">
    <w:name w:val="blog-label-authors"/>
    <w:basedOn w:val="Normal"/>
    <w:rsid w:val="00CA23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E44B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81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01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4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3C43"/>
    <w:pPr>
      <w:ind w:left="720"/>
      <w:contextualSpacing/>
    </w:pPr>
  </w:style>
  <w:style w:type="paragraph" w:styleId="FootnoteText">
    <w:name w:val="footnote text"/>
    <w:aliases w:val="Footnote Text Char Char,Footnote Text Char,Footnote Text Char Char Char Char Char,Footnote Text Char Char Char,Footnote Text Char Char Char Char Cha Char,Footnote Text Char1,Footnote Text Char1 Char Char,FOOTNOTES,fn,Car,5_G,single spac"/>
    <w:basedOn w:val="Normal"/>
    <w:link w:val="FootnoteTextChar2"/>
    <w:uiPriority w:val="99"/>
    <w:unhideWhenUsed/>
    <w:rsid w:val="00F27659"/>
    <w:pPr>
      <w:spacing w:after="0" w:line="240" w:lineRule="auto"/>
    </w:pPr>
    <w:rPr>
      <w:sz w:val="20"/>
      <w:szCs w:val="20"/>
    </w:rPr>
  </w:style>
  <w:style w:type="character" w:customStyle="1" w:styleId="FootnoteTextChar2">
    <w:name w:val="Footnote Text Char2"/>
    <w:aliases w:val="Footnote Text Char Char Char1,Footnote Text Char Char1,Footnote Text Char Char Char Char Char Char,Footnote Text Char Char Char Char,Footnote Text Char Char Char Char Cha Char Char,Footnote Text Char1 Char,FOOTNOTES Char,fn Char"/>
    <w:basedOn w:val="DefaultParagraphFont"/>
    <w:link w:val="FootnoteText"/>
    <w:uiPriority w:val="99"/>
    <w:rsid w:val="00F27659"/>
    <w:rPr>
      <w:sz w:val="20"/>
      <w:szCs w:val="20"/>
    </w:rPr>
  </w:style>
  <w:style w:type="character" w:styleId="FootnoteReference">
    <w:name w:val="footnote reference"/>
    <w:aliases w:val="ftref,4_G,-E Fußnotenzeichen,16 Point,Superscript 6 Point,Carattere Char1,Carattere Char Char Carattere Carattere Char Char,fr, Carattere Char1, Carattere Char Char Carattere Carattere Char Char,Footnote,BVI fnr,Footnotes refss Char"/>
    <w:basedOn w:val="DefaultParagraphFont"/>
    <w:link w:val="Footnotesrefss"/>
    <w:uiPriority w:val="99"/>
    <w:unhideWhenUsed/>
    <w:rsid w:val="00F27659"/>
    <w:rPr>
      <w:vertAlign w:val="superscript"/>
    </w:rPr>
  </w:style>
  <w:style w:type="character" w:styleId="Hyperlink">
    <w:name w:val="Hyperlink"/>
    <w:basedOn w:val="DefaultParagraphFont"/>
    <w:uiPriority w:val="99"/>
    <w:unhideWhenUsed/>
    <w:rsid w:val="00F27659"/>
    <w:rPr>
      <w:color w:val="0000FF" w:themeColor="hyperlink"/>
      <w:u w:val="single"/>
    </w:rPr>
  </w:style>
  <w:style w:type="paragraph" w:styleId="BalloonText">
    <w:name w:val="Balloon Text"/>
    <w:basedOn w:val="Normal"/>
    <w:link w:val="BalloonTextChar"/>
    <w:uiPriority w:val="99"/>
    <w:semiHidden/>
    <w:unhideWhenUsed/>
    <w:rsid w:val="0090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11"/>
    <w:rPr>
      <w:rFonts w:ascii="Tahoma" w:hAnsi="Tahoma" w:cs="Tahoma"/>
      <w:sz w:val="16"/>
      <w:szCs w:val="16"/>
    </w:rPr>
  </w:style>
  <w:style w:type="character" w:customStyle="1" w:styleId="il">
    <w:name w:val="il"/>
    <w:basedOn w:val="DefaultParagraphFont"/>
    <w:rsid w:val="00286B43"/>
  </w:style>
  <w:style w:type="character" w:customStyle="1" w:styleId="apple-converted-space">
    <w:name w:val="apple-converted-space"/>
    <w:basedOn w:val="DefaultParagraphFont"/>
    <w:rsid w:val="00286B43"/>
  </w:style>
  <w:style w:type="paragraph" w:styleId="NormalWeb">
    <w:name w:val="Normal (Web)"/>
    <w:basedOn w:val="Normal"/>
    <w:uiPriority w:val="99"/>
    <w:unhideWhenUsed/>
    <w:rsid w:val="00286B4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srefss">
    <w:name w:val="Footnotes refss"/>
    <w:aliases w:val="Footnote Ref,Footnote text,BVI fnr Знак Char,BVI fnr Car Car Знак Char,BVI fnr Car Знак Char,BVI fnr Car Car Car Car Знак Char,callout Char,Footnotes refss Car,Footnote Ref Car"/>
    <w:basedOn w:val="Normal"/>
    <w:link w:val="FootnoteReference"/>
    <w:rsid w:val="000553A4"/>
    <w:pPr>
      <w:bidi w:val="0"/>
      <w:spacing w:after="160" w:line="240" w:lineRule="exact"/>
    </w:pPr>
    <w:rPr>
      <w:vertAlign w:val="superscript"/>
    </w:rPr>
  </w:style>
  <w:style w:type="paragraph" w:styleId="HTMLPreformatted">
    <w:name w:val="HTML Preformatted"/>
    <w:basedOn w:val="Normal"/>
    <w:link w:val="HTMLPreformattedChar"/>
    <w:uiPriority w:val="99"/>
    <w:semiHidden/>
    <w:unhideWhenUsed/>
    <w:rsid w:val="000F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177"/>
    <w:rPr>
      <w:rFonts w:ascii="Courier New" w:eastAsia="Times New Roman" w:hAnsi="Courier New" w:cs="Courier New"/>
      <w:sz w:val="20"/>
      <w:szCs w:val="20"/>
    </w:rPr>
  </w:style>
  <w:style w:type="paragraph" w:customStyle="1" w:styleId="Default">
    <w:name w:val="Default"/>
    <w:rsid w:val="000273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9013E"/>
    <w:rPr>
      <w:rFonts w:ascii="Times New Roman" w:eastAsia="Times New Roman" w:hAnsi="Times New Roman" w:cs="Times New Roman"/>
      <w:b/>
      <w:bCs/>
      <w:sz w:val="36"/>
      <w:szCs w:val="36"/>
    </w:rPr>
  </w:style>
  <w:style w:type="paragraph" w:customStyle="1" w:styleId="1">
    <w:name w:val="כותרת טקסט1"/>
    <w:basedOn w:val="Normal"/>
    <w:rsid w:val="009901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
    <w:name w:val="country"/>
    <w:basedOn w:val="Normal"/>
    <w:rsid w:val="009901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13E"/>
    <w:rPr>
      <w:b/>
      <w:bCs/>
    </w:rPr>
  </w:style>
  <w:style w:type="character" w:customStyle="1" w:styleId="p">
    <w:name w:val="p"/>
    <w:basedOn w:val="DefaultParagraphFont"/>
    <w:rsid w:val="006F4CD9"/>
  </w:style>
  <w:style w:type="character" w:customStyle="1" w:styleId="Heading1Char">
    <w:name w:val="Heading 1 Char"/>
    <w:basedOn w:val="DefaultParagraphFont"/>
    <w:link w:val="Heading1"/>
    <w:uiPriority w:val="9"/>
    <w:rsid w:val="0088120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4C2B"/>
    <w:rPr>
      <w:sz w:val="16"/>
      <w:szCs w:val="16"/>
    </w:rPr>
  </w:style>
  <w:style w:type="paragraph" w:styleId="CommentText">
    <w:name w:val="annotation text"/>
    <w:basedOn w:val="Normal"/>
    <w:link w:val="CommentTextChar"/>
    <w:uiPriority w:val="99"/>
    <w:unhideWhenUsed/>
    <w:rsid w:val="00F44C2B"/>
    <w:pPr>
      <w:spacing w:line="240" w:lineRule="auto"/>
    </w:pPr>
    <w:rPr>
      <w:sz w:val="20"/>
      <w:szCs w:val="20"/>
    </w:rPr>
  </w:style>
  <w:style w:type="character" w:customStyle="1" w:styleId="CommentTextChar">
    <w:name w:val="Comment Text Char"/>
    <w:basedOn w:val="DefaultParagraphFont"/>
    <w:link w:val="CommentText"/>
    <w:uiPriority w:val="99"/>
    <w:rsid w:val="00F44C2B"/>
    <w:rPr>
      <w:sz w:val="20"/>
      <w:szCs w:val="20"/>
    </w:rPr>
  </w:style>
  <w:style w:type="paragraph" w:styleId="CommentSubject">
    <w:name w:val="annotation subject"/>
    <w:basedOn w:val="CommentText"/>
    <w:next w:val="CommentText"/>
    <w:link w:val="CommentSubjectChar"/>
    <w:uiPriority w:val="99"/>
    <w:semiHidden/>
    <w:unhideWhenUsed/>
    <w:rsid w:val="00F44C2B"/>
    <w:rPr>
      <w:b/>
      <w:bCs/>
    </w:rPr>
  </w:style>
  <w:style w:type="character" w:customStyle="1" w:styleId="CommentSubjectChar">
    <w:name w:val="Comment Subject Char"/>
    <w:basedOn w:val="CommentTextChar"/>
    <w:link w:val="CommentSubject"/>
    <w:uiPriority w:val="99"/>
    <w:semiHidden/>
    <w:rsid w:val="00F44C2B"/>
    <w:rPr>
      <w:b/>
      <w:bCs/>
      <w:sz w:val="20"/>
      <w:szCs w:val="20"/>
    </w:rPr>
  </w:style>
  <w:style w:type="paragraph" w:styleId="Revision">
    <w:name w:val="Revision"/>
    <w:hidden/>
    <w:uiPriority w:val="99"/>
    <w:semiHidden/>
    <w:rsid w:val="00043B12"/>
    <w:pPr>
      <w:spacing w:after="0" w:line="240" w:lineRule="auto"/>
    </w:pPr>
  </w:style>
  <w:style w:type="paragraph" w:styleId="Header">
    <w:name w:val="header"/>
    <w:basedOn w:val="Normal"/>
    <w:link w:val="HeaderChar"/>
    <w:uiPriority w:val="99"/>
    <w:unhideWhenUsed/>
    <w:rsid w:val="00D765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650C"/>
  </w:style>
  <w:style w:type="paragraph" w:styleId="Footer">
    <w:name w:val="footer"/>
    <w:basedOn w:val="Normal"/>
    <w:link w:val="FooterChar"/>
    <w:uiPriority w:val="99"/>
    <w:unhideWhenUsed/>
    <w:rsid w:val="00D765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650C"/>
  </w:style>
  <w:style w:type="character" w:customStyle="1" w:styleId="googqs-tidbit">
    <w:name w:val="goog_qs-tidbit"/>
    <w:basedOn w:val="DefaultParagraphFont"/>
    <w:rsid w:val="00CA2388"/>
  </w:style>
  <w:style w:type="character" w:styleId="Emphasis">
    <w:name w:val="Emphasis"/>
    <w:basedOn w:val="DefaultParagraphFont"/>
    <w:uiPriority w:val="20"/>
    <w:qFormat/>
    <w:rsid w:val="00CA2388"/>
    <w:rPr>
      <w:i/>
      <w:iCs/>
    </w:rPr>
  </w:style>
  <w:style w:type="paragraph" w:customStyle="1" w:styleId="blog-label">
    <w:name w:val="blog-label"/>
    <w:basedOn w:val="Normal"/>
    <w:rsid w:val="00CA23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abel-authors">
    <w:name w:val="blog-label-authors"/>
    <w:basedOn w:val="Normal"/>
    <w:rsid w:val="00CA23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E44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379">
      <w:bodyDiv w:val="1"/>
      <w:marLeft w:val="0"/>
      <w:marRight w:val="0"/>
      <w:marTop w:val="0"/>
      <w:marBottom w:val="0"/>
      <w:divBdr>
        <w:top w:val="none" w:sz="0" w:space="0" w:color="auto"/>
        <w:left w:val="none" w:sz="0" w:space="0" w:color="auto"/>
        <w:bottom w:val="none" w:sz="0" w:space="0" w:color="auto"/>
        <w:right w:val="none" w:sz="0" w:space="0" w:color="auto"/>
      </w:divBdr>
    </w:div>
    <w:div w:id="45572295">
      <w:bodyDiv w:val="1"/>
      <w:marLeft w:val="0"/>
      <w:marRight w:val="0"/>
      <w:marTop w:val="0"/>
      <w:marBottom w:val="0"/>
      <w:divBdr>
        <w:top w:val="none" w:sz="0" w:space="0" w:color="auto"/>
        <w:left w:val="none" w:sz="0" w:space="0" w:color="auto"/>
        <w:bottom w:val="none" w:sz="0" w:space="0" w:color="auto"/>
        <w:right w:val="none" w:sz="0" w:space="0" w:color="auto"/>
      </w:divBdr>
    </w:div>
    <w:div w:id="114717193">
      <w:bodyDiv w:val="1"/>
      <w:marLeft w:val="0"/>
      <w:marRight w:val="0"/>
      <w:marTop w:val="0"/>
      <w:marBottom w:val="0"/>
      <w:divBdr>
        <w:top w:val="none" w:sz="0" w:space="0" w:color="auto"/>
        <w:left w:val="none" w:sz="0" w:space="0" w:color="auto"/>
        <w:bottom w:val="none" w:sz="0" w:space="0" w:color="auto"/>
        <w:right w:val="none" w:sz="0" w:space="0" w:color="auto"/>
      </w:divBdr>
    </w:div>
    <w:div w:id="119961213">
      <w:bodyDiv w:val="1"/>
      <w:marLeft w:val="0"/>
      <w:marRight w:val="0"/>
      <w:marTop w:val="0"/>
      <w:marBottom w:val="0"/>
      <w:divBdr>
        <w:top w:val="none" w:sz="0" w:space="0" w:color="auto"/>
        <w:left w:val="none" w:sz="0" w:space="0" w:color="auto"/>
        <w:bottom w:val="none" w:sz="0" w:space="0" w:color="auto"/>
        <w:right w:val="none" w:sz="0" w:space="0" w:color="auto"/>
      </w:divBdr>
    </w:div>
    <w:div w:id="125320668">
      <w:bodyDiv w:val="1"/>
      <w:marLeft w:val="0"/>
      <w:marRight w:val="0"/>
      <w:marTop w:val="0"/>
      <w:marBottom w:val="0"/>
      <w:divBdr>
        <w:top w:val="none" w:sz="0" w:space="0" w:color="auto"/>
        <w:left w:val="none" w:sz="0" w:space="0" w:color="auto"/>
        <w:bottom w:val="none" w:sz="0" w:space="0" w:color="auto"/>
        <w:right w:val="none" w:sz="0" w:space="0" w:color="auto"/>
      </w:divBdr>
    </w:div>
    <w:div w:id="152717796">
      <w:bodyDiv w:val="1"/>
      <w:marLeft w:val="0"/>
      <w:marRight w:val="0"/>
      <w:marTop w:val="0"/>
      <w:marBottom w:val="0"/>
      <w:divBdr>
        <w:top w:val="none" w:sz="0" w:space="0" w:color="auto"/>
        <w:left w:val="none" w:sz="0" w:space="0" w:color="auto"/>
        <w:bottom w:val="none" w:sz="0" w:space="0" w:color="auto"/>
        <w:right w:val="none" w:sz="0" w:space="0" w:color="auto"/>
      </w:divBdr>
    </w:div>
    <w:div w:id="244345110">
      <w:bodyDiv w:val="1"/>
      <w:marLeft w:val="0"/>
      <w:marRight w:val="0"/>
      <w:marTop w:val="0"/>
      <w:marBottom w:val="0"/>
      <w:divBdr>
        <w:top w:val="none" w:sz="0" w:space="0" w:color="auto"/>
        <w:left w:val="none" w:sz="0" w:space="0" w:color="auto"/>
        <w:bottom w:val="none" w:sz="0" w:space="0" w:color="auto"/>
        <w:right w:val="none" w:sz="0" w:space="0" w:color="auto"/>
      </w:divBdr>
    </w:div>
    <w:div w:id="253174673">
      <w:bodyDiv w:val="1"/>
      <w:marLeft w:val="0"/>
      <w:marRight w:val="0"/>
      <w:marTop w:val="0"/>
      <w:marBottom w:val="0"/>
      <w:divBdr>
        <w:top w:val="none" w:sz="0" w:space="0" w:color="auto"/>
        <w:left w:val="none" w:sz="0" w:space="0" w:color="auto"/>
        <w:bottom w:val="none" w:sz="0" w:space="0" w:color="auto"/>
        <w:right w:val="none" w:sz="0" w:space="0" w:color="auto"/>
      </w:divBdr>
    </w:div>
    <w:div w:id="258291061">
      <w:bodyDiv w:val="1"/>
      <w:marLeft w:val="0"/>
      <w:marRight w:val="0"/>
      <w:marTop w:val="0"/>
      <w:marBottom w:val="0"/>
      <w:divBdr>
        <w:top w:val="none" w:sz="0" w:space="0" w:color="auto"/>
        <w:left w:val="none" w:sz="0" w:space="0" w:color="auto"/>
        <w:bottom w:val="none" w:sz="0" w:space="0" w:color="auto"/>
        <w:right w:val="none" w:sz="0" w:space="0" w:color="auto"/>
      </w:divBdr>
    </w:div>
    <w:div w:id="326785187">
      <w:bodyDiv w:val="1"/>
      <w:marLeft w:val="0"/>
      <w:marRight w:val="0"/>
      <w:marTop w:val="0"/>
      <w:marBottom w:val="0"/>
      <w:divBdr>
        <w:top w:val="none" w:sz="0" w:space="0" w:color="auto"/>
        <w:left w:val="none" w:sz="0" w:space="0" w:color="auto"/>
        <w:bottom w:val="none" w:sz="0" w:space="0" w:color="auto"/>
        <w:right w:val="none" w:sz="0" w:space="0" w:color="auto"/>
      </w:divBdr>
      <w:divsChild>
        <w:div w:id="1425223929">
          <w:marLeft w:val="0"/>
          <w:marRight w:val="0"/>
          <w:marTop w:val="300"/>
          <w:marBottom w:val="0"/>
          <w:divBdr>
            <w:top w:val="none" w:sz="0" w:space="0" w:color="auto"/>
            <w:left w:val="none" w:sz="0" w:space="0" w:color="auto"/>
            <w:bottom w:val="none" w:sz="0" w:space="0" w:color="auto"/>
            <w:right w:val="none" w:sz="0" w:space="0" w:color="auto"/>
          </w:divBdr>
        </w:div>
      </w:divsChild>
    </w:div>
    <w:div w:id="341014641">
      <w:bodyDiv w:val="1"/>
      <w:marLeft w:val="0"/>
      <w:marRight w:val="0"/>
      <w:marTop w:val="0"/>
      <w:marBottom w:val="0"/>
      <w:divBdr>
        <w:top w:val="none" w:sz="0" w:space="0" w:color="auto"/>
        <w:left w:val="none" w:sz="0" w:space="0" w:color="auto"/>
        <w:bottom w:val="none" w:sz="0" w:space="0" w:color="auto"/>
        <w:right w:val="none" w:sz="0" w:space="0" w:color="auto"/>
      </w:divBdr>
    </w:div>
    <w:div w:id="354617102">
      <w:bodyDiv w:val="1"/>
      <w:marLeft w:val="0"/>
      <w:marRight w:val="0"/>
      <w:marTop w:val="0"/>
      <w:marBottom w:val="0"/>
      <w:divBdr>
        <w:top w:val="none" w:sz="0" w:space="0" w:color="auto"/>
        <w:left w:val="none" w:sz="0" w:space="0" w:color="auto"/>
        <w:bottom w:val="none" w:sz="0" w:space="0" w:color="auto"/>
        <w:right w:val="none" w:sz="0" w:space="0" w:color="auto"/>
      </w:divBdr>
    </w:div>
    <w:div w:id="571425029">
      <w:bodyDiv w:val="1"/>
      <w:marLeft w:val="0"/>
      <w:marRight w:val="0"/>
      <w:marTop w:val="0"/>
      <w:marBottom w:val="0"/>
      <w:divBdr>
        <w:top w:val="none" w:sz="0" w:space="0" w:color="auto"/>
        <w:left w:val="none" w:sz="0" w:space="0" w:color="auto"/>
        <w:bottom w:val="none" w:sz="0" w:space="0" w:color="auto"/>
        <w:right w:val="none" w:sz="0" w:space="0" w:color="auto"/>
      </w:divBdr>
    </w:div>
    <w:div w:id="594558695">
      <w:bodyDiv w:val="1"/>
      <w:marLeft w:val="0"/>
      <w:marRight w:val="0"/>
      <w:marTop w:val="0"/>
      <w:marBottom w:val="0"/>
      <w:divBdr>
        <w:top w:val="none" w:sz="0" w:space="0" w:color="auto"/>
        <w:left w:val="none" w:sz="0" w:space="0" w:color="auto"/>
        <w:bottom w:val="none" w:sz="0" w:space="0" w:color="auto"/>
        <w:right w:val="none" w:sz="0" w:space="0" w:color="auto"/>
      </w:divBdr>
    </w:div>
    <w:div w:id="639119373">
      <w:bodyDiv w:val="1"/>
      <w:marLeft w:val="0"/>
      <w:marRight w:val="0"/>
      <w:marTop w:val="0"/>
      <w:marBottom w:val="0"/>
      <w:divBdr>
        <w:top w:val="none" w:sz="0" w:space="0" w:color="auto"/>
        <w:left w:val="none" w:sz="0" w:space="0" w:color="auto"/>
        <w:bottom w:val="none" w:sz="0" w:space="0" w:color="auto"/>
        <w:right w:val="none" w:sz="0" w:space="0" w:color="auto"/>
      </w:divBdr>
    </w:div>
    <w:div w:id="645478558">
      <w:bodyDiv w:val="1"/>
      <w:marLeft w:val="0"/>
      <w:marRight w:val="0"/>
      <w:marTop w:val="0"/>
      <w:marBottom w:val="0"/>
      <w:divBdr>
        <w:top w:val="none" w:sz="0" w:space="0" w:color="auto"/>
        <w:left w:val="none" w:sz="0" w:space="0" w:color="auto"/>
        <w:bottom w:val="none" w:sz="0" w:space="0" w:color="auto"/>
        <w:right w:val="none" w:sz="0" w:space="0" w:color="auto"/>
      </w:divBdr>
      <w:divsChild>
        <w:div w:id="1612013188">
          <w:marLeft w:val="0"/>
          <w:marRight w:val="0"/>
          <w:marTop w:val="300"/>
          <w:marBottom w:val="0"/>
          <w:divBdr>
            <w:top w:val="none" w:sz="0" w:space="0" w:color="auto"/>
            <w:left w:val="none" w:sz="0" w:space="0" w:color="auto"/>
            <w:bottom w:val="none" w:sz="0" w:space="0" w:color="auto"/>
            <w:right w:val="none" w:sz="0" w:space="0" w:color="auto"/>
          </w:divBdr>
        </w:div>
      </w:divsChild>
    </w:div>
    <w:div w:id="696278279">
      <w:bodyDiv w:val="1"/>
      <w:marLeft w:val="0"/>
      <w:marRight w:val="0"/>
      <w:marTop w:val="0"/>
      <w:marBottom w:val="0"/>
      <w:divBdr>
        <w:top w:val="none" w:sz="0" w:space="0" w:color="auto"/>
        <w:left w:val="none" w:sz="0" w:space="0" w:color="auto"/>
        <w:bottom w:val="none" w:sz="0" w:space="0" w:color="auto"/>
        <w:right w:val="none" w:sz="0" w:space="0" w:color="auto"/>
      </w:divBdr>
    </w:div>
    <w:div w:id="700084713">
      <w:bodyDiv w:val="1"/>
      <w:marLeft w:val="0"/>
      <w:marRight w:val="0"/>
      <w:marTop w:val="0"/>
      <w:marBottom w:val="0"/>
      <w:divBdr>
        <w:top w:val="none" w:sz="0" w:space="0" w:color="auto"/>
        <w:left w:val="none" w:sz="0" w:space="0" w:color="auto"/>
        <w:bottom w:val="none" w:sz="0" w:space="0" w:color="auto"/>
        <w:right w:val="none" w:sz="0" w:space="0" w:color="auto"/>
      </w:divBdr>
    </w:div>
    <w:div w:id="735516183">
      <w:bodyDiv w:val="1"/>
      <w:marLeft w:val="0"/>
      <w:marRight w:val="0"/>
      <w:marTop w:val="0"/>
      <w:marBottom w:val="0"/>
      <w:divBdr>
        <w:top w:val="none" w:sz="0" w:space="0" w:color="auto"/>
        <w:left w:val="none" w:sz="0" w:space="0" w:color="auto"/>
        <w:bottom w:val="none" w:sz="0" w:space="0" w:color="auto"/>
        <w:right w:val="none" w:sz="0" w:space="0" w:color="auto"/>
      </w:divBdr>
    </w:div>
    <w:div w:id="766773412">
      <w:bodyDiv w:val="1"/>
      <w:marLeft w:val="0"/>
      <w:marRight w:val="0"/>
      <w:marTop w:val="0"/>
      <w:marBottom w:val="0"/>
      <w:divBdr>
        <w:top w:val="none" w:sz="0" w:space="0" w:color="auto"/>
        <w:left w:val="none" w:sz="0" w:space="0" w:color="auto"/>
        <w:bottom w:val="none" w:sz="0" w:space="0" w:color="auto"/>
        <w:right w:val="none" w:sz="0" w:space="0" w:color="auto"/>
      </w:divBdr>
    </w:div>
    <w:div w:id="898250907">
      <w:bodyDiv w:val="1"/>
      <w:marLeft w:val="0"/>
      <w:marRight w:val="0"/>
      <w:marTop w:val="0"/>
      <w:marBottom w:val="0"/>
      <w:divBdr>
        <w:top w:val="none" w:sz="0" w:space="0" w:color="auto"/>
        <w:left w:val="none" w:sz="0" w:space="0" w:color="auto"/>
        <w:bottom w:val="none" w:sz="0" w:space="0" w:color="auto"/>
        <w:right w:val="none" w:sz="0" w:space="0" w:color="auto"/>
      </w:divBdr>
    </w:div>
    <w:div w:id="912158295">
      <w:bodyDiv w:val="1"/>
      <w:marLeft w:val="0"/>
      <w:marRight w:val="0"/>
      <w:marTop w:val="0"/>
      <w:marBottom w:val="0"/>
      <w:divBdr>
        <w:top w:val="none" w:sz="0" w:space="0" w:color="auto"/>
        <w:left w:val="none" w:sz="0" w:space="0" w:color="auto"/>
        <w:bottom w:val="none" w:sz="0" w:space="0" w:color="auto"/>
        <w:right w:val="none" w:sz="0" w:space="0" w:color="auto"/>
      </w:divBdr>
    </w:div>
    <w:div w:id="919601762">
      <w:bodyDiv w:val="1"/>
      <w:marLeft w:val="0"/>
      <w:marRight w:val="0"/>
      <w:marTop w:val="0"/>
      <w:marBottom w:val="0"/>
      <w:divBdr>
        <w:top w:val="none" w:sz="0" w:space="0" w:color="auto"/>
        <w:left w:val="none" w:sz="0" w:space="0" w:color="auto"/>
        <w:bottom w:val="none" w:sz="0" w:space="0" w:color="auto"/>
        <w:right w:val="none" w:sz="0" w:space="0" w:color="auto"/>
      </w:divBdr>
    </w:div>
    <w:div w:id="936448025">
      <w:bodyDiv w:val="1"/>
      <w:marLeft w:val="0"/>
      <w:marRight w:val="0"/>
      <w:marTop w:val="0"/>
      <w:marBottom w:val="0"/>
      <w:divBdr>
        <w:top w:val="none" w:sz="0" w:space="0" w:color="auto"/>
        <w:left w:val="none" w:sz="0" w:space="0" w:color="auto"/>
        <w:bottom w:val="none" w:sz="0" w:space="0" w:color="auto"/>
        <w:right w:val="none" w:sz="0" w:space="0" w:color="auto"/>
      </w:divBdr>
    </w:div>
    <w:div w:id="950624419">
      <w:bodyDiv w:val="1"/>
      <w:marLeft w:val="0"/>
      <w:marRight w:val="0"/>
      <w:marTop w:val="0"/>
      <w:marBottom w:val="0"/>
      <w:divBdr>
        <w:top w:val="none" w:sz="0" w:space="0" w:color="auto"/>
        <w:left w:val="none" w:sz="0" w:space="0" w:color="auto"/>
        <w:bottom w:val="none" w:sz="0" w:space="0" w:color="auto"/>
        <w:right w:val="none" w:sz="0" w:space="0" w:color="auto"/>
      </w:divBdr>
      <w:divsChild>
        <w:div w:id="215093212">
          <w:marLeft w:val="0"/>
          <w:marRight w:val="0"/>
          <w:marTop w:val="0"/>
          <w:marBottom w:val="0"/>
          <w:divBdr>
            <w:top w:val="none" w:sz="0" w:space="0" w:color="auto"/>
            <w:left w:val="none" w:sz="0" w:space="0" w:color="auto"/>
            <w:bottom w:val="none" w:sz="0" w:space="0" w:color="auto"/>
            <w:right w:val="none" w:sz="0" w:space="0" w:color="auto"/>
          </w:divBdr>
        </w:div>
        <w:div w:id="119345855">
          <w:marLeft w:val="0"/>
          <w:marRight w:val="0"/>
          <w:marTop w:val="0"/>
          <w:marBottom w:val="0"/>
          <w:divBdr>
            <w:top w:val="none" w:sz="0" w:space="0" w:color="auto"/>
            <w:left w:val="none" w:sz="0" w:space="0" w:color="auto"/>
            <w:bottom w:val="none" w:sz="0" w:space="0" w:color="auto"/>
            <w:right w:val="none" w:sz="0" w:space="0" w:color="auto"/>
          </w:divBdr>
        </w:div>
        <w:div w:id="964891372">
          <w:marLeft w:val="0"/>
          <w:marRight w:val="0"/>
          <w:marTop w:val="0"/>
          <w:marBottom w:val="0"/>
          <w:divBdr>
            <w:top w:val="none" w:sz="0" w:space="0" w:color="auto"/>
            <w:left w:val="none" w:sz="0" w:space="0" w:color="auto"/>
            <w:bottom w:val="none" w:sz="0" w:space="0" w:color="auto"/>
            <w:right w:val="none" w:sz="0" w:space="0" w:color="auto"/>
          </w:divBdr>
        </w:div>
        <w:div w:id="1855920919">
          <w:marLeft w:val="0"/>
          <w:marRight w:val="0"/>
          <w:marTop w:val="0"/>
          <w:marBottom w:val="0"/>
          <w:divBdr>
            <w:top w:val="none" w:sz="0" w:space="0" w:color="auto"/>
            <w:left w:val="none" w:sz="0" w:space="0" w:color="auto"/>
            <w:bottom w:val="none" w:sz="0" w:space="0" w:color="auto"/>
            <w:right w:val="none" w:sz="0" w:space="0" w:color="auto"/>
          </w:divBdr>
        </w:div>
        <w:div w:id="1073240705">
          <w:marLeft w:val="0"/>
          <w:marRight w:val="0"/>
          <w:marTop w:val="0"/>
          <w:marBottom w:val="0"/>
          <w:divBdr>
            <w:top w:val="none" w:sz="0" w:space="0" w:color="auto"/>
            <w:left w:val="none" w:sz="0" w:space="0" w:color="auto"/>
            <w:bottom w:val="none" w:sz="0" w:space="0" w:color="auto"/>
            <w:right w:val="none" w:sz="0" w:space="0" w:color="auto"/>
          </w:divBdr>
        </w:div>
      </w:divsChild>
    </w:div>
    <w:div w:id="1054697537">
      <w:bodyDiv w:val="1"/>
      <w:marLeft w:val="0"/>
      <w:marRight w:val="0"/>
      <w:marTop w:val="0"/>
      <w:marBottom w:val="0"/>
      <w:divBdr>
        <w:top w:val="none" w:sz="0" w:space="0" w:color="auto"/>
        <w:left w:val="none" w:sz="0" w:space="0" w:color="auto"/>
        <w:bottom w:val="none" w:sz="0" w:space="0" w:color="auto"/>
        <w:right w:val="none" w:sz="0" w:space="0" w:color="auto"/>
      </w:divBdr>
    </w:div>
    <w:div w:id="1056322027">
      <w:bodyDiv w:val="1"/>
      <w:marLeft w:val="0"/>
      <w:marRight w:val="0"/>
      <w:marTop w:val="0"/>
      <w:marBottom w:val="0"/>
      <w:divBdr>
        <w:top w:val="none" w:sz="0" w:space="0" w:color="auto"/>
        <w:left w:val="none" w:sz="0" w:space="0" w:color="auto"/>
        <w:bottom w:val="none" w:sz="0" w:space="0" w:color="auto"/>
        <w:right w:val="none" w:sz="0" w:space="0" w:color="auto"/>
      </w:divBdr>
    </w:div>
    <w:div w:id="1092356345">
      <w:bodyDiv w:val="1"/>
      <w:marLeft w:val="0"/>
      <w:marRight w:val="0"/>
      <w:marTop w:val="0"/>
      <w:marBottom w:val="0"/>
      <w:divBdr>
        <w:top w:val="none" w:sz="0" w:space="0" w:color="auto"/>
        <w:left w:val="none" w:sz="0" w:space="0" w:color="auto"/>
        <w:bottom w:val="none" w:sz="0" w:space="0" w:color="auto"/>
        <w:right w:val="none" w:sz="0" w:space="0" w:color="auto"/>
      </w:divBdr>
    </w:div>
    <w:div w:id="1183781843">
      <w:bodyDiv w:val="1"/>
      <w:marLeft w:val="0"/>
      <w:marRight w:val="0"/>
      <w:marTop w:val="0"/>
      <w:marBottom w:val="0"/>
      <w:divBdr>
        <w:top w:val="none" w:sz="0" w:space="0" w:color="auto"/>
        <w:left w:val="none" w:sz="0" w:space="0" w:color="auto"/>
        <w:bottom w:val="none" w:sz="0" w:space="0" w:color="auto"/>
        <w:right w:val="none" w:sz="0" w:space="0" w:color="auto"/>
      </w:divBdr>
      <w:divsChild>
        <w:div w:id="1910113697">
          <w:marLeft w:val="0"/>
          <w:marRight w:val="0"/>
          <w:marTop w:val="0"/>
          <w:marBottom w:val="0"/>
          <w:divBdr>
            <w:top w:val="none" w:sz="0" w:space="0" w:color="auto"/>
            <w:left w:val="none" w:sz="0" w:space="0" w:color="auto"/>
            <w:bottom w:val="none" w:sz="0" w:space="0" w:color="auto"/>
            <w:right w:val="none" w:sz="0" w:space="0" w:color="auto"/>
          </w:divBdr>
          <w:divsChild>
            <w:div w:id="1292059655">
              <w:marLeft w:val="0"/>
              <w:marRight w:val="0"/>
              <w:marTop w:val="0"/>
              <w:marBottom w:val="0"/>
              <w:divBdr>
                <w:top w:val="none" w:sz="0" w:space="0" w:color="auto"/>
                <w:left w:val="none" w:sz="0" w:space="0" w:color="auto"/>
                <w:bottom w:val="none" w:sz="0" w:space="0" w:color="auto"/>
                <w:right w:val="none" w:sz="0" w:space="0" w:color="auto"/>
              </w:divBdr>
            </w:div>
            <w:div w:id="1293057366">
              <w:marLeft w:val="0"/>
              <w:marRight w:val="0"/>
              <w:marTop w:val="0"/>
              <w:marBottom w:val="0"/>
              <w:divBdr>
                <w:top w:val="none" w:sz="0" w:space="0" w:color="auto"/>
                <w:left w:val="none" w:sz="0" w:space="0" w:color="auto"/>
                <w:bottom w:val="none" w:sz="0" w:space="0" w:color="auto"/>
                <w:right w:val="none" w:sz="0" w:space="0" w:color="auto"/>
              </w:divBdr>
            </w:div>
          </w:divsChild>
        </w:div>
        <w:div w:id="2104455027">
          <w:marLeft w:val="0"/>
          <w:marRight w:val="0"/>
          <w:marTop w:val="0"/>
          <w:marBottom w:val="0"/>
          <w:divBdr>
            <w:top w:val="none" w:sz="0" w:space="0" w:color="auto"/>
            <w:left w:val="none" w:sz="0" w:space="0" w:color="auto"/>
            <w:bottom w:val="none" w:sz="0" w:space="0" w:color="auto"/>
            <w:right w:val="none" w:sz="0" w:space="0" w:color="auto"/>
          </w:divBdr>
        </w:div>
      </w:divsChild>
    </w:div>
    <w:div w:id="1313829647">
      <w:bodyDiv w:val="1"/>
      <w:marLeft w:val="0"/>
      <w:marRight w:val="0"/>
      <w:marTop w:val="0"/>
      <w:marBottom w:val="0"/>
      <w:divBdr>
        <w:top w:val="none" w:sz="0" w:space="0" w:color="auto"/>
        <w:left w:val="none" w:sz="0" w:space="0" w:color="auto"/>
        <w:bottom w:val="none" w:sz="0" w:space="0" w:color="auto"/>
        <w:right w:val="none" w:sz="0" w:space="0" w:color="auto"/>
      </w:divBdr>
    </w:div>
    <w:div w:id="1395663423">
      <w:bodyDiv w:val="1"/>
      <w:marLeft w:val="0"/>
      <w:marRight w:val="0"/>
      <w:marTop w:val="0"/>
      <w:marBottom w:val="0"/>
      <w:divBdr>
        <w:top w:val="none" w:sz="0" w:space="0" w:color="auto"/>
        <w:left w:val="none" w:sz="0" w:space="0" w:color="auto"/>
        <w:bottom w:val="none" w:sz="0" w:space="0" w:color="auto"/>
        <w:right w:val="none" w:sz="0" w:space="0" w:color="auto"/>
      </w:divBdr>
    </w:div>
    <w:div w:id="1418331584">
      <w:bodyDiv w:val="1"/>
      <w:marLeft w:val="0"/>
      <w:marRight w:val="0"/>
      <w:marTop w:val="0"/>
      <w:marBottom w:val="0"/>
      <w:divBdr>
        <w:top w:val="none" w:sz="0" w:space="0" w:color="auto"/>
        <w:left w:val="none" w:sz="0" w:space="0" w:color="auto"/>
        <w:bottom w:val="none" w:sz="0" w:space="0" w:color="auto"/>
        <w:right w:val="none" w:sz="0" w:space="0" w:color="auto"/>
      </w:divBdr>
    </w:div>
    <w:div w:id="1485049883">
      <w:bodyDiv w:val="1"/>
      <w:marLeft w:val="0"/>
      <w:marRight w:val="0"/>
      <w:marTop w:val="0"/>
      <w:marBottom w:val="0"/>
      <w:divBdr>
        <w:top w:val="none" w:sz="0" w:space="0" w:color="auto"/>
        <w:left w:val="none" w:sz="0" w:space="0" w:color="auto"/>
        <w:bottom w:val="none" w:sz="0" w:space="0" w:color="auto"/>
        <w:right w:val="none" w:sz="0" w:space="0" w:color="auto"/>
      </w:divBdr>
    </w:div>
    <w:div w:id="1507598312">
      <w:bodyDiv w:val="1"/>
      <w:marLeft w:val="0"/>
      <w:marRight w:val="0"/>
      <w:marTop w:val="0"/>
      <w:marBottom w:val="0"/>
      <w:divBdr>
        <w:top w:val="none" w:sz="0" w:space="0" w:color="auto"/>
        <w:left w:val="none" w:sz="0" w:space="0" w:color="auto"/>
        <w:bottom w:val="none" w:sz="0" w:space="0" w:color="auto"/>
        <w:right w:val="none" w:sz="0" w:space="0" w:color="auto"/>
      </w:divBdr>
    </w:div>
    <w:div w:id="1606692861">
      <w:bodyDiv w:val="1"/>
      <w:marLeft w:val="0"/>
      <w:marRight w:val="0"/>
      <w:marTop w:val="0"/>
      <w:marBottom w:val="0"/>
      <w:divBdr>
        <w:top w:val="none" w:sz="0" w:space="0" w:color="auto"/>
        <w:left w:val="none" w:sz="0" w:space="0" w:color="auto"/>
        <w:bottom w:val="none" w:sz="0" w:space="0" w:color="auto"/>
        <w:right w:val="none" w:sz="0" w:space="0" w:color="auto"/>
      </w:divBdr>
    </w:div>
    <w:div w:id="1615482518">
      <w:bodyDiv w:val="1"/>
      <w:marLeft w:val="0"/>
      <w:marRight w:val="0"/>
      <w:marTop w:val="0"/>
      <w:marBottom w:val="0"/>
      <w:divBdr>
        <w:top w:val="none" w:sz="0" w:space="0" w:color="auto"/>
        <w:left w:val="none" w:sz="0" w:space="0" w:color="auto"/>
        <w:bottom w:val="none" w:sz="0" w:space="0" w:color="auto"/>
        <w:right w:val="none" w:sz="0" w:space="0" w:color="auto"/>
      </w:divBdr>
    </w:div>
    <w:div w:id="1620994851">
      <w:bodyDiv w:val="1"/>
      <w:marLeft w:val="0"/>
      <w:marRight w:val="0"/>
      <w:marTop w:val="0"/>
      <w:marBottom w:val="0"/>
      <w:divBdr>
        <w:top w:val="none" w:sz="0" w:space="0" w:color="auto"/>
        <w:left w:val="none" w:sz="0" w:space="0" w:color="auto"/>
        <w:bottom w:val="none" w:sz="0" w:space="0" w:color="auto"/>
        <w:right w:val="none" w:sz="0" w:space="0" w:color="auto"/>
      </w:divBdr>
    </w:div>
    <w:div w:id="1742097326">
      <w:bodyDiv w:val="1"/>
      <w:marLeft w:val="0"/>
      <w:marRight w:val="0"/>
      <w:marTop w:val="0"/>
      <w:marBottom w:val="0"/>
      <w:divBdr>
        <w:top w:val="none" w:sz="0" w:space="0" w:color="auto"/>
        <w:left w:val="none" w:sz="0" w:space="0" w:color="auto"/>
        <w:bottom w:val="none" w:sz="0" w:space="0" w:color="auto"/>
        <w:right w:val="none" w:sz="0" w:space="0" w:color="auto"/>
      </w:divBdr>
    </w:div>
    <w:div w:id="1747411231">
      <w:bodyDiv w:val="1"/>
      <w:marLeft w:val="0"/>
      <w:marRight w:val="0"/>
      <w:marTop w:val="0"/>
      <w:marBottom w:val="0"/>
      <w:divBdr>
        <w:top w:val="none" w:sz="0" w:space="0" w:color="auto"/>
        <w:left w:val="none" w:sz="0" w:space="0" w:color="auto"/>
        <w:bottom w:val="none" w:sz="0" w:space="0" w:color="auto"/>
        <w:right w:val="none" w:sz="0" w:space="0" w:color="auto"/>
      </w:divBdr>
    </w:div>
    <w:div w:id="1823159956">
      <w:bodyDiv w:val="1"/>
      <w:marLeft w:val="0"/>
      <w:marRight w:val="0"/>
      <w:marTop w:val="0"/>
      <w:marBottom w:val="0"/>
      <w:divBdr>
        <w:top w:val="none" w:sz="0" w:space="0" w:color="auto"/>
        <w:left w:val="none" w:sz="0" w:space="0" w:color="auto"/>
        <w:bottom w:val="none" w:sz="0" w:space="0" w:color="auto"/>
        <w:right w:val="none" w:sz="0" w:space="0" w:color="auto"/>
      </w:divBdr>
    </w:div>
    <w:div w:id="1962372407">
      <w:bodyDiv w:val="1"/>
      <w:marLeft w:val="0"/>
      <w:marRight w:val="0"/>
      <w:marTop w:val="0"/>
      <w:marBottom w:val="0"/>
      <w:divBdr>
        <w:top w:val="none" w:sz="0" w:space="0" w:color="auto"/>
        <w:left w:val="none" w:sz="0" w:space="0" w:color="auto"/>
        <w:bottom w:val="none" w:sz="0" w:space="0" w:color="auto"/>
        <w:right w:val="none" w:sz="0" w:space="0" w:color="auto"/>
      </w:divBdr>
    </w:div>
    <w:div w:id="2004428536">
      <w:bodyDiv w:val="1"/>
      <w:marLeft w:val="0"/>
      <w:marRight w:val="0"/>
      <w:marTop w:val="0"/>
      <w:marBottom w:val="0"/>
      <w:divBdr>
        <w:top w:val="none" w:sz="0" w:space="0" w:color="auto"/>
        <w:left w:val="none" w:sz="0" w:space="0" w:color="auto"/>
        <w:bottom w:val="none" w:sz="0" w:space="0" w:color="auto"/>
        <w:right w:val="none" w:sz="0" w:space="0" w:color="auto"/>
      </w:divBdr>
    </w:div>
    <w:div w:id="2024356474">
      <w:bodyDiv w:val="1"/>
      <w:marLeft w:val="0"/>
      <w:marRight w:val="0"/>
      <w:marTop w:val="0"/>
      <w:marBottom w:val="0"/>
      <w:divBdr>
        <w:top w:val="none" w:sz="0" w:space="0" w:color="auto"/>
        <w:left w:val="none" w:sz="0" w:space="0" w:color="auto"/>
        <w:bottom w:val="none" w:sz="0" w:space="0" w:color="auto"/>
        <w:right w:val="none" w:sz="0" w:space="0" w:color="auto"/>
      </w:divBdr>
    </w:div>
    <w:div w:id="2037996760">
      <w:bodyDiv w:val="1"/>
      <w:marLeft w:val="0"/>
      <w:marRight w:val="0"/>
      <w:marTop w:val="0"/>
      <w:marBottom w:val="0"/>
      <w:divBdr>
        <w:top w:val="none" w:sz="0" w:space="0" w:color="auto"/>
        <w:left w:val="none" w:sz="0" w:space="0" w:color="auto"/>
        <w:bottom w:val="none" w:sz="0" w:space="0" w:color="auto"/>
        <w:right w:val="none" w:sz="0" w:space="0" w:color="auto"/>
      </w:divBdr>
    </w:div>
    <w:div w:id="2074692286">
      <w:bodyDiv w:val="1"/>
      <w:marLeft w:val="0"/>
      <w:marRight w:val="0"/>
      <w:marTop w:val="0"/>
      <w:marBottom w:val="0"/>
      <w:divBdr>
        <w:top w:val="none" w:sz="0" w:space="0" w:color="auto"/>
        <w:left w:val="none" w:sz="0" w:space="0" w:color="auto"/>
        <w:bottom w:val="none" w:sz="0" w:space="0" w:color="auto"/>
        <w:right w:val="none" w:sz="0" w:space="0" w:color="auto"/>
      </w:divBdr>
    </w:div>
    <w:div w:id="21270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ivismagainstpublicorder.wordpress.com/" TargetMode="External"/><Relationship Id="rId5" Type="http://schemas.openxmlformats.org/officeDocument/2006/relationships/settings" Target="settings.xml"/><Relationship Id="rId10" Type="http://schemas.openxmlformats.org/officeDocument/2006/relationships/hyperlink" Target="http://www7.quito.gob.ec/mdmq_ordenanzas/Ordenanzas/ORDENANZAS%20MUNICIPALES%202012/ORDM-0235%20%20%20%20ERRADICACION%20DE%20LA%20VIOLENCIA.pdf" TargetMode="External"/><Relationship Id="rId4" Type="http://schemas.microsoft.com/office/2007/relationships/stylesWithEffects" Target="stylesWithEffects.xml"/><Relationship Id="rId9" Type="http://schemas.openxmlformats.org/officeDocument/2006/relationships/hyperlink" Target="http://laws-lois.justice.gc.ca/PDF/H-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oughproject.org/blogs/katrien-hinderdael" TargetMode="External"/><Relationship Id="rId2" Type="http://schemas.openxmlformats.org/officeDocument/2006/relationships/hyperlink" Target="http://www7.quito.gob.ec/mdmq_ordenanzas/Ordenanzas/ORDENANZAS%20MUNICIPALES%202012/ORDM-0235%20%20%20%20ERRADICACION%20DE%20LA%20VIOLENCIA.pdf" TargetMode="External"/><Relationship Id="rId1" Type="http://schemas.openxmlformats.org/officeDocument/2006/relationships/hyperlink" Target="http://laws-lois.justice.gc.ca/PDF/H-6.pdf" TargetMode="External"/><Relationship Id="rId4" Type="http://schemas.openxmlformats.org/officeDocument/2006/relationships/hyperlink" Target="http://www.enoughproject.org/blogs/sudanese-stand-behind-amira-osman-hame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71F6-D46A-472D-8B4D-D815DE4F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5284</Words>
  <Characters>30121</Characters>
  <Application>Microsoft Office Word</Application>
  <DocSecurity>0</DocSecurity>
  <Lines>251</Lines>
  <Paragraphs>70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shaio</dc:creator>
  <cp:lastModifiedBy>Caroline Meenagh</cp:lastModifiedBy>
  <cp:revision>3</cp:revision>
  <cp:lastPrinted>2013-11-14T09:38:00Z</cp:lastPrinted>
  <dcterms:created xsi:type="dcterms:W3CDTF">2014-06-12T19:12:00Z</dcterms:created>
  <dcterms:modified xsi:type="dcterms:W3CDTF">2014-06-13T16:20:00Z</dcterms:modified>
</cp:coreProperties>
</file>