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EE05" w14:textId="77777777" w:rsidR="00513163" w:rsidRPr="0046622B" w:rsidRDefault="00513163" w:rsidP="007555E4">
      <w:pPr>
        <w:jc w:val="center"/>
        <w:rPr>
          <w:sz w:val="24"/>
        </w:rPr>
      </w:pPr>
      <w:r w:rsidRPr="0046622B">
        <w:rPr>
          <w:sz w:val="24"/>
        </w:rPr>
        <w:t xml:space="preserve">Report of the Secretary General on progress towards ending child, early and forced marriage worldwide, pursuant to General Assembly resolution </w:t>
      </w:r>
      <w:r w:rsidRPr="0046622B">
        <w:rPr>
          <w:bCs/>
          <w:sz w:val="24"/>
        </w:rPr>
        <w:t>A/RES/69/156</w:t>
      </w:r>
    </w:p>
    <w:p w14:paraId="559F1B45" w14:textId="77777777" w:rsidR="00704E70" w:rsidRPr="0046622B" w:rsidRDefault="00513163" w:rsidP="007555E4">
      <w:pPr>
        <w:jc w:val="center"/>
        <w:rPr>
          <w:sz w:val="24"/>
        </w:rPr>
      </w:pPr>
      <w:r w:rsidRPr="0046622B">
        <w:rPr>
          <w:sz w:val="24"/>
        </w:rPr>
        <w:t xml:space="preserve">Submission by </w:t>
      </w:r>
      <w:r w:rsidR="00466FF5">
        <w:rPr>
          <w:sz w:val="24"/>
          <w:lang w:val="en-US"/>
        </w:rPr>
        <w:t>Sexual Rights Initiative and</w:t>
      </w:r>
      <w:r w:rsidR="0046622B" w:rsidRPr="0046622B">
        <w:rPr>
          <w:sz w:val="24"/>
          <w:lang w:val="en-US"/>
        </w:rPr>
        <w:t xml:space="preserve"> Women for Women’s Human Rights – New Ways</w:t>
      </w:r>
    </w:p>
    <w:p w14:paraId="53E5FDA8" w14:textId="77777777" w:rsidR="00513163" w:rsidRPr="0046622B" w:rsidRDefault="00513163" w:rsidP="007555E4">
      <w:pPr>
        <w:jc w:val="center"/>
        <w:rPr>
          <w:sz w:val="24"/>
        </w:rPr>
      </w:pPr>
      <w:r w:rsidRPr="0046622B">
        <w:rPr>
          <w:sz w:val="24"/>
        </w:rPr>
        <w:t>February 2016</w:t>
      </w:r>
    </w:p>
    <w:p w14:paraId="3940FCD5" w14:textId="77777777" w:rsidR="0046622B" w:rsidRDefault="0046622B"/>
    <w:p w14:paraId="0D305950" w14:textId="77777777" w:rsidR="0046622B" w:rsidRPr="0046622B" w:rsidRDefault="0046622B">
      <w:pPr>
        <w:rPr>
          <w:b/>
        </w:rPr>
      </w:pPr>
      <w:r w:rsidRPr="00F515F5">
        <w:rPr>
          <w:b/>
        </w:rPr>
        <w:t>Table of contents</w:t>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F515F5" w:rsidRPr="00F515F5">
        <w:rPr>
          <w:b/>
        </w:rPr>
        <w:t>Paragraphs</w:t>
      </w:r>
    </w:p>
    <w:p w14:paraId="12DF150D" w14:textId="77777777" w:rsidR="00BD1C18" w:rsidRDefault="00BD1C18">
      <w:r>
        <w:t>Introduction</w:t>
      </w:r>
      <w:r w:rsidR="00F515F5">
        <w:tab/>
      </w:r>
      <w:r w:rsidR="00F515F5">
        <w:tab/>
      </w:r>
      <w:r w:rsidR="00F515F5">
        <w:tab/>
      </w:r>
      <w:r w:rsidR="00F515F5">
        <w:tab/>
      </w:r>
      <w:r w:rsidR="00F515F5">
        <w:tab/>
      </w:r>
      <w:r w:rsidR="00F515F5">
        <w:tab/>
      </w:r>
      <w:r w:rsidR="00F515F5">
        <w:tab/>
      </w:r>
      <w:r w:rsidR="00F515F5">
        <w:tab/>
        <w:t>1-3</w:t>
      </w:r>
    </w:p>
    <w:p w14:paraId="1337560A" w14:textId="77777777" w:rsidR="00BD1C18" w:rsidRDefault="00BD1C18">
      <w:r>
        <w:t>Definitional clarity</w:t>
      </w:r>
      <w:r w:rsidR="00F515F5">
        <w:tab/>
      </w:r>
      <w:r w:rsidR="00F515F5">
        <w:tab/>
      </w:r>
      <w:r w:rsidR="00F515F5">
        <w:tab/>
      </w:r>
      <w:r w:rsidR="00F515F5">
        <w:tab/>
      </w:r>
      <w:r w:rsidR="00F515F5">
        <w:tab/>
      </w:r>
      <w:r w:rsidR="00F515F5">
        <w:tab/>
      </w:r>
      <w:r w:rsidR="00F515F5">
        <w:tab/>
        <w:t>4</w:t>
      </w:r>
    </w:p>
    <w:p w14:paraId="4CEC6798" w14:textId="77777777" w:rsidR="00BD1C18" w:rsidRDefault="00BD1C18">
      <w:r>
        <w:t>Root causes</w:t>
      </w:r>
      <w:r w:rsidR="00F515F5">
        <w:tab/>
      </w:r>
      <w:r w:rsidR="00F515F5">
        <w:tab/>
      </w:r>
      <w:r w:rsidR="00F515F5">
        <w:tab/>
      </w:r>
      <w:r w:rsidR="00F515F5">
        <w:tab/>
      </w:r>
      <w:r w:rsidR="00F515F5">
        <w:tab/>
      </w:r>
      <w:r w:rsidR="00F515F5">
        <w:tab/>
      </w:r>
      <w:r w:rsidR="00F515F5">
        <w:tab/>
      </w:r>
      <w:r w:rsidR="00F515F5">
        <w:tab/>
        <w:t>5-6</w:t>
      </w:r>
    </w:p>
    <w:p w14:paraId="244F0145" w14:textId="77777777" w:rsidR="00BD1C18" w:rsidRDefault="00BD1C18">
      <w:r>
        <w:t>Empowerment of girls</w:t>
      </w:r>
      <w:r w:rsidR="00F515F5">
        <w:tab/>
      </w:r>
      <w:r w:rsidR="00F515F5">
        <w:tab/>
      </w:r>
      <w:r w:rsidR="00F515F5">
        <w:tab/>
      </w:r>
      <w:r w:rsidR="00F515F5">
        <w:tab/>
      </w:r>
      <w:r w:rsidR="00F515F5">
        <w:tab/>
      </w:r>
      <w:r w:rsidR="00F515F5">
        <w:tab/>
      </w:r>
      <w:r w:rsidR="00F515F5">
        <w:tab/>
        <w:t>7</w:t>
      </w:r>
    </w:p>
    <w:p w14:paraId="05F07FBF" w14:textId="77777777" w:rsidR="00BD1C18" w:rsidRDefault="00BD1C18">
      <w:r>
        <w:t>Comprehensive sexuality education</w:t>
      </w:r>
      <w:r w:rsidR="00F515F5">
        <w:tab/>
      </w:r>
      <w:r w:rsidR="00F515F5">
        <w:tab/>
      </w:r>
      <w:r w:rsidR="00F515F5">
        <w:tab/>
      </w:r>
      <w:r w:rsidR="00F515F5">
        <w:tab/>
      </w:r>
      <w:r w:rsidR="00F515F5">
        <w:tab/>
        <w:t>8-9</w:t>
      </w:r>
    </w:p>
    <w:p w14:paraId="76618765" w14:textId="77777777" w:rsidR="00BD1C18" w:rsidRDefault="00951FEE">
      <w:r>
        <w:t xml:space="preserve">Legal and policy framework </w:t>
      </w:r>
      <w:r w:rsidR="00F515F5">
        <w:tab/>
      </w:r>
      <w:r w:rsidR="00F515F5">
        <w:tab/>
      </w:r>
      <w:r w:rsidR="00F515F5">
        <w:tab/>
      </w:r>
      <w:r w:rsidR="00F515F5">
        <w:tab/>
      </w:r>
      <w:r w:rsidR="00F515F5">
        <w:tab/>
      </w:r>
      <w:r w:rsidR="00F515F5">
        <w:tab/>
        <w:t>10-13</w:t>
      </w:r>
    </w:p>
    <w:p w14:paraId="169412B3" w14:textId="77777777" w:rsidR="00BD1C18" w:rsidRDefault="00BD1C18">
      <w:r>
        <w:t>Rights of married girls</w:t>
      </w:r>
      <w:r w:rsidR="00F515F5">
        <w:tab/>
      </w:r>
      <w:r w:rsidR="00F515F5">
        <w:tab/>
      </w:r>
      <w:r w:rsidR="00F515F5">
        <w:tab/>
      </w:r>
      <w:r w:rsidR="00F515F5">
        <w:tab/>
      </w:r>
      <w:r w:rsidR="00F515F5">
        <w:tab/>
      </w:r>
      <w:r w:rsidR="00F515F5">
        <w:tab/>
      </w:r>
      <w:r w:rsidR="00F515F5">
        <w:tab/>
        <w:t>14</w:t>
      </w:r>
    </w:p>
    <w:p w14:paraId="499E0ACF" w14:textId="77777777" w:rsidR="0046622B" w:rsidRDefault="0046622B"/>
    <w:p w14:paraId="4F11805D" w14:textId="77777777" w:rsidR="005A5399" w:rsidRDefault="005A5399">
      <w:pPr>
        <w:rPr>
          <w:b/>
        </w:rPr>
      </w:pPr>
      <w:r>
        <w:rPr>
          <w:b/>
        </w:rPr>
        <w:br w:type="page"/>
      </w:r>
    </w:p>
    <w:p w14:paraId="6D764F77" w14:textId="77777777" w:rsidR="0046622B" w:rsidRDefault="0046622B" w:rsidP="00146E67">
      <w:r w:rsidRPr="00146E67">
        <w:rPr>
          <w:b/>
        </w:rPr>
        <w:lastRenderedPageBreak/>
        <w:t>Introduction</w:t>
      </w:r>
    </w:p>
    <w:p w14:paraId="6ED386B5" w14:textId="77777777" w:rsidR="005A5399" w:rsidRDefault="005A5399" w:rsidP="00146E67">
      <w:pPr>
        <w:pStyle w:val="ListParagraph"/>
        <w:numPr>
          <w:ilvl w:val="0"/>
          <w:numId w:val="4"/>
        </w:numPr>
        <w:rPr>
          <w:lang w:val="en-US"/>
        </w:rPr>
      </w:pPr>
      <w:r w:rsidRPr="00146E67">
        <w:rPr>
          <w:lang w:val="en-US"/>
        </w:rPr>
        <w:t xml:space="preserve">The Sexual Rights Initiative (SRI) </w:t>
      </w:r>
      <w:r w:rsidR="00532DCA" w:rsidRPr="00146E67">
        <w:rPr>
          <w:lang w:val="en-US"/>
        </w:rPr>
        <w:t xml:space="preserve">coalition </w:t>
      </w:r>
      <w:r w:rsidRPr="00146E67">
        <w:rPr>
          <w:lang w:val="en-US"/>
        </w:rPr>
        <w:t>was created in 2006. Its aim is to create a political space for advocacy on sexual rights by bringing together feminist, LGBTI, southern and northern perspectives and incorporating diverse views without privileging particular experiences. The coalition partners are Action Canada for Sexual Health and Rights, CREA (India), Akahata (Latin America), Coalition of African Lesbians,</w:t>
      </w:r>
      <w:r w:rsidRPr="00146E67">
        <w:rPr>
          <w:vertAlign w:val="superscript"/>
          <w:lang w:val="en-US"/>
        </w:rPr>
        <w:t xml:space="preserve"> </w:t>
      </w:r>
      <w:r w:rsidRPr="00146E67">
        <w:rPr>
          <w:lang w:val="en-US"/>
        </w:rPr>
        <w:t>the Polish Federation for Women and Family Planning, and the Egyptian Initiative for Personal Rights.</w:t>
      </w:r>
    </w:p>
    <w:p w14:paraId="43E3BEF8" w14:textId="77777777" w:rsidR="00F515F5" w:rsidRPr="00F515F5" w:rsidRDefault="00F515F5" w:rsidP="00F515F5">
      <w:pPr>
        <w:rPr>
          <w:lang w:val="en-US"/>
        </w:rPr>
      </w:pPr>
    </w:p>
    <w:p w14:paraId="13221B9E" w14:textId="77777777" w:rsidR="0046622B" w:rsidRDefault="005A5399" w:rsidP="00146E67">
      <w:pPr>
        <w:pStyle w:val="ListParagraph"/>
        <w:numPr>
          <w:ilvl w:val="0"/>
          <w:numId w:val="4"/>
        </w:numPr>
      </w:pPr>
      <w:r w:rsidRPr="005A5399">
        <w:t>Women for Women’s Human Rights (WWHR) – New Ways was founded in 1993 with the aim of promoting women’s human rights in Turkey and on the international level.</w:t>
      </w:r>
      <w:r w:rsidR="00466FF5">
        <w:t xml:space="preserve">  </w:t>
      </w:r>
      <w:r w:rsidRPr="005A5399">
        <w:t>In 2001, it initiated a network of NGOs and academics advocating for sexual and reproductive health and rights as human rights in Muslim societies, the Coalition for Sexual and Bodily Rights in Muslim Societies (CSBR). Through two decades of activism, advocacy and lobbying, WWHR – New Ways has contributed significantly to various legal reforms in Turkey, networking in Muslim societies and promotion of women’s human rights at the United Nations (UN) level. </w:t>
      </w:r>
    </w:p>
    <w:p w14:paraId="1E8A48FA" w14:textId="77777777" w:rsidR="00146E67" w:rsidRDefault="00146E67" w:rsidP="005A5399"/>
    <w:p w14:paraId="3A1E6AB9" w14:textId="77777777" w:rsidR="00532DCA" w:rsidRDefault="00532DCA" w:rsidP="00146E67">
      <w:pPr>
        <w:pStyle w:val="ListParagraph"/>
        <w:numPr>
          <w:ilvl w:val="0"/>
          <w:numId w:val="4"/>
        </w:numPr>
      </w:pPr>
      <w:r>
        <w:t xml:space="preserve">SRI and WWHR </w:t>
      </w:r>
      <w:r w:rsidR="00E00A33">
        <w:t>make this submission in relation to the report of the Secretary General on progress towards ending child, early and forced marriage. This submission highlights some key considerations for policy making and programme development (</w:t>
      </w:r>
      <w:r w:rsidR="00C85609">
        <w:t>paragraphs 4-6</w:t>
      </w:r>
      <w:r w:rsidR="00E00A33">
        <w:t>), as well as priorities (</w:t>
      </w:r>
      <w:r w:rsidR="00C85609">
        <w:t>paragraphs 7-14</w:t>
      </w:r>
      <w:r w:rsidR="00E00A33">
        <w:t xml:space="preserve">). </w:t>
      </w:r>
    </w:p>
    <w:p w14:paraId="3BF1151F" w14:textId="77777777" w:rsidR="00146E67" w:rsidRDefault="00146E67" w:rsidP="00146E67">
      <w:pPr>
        <w:rPr>
          <w:b/>
        </w:rPr>
      </w:pPr>
    </w:p>
    <w:p w14:paraId="2AC41EE7" w14:textId="77777777" w:rsidR="0046622B" w:rsidRPr="00146E67" w:rsidRDefault="0046622B" w:rsidP="00146E67">
      <w:pPr>
        <w:rPr>
          <w:b/>
        </w:rPr>
      </w:pPr>
      <w:r w:rsidRPr="00146E67">
        <w:rPr>
          <w:b/>
        </w:rPr>
        <w:t>Definitional clarity</w:t>
      </w:r>
    </w:p>
    <w:p w14:paraId="40E25930" w14:textId="763166DE" w:rsidR="00826DE7" w:rsidRPr="00146E67" w:rsidRDefault="00826DE7" w:rsidP="00146E67">
      <w:pPr>
        <w:pStyle w:val="ListParagraph"/>
        <w:numPr>
          <w:ilvl w:val="0"/>
          <w:numId w:val="4"/>
        </w:numPr>
      </w:pPr>
      <w:r w:rsidRPr="00146E67">
        <w:t>Forced marriage refers to a union where at least one person did not give free and full consent.</w:t>
      </w:r>
      <w:r w:rsidR="00466FF5" w:rsidRPr="00146E67">
        <w:t xml:space="preserve"> </w:t>
      </w:r>
      <w:r w:rsidRPr="00146E67">
        <w:t>Early marriage has been interpreted to include the marriage of persons aged below 18 years and could be read to include other factors that would make a person unready to consent to marriage, including the individual’s level of physical, emotional, sexual and psychosocial development, educational and other aspirations, and lack of information regarding the person’s life options.</w:t>
      </w:r>
      <w:r w:rsidR="00466FF5" w:rsidRPr="00146E67">
        <w:t xml:space="preserve"> </w:t>
      </w:r>
      <w:r w:rsidRPr="00146E67">
        <w:t>When considered in relation to evolving capacities of the child, it could also be read to mean that a mature, capable individual below the age of 18 should be allowed to marry, provided that the choice is made willingly and free of coercion.</w:t>
      </w:r>
      <w:r w:rsidR="00466FF5" w:rsidRPr="00146E67">
        <w:t xml:space="preserve"> </w:t>
      </w:r>
      <w:r w:rsidR="00DF1D78">
        <w:t>For these reasons, a fo</w:t>
      </w:r>
      <w:bookmarkStart w:id="0" w:name="_GoBack"/>
      <w:bookmarkEnd w:id="0"/>
      <w:r w:rsidR="00DF1D78">
        <w:t xml:space="preserve">cus on early and forced marriage is preferable. </w:t>
      </w:r>
      <w:r w:rsidR="00466FF5" w:rsidRPr="00146E67">
        <w:t>However, even now “c</w:t>
      </w:r>
      <w:r w:rsidRPr="00146E67">
        <w:t>hild</w:t>
      </w:r>
      <w:r w:rsidR="00466FF5" w:rsidRPr="00146E67">
        <w:t xml:space="preserve"> marriage”</w:t>
      </w:r>
      <w:r w:rsidRPr="00146E67">
        <w:t xml:space="preserve">, </w:t>
      </w:r>
      <w:r w:rsidR="00466FF5" w:rsidRPr="00146E67">
        <w:t>“e</w:t>
      </w:r>
      <w:r w:rsidRPr="00146E67">
        <w:t xml:space="preserve">arly </w:t>
      </w:r>
      <w:r w:rsidR="00466FF5" w:rsidRPr="00146E67">
        <w:t xml:space="preserve">marriage” </w:t>
      </w:r>
      <w:r w:rsidRPr="00146E67">
        <w:t xml:space="preserve">and </w:t>
      </w:r>
      <w:r w:rsidR="00466FF5" w:rsidRPr="00146E67">
        <w:t xml:space="preserve">“forced marriage” are </w:t>
      </w:r>
      <w:r w:rsidRPr="00146E67">
        <w:t xml:space="preserve">often used interchangeably. A </w:t>
      </w:r>
      <w:r w:rsidR="00466FF5" w:rsidRPr="00146E67">
        <w:t>breakdown</w:t>
      </w:r>
      <w:r w:rsidRPr="00146E67">
        <w:t xml:space="preserve"> of th</w:t>
      </w:r>
      <w:r w:rsidR="00466FF5" w:rsidRPr="00146E67">
        <w:t>e definition of the three terms</w:t>
      </w:r>
      <w:r w:rsidRPr="00146E67">
        <w:t xml:space="preserve"> would be extremely useful in not only in policy and programming, but also in understanding specific redressal </w:t>
      </w:r>
      <w:r w:rsidR="0076585D">
        <w:t>mechanisms for women and girls.</w:t>
      </w:r>
      <w:r w:rsidR="001162FD">
        <w:rPr>
          <w:rStyle w:val="FootnoteReference"/>
        </w:rPr>
        <w:footnoteReference w:id="1"/>
      </w:r>
      <w:r w:rsidR="001162FD">
        <w:t xml:space="preserve"> </w:t>
      </w:r>
      <w:r w:rsidR="0076585D" w:rsidRPr="00146E67">
        <w:t>Further, this breakdown would aid in recognising conceptually and practically the ‘evolving capacities’ of adolescents and youth.</w:t>
      </w:r>
      <w:r w:rsidRPr="00146E67">
        <w:t xml:space="preserve"> </w:t>
      </w:r>
    </w:p>
    <w:p w14:paraId="4684550A" w14:textId="77777777" w:rsidR="0046622B" w:rsidRDefault="0046622B" w:rsidP="0046622B"/>
    <w:p w14:paraId="4C0CBFB6" w14:textId="77777777" w:rsidR="001162FD" w:rsidRDefault="001162FD" w:rsidP="00146E67">
      <w:pPr>
        <w:rPr>
          <w:b/>
        </w:rPr>
      </w:pPr>
    </w:p>
    <w:p w14:paraId="20239A09" w14:textId="77777777" w:rsidR="001162FD" w:rsidRDefault="001162FD" w:rsidP="00146E67">
      <w:pPr>
        <w:rPr>
          <w:b/>
        </w:rPr>
      </w:pPr>
    </w:p>
    <w:p w14:paraId="5DBF28DD" w14:textId="77777777" w:rsidR="00826DE7" w:rsidRPr="00146E67" w:rsidRDefault="0046622B" w:rsidP="00146E67">
      <w:pPr>
        <w:rPr>
          <w:b/>
        </w:rPr>
      </w:pPr>
      <w:r w:rsidRPr="00146E67">
        <w:rPr>
          <w:b/>
        </w:rPr>
        <w:t>Root causes</w:t>
      </w:r>
    </w:p>
    <w:p w14:paraId="098F8406" w14:textId="77777777" w:rsidR="00EF5537" w:rsidRPr="00146E67" w:rsidRDefault="00826DE7" w:rsidP="00146E67">
      <w:pPr>
        <w:pStyle w:val="ListParagraph"/>
        <w:numPr>
          <w:ilvl w:val="0"/>
          <w:numId w:val="4"/>
        </w:numPr>
        <w:rPr>
          <w:bCs/>
        </w:rPr>
      </w:pPr>
      <w:r w:rsidRPr="00146E67">
        <w:rPr>
          <w:bCs/>
        </w:rPr>
        <w:t>C</w:t>
      </w:r>
      <w:r w:rsidR="00466FF5" w:rsidRPr="00146E67">
        <w:rPr>
          <w:bCs/>
        </w:rPr>
        <w:t>hild, early and forced marriage</w:t>
      </w:r>
      <w:r w:rsidRPr="00146E67">
        <w:rPr>
          <w:bCs/>
        </w:rPr>
        <w:t>, like all other human rights violation</w:t>
      </w:r>
      <w:r w:rsidR="00466FF5" w:rsidRPr="00146E67">
        <w:rPr>
          <w:bCs/>
        </w:rPr>
        <w:t>s</w:t>
      </w:r>
      <w:r w:rsidRPr="00146E67">
        <w:rPr>
          <w:bCs/>
        </w:rPr>
        <w:t xml:space="preserve">, does not occur in society in vacuum. It is </w:t>
      </w:r>
      <w:r w:rsidR="00466FF5" w:rsidRPr="00146E67">
        <w:rPr>
          <w:bCs/>
        </w:rPr>
        <w:t xml:space="preserve">a </w:t>
      </w:r>
      <w:r w:rsidRPr="00146E67">
        <w:rPr>
          <w:bCs/>
        </w:rPr>
        <w:t xml:space="preserve">manifestation of societal structures and </w:t>
      </w:r>
      <w:r w:rsidR="00466FF5" w:rsidRPr="00146E67">
        <w:rPr>
          <w:bCs/>
        </w:rPr>
        <w:t>deeply entrenched stereotypes related to</w:t>
      </w:r>
      <w:r w:rsidRPr="00146E67">
        <w:rPr>
          <w:bCs/>
        </w:rPr>
        <w:t xml:space="preserve"> sexuality and gender. </w:t>
      </w:r>
      <w:r w:rsidR="00D05CAF" w:rsidRPr="00146E67">
        <w:rPr>
          <w:bCs/>
        </w:rPr>
        <w:t>In societies where gende</w:t>
      </w:r>
      <w:r w:rsidR="00466FF5" w:rsidRPr="00146E67">
        <w:rPr>
          <w:bCs/>
        </w:rPr>
        <w:t>r inequality and discrimination are deeply entrenched, and affect</w:t>
      </w:r>
      <w:r w:rsidR="00D05CAF" w:rsidRPr="00146E67">
        <w:rPr>
          <w:bCs/>
        </w:rPr>
        <w:t xml:space="preserve"> the quality of life of girls and women throughout their life cycle</w:t>
      </w:r>
      <w:r w:rsidR="00466FF5" w:rsidRPr="00146E67">
        <w:rPr>
          <w:bCs/>
        </w:rPr>
        <w:t>,</w:t>
      </w:r>
      <w:r w:rsidR="00D05CAF" w:rsidRPr="00146E67">
        <w:rPr>
          <w:bCs/>
        </w:rPr>
        <w:t xml:space="preserve"> child and early marriage is but one such pheno</w:t>
      </w:r>
      <w:r w:rsidR="00466FF5" w:rsidRPr="00146E67">
        <w:rPr>
          <w:bCs/>
        </w:rPr>
        <w:t>menon that negatively impacts</w:t>
      </w:r>
      <w:r w:rsidR="00D05CAF" w:rsidRPr="00146E67">
        <w:rPr>
          <w:bCs/>
        </w:rPr>
        <w:t xml:space="preserve"> their lives. Unless fundamental </w:t>
      </w:r>
      <w:r w:rsidR="00FD3BBA" w:rsidRPr="00146E67">
        <w:rPr>
          <w:bCs/>
        </w:rPr>
        <w:t>issues related</w:t>
      </w:r>
      <w:r w:rsidR="00D05CAF" w:rsidRPr="00146E67">
        <w:rPr>
          <w:bCs/>
        </w:rPr>
        <w:t xml:space="preserve"> to autonomy, choice and equity are </w:t>
      </w:r>
      <w:r w:rsidR="00466FF5" w:rsidRPr="00146E67">
        <w:rPr>
          <w:bCs/>
        </w:rPr>
        <w:t xml:space="preserve">addressed, a </w:t>
      </w:r>
      <w:r w:rsidR="00D05CAF" w:rsidRPr="00146E67">
        <w:rPr>
          <w:bCs/>
        </w:rPr>
        <w:t>narrow focus on age at marriage wil</w:t>
      </w:r>
      <w:r w:rsidR="00466FF5" w:rsidRPr="00146E67">
        <w:rPr>
          <w:bCs/>
        </w:rPr>
        <w:t>l not help tackle the problem. The l</w:t>
      </w:r>
      <w:r w:rsidR="00D05CAF" w:rsidRPr="00146E67">
        <w:rPr>
          <w:bCs/>
        </w:rPr>
        <w:t xml:space="preserve">ack of bodily autonomy and ability to make decisions with regard to their lives results in girls being forced into </w:t>
      </w:r>
      <w:r w:rsidR="00F515F5">
        <w:rPr>
          <w:bCs/>
        </w:rPr>
        <w:t xml:space="preserve">situations </w:t>
      </w:r>
      <w:r w:rsidR="00D05CAF" w:rsidRPr="00146E67">
        <w:rPr>
          <w:bCs/>
        </w:rPr>
        <w:t>they have not chosen, either by their families or by employers</w:t>
      </w:r>
      <w:r w:rsidR="00F515F5">
        <w:rPr>
          <w:bCs/>
        </w:rPr>
        <w:t xml:space="preserve"> or others</w:t>
      </w:r>
      <w:r w:rsidR="00D05CAF" w:rsidRPr="00146E67">
        <w:rPr>
          <w:bCs/>
        </w:rPr>
        <w:t>.</w:t>
      </w:r>
    </w:p>
    <w:p w14:paraId="61C89692" w14:textId="77777777" w:rsidR="00146E67" w:rsidRDefault="00146E67" w:rsidP="00EF5537">
      <w:pPr>
        <w:rPr>
          <w:bCs/>
        </w:rPr>
      </w:pPr>
    </w:p>
    <w:p w14:paraId="67454850" w14:textId="77777777" w:rsidR="00EF5537" w:rsidRPr="00146E67" w:rsidRDefault="00EF5537" w:rsidP="00146E67">
      <w:pPr>
        <w:pStyle w:val="ListParagraph"/>
        <w:numPr>
          <w:ilvl w:val="0"/>
          <w:numId w:val="4"/>
        </w:numPr>
        <w:rPr>
          <w:bCs/>
        </w:rPr>
      </w:pPr>
      <w:r w:rsidRPr="00146E67">
        <w:rPr>
          <w:bCs/>
        </w:rPr>
        <w:t xml:space="preserve">Further, the policy measures are generally geared for prohibition and not prevention. A preventive approach would address the root causes of </w:t>
      </w:r>
      <w:r w:rsidR="00466FF5">
        <w:t>child, early and forced marriage,</w:t>
      </w:r>
      <w:r w:rsidR="00466FF5" w:rsidRPr="00146E67">
        <w:rPr>
          <w:bCs/>
        </w:rPr>
        <w:t xml:space="preserve"> </w:t>
      </w:r>
      <w:r w:rsidRPr="00146E67">
        <w:rPr>
          <w:bCs/>
        </w:rPr>
        <w:t xml:space="preserve">and is a long term strategy. This strategy would necessarily mean </w:t>
      </w:r>
      <w:r w:rsidR="00466FF5" w:rsidRPr="00146E67">
        <w:rPr>
          <w:bCs/>
        </w:rPr>
        <w:t>addressing</w:t>
      </w:r>
      <w:r w:rsidRPr="00146E67">
        <w:rPr>
          <w:bCs/>
        </w:rPr>
        <w:t xml:space="preserve"> gender discrimination in a society and </w:t>
      </w:r>
      <w:r w:rsidR="00466FF5" w:rsidRPr="00146E67">
        <w:rPr>
          <w:bCs/>
        </w:rPr>
        <w:t>understanding</w:t>
      </w:r>
      <w:r w:rsidRPr="00146E67">
        <w:rPr>
          <w:bCs/>
        </w:rPr>
        <w:t xml:space="preserve"> </w:t>
      </w:r>
      <w:r w:rsidR="00466FF5">
        <w:t>child, early and forced marriage</w:t>
      </w:r>
      <w:r w:rsidR="00466FF5" w:rsidRPr="00146E67">
        <w:rPr>
          <w:bCs/>
        </w:rPr>
        <w:t xml:space="preserve"> </w:t>
      </w:r>
      <w:r w:rsidRPr="00146E67">
        <w:rPr>
          <w:bCs/>
        </w:rPr>
        <w:t>as one of the human rights violation</w:t>
      </w:r>
      <w:r w:rsidR="00466FF5" w:rsidRPr="00146E67">
        <w:rPr>
          <w:bCs/>
        </w:rPr>
        <w:t>s</w:t>
      </w:r>
      <w:r w:rsidRPr="00146E67">
        <w:rPr>
          <w:bCs/>
        </w:rPr>
        <w:t xml:space="preserve"> in the life cycle of women.</w:t>
      </w:r>
      <w:r w:rsidR="00466FF5" w:rsidRPr="00146E67">
        <w:rPr>
          <w:bCs/>
        </w:rPr>
        <w:t xml:space="preserve"> </w:t>
      </w:r>
      <w:r w:rsidRPr="00146E67">
        <w:rPr>
          <w:bCs/>
        </w:rPr>
        <w:t>Hence</w:t>
      </w:r>
      <w:r w:rsidR="00466FF5" w:rsidRPr="00146E67">
        <w:rPr>
          <w:bCs/>
        </w:rPr>
        <w:t>,</w:t>
      </w:r>
      <w:r w:rsidRPr="00146E67">
        <w:rPr>
          <w:bCs/>
        </w:rPr>
        <w:t xml:space="preserve"> the first step to address </w:t>
      </w:r>
      <w:r w:rsidR="00466FF5" w:rsidRPr="00146E67">
        <w:rPr>
          <w:bCs/>
        </w:rPr>
        <w:t xml:space="preserve">it </w:t>
      </w:r>
      <w:r w:rsidRPr="00146E67">
        <w:rPr>
          <w:bCs/>
        </w:rPr>
        <w:t xml:space="preserve">is to understand </w:t>
      </w:r>
      <w:r w:rsidR="00466FF5" w:rsidRPr="00146E67">
        <w:rPr>
          <w:bCs/>
        </w:rPr>
        <w:t xml:space="preserve">and address </w:t>
      </w:r>
      <w:r w:rsidRPr="00146E67">
        <w:rPr>
          <w:bCs/>
        </w:rPr>
        <w:t xml:space="preserve">the various societal structures </w:t>
      </w:r>
      <w:r w:rsidR="00466FF5" w:rsidRPr="00146E67">
        <w:rPr>
          <w:bCs/>
        </w:rPr>
        <w:t xml:space="preserve">that comprise the root causes of the practice, </w:t>
      </w:r>
      <w:r w:rsidRPr="00146E67">
        <w:rPr>
          <w:bCs/>
        </w:rPr>
        <w:t xml:space="preserve">including but not limited to gender, sexuality and economic structures. </w:t>
      </w:r>
    </w:p>
    <w:p w14:paraId="67F406C4" w14:textId="77777777" w:rsidR="0046622B" w:rsidRDefault="0046622B" w:rsidP="0046622B"/>
    <w:p w14:paraId="17B48803" w14:textId="77777777" w:rsidR="0046622B" w:rsidRPr="00146E67" w:rsidRDefault="0046622B" w:rsidP="00146E67">
      <w:pPr>
        <w:rPr>
          <w:b/>
        </w:rPr>
      </w:pPr>
      <w:r w:rsidRPr="00146E67">
        <w:rPr>
          <w:b/>
        </w:rPr>
        <w:t>Empowerment of girls</w:t>
      </w:r>
      <w:r w:rsidR="000D582B" w:rsidRPr="00146E67">
        <w:rPr>
          <w:b/>
        </w:rPr>
        <w:t xml:space="preserve"> and young women</w:t>
      </w:r>
    </w:p>
    <w:p w14:paraId="03D2A9C5" w14:textId="77777777" w:rsidR="0046622B" w:rsidRDefault="000D582B" w:rsidP="00146E67">
      <w:pPr>
        <w:pStyle w:val="ListParagraph"/>
        <w:numPr>
          <w:ilvl w:val="0"/>
          <w:numId w:val="4"/>
        </w:numPr>
      </w:pPr>
      <w:r>
        <w:t>Making the empowerment of girls and young women a priority for policy making and programme development is key to addressing child, early and forced marriage.</w:t>
      </w:r>
      <w:r w:rsidR="00FD48BF">
        <w:t xml:space="preserve"> Policy and programmatic interventions must recognise the agency of adolescents as a guiding principle</w:t>
      </w:r>
      <w:r w:rsidR="00B576AC">
        <w:t xml:space="preserve"> and thus be adolescent-centric</w:t>
      </w:r>
      <w:r w:rsidR="00FD48BF">
        <w:t xml:space="preserve">. </w:t>
      </w:r>
      <w:r w:rsidR="00B576AC">
        <w:t xml:space="preserve">For example, this includes ensuring that adolescents are able to access good quality formal and non-formal education services, acquire life skills and legal literacy, organise and mobilise as they choose. </w:t>
      </w:r>
      <w:r w:rsidR="00B47EC7">
        <w:t xml:space="preserve">This </w:t>
      </w:r>
      <w:r w:rsidR="00B576AC">
        <w:t>also requires a critical approach to social systems and structures that oppress based on gender, sexuality, class, ra</w:t>
      </w:r>
      <w:r w:rsidR="00B47EC7">
        <w:t>ce,</w:t>
      </w:r>
      <w:r w:rsidR="004F3F3C">
        <w:t xml:space="preserve"> ethnicity,</w:t>
      </w:r>
      <w:r w:rsidR="00B47EC7">
        <w:t xml:space="preserve"> ability and other factors. Critically, it requires interventions that challenge the centrality of marriage for young people, particularly girls and young women, and create space for the development of alternative life aspirations for adolescents and youth. </w:t>
      </w:r>
    </w:p>
    <w:p w14:paraId="43C79367" w14:textId="77777777" w:rsidR="00452281" w:rsidRDefault="00452281" w:rsidP="0046622B"/>
    <w:p w14:paraId="5A6EB008" w14:textId="77777777" w:rsidR="0046622B" w:rsidRPr="00146E67" w:rsidRDefault="0046622B" w:rsidP="00146E67">
      <w:pPr>
        <w:rPr>
          <w:b/>
        </w:rPr>
      </w:pPr>
      <w:r w:rsidRPr="00146E67">
        <w:rPr>
          <w:b/>
        </w:rPr>
        <w:t>Comprehensive sexuality education</w:t>
      </w:r>
    </w:p>
    <w:p w14:paraId="63640609" w14:textId="77777777" w:rsidR="00322248" w:rsidRPr="00322248" w:rsidRDefault="00FB18DA" w:rsidP="00146E67">
      <w:pPr>
        <w:pStyle w:val="ListParagraph"/>
        <w:numPr>
          <w:ilvl w:val="0"/>
          <w:numId w:val="4"/>
        </w:numPr>
      </w:pPr>
      <w:bookmarkStart w:id="1" w:name="_Toc373404761"/>
      <w:r w:rsidRPr="00146E67">
        <w:rPr>
          <w:bCs/>
          <w:lang w:val="en-US"/>
        </w:rPr>
        <w:t>The provision of c</w:t>
      </w:r>
      <w:r w:rsidR="00322248" w:rsidRPr="00146E67">
        <w:rPr>
          <w:bCs/>
          <w:lang w:val="en-US"/>
        </w:rPr>
        <w:t>omprehensive sexuality education</w:t>
      </w:r>
      <w:bookmarkEnd w:id="1"/>
      <w:r w:rsidR="00322248" w:rsidRPr="00146E67">
        <w:rPr>
          <w:bCs/>
          <w:lang w:val="en-US"/>
        </w:rPr>
        <w:t xml:space="preserve"> is a critical </w:t>
      </w:r>
      <w:r w:rsidRPr="00146E67">
        <w:rPr>
          <w:bCs/>
          <w:lang w:val="en-US"/>
        </w:rPr>
        <w:t xml:space="preserve">intervention </w:t>
      </w:r>
      <w:r w:rsidR="00322248" w:rsidRPr="00146E67">
        <w:rPr>
          <w:bCs/>
          <w:lang w:val="en-US"/>
        </w:rPr>
        <w:t xml:space="preserve">to </w:t>
      </w:r>
      <w:r w:rsidR="008E47F0" w:rsidRPr="00146E67">
        <w:rPr>
          <w:bCs/>
          <w:lang w:val="en-US"/>
        </w:rPr>
        <w:t>empower adolescent girls</w:t>
      </w:r>
      <w:r w:rsidRPr="00146E67">
        <w:rPr>
          <w:bCs/>
          <w:lang w:val="en-US"/>
        </w:rPr>
        <w:t>, and thus contribute</w:t>
      </w:r>
      <w:r w:rsidR="008E47F0" w:rsidRPr="00146E67">
        <w:rPr>
          <w:bCs/>
          <w:lang w:val="en-US"/>
        </w:rPr>
        <w:t>s</w:t>
      </w:r>
      <w:r w:rsidRPr="00146E67">
        <w:rPr>
          <w:bCs/>
          <w:lang w:val="en-US"/>
        </w:rPr>
        <w:t xml:space="preserve"> to </w:t>
      </w:r>
      <w:r w:rsidR="00322248" w:rsidRPr="00146E67">
        <w:rPr>
          <w:bCs/>
          <w:lang w:val="en-US"/>
        </w:rPr>
        <w:t>prevent</w:t>
      </w:r>
      <w:r w:rsidRPr="00146E67">
        <w:rPr>
          <w:bCs/>
          <w:lang w:val="en-US"/>
        </w:rPr>
        <w:t>ing</w:t>
      </w:r>
      <w:r w:rsidR="00322248" w:rsidRPr="00146E67">
        <w:rPr>
          <w:bCs/>
          <w:lang w:val="en-US"/>
        </w:rPr>
        <w:t xml:space="preserve"> child, early and forced marr</w:t>
      </w:r>
      <w:r w:rsidR="00621EFC" w:rsidRPr="00146E67">
        <w:rPr>
          <w:bCs/>
          <w:lang w:val="en-US"/>
        </w:rPr>
        <w:t xml:space="preserve">iage. </w:t>
      </w:r>
      <w:r w:rsidR="008E47F0">
        <w:t xml:space="preserve">Further, adolescents’ </w:t>
      </w:r>
      <w:r w:rsidR="00322248" w:rsidRPr="00322248">
        <w:t xml:space="preserve">right to access </w:t>
      </w:r>
      <w:r w:rsidR="008E47F0">
        <w:t xml:space="preserve">sexuality education </w:t>
      </w:r>
      <w:r w:rsidR="00322248" w:rsidRPr="00322248">
        <w:t>is recognized as a basic human right in both the annual report of Special Rapporteur on the right to education to the UN General Assembly in 2010 and General Comment No. 4 of the Committee on the Rights of the Child</w:t>
      </w:r>
      <w:r w:rsidR="008E47F0">
        <w:t xml:space="preserve">. </w:t>
      </w:r>
      <w:r w:rsidR="005B7713" w:rsidRPr="00322248">
        <w:lastRenderedPageBreak/>
        <w:t>UNESCO’s guidelines</w:t>
      </w:r>
      <w:r w:rsidR="00146E67" w:rsidRPr="00322248">
        <w:rPr>
          <w:vertAlign w:val="superscript"/>
        </w:rPr>
        <w:footnoteReference w:id="2"/>
      </w:r>
      <w:r w:rsidR="00146E67" w:rsidRPr="00322248">
        <w:t xml:space="preserve"> </w:t>
      </w:r>
      <w:r w:rsidR="005B7713" w:rsidRPr="00322248">
        <w:t>are a valuable resource for States for designing sexuality education programmes.</w:t>
      </w:r>
    </w:p>
    <w:p w14:paraId="0F486D07" w14:textId="77777777" w:rsidR="00146E67" w:rsidRDefault="00146E67" w:rsidP="0046622B"/>
    <w:p w14:paraId="688B4C47" w14:textId="77777777" w:rsidR="00322248" w:rsidRDefault="00322248" w:rsidP="00146E67">
      <w:pPr>
        <w:pStyle w:val="ListParagraph"/>
        <w:numPr>
          <w:ilvl w:val="0"/>
          <w:numId w:val="4"/>
        </w:numPr>
      </w:pPr>
      <w:r w:rsidRPr="00322248">
        <w:t xml:space="preserve">Effective sexuality education must go beyond biology to educate children and adolescents about gender equality, healthy and positive aspects of sexuality, relationships, gender-based and sexual violence, sexual and gender diversity, healthy emotive processes, informed consent and human rights. It should promote empowerment and autonomy by including structured opportunities for adolescents to practice life skills they will need to be able to make free and informed choices about their sexual lives and to explore their attitudes and values. Such education must be free of and aim to eliminate stereotypes, discrimination, and stigma; respect the evolving capacities of children and adolescents; and be tailored to meet the specific needs of particular groups. </w:t>
      </w:r>
      <w:r w:rsidR="005B7713">
        <w:t xml:space="preserve">The topic of child, early and forced marriage should be addressed from a gender perspective and in a culturally relevant manner. </w:t>
      </w:r>
    </w:p>
    <w:p w14:paraId="42FA3C79" w14:textId="77777777" w:rsidR="00452281" w:rsidRDefault="00452281" w:rsidP="0046622B"/>
    <w:p w14:paraId="14EED164" w14:textId="77777777" w:rsidR="0046622B" w:rsidRPr="00146E67" w:rsidRDefault="00E00A33" w:rsidP="00146E67">
      <w:pPr>
        <w:rPr>
          <w:b/>
        </w:rPr>
      </w:pPr>
      <w:r w:rsidRPr="00146E67">
        <w:rPr>
          <w:b/>
        </w:rPr>
        <w:t xml:space="preserve">Legal </w:t>
      </w:r>
      <w:r w:rsidR="0046622B" w:rsidRPr="00146E67">
        <w:rPr>
          <w:b/>
        </w:rPr>
        <w:t>and policy</w:t>
      </w:r>
      <w:r w:rsidRPr="00146E67">
        <w:rPr>
          <w:b/>
        </w:rPr>
        <w:t xml:space="preserve"> framework</w:t>
      </w:r>
    </w:p>
    <w:p w14:paraId="28E39E3B" w14:textId="77777777" w:rsidR="00EF5537" w:rsidRPr="00146E67" w:rsidRDefault="00EF5537" w:rsidP="00146E67">
      <w:pPr>
        <w:pStyle w:val="ListParagraph"/>
        <w:numPr>
          <w:ilvl w:val="0"/>
          <w:numId w:val="4"/>
        </w:numPr>
        <w:rPr>
          <w:bCs/>
        </w:rPr>
      </w:pPr>
      <w:r w:rsidRPr="00146E67">
        <w:rPr>
          <w:bCs/>
        </w:rPr>
        <w:t>Legal and policy framework</w:t>
      </w:r>
      <w:r w:rsidR="00452281" w:rsidRPr="00146E67">
        <w:rPr>
          <w:bCs/>
        </w:rPr>
        <w:t>s</w:t>
      </w:r>
      <w:r w:rsidRPr="00146E67">
        <w:rPr>
          <w:bCs/>
        </w:rPr>
        <w:t xml:space="preserve"> on </w:t>
      </w:r>
      <w:r w:rsidR="00452281">
        <w:t>child, early and forced marriage</w:t>
      </w:r>
      <w:r w:rsidR="00452281" w:rsidRPr="00146E67">
        <w:rPr>
          <w:bCs/>
        </w:rPr>
        <w:t xml:space="preserve"> </w:t>
      </w:r>
      <w:r w:rsidRPr="00146E67">
        <w:rPr>
          <w:bCs/>
        </w:rPr>
        <w:t xml:space="preserve">necessarily should be centred on </w:t>
      </w:r>
      <w:r w:rsidR="00452281" w:rsidRPr="00146E67">
        <w:rPr>
          <w:bCs/>
        </w:rPr>
        <w:t xml:space="preserve">the </w:t>
      </w:r>
      <w:r w:rsidRPr="00146E67">
        <w:rPr>
          <w:bCs/>
        </w:rPr>
        <w:t>rights of persons most affected</w:t>
      </w:r>
      <w:r w:rsidR="00452281" w:rsidRPr="00146E67">
        <w:rPr>
          <w:bCs/>
        </w:rPr>
        <w:t>,</w:t>
      </w:r>
      <w:r w:rsidRPr="00146E67">
        <w:rPr>
          <w:bCs/>
        </w:rPr>
        <w:t xml:space="preserve"> i.e. women and girls. More specifically, legal and policy framework</w:t>
      </w:r>
      <w:r w:rsidR="00452281" w:rsidRPr="00146E67">
        <w:rPr>
          <w:bCs/>
        </w:rPr>
        <w:t>s</w:t>
      </w:r>
      <w:r w:rsidRPr="00146E67">
        <w:rPr>
          <w:bCs/>
        </w:rPr>
        <w:t xml:space="preserve"> should create enabling conditions for wo</w:t>
      </w:r>
      <w:r w:rsidR="00452281" w:rsidRPr="00146E67">
        <w:rPr>
          <w:bCs/>
        </w:rPr>
        <w:t>men,</w:t>
      </w:r>
      <w:r w:rsidRPr="00146E67">
        <w:rPr>
          <w:bCs/>
        </w:rPr>
        <w:t xml:space="preserve"> girls</w:t>
      </w:r>
      <w:r w:rsidR="00452281" w:rsidRPr="00146E67">
        <w:rPr>
          <w:bCs/>
        </w:rPr>
        <w:t>,</w:t>
      </w:r>
      <w:r w:rsidRPr="00146E67">
        <w:rPr>
          <w:bCs/>
        </w:rPr>
        <w:t xml:space="preserve"> and </w:t>
      </w:r>
      <w:r w:rsidR="00452281" w:rsidRPr="00146E67">
        <w:rPr>
          <w:bCs/>
        </w:rPr>
        <w:t xml:space="preserve">all </w:t>
      </w:r>
      <w:r w:rsidRPr="00146E67">
        <w:rPr>
          <w:bCs/>
        </w:rPr>
        <w:t xml:space="preserve">young people to have the </w:t>
      </w:r>
      <w:r w:rsidR="00452281" w:rsidRPr="00146E67">
        <w:rPr>
          <w:bCs/>
        </w:rPr>
        <w:t xml:space="preserve">autonomy </w:t>
      </w:r>
      <w:r w:rsidRPr="00146E67">
        <w:rPr>
          <w:bCs/>
        </w:rPr>
        <w:t>capacity</w:t>
      </w:r>
      <w:r w:rsidR="00452281" w:rsidRPr="00146E67">
        <w:rPr>
          <w:bCs/>
        </w:rPr>
        <w:t xml:space="preserve"> to say no to marriage </w:t>
      </w:r>
      <w:r w:rsidRPr="00146E67">
        <w:rPr>
          <w:bCs/>
        </w:rPr>
        <w:t>if</w:t>
      </w:r>
      <w:r w:rsidR="00452281" w:rsidRPr="00146E67">
        <w:rPr>
          <w:bCs/>
        </w:rPr>
        <w:t xml:space="preserve"> they are being forced to marry,</w:t>
      </w:r>
      <w:r w:rsidRPr="00146E67">
        <w:rPr>
          <w:bCs/>
        </w:rPr>
        <w:t xml:space="preserve"> and to have the support systems where</w:t>
      </w:r>
      <w:r w:rsidR="00452281" w:rsidRPr="00146E67">
        <w:rPr>
          <w:bCs/>
        </w:rPr>
        <w:t>in</w:t>
      </w:r>
      <w:r w:rsidRPr="00146E67">
        <w:rPr>
          <w:bCs/>
        </w:rPr>
        <w:t xml:space="preserve"> their decision is not further stigmatised.</w:t>
      </w:r>
      <w:r w:rsidR="00466FF5" w:rsidRPr="00146E67">
        <w:rPr>
          <w:bCs/>
        </w:rPr>
        <w:t xml:space="preserve">  </w:t>
      </w:r>
      <w:r w:rsidRPr="00146E67">
        <w:rPr>
          <w:bCs/>
        </w:rPr>
        <w:t>I</w:t>
      </w:r>
      <w:r w:rsidR="00452281" w:rsidRPr="00146E67">
        <w:rPr>
          <w:bCs/>
        </w:rPr>
        <w:t>n this context, one cannot over</w:t>
      </w:r>
      <w:r w:rsidRPr="00146E67">
        <w:rPr>
          <w:bCs/>
        </w:rPr>
        <w:t xml:space="preserve">emphasise the need for laws and policies to be preventive. </w:t>
      </w:r>
    </w:p>
    <w:p w14:paraId="3F39FA0D" w14:textId="77777777" w:rsidR="00146E67" w:rsidRDefault="00146E67" w:rsidP="00EF5537">
      <w:pPr>
        <w:rPr>
          <w:bCs/>
        </w:rPr>
      </w:pPr>
    </w:p>
    <w:p w14:paraId="2E3A9C8A" w14:textId="77777777" w:rsidR="00EF5537" w:rsidRPr="00146E67" w:rsidRDefault="00EF5537" w:rsidP="00146E67">
      <w:pPr>
        <w:pStyle w:val="ListParagraph"/>
        <w:numPr>
          <w:ilvl w:val="0"/>
          <w:numId w:val="4"/>
        </w:numPr>
        <w:rPr>
          <w:bCs/>
        </w:rPr>
      </w:pPr>
      <w:r w:rsidRPr="00146E67">
        <w:rPr>
          <w:bCs/>
        </w:rPr>
        <w:t>It would not be</w:t>
      </w:r>
      <w:r w:rsidR="00452281" w:rsidRPr="00146E67">
        <w:rPr>
          <w:bCs/>
        </w:rPr>
        <w:t xml:space="preserve"> incorrect to say that</w:t>
      </w:r>
      <w:r w:rsidRPr="00146E67">
        <w:rPr>
          <w:bCs/>
        </w:rPr>
        <w:t xml:space="preserve"> the </w:t>
      </w:r>
      <w:r w:rsidR="00452281" w:rsidRPr="00146E67">
        <w:rPr>
          <w:bCs/>
        </w:rPr>
        <w:t xml:space="preserve">current prevailing </w:t>
      </w:r>
      <w:r w:rsidRPr="00146E67">
        <w:rPr>
          <w:bCs/>
        </w:rPr>
        <w:t xml:space="preserve">trend and focus </w:t>
      </w:r>
      <w:r w:rsidR="00452281" w:rsidRPr="00146E67">
        <w:rPr>
          <w:bCs/>
        </w:rPr>
        <w:t>in relation to legal and policy frameworks are</w:t>
      </w:r>
      <w:r w:rsidRPr="00146E67">
        <w:rPr>
          <w:bCs/>
        </w:rPr>
        <w:t xml:space="preserve"> to prohibit marriages and</w:t>
      </w:r>
      <w:r w:rsidR="00452281" w:rsidRPr="00146E67">
        <w:rPr>
          <w:bCs/>
        </w:rPr>
        <w:t xml:space="preserve"> criminalise</w:t>
      </w:r>
      <w:r w:rsidR="00C8741C" w:rsidRPr="00146E67">
        <w:rPr>
          <w:bCs/>
        </w:rPr>
        <w:t>. This approach fails to take not</w:t>
      </w:r>
      <w:r w:rsidR="00452281" w:rsidRPr="00146E67">
        <w:rPr>
          <w:bCs/>
        </w:rPr>
        <w:t>e that</w:t>
      </w:r>
      <w:r w:rsidR="00C8741C" w:rsidRPr="00146E67">
        <w:rPr>
          <w:bCs/>
        </w:rPr>
        <w:t xml:space="preserve"> in most forced marriages, the culpable parties are the family members of the child. </w:t>
      </w:r>
      <w:r w:rsidR="00452281" w:rsidRPr="00146E67">
        <w:rPr>
          <w:bCs/>
        </w:rPr>
        <w:t xml:space="preserve">Penalising these family members – in </w:t>
      </w:r>
      <w:r w:rsidR="00C8741C" w:rsidRPr="00146E67">
        <w:rPr>
          <w:bCs/>
        </w:rPr>
        <w:t>many cases the only earning member of the family</w:t>
      </w:r>
      <w:r w:rsidR="00452281" w:rsidRPr="00146E67">
        <w:rPr>
          <w:bCs/>
        </w:rPr>
        <w:t xml:space="preserve"> – </w:t>
      </w:r>
      <w:r w:rsidR="00C8741C" w:rsidRPr="00146E67">
        <w:rPr>
          <w:bCs/>
        </w:rPr>
        <w:t xml:space="preserve">further marginalises families and stigmatises children within their own family. </w:t>
      </w:r>
    </w:p>
    <w:p w14:paraId="19942F7B" w14:textId="77777777" w:rsidR="00146E67" w:rsidRDefault="00146E67" w:rsidP="00EF5537">
      <w:pPr>
        <w:rPr>
          <w:bCs/>
        </w:rPr>
      </w:pPr>
    </w:p>
    <w:p w14:paraId="64EE30E3" w14:textId="77777777" w:rsidR="00C8741C" w:rsidRPr="00146E67" w:rsidRDefault="00C8741C" w:rsidP="00146E67">
      <w:pPr>
        <w:pStyle w:val="ListParagraph"/>
        <w:numPr>
          <w:ilvl w:val="0"/>
          <w:numId w:val="4"/>
        </w:numPr>
        <w:rPr>
          <w:bCs/>
        </w:rPr>
      </w:pPr>
      <w:r w:rsidRPr="00146E67">
        <w:rPr>
          <w:bCs/>
        </w:rPr>
        <w:t xml:space="preserve">As </w:t>
      </w:r>
      <w:r w:rsidR="00452281" w:rsidRPr="00146E67">
        <w:rPr>
          <w:bCs/>
        </w:rPr>
        <w:t xml:space="preserve">previously </w:t>
      </w:r>
      <w:r w:rsidRPr="00146E67">
        <w:rPr>
          <w:bCs/>
        </w:rPr>
        <w:t>mentioned</w:t>
      </w:r>
      <w:r w:rsidR="00452281" w:rsidRPr="00146E67">
        <w:rPr>
          <w:bCs/>
        </w:rPr>
        <w:t>,</w:t>
      </w:r>
      <w:r w:rsidRPr="00146E67">
        <w:rPr>
          <w:bCs/>
        </w:rPr>
        <w:t xml:space="preserve"> practices such as </w:t>
      </w:r>
      <w:r w:rsidR="00452281">
        <w:t>child, early and forced marriage</w:t>
      </w:r>
      <w:r w:rsidR="00452281" w:rsidRPr="00146E67">
        <w:rPr>
          <w:bCs/>
        </w:rPr>
        <w:t xml:space="preserve"> </w:t>
      </w:r>
      <w:r w:rsidRPr="00146E67">
        <w:rPr>
          <w:bCs/>
        </w:rPr>
        <w:t>do not happen in isolation</w:t>
      </w:r>
      <w:r w:rsidR="00452281" w:rsidRPr="00146E67">
        <w:rPr>
          <w:bCs/>
        </w:rPr>
        <w:t>,</w:t>
      </w:r>
      <w:r w:rsidRPr="00146E67">
        <w:rPr>
          <w:bCs/>
        </w:rPr>
        <w:t xml:space="preserve"> and the realities of other laws and policies impacting young people cannot be ignored. Laws relating to </w:t>
      </w:r>
      <w:r w:rsidR="00452281" w:rsidRPr="00146E67">
        <w:rPr>
          <w:bCs/>
        </w:rPr>
        <w:t xml:space="preserve">the </w:t>
      </w:r>
      <w:r w:rsidRPr="00146E67">
        <w:rPr>
          <w:bCs/>
        </w:rPr>
        <w:t xml:space="preserve">criminalisation of </w:t>
      </w:r>
      <w:r w:rsidR="00452281" w:rsidRPr="00146E67">
        <w:rPr>
          <w:bCs/>
        </w:rPr>
        <w:t xml:space="preserve">the </w:t>
      </w:r>
      <w:r w:rsidRPr="00146E67">
        <w:rPr>
          <w:bCs/>
        </w:rPr>
        <w:t>sexuality of young people leave them with only one option to experience their sexuality without being penalised</w:t>
      </w:r>
      <w:r w:rsidR="00452281" w:rsidRPr="00146E67">
        <w:rPr>
          <w:bCs/>
        </w:rPr>
        <w:t>,</w:t>
      </w:r>
      <w:r w:rsidRPr="00146E67">
        <w:rPr>
          <w:bCs/>
        </w:rPr>
        <w:t xml:space="preserve"> i.e. marriage.</w:t>
      </w:r>
      <w:r w:rsidR="00466FF5" w:rsidRPr="00146E67">
        <w:rPr>
          <w:bCs/>
        </w:rPr>
        <w:t xml:space="preserve">  </w:t>
      </w:r>
      <w:r w:rsidRPr="00146E67">
        <w:rPr>
          <w:bCs/>
        </w:rPr>
        <w:t>In contexts such as this the reasons for early marriages are manifold</w:t>
      </w:r>
      <w:r w:rsidR="00452281" w:rsidRPr="00146E67">
        <w:rPr>
          <w:bCs/>
        </w:rPr>
        <w:t>, and legal and policy frameworks</w:t>
      </w:r>
      <w:r w:rsidRPr="00146E67">
        <w:rPr>
          <w:bCs/>
        </w:rPr>
        <w:t xml:space="preserve"> should not address only the symptoms. </w:t>
      </w:r>
    </w:p>
    <w:p w14:paraId="20D65EF1" w14:textId="77777777" w:rsidR="00146E67" w:rsidRDefault="00146E67" w:rsidP="0046622B"/>
    <w:p w14:paraId="5B04FB4C" w14:textId="77777777" w:rsidR="00C8741C" w:rsidRDefault="00C8741C" w:rsidP="00146E67">
      <w:pPr>
        <w:pStyle w:val="ListParagraph"/>
        <w:numPr>
          <w:ilvl w:val="0"/>
          <w:numId w:val="4"/>
        </w:numPr>
      </w:pPr>
      <w:r>
        <w:t xml:space="preserve">Further, </w:t>
      </w:r>
      <w:r w:rsidR="00452281">
        <w:t xml:space="preserve">the </w:t>
      </w:r>
      <w:r>
        <w:t xml:space="preserve">policy framework towards empowerment of women and girls should be holistic. They cannot </w:t>
      </w:r>
      <w:r w:rsidR="00452281">
        <w:t xml:space="preserve">aim only </w:t>
      </w:r>
      <w:r>
        <w:t>to</w:t>
      </w:r>
      <w:r w:rsidR="00FD3BBA">
        <w:t xml:space="preserve"> reach numbers but should be aspirational. For example, </w:t>
      </w:r>
      <w:r w:rsidR="00452281">
        <w:t xml:space="preserve">the objective of </w:t>
      </w:r>
      <w:r w:rsidR="00FD3BBA">
        <w:t xml:space="preserve">education for young girls should </w:t>
      </w:r>
      <w:r w:rsidR="00452281">
        <w:t xml:space="preserve">be to </w:t>
      </w:r>
      <w:r w:rsidR="00FD3BBA">
        <w:t xml:space="preserve">create opportunities and increase their independence as opposed to </w:t>
      </w:r>
      <w:r w:rsidR="00452281">
        <w:t xml:space="preserve">increasing </w:t>
      </w:r>
      <w:r w:rsidR="00FD3BBA">
        <w:t xml:space="preserve">literacy levels for the nation. </w:t>
      </w:r>
    </w:p>
    <w:p w14:paraId="692971D7" w14:textId="77777777" w:rsidR="00146E67" w:rsidRDefault="00146E67" w:rsidP="00146E67">
      <w:pPr>
        <w:rPr>
          <w:b/>
        </w:rPr>
      </w:pPr>
    </w:p>
    <w:p w14:paraId="76014022" w14:textId="77777777" w:rsidR="0046622B" w:rsidRPr="00146E67" w:rsidRDefault="0046622B" w:rsidP="00146E67">
      <w:pPr>
        <w:rPr>
          <w:b/>
        </w:rPr>
      </w:pPr>
      <w:r w:rsidRPr="00146E67">
        <w:rPr>
          <w:b/>
        </w:rPr>
        <w:t>Rights of married girls</w:t>
      </w:r>
    </w:p>
    <w:p w14:paraId="2906624C" w14:textId="77777777" w:rsidR="0046622B" w:rsidRDefault="00FD3BBA" w:rsidP="004F3F3C">
      <w:pPr>
        <w:pStyle w:val="ListParagraph"/>
        <w:numPr>
          <w:ilvl w:val="0"/>
          <w:numId w:val="4"/>
        </w:numPr>
      </w:pPr>
      <w:r w:rsidRPr="00146E67">
        <w:rPr>
          <w:bCs/>
        </w:rPr>
        <w:t xml:space="preserve">While addressing </w:t>
      </w:r>
      <w:r w:rsidR="00452281">
        <w:t>child, early and forced marriage</w:t>
      </w:r>
      <w:r w:rsidRPr="00146E67">
        <w:rPr>
          <w:bCs/>
        </w:rPr>
        <w:t xml:space="preserve">, the rights of married girls should be ensured. </w:t>
      </w:r>
      <w:r w:rsidR="00452281">
        <w:t>Child, early and forced marriage</w:t>
      </w:r>
      <w:r w:rsidR="00452281" w:rsidRPr="00146E67">
        <w:rPr>
          <w:bCs/>
        </w:rPr>
        <w:t xml:space="preserve"> </w:t>
      </w:r>
      <w:r w:rsidRPr="00146E67">
        <w:rPr>
          <w:bCs/>
        </w:rPr>
        <w:t>results in a continuum of harm through the life cycle of women and girls. Hence,</w:t>
      </w:r>
      <w:r w:rsidR="00452281" w:rsidRPr="00146E67">
        <w:rPr>
          <w:bCs/>
        </w:rPr>
        <w:t xml:space="preserve"> the</w:t>
      </w:r>
      <w:r w:rsidRPr="00146E67">
        <w:rPr>
          <w:bCs/>
        </w:rPr>
        <w:t xml:space="preserve"> rights of women and girls who are married, </w:t>
      </w:r>
      <w:r w:rsidR="00452281" w:rsidRPr="00146E67">
        <w:rPr>
          <w:bCs/>
        </w:rPr>
        <w:t xml:space="preserve">and </w:t>
      </w:r>
      <w:r w:rsidRPr="00146E67">
        <w:rPr>
          <w:bCs/>
        </w:rPr>
        <w:t>their empowerment</w:t>
      </w:r>
      <w:r w:rsidR="00452281" w:rsidRPr="00146E67">
        <w:rPr>
          <w:bCs/>
        </w:rPr>
        <w:t>, necessitate</w:t>
      </w:r>
      <w:r w:rsidRPr="00146E67">
        <w:rPr>
          <w:bCs/>
        </w:rPr>
        <w:t xml:space="preserve"> a distinct strategy, including housing, economic empowerment, education etc. </w:t>
      </w:r>
      <w:r w:rsidR="004F3F3C">
        <w:rPr>
          <w:bCs/>
        </w:rPr>
        <w:t xml:space="preserve">The specific sexual and reproductive rights and needs of married women and girls should be ensured. </w:t>
      </w:r>
      <w:r w:rsidRPr="00146E67">
        <w:rPr>
          <w:bCs/>
        </w:rPr>
        <w:t>Further, legal measures to leave marriages, divorce, maintenance,</w:t>
      </w:r>
      <w:r w:rsidR="00452281" w:rsidRPr="00146E67">
        <w:rPr>
          <w:bCs/>
        </w:rPr>
        <w:t xml:space="preserve"> and</w:t>
      </w:r>
      <w:r w:rsidRPr="00146E67">
        <w:rPr>
          <w:bCs/>
        </w:rPr>
        <w:t xml:space="preserve"> inheritance should be made equitable towards men and women to ensure </w:t>
      </w:r>
      <w:r w:rsidR="00452281" w:rsidRPr="00146E67">
        <w:rPr>
          <w:bCs/>
        </w:rPr>
        <w:t xml:space="preserve">that </w:t>
      </w:r>
      <w:r w:rsidRPr="00146E67">
        <w:rPr>
          <w:bCs/>
        </w:rPr>
        <w:t xml:space="preserve">women and girls who want to leave forced marriages are able to </w:t>
      </w:r>
      <w:r w:rsidR="00452281" w:rsidRPr="00146E67">
        <w:rPr>
          <w:bCs/>
        </w:rPr>
        <w:t>do so without further stigmatisation</w:t>
      </w:r>
      <w:r w:rsidRPr="00146E67">
        <w:rPr>
          <w:bCs/>
        </w:rPr>
        <w:t xml:space="preserve">. </w:t>
      </w:r>
    </w:p>
    <w:sectPr w:rsidR="0046622B" w:rsidSect="0066464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DBF9" w14:textId="77777777" w:rsidR="00934926" w:rsidRDefault="00934926" w:rsidP="0046622B">
      <w:pPr>
        <w:spacing w:after="0" w:line="240" w:lineRule="auto"/>
      </w:pPr>
      <w:r>
        <w:separator/>
      </w:r>
    </w:p>
  </w:endnote>
  <w:endnote w:type="continuationSeparator" w:id="0">
    <w:p w14:paraId="31D122C8" w14:textId="77777777" w:rsidR="00934926" w:rsidRDefault="00934926" w:rsidP="0046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473932"/>
      <w:docPartObj>
        <w:docPartGallery w:val="Page Numbers (Bottom of Page)"/>
        <w:docPartUnique/>
      </w:docPartObj>
    </w:sdtPr>
    <w:sdtEndPr>
      <w:rPr>
        <w:noProof/>
      </w:rPr>
    </w:sdtEndPr>
    <w:sdtContent>
      <w:p w14:paraId="1F609D9E" w14:textId="77777777" w:rsidR="004F3F3C" w:rsidRDefault="004F3F3C">
        <w:pPr>
          <w:pStyle w:val="Footer"/>
          <w:jc w:val="right"/>
        </w:pPr>
        <w:r>
          <w:fldChar w:fldCharType="begin"/>
        </w:r>
        <w:r>
          <w:instrText xml:space="preserve"> PAGE   \* MERGEFORMAT </w:instrText>
        </w:r>
        <w:r>
          <w:fldChar w:fldCharType="separate"/>
        </w:r>
        <w:r w:rsidR="00DE3BAD">
          <w:rPr>
            <w:noProof/>
          </w:rPr>
          <w:t>5</w:t>
        </w:r>
        <w:r>
          <w:rPr>
            <w:noProof/>
          </w:rPr>
          <w:fldChar w:fldCharType="end"/>
        </w:r>
      </w:p>
    </w:sdtContent>
  </w:sdt>
  <w:p w14:paraId="588B665A" w14:textId="77777777" w:rsidR="004F3F3C" w:rsidRDefault="004F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436E" w14:textId="77777777" w:rsidR="00934926" w:rsidRDefault="00934926" w:rsidP="0046622B">
      <w:pPr>
        <w:spacing w:after="0" w:line="240" w:lineRule="auto"/>
      </w:pPr>
      <w:r>
        <w:separator/>
      </w:r>
    </w:p>
  </w:footnote>
  <w:footnote w:type="continuationSeparator" w:id="0">
    <w:p w14:paraId="43DD2231" w14:textId="77777777" w:rsidR="00934926" w:rsidRDefault="00934926" w:rsidP="0046622B">
      <w:pPr>
        <w:spacing w:after="0" w:line="240" w:lineRule="auto"/>
      </w:pPr>
      <w:r>
        <w:continuationSeparator/>
      </w:r>
    </w:p>
  </w:footnote>
  <w:footnote w:id="1">
    <w:p w14:paraId="2034048F" w14:textId="35D50CB4" w:rsidR="001162FD" w:rsidRPr="00C74256" w:rsidRDefault="001162FD">
      <w:pPr>
        <w:pStyle w:val="FootnoteText"/>
        <w:rPr>
          <w:sz w:val="18"/>
          <w:szCs w:val="18"/>
          <w:lang w:val="tr-TR"/>
        </w:rPr>
      </w:pPr>
      <w:r w:rsidRPr="00C74256">
        <w:rPr>
          <w:rStyle w:val="FootnoteReference"/>
          <w:sz w:val="18"/>
          <w:szCs w:val="18"/>
        </w:rPr>
        <w:footnoteRef/>
      </w:r>
      <w:r w:rsidRPr="00C74256">
        <w:rPr>
          <w:sz w:val="18"/>
          <w:szCs w:val="18"/>
        </w:rPr>
        <w:t xml:space="preserve"> </w:t>
      </w:r>
      <w:r w:rsidRPr="00C74256">
        <w:rPr>
          <w:sz w:val="18"/>
          <w:szCs w:val="18"/>
          <w:lang w:val="en-US"/>
        </w:rPr>
        <w:t xml:space="preserve">More information regarding </w:t>
      </w:r>
      <w:r w:rsidRPr="00C74256">
        <w:rPr>
          <w:sz w:val="18"/>
          <w:szCs w:val="18"/>
        </w:rPr>
        <w:t>definitional</w:t>
      </w:r>
      <w:r w:rsidRPr="00C74256">
        <w:rPr>
          <w:sz w:val="18"/>
          <w:szCs w:val="18"/>
          <w:lang w:val="en-US"/>
        </w:rPr>
        <w:t xml:space="preserve"> clarity between these </w:t>
      </w:r>
      <w:r w:rsidRPr="00C74256">
        <w:rPr>
          <w:sz w:val="18"/>
          <w:szCs w:val="18"/>
        </w:rPr>
        <w:t>terms</w:t>
      </w:r>
      <w:r w:rsidRPr="00C74256">
        <w:rPr>
          <w:sz w:val="18"/>
          <w:szCs w:val="18"/>
          <w:lang w:val="en-US"/>
        </w:rPr>
        <w:t xml:space="preserve"> can be found </w:t>
      </w:r>
      <w:r w:rsidRPr="00C74256">
        <w:rPr>
          <w:sz w:val="18"/>
          <w:szCs w:val="18"/>
        </w:rPr>
        <w:t xml:space="preserve">in the </w:t>
      </w:r>
      <w:r w:rsidRPr="00C74256">
        <w:rPr>
          <w:sz w:val="18"/>
          <w:szCs w:val="18"/>
          <w:lang w:val="en-US"/>
        </w:rPr>
        <w:t xml:space="preserve">submission </w:t>
      </w:r>
      <w:r w:rsidRPr="00C74256">
        <w:rPr>
          <w:sz w:val="18"/>
          <w:szCs w:val="18"/>
        </w:rPr>
        <w:t xml:space="preserve">by </w:t>
      </w:r>
      <w:r w:rsidRPr="00C74256">
        <w:rPr>
          <w:sz w:val="18"/>
          <w:szCs w:val="18"/>
          <w:lang w:val="en-US"/>
        </w:rPr>
        <w:t>SRI and WWHR</w:t>
      </w:r>
      <w:r w:rsidRPr="00C74256">
        <w:rPr>
          <w:sz w:val="18"/>
          <w:szCs w:val="18"/>
        </w:rPr>
        <w:t xml:space="preserve"> </w:t>
      </w:r>
      <w:r w:rsidRPr="00C74256">
        <w:rPr>
          <w:sz w:val="18"/>
          <w:szCs w:val="18"/>
          <w:lang w:val="en-US"/>
        </w:rPr>
        <w:t>to the Office of the High Commissioner of Human Rights titled “</w:t>
      </w:r>
      <w:r w:rsidRPr="00C74256">
        <w:rPr>
          <w:rFonts w:cs="Calibri"/>
          <w:bCs/>
          <w:sz w:val="18"/>
          <w:szCs w:val="18"/>
        </w:rPr>
        <w:t>Sexual Rights Initiative &amp; Women for Women’s Human Rights – New Ways submission regarding preventing and eliminating child, early and forced marriage”</w:t>
      </w:r>
      <w:r w:rsidRPr="00C74256">
        <w:rPr>
          <w:sz w:val="18"/>
          <w:szCs w:val="18"/>
          <w:lang w:val="tr-TR"/>
        </w:rPr>
        <w:t>, available</w:t>
      </w:r>
      <w:r w:rsidRPr="00C74256">
        <w:rPr>
          <w:rFonts w:cs="Times New Roman"/>
          <w:sz w:val="18"/>
          <w:szCs w:val="18"/>
          <w:lang w:val="tr-TR"/>
        </w:rPr>
        <w:t xml:space="preserve"> </w:t>
      </w:r>
      <w:r w:rsidRPr="00C74256">
        <w:rPr>
          <w:sz w:val="18"/>
          <w:szCs w:val="18"/>
          <w:lang w:val="tr-TR"/>
        </w:rPr>
        <w:t xml:space="preserve">at </w:t>
      </w:r>
      <w:r w:rsidRPr="00C74256">
        <w:rPr>
          <w:rFonts w:cs="Arial"/>
          <w:color w:val="13009B"/>
          <w:sz w:val="18"/>
          <w:szCs w:val="18"/>
        </w:rPr>
        <w:t>http://www.ohchr.org/Documents/Issues/Women/WRGS/ForcedMarriage/NGO/SRI_WWHR.doc</w:t>
      </w:r>
    </w:p>
  </w:footnote>
  <w:footnote w:id="2">
    <w:p w14:paraId="243A9399" w14:textId="77777777" w:rsidR="004F3F3C" w:rsidRPr="00C51B08" w:rsidRDefault="004F3F3C" w:rsidP="005B7713">
      <w:pPr>
        <w:pStyle w:val="FootnoteText"/>
        <w:rPr>
          <w:sz w:val="16"/>
          <w:szCs w:val="16"/>
        </w:rPr>
      </w:pPr>
      <w:r w:rsidRPr="00C51B08">
        <w:rPr>
          <w:rStyle w:val="FootnoteReference"/>
          <w:sz w:val="16"/>
          <w:szCs w:val="16"/>
        </w:rPr>
        <w:footnoteRef/>
      </w:r>
      <w:r w:rsidRPr="00C51B08">
        <w:rPr>
          <w:sz w:val="16"/>
          <w:szCs w:val="16"/>
        </w:rPr>
        <w:t xml:space="preserve"> UNESCO. </w:t>
      </w:r>
      <w:r w:rsidRPr="00C51B08">
        <w:rPr>
          <w:bCs/>
          <w:sz w:val="16"/>
          <w:szCs w:val="16"/>
        </w:rPr>
        <w:t>International Guidelines on Sexuality Education: An evidence informed approach to effective sex, relationships and HIV/STI education. 2009, available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51AB"/>
    <w:multiLevelType w:val="hybridMultilevel"/>
    <w:tmpl w:val="0E289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1642"/>
    <w:multiLevelType w:val="hybridMultilevel"/>
    <w:tmpl w:val="E45C5892"/>
    <w:lvl w:ilvl="0" w:tplc="BDD6764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C68DE"/>
    <w:multiLevelType w:val="hybridMultilevel"/>
    <w:tmpl w:val="0FBE3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DB4F3F"/>
    <w:multiLevelType w:val="hybridMultilevel"/>
    <w:tmpl w:val="DC96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0A29"/>
    <w:rsid w:val="000D582B"/>
    <w:rsid w:val="00100437"/>
    <w:rsid w:val="001162FD"/>
    <w:rsid w:val="00146E67"/>
    <w:rsid w:val="001B12D1"/>
    <w:rsid w:val="00322248"/>
    <w:rsid w:val="00342686"/>
    <w:rsid w:val="00452281"/>
    <w:rsid w:val="0046622B"/>
    <w:rsid w:val="00466FF5"/>
    <w:rsid w:val="004E2128"/>
    <w:rsid w:val="004F3F3C"/>
    <w:rsid w:val="00513163"/>
    <w:rsid w:val="00532DCA"/>
    <w:rsid w:val="005A5399"/>
    <w:rsid w:val="005B7713"/>
    <w:rsid w:val="00621EFC"/>
    <w:rsid w:val="00664649"/>
    <w:rsid w:val="00681DED"/>
    <w:rsid w:val="00704E70"/>
    <w:rsid w:val="007555E4"/>
    <w:rsid w:val="0076585D"/>
    <w:rsid w:val="007E0D8C"/>
    <w:rsid w:val="00826DE7"/>
    <w:rsid w:val="008537DB"/>
    <w:rsid w:val="00862000"/>
    <w:rsid w:val="008E47F0"/>
    <w:rsid w:val="00934926"/>
    <w:rsid w:val="00951FEE"/>
    <w:rsid w:val="00B07DDC"/>
    <w:rsid w:val="00B47EC7"/>
    <w:rsid w:val="00B576AC"/>
    <w:rsid w:val="00BA30AF"/>
    <w:rsid w:val="00BD1C18"/>
    <w:rsid w:val="00C74256"/>
    <w:rsid w:val="00C83BD6"/>
    <w:rsid w:val="00C85609"/>
    <w:rsid w:val="00C8741C"/>
    <w:rsid w:val="00CB483D"/>
    <w:rsid w:val="00CF77EB"/>
    <w:rsid w:val="00D05CAF"/>
    <w:rsid w:val="00D73F9F"/>
    <w:rsid w:val="00DE3BAD"/>
    <w:rsid w:val="00DF1D78"/>
    <w:rsid w:val="00E00A33"/>
    <w:rsid w:val="00E20A29"/>
    <w:rsid w:val="00E9738D"/>
    <w:rsid w:val="00EF5537"/>
    <w:rsid w:val="00F515F5"/>
    <w:rsid w:val="00F603F2"/>
    <w:rsid w:val="00FB18DA"/>
    <w:rsid w:val="00FD3BBA"/>
    <w:rsid w:val="00FD48B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21982"/>
  <w15:docId w15:val="{EB67EA77-1F6E-4909-BE0D-385C006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2B"/>
    <w:pPr>
      <w:ind w:left="720"/>
      <w:contextualSpacing/>
    </w:pPr>
  </w:style>
  <w:style w:type="paragraph" w:styleId="EndnoteText">
    <w:name w:val="endnote text"/>
    <w:basedOn w:val="Normal"/>
    <w:link w:val="EndnoteTextChar"/>
    <w:semiHidden/>
    <w:rsid w:val="0046622B"/>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semiHidden/>
    <w:rsid w:val="0046622B"/>
    <w:rPr>
      <w:rFonts w:ascii="Calibri" w:eastAsia="Times New Roman" w:hAnsi="Calibri" w:cs="Times New Roman"/>
      <w:sz w:val="20"/>
      <w:szCs w:val="20"/>
      <w:lang w:val="en-US"/>
    </w:rPr>
  </w:style>
  <w:style w:type="character" w:styleId="EndnoteReference">
    <w:name w:val="endnote reference"/>
    <w:semiHidden/>
    <w:rsid w:val="0046622B"/>
    <w:rPr>
      <w:rFonts w:cs="Times New Roman"/>
      <w:vertAlign w:val="superscript"/>
    </w:rPr>
  </w:style>
  <w:style w:type="character" w:styleId="Hyperlink">
    <w:name w:val="Hyperlink"/>
    <w:rsid w:val="00322248"/>
    <w:rPr>
      <w:color w:val="0000FF"/>
      <w:u w:val="single"/>
    </w:rPr>
  </w:style>
  <w:style w:type="paragraph" w:styleId="Header">
    <w:name w:val="header"/>
    <w:basedOn w:val="Normal"/>
    <w:link w:val="HeaderChar"/>
    <w:uiPriority w:val="99"/>
    <w:unhideWhenUsed/>
    <w:rsid w:val="000D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2B"/>
  </w:style>
  <w:style w:type="paragraph" w:styleId="Footer">
    <w:name w:val="footer"/>
    <w:basedOn w:val="Normal"/>
    <w:link w:val="FooterChar"/>
    <w:uiPriority w:val="99"/>
    <w:unhideWhenUsed/>
    <w:rsid w:val="000D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2B"/>
  </w:style>
  <w:style w:type="paragraph" w:styleId="FootnoteText">
    <w:name w:val="footnote text"/>
    <w:basedOn w:val="Normal"/>
    <w:link w:val="FootnoteTextChar"/>
    <w:uiPriority w:val="99"/>
    <w:unhideWhenUsed/>
    <w:rsid w:val="00146E67"/>
    <w:pPr>
      <w:spacing w:after="0" w:line="240" w:lineRule="auto"/>
    </w:pPr>
    <w:rPr>
      <w:sz w:val="20"/>
      <w:szCs w:val="20"/>
    </w:rPr>
  </w:style>
  <w:style w:type="character" w:customStyle="1" w:styleId="FootnoteTextChar">
    <w:name w:val="Footnote Text Char"/>
    <w:basedOn w:val="DefaultParagraphFont"/>
    <w:link w:val="FootnoteText"/>
    <w:uiPriority w:val="99"/>
    <w:rsid w:val="00146E67"/>
    <w:rPr>
      <w:sz w:val="20"/>
      <w:szCs w:val="20"/>
    </w:rPr>
  </w:style>
  <w:style w:type="character" w:styleId="FootnoteReference">
    <w:name w:val="footnote reference"/>
    <w:basedOn w:val="DefaultParagraphFont"/>
    <w:uiPriority w:val="99"/>
    <w:semiHidden/>
    <w:unhideWhenUsed/>
    <w:rsid w:val="00146E67"/>
    <w:rPr>
      <w:vertAlign w:val="superscript"/>
    </w:rPr>
  </w:style>
  <w:style w:type="paragraph" w:styleId="BalloonText">
    <w:name w:val="Balloon Text"/>
    <w:basedOn w:val="Normal"/>
    <w:link w:val="BalloonTextChar"/>
    <w:uiPriority w:val="99"/>
    <w:semiHidden/>
    <w:unhideWhenUsed/>
    <w:rsid w:val="004F3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F3C"/>
    <w:rPr>
      <w:rFonts w:ascii="Lucida Grande" w:hAnsi="Lucida Grande" w:cs="Lucida Grande"/>
      <w:sz w:val="18"/>
      <w:szCs w:val="18"/>
    </w:rPr>
  </w:style>
  <w:style w:type="paragraph" w:styleId="Revision">
    <w:name w:val="Revision"/>
    <w:hidden/>
    <w:uiPriority w:val="99"/>
    <w:semiHidden/>
    <w:rsid w:val="00C74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4F941-165E-4427-9B1B-483F2157E159}"/>
</file>

<file path=customXml/itemProps2.xml><?xml version="1.0" encoding="utf-8"?>
<ds:datastoreItem xmlns:ds="http://schemas.openxmlformats.org/officeDocument/2006/customXml" ds:itemID="{9715A1D2-981C-44D6-9B79-AA2AEB40BFE3}"/>
</file>

<file path=customXml/itemProps3.xml><?xml version="1.0" encoding="utf-8"?>
<ds:datastoreItem xmlns:ds="http://schemas.openxmlformats.org/officeDocument/2006/customXml" ds:itemID="{FF80AE48-7597-46D1-BB49-557AC79E4F39}"/>
</file>

<file path=customXml/itemProps4.xml><?xml version="1.0" encoding="utf-8"?>
<ds:datastoreItem xmlns:ds="http://schemas.openxmlformats.org/officeDocument/2006/customXml" ds:itemID="{10173E0C-E3FE-42C6-8EBE-DC5254CCA76D}"/>
</file>

<file path=docProps/app.xml><?xml version="1.0" encoding="utf-8"?>
<Properties xmlns="http://schemas.openxmlformats.org/officeDocument/2006/extended-properties" xmlns:vt="http://schemas.openxmlformats.org/officeDocument/2006/docPropsVTypes">
  <Template>Normal</Template>
  <TotalTime>1467</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Neha Sood</dc:creator>
  <cp:lastModifiedBy>Neha Sood</cp:lastModifiedBy>
  <cp:revision>13</cp:revision>
  <cp:lastPrinted>2016-02-08T08:30:00Z</cp:lastPrinted>
  <dcterms:created xsi:type="dcterms:W3CDTF">2016-02-05T05:47:00Z</dcterms:created>
  <dcterms:modified xsi:type="dcterms:W3CDTF">2016-02-08T19:33:00Z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