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8368ED" w:rsidRPr="00F922B1" w:rsidTr="00B7491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368ED" w:rsidRPr="00F922B1" w:rsidRDefault="008368ED" w:rsidP="00B7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600710" cy="682625"/>
                  <wp:effectExtent l="19050" t="0" r="889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8ED" w:rsidRPr="00F922B1" w:rsidTr="00B7491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368ED" w:rsidRPr="00F922B1" w:rsidRDefault="008368ED" w:rsidP="00B749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:rsidR="008368ED" w:rsidRPr="00F922B1" w:rsidRDefault="008368ED" w:rsidP="00B7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</w:tc>
      </w:tr>
    </w:tbl>
    <w:p w:rsidR="008368ED" w:rsidRDefault="005A70C0" w:rsidP="008368ED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Nota No. 612</w:t>
      </w:r>
      <w:r w:rsidR="008368ED" w:rsidRPr="00F922B1">
        <w:rPr>
          <w:rFonts w:ascii="Arial" w:hAnsi="Arial" w:cs="Arial"/>
          <w:b/>
        </w:rPr>
        <w:t>/2017</w:t>
      </w:r>
    </w:p>
    <w:p w:rsidR="00606607" w:rsidRPr="008368ED" w:rsidRDefault="000116E2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 xml:space="preserve">La Misión Permanente de la República de Cuba ante la Oficina de las Naciones Unidas en Ginebra y los Organismos Internacionales con sede en Suiza saluda atentamente a la Oficina del Alto Comisionado de las Naciones Unidas para los Derechos Humanos y se complace en remitir los comentarios del Gobierno de la República de Cuba en relación con la </w:t>
      </w:r>
      <w:r w:rsidR="007C66C0" w:rsidRPr="008368ED">
        <w:rPr>
          <w:rFonts w:ascii="Arial" w:eastAsia="Calibri" w:hAnsi="Arial" w:cs="Arial"/>
        </w:rPr>
        <w:t>n</w:t>
      </w:r>
      <w:r w:rsidR="00606607" w:rsidRPr="008368ED">
        <w:rPr>
          <w:rFonts w:ascii="Arial" w:eastAsia="Calibri" w:hAnsi="Arial" w:cs="Arial"/>
        </w:rPr>
        <w:t>ota WRGS/COW/Res71/175</w:t>
      </w:r>
      <w:r w:rsidRPr="008368ED">
        <w:rPr>
          <w:rFonts w:ascii="Arial" w:eastAsia="Calibri" w:hAnsi="Arial" w:cs="Arial"/>
        </w:rPr>
        <w:t xml:space="preserve">, en la cual se solicita información en virtud de la resolución </w:t>
      </w:r>
      <w:r w:rsidR="00606607" w:rsidRPr="008368ED">
        <w:rPr>
          <w:rFonts w:ascii="Arial" w:eastAsia="Calibri" w:hAnsi="Arial" w:cs="Arial"/>
        </w:rPr>
        <w:t>71/175</w:t>
      </w:r>
      <w:r w:rsidRPr="008368ED">
        <w:rPr>
          <w:rFonts w:ascii="Arial" w:eastAsia="Calibri" w:hAnsi="Arial" w:cs="Arial"/>
        </w:rPr>
        <w:t xml:space="preserve"> de</w:t>
      </w:r>
      <w:r w:rsidR="00606607" w:rsidRPr="008368ED">
        <w:rPr>
          <w:rFonts w:ascii="Arial" w:eastAsia="Calibri" w:hAnsi="Arial" w:cs="Arial"/>
        </w:rPr>
        <w:t xml:space="preserve"> la Asamblea General de las Naciones Unidas </w:t>
      </w:r>
      <w:r w:rsidRPr="008368ED">
        <w:rPr>
          <w:rFonts w:ascii="Arial" w:eastAsia="Calibri" w:hAnsi="Arial" w:cs="Arial"/>
        </w:rPr>
        <w:t xml:space="preserve">relativa al </w:t>
      </w:r>
      <w:r w:rsidR="00606607" w:rsidRPr="008368ED">
        <w:rPr>
          <w:rFonts w:ascii="Arial" w:eastAsia="Calibri" w:hAnsi="Arial" w:cs="Arial"/>
        </w:rPr>
        <w:t>matrimonio infa</w:t>
      </w:r>
      <w:r w:rsidR="008368ED" w:rsidRPr="008368ED">
        <w:rPr>
          <w:rFonts w:ascii="Arial" w:eastAsia="Calibri" w:hAnsi="Arial" w:cs="Arial"/>
        </w:rPr>
        <w:t>ntil, precoz y forzado.</w:t>
      </w:r>
    </w:p>
    <w:p w:rsidR="000116E2" w:rsidRPr="008368ED" w:rsidRDefault="000116E2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>Al respecto el Gobierno de Cuba desea trasladar las opiniones siguientes:</w:t>
      </w:r>
    </w:p>
    <w:p w:rsidR="005857B5" w:rsidRPr="005857B5" w:rsidRDefault="005857B5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5857B5">
        <w:rPr>
          <w:rFonts w:ascii="Arial" w:eastAsia="Calibri" w:hAnsi="Arial" w:cs="Arial"/>
        </w:rPr>
        <w:t>Cuba prioriza la atención a todos los niños y niñas en el país. Esta atención se basa en el principio de que “nada hay más importante que un niño” y se sustenta en un sistema multisectorial, multidisciplinario e inter</w:t>
      </w:r>
      <w:r>
        <w:rPr>
          <w:rFonts w:ascii="Arial" w:eastAsia="Calibri" w:hAnsi="Arial" w:cs="Arial"/>
        </w:rPr>
        <w:t xml:space="preserve"> </w:t>
      </w:r>
      <w:r w:rsidRPr="005857B5">
        <w:rPr>
          <w:rFonts w:ascii="Arial" w:eastAsia="Calibri" w:hAnsi="Arial" w:cs="Arial"/>
        </w:rPr>
        <w:t xml:space="preserve">coordinado, que involucra a entidades gubernamentales, no gubernamentales, organizaciones sociales y a la población en general, incluidos los propios niños, niñas y adolescentes. </w:t>
      </w:r>
    </w:p>
    <w:p w:rsidR="005857B5" w:rsidRDefault="005857B5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5857B5">
        <w:rPr>
          <w:rFonts w:ascii="Arial" w:eastAsia="Calibri" w:hAnsi="Arial" w:cs="Arial"/>
        </w:rPr>
        <w:t>Cuba firmó la Convención sobre los Derechos del Niño el 26 de enero de 1990, y la ratificó el 21 de agosto de 1991. Consecuente con ese compromiso, el Estado Cubano mantiene un estricto apego en su legislación y en su práctica, a la letra de este instrumento internacional, con arreglo a lo cual existen las condiciones necesarias y adecuadas para garantizar y proteger los derechos de los niños, niñas y adolescentes en todos los ámbitos de la sociedad.</w:t>
      </w:r>
    </w:p>
    <w:p w:rsidR="008368ED" w:rsidRPr="004E19D5" w:rsidRDefault="008368ED" w:rsidP="008368ED">
      <w:pPr>
        <w:ind w:left="-425"/>
        <w:jc w:val="both"/>
        <w:rPr>
          <w:rFonts w:ascii="Arial" w:hAnsi="Arial" w:cs="Arial"/>
          <w:b/>
          <w:i/>
        </w:rPr>
      </w:pPr>
      <w:r w:rsidRPr="004E19D5">
        <w:rPr>
          <w:rFonts w:ascii="Arial" w:hAnsi="Arial" w:cs="Arial"/>
          <w:b/>
          <w:i/>
        </w:rPr>
        <w:t>Oficina del Alto Comisionado de las Naciones Unidas</w:t>
      </w:r>
    </w:p>
    <w:p w:rsidR="008368ED" w:rsidRPr="004E19D5" w:rsidRDefault="008368ED" w:rsidP="008368ED">
      <w:pPr>
        <w:ind w:left="-425"/>
        <w:jc w:val="both"/>
        <w:rPr>
          <w:rFonts w:ascii="Arial" w:hAnsi="Arial" w:cs="Arial"/>
          <w:b/>
          <w:i/>
        </w:rPr>
      </w:pPr>
      <w:r w:rsidRPr="004E19D5">
        <w:rPr>
          <w:rFonts w:ascii="Arial" w:hAnsi="Arial" w:cs="Arial"/>
          <w:b/>
          <w:i/>
        </w:rPr>
        <w:t>para los Derechos Humanos</w:t>
      </w:r>
    </w:p>
    <w:p w:rsidR="008368ED" w:rsidRPr="00D62FF5" w:rsidRDefault="008368ED" w:rsidP="008368ED">
      <w:pPr>
        <w:spacing w:line="360" w:lineRule="auto"/>
        <w:ind w:left="-426"/>
        <w:jc w:val="both"/>
        <w:rPr>
          <w:rFonts w:ascii="Arial" w:hAnsi="Arial" w:cs="Arial"/>
          <w:b/>
          <w:i/>
        </w:rPr>
      </w:pPr>
      <w:r w:rsidRPr="004E19D5">
        <w:rPr>
          <w:rFonts w:ascii="Arial" w:hAnsi="Arial" w:cs="Arial"/>
          <w:b/>
          <w:i/>
        </w:rPr>
        <w:t>Ginebra</w:t>
      </w:r>
    </w:p>
    <w:p w:rsidR="00455184" w:rsidRPr="00B83AFE" w:rsidRDefault="00D017F3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B83AFE">
        <w:rPr>
          <w:rFonts w:ascii="Arial" w:eastAsia="Calibri" w:hAnsi="Arial" w:cs="Arial"/>
        </w:rPr>
        <w:lastRenderedPageBreak/>
        <w:t>El matr</w:t>
      </w:r>
      <w:r w:rsidR="007C66C0">
        <w:rPr>
          <w:rFonts w:ascii="Arial" w:eastAsia="Calibri" w:hAnsi="Arial" w:cs="Arial"/>
        </w:rPr>
        <w:t>imonio como institución en Cuba</w:t>
      </w:r>
      <w:r w:rsidRPr="00B83AFE">
        <w:rPr>
          <w:rFonts w:ascii="Arial" w:eastAsia="Calibri" w:hAnsi="Arial" w:cs="Arial"/>
        </w:rPr>
        <w:t xml:space="preserve"> se rige por las disposiciones establecidas en la Ley No.1289 del 14 de febrero de 1975 “Código de Familia”.</w:t>
      </w:r>
      <w:r w:rsidR="00C20D91">
        <w:rPr>
          <w:rFonts w:ascii="Arial" w:eastAsia="Calibri" w:hAnsi="Arial" w:cs="Arial"/>
        </w:rPr>
        <w:t xml:space="preserve"> </w:t>
      </w:r>
      <w:r w:rsidRPr="00B83AFE">
        <w:rPr>
          <w:rFonts w:ascii="Arial" w:eastAsia="Calibri" w:hAnsi="Arial" w:cs="Arial"/>
        </w:rPr>
        <w:t>En virtud de esta Ley están autorizados para contraer matrimonio las personas mayores de 18 años de edad</w:t>
      </w:r>
      <w:r w:rsidR="00455184" w:rsidRPr="00B83AFE">
        <w:rPr>
          <w:rFonts w:ascii="Arial" w:eastAsia="Calibri" w:hAnsi="Arial" w:cs="Arial"/>
        </w:rPr>
        <w:t>.</w:t>
      </w:r>
    </w:p>
    <w:p w:rsidR="002D3BEC" w:rsidRDefault="00455184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B83AFE">
        <w:rPr>
          <w:rFonts w:ascii="Arial" w:eastAsia="Calibri" w:hAnsi="Arial" w:cs="Arial"/>
        </w:rPr>
        <w:t>El</w:t>
      </w:r>
      <w:r w:rsidR="00D017F3" w:rsidRPr="00B83AFE">
        <w:rPr>
          <w:rFonts w:ascii="Arial" w:eastAsia="Calibri" w:hAnsi="Arial" w:cs="Arial"/>
        </w:rPr>
        <w:t xml:space="preserve"> propio </w:t>
      </w:r>
      <w:r w:rsidR="005857B5">
        <w:rPr>
          <w:rFonts w:ascii="Arial" w:eastAsia="Calibri" w:hAnsi="Arial" w:cs="Arial"/>
        </w:rPr>
        <w:t>Código establece que</w:t>
      </w:r>
      <w:r w:rsidR="00D017F3" w:rsidRPr="00B83AFE">
        <w:rPr>
          <w:rFonts w:ascii="Arial" w:eastAsia="Calibri" w:hAnsi="Arial" w:cs="Arial"/>
        </w:rPr>
        <w:t xml:space="preserve"> de manera excepcional </w:t>
      </w:r>
      <w:r w:rsidR="005857B5">
        <w:rPr>
          <w:rFonts w:ascii="Arial" w:eastAsia="Calibri" w:hAnsi="Arial" w:cs="Arial"/>
        </w:rPr>
        <w:t>y por causas justificadas</w:t>
      </w:r>
      <w:r w:rsidR="002D3BEC">
        <w:rPr>
          <w:rFonts w:ascii="Arial" w:eastAsia="Calibri" w:hAnsi="Arial" w:cs="Arial"/>
        </w:rPr>
        <w:t>,</w:t>
      </w:r>
      <w:r w:rsidR="005857B5">
        <w:rPr>
          <w:rFonts w:ascii="Arial" w:eastAsia="Calibri" w:hAnsi="Arial" w:cs="Arial"/>
        </w:rPr>
        <w:t xml:space="preserve"> </w:t>
      </w:r>
      <w:r w:rsidR="002D3BEC" w:rsidRPr="002D3BEC">
        <w:rPr>
          <w:rFonts w:ascii="Arial" w:eastAsia="Calibri" w:hAnsi="Arial" w:cs="Arial"/>
        </w:rPr>
        <w:t xml:space="preserve">podrá otorgarse a los menores de 18 años la autorización para formalizar el matrimonio siempre que la </w:t>
      </w:r>
      <w:r w:rsidR="002D3BEC">
        <w:rPr>
          <w:rFonts w:ascii="Arial" w:eastAsia="Calibri" w:hAnsi="Arial" w:cs="Arial"/>
        </w:rPr>
        <w:t>niña tenga por lo menos</w:t>
      </w:r>
      <w:r w:rsidR="002D3BEC" w:rsidRPr="002D3BEC">
        <w:rPr>
          <w:rFonts w:ascii="Arial" w:eastAsia="Calibri" w:hAnsi="Arial" w:cs="Arial"/>
        </w:rPr>
        <w:t xml:space="preserve"> 14 años cumplidos y el </w:t>
      </w:r>
      <w:r w:rsidR="002D3BEC">
        <w:rPr>
          <w:rFonts w:ascii="Arial" w:eastAsia="Calibri" w:hAnsi="Arial" w:cs="Arial"/>
        </w:rPr>
        <w:t>niño</w:t>
      </w:r>
      <w:r w:rsidR="002D3BEC" w:rsidRPr="002D3BEC">
        <w:rPr>
          <w:rFonts w:ascii="Arial" w:eastAsia="Calibri" w:hAnsi="Arial" w:cs="Arial"/>
        </w:rPr>
        <w:t xml:space="preserve"> 16 años, también cumplidos.</w:t>
      </w:r>
    </w:p>
    <w:p w:rsidR="00D017F3" w:rsidRDefault="002D3BEC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Dicha</w:t>
      </w:r>
      <w:r w:rsidR="00D017F3" w:rsidRPr="00B83AFE">
        <w:rPr>
          <w:rFonts w:ascii="Arial" w:eastAsia="Calibri" w:hAnsi="Arial" w:cs="Arial"/>
        </w:rPr>
        <w:t xml:space="preserve"> autorización </w:t>
      </w:r>
      <w:r>
        <w:rPr>
          <w:rFonts w:ascii="Arial" w:eastAsia="Calibri" w:hAnsi="Arial" w:cs="Arial"/>
        </w:rPr>
        <w:t xml:space="preserve">deben otorgarla los padres </w:t>
      </w:r>
      <w:r w:rsidRPr="002D3BEC">
        <w:rPr>
          <w:rFonts w:ascii="Arial" w:eastAsia="Calibri" w:hAnsi="Arial" w:cs="Arial"/>
        </w:rPr>
        <w:t>conjuntamente, o uno de ellos si el otro hubiere fallecido o estuviere privado de la patria potestad</w:t>
      </w:r>
      <w:r>
        <w:rPr>
          <w:rFonts w:ascii="Arial" w:eastAsia="Calibri" w:hAnsi="Arial" w:cs="Arial"/>
        </w:rPr>
        <w:t xml:space="preserve">. En </w:t>
      </w:r>
      <w:r w:rsidR="00455184" w:rsidRPr="00B83AFE">
        <w:rPr>
          <w:rFonts w:ascii="Arial" w:eastAsia="Calibri" w:hAnsi="Arial" w:cs="Arial"/>
        </w:rPr>
        <w:t xml:space="preserve">ausencia de </w:t>
      </w:r>
      <w:r w:rsidR="00D017F3" w:rsidRPr="00B83AFE">
        <w:rPr>
          <w:rFonts w:ascii="Arial" w:eastAsia="Calibri" w:hAnsi="Arial" w:cs="Arial"/>
        </w:rPr>
        <w:t>estos</w:t>
      </w:r>
      <w:r w:rsidR="00455184" w:rsidRPr="00B83AFE">
        <w:rPr>
          <w:rFonts w:ascii="Arial" w:eastAsia="Calibri" w:hAnsi="Arial" w:cs="Arial"/>
        </w:rPr>
        <w:t>,</w:t>
      </w:r>
      <w:r w:rsidR="00D017F3" w:rsidRPr="00B83AF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pueden otorgarla </w:t>
      </w:r>
      <w:r w:rsidR="00D017F3" w:rsidRPr="00B83AFE">
        <w:rPr>
          <w:rFonts w:ascii="Arial" w:eastAsia="Calibri" w:hAnsi="Arial" w:cs="Arial"/>
        </w:rPr>
        <w:t>la</w:t>
      </w:r>
      <w:r>
        <w:rPr>
          <w:rFonts w:ascii="Arial" w:eastAsia="Calibri" w:hAnsi="Arial" w:cs="Arial"/>
        </w:rPr>
        <w:t xml:space="preserve">s personas que establece la ley. Se otorga </w:t>
      </w:r>
      <w:r w:rsidR="00D017F3" w:rsidRPr="00B83AFE">
        <w:rPr>
          <w:rFonts w:ascii="Arial" w:eastAsia="Calibri" w:hAnsi="Arial" w:cs="Arial"/>
        </w:rPr>
        <w:t xml:space="preserve">ante </w:t>
      </w:r>
      <w:r w:rsidR="00455184" w:rsidRPr="00B83AFE">
        <w:rPr>
          <w:rFonts w:ascii="Arial" w:eastAsia="Calibri" w:hAnsi="Arial" w:cs="Arial"/>
        </w:rPr>
        <w:t xml:space="preserve">un </w:t>
      </w:r>
      <w:r w:rsidR="00D017F3" w:rsidRPr="00B83AFE">
        <w:rPr>
          <w:rFonts w:ascii="Arial" w:eastAsia="Calibri" w:hAnsi="Arial" w:cs="Arial"/>
        </w:rPr>
        <w:t>notario público, mediante escritura de consentimiento,</w:t>
      </w:r>
      <w:r>
        <w:rPr>
          <w:rFonts w:ascii="Arial" w:eastAsia="Calibri" w:hAnsi="Arial" w:cs="Arial"/>
        </w:rPr>
        <w:t xml:space="preserve"> </w:t>
      </w:r>
      <w:r w:rsidR="00D017F3" w:rsidRPr="00B83AFE">
        <w:rPr>
          <w:rFonts w:ascii="Arial" w:eastAsia="Calibri" w:hAnsi="Arial" w:cs="Arial"/>
        </w:rPr>
        <w:t xml:space="preserve">según </w:t>
      </w:r>
      <w:r w:rsidR="007C66C0">
        <w:rPr>
          <w:rFonts w:ascii="Arial" w:eastAsia="Calibri" w:hAnsi="Arial" w:cs="Arial"/>
        </w:rPr>
        <w:t>establecen</w:t>
      </w:r>
      <w:r w:rsidR="00D017F3" w:rsidRPr="00B83AFE">
        <w:rPr>
          <w:rFonts w:ascii="Arial" w:eastAsia="Calibri" w:hAnsi="Arial" w:cs="Arial"/>
        </w:rPr>
        <w:t xml:space="preserve"> </w:t>
      </w:r>
      <w:r w:rsidR="007C66C0">
        <w:rPr>
          <w:rFonts w:ascii="Arial" w:eastAsia="Calibri" w:hAnsi="Arial" w:cs="Arial"/>
        </w:rPr>
        <w:t>los a</w:t>
      </w:r>
      <w:r w:rsidR="00D017F3" w:rsidRPr="00B83AFE">
        <w:rPr>
          <w:rFonts w:ascii="Arial" w:eastAsia="Calibri" w:hAnsi="Arial" w:cs="Arial"/>
        </w:rPr>
        <w:t>rtículo</w:t>
      </w:r>
      <w:r w:rsidR="007C66C0">
        <w:rPr>
          <w:rFonts w:ascii="Arial" w:eastAsia="Calibri" w:hAnsi="Arial" w:cs="Arial"/>
        </w:rPr>
        <w:t>s</w:t>
      </w:r>
      <w:r w:rsidR="00D017F3" w:rsidRPr="00B83AFE">
        <w:rPr>
          <w:rFonts w:ascii="Arial" w:eastAsia="Calibri" w:hAnsi="Arial" w:cs="Arial"/>
        </w:rPr>
        <w:t xml:space="preserve"> 10 y 13 de la Ley No. 50 de las Notarías Estatales.</w:t>
      </w:r>
    </w:p>
    <w:p w:rsidR="007A6157" w:rsidRPr="007A6157" w:rsidRDefault="007A6157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7A6157">
        <w:rPr>
          <w:rFonts w:ascii="Arial" w:eastAsia="Calibri" w:hAnsi="Arial" w:cs="Arial"/>
        </w:rPr>
        <w:t>En caso de negar la autorización alguno de los que deben otorgarla conjuntamente con otro, los interesados en contraer matrimonio</w:t>
      </w:r>
      <w:r>
        <w:rPr>
          <w:rFonts w:ascii="Arial" w:eastAsia="Calibri" w:hAnsi="Arial" w:cs="Arial"/>
        </w:rPr>
        <w:t>,</w:t>
      </w:r>
      <w:r w:rsidRPr="007A6157">
        <w:rPr>
          <w:rFonts w:ascii="Arial" w:eastAsia="Calibri" w:hAnsi="Arial" w:cs="Arial"/>
        </w:rPr>
        <w:t xml:space="preserve"> o un hermano o hermana mayor de edad de cualquiera de los mismos</w:t>
      </w:r>
      <w:r>
        <w:rPr>
          <w:rFonts w:ascii="Arial" w:eastAsia="Calibri" w:hAnsi="Arial" w:cs="Arial"/>
        </w:rPr>
        <w:t>,</w:t>
      </w:r>
      <w:r w:rsidRPr="007A6157">
        <w:rPr>
          <w:rFonts w:ascii="Arial" w:eastAsia="Calibri" w:hAnsi="Arial" w:cs="Arial"/>
        </w:rPr>
        <w:t xml:space="preserve"> podrá instar al tribunal competente para que otorgue la autorización requerida.</w:t>
      </w:r>
    </w:p>
    <w:p w:rsidR="002D3BEC" w:rsidRPr="00B83AFE" w:rsidRDefault="007A6157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esos casos e</w:t>
      </w:r>
      <w:r w:rsidRPr="007A6157">
        <w:rPr>
          <w:rFonts w:ascii="Arial" w:eastAsia="Calibri" w:hAnsi="Arial" w:cs="Arial"/>
        </w:rPr>
        <w:t>l tribunal, en audiencia verbal, oirá el parecer de todos los interesados y del fiscal y, teniendo en cuenta el interés social y el de los contrayentes, decidirá lo que proceda.</w:t>
      </w:r>
    </w:p>
    <w:p w:rsidR="00455184" w:rsidRPr="00B83AFE" w:rsidRDefault="00D017F3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B83AFE">
        <w:rPr>
          <w:rFonts w:ascii="Arial" w:eastAsia="Calibri" w:hAnsi="Arial" w:cs="Arial"/>
        </w:rPr>
        <w:t xml:space="preserve">La tasa anual de estos matrimonios no </w:t>
      </w:r>
      <w:r w:rsidR="00455184" w:rsidRPr="00B83AFE">
        <w:rPr>
          <w:rFonts w:ascii="Arial" w:eastAsia="Calibri" w:hAnsi="Arial" w:cs="Arial"/>
        </w:rPr>
        <w:t>resulta</w:t>
      </w:r>
      <w:r w:rsidRPr="00B83AFE">
        <w:rPr>
          <w:rFonts w:ascii="Arial" w:eastAsia="Calibri" w:hAnsi="Arial" w:cs="Arial"/>
        </w:rPr>
        <w:t xml:space="preserve"> representativa</w:t>
      </w:r>
      <w:r w:rsidR="00455184" w:rsidRPr="00B83AFE">
        <w:rPr>
          <w:rFonts w:ascii="Arial" w:eastAsia="Calibri" w:hAnsi="Arial" w:cs="Arial"/>
        </w:rPr>
        <w:t xml:space="preserve"> de una tendencia de los mismos en el país. </w:t>
      </w:r>
      <w:r w:rsidR="00B8161D">
        <w:rPr>
          <w:rFonts w:ascii="Arial" w:eastAsia="Calibri" w:hAnsi="Arial" w:cs="Arial"/>
        </w:rPr>
        <w:t xml:space="preserve">El </w:t>
      </w:r>
      <w:r w:rsidR="00B8161D" w:rsidRPr="00B8161D">
        <w:rPr>
          <w:rFonts w:ascii="Arial" w:eastAsia="Calibri" w:hAnsi="Arial" w:cs="Arial"/>
        </w:rPr>
        <w:t xml:space="preserve">matrimonio de menores </w:t>
      </w:r>
      <w:r w:rsidR="00B8161D">
        <w:rPr>
          <w:rFonts w:ascii="Arial" w:eastAsia="Calibri" w:hAnsi="Arial" w:cs="Arial"/>
        </w:rPr>
        <w:t xml:space="preserve">de edad </w:t>
      </w:r>
      <w:r w:rsidR="00B8161D" w:rsidRPr="00B8161D">
        <w:rPr>
          <w:rFonts w:ascii="Arial" w:eastAsia="Calibri" w:hAnsi="Arial" w:cs="Arial"/>
        </w:rPr>
        <w:t xml:space="preserve">en Cuba no se considera una brecha para utilizar a los niños y niñas en delitos </w:t>
      </w:r>
      <w:r w:rsidR="00B8161D">
        <w:rPr>
          <w:rFonts w:ascii="Arial" w:eastAsia="Calibri" w:hAnsi="Arial" w:cs="Arial"/>
        </w:rPr>
        <w:t>como la v</w:t>
      </w:r>
      <w:r w:rsidR="00B8161D" w:rsidRPr="00B8161D">
        <w:rPr>
          <w:rFonts w:ascii="Arial" w:eastAsia="Calibri" w:hAnsi="Arial" w:cs="Arial"/>
        </w:rPr>
        <w:t xml:space="preserve">enta de </w:t>
      </w:r>
      <w:r w:rsidR="00B8161D">
        <w:rPr>
          <w:rFonts w:ascii="Arial" w:eastAsia="Calibri" w:hAnsi="Arial" w:cs="Arial"/>
        </w:rPr>
        <w:t>n</w:t>
      </w:r>
      <w:r w:rsidR="00B8161D" w:rsidRPr="00B8161D">
        <w:rPr>
          <w:rFonts w:ascii="Arial" w:eastAsia="Calibri" w:hAnsi="Arial" w:cs="Arial"/>
        </w:rPr>
        <w:t xml:space="preserve">iños, la </w:t>
      </w:r>
      <w:r w:rsidR="00B8161D">
        <w:rPr>
          <w:rFonts w:ascii="Arial" w:eastAsia="Calibri" w:hAnsi="Arial" w:cs="Arial"/>
        </w:rPr>
        <w:t>p</w:t>
      </w:r>
      <w:r w:rsidR="00B8161D" w:rsidRPr="00B8161D">
        <w:rPr>
          <w:rFonts w:ascii="Arial" w:eastAsia="Calibri" w:hAnsi="Arial" w:cs="Arial"/>
        </w:rPr>
        <w:t xml:space="preserve">rostitución </w:t>
      </w:r>
      <w:r w:rsidR="00B8161D">
        <w:rPr>
          <w:rFonts w:ascii="Arial" w:eastAsia="Calibri" w:hAnsi="Arial" w:cs="Arial"/>
        </w:rPr>
        <w:t>i</w:t>
      </w:r>
      <w:r w:rsidR="00B8161D" w:rsidRPr="00B8161D">
        <w:rPr>
          <w:rFonts w:ascii="Arial" w:eastAsia="Calibri" w:hAnsi="Arial" w:cs="Arial"/>
        </w:rPr>
        <w:t xml:space="preserve">nfantil y la </w:t>
      </w:r>
      <w:r w:rsidR="00B8161D">
        <w:rPr>
          <w:rFonts w:ascii="Arial" w:eastAsia="Calibri" w:hAnsi="Arial" w:cs="Arial"/>
        </w:rPr>
        <w:t>u</w:t>
      </w:r>
      <w:r w:rsidR="00B8161D" w:rsidRPr="00B8161D">
        <w:rPr>
          <w:rFonts w:ascii="Arial" w:eastAsia="Calibri" w:hAnsi="Arial" w:cs="Arial"/>
        </w:rPr>
        <w:t xml:space="preserve">tilización de </w:t>
      </w:r>
      <w:r w:rsidR="00B8161D">
        <w:rPr>
          <w:rFonts w:ascii="Arial" w:eastAsia="Calibri" w:hAnsi="Arial" w:cs="Arial"/>
        </w:rPr>
        <w:t>n</w:t>
      </w:r>
      <w:r w:rsidR="00B8161D" w:rsidRPr="00B8161D">
        <w:rPr>
          <w:rFonts w:ascii="Arial" w:eastAsia="Calibri" w:hAnsi="Arial" w:cs="Arial"/>
        </w:rPr>
        <w:t xml:space="preserve">iños en la </w:t>
      </w:r>
      <w:r w:rsidR="00B8161D">
        <w:rPr>
          <w:rFonts w:ascii="Arial" w:eastAsia="Calibri" w:hAnsi="Arial" w:cs="Arial"/>
        </w:rPr>
        <w:t>p</w:t>
      </w:r>
      <w:r w:rsidR="00B8161D" w:rsidRPr="00B8161D">
        <w:rPr>
          <w:rFonts w:ascii="Arial" w:eastAsia="Calibri" w:hAnsi="Arial" w:cs="Arial"/>
        </w:rPr>
        <w:t>ornografía.</w:t>
      </w:r>
    </w:p>
    <w:p w:rsidR="00455184" w:rsidRPr="00B83AFE" w:rsidRDefault="00455184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B83AFE">
        <w:rPr>
          <w:rFonts w:ascii="Arial" w:eastAsia="Calibri" w:hAnsi="Arial" w:cs="Arial"/>
        </w:rPr>
        <w:t>Valdría mencionar</w:t>
      </w:r>
      <w:r w:rsidR="00077787">
        <w:rPr>
          <w:rFonts w:ascii="Arial" w:eastAsia="Calibri" w:hAnsi="Arial" w:cs="Arial"/>
        </w:rPr>
        <w:t>,</w:t>
      </w:r>
      <w:r w:rsidRPr="00B83AFE">
        <w:rPr>
          <w:rFonts w:ascii="Arial" w:eastAsia="Calibri" w:hAnsi="Arial" w:cs="Arial"/>
        </w:rPr>
        <w:t xml:space="preserve"> </w:t>
      </w:r>
      <w:r w:rsidR="00077787">
        <w:rPr>
          <w:rFonts w:ascii="Arial" w:eastAsia="Calibri" w:hAnsi="Arial" w:cs="Arial"/>
        </w:rPr>
        <w:t>a modo de</w:t>
      </w:r>
      <w:r w:rsidRPr="00B83AFE">
        <w:rPr>
          <w:rFonts w:ascii="Arial" w:eastAsia="Calibri" w:hAnsi="Arial" w:cs="Arial"/>
        </w:rPr>
        <w:t xml:space="preserve"> ejemplo</w:t>
      </w:r>
      <w:r w:rsidR="00077787">
        <w:rPr>
          <w:rFonts w:ascii="Arial" w:eastAsia="Calibri" w:hAnsi="Arial" w:cs="Arial"/>
        </w:rPr>
        <w:t>,</w:t>
      </w:r>
      <w:r w:rsidRPr="00B83AFE">
        <w:rPr>
          <w:rFonts w:ascii="Arial" w:eastAsia="Calibri" w:hAnsi="Arial" w:cs="Arial"/>
        </w:rPr>
        <w:t xml:space="preserve"> que en el año 2012</w:t>
      </w:r>
      <w:r w:rsidR="00934935" w:rsidRPr="00B83AFE">
        <w:rPr>
          <w:rFonts w:ascii="Arial" w:eastAsia="Calibri" w:hAnsi="Arial" w:cs="Arial"/>
        </w:rPr>
        <w:t xml:space="preserve"> </w:t>
      </w:r>
      <w:r w:rsidR="00077787">
        <w:rPr>
          <w:rFonts w:ascii="Arial" w:eastAsia="Calibri" w:hAnsi="Arial" w:cs="Arial"/>
        </w:rPr>
        <w:t>se realizaron 3940 matrimonios. S</w:t>
      </w:r>
      <w:r w:rsidR="00934935" w:rsidRPr="00B83AFE">
        <w:rPr>
          <w:rFonts w:ascii="Arial" w:eastAsia="Calibri" w:hAnsi="Arial" w:cs="Arial"/>
        </w:rPr>
        <w:t xml:space="preserve">olo en 18 </w:t>
      </w:r>
      <w:r w:rsidR="00B8161D">
        <w:rPr>
          <w:rFonts w:ascii="Arial" w:eastAsia="Calibri" w:hAnsi="Arial" w:cs="Arial"/>
        </w:rPr>
        <w:t xml:space="preserve">de ellos </w:t>
      </w:r>
      <w:r w:rsidR="00934935" w:rsidRPr="00B83AFE">
        <w:rPr>
          <w:rFonts w:ascii="Arial" w:eastAsia="Calibri" w:hAnsi="Arial" w:cs="Arial"/>
        </w:rPr>
        <w:t>(el 0,4%) intervinieron niñas entre 14 y 17 años</w:t>
      </w:r>
      <w:r w:rsidR="00983E84" w:rsidRPr="00B83AFE">
        <w:rPr>
          <w:rFonts w:ascii="Arial" w:eastAsia="Calibri" w:hAnsi="Arial" w:cs="Arial"/>
        </w:rPr>
        <w:t>.</w:t>
      </w:r>
    </w:p>
    <w:p w:rsidR="00077787" w:rsidRPr="00B83AFE" w:rsidRDefault="00077787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B83AFE">
        <w:rPr>
          <w:rFonts w:ascii="Arial" w:eastAsia="Calibri" w:hAnsi="Arial" w:cs="Arial"/>
        </w:rPr>
        <w:t>Con posterioridad se ha venido registrando una tendencia decreciente de casos de matrimonios de niñas o niños menores de edad.</w:t>
      </w:r>
    </w:p>
    <w:p w:rsidR="003C4CE9" w:rsidRPr="00B83AFE" w:rsidRDefault="003C4CE9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B83AFE">
        <w:rPr>
          <w:rFonts w:ascii="Arial" w:eastAsia="Calibri" w:hAnsi="Arial" w:cs="Arial"/>
        </w:rPr>
        <w:lastRenderedPageBreak/>
        <w:t xml:space="preserve">En </w:t>
      </w:r>
      <w:r w:rsidR="00B8161D">
        <w:rPr>
          <w:rFonts w:ascii="Arial" w:eastAsia="Calibri" w:hAnsi="Arial" w:cs="Arial"/>
        </w:rPr>
        <w:t>el año 2014 de 3871 matrimonios</w:t>
      </w:r>
      <w:r w:rsidRPr="00B83AFE">
        <w:rPr>
          <w:rFonts w:ascii="Arial" w:eastAsia="Calibri" w:hAnsi="Arial" w:cs="Arial"/>
        </w:rPr>
        <w:t>, no se reportó ninguno de</w:t>
      </w:r>
      <w:r w:rsidR="00077787">
        <w:rPr>
          <w:rFonts w:ascii="Arial" w:eastAsia="Calibri" w:hAnsi="Arial" w:cs="Arial"/>
        </w:rPr>
        <w:t xml:space="preserve"> niñas o niños menores de edad.</w:t>
      </w:r>
    </w:p>
    <w:p w:rsidR="007732FC" w:rsidRPr="008368ED" w:rsidRDefault="0036589D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 xml:space="preserve">Tomando en consideración las recomendaciones formuladas por el Comité de los Derechos del Niño y del Comité para la Eliminación de Todas las formas de Discriminación contra la Mujer se ha trabajado por elevar la edad </w:t>
      </w:r>
      <w:r w:rsidR="00D017F3" w:rsidRPr="008368ED">
        <w:rPr>
          <w:rFonts w:ascii="Arial" w:eastAsia="Calibri" w:hAnsi="Arial" w:cs="Arial"/>
        </w:rPr>
        <w:t xml:space="preserve">de las niñas como mínimo hasta los 16 años de edad para </w:t>
      </w:r>
      <w:r w:rsidRPr="008368ED">
        <w:rPr>
          <w:rFonts w:ascii="Arial" w:eastAsia="Calibri" w:hAnsi="Arial" w:cs="Arial"/>
        </w:rPr>
        <w:t>equiparar</w:t>
      </w:r>
      <w:r w:rsidR="00D017F3" w:rsidRPr="008368ED">
        <w:rPr>
          <w:rFonts w:ascii="Arial" w:eastAsia="Calibri" w:hAnsi="Arial" w:cs="Arial"/>
        </w:rPr>
        <w:t xml:space="preserve"> la edad en ambos sexos, en el caso de la autorización excepcional por causas justificadas.</w:t>
      </w:r>
    </w:p>
    <w:p w:rsidR="007732FC" w:rsidRPr="008368ED" w:rsidRDefault="0036589D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>Asimismo, la</w:t>
      </w:r>
      <w:r w:rsidR="00D017F3" w:rsidRPr="008368ED">
        <w:rPr>
          <w:rFonts w:ascii="Arial" w:eastAsia="Calibri" w:hAnsi="Arial" w:cs="Arial"/>
        </w:rPr>
        <w:t xml:space="preserve"> Comisión Permanente de “Atención a la Juventud, la Niñez y la Igualdad de Derechos de la Mujer” de la Asamblea Nacional del Poder Popular (Parlamento)</w:t>
      </w:r>
      <w:r w:rsidRPr="008368ED">
        <w:rPr>
          <w:rFonts w:ascii="Arial" w:eastAsia="Calibri" w:hAnsi="Arial" w:cs="Arial"/>
        </w:rPr>
        <w:t xml:space="preserve"> que posee plena autoridad y capacidad para monitorear y coordinar las acciones entre las autoridades nacionales y locales (provincias y municipios),</w:t>
      </w:r>
      <w:r w:rsidR="00D017F3" w:rsidRPr="008368ED">
        <w:rPr>
          <w:rFonts w:ascii="Arial" w:eastAsia="Calibri" w:hAnsi="Arial" w:cs="Arial"/>
        </w:rPr>
        <w:t xml:space="preserve"> desempeña valiosas funciones de asesoramiento, evaluación, investigación, control y otras, encaminadas a prever y proteger los derechos de niñas, </w:t>
      </w:r>
      <w:r w:rsidR="008368ED">
        <w:rPr>
          <w:rFonts w:ascii="Arial" w:eastAsia="Calibri" w:hAnsi="Arial" w:cs="Arial"/>
        </w:rPr>
        <w:t xml:space="preserve">niños, adolescentes, jóvenes y </w:t>
      </w:r>
      <w:r w:rsidR="00D017F3" w:rsidRPr="008368ED">
        <w:rPr>
          <w:rFonts w:ascii="Arial" w:eastAsia="Calibri" w:hAnsi="Arial" w:cs="Arial"/>
        </w:rPr>
        <w:t>mujeres</w:t>
      </w:r>
      <w:r w:rsidRPr="008368ED">
        <w:rPr>
          <w:rFonts w:ascii="Arial" w:eastAsia="Calibri" w:hAnsi="Arial" w:cs="Arial"/>
        </w:rPr>
        <w:t>.</w:t>
      </w:r>
    </w:p>
    <w:p w:rsidR="007732FC" w:rsidRPr="008368ED" w:rsidRDefault="00D017F3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>Dicha Comisión goza de iniciativa legislativa (</w:t>
      </w:r>
      <w:r w:rsidR="0036589D" w:rsidRPr="008368ED">
        <w:rPr>
          <w:rFonts w:ascii="Arial" w:eastAsia="Calibri" w:hAnsi="Arial" w:cs="Arial"/>
        </w:rPr>
        <w:t xml:space="preserve">establecida según el </w:t>
      </w:r>
      <w:r w:rsidRPr="008368ED">
        <w:rPr>
          <w:rFonts w:ascii="Arial" w:eastAsia="Calibri" w:hAnsi="Arial" w:cs="Arial"/>
        </w:rPr>
        <w:t xml:space="preserve">artículo 88 de la Constitución) y, por su conducto, se han estudiado y propuesto diversas leyes y disposiciones jurídicas, y se han propiciado medidas para garantizar su eficacia, en los temas de infancia y mujer. </w:t>
      </w:r>
    </w:p>
    <w:p w:rsidR="007A018C" w:rsidRPr="008368ED" w:rsidRDefault="00D017F3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>En todos los períodos ordinarios de sesiones de la Asamblea, la Comisión dedica sus labores a discutir informes relacionados con el cumplimiento de las prioridades que tiene el Estado en materia de infancia. Además, en ella los Ministerios rinden cuenta a los Diputados de las acciones acometidas, debaten y se toman acuerdos que pueden implicar y desplegar investigaciones a nivel municipal</w:t>
      </w:r>
      <w:r w:rsidR="00057DA9">
        <w:rPr>
          <w:rFonts w:ascii="Arial" w:eastAsia="Calibri" w:hAnsi="Arial" w:cs="Arial"/>
        </w:rPr>
        <w:t xml:space="preserve"> y</w:t>
      </w:r>
      <w:r w:rsidRPr="008368ED">
        <w:rPr>
          <w:rFonts w:ascii="Arial" w:eastAsia="Calibri" w:hAnsi="Arial" w:cs="Arial"/>
        </w:rPr>
        <w:t xml:space="preserve"> provincial. </w:t>
      </w:r>
    </w:p>
    <w:p w:rsidR="007A018C" w:rsidRPr="008368ED" w:rsidRDefault="007A018C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 xml:space="preserve">Los </w:t>
      </w:r>
      <w:r w:rsidR="007E7D78" w:rsidRPr="008368ED">
        <w:rPr>
          <w:rFonts w:ascii="Arial" w:eastAsia="Calibri" w:hAnsi="Arial" w:cs="Arial"/>
        </w:rPr>
        <w:t>artículos del Código de Familia cubano</w:t>
      </w:r>
      <w:r w:rsidRPr="008368ED">
        <w:rPr>
          <w:rFonts w:ascii="Arial" w:eastAsia="Calibri" w:hAnsi="Arial" w:cs="Arial"/>
        </w:rPr>
        <w:t xml:space="preserve"> tienen un marcado enfoque de género y sus claras concepciones se dirigen a transformar la</w:t>
      </w:r>
      <w:r w:rsidR="007E7D78" w:rsidRPr="008368ED">
        <w:rPr>
          <w:rFonts w:ascii="Arial" w:eastAsia="Calibri" w:hAnsi="Arial" w:cs="Arial"/>
        </w:rPr>
        <w:t xml:space="preserve">s manifestaciones de </w:t>
      </w:r>
      <w:r w:rsidRPr="008368ED">
        <w:rPr>
          <w:rFonts w:ascii="Arial" w:eastAsia="Calibri" w:hAnsi="Arial" w:cs="Arial"/>
        </w:rPr>
        <w:t xml:space="preserve">división sexual del trabajo que </w:t>
      </w:r>
      <w:r w:rsidR="007E7D78" w:rsidRPr="008368ED">
        <w:rPr>
          <w:rFonts w:ascii="Arial" w:eastAsia="Calibri" w:hAnsi="Arial" w:cs="Arial"/>
        </w:rPr>
        <w:t xml:space="preserve">puedan presentarse en </w:t>
      </w:r>
      <w:r w:rsidRPr="008368ED">
        <w:rPr>
          <w:rFonts w:ascii="Arial" w:eastAsia="Calibri" w:hAnsi="Arial" w:cs="Arial"/>
        </w:rPr>
        <w:t>los hogares cubanos. Este instrumento legal contribuye a elevar las relaciones armónicas e integrales de amor, solidaridad, respeto y comprensión de la pareja y en la familia, que ante las actuales condiciones del desarrollo económico y social, está en proceso de oportuna act</w:t>
      </w:r>
      <w:r w:rsidR="007E7D78" w:rsidRPr="008368ED">
        <w:rPr>
          <w:rFonts w:ascii="Arial" w:eastAsia="Calibri" w:hAnsi="Arial" w:cs="Arial"/>
        </w:rPr>
        <w:t xml:space="preserve">ualización y </w:t>
      </w:r>
      <w:r w:rsidR="007E7D78" w:rsidRPr="008368ED">
        <w:rPr>
          <w:rFonts w:ascii="Arial" w:eastAsia="Calibri" w:hAnsi="Arial" w:cs="Arial"/>
        </w:rPr>
        <w:lastRenderedPageBreak/>
        <w:t>perfeccionamiento. A</w:t>
      </w:r>
      <w:r w:rsidRPr="008368ED">
        <w:rPr>
          <w:rFonts w:ascii="Arial" w:eastAsia="Calibri" w:hAnsi="Arial" w:cs="Arial"/>
        </w:rPr>
        <w:t>unque se mantiene el ordenamiento y los principios que sustentaron su promulgación, se ha propuesto incorporar modificaciones que el desarrollo de nuestra sociedad y las experiencias obtenidas aconsejan.</w:t>
      </w:r>
    </w:p>
    <w:p w:rsidR="00EB231D" w:rsidRPr="008368ED" w:rsidRDefault="003C3697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>Cabe mencionar que</w:t>
      </w:r>
      <w:r w:rsidR="00EB231D" w:rsidRPr="008368ED">
        <w:rPr>
          <w:rFonts w:ascii="Arial" w:eastAsia="Calibri" w:hAnsi="Arial" w:cs="Arial"/>
        </w:rPr>
        <w:t xml:space="preserve"> el informe "Hasta la última niña: libres para vivir, libres para aprender y libres de peligro", de la organización internacional </w:t>
      </w:r>
      <w:proofErr w:type="spellStart"/>
      <w:r w:rsidR="00EB231D" w:rsidRPr="008368ED">
        <w:rPr>
          <w:rFonts w:ascii="Arial" w:eastAsia="Calibri" w:hAnsi="Arial" w:cs="Arial"/>
        </w:rPr>
        <w:t>Save</w:t>
      </w:r>
      <w:proofErr w:type="spellEnd"/>
      <w:r w:rsidR="00EB231D" w:rsidRPr="008368ED">
        <w:rPr>
          <w:rFonts w:ascii="Arial" w:eastAsia="Calibri" w:hAnsi="Arial" w:cs="Arial"/>
        </w:rPr>
        <w:t xml:space="preserve"> </w:t>
      </w:r>
      <w:proofErr w:type="spellStart"/>
      <w:r w:rsidR="00EB231D" w:rsidRPr="008368ED">
        <w:rPr>
          <w:rFonts w:ascii="Arial" w:eastAsia="Calibri" w:hAnsi="Arial" w:cs="Arial"/>
        </w:rPr>
        <w:t>The</w:t>
      </w:r>
      <w:proofErr w:type="spellEnd"/>
      <w:r w:rsidR="00EB231D" w:rsidRPr="008368ED">
        <w:rPr>
          <w:rFonts w:ascii="Arial" w:eastAsia="Calibri" w:hAnsi="Arial" w:cs="Arial"/>
        </w:rPr>
        <w:t xml:space="preserve"> </w:t>
      </w:r>
      <w:proofErr w:type="spellStart"/>
      <w:r w:rsidR="00EB231D" w:rsidRPr="008368ED">
        <w:rPr>
          <w:rFonts w:ascii="Arial" w:eastAsia="Calibri" w:hAnsi="Arial" w:cs="Arial"/>
        </w:rPr>
        <w:t>Children</w:t>
      </w:r>
      <w:proofErr w:type="spellEnd"/>
      <w:r w:rsidR="00EB231D" w:rsidRPr="008368ED">
        <w:rPr>
          <w:rFonts w:ascii="Arial" w:eastAsia="Calibri" w:hAnsi="Arial" w:cs="Arial"/>
        </w:rPr>
        <w:t>, catalogó a Cuba como el país de Latinoamérica con mejores oportunidades para el desarrollo de las niñas y las adolescentes</w:t>
      </w:r>
      <w:r w:rsidRPr="008368ED">
        <w:rPr>
          <w:rFonts w:ascii="Arial" w:eastAsia="Calibri" w:hAnsi="Arial" w:cs="Arial"/>
        </w:rPr>
        <w:t>.</w:t>
      </w:r>
    </w:p>
    <w:p w:rsidR="00103AEC" w:rsidRDefault="006D3434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  <w:r w:rsidRPr="008368ED">
        <w:rPr>
          <w:rFonts w:ascii="Arial" w:eastAsia="Calibri" w:hAnsi="Arial" w:cs="Arial"/>
        </w:rPr>
        <w:t xml:space="preserve"> </w:t>
      </w:r>
      <w:r w:rsidR="007D23A9" w:rsidRPr="008368ED">
        <w:rPr>
          <w:rFonts w:ascii="Arial" w:eastAsia="Calibri" w:hAnsi="Arial" w:cs="Arial"/>
        </w:rPr>
        <w:t>La Misión Permanente de la República de Cuba ante la Oficina de las Naciones Unidas en Ginebra y los Organismos Internacionales con sede en Suiza</w:t>
      </w:r>
      <w:r w:rsidR="00103AEC" w:rsidRPr="008368ED">
        <w:rPr>
          <w:rFonts w:ascii="Arial" w:eastAsia="Calibri" w:hAnsi="Arial" w:cs="Arial"/>
        </w:rPr>
        <w:t>, aprovecha la ocasión para reiterar a</w:t>
      </w:r>
      <w:r w:rsidR="007D23A9" w:rsidRPr="008368ED">
        <w:rPr>
          <w:rFonts w:ascii="Arial" w:eastAsia="Calibri" w:hAnsi="Arial" w:cs="Arial"/>
        </w:rPr>
        <w:t xml:space="preserve"> la Oficina del Alto Comisionado de las Naciones Unidas para los Derechos Humanos</w:t>
      </w:r>
      <w:r w:rsidR="00103AEC" w:rsidRPr="008368ED">
        <w:rPr>
          <w:rFonts w:ascii="Arial" w:eastAsia="Calibri" w:hAnsi="Arial" w:cs="Arial"/>
        </w:rPr>
        <w:t>, el testimonio de su consideración.</w:t>
      </w:r>
    </w:p>
    <w:p w:rsidR="005A70C0" w:rsidRPr="008368ED" w:rsidRDefault="005A70C0" w:rsidP="008368ED">
      <w:pPr>
        <w:spacing w:before="240" w:after="240" w:line="360" w:lineRule="auto"/>
        <w:ind w:firstLine="709"/>
        <w:jc w:val="both"/>
        <w:rPr>
          <w:rFonts w:ascii="Arial" w:eastAsia="Calibri" w:hAnsi="Arial" w:cs="Arial"/>
        </w:rPr>
      </w:pPr>
    </w:p>
    <w:p w:rsidR="00610760" w:rsidRPr="00B83AFE" w:rsidRDefault="007D23A9" w:rsidP="008368ED">
      <w:pPr>
        <w:spacing w:after="200"/>
        <w:jc w:val="right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Ginebra, </w:t>
      </w:r>
      <w:r w:rsidR="00AD48F0">
        <w:rPr>
          <w:rFonts w:ascii="Arial" w:eastAsia="Calibri" w:hAnsi="Arial" w:cs="Arial"/>
          <w:lang w:eastAsia="en-US"/>
        </w:rPr>
        <w:t>31</w:t>
      </w:r>
      <w:r>
        <w:rPr>
          <w:rFonts w:ascii="Arial" w:eastAsia="Calibri" w:hAnsi="Arial" w:cs="Arial"/>
          <w:lang w:eastAsia="en-US"/>
        </w:rPr>
        <w:t xml:space="preserve"> de octubre de </w:t>
      </w:r>
      <w:r w:rsidR="008368ED">
        <w:rPr>
          <w:rFonts w:ascii="Arial" w:eastAsia="Calibri" w:hAnsi="Arial" w:cs="Arial"/>
          <w:lang w:eastAsia="en-US"/>
        </w:rPr>
        <w:t>2017</w:t>
      </w:r>
    </w:p>
    <w:sectPr w:rsidR="00610760" w:rsidRPr="00B83AFE" w:rsidSect="00D70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85D"/>
    <w:multiLevelType w:val="hybridMultilevel"/>
    <w:tmpl w:val="4C303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11B8"/>
    <w:multiLevelType w:val="hybridMultilevel"/>
    <w:tmpl w:val="2086FC9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F4CEC10">
      <w:numFmt w:val="bullet"/>
      <w:lvlText w:val="-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5BD53D9B"/>
    <w:multiLevelType w:val="hybridMultilevel"/>
    <w:tmpl w:val="2D7EA308"/>
    <w:lvl w:ilvl="0" w:tplc="D74C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6A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0E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63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4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2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9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554FAF"/>
    <w:multiLevelType w:val="hybridMultilevel"/>
    <w:tmpl w:val="7B4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2"/>
    <w:rsid w:val="000116E2"/>
    <w:rsid w:val="00057DA9"/>
    <w:rsid w:val="00077787"/>
    <w:rsid w:val="00103AEC"/>
    <w:rsid w:val="001203CC"/>
    <w:rsid w:val="00121CE7"/>
    <w:rsid w:val="00123464"/>
    <w:rsid w:val="0029739D"/>
    <w:rsid w:val="002D3BEC"/>
    <w:rsid w:val="00362D28"/>
    <w:rsid w:val="0036589D"/>
    <w:rsid w:val="003C3697"/>
    <w:rsid w:val="003C4CE9"/>
    <w:rsid w:val="00455184"/>
    <w:rsid w:val="004C281F"/>
    <w:rsid w:val="005857B5"/>
    <w:rsid w:val="005908D4"/>
    <w:rsid w:val="005A70C0"/>
    <w:rsid w:val="005D7381"/>
    <w:rsid w:val="00606607"/>
    <w:rsid w:val="00610760"/>
    <w:rsid w:val="00666B08"/>
    <w:rsid w:val="006A72C9"/>
    <w:rsid w:val="006D3434"/>
    <w:rsid w:val="007732FC"/>
    <w:rsid w:val="007A018C"/>
    <w:rsid w:val="007A6157"/>
    <w:rsid w:val="007C66C0"/>
    <w:rsid w:val="007D23A9"/>
    <w:rsid w:val="007E7D78"/>
    <w:rsid w:val="00812BAF"/>
    <w:rsid w:val="008368ED"/>
    <w:rsid w:val="008F3381"/>
    <w:rsid w:val="00934935"/>
    <w:rsid w:val="00983E84"/>
    <w:rsid w:val="009973F8"/>
    <w:rsid w:val="009C691B"/>
    <w:rsid w:val="00A97018"/>
    <w:rsid w:val="00AD48F0"/>
    <w:rsid w:val="00B632C6"/>
    <w:rsid w:val="00B8161D"/>
    <w:rsid w:val="00B83AFE"/>
    <w:rsid w:val="00C20D91"/>
    <w:rsid w:val="00C973EF"/>
    <w:rsid w:val="00D017F3"/>
    <w:rsid w:val="00D33C98"/>
    <w:rsid w:val="00D704C8"/>
    <w:rsid w:val="00DA7957"/>
    <w:rsid w:val="00E72B07"/>
    <w:rsid w:val="00EB231D"/>
    <w:rsid w:val="00EB2BD1"/>
    <w:rsid w:val="00F26F72"/>
    <w:rsid w:val="00F97E76"/>
    <w:rsid w:val="00FA377D"/>
    <w:rsid w:val="00FB7516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D1848-064D-4C56-8A23-05F2F1C9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0116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0116E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D2384-1D10-40E9-A1A8-C3681FB922B8}"/>
</file>

<file path=customXml/itemProps2.xml><?xml version="1.0" encoding="utf-8"?>
<ds:datastoreItem xmlns:ds="http://schemas.openxmlformats.org/officeDocument/2006/customXml" ds:itemID="{C9098641-EFD3-4D2A-979A-D6B6710E3135}"/>
</file>

<file path=customXml/itemProps3.xml><?xml version="1.0" encoding="utf-8"?>
<ds:datastoreItem xmlns:ds="http://schemas.openxmlformats.org/officeDocument/2006/customXml" ds:itemID="{581A0880-659F-4CE1-8849-6075C635D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Emelina Vaile Camino</dc:creator>
  <cp:lastModifiedBy>Caroline OUAFFO WAFANG</cp:lastModifiedBy>
  <cp:revision>2</cp:revision>
  <cp:lastPrinted>2017-10-31T12:24:00Z</cp:lastPrinted>
  <dcterms:created xsi:type="dcterms:W3CDTF">2017-10-31T13:26:00Z</dcterms:created>
  <dcterms:modified xsi:type="dcterms:W3CDTF">2017-10-31T13:26:00Z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