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C76" w:rsidRPr="007D3C76" w:rsidRDefault="007D3C76" w:rsidP="007D3C76">
      <w:pPr>
        <w:jc w:val="center"/>
        <w:rPr>
          <w:b/>
          <w:sz w:val="28"/>
          <w:szCs w:val="28"/>
        </w:rPr>
      </w:pPr>
      <w:r w:rsidRPr="007D3C76">
        <w:rPr>
          <w:b/>
          <w:sz w:val="28"/>
          <w:szCs w:val="28"/>
        </w:rPr>
        <w:t>Intersessional Expert Meeting</w:t>
      </w:r>
    </w:p>
    <w:p w:rsidR="007D3C76" w:rsidRPr="007D3C76" w:rsidRDefault="007D3C76" w:rsidP="007D3C76">
      <w:pPr>
        <w:jc w:val="center"/>
        <w:rPr>
          <w:b/>
          <w:sz w:val="28"/>
          <w:szCs w:val="28"/>
        </w:rPr>
      </w:pPr>
      <w:r w:rsidRPr="007D3C76">
        <w:rPr>
          <w:b/>
          <w:sz w:val="28"/>
          <w:szCs w:val="28"/>
        </w:rPr>
        <w:t>Mainstreaming Gender Perspective into the Implementation of the 2030 Agenda</w:t>
      </w:r>
    </w:p>
    <w:p w:rsidR="00D10E6D" w:rsidRPr="007D3C76" w:rsidRDefault="00D10E6D">
      <w:pPr>
        <w:rPr>
          <w:sz w:val="28"/>
          <w:szCs w:val="28"/>
        </w:rPr>
      </w:pPr>
      <w:r w:rsidRPr="007D3C76">
        <w:rPr>
          <w:b/>
          <w:sz w:val="28"/>
          <w:szCs w:val="28"/>
        </w:rPr>
        <w:t>Strengthening Accountability</w:t>
      </w:r>
      <w:r w:rsidRPr="007D3C76">
        <w:rPr>
          <w:sz w:val="28"/>
          <w:szCs w:val="28"/>
        </w:rPr>
        <w:t xml:space="preserve"> </w:t>
      </w:r>
      <w:r w:rsidR="00D77C7C" w:rsidRPr="007D3C76">
        <w:rPr>
          <w:b/>
          <w:sz w:val="28"/>
          <w:szCs w:val="28"/>
        </w:rPr>
        <w:t xml:space="preserve">for the 2030 Agenda: </w:t>
      </w:r>
      <w:r w:rsidR="00D77C7C" w:rsidRPr="007D3C76">
        <w:rPr>
          <w:b/>
          <w:i/>
          <w:sz w:val="28"/>
          <w:szCs w:val="28"/>
        </w:rPr>
        <w:t>UPR Review Process- UNFPA</w:t>
      </w:r>
    </w:p>
    <w:p w:rsidR="00D10E6D" w:rsidRPr="007D3C76" w:rsidRDefault="00D10E6D" w:rsidP="007D3C76">
      <w:pPr>
        <w:spacing w:line="360" w:lineRule="auto"/>
        <w:rPr>
          <w:sz w:val="28"/>
          <w:szCs w:val="28"/>
        </w:rPr>
      </w:pPr>
      <w:r w:rsidRPr="007D3C76">
        <w:rPr>
          <w:sz w:val="28"/>
          <w:szCs w:val="28"/>
        </w:rPr>
        <w:t>One of the key challenges in operationalising the human rights based dimension of the SDG ag</w:t>
      </w:r>
      <w:r w:rsidR="007C4709" w:rsidRPr="007D3C76">
        <w:rPr>
          <w:sz w:val="28"/>
          <w:szCs w:val="28"/>
        </w:rPr>
        <w:t>enda, is that of accountability</w:t>
      </w:r>
      <w:r w:rsidRPr="007D3C76">
        <w:rPr>
          <w:sz w:val="28"/>
          <w:szCs w:val="28"/>
        </w:rPr>
        <w:t xml:space="preserve">. </w:t>
      </w:r>
    </w:p>
    <w:p w:rsidR="00D10E6D" w:rsidRPr="007D3C76" w:rsidRDefault="00050DD9" w:rsidP="007D3C76">
      <w:pPr>
        <w:spacing w:line="360" w:lineRule="auto"/>
        <w:rPr>
          <w:sz w:val="28"/>
          <w:szCs w:val="28"/>
        </w:rPr>
      </w:pPr>
      <w:r w:rsidRPr="007D3C76">
        <w:rPr>
          <w:sz w:val="28"/>
          <w:szCs w:val="28"/>
        </w:rPr>
        <w:t>“M</w:t>
      </w:r>
      <w:r w:rsidR="00601FE8" w:rsidRPr="007D3C76">
        <w:rPr>
          <w:sz w:val="28"/>
          <w:szCs w:val="28"/>
        </w:rPr>
        <w:t>arry</w:t>
      </w:r>
      <w:r w:rsidRPr="007D3C76">
        <w:rPr>
          <w:sz w:val="28"/>
          <w:szCs w:val="28"/>
        </w:rPr>
        <w:t>ing”</w:t>
      </w:r>
      <w:r w:rsidR="00601FE8" w:rsidRPr="007D3C76">
        <w:rPr>
          <w:sz w:val="28"/>
          <w:szCs w:val="28"/>
        </w:rPr>
        <w:t xml:space="preserve"> (to use the term from CEDAW expert) the SDG processes and international </w:t>
      </w:r>
      <w:r w:rsidRPr="007D3C76">
        <w:rPr>
          <w:sz w:val="28"/>
          <w:szCs w:val="28"/>
        </w:rPr>
        <w:t xml:space="preserve">human </w:t>
      </w:r>
      <w:r w:rsidR="007D3C76" w:rsidRPr="007D3C76">
        <w:rPr>
          <w:sz w:val="28"/>
          <w:szCs w:val="28"/>
        </w:rPr>
        <w:t>rights</w:t>
      </w:r>
      <w:r w:rsidRPr="007D3C76">
        <w:rPr>
          <w:sz w:val="28"/>
          <w:szCs w:val="28"/>
        </w:rPr>
        <w:t xml:space="preserve"> </w:t>
      </w:r>
      <w:r w:rsidR="00601FE8" w:rsidRPr="007D3C76">
        <w:rPr>
          <w:sz w:val="28"/>
          <w:szCs w:val="28"/>
        </w:rPr>
        <w:t xml:space="preserve">mechanisms is key to </w:t>
      </w:r>
      <w:r w:rsidRPr="007D3C76">
        <w:rPr>
          <w:sz w:val="28"/>
          <w:szCs w:val="28"/>
        </w:rPr>
        <w:t>giving them “teeth”</w:t>
      </w:r>
      <w:proofErr w:type="gramStart"/>
      <w:r w:rsidRPr="007D3C76">
        <w:rPr>
          <w:sz w:val="28"/>
          <w:szCs w:val="28"/>
        </w:rPr>
        <w:t xml:space="preserve">-  </w:t>
      </w:r>
      <w:r w:rsidR="00601FE8" w:rsidRPr="007D3C76">
        <w:rPr>
          <w:sz w:val="28"/>
          <w:szCs w:val="28"/>
        </w:rPr>
        <w:t>accountability</w:t>
      </w:r>
      <w:proofErr w:type="gramEnd"/>
      <w:r w:rsidR="00601FE8" w:rsidRPr="007D3C76">
        <w:rPr>
          <w:sz w:val="28"/>
          <w:szCs w:val="28"/>
        </w:rPr>
        <w:t xml:space="preserve"> for meeting the goals. </w:t>
      </w:r>
      <w:r w:rsidR="00D10E6D" w:rsidRPr="007D3C76">
        <w:rPr>
          <w:sz w:val="28"/>
          <w:szCs w:val="28"/>
        </w:rPr>
        <w:t xml:space="preserve"> </w:t>
      </w:r>
    </w:p>
    <w:p w:rsidR="00601FE8" w:rsidRPr="007D3C76" w:rsidRDefault="00601FE8" w:rsidP="007D3C76">
      <w:pPr>
        <w:spacing w:line="360" w:lineRule="auto"/>
        <w:rPr>
          <w:sz w:val="28"/>
          <w:szCs w:val="28"/>
        </w:rPr>
      </w:pPr>
      <w:r w:rsidRPr="007D3C76">
        <w:rPr>
          <w:sz w:val="28"/>
          <w:szCs w:val="28"/>
        </w:rPr>
        <w:t>In this presentation I am going to to</w:t>
      </w:r>
      <w:r w:rsidR="00050DD9" w:rsidRPr="007D3C76">
        <w:rPr>
          <w:sz w:val="28"/>
          <w:szCs w:val="28"/>
        </w:rPr>
        <w:t>uch upon 3 recent initiatives UNFPA has</w:t>
      </w:r>
      <w:r w:rsidRPr="007D3C76">
        <w:rPr>
          <w:sz w:val="28"/>
          <w:szCs w:val="28"/>
        </w:rPr>
        <w:t xml:space="preserve"> taking forward </w:t>
      </w:r>
      <w:r w:rsidR="00050DD9" w:rsidRPr="007D3C76">
        <w:rPr>
          <w:sz w:val="28"/>
          <w:szCs w:val="28"/>
        </w:rPr>
        <w:t>with the aim</w:t>
      </w:r>
      <w:r w:rsidRPr="007D3C76">
        <w:rPr>
          <w:sz w:val="28"/>
          <w:szCs w:val="28"/>
        </w:rPr>
        <w:t xml:space="preserve"> to strengthen accountability on gender equality- with a focus on SRHR. </w:t>
      </w:r>
    </w:p>
    <w:p w:rsidR="007C4709" w:rsidRPr="007D3C76" w:rsidRDefault="00050DD9" w:rsidP="007D3C76">
      <w:pPr>
        <w:spacing w:line="360" w:lineRule="auto"/>
        <w:rPr>
          <w:sz w:val="28"/>
          <w:szCs w:val="28"/>
        </w:rPr>
      </w:pPr>
      <w:r w:rsidRPr="007D3C76">
        <w:rPr>
          <w:sz w:val="28"/>
          <w:szCs w:val="28"/>
        </w:rPr>
        <w:t xml:space="preserve">The first, is </w:t>
      </w:r>
      <w:r w:rsidR="007C4709" w:rsidRPr="007D3C76">
        <w:rPr>
          <w:sz w:val="28"/>
          <w:szCs w:val="28"/>
        </w:rPr>
        <w:t xml:space="preserve">our engagement at global and country level with </w:t>
      </w:r>
      <w:r w:rsidRPr="007D3C76">
        <w:rPr>
          <w:sz w:val="28"/>
          <w:szCs w:val="28"/>
        </w:rPr>
        <w:t>the Universal Periodic Review. This mechanism h</w:t>
      </w:r>
      <w:r w:rsidR="007C4709" w:rsidRPr="007D3C76">
        <w:rPr>
          <w:sz w:val="28"/>
          <w:szCs w:val="28"/>
        </w:rPr>
        <w:t>as provided a huge opportunity for advocacy, multi-stakeholder dialogue and accountability to advance gender equality and sexual and</w:t>
      </w:r>
      <w:r w:rsidRPr="007D3C76">
        <w:rPr>
          <w:sz w:val="28"/>
          <w:szCs w:val="28"/>
        </w:rPr>
        <w:t xml:space="preserve"> reproductive health and rights in countries.</w:t>
      </w:r>
    </w:p>
    <w:p w:rsidR="00050DD9" w:rsidRPr="007D3C76" w:rsidRDefault="007C4709" w:rsidP="007D3C76">
      <w:pPr>
        <w:pStyle w:val="Body"/>
        <w:spacing w:line="360" w:lineRule="auto"/>
        <w:ind w:firstLine="0"/>
        <w:rPr>
          <w:rFonts w:asciiTheme="minorHAnsi" w:eastAsiaTheme="minorHAnsi" w:hAnsiTheme="minorHAnsi" w:cstheme="minorBidi"/>
          <w:color w:val="auto"/>
          <w:sz w:val="28"/>
          <w:szCs w:val="28"/>
          <w:bdr w:val="none" w:sz="0" w:space="0" w:color="auto"/>
          <w:lang w:eastAsia="en-US"/>
        </w:rPr>
      </w:pPr>
      <w:r w:rsidRPr="007D3C76">
        <w:rPr>
          <w:rFonts w:asciiTheme="minorHAnsi" w:eastAsiaTheme="minorHAnsi" w:hAnsiTheme="minorHAnsi" w:cstheme="minorBidi"/>
          <w:color w:val="auto"/>
          <w:sz w:val="28"/>
          <w:szCs w:val="28"/>
          <w:bdr w:val="none" w:sz="0" w:space="0" w:color="auto"/>
          <w:lang w:eastAsia="en-US"/>
        </w:rPr>
        <w:t>To maximize the opportunity that the UPR presents</w:t>
      </w:r>
      <w:r w:rsidR="00050DD9" w:rsidRPr="007D3C76">
        <w:rPr>
          <w:rFonts w:asciiTheme="minorHAnsi" w:eastAsiaTheme="minorHAnsi" w:hAnsiTheme="minorHAnsi" w:cstheme="minorBidi"/>
          <w:color w:val="auto"/>
          <w:sz w:val="28"/>
          <w:szCs w:val="28"/>
          <w:bdr w:val="none" w:sz="0" w:space="0" w:color="auto"/>
          <w:lang w:eastAsia="en-US"/>
        </w:rPr>
        <w:t xml:space="preserve"> for advancing accountability on SRHR</w:t>
      </w:r>
      <w:r w:rsidRPr="007D3C76">
        <w:rPr>
          <w:rFonts w:asciiTheme="minorHAnsi" w:eastAsiaTheme="minorHAnsi" w:hAnsiTheme="minorHAnsi" w:cstheme="minorBidi"/>
          <w:color w:val="auto"/>
          <w:sz w:val="28"/>
          <w:szCs w:val="28"/>
          <w:bdr w:val="none" w:sz="0" w:space="0" w:color="auto"/>
          <w:lang w:eastAsia="en-US"/>
        </w:rPr>
        <w:t>,</w:t>
      </w:r>
      <w:r w:rsidR="008C057B" w:rsidRPr="007D3C76">
        <w:rPr>
          <w:rFonts w:asciiTheme="minorHAnsi" w:eastAsiaTheme="minorHAnsi" w:hAnsiTheme="minorHAnsi" w:cstheme="minorBidi"/>
          <w:color w:val="auto"/>
          <w:sz w:val="28"/>
          <w:szCs w:val="28"/>
          <w:bdr w:val="none" w:sz="0" w:space="0" w:color="auto"/>
          <w:lang w:eastAsia="en-US"/>
        </w:rPr>
        <w:t xml:space="preserve"> </w:t>
      </w:r>
      <w:r w:rsidR="00050DD9" w:rsidRPr="007D3C76">
        <w:rPr>
          <w:rFonts w:asciiTheme="minorHAnsi" w:eastAsiaTheme="minorHAnsi" w:hAnsiTheme="minorHAnsi" w:cstheme="minorBidi"/>
          <w:color w:val="auto"/>
          <w:sz w:val="28"/>
          <w:szCs w:val="28"/>
          <w:bdr w:val="none" w:sz="0" w:space="0" w:color="auto"/>
          <w:lang w:eastAsia="en-US"/>
        </w:rPr>
        <w:t>a</w:t>
      </w:r>
      <w:r w:rsidRPr="007D3C76">
        <w:rPr>
          <w:rFonts w:asciiTheme="minorHAnsi" w:eastAsiaTheme="minorHAnsi" w:hAnsiTheme="minorHAnsi" w:cstheme="minorBidi"/>
          <w:color w:val="auto"/>
          <w:sz w:val="28"/>
          <w:szCs w:val="28"/>
          <w:bdr w:val="none" w:sz="0" w:space="0" w:color="auto"/>
          <w:lang w:eastAsia="en-US"/>
        </w:rPr>
        <w:t>t the global level</w:t>
      </w:r>
      <w:r w:rsidR="008C057B" w:rsidRPr="007D3C76">
        <w:rPr>
          <w:rFonts w:asciiTheme="minorHAnsi" w:eastAsiaTheme="minorHAnsi" w:hAnsiTheme="minorHAnsi" w:cstheme="minorBidi"/>
          <w:color w:val="auto"/>
          <w:sz w:val="28"/>
          <w:szCs w:val="28"/>
          <w:bdr w:val="none" w:sz="0" w:space="0" w:color="auto"/>
          <w:lang w:eastAsia="en-US"/>
        </w:rPr>
        <w:t xml:space="preserve"> </w:t>
      </w:r>
      <w:r w:rsidR="00050DD9" w:rsidRPr="007D3C76">
        <w:rPr>
          <w:rFonts w:asciiTheme="minorHAnsi" w:eastAsiaTheme="minorHAnsi" w:hAnsiTheme="minorHAnsi" w:cstheme="minorBidi"/>
          <w:color w:val="auto"/>
          <w:sz w:val="28"/>
          <w:szCs w:val="28"/>
          <w:bdr w:val="none" w:sz="0" w:space="0" w:color="auto"/>
          <w:lang w:eastAsia="en-US"/>
        </w:rPr>
        <w:t xml:space="preserve">we carried two </w:t>
      </w:r>
      <w:r w:rsidRPr="007D3C76">
        <w:rPr>
          <w:rFonts w:asciiTheme="minorHAnsi" w:eastAsiaTheme="minorHAnsi" w:hAnsiTheme="minorHAnsi" w:cstheme="minorBidi"/>
          <w:color w:val="auto"/>
          <w:sz w:val="28"/>
          <w:szCs w:val="28"/>
          <w:bdr w:val="none" w:sz="0" w:space="0" w:color="auto"/>
          <w:lang w:eastAsia="en-US"/>
        </w:rPr>
        <w:t>assessment</w:t>
      </w:r>
      <w:r w:rsidR="00050DD9" w:rsidRPr="007D3C76">
        <w:rPr>
          <w:rFonts w:asciiTheme="minorHAnsi" w:eastAsiaTheme="minorHAnsi" w:hAnsiTheme="minorHAnsi" w:cstheme="minorBidi"/>
          <w:color w:val="auto"/>
          <w:sz w:val="28"/>
          <w:szCs w:val="28"/>
          <w:bdr w:val="none" w:sz="0" w:space="0" w:color="auto"/>
          <w:lang w:eastAsia="en-US"/>
        </w:rPr>
        <w:t xml:space="preserve">s of each of the two completed </w:t>
      </w:r>
      <w:r w:rsidRPr="007D3C76">
        <w:rPr>
          <w:rFonts w:asciiTheme="minorHAnsi" w:eastAsiaTheme="minorHAnsi" w:hAnsiTheme="minorHAnsi" w:cstheme="minorBidi"/>
          <w:color w:val="auto"/>
          <w:sz w:val="28"/>
          <w:szCs w:val="28"/>
          <w:bdr w:val="none" w:sz="0" w:space="0" w:color="auto"/>
          <w:lang w:eastAsia="en-US"/>
        </w:rPr>
        <w:t>cycle</w:t>
      </w:r>
      <w:r w:rsidR="00050DD9" w:rsidRPr="007D3C76">
        <w:rPr>
          <w:rFonts w:asciiTheme="minorHAnsi" w:eastAsiaTheme="minorHAnsi" w:hAnsiTheme="minorHAnsi" w:cstheme="minorBidi"/>
          <w:color w:val="auto"/>
          <w:sz w:val="28"/>
          <w:szCs w:val="28"/>
          <w:bdr w:val="none" w:sz="0" w:space="0" w:color="auto"/>
          <w:lang w:eastAsia="en-US"/>
        </w:rPr>
        <w:t xml:space="preserve">s of the UPR from the perspective of SRHR – the first cycle from 2008-2012, and an analysis we are just completing, on the second cycle from 2013-2017. As we </w:t>
      </w:r>
      <w:r w:rsidR="007D3C76" w:rsidRPr="007D3C76">
        <w:rPr>
          <w:rFonts w:asciiTheme="minorHAnsi" w:eastAsiaTheme="minorHAnsi" w:hAnsiTheme="minorHAnsi" w:cstheme="minorBidi"/>
          <w:color w:val="auto"/>
          <w:sz w:val="28"/>
          <w:szCs w:val="28"/>
          <w:bdr w:val="none" w:sz="0" w:space="0" w:color="auto"/>
          <w:lang w:eastAsia="en-US"/>
        </w:rPr>
        <w:t>believe</w:t>
      </w:r>
      <w:r w:rsidR="00050DD9" w:rsidRPr="007D3C76">
        <w:rPr>
          <w:rFonts w:asciiTheme="minorHAnsi" w:eastAsiaTheme="minorHAnsi" w:hAnsiTheme="minorHAnsi" w:cstheme="minorBidi"/>
          <w:color w:val="auto"/>
          <w:sz w:val="28"/>
          <w:szCs w:val="28"/>
          <w:bdr w:val="none" w:sz="0" w:space="0" w:color="auto"/>
          <w:lang w:eastAsia="en-US"/>
        </w:rPr>
        <w:t xml:space="preserve"> that key to women’ ability to access SRHR, is her</w:t>
      </w:r>
      <w:r w:rsidR="007D3C76" w:rsidRPr="007D3C76">
        <w:rPr>
          <w:rFonts w:asciiTheme="minorHAnsi" w:eastAsiaTheme="minorHAnsi" w:hAnsiTheme="minorHAnsi" w:cstheme="minorBidi"/>
          <w:color w:val="auto"/>
          <w:sz w:val="28"/>
          <w:szCs w:val="28"/>
          <w:bdr w:val="none" w:sz="0" w:space="0" w:color="auto"/>
          <w:lang w:eastAsia="en-US"/>
        </w:rPr>
        <w:t xml:space="preserve"> ability to decide freely on all matters related to her sexual and reproductive health</w:t>
      </w:r>
      <w:proofErr w:type="gramStart"/>
      <w:r w:rsidR="007D3C76" w:rsidRPr="007D3C76">
        <w:rPr>
          <w:rFonts w:asciiTheme="minorHAnsi" w:eastAsiaTheme="minorHAnsi" w:hAnsiTheme="minorHAnsi" w:cstheme="minorBidi"/>
          <w:color w:val="auto"/>
          <w:sz w:val="28"/>
          <w:szCs w:val="28"/>
          <w:bdr w:val="none" w:sz="0" w:space="0" w:color="auto"/>
          <w:lang w:eastAsia="en-US"/>
        </w:rPr>
        <w:t xml:space="preserve">, </w:t>
      </w:r>
      <w:r w:rsidR="00050DD9" w:rsidRPr="007D3C76">
        <w:rPr>
          <w:rFonts w:asciiTheme="minorHAnsi" w:eastAsiaTheme="minorHAnsi" w:hAnsiTheme="minorHAnsi" w:cstheme="minorBidi"/>
          <w:color w:val="auto"/>
          <w:sz w:val="28"/>
          <w:szCs w:val="28"/>
          <w:bdr w:val="none" w:sz="0" w:space="0" w:color="auto"/>
          <w:lang w:eastAsia="en-US"/>
        </w:rPr>
        <w:t xml:space="preserve"> gender</w:t>
      </w:r>
      <w:proofErr w:type="gramEnd"/>
      <w:r w:rsidR="00050DD9" w:rsidRPr="007D3C76">
        <w:rPr>
          <w:rFonts w:asciiTheme="minorHAnsi" w:eastAsiaTheme="minorHAnsi" w:hAnsiTheme="minorHAnsi" w:cstheme="minorBidi"/>
          <w:color w:val="auto"/>
          <w:sz w:val="28"/>
          <w:szCs w:val="28"/>
          <w:bdr w:val="none" w:sz="0" w:space="0" w:color="auto"/>
          <w:lang w:eastAsia="en-US"/>
        </w:rPr>
        <w:t xml:space="preserve"> equality is included as part of this analysis.</w:t>
      </w:r>
    </w:p>
    <w:p w:rsidR="008C057B" w:rsidRPr="007D3C76" w:rsidRDefault="008C057B" w:rsidP="007D3C76">
      <w:pPr>
        <w:pStyle w:val="Body"/>
        <w:spacing w:line="360" w:lineRule="auto"/>
        <w:ind w:firstLine="0"/>
        <w:rPr>
          <w:rFonts w:asciiTheme="minorHAnsi" w:eastAsiaTheme="minorHAnsi" w:hAnsiTheme="minorHAnsi" w:cstheme="minorBidi"/>
          <w:color w:val="auto"/>
          <w:sz w:val="28"/>
          <w:szCs w:val="28"/>
          <w:bdr w:val="none" w:sz="0" w:space="0" w:color="auto"/>
          <w:lang w:eastAsia="en-US"/>
        </w:rPr>
      </w:pPr>
      <w:r w:rsidRPr="007D3C76">
        <w:rPr>
          <w:rFonts w:asciiTheme="minorHAnsi" w:eastAsiaTheme="minorHAnsi" w:hAnsiTheme="minorHAnsi" w:cstheme="minorBidi"/>
          <w:color w:val="auto"/>
          <w:sz w:val="28"/>
          <w:szCs w:val="28"/>
          <w:bdr w:val="none" w:sz="0" w:space="0" w:color="auto"/>
          <w:lang w:eastAsia="en-US"/>
        </w:rPr>
        <w:lastRenderedPageBreak/>
        <w:t xml:space="preserve">The analysis found that sexual and reproductive health and reproductive rights issues were among the most frequently cited in the first cycle of UPR recommendations: of the </w:t>
      </w:r>
      <w:r w:rsidRPr="007D3C76">
        <w:rPr>
          <w:rFonts w:asciiTheme="minorHAnsi" w:eastAsiaTheme="minorHAnsi" w:hAnsiTheme="minorHAnsi" w:cstheme="minorBidi"/>
          <w:b/>
          <w:color w:val="auto"/>
          <w:sz w:val="28"/>
          <w:szCs w:val="28"/>
          <w:bdr w:val="none" w:sz="0" w:space="0" w:color="auto"/>
          <w:lang w:eastAsia="en-US"/>
        </w:rPr>
        <w:t>21,956</w:t>
      </w:r>
      <w:r w:rsidRPr="007D3C76">
        <w:rPr>
          <w:rFonts w:asciiTheme="minorHAnsi" w:eastAsiaTheme="minorHAnsi" w:hAnsiTheme="minorHAnsi" w:cstheme="minorBidi"/>
          <w:color w:val="auto"/>
          <w:sz w:val="28"/>
          <w:szCs w:val="28"/>
          <w:bdr w:val="none" w:sz="0" w:space="0" w:color="auto"/>
          <w:lang w:eastAsia="en-US"/>
        </w:rPr>
        <w:t xml:space="preserve"> recommendations made in the first cycle, </w:t>
      </w:r>
      <w:r w:rsidRPr="007D3C76">
        <w:rPr>
          <w:rFonts w:asciiTheme="minorHAnsi" w:eastAsiaTheme="minorHAnsi" w:hAnsiTheme="minorHAnsi" w:cstheme="minorBidi"/>
          <w:b/>
          <w:color w:val="auto"/>
          <w:sz w:val="28"/>
          <w:szCs w:val="28"/>
          <w:bdr w:val="none" w:sz="0" w:space="0" w:color="auto"/>
          <w:lang w:eastAsia="en-US"/>
        </w:rPr>
        <w:t>5,720</w:t>
      </w:r>
      <w:r w:rsidRPr="007D3C76">
        <w:rPr>
          <w:rFonts w:asciiTheme="minorHAnsi" w:eastAsiaTheme="minorHAnsi" w:hAnsiTheme="minorHAnsi" w:cstheme="minorBidi"/>
          <w:color w:val="auto"/>
          <w:sz w:val="28"/>
          <w:szCs w:val="28"/>
          <w:bdr w:val="none" w:sz="0" w:space="0" w:color="auto"/>
          <w:lang w:eastAsia="en-US"/>
        </w:rPr>
        <w:t xml:space="preserve"> (26 percent) pertained to SRHR and gender equality, and of these, 77 percent were formally accepted by member states. </w:t>
      </w:r>
      <w:r w:rsidR="00166384" w:rsidRPr="007D3C76">
        <w:rPr>
          <w:rFonts w:asciiTheme="minorHAnsi" w:eastAsiaTheme="minorHAnsi" w:hAnsiTheme="minorHAnsi" w:cstheme="minorBidi"/>
          <w:color w:val="auto"/>
          <w:sz w:val="28"/>
          <w:szCs w:val="28"/>
          <w:bdr w:val="none" w:sz="0" w:space="0" w:color="auto"/>
          <w:lang w:eastAsia="en-US"/>
        </w:rPr>
        <w:t xml:space="preserve">In the </w:t>
      </w:r>
      <w:r w:rsidRPr="007D3C76">
        <w:rPr>
          <w:rFonts w:asciiTheme="minorHAnsi" w:eastAsiaTheme="minorHAnsi" w:hAnsiTheme="minorHAnsi" w:cstheme="minorBidi"/>
          <w:color w:val="auto"/>
          <w:sz w:val="28"/>
          <w:szCs w:val="28"/>
          <w:bdr w:val="none" w:sz="0" w:space="0" w:color="auto"/>
          <w:lang w:eastAsia="en-US"/>
        </w:rPr>
        <w:t>review o</w:t>
      </w:r>
      <w:r w:rsidR="00166384" w:rsidRPr="007D3C76">
        <w:rPr>
          <w:rFonts w:asciiTheme="minorHAnsi" w:eastAsiaTheme="minorHAnsi" w:hAnsiTheme="minorHAnsi" w:cstheme="minorBidi"/>
          <w:color w:val="auto"/>
          <w:sz w:val="28"/>
          <w:szCs w:val="28"/>
          <w:bdr w:val="none" w:sz="0" w:space="0" w:color="auto"/>
          <w:lang w:eastAsia="en-US"/>
        </w:rPr>
        <w:t>f the second cycle of the UPR, the</w:t>
      </w:r>
      <w:r w:rsidRPr="007D3C76">
        <w:rPr>
          <w:rFonts w:asciiTheme="minorHAnsi" w:eastAsiaTheme="minorHAnsi" w:hAnsiTheme="minorHAnsi" w:cstheme="minorBidi"/>
          <w:color w:val="auto"/>
          <w:sz w:val="28"/>
          <w:szCs w:val="28"/>
          <w:bdr w:val="none" w:sz="0" w:space="0" w:color="auto"/>
          <w:lang w:eastAsia="en-US"/>
        </w:rPr>
        <w:t xml:space="preserve"> analysis has found that the percentage of SRHR recommendations</w:t>
      </w:r>
      <w:r w:rsidR="00166384" w:rsidRPr="007D3C76">
        <w:rPr>
          <w:rFonts w:asciiTheme="minorHAnsi" w:eastAsiaTheme="minorHAnsi" w:hAnsiTheme="minorHAnsi" w:cstheme="minorBidi"/>
          <w:color w:val="auto"/>
          <w:sz w:val="28"/>
          <w:szCs w:val="28"/>
          <w:bdr w:val="none" w:sz="0" w:space="0" w:color="auto"/>
          <w:lang w:eastAsia="en-US"/>
        </w:rPr>
        <w:t xml:space="preserve"> have increased, from 26% to 28%.  Within these figures, </w:t>
      </w:r>
      <w:r w:rsidRPr="007D3C76">
        <w:rPr>
          <w:rFonts w:asciiTheme="minorHAnsi" w:eastAsiaTheme="minorHAnsi" w:hAnsiTheme="minorHAnsi" w:cstheme="minorBidi"/>
          <w:color w:val="auto"/>
          <w:sz w:val="28"/>
          <w:szCs w:val="28"/>
          <w:bdr w:val="none" w:sz="0" w:space="0" w:color="auto"/>
          <w:lang w:eastAsia="en-US"/>
        </w:rPr>
        <w:t xml:space="preserve">Gender Equality and GBV, received by far the highest number of recommendations, doubling from the first to the second cycle, with over 5000 recommendations in these two areas. </w:t>
      </w:r>
    </w:p>
    <w:p w:rsidR="008C057B" w:rsidRPr="007D3C76" w:rsidRDefault="00166384" w:rsidP="007D3C76">
      <w:pPr>
        <w:pStyle w:val="Body"/>
        <w:spacing w:line="360" w:lineRule="auto"/>
        <w:ind w:firstLine="0"/>
        <w:rPr>
          <w:rFonts w:asciiTheme="minorHAnsi" w:eastAsiaTheme="minorHAnsi" w:hAnsiTheme="minorHAnsi" w:cstheme="minorBidi"/>
          <w:color w:val="auto"/>
          <w:sz w:val="28"/>
          <w:szCs w:val="28"/>
          <w:bdr w:val="none" w:sz="0" w:space="0" w:color="auto"/>
          <w:lang w:eastAsia="en-US"/>
        </w:rPr>
      </w:pPr>
      <w:r w:rsidRPr="007D3C76">
        <w:rPr>
          <w:rFonts w:asciiTheme="minorHAnsi" w:eastAsiaTheme="minorHAnsi" w:hAnsiTheme="minorHAnsi" w:cstheme="minorBidi"/>
          <w:color w:val="auto"/>
          <w:sz w:val="28"/>
          <w:szCs w:val="28"/>
          <w:bdr w:val="none" w:sz="0" w:space="0" w:color="auto"/>
          <w:lang w:eastAsia="en-US"/>
        </w:rPr>
        <w:t xml:space="preserve">And, </w:t>
      </w:r>
      <w:r w:rsidR="008C057B" w:rsidRPr="007D3C76">
        <w:rPr>
          <w:rFonts w:asciiTheme="minorHAnsi" w:eastAsiaTheme="minorHAnsi" w:hAnsiTheme="minorHAnsi" w:cstheme="minorBidi"/>
          <w:color w:val="auto"/>
          <w:sz w:val="28"/>
          <w:szCs w:val="28"/>
          <w:bdr w:val="none" w:sz="0" w:space="0" w:color="auto"/>
          <w:lang w:eastAsia="en-US"/>
        </w:rPr>
        <w:t xml:space="preserve">when we looked at the extent to which States have taken action on the recommendations, </w:t>
      </w:r>
      <w:r w:rsidRPr="007D3C76">
        <w:rPr>
          <w:rFonts w:asciiTheme="minorHAnsi" w:eastAsiaTheme="minorHAnsi" w:hAnsiTheme="minorHAnsi" w:cstheme="minorBidi"/>
          <w:color w:val="auto"/>
          <w:sz w:val="28"/>
          <w:szCs w:val="28"/>
          <w:bdr w:val="none" w:sz="0" w:space="0" w:color="auto"/>
          <w:lang w:eastAsia="en-US"/>
        </w:rPr>
        <w:t>we found that from the State Reports</w:t>
      </w:r>
      <w:proofErr w:type="gramStart"/>
      <w:r w:rsidRPr="007D3C76">
        <w:rPr>
          <w:rFonts w:asciiTheme="minorHAnsi" w:eastAsiaTheme="minorHAnsi" w:hAnsiTheme="minorHAnsi" w:cstheme="minorBidi"/>
          <w:color w:val="auto"/>
          <w:sz w:val="28"/>
          <w:szCs w:val="28"/>
          <w:bdr w:val="none" w:sz="0" w:space="0" w:color="auto"/>
          <w:lang w:eastAsia="en-US"/>
        </w:rPr>
        <w:t xml:space="preserve">, </w:t>
      </w:r>
      <w:r w:rsidR="008C057B" w:rsidRPr="007D3C76">
        <w:rPr>
          <w:rFonts w:asciiTheme="minorHAnsi" w:eastAsiaTheme="minorHAnsi" w:hAnsiTheme="minorHAnsi" w:cstheme="minorBidi"/>
          <w:color w:val="auto"/>
          <w:sz w:val="28"/>
          <w:szCs w:val="28"/>
          <w:bdr w:val="none" w:sz="0" w:space="0" w:color="auto"/>
          <w:lang w:eastAsia="en-US"/>
        </w:rPr>
        <w:t xml:space="preserve"> 63</w:t>
      </w:r>
      <w:proofErr w:type="gramEnd"/>
      <w:r w:rsidR="008C057B" w:rsidRPr="007D3C76">
        <w:rPr>
          <w:rFonts w:asciiTheme="minorHAnsi" w:eastAsiaTheme="minorHAnsi" w:hAnsiTheme="minorHAnsi" w:cstheme="minorBidi"/>
          <w:color w:val="auto"/>
          <w:sz w:val="28"/>
          <w:szCs w:val="28"/>
          <w:bdr w:val="none" w:sz="0" w:space="0" w:color="auto"/>
          <w:lang w:eastAsia="en-US"/>
        </w:rPr>
        <w:t xml:space="preserve"> % of States reported to have taken action on at least three quarters of SRHR recommendations from its first cycle. </w:t>
      </w:r>
    </w:p>
    <w:p w:rsidR="008C057B" w:rsidRPr="007D3C76" w:rsidRDefault="008C057B" w:rsidP="007D3C76">
      <w:pPr>
        <w:pStyle w:val="Body"/>
        <w:spacing w:line="360" w:lineRule="auto"/>
        <w:ind w:firstLine="0"/>
        <w:rPr>
          <w:rFonts w:asciiTheme="minorHAnsi" w:eastAsiaTheme="minorHAnsi" w:hAnsiTheme="minorHAnsi" w:cstheme="minorBidi"/>
          <w:color w:val="auto"/>
          <w:sz w:val="28"/>
          <w:szCs w:val="28"/>
          <w:bdr w:val="none" w:sz="0" w:space="0" w:color="auto"/>
          <w:lang w:eastAsia="en-US"/>
        </w:rPr>
      </w:pPr>
    </w:p>
    <w:p w:rsidR="008C057B" w:rsidRPr="007D3C76" w:rsidRDefault="008C057B" w:rsidP="007D3C76">
      <w:pPr>
        <w:pStyle w:val="Body"/>
        <w:spacing w:line="360" w:lineRule="auto"/>
        <w:ind w:firstLine="0"/>
        <w:rPr>
          <w:rFonts w:asciiTheme="minorHAnsi" w:eastAsiaTheme="minorHAnsi" w:hAnsiTheme="minorHAnsi" w:cstheme="minorBidi"/>
          <w:color w:val="auto"/>
          <w:sz w:val="28"/>
          <w:szCs w:val="28"/>
          <w:bdr w:val="none" w:sz="0" w:space="0" w:color="auto"/>
          <w:lang w:eastAsia="en-US"/>
        </w:rPr>
      </w:pPr>
      <w:r w:rsidRPr="007D3C76">
        <w:rPr>
          <w:rFonts w:asciiTheme="minorHAnsi" w:eastAsiaTheme="minorHAnsi" w:hAnsiTheme="minorHAnsi" w:cstheme="minorBidi"/>
          <w:color w:val="auto"/>
          <w:sz w:val="28"/>
          <w:szCs w:val="28"/>
          <w:bdr w:val="none" w:sz="0" w:space="0" w:color="auto"/>
          <w:lang w:eastAsia="en-US"/>
        </w:rPr>
        <w:t xml:space="preserve">Our analysis also found however, </w:t>
      </w:r>
      <w:r w:rsidR="00166384" w:rsidRPr="007D3C76">
        <w:rPr>
          <w:rFonts w:asciiTheme="minorHAnsi" w:eastAsiaTheme="minorHAnsi" w:hAnsiTheme="minorHAnsi" w:cstheme="minorBidi"/>
          <w:color w:val="auto"/>
          <w:sz w:val="28"/>
          <w:szCs w:val="28"/>
          <w:bdr w:val="none" w:sz="0" w:space="0" w:color="auto"/>
          <w:lang w:eastAsia="en-US"/>
        </w:rPr>
        <w:t xml:space="preserve">that </w:t>
      </w:r>
      <w:r w:rsidRPr="007D3C76">
        <w:rPr>
          <w:rFonts w:asciiTheme="minorHAnsi" w:eastAsiaTheme="minorHAnsi" w:hAnsiTheme="minorHAnsi" w:cstheme="minorBidi"/>
          <w:color w:val="auto"/>
          <w:sz w:val="28"/>
          <w:szCs w:val="28"/>
          <w:bdr w:val="none" w:sz="0" w:space="0" w:color="auto"/>
          <w:lang w:eastAsia="en-US"/>
        </w:rPr>
        <w:t xml:space="preserve">when we look at these recommendations more closely, there have been far more recommendations on very broad issues such as gender equality and gender based violence, than on specific issues such as sexuality education or contraception. For example, there were only 34 recommendations on early pregnancy and 23 on contraception. </w:t>
      </w:r>
    </w:p>
    <w:p w:rsidR="008C057B" w:rsidRPr="007D3C76" w:rsidRDefault="008C057B" w:rsidP="007D3C76">
      <w:pPr>
        <w:pStyle w:val="Body"/>
        <w:spacing w:line="360" w:lineRule="auto"/>
        <w:ind w:firstLine="0"/>
        <w:rPr>
          <w:rFonts w:asciiTheme="minorHAnsi" w:eastAsiaTheme="minorHAnsi" w:hAnsiTheme="minorHAnsi" w:cstheme="minorBidi"/>
          <w:color w:val="auto"/>
          <w:sz w:val="28"/>
          <w:szCs w:val="28"/>
          <w:bdr w:val="none" w:sz="0" w:space="0" w:color="auto"/>
          <w:lang w:eastAsia="en-US"/>
        </w:rPr>
      </w:pPr>
      <w:r w:rsidRPr="007D3C76">
        <w:rPr>
          <w:rFonts w:asciiTheme="minorHAnsi" w:eastAsiaTheme="minorHAnsi" w:hAnsiTheme="minorHAnsi" w:cstheme="minorBidi"/>
          <w:color w:val="auto"/>
          <w:sz w:val="28"/>
          <w:szCs w:val="28"/>
          <w:bdr w:val="none" w:sz="0" w:space="0" w:color="auto"/>
          <w:lang w:eastAsia="en-US"/>
        </w:rPr>
        <w:t>In addition, recommendations are often phrased in vague terms, for example “improve maternal mortality”. Only about one-third of UPR recommendations over both cycles have been specific and action-oriented.</w:t>
      </w:r>
    </w:p>
    <w:p w:rsidR="00D46212" w:rsidRPr="007D3C76" w:rsidRDefault="00D46212" w:rsidP="007D3C76">
      <w:pPr>
        <w:pStyle w:val="Body"/>
        <w:spacing w:line="360" w:lineRule="auto"/>
        <w:ind w:firstLine="0"/>
        <w:rPr>
          <w:rFonts w:asciiTheme="minorHAnsi" w:eastAsiaTheme="minorHAnsi" w:hAnsiTheme="minorHAnsi" w:cstheme="minorBidi"/>
          <w:color w:val="auto"/>
          <w:sz w:val="28"/>
          <w:szCs w:val="28"/>
          <w:bdr w:val="none" w:sz="0" w:space="0" w:color="auto"/>
          <w:lang w:eastAsia="en-US"/>
        </w:rPr>
      </w:pPr>
      <w:r w:rsidRPr="007D3C76">
        <w:rPr>
          <w:rFonts w:asciiTheme="minorHAnsi" w:eastAsiaTheme="minorHAnsi" w:hAnsiTheme="minorHAnsi" w:cstheme="minorBidi"/>
          <w:color w:val="auto"/>
          <w:sz w:val="28"/>
          <w:szCs w:val="28"/>
          <w:bdr w:val="none" w:sz="0" w:space="0" w:color="auto"/>
          <w:lang w:eastAsia="en-US"/>
        </w:rPr>
        <w:t xml:space="preserve">Some recommendations are also repetitive, for example Uganda received 10 recommendations on ratifying the OP to CEDAW- if recommendations were more unique would broaden the range and reach of the UPR on human rights issues. </w:t>
      </w:r>
    </w:p>
    <w:p w:rsidR="00D77C7C" w:rsidRPr="007D3C76" w:rsidRDefault="00D46212" w:rsidP="007D3C76">
      <w:pPr>
        <w:pStyle w:val="Body"/>
        <w:spacing w:line="360" w:lineRule="auto"/>
        <w:ind w:firstLine="0"/>
        <w:rPr>
          <w:rFonts w:asciiTheme="minorHAnsi" w:eastAsiaTheme="minorHAnsi" w:hAnsiTheme="minorHAnsi" w:cstheme="minorBidi"/>
          <w:color w:val="auto"/>
          <w:sz w:val="28"/>
          <w:szCs w:val="28"/>
          <w:bdr w:val="none" w:sz="0" w:space="0" w:color="auto"/>
          <w:lang w:eastAsia="en-US"/>
        </w:rPr>
      </w:pPr>
      <w:r w:rsidRPr="007D3C76">
        <w:rPr>
          <w:rFonts w:asciiTheme="minorHAnsi" w:eastAsiaTheme="minorHAnsi" w:hAnsiTheme="minorHAnsi" w:cstheme="minorBidi"/>
          <w:color w:val="auto"/>
          <w:sz w:val="28"/>
          <w:szCs w:val="28"/>
          <w:bdr w:val="none" w:sz="0" w:space="0" w:color="auto"/>
          <w:lang w:eastAsia="en-US"/>
        </w:rPr>
        <w:lastRenderedPageBreak/>
        <w:t xml:space="preserve">In conclusion, the UPR offers a huge opportunity for accountability and tracking State Progress. However, </w:t>
      </w:r>
      <w:r w:rsidR="00D77C7C" w:rsidRPr="007D3C76">
        <w:rPr>
          <w:rFonts w:asciiTheme="minorHAnsi" w:eastAsiaTheme="minorHAnsi" w:hAnsiTheme="minorHAnsi" w:cstheme="minorBidi"/>
          <w:color w:val="auto"/>
          <w:sz w:val="28"/>
          <w:szCs w:val="28"/>
          <w:bdr w:val="none" w:sz="0" w:space="0" w:color="auto"/>
          <w:lang w:eastAsia="en-US"/>
        </w:rPr>
        <w:t>its</w:t>
      </w:r>
      <w:r w:rsidRPr="007D3C76">
        <w:rPr>
          <w:rFonts w:asciiTheme="minorHAnsi" w:eastAsiaTheme="minorHAnsi" w:hAnsiTheme="minorHAnsi" w:cstheme="minorBidi"/>
          <w:color w:val="auto"/>
          <w:sz w:val="28"/>
          <w:szCs w:val="28"/>
          <w:bdr w:val="none" w:sz="0" w:space="0" w:color="auto"/>
          <w:lang w:eastAsia="en-US"/>
        </w:rPr>
        <w:t xml:space="preserve"> potential could be maximized. </w:t>
      </w:r>
    </w:p>
    <w:p w:rsidR="00166384" w:rsidRPr="007D3C76" w:rsidRDefault="00166384" w:rsidP="007D3C76">
      <w:pPr>
        <w:pStyle w:val="Body"/>
        <w:spacing w:line="360" w:lineRule="auto"/>
        <w:ind w:firstLine="0"/>
        <w:rPr>
          <w:rFonts w:asciiTheme="minorHAnsi" w:eastAsiaTheme="minorHAnsi" w:hAnsiTheme="minorHAnsi" w:cstheme="minorBidi"/>
          <w:b/>
          <w:color w:val="auto"/>
          <w:sz w:val="28"/>
          <w:szCs w:val="28"/>
          <w:bdr w:val="none" w:sz="0" w:space="0" w:color="auto"/>
          <w:lang w:eastAsia="en-US"/>
        </w:rPr>
      </w:pPr>
      <w:r w:rsidRPr="007D3C76">
        <w:rPr>
          <w:rFonts w:asciiTheme="minorHAnsi" w:eastAsiaTheme="minorHAnsi" w:hAnsiTheme="minorHAnsi" w:cstheme="minorBidi"/>
          <w:b/>
          <w:color w:val="auto"/>
          <w:sz w:val="28"/>
          <w:szCs w:val="28"/>
          <w:bdr w:val="none" w:sz="0" w:space="0" w:color="auto"/>
          <w:lang w:eastAsia="en-US"/>
        </w:rPr>
        <w:t xml:space="preserve">Now, the question, is how can we better bring together the wealth of information from the reporting and recommendations to the SDG reporting process? </w:t>
      </w:r>
    </w:p>
    <w:p w:rsidR="004078CC" w:rsidRPr="007D3C76" w:rsidRDefault="00166384" w:rsidP="007D3C76">
      <w:pPr>
        <w:pStyle w:val="Body"/>
        <w:spacing w:line="360" w:lineRule="auto"/>
        <w:ind w:firstLine="0"/>
        <w:rPr>
          <w:rFonts w:asciiTheme="minorHAnsi" w:eastAsiaTheme="minorHAnsi" w:hAnsiTheme="minorHAnsi" w:cstheme="minorBidi"/>
          <w:color w:val="auto"/>
          <w:sz w:val="28"/>
          <w:szCs w:val="28"/>
          <w:bdr w:val="none" w:sz="0" w:space="0" w:color="auto"/>
          <w:lang w:eastAsia="en-US"/>
        </w:rPr>
      </w:pPr>
      <w:r w:rsidRPr="007D3C76">
        <w:rPr>
          <w:rFonts w:asciiTheme="minorHAnsi" w:eastAsiaTheme="minorHAnsi" w:hAnsiTheme="minorHAnsi" w:cstheme="minorBidi"/>
          <w:color w:val="auto"/>
          <w:sz w:val="28"/>
          <w:szCs w:val="28"/>
          <w:bdr w:val="none" w:sz="0" w:space="0" w:color="auto"/>
          <w:lang w:eastAsia="en-US"/>
        </w:rPr>
        <w:t xml:space="preserve">A second initiative we carried out, and in collaboration with </w:t>
      </w:r>
      <w:proofErr w:type="spellStart"/>
      <w:r w:rsidRPr="007D3C76">
        <w:rPr>
          <w:rFonts w:asciiTheme="minorHAnsi" w:eastAsiaTheme="minorHAnsi" w:hAnsiTheme="minorHAnsi" w:cstheme="minorBidi"/>
          <w:color w:val="auto"/>
          <w:sz w:val="28"/>
          <w:szCs w:val="28"/>
          <w:bdr w:val="none" w:sz="0" w:space="0" w:color="auto"/>
          <w:lang w:eastAsia="en-US"/>
        </w:rPr>
        <w:t>Tarcila</w:t>
      </w:r>
      <w:proofErr w:type="spellEnd"/>
      <w:r w:rsidRPr="007D3C76">
        <w:rPr>
          <w:rFonts w:asciiTheme="minorHAnsi" w:eastAsiaTheme="minorHAnsi" w:hAnsiTheme="minorHAnsi" w:cstheme="minorBidi"/>
          <w:color w:val="auto"/>
          <w:sz w:val="28"/>
          <w:szCs w:val="28"/>
          <w:bdr w:val="none" w:sz="0" w:space="0" w:color="auto"/>
          <w:lang w:eastAsia="en-US"/>
        </w:rPr>
        <w:t xml:space="preserve"> and </w:t>
      </w:r>
      <w:proofErr w:type="spellStart"/>
      <w:r w:rsidRPr="007D3C76">
        <w:rPr>
          <w:rFonts w:asciiTheme="minorHAnsi" w:eastAsiaTheme="minorHAnsi" w:hAnsiTheme="minorHAnsi" w:cstheme="minorBidi"/>
          <w:color w:val="auto"/>
          <w:sz w:val="28"/>
          <w:szCs w:val="28"/>
          <w:bdr w:val="none" w:sz="0" w:space="0" w:color="auto"/>
          <w:lang w:eastAsia="en-US"/>
        </w:rPr>
        <w:t>Chirapaq</w:t>
      </w:r>
      <w:proofErr w:type="spellEnd"/>
      <w:proofErr w:type="gramStart"/>
      <w:r w:rsidRPr="007D3C76">
        <w:rPr>
          <w:rFonts w:asciiTheme="minorHAnsi" w:eastAsiaTheme="minorHAnsi" w:hAnsiTheme="minorHAnsi" w:cstheme="minorBidi"/>
          <w:color w:val="auto"/>
          <w:sz w:val="28"/>
          <w:szCs w:val="28"/>
          <w:bdr w:val="none" w:sz="0" w:space="0" w:color="auto"/>
          <w:lang w:eastAsia="en-US"/>
        </w:rPr>
        <w:t xml:space="preserve">, </w:t>
      </w:r>
      <w:r w:rsidR="00D46212" w:rsidRPr="007D3C76">
        <w:rPr>
          <w:rFonts w:asciiTheme="minorHAnsi" w:eastAsiaTheme="minorHAnsi" w:hAnsiTheme="minorHAnsi" w:cstheme="minorBidi"/>
          <w:color w:val="auto"/>
          <w:sz w:val="28"/>
          <w:szCs w:val="28"/>
          <w:bdr w:val="none" w:sz="0" w:space="0" w:color="auto"/>
          <w:lang w:eastAsia="en-US"/>
        </w:rPr>
        <w:t xml:space="preserve"> </w:t>
      </w:r>
      <w:r w:rsidRPr="007D3C76">
        <w:rPr>
          <w:rFonts w:asciiTheme="minorHAnsi" w:eastAsiaTheme="minorHAnsi" w:hAnsiTheme="minorHAnsi" w:cstheme="minorBidi"/>
          <w:color w:val="auto"/>
          <w:sz w:val="28"/>
          <w:szCs w:val="28"/>
          <w:bdr w:val="none" w:sz="0" w:space="0" w:color="auto"/>
          <w:lang w:eastAsia="en-US"/>
        </w:rPr>
        <w:t>is</w:t>
      </w:r>
      <w:proofErr w:type="gramEnd"/>
      <w:r w:rsidRPr="007D3C76">
        <w:rPr>
          <w:rFonts w:asciiTheme="minorHAnsi" w:eastAsiaTheme="minorHAnsi" w:hAnsiTheme="minorHAnsi" w:cstheme="minorBidi"/>
          <w:color w:val="auto"/>
          <w:sz w:val="28"/>
          <w:szCs w:val="28"/>
          <w:bdr w:val="none" w:sz="0" w:space="0" w:color="auto"/>
          <w:lang w:eastAsia="en-US"/>
        </w:rPr>
        <w:t xml:space="preserve"> a review of </w:t>
      </w:r>
      <w:r w:rsidR="00D46212" w:rsidRPr="007D3C76">
        <w:rPr>
          <w:rFonts w:asciiTheme="minorHAnsi" w:eastAsiaTheme="minorHAnsi" w:hAnsiTheme="minorHAnsi" w:cstheme="minorBidi"/>
          <w:color w:val="auto"/>
          <w:sz w:val="28"/>
          <w:szCs w:val="28"/>
          <w:bdr w:val="none" w:sz="0" w:space="0" w:color="auto"/>
          <w:lang w:eastAsia="en-US"/>
        </w:rPr>
        <w:t>re</w:t>
      </w:r>
      <w:r w:rsidRPr="007D3C76">
        <w:rPr>
          <w:rFonts w:asciiTheme="minorHAnsi" w:eastAsiaTheme="minorHAnsi" w:hAnsiTheme="minorHAnsi" w:cstheme="minorBidi"/>
          <w:color w:val="auto"/>
          <w:sz w:val="28"/>
          <w:szCs w:val="28"/>
          <w:bdr w:val="none" w:sz="0" w:space="0" w:color="auto"/>
          <w:lang w:eastAsia="en-US"/>
        </w:rPr>
        <w:t xml:space="preserve">commendations of the UNFPII in regards to </w:t>
      </w:r>
      <w:r w:rsidR="00D46212" w:rsidRPr="007D3C76">
        <w:rPr>
          <w:rFonts w:asciiTheme="minorHAnsi" w:eastAsiaTheme="minorHAnsi" w:hAnsiTheme="minorHAnsi" w:cstheme="minorBidi"/>
          <w:color w:val="auto"/>
          <w:sz w:val="28"/>
          <w:szCs w:val="28"/>
          <w:bdr w:val="none" w:sz="0" w:space="0" w:color="auto"/>
          <w:lang w:eastAsia="en-US"/>
        </w:rPr>
        <w:t>SRHR and GBV issues</w:t>
      </w:r>
      <w:r w:rsidRPr="007D3C76">
        <w:rPr>
          <w:rFonts w:asciiTheme="minorHAnsi" w:eastAsiaTheme="minorHAnsi" w:hAnsiTheme="minorHAnsi" w:cstheme="minorBidi"/>
          <w:color w:val="auto"/>
          <w:sz w:val="28"/>
          <w:szCs w:val="28"/>
          <w:bdr w:val="none" w:sz="0" w:space="0" w:color="auto"/>
          <w:lang w:eastAsia="en-US"/>
        </w:rPr>
        <w:t xml:space="preserve"> and the extent to which these have been implemented</w:t>
      </w:r>
      <w:r w:rsidR="00D46212" w:rsidRPr="007D3C76">
        <w:rPr>
          <w:rFonts w:asciiTheme="minorHAnsi" w:eastAsiaTheme="minorHAnsi" w:hAnsiTheme="minorHAnsi" w:cstheme="minorBidi"/>
          <w:color w:val="auto"/>
          <w:sz w:val="28"/>
          <w:szCs w:val="28"/>
          <w:bdr w:val="none" w:sz="0" w:space="0" w:color="auto"/>
          <w:lang w:eastAsia="en-US"/>
        </w:rPr>
        <w:t xml:space="preserve">. </w:t>
      </w:r>
      <w:r w:rsidRPr="007D3C76">
        <w:rPr>
          <w:rFonts w:asciiTheme="minorHAnsi" w:eastAsiaTheme="minorHAnsi" w:hAnsiTheme="minorHAnsi" w:cstheme="minorBidi"/>
          <w:color w:val="auto"/>
          <w:sz w:val="28"/>
          <w:szCs w:val="28"/>
          <w:bdr w:val="none" w:sz="0" w:space="0" w:color="auto"/>
          <w:lang w:eastAsia="en-US"/>
        </w:rPr>
        <w:t xml:space="preserve"> </w:t>
      </w:r>
      <w:r w:rsidR="004078CC" w:rsidRPr="007D3C76">
        <w:rPr>
          <w:rFonts w:asciiTheme="minorHAnsi" w:eastAsiaTheme="minorHAnsi" w:hAnsiTheme="minorHAnsi" w:cstheme="minorBidi"/>
          <w:color w:val="auto"/>
          <w:sz w:val="28"/>
          <w:szCs w:val="28"/>
          <w:bdr w:val="none" w:sz="0" w:space="0" w:color="auto"/>
          <w:lang w:eastAsia="en-US"/>
        </w:rPr>
        <w:t xml:space="preserve">The Study aims to better understand the achievements, limits, barriers and scope of the recommendations of the Permanent Forum </w:t>
      </w:r>
      <w:r w:rsidRPr="007D3C76">
        <w:rPr>
          <w:rFonts w:asciiTheme="minorHAnsi" w:eastAsiaTheme="minorHAnsi" w:hAnsiTheme="minorHAnsi" w:cstheme="minorBidi"/>
          <w:color w:val="auto"/>
          <w:sz w:val="28"/>
          <w:szCs w:val="28"/>
          <w:bdr w:val="none" w:sz="0" w:space="0" w:color="auto"/>
          <w:lang w:eastAsia="en-US"/>
        </w:rPr>
        <w:t xml:space="preserve">for </w:t>
      </w:r>
      <w:r w:rsidR="004078CC" w:rsidRPr="007D3C76">
        <w:rPr>
          <w:rFonts w:asciiTheme="minorHAnsi" w:eastAsiaTheme="minorHAnsi" w:hAnsiTheme="minorHAnsi" w:cstheme="minorBidi"/>
          <w:color w:val="auto"/>
          <w:sz w:val="28"/>
          <w:szCs w:val="28"/>
          <w:bdr w:val="none" w:sz="0" w:space="0" w:color="auto"/>
          <w:lang w:eastAsia="en-US"/>
        </w:rPr>
        <w:t>generating actions to achieve progress in the exercise of indigenous women’s</w:t>
      </w:r>
      <w:r w:rsidRPr="007D3C76">
        <w:rPr>
          <w:rFonts w:asciiTheme="minorHAnsi" w:eastAsiaTheme="minorHAnsi" w:hAnsiTheme="minorHAnsi" w:cstheme="minorBidi"/>
          <w:color w:val="auto"/>
          <w:sz w:val="28"/>
          <w:szCs w:val="28"/>
          <w:bdr w:val="none" w:sz="0" w:space="0" w:color="auto"/>
          <w:lang w:eastAsia="en-US"/>
        </w:rPr>
        <w:t xml:space="preserve"> rights</w:t>
      </w:r>
      <w:r w:rsidR="004078CC" w:rsidRPr="007D3C76">
        <w:rPr>
          <w:rFonts w:asciiTheme="minorHAnsi" w:eastAsiaTheme="minorHAnsi" w:hAnsiTheme="minorHAnsi" w:cstheme="minorBidi"/>
          <w:color w:val="auto"/>
          <w:sz w:val="28"/>
          <w:szCs w:val="28"/>
          <w:bdr w:val="none" w:sz="0" w:space="0" w:color="auto"/>
          <w:lang w:eastAsia="en-US"/>
        </w:rPr>
        <w:t>.</w:t>
      </w:r>
    </w:p>
    <w:p w:rsidR="004078CC" w:rsidRPr="007D3C76" w:rsidRDefault="004078CC" w:rsidP="007D3C76">
      <w:pPr>
        <w:spacing w:after="0" w:line="360" w:lineRule="auto"/>
        <w:jc w:val="both"/>
        <w:rPr>
          <w:sz w:val="28"/>
          <w:szCs w:val="28"/>
        </w:rPr>
      </w:pPr>
      <w:r w:rsidRPr="007D3C76">
        <w:rPr>
          <w:sz w:val="28"/>
          <w:szCs w:val="28"/>
        </w:rPr>
        <w:t>The Study found that:</w:t>
      </w:r>
    </w:p>
    <w:p w:rsidR="004078CC" w:rsidRPr="007D3C76" w:rsidRDefault="004078CC" w:rsidP="007D3C76">
      <w:pPr>
        <w:pStyle w:val="ListParagraph"/>
        <w:widowControl w:val="0"/>
        <w:numPr>
          <w:ilvl w:val="0"/>
          <w:numId w:val="2"/>
        </w:numPr>
        <w:tabs>
          <w:tab w:val="left" w:pos="841"/>
        </w:tabs>
        <w:autoSpaceDE w:val="0"/>
        <w:autoSpaceDN w:val="0"/>
        <w:spacing w:after="0" w:line="360" w:lineRule="auto"/>
        <w:ind w:right="113"/>
        <w:contextualSpacing w:val="0"/>
        <w:jc w:val="both"/>
        <w:rPr>
          <w:sz w:val="28"/>
          <w:szCs w:val="28"/>
        </w:rPr>
      </w:pPr>
      <w:r w:rsidRPr="007D3C76">
        <w:rPr>
          <w:sz w:val="28"/>
          <w:szCs w:val="28"/>
        </w:rPr>
        <w:t>In its 16 sessions, only 16 per cent of the recommendations made by the Permanent Forum explicitly focus on the situation of indigenous women, girls and gender equality. Only 3 per cent relate to sexual and reproductive health and 6 per cent to gender based violence.</w:t>
      </w:r>
    </w:p>
    <w:p w:rsidR="004078CC" w:rsidRPr="007D3C76" w:rsidRDefault="004078CC" w:rsidP="007D3C76">
      <w:pPr>
        <w:pStyle w:val="ListParagraph"/>
        <w:numPr>
          <w:ilvl w:val="0"/>
          <w:numId w:val="2"/>
        </w:numPr>
        <w:spacing w:after="240" w:line="360" w:lineRule="auto"/>
        <w:jc w:val="both"/>
        <w:rPr>
          <w:sz w:val="28"/>
          <w:szCs w:val="28"/>
        </w:rPr>
      </w:pPr>
      <w:r w:rsidRPr="007D3C76">
        <w:rPr>
          <w:sz w:val="28"/>
          <w:szCs w:val="28"/>
        </w:rPr>
        <w:t>The Forum has i</w:t>
      </w:r>
      <w:bookmarkStart w:id="0" w:name="_GoBack"/>
      <w:bookmarkEnd w:id="0"/>
      <w:r w:rsidRPr="007D3C76">
        <w:rPr>
          <w:sz w:val="28"/>
          <w:szCs w:val="28"/>
        </w:rPr>
        <w:t>ssued 170 recommendations specifically aimed at improving the situation</w:t>
      </w:r>
      <w:r w:rsidR="00166384" w:rsidRPr="007D3C76">
        <w:rPr>
          <w:sz w:val="28"/>
          <w:szCs w:val="28"/>
        </w:rPr>
        <w:t xml:space="preserve"> of indigenous women; however, </w:t>
      </w:r>
      <w:r w:rsidRPr="007D3C76">
        <w:rPr>
          <w:sz w:val="28"/>
          <w:szCs w:val="28"/>
        </w:rPr>
        <w:t>only 10 have been reported as “completed”</w:t>
      </w:r>
    </w:p>
    <w:p w:rsidR="004078CC" w:rsidRPr="007D3C76" w:rsidRDefault="004078CC" w:rsidP="007D3C76">
      <w:pPr>
        <w:pStyle w:val="ListParagraph"/>
        <w:numPr>
          <w:ilvl w:val="0"/>
          <w:numId w:val="2"/>
        </w:numPr>
        <w:spacing w:after="240" w:line="360" w:lineRule="auto"/>
        <w:jc w:val="both"/>
        <w:rPr>
          <w:sz w:val="28"/>
          <w:szCs w:val="28"/>
        </w:rPr>
      </w:pPr>
      <w:r w:rsidRPr="007D3C76">
        <w:rPr>
          <w:sz w:val="28"/>
          <w:szCs w:val="28"/>
        </w:rPr>
        <w:t xml:space="preserve">One of the main challenges the Forum faces is the low response rate it receives from UN Member States. In the 16 years the Forum has been held, only 37 UN Member States have submitted reports for the annual Sessions. Of them, only one country (Mexico) has sent more than 10 reports, while most have sent one or two reports in total. In addition, these reports often focus on process and activities but not results. </w:t>
      </w:r>
    </w:p>
    <w:p w:rsidR="00166384" w:rsidRPr="007D3C76" w:rsidRDefault="002C7F68" w:rsidP="007D3C76">
      <w:pPr>
        <w:pStyle w:val="Body"/>
        <w:spacing w:line="360" w:lineRule="auto"/>
        <w:ind w:firstLine="0"/>
        <w:rPr>
          <w:rFonts w:asciiTheme="minorHAnsi" w:eastAsiaTheme="minorHAnsi" w:hAnsiTheme="minorHAnsi" w:cstheme="minorBidi"/>
          <w:color w:val="auto"/>
          <w:sz w:val="28"/>
          <w:szCs w:val="28"/>
          <w:bdr w:val="none" w:sz="0" w:space="0" w:color="auto"/>
          <w:lang w:eastAsia="en-US"/>
        </w:rPr>
      </w:pPr>
      <w:r w:rsidRPr="007D3C76">
        <w:rPr>
          <w:rFonts w:asciiTheme="minorHAnsi" w:eastAsiaTheme="minorHAnsi" w:hAnsiTheme="minorHAnsi" w:cstheme="minorBidi"/>
          <w:color w:val="auto"/>
          <w:sz w:val="28"/>
          <w:szCs w:val="28"/>
          <w:bdr w:val="none" w:sz="0" w:space="0" w:color="auto"/>
          <w:lang w:eastAsia="en-US"/>
        </w:rPr>
        <w:lastRenderedPageBreak/>
        <w:t>The Study identified</w:t>
      </w:r>
      <w:r w:rsidR="004078CC" w:rsidRPr="007D3C76">
        <w:rPr>
          <w:rFonts w:asciiTheme="minorHAnsi" w:eastAsiaTheme="minorHAnsi" w:hAnsiTheme="minorHAnsi" w:cstheme="minorBidi"/>
          <w:color w:val="auto"/>
          <w:sz w:val="28"/>
          <w:szCs w:val="28"/>
          <w:bdr w:val="none" w:sz="0" w:space="0" w:color="auto"/>
          <w:lang w:eastAsia="en-US"/>
        </w:rPr>
        <w:t xml:space="preserve"> the key inhibiting and enabling factors for the Permanent Forum to take action. These include such issues as the limited budget and low priority given to indigenous women’s issues in the country; lack of disaggregated information; and lack of mechanisms and processes in the country to follow up to the recommendations</w:t>
      </w:r>
      <w:r w:rsidRPr="007D3C76">
        <w:rPr>
          <w:rFonts w:asciiTheme="minorHAnsi" w:eastAsiaTheme="minorHAnsi" w:hAnsiTheme="minorHAnsi" w:cstheme="minorBidi"/>
          <w:color w:val="auto"/>
          <w:sz w:val="28"/>
          <w:szCs w:val="28"/>
          <w:bdr w:val="none" w:sz="0" w:space="0" w:color="auto"/>
          <w:lang w:eastAsia="en-US"/>
        </w:rPr>
        <w:t>. It also included the lack of coordination and synergies across the different UN HR and development mechanisms- from the UNFPII to HRC, to HLPF, and synergies across even the different mechanisms supporting indigenous people’s rights.</w:t>
      </w:r>
    </w:p>
    <w:p w:rsidR="002C7F68" w:rsidRPr="007D3C76" w:rsidRDefault="00D46212" w:rsidP="007D3C76">
      <w:pPr>
        <w:pStyle w:val="Body"/>
        <w:spacing w:line="360" w:lineRule="auto"/>
        <w:ind w:firstLine="0"/>
        <w:rPr>
          <w:rFonts w:asciiTheme="minorHAnsi" w:eastAsiaTheme="minorHAnsi" w:hAnsiTheme="minorHAnsi" w:cstheme="minorBidi"/>
          <w:color w:val="auto"/>
          <w:sz w:val="28"/>
          <w:szCs w:val="28"/>
          <w:bdr w:val="none" w:sz="0" w:space="0" w:color="auto"/>
          <w:lang w:eastAsia="en-US"/>
        </w:rPr>
      </w:pPr>
      <w:r w:rsidRPr="007D3C76">
        <w:rPr>
          <w:rFonts w:asciiTheme="minorHAnsi" w:eastAsiaTheme="minorHAnsi" w:hAnsiTheme="minorHAnsi" w:cstheme="minorBidi"/>
          <w:color w:val="auto"/>
          <w:sz w:val="28"/>
          <w:szCs w:val="28"/>
          <w:bdr w:val="none" w:sz="0" w:space="0" w:color="auto"/>
          <w:lang w:eastAsia="en-US"/>
        </w:rPr>
        <w:t xml:space="preserve">Finally, </w:t>
      </w:r>
      <w:r w:rsidR="002C7F68" w:rsidRPr="007D3C76">
        <w:rPr>
          <w:rFonts w:asciiTheme="minorHAnsi" w:eastAsiaTheme="minorHAnsi" w:hAnsiTheme="minorHAnsi" w:cstheme="minorBidi"/>
          <w:color w:val="auto"/>
          <w:sz w:val="28"/>
          <w:szCs w:val="28"/>
          <w:bdr w:val="none" w:sz="0" w:space="0" w:color="auto"/>
          <w:lang w:eastAsia="en-US"/>
        </w:rPr>
        <w:t xml:space="preserve">going down to the country level, </w:t>
      </w:r>
      <w:r w:rsidRPr="007D3C76">
        <w:rPr>
          <w:rFonts w:asciiTheme="minorHAnsi" w:eastAsiaTheme="minorHAnsi" w:hAnsiTheme="minorHAnsi" w:cstheme="minorBidi"/>
          <w:color w:val="auto"/>
          <w:sz w:val="28"/>
          <w:szCs w:val="28"/>
          <w:bdr w:val="none" w:sz="0" w:space="0" w:color="auto"/>
          <w:lang w:eastAsia="en-US"/>
        </w:rPr>
        <w:t xml:space="preserve">UNFPA has also been working to strengthen the capacity of NHRIs to monitor SRHR issues as part of their work. </w:t>
      </w:r>
    </w:p>
    <w:p w:rsidR="00D46212" w:rsidRPr="007D3C76" w:rsidRDefault="002C7F68" w:rsidP="007D3C76">
      <w:pPr>
        <w:pStyle w:val="Body"/>
        <w:spacing w:line="360" w:lineRule="auto"/>
        <w:ind w:firstLine="0"/>
        <w:rPr>
          <w:rFonts w:asciiTheme="minorHAnsi" w:eastAsiaTheme="minorHAnsi" w:hAnsiTheme="minorHAnsi" w:cstheme="minorBidi"/>
          <w:color w:val="auto"/>
          <w:sz w:val="28"/>
          <w:szCs w:val="28"/>
          <w:bdr w:val="none" w:sz="0" w:space="0" w:color="auto"/>
          <w:lang w:eastAsia="en-US"/>
        </w:rPr>
      </w:pPr>
      <w:r w:rsidRPr="007D3C76">
        <w:rPr>
          <w:rFonts w:asciiTheme="minorHAnsi" w:eastAsiaTheme="minorHAnsi" w:hAnsiTheme="minorHAnsi" w:cstheme="minorBidi"/>
          <w:color w:val="auto"/>
          <w:sz w:val="28"/>
          <w:szCs w:val="28"/>
          <w:bdr w:val="none" w:sz="0" w:space="0" w:color="auto"/>
          <w:lang w:eastAsia="en-US"/>
        </w:rPr>
        <w:t xml:space="preserve">I don’t have time to go into details here. But will mention to country examples- Azerbaijan and Guatemala, which </w:t>
      </w:r>
      <w:r w:rsidR="00D46212" w:rsidRPr="007D3C76">
        <w:rPr>
          <w:rFonts w:asciiTheme="minorHAnsi" w:eastAsiaTheme="minorHAnsi" w:hAnsiTheme="minorHAnsi" w:cstheme="minorBidi"/>
          <w:color w:val="auto"/>
          <w:sz w:val="28"/>
          <w:szCs w:val="28"/>
          <w:bdr w:val="none" w:sz="0" w:space="0" w:color="auto"/>
          <w:lang w:eastAsia="en-US"/>
        </w:rPr>
        <w:t>illustrate</w:t>
      </w:r>
      <w:r w:rsidRPr="007D3C76">
        <w:rPr>
          <w:rFonts w:asciiTheme="minorHAnsi" w:eastAsiaTheme="minorHAnsi" w:hAnsiTheme="minorHAnsi" w:cstheme="minorBidi"/>
          <w:color w:val="auto"/>
          <w:sz w:val="28"/>
          <w:szCs w:val="28"/>
          <w:bdr w:val="none" w:sz="0" w:space="0" w:color="auto"/>
          <w:lang w:eastAsia="en-US"/>
        </w:rPr>
        <w:t xml:space="preserve"> in a very practical way how</w:t>
      </w:r>
      <w:r w:rsidR="00D46212" w:rsidRPr="007D3C76">
        <w:rPr>
          <w:rFonts w:asciiTheme="minorHAnsi" w:eastAsiaTheme="minorHAnsi" w:hAnsiTheme="minorHAnsi" w:cstheme="minorBidi"/>
          <w:color w:val="auto"/>
          <w:sz w:val="28"/>
          <w:szCs w:val="28"/>
          <w:bdr w:val="none" w:sz="0" w:space="0" w:color="auto"/>
          <w:lang w:eastAsia="en-US"/>
        </w:rPr>
        <w:t xml:space="preserve"> these mechanisms can strengthen </w:t>
      </w:r>
      <w:r w:rsidRPr="007D3C76">
        <w:rPr>
          <w:rFonts w:asciiTheme="minorHAnsi" w:eastAsiaTheme="minorHAnsi" w:hAnsiTheme="minorHAnsi" w:cstheme="minorBidi"/>
          <w:color w:val="auto"/>
          <w:sz w:val="28"/>
          <w:szCs w:val="28"/>
          <w:bdr w:val="none" w:sz="0" w:space="0" w:color="auto"/>
          <w:lang w:eastAsia="en-US"/>
        </w:rPr>
        <w:t xml:space="preserve">accountability for gender and SRHR issues at the country level, and the huge potential to channel these process into the </w:t>
      </w:r>
      <w:proofErr w:type="gramStart"/>
      <w:r w:rsidRPr="007D3C76">
        <w:rPr>
          <w:rFonts w:asciiTheme="minorHAnsi" w:eastAsiaTheme="minorHAnsi" w:hAnsiTheme="minorHAnsi" w:cstheme="minorBidi"/>
          <w:color w:val="auto"/>
          <w:sz w:val="28"/>
          <w:szCs w:val="28"/>
          <w:bdr w:val="none" w:sz="0" w:space="0" w:color="auto"/>
          <w:lang w:eastAsia="en-US"/>
        </w:rPr>
        <w:t xml:space="preserve">SDG </w:t>
      </w:r>
      <w:r w:rsidR="00D46212" w:rsidRPr="007D3C76">
        <w:rPr>
          <w:rFonts w:asciiTheme="minorHAnsi" w:eastAsiaTheme="minorHAnsi" w:hAnsiTheme="minorHAnsi" w:cstheme="minorBidi"/>
          <w:color w:val="auto"/>
          <w:sz w:val="28"/>
          <w:szCs w:val="28"/>
          <w:bdr w:val="none" w:sz="0" w:space="0" w:color="auto"/>
          <w:lang w:eastAsia="en-US"/>
        </w:rPr>
        <w:t xml:space="preserve"> voluntary</w:t>
      </w:r>
      <w:proofErr w:type="gramEnd"/>
      <w:r w:rsidR="00D46212" w:rsidRPr="007D3C76">
        <w:rPr>
          <w:rFonts w:asciiTheme="minorHAnsi" w:eastAsiaTheme="minorHAnsi" w:hAnsiTheme="minorHAnsi" w:cstheme="minorBidi"/>
          <w:color w:val="auto"/>
          <w:sz w:val="28"/>
          <w:szCs w:val="28"/>
          <w:bdr w:val="none" w:sz="0" w:space="0" w:color="auto"/>
          <w:lang w:eastAsia="en-US"/>
        </w:rPr>
        <w:t xml:space="preserve"> national reviews.</w:t>
      </w:r>
    </w:p>
    <w:p w:rsidR="00D77C7C" w:rsidRPr="007D3C76" w:rsidRDefault="00D46212" w:rsidP="007D3C76">
      <w:pPr>
        <w:pStyle w:val="Body"/>
        <w:spacing w:line="360" w:lineRule="auto"/>
        <w:ind w:firstLine="0"/>
        <w:rPr>
          <w:rFonts w:asciiTheme="minorHAnsi" w:eastAsiaTheme="minorHAnsi" w:hAnsiTheme="minorHAnsi" w:cstheme="minorBidi"/>
          <w:color w:val="auto"/>
          <w:sz w:val="28"/>
          <w:szCs w:val="28"/>
          <w:bdr w:val="none" w:sz="0" w:space="0" w:color="auto"/>
          <w:lang w:eastAsia="en-US"/>
        </w:rPr>
      </w:pPr>
      <w:r w:rsidRPr="007D3C76">
        <w:rPr>
          <w:rFonts w:asciiTheme="minorHAnsi" w:eastAsiaTheme="minorHAnsi" w:hAnsiTheme="minorHAnsi" w:cstheme="minorBidi"/>
          <w:color w:val="auto"/>
          <w:sz w:val="28"/>
          <w:szCs w:val="28"/>
          <w:bdr w:val="none" w:sz="0" w:space="0" w:color="auto"/>
          <w:lang w:eastAsia="en-US"/>
        </w:rPr>
        <w:t xml:space="preserve">In both countries a national assessment of SRHR was carried out which culminated in the development of </w:t>
      </w:r>
      <w:proofErr w:type="gramStart"/>
      <w:r w:rsidRPr="007D3C76">
        <w:rPr>
          <w:rFonts w:asciiTheme="minorHAnsi" w:eastAsiaTheme="minorHAnsi" w:hAnsiTheme="minorHAnsi" w:cstheme="minorBidi"/>
          <w:color w:val="auto"/>
          <w:sz w:val="28"/>
          <w:szCs w:val="28"/>
          <w:bdr w:val="none" w:sz="0" w:space="0" w:color="auto"/>
          <w:lang w:eastAsia="en-US"/>
        </w:rPr>
        <w:t>a</w:t>
      </w:r>
      <w:proofErr w:type="gramEnd"/>
      <w:r w:rsidRPr="007D3C76">
        <w:rPr>
          <w:rFonts w:asciiTheme="minorHAnsi" w:eastAsiaTheme="minorHAnsi" w:hAnsiTheme="minorHAnsi" w:cstheme="minorBidi"/>
          <w:color w:val="auto"/>
          <w:sz w:val="28"/>
          <w:szCs w:val="28"/>
          <w:bdr w:val="none" w:sz="0" w:space="0" w:color="auto"/>
          <w:lang w:eastAsia="en-US"/>
        </w:rPr>
        <w:t xml:space="preserve"> M&amp;E framework to track regularly and systematically states’ progress on SRHR. In Azerbaijan, based on the lat</w:t>
      </w:r>
      <w:r w:rsidR="002C7F68" w:rsidRPr="007D3C76">
        <w:rPr>
          <w:rFonts w:asciiTheme="minorHAnsi" w:eastAsiaTheme="minorHAnsi" w:hAnsiTheme="minorHAnsi" w:cstheme="minorBidi"/>
          <w:color w:val="auto"/>
          <w:sz w:val="28"/>
          <w:szCs w:val="28"/>
          <w:bdr w:val="none" w:sz="0" w:space="0" w:color="auto"/>
          <w:lang w:eastAsia="en-US"/>
        </w:rPr>
        <w:t>e</w:t>
      </w:r>
      <w:r w:rsidRPr="007D3C76">
        <w:rPr>
          <w:rFonts w:asciiTheme="minorHAnsi" w:eastAsiaTheme="minorHAnsi" w:hAnsiTheme="minorHAnsi" w:cstheme="minorBidi"/>
          <w:color w:val="auto"/>
          <w:sz w:val="28"/>
          <w:szCs w:val="28"/>
          <w:bdr w:val="none" w:sz="0" w:space="0" w:color="auto"/>
          <w:lang w:eastAsia="en-US"/>
        </w:rPr>
        <w:t xml:space="preserve">st CEDAW and UPR recommendations, the NHRI developed indicators in five specific areas- abortion, maternal health, violence </w:t>
      </w:r>
      <w:r w:rsidR="00D77C7C" w:rsidRPr="007D3C76">
        <w:rPr>
          <w:rFonts w:asciiTheme="minorHAnsi" w:eastAsiaTheme="minorHAnsi" w:hAnsiTheme="minorHAnsi" w:cstheme="minorBidi"/>
          <w:color w:val="auto"/>
          <w:sz w:val="28"/>
          <w:szCs w:val="28"/>
          <w:bdr w:val="none" w:sz="0" w:space="0" w:color="auto"/>
          <w:lang w:eastAsia="en-US"/>
        </w:rPr>
        <w:t>against women, C</w:t>
      </w:r>
      <w:r w:rsidRPr="007D3C76">
        <w:rPr>
          <w:rFonts w:asciiTheme="minorHAnsi" w:eastAsiaTheme="minorHAnsi" w:hAnsiTheme="minorHAnsi" w:cstheme="minorBidi"/>
          <w:color w:val="auto"/>
          <w:sz w:val="28"/>
          <w:szCs w:val="28"/>
          <w:bdr w:val="none" w:sz="0" w:space="0" w:color="auto"/>
          <w:lang w:eastAsia="en-US"/>
        </w:rPr>
        <w:t xml:space="preserve">SW, and HIV- to track progress by the Government in meeting these human rights obligations.  </w:t>
      </w:r>
      <w:r w:rsidR="00863C25" w:rsidRPr="007D3C76">
        <w:rPr>
          <w:rFonts w:asciiTheme="minorHAnsi" w:eastAsiaTheme="minorHAnsi" w:hAnsiTheme="minorHAnsi" w:cstheme="minorBidi"/>
          <w:color w:val="auto"/>
          <w:sz w:val="28"/>
          <w:szCs w:val="28"/>
          <w:bdr w:val="none" w:sz="0" w:space="0" w:color="auto"/>
          <w:lang w:eastAsia="en-US"/>
        </w:rPr>
        <w:t xml:space="preserve">The NHRI reached an agreement with the government, to update the indicator matrix bi-annually. </w:t>
      </w:r>
    </w:p>
    <w:p w:rsidR="00863C25" w:rsidRPr="007D3C76" w:rsidRDefault="00863C25" w:rsidP="007D3C76">
      <w:pPr>
        <w:pStyle w:val="Body"/>
        <w:spacing w:line="360" w:lineRule="auto"/>
        <w:ind w:firstLine="0"/>
        <w:rPr>
          <w:rFonts w:asciiTheme="minorHAnsi" w:eastAsiaTheme="minorHAnsi" w:hAnsiTheme="minorHAnsi" w:cstheme="minorBidi"/>
          <w:color w:val="auto"/>
          <w:sz w:val="28"/>
          <w:szCs w:val="28"/>
          <w:bdr w:val="none" w:sz="0" w:space="0" w:color="auto"/>
          <w:lang w:eastAsia="en-US"/>
        </w:rPr>
      </w:pPr>
      <w:r w:rsidRPr="007D3C76">
        <w:rPr>
          <w:rFonts w:asciiTheme="minorHAnsi" w:eastAsiaTheme="minorHAnsi" w:hAnsiTheme="minorHAnsi" w:cstheme="minorBidi"/>
          <w:color w:val="auto"/>
          <w:sz w:val="28"/>
          <w:szCs w:val="28"/>
          <w:bdr w:val="none" w:sz="0" w:space="0" w:color="auto"/>
          <w:lang w:eastAsia="en-US"/>
        </w:rPr>
        <w:lastRenderedPageBreak/>
        <w:t xml:space="preserve">In Guatemala, the Ombudsperson Office developed a standardized system for monitoring and evaluating the status of SRHR in the country, to be used on an annual basis. </w:t>
      </w:r>
    </w:p>
    <w:p w:rsidR="002C7F68" w:rsidRPr="007D3C76" w:rsidRDefault="002C7F68" w:rsidP="007D3C76">
      <w:pPr>
        <w:pStyle w:val="Body"/>
        <w:spacing w:line="360" w:lineRule="auto"/>
        <w:ind w:firstLine="0"/>
        <w:rPr>
          <w:rFonts w:asciiTheme="minorHAnsi" w:eastAsiaTheme="minorHAnsi" w:hAnsiTheme="minorHAnsi" w:cstheme="minorBidi"/>
          <w:color w:val="auto"/>
          <w:sz w:val="28"/>
          <w:szCs w:val="28"/>
          <w:bdr w:val="none" w:sz="0" w:space="0" w:color="auto"/>
          <w:lang w:eastAsia="en-US"/>
        </w:rPr>
      </w:pPr>
    </w:p>
    <w:p w:rsidR="002C7F68" w:rsidRPr="007D3C76" w:rsidRDefault="002C7F68" w:rsidP="007D3C76">
      <w:pPr>
        <w:pStyle w:val="Body"/>
        <w:spacing w:line="360" w:lineRule="auto"/>
        <w:ind w:firstLine="0"/>
        <w:rPr>
          <w:rFonts w:asciiTheme="minorHAnsi" w:eastAsiaTheme="minorHAnsi" w:hAnsiTheme="minorHAnsi" w:cstheme="minorBidi"/>
          <w:color w:val="auto"/>
          <w:sz w:val="28"/>
          <w:szCs w:val="28"/>
          <w:bdr w:val="none" w:sz="0" w:space="0" w:color="auto"/>
          <w:lang w:eastAsia="en-US"/>
        </w:rPr>
      </w:pPr>
      <w:r w:rsidRPr="007D3C76">
        <w:rPr>
          <w:rFonts w:asciiTheme="minorHAnsi" w:eastAsiaTheme="minorHAnsi" w:hAnsiTheme="minorHAnsi" w:cstheme="minorBidi"/>
          <w:color w:val="auto"/>
          <w:sz w:val="28"/>
          <w:szCs w:val="28"/>
          <w:bdr w:val="none" w:sz="0" w:space="0" w:color="auto"/>
          <w:lang w:eastAsia="en-US"/>
        </w:rPr>
        <w:t xml:space="preserve">These initiatives will provide important sources of information for strengthening accountability. Now a key step is to ensure that that information is channelled into SDG report.  </w:t>
      </w:r>
    </w:p>
    <w:p w:rsidR="002C7F68" w:rsidRPr="007D3C76" w:rsidRDefault="002C7F68" w:rsidP="007D3C76">
      <w:pPr>
        <w:pStyle w:val="Body"/>
        <w:spacing w:line="360" w:lineRule="auto"/>
        <w:ind w:firstLine="0"/>
        <w:rPr>
          <w:rFonts w:asciiTheme="minorHAnsi" w:eastAsiaTheme="minorHAnsi" w:hAnsiTheme="minorHAnsi" w:cstheme="minorBidi"/>
          <w:color w:val="auto"/>
          <w:sz w:val="28"/>
          <w:szCs w:val="28"/>
          <w:bdr w:val="none" w:sz="0" w:space="0" w:color="auto"/>
          <w:lang w:eastAsia="en-US"/>
        </w:rPr>
      </w:pPr>
    </w:p>
    <w:p w:rsidR="002C7F68" w:rsidRPr="007D3C76" w:rsidRDefault="002C7F68" w:rsidP="007D3C76">
      <w:pPr>
        <w:pStyle w:val="Body"/>
        <w:spacing w:line="360" w:lineRule="auto"/>
        <w:ind w:firstLine="0"/>
        <w:rPr>
          <w:rFonts w:asciiTheme="minorHAnsi" w:eastAsiaTheme="minorHAnsi" w:hAnsiTheme="minorHAnsi" w:cstheme="minorBidi"/>
          <w:color w:val="auto"/>
          <w:sz w:val="28"/>
          <w:szCs w:val="28"/>
          <w:bdr w:val="none" w:sz="0" w:space="0" w:color="auto"/>
          <w:lang w:eastAsia="en-US"/>
        </w:rPr>
      </w:pPr>
      <w:r w:rsidRPr="007D3C76">
        <w:rPr>
          <w:rFonts w:asciiTheme="minorHAnsi" w:eastAsiaTheme="minorHAnsi" w:hAnsiTheme="minorHAnsi" w:cstheme="minorBidi"/>
          <w:color w:val="auto"/>
          <w:sz w:val="28"/>
          <w:szCs w:val="28"/>
          <w:bdr w:val="none" w:sz="0" w:space="0" w:color="auto"/>
          <w:lang w:eastAsia="en-US"/>
        </w:rPr>
        <w:t xml:space="preserve">This work we have done at global and national level has showed us the strong potential of these mechanisms for generating accountability, policy dialogue and advocacy on gender issues. There are ways in which their potential can be further maximised. Key will be finding ways to institutionalise the linkages/synergies between the UN’s human rights and development mechanisms. </w:t>
      </w:r>
    </w:p>
    <w:p w:rsidR="008C057B" w:rsidRPr="007D3C76" w:rsidRDefault="008C057B" w:rsidP="007D3C76">
      <w:pPr>
        <w:pStyle w:val="Body"/>
        <w:spacing w:line="360" w:lineRule="auto"/>
        <w:ind w:firstLine="0"/>
        <w:rPr>
          <w:rFonts w:asciiTheme="minorHAnsi" w:eastAsiaTheme="minorHAnsi" w:hAnsiTheme="minorHAnsi" w:cstheme="minorBidi"/>
          <w:color w:val="auto"/>
          <w:sz w:val="28"/>
          <w:szCs w:val="28"/>
          <w:bdr w:val="none" w:sz="0" w:space="0" w:color="auto"/>
          <w:lang w:eastAsia="en-US"/>
        </w:rPr>
      </w:pPr>
    </w:p>
    <w:p w:rsidR="00D10E6D" w:rsidRPr="007D3C76" w:rsidRDefault="00D10E6D" w:rsidP="007D3C76">
      <w:pPr>
        <w:spacing w:line="360" w:lineRule="auto"/>
        <w:rPr>
          <w:sz w:val="28"/>
          <w:szCs w:val="28"/>
        </w:rPr>
      </w:pPr>
      <w:r w:rsidRPr="007D3C76">
        <w:rPr>
          <w:sz w:val="28"/>
          <w:szCs w:val="28"/>
        </w:rPr>
        <w:t xml:space="preserve">  </w:t>
      </w:r>
    </w:p>
    <w:p w:rsidR="00D10E6D" w:rsidRPr="007D3C76" w:rsidRDefault="00D10E6D" w:rsidP="007D3C76">
      <w:pPr>
        <w:spacing w:line="360" w:lineRule="auto"/>
        <w:rPr>
          <w:sz w:val="28"/>
          <w:szCs w:val="28"/>
        </w:rPr>
      </w:pPr>
    </w:p>
    <w:sectPr w:rsidR="00D10E6D" w:rsidRPr="007D3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63102"/>
    <w:multiLevelType w:val="hybridMultilevel"/>
    <w:tmpl w:val="BC64D00C"/>
    <w:lvl w:ilvl="0" w:tplc="08090001">
      <w:start w:val="1"/>
      <w:numFmt w:val="bullet"/>
      <w:lvlText w:val=""/>
      <w:lvlJc w:val="left"/>
      <w:pPr>
        <w:ind w:left="720" w:hanging="360"/>
      </w:pPr>
      <w:rPr>
        <w:rFonts w:ascii="Symbol" w:hAnsi="Symbol" w:hint="default"/>
      </w:rPr>
    </w:lvl>
    <w:lvl w:ilvl="1" w:tplc="D136BF4A">
      <w:start w:val="1"/>
      <w:numFmt w:val="decimal"/>
      <w:lvlText w:val="%2."/>
      <w:lvlJc w:val="left"/>
      <w:pPr>
        <w:ind w:left="1440" w:hanging="360"/>
      </w:pPr>
      <w:rPr>
        <w:rFonts w:ascii="Times New Roman" w:eastAsia="Calibri" w:hAnsi="Times New Roman" w:cs="Calibri"/>
      </w:rPr>
    </w:lvl>
    <w:lvl w:ilvl="2" w:tplc="70C6DCAE">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D54723"/>
    <w:multiLevelType w:val="hybridMultilevel"/>
    <w:tmpl w:val="04348DEA"/>
    <w:lvl w:ilvl="0" w:tplc="B9F8E36A">
      <w:start w:val="1"/>
      <w:numFmt w:val="decimal"/>
      <w:lvlText w:val="%1."/>
      <w:lvlJc w:val="left"/>
      <w:pPr>
        <w:ind w:left="720" w:hanging="360"/>
      </w:pPr>
      <w:rPr>
        <w:rFonts w:asciiTheme="minorHAnsi" w:eastAsiaTheme="minorEastAsia" w:hAnsiTheme="minorHAnsi" w:cstheme="minorBidi" w:hint="default"/>
        <w:b w:val="0"/>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E6D"/>
    <w:rsid w:val="00050DD9"/>
    <w:rsid w:val="00166384"/>
    <w:rsid w:val="002C7F68"/>
    <w:rsid w:val="002D1B3C"/>
    <w:rsid w:val="00402061"/>
    <w:rsid w:val="0040434C"/>
    <w:rsid w:val="004078CC"/>
    <w:rsid w:val="00601FE8"/>
    <w:rsid w:val="007C4709"/>
    <w:rsid w:val="007D3C76"/>
    <w:rsid w:val="00863C25"/>
    <w:rsid w:val="008C057B"/>
    <w:rsid w:val="00A174C6"/>
    <w:rsid w:val="00C52FBB"/>
    <w:rsid w:val="00D10E6D"/>
    <w:rsid w:val="00D46212"/>
    <w:rsid w:val="00D77C7C"/>
    <w:rsid w:val="00E8596F"/>
    <w:rsid w:val="00FF5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7E195-1549-42C7-9A07-E0F9ABFAF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C4709"/>
    <w:pPr>
      <w:pBdr>
        <w:top w:val="nil"/>
        <w:left w:val="nil"/>
        <w:bottom w:val="nil"/>
        <w:right w:val="nil"/>
        <w:between w:val="nil"/>
        <w:bar w:val="nil"/>
      </w:pBdr>
      <w:spacing w:after="0" w:line="480" w:lineRule="auto"/>
      <w:ind w:firstLine="720"/>
    </w:pPr>
    <w:rPr>
      <w:rFonts w:ascii="Calibri" w:eastAsia="Calibri" w:hAnsi="Calibri" w:cs="Calibri"/>
      <w:color w:val="000000"/>
      <w:u w:color="000000"/>
      <w:bdr w:val="nil"/>
      <w:lang w:val="en-GB" w:eastAsia="en-GB"/>
    </w:rPr>
  </w:style>
  <w:style w:type="paragraph" w:styleId="ListParagraph">
    <w:name w:val="List Paragraph"/>
    <w:aliases w:val="List  Title,Normal Italics,List Paragraph1,Bullets,Indent Paragraph,Citation List,Table/Figure Heading,Resume Title,heading 4,Ha,Numbered List Paragraph,Main numbered paragraph,Graphic,LIST OF TABLES.,TOC style,lp1,Bullet OSM,References"/>
    <w:basedOn w:val="Normal"/>
    <w:link w:val="ListParagraphChar"/>
    <w:uiPriority w:val="34"/>
    <w:qFormat/>
    <w:rsid w:val="004078CC"/>
    <w:pPr>
      <w:ind w:left="720"/>
      <w:contextualSpacing/>
    </w:pPr>
  </w:style>
  <w:style w:type="character" w:customStyle="1" w:styleId="ListParagraphChar">
    <w:name w:val="List Paragraph Char"/>
    <w:aliases w:val="List  Title Char,Normal Italics Char,List Paragraph1 Char,Bullets Char,Indent Paragraph Char,Citation List Char,Table/Figure Heading Char,Resume Title Char,heading 4 Char,Ha Char,Numbered List Paragraph Char,Graphic Char,lp1 Char"/>
    <w:link w:val="ListParagraph"/>
    <w:uiPriority w:val="34"/>
    <w:locked/>
    <w:rsid w:val="004078C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BDDAC9-E559-420F-8BA2-91F2785EFB54}"/>
</file>

<file path=customXml/itemProps2.xml><?xml version="1.0" encoding="utf-8"?>
<ds:datastoreItem xmlns:ds="http://schemas.openxmlformats.org/officeDocument/2006/customXml" ds:itemID="{D2D4DD22-43FF-439F-BEB0-1F17251C00B1}"/>
</file>

<file path=customXml/itemProps3.xml><?xml version="1.0" encoding="utf-8"?>
<ds:datastoreItem xmlns:ds="http://schemas.openxmlformats.org/officeDocument/2006/customXml" ds:itemID="{65BA12EC-5E08-4064-B1CA-E54ACBF46978}"/>
</file>

<file path=docProps/app.xml><?xml version="1.0" encoding="utf-8"?>
<Properties xmlns="http://schemas.openxmlformats.org/officeDocument/2006/extended-properties" xmlns:vt="http://schemas.openxmlformats.org/officeDocument/2006/docPropsVTypes">
  <Template>Normal</Template>
  <TotalTime>2133</TotalTime>
  <Pages>5</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Filmer-Wilson</dc:creator>
  <cp:keywords/>
  <dc:description/>
  <cp:lastModifiedBy>Emilie Filmer-Wilson</cp:lastModifiedBy>
  <cp:revision>1</cp:revision>
  <dcterms:created xsi:type="dcterms:W3CDTF">2018-05-01T18:23:00Z</dcterms:created>
  <dcterms:modified xsi:type="dcterms:W3CDTF">2018-05-03T09:31:00Z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