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6B784" w14:textId="4DCB1CEA" w:rsidR="00252C48" w:rsidRDefault="00225812" w:rsidP="00C50266">
      <w:pPr>
        <w:spacing w:after="0"/>
        <w:jc w:val="center"/>
        <w:textAlignment w:val="baseline"/>
        <w:rPr>
          <w:rFonts w:ascii="Gill Sans Infant Std" w:eastAsiaTheme="minorEastAsia" w:hAnsi="Gill Sans Infant Std"/>
          <w:lang w:val="en-US"/>
        </w:rPr>
      </w:pPr>
      <w:r w:rsidRPr="00340147">
        <w:rPr>
          <w:rFonts w:ascii="Gill Sans Infant Std" w:hAnsi="Gill Sans Infant Std" w:cstheme="minorHAnsi"/>
          <w:b/>
          <w:bCs/>
        </w:rPr>
        <w:t xml:space="preserve">Submission from Save the Children: </w:t>
      </w:r>
      <w:r w:rsidR="00C50266" w:rsidRPr="00340147">
        <w:rPr>
          <w:rFonts w:ascii="Gill Sans Infant Std" w:eastAsiaTheme="minorEastAsia" w:hAnsi="Gill Sans Infant Std"/>
          <w:lang w:val="en-US"/>
        </w:rPr>
        <w:t>“</w:t>
      </w:r>
      <w:r w:rsidR="00C50266" w:rsidRPr="00340147">
        <w:rPr>
          <w:rFonts w:ascii="Gill Sans Infant Std" w:eastAsiaTheme="minorEastAsia" w:hAnsi="Gill Sans Infant Std"/>
          <w:i/>
          <w:lang w:val="en-US"/>
        </w:rPr>
        <w:t>Report on promoting and protecting the human rights of women and girls in conflict and post-conflict situations on the occasion of the twentieth anniversary of Security Council resolution 1325 (2000)</w:t>
      </w:r>
      <w:r w:rsidR="00E46FF1">
        <w:rPr>
          <w:rStyle w:val="FootnoteReference"/>
          <w:rFonts w:ascii="Gill Sans Infant Std" w:eastAsiaTheme="minorEastAsia" w:hAnsi="Gill Sans Infant Std"/>
          <w:i/>
          <w:lang w:val="en-US"/>
        </w:rPr>
        <w:footnoteReference w:id="1"/>
      </w:r>
      <w:r w:rsidR="00252C48" w:rsidRPr="00340147">
        <w:rPr>
          <w:rFonts w:ascii="Gill Sans Infant Std" w:eastAsiaTheme="minorEastAsia" w:hAnsi="Gill Sans Infant Std"/>
          <w:i/>
          <w:lang w:val="en-US"/>
        </w:rPr>
        <w:t>”,</w:t>
      </w:r>
      <w:r w:rsidR="00252C48" w:rsidRPr="00340147">
        <w:rPr>
          <w:rFonts w:ascii="Gill Sans Infant Std" w:eastAsiaTheme="minorEastAsia" w:hAnsi="Gill Sans Infant Std"/>
          <w:lang w:val="en-US"/>
        </w:rPr>
        <w:t xml:space="preserve"> pursuant to resolution 45/28 of the Human Rights Council.  </w:t>
      </w:r>
    </w:p>
    <w:p w14:paraId="676712F6" w14:textId="77777777" w:rsidR="00252C48" w:rsidRPr="00340147" w:rsidRDefault="00252C48" w:rsidP="00C50266">
      <w:pPr>
        <w:spacing w:after="0"/>
        <w:jc w:val="center"/>
        <w:textAlignment w:val="baseline"/>
        <w:rPr>
          <w:rFonts w:ascii="Gill Sans Infant Std" w:hAnsi="Gill Sans Infant Std" w:cstheme="minorHAnsi"/>
          <w:b/>
          <w:bCs/>
        </w:rPr>
      </w:pPr>
    </w:p>
    <w:p w14:paraId="442BCFC0" w14:textId="675719D0" w:rsidR="00252C48" w:rsidRDefault="00252C48" w:rsidP="00D464E1">
      <w:pPr>
        <w:rPr>
          <w:rFonts w:ascii="Gill Sans Infant Std" w:eastAsiaTheme="minorEastAsia" w:hAnsi="Gill Sans Infant Std"/>
          <w:b/>
          <w:u w:val="single"/>
          <w:lang w:val="en-US"/>
        </w:rPr>
      </w:pPr>
      <w:r>
        <w:rPr>
          <w:rFonts w:ascii="Gill Sans Infant Std" w:eastAsiaTheme="minorEastAsia" w:hAnsi="Gill Sans Infant Std"/>
          <w:b/>
          <w:u w:val="single"/>
          <w:lang w:val="en-US"/>
        </w:rPr>
        <w:t xml:space="preserve">Question: </w:t>
      </w:r>
      <w:r w:rsidRPr="00D464E1">
        <w:rPr>
          <w:rFonts w:ascii="Gill Sans Infant Std" w:eastAsiaTheme="minorEastAsia" w:hAnsi="Gill Sans Infant Std"/>
          <w:b/>
          <w:u w:val="single"/>
          <w:lang w:val="en-US"/>
        </w:rPr>
        <w:t>What measures would you recommend to help ensure sustainable, comprehensive, and consistent attention to gender equality and the human rights of girls in conflict and post conflict settings in the work of the Human Rights Council and its mechanisms, such as resolutions, UPR recommendations, Special procedures country visit reports, and the work of investigative bodies?</w:t>
      </w:r>
    </w:p>
    <w:p w14:paraId="6C9817B5" w14:textId="77777777" w:rsidR="00252C48" w:rsidRPr="00D464E1" w:rsidRDefault="00252C48" w:rsidP="00433731">
      <w:pPr>
        <w:jc w:val="center"/>
        <w:rPr>
          <w:rFonts w:ascii="Gill Sans Infant Std" w:eastAsiaTheme="minorEastAsia" w:hAnsi="Gill Sans Infant Std"/>
          <w:b/>
          <w:u w:val="single"/>
          <w:lang w:val="en-US"/>
        </w:rPr>
      </w:pPr>
    </w:p>
    <w:p w14:paraId="656C62A3" w14:textId="26027438" w:rsidR="00252C48" w:rsidRPr="00433731" w:rsidRDefault="00252C48" w:rsidP="00854497">
      <w:pPr>
        <w:pStyle w:val="ListParagraph"/>
        <w:numPr>
          <w:ilvl w:val="0"/>
          <w:numId w:val="1"/>
        </w:numPr>
        <w:rPr>
          <w:rFonts w:ascii="Gill Sans Infant Std" w:eastAsiaTheme="minorEastAsia" w:hAnsi="Gill Sans Infant Std"/>
          <w:b/>
          <w:lang w:val="en-US"/>
        </w:rPr>
      </w:pPr>
      <w:r w:rsidRPr="00433731">
        <w:rPr>
          <w:rFonts w:ascii="Gill Sans Infant Std" w:eastAsiaTheme="minorEastAsia" w:hAnsi="Gill Sans Infant Std"/>
          <w:b/>
          <w:lang w:val="en-US"/>
        </w:rPr>
        <w:t>Background</w:t>
      </w:r>
    </w:p>
    <w:p w14:paraId="5EC7E2DB" w14:textId="77777777" w:rsidR="00252C48" w:rsidRPr="00340147" w:rsidRDefault="00252C48" w:rsidP="00225812">
      <w:pPr>
        <w:pStyle w:val="ListParagraph"/>
        <w:ind w:left="1080"/>
        <w:rPr>
          <w:rFonts w:ascii="Gill Sans Infant Std" w:eastAsiaTheme="minorEastAsia" w:hAnsi="Gill Sans Infant Std"/>
          <w:lang w:val="en-US"/>
        </w:rPr>
      </w:pPr>
    </w:p>
    <w:p w14:paraId="27BC0AB2" w14:textId="4133F478" w:rsidR="00252C48" w:rsidRDefault="00252C48" w:rsidP="00650E94">
      <w:pPr>
        <w:jc w:val="both"/>
        <w:rPr>
          <w:rStyle w:val="A3"/>
          <w:rFonts w:ascii="Gill Sans Infant Std" w:hAnsi="Gill Sans Infant Std"/>
          <w:sz w:val="22"/>
          <w:szCs w:val="22"/>
        </w:rPr>
      </w:pPr>
      <w:r w:rsidRPr="00340147">
        <w:rPr>
          <w:rFonts w:ascii="Gill Sans Infant Std" w:hAnsi="Gill Sans Infant Std"/>
        </w:rPr>
        <w:t xml:space="preserve">Globally, </w:t>
      </w:r>
      <w:r w:rsidRPr="00340147">
        <w:rPr>
          <w:rFonts w:ascii="Gill Sans Infant Std" w:hAnsi="Gill Sans Infant Std"/>
          <w:b/>
        </w:rPr>
        <w:t>426 million children live in conflict zones today</w:t>
      </w:r>
      <w:r w:rsidRPr="00340147">
        <w:rPr>
          <w:rFonts w:ascii="Gill Sans Infant Std" w:hAnsi="Gill Sans Infant Std"/>
        </w:rPr>
        <w:t>.</w:t>
      </w:r>
      <w:r w:rsidR="00E46FF1">
        <w:rPr>
          <w:rStyle w:val="FootnoteReference"/>
          <w:rFonts w:ascii="Gill Sans Infant Std" w:hAnsi="Gill Sans Infant Std"/>
        </w:rPr>
        <w:footnoteReference w:id="2"/>
      </w:r>
      <w:r w:rsidRPr="00340147">
        <w:rPr>
          <w:rFonts w:ascii="Gill Sans Infant Std" w:hAnsi="Gill Sans Infant Std"/>
        </w:rPr>
        <w:t xml:space="preserve"> </w:t>
      </w:r>
      <w:r w:rsidRPr="00340147">
        <w:rPr>
          <w:rStyle w:val="A3"/>
          <w:rFonts w:ascii="Gill Sans Infant Std" w:hAnsi="Gill Sans Infant Std"/>
          <w:sz w:val="22"/>
          <w:szCs w:val="22"/>
        </w:rPr>
        <w:t xml:space="preserve">These children </w:t>
      </w:r>
      <w:r>
        <w:rPr>
          <w:rStyle w:val="A3"/>
          <w:rFonts w:ascii="Gill Sans Infant Std" w:hAnsi="Gill Sans Infant Std"/>
          <w:sz w:val="22"/>
          <w:szCs w:val="22"/>
        </w:rPr>
        <w:t xml:space="preserve">experience </w:t>
      </w:r>
      <w:r w:rsidRPr="00340147">
        <w:rPr>
          <w:rStyle w:val="A3"/>
          <w:rFonts w:ascii="Gill Sans Infant Std" w:hAnsi="Gill Sans Infant Std"/>
          <w:sz w:val="22"/>
          <w:szCs w:val="22"/>
        </w:rPr>
        <w:t xml:space="preserve">massive </w:t>
      </w:r>
      <w:r>
        <w:rPr>
          <w:rStyle w:val="A3"/>
          <w:rFonts w:ascii="Gill Sans Infant Std" w:hAnsi="Gill Sans Infant Std"/>
          <w:sz w:val="22"/>
          <w:szCs w:val="22"/>
        </w:rPr>
        <w:t xml:space="preserve">human rights violations, particularly their right to be protected, educated, and live to the highest standard of health. </w:t>
      </w:r>
    </w:p>
    <w:p w14:paraId="5856E447" w14:textId="1D80BEDF" w:rsidR="00252C48" w:rsidRPr="00670BCB" w:rsidRDefault="00252C48" w:rsidP="00650E94">
      <w:pPr>
        <w:jc w:val="both"/>
        <w:rPr>
          <w:rFonts w:ascii="Gill Sans Infant Std" w:hAnsi="Gill Sans Infant Std" w:cs="Gill Sans Infant Std"/>
          <w:color w:val="000000"/>
        </w:rPr>
      </w:pPr>
      <w:r>
        <w:rPr>
          <w:rStyle w:val="A3"/>
          <w:rFonts w:ascii="Gill Sans Infant Std" w:hAnsi="Gill Sans Infant Std"/>
          <w:sz w:val="22"/>
          <w:szCs w:val="22"/>
        </w:rPr>
        <w:t xml:space="preserve">Significantly, </w:t>
      </w:r>
      <w:r>
        <w:rPr>
          <w:rFonts w:ascii="Gill Sans Infant Std" w:hAnsi="Gill Sans Infant Std" w:cs="Gill Sans Infant Std"/>
          <w:color w:val="000000"/>
          <w:lang w:val="en-US"/>
        </w:rPr>
        <w:t xml:space="preserve">children are not a homogenous group, and neither are women. </w:t>
      </w:r>
      <w:r w:rsidRPr="00340147">
        <w:rPr>
          <w:rFonts w:ascii="Gill Sans Infant Std" w:hAnsi="Gill Sans Infant Std" w:cs="Gill Sans Infant Std"/>
          <w:color w:val="000000"/>
          <w:lang w:val="en-US"/>
        </w:rPr>
        <w:t xml:space="preserve">Age, gender, and disability, and other factors of diversity, including socio-economic and cultural factors, play a significant role in both the violations experienced </w:t>
      </w:r>
      <w:r>
        <w:rPr>
          <w:rFonts w:ascii="Gill Sans Infant Std" w:hAnsi="Gill Sans Infant Std" w:cs="Gill Sans Infant Std"/>
          <w:color w:val="000000"/>
          <w:lang w:val="en-US"/>
        </w:rPr>
        <w:t>by people living</w:t>
      </w:r>
      <w:r w:rsidRPr="00340147">
        <w:rPr>
          <w:rFonts w:ascii="Gill Sans Infant Std" w:hAnsi="Gill Sans Infant Std" w:cs="Gill Sans Infant Std"/>
          <w:color w:val="000000"/>
          <w:lang w:val="en-US"/>
        </w:rPr>
        <w:t xml:space="preserve"> in conflict contexts, as well as their impact. </w:t>
      </w:r>
    </w:p>
    <w:p w14:paraId="32C182DF" w14:textId="04211DD2" w:rsidR="00252C48" w:rsidRPr="00340147" w:rsidRDefault="00252C48" w:rsidP="00650E94">
      <w:pPr>
        <w:autoSpaceDE w:val="0"/>
        <w:autoSpaceDN w:val="0"/>
        <w:adjustRightInd w:val="0"/>
        <w:spacing w:after="0" w:line="241" w:lineRule="atLeast"/>
        <w:jc w:val="both"/>
        <w:rPr>
          <w:rFonts w:ascii="Gill Sans Infant Std" w:hAnsi="Gill Sans Infant Std" w:cs="Gill Sans Infant Std"/>
          <w:color w:val="000000"/>
        </w:rPr>
      </w:pPr>
      <w:r w:rsidRPr="00340147">
        <w:rPr>
          <w:rFonts w:ascii="Gill Sans Infant Std" w:hAnsi="Gill Sans Infant Std" w:cs="Gill Sans Infant Std"/>
          <w:color w:val="000000"/>
          <w:lang w:val="en-US"/>
        </w:rPr>
        <w:t xml:space="preserve">The way girls experience conflict is inextricably tied to their standing in society and their frequently subordinate role and relative lack of power in comparison with </w:t>
      </w:r>
      <w:r w:rsidR="005F0741">
        <w:rPr>
          <w:rFonts w:ascii="Gill Sans Infant Std" w:hAnsi="Gill Sans Infant Std" w:cs="Gill Sans Infant Std"/>
          <w:color w:val="000000"/>
          <w:lang w:val="en-US"/>
        </w:rPr>
        <w:t xml:space="preserve">men, </w:t>
      </w:r>
      <w:r w:rsidRPr="00340147">
        <w:rPr>
          <w:rFonts w:ascii="Gill Sans Infant Std" w:hAnsi="Gill Sans Infant Std" w:cs="Gill Sans Infant Std"/>
          <w:color w:val="000000"/>
          <w:lang w:val="en-US"/>
        </w:rPr>
        <w:t>women and boys within the overarching patriarchy.</w:t>
      </w:r>
      <w:r w:rsidR="00E46FF1">
        <w:rPr>
          <w:rStyle w:val="FootnoteReference"/>
          <w:rFonts w:ascii="Gill Sans Infant Std" w:hAnsi="Gill Sans Infant Std" w:cs="Gill Sans Infant Std"/>
          <w:color w:val="000000"/>
          <w:lang w:val="en-US"/>
        </w:rPr>
        <w:footnoteReference w:id="3"/>
      </w:r>
      <w:r w:rsidRPr="00340147">
        <w:rPr>
          <w:rFonts w:ascii="Gill Sans Infant Std" w:hAnsi="Gill Sans Infant Std" w:cs="Gill Sans Infant Std"/>
          <w:color w:val="000000"/>
          <w:lang w:val="en-US"/>
        </w:rPr>
        <w:t xml:space="preserve"> Girls are more likely to be economically dependent, with less social and political agency. </w:t>
      </w:r>
      <w:r w:rsidRPr="00340147">
        <w:rPr>
          <w:rStyle w:val="A2"/>
          <w:rFonts w:ascii="Gill Sans Infant Std" w:hAnsi="Gill Sans Infant Std"/>
        </w:rPr>
        <w:t>Girls may face increased controls on their movements influencing their exposure to or experience of violations. Under such restrictions, girls may become more susceptible to particular violations of their rights such as child marriage (with correspondingly higher exposure to intimate partner violence), domestic violence, sexual violence and/or limited access to protective services such as educational, economic or medical services.</w:t>
      </w:r>
      <w:r w:rsidR="00E46FF1">
        <w:rPr>
          <w:rStyle w:val="FootnoteReference"/>
          <w:rFonts w:ascii="Gill Sans Infant Std" w:hAnsi="Gill Sans Infant Std" w:cs="Gill Sans Infant Std"/>
          <w:color w:val="000000"/>
        </w:rPr>
        <w:footnoteReference w:id="4"/>
      </w:r>
    </w:p>
    <w:p w14:paraId="5C212BE2" w14:textId="1AB11295" w:rsidR="00252C48" w:rsidRPr="00340147" w:rsidRDefault="00252C48" w:rsidP="00650E94">
      <w:pPr>
        <w:pStyle w:val="Default"/>
        <w:jc w:val="both"/>
        <w:rPr>
          <w:rStyle w:val="normaltextrun"/>
          <w:rFonts w:ascii="Gill Sans Infant Std" w:eastAsiaTheme="minorEastAsia" w:hAnsi="Gill Sans Infant Std" w:cs="Arial"/>
          <w:color w:val="auto"/>
          <w:sz w:val="22"/>
          <w:szCs w:val="22"/>
        </w:rPr>
      </w:pPr>
    </w:p>
    <w:p w14:paraId="5B229DCE" w14:textId="7B99E5D1" w:rsidR="00252C48" w:rsidRPr="00340147" w:rsidRDefault="00252C48" w:rsidP="00650E94">
      <w:pPr>
        <w:jc w:val="both"/>
        <w:rPr>
          <w:rFonts w:ascii="Gill Sans Infant Std" w:eastAsiaTheme="minorEastAsia" w:hAnsi="Gill Sans Infant Std"/>
          <w:u w:val="single"/>
          <w:lang w:val="en-US"/>
        </w:rPr>
      </w:pPr>
      <w:r>
        <w:rPr>
          <w:rFonts w:ascii="Gill Sans Infant Std" w:eastAsiaTheme="minorEastAsia" w:hAnsi="Gill Sans Infant Std"/>
          <w:u w:val="single"/>
          <w:lang w:val="en-US"/>
        </w:rPr>
        <w:t xml:space="preserve">Gender-Based </w:t>
      </w:r>
      <w:r w:rsidRPr="00340147">
        <w:rPr>
          <w:rFonts w:ascii="Gill Sans Infant Std" w:eastAsiaTheme="minorEastAsia" w:hAnsi="Gill Sans Infant Std"/>
          <w:u w:val="single"/>
          <w:lang w:val="en-US"/>
        </w:rPr>
        <w:t>Violence</w:t>
      </w:r>
      <w:r>
        <w:rPr>
          <w:rFonts w:ascii="Gill Sans Infant Std" w:eastAsiaTheme="minorEastAsia" w:hAnsi="Gill Sans Infant Std"/>
          <w:u w:val="single"/>
          <w:lang w:val="en-US"/>
        </w:rPr>
        <w:t xml:space="preserve"> Prevention and Response</w:t>
      </w:r>
    </w:p>
    <w:p w14:paraId="1FFE52DC" w14:textId="6CF9C1E3" w:rsidR="00252C48" w:rsidRDefault="00252C48" w:rsidP="00650E94">
      <w:pPr>
        <w:pStyle w:val="Default"/>
        <w:jc w:val="both"/>
        <w:rPr>
          <w:rStyle w:val="normaltextrun"/>
          <w:rFonts w:ascii="Gill Sans Infant Std" w:eastAsiaTheme="minorEastAsia" w:hAnsi="Gill Sans Infant Std" w:cs="Arial"/>
          <w:color w:val="auto"/>
          <w:sz w:val="22"/>
          <w:szCs w:val="22"/>
        </w:rPr>
      </w:pPr>
      <w:r>
        <w:rPr>
          <w:rStyle w:val="normaltextrun"/>
          <w:rFonts w:ascii="Gill Sans Infant Std" w:eastAsiaTheme="minorEastAsia" w:hAnsi="Gill Sans Infant Std" w:cs="Arial"/>
          <w:color w:val="auto"/>
          <w:sz w:val="22"/>
          <w:szCs w:val="22"/>
        </w:rPr>
        <w:t>Recent research from the Lancet highlighted that a</w:t>
      </w:r>
      <w:r w:rsidRPr="00340147">
        <w:rPr>
          <w:rStyle w:val="normaltextrun"/>
          <w:rFonts w:ascii="Gill Sans Infant Std" w:eastAsiaTheme="minorEastAsia" w:hAnsi="Gill Sans Infant Std" w:cs="Arial"/>
          <w:color w:val="auto"/>
          <w:sz w:val="22"/>
          <w:szCs w:val="22"/>
        </w:rPr>
        <w:t xml:space="preserve">dolescent girls face increased risks of gender-based violence in </w:t>
      </w:r>
      <w:r>
        <w:rPr>
          <w:rStyle w:val="normaltextrun"/>
          <w:rFonts w:ascii="Gill Sans Infant Std" w:eastAsiaTheme="minorEastAsia" w:hAnsi="Gill Sans Infant Std" w:cs="Arial"/>
          <w:color w:val="auto"/>
          <w:sz w:val="22"/>
          <w:szCs w:val="22"/>
        </w:rPr>
        <w:t xml:space="preserve">humanitarian settings, including </w:t>
      </w:r>
      <w:r w:rsidRPr="00340147">
        <w:rPr>
          <w:rStyle w:val="normaltextrun"/>
          <w:rFonts w:ascii="Gill Sans Infant Std" w:eastAsiaTheme="minorEastAsia" w:hAnsi="Gill Sans Infant Std" w:cs="Arial"/>
          <w:color w:val="auto"/>
          <w:sz w:val="22"/>
          <w:szCs w:val="22"/>
        </w:rPr>
        <w:t>conflict settings</w:t>
      </w:r>
      <w:r>
        <w:rPr>
          <w:rStyle w:val="normaltextrun"/>
          <w:rFonts w:ascii="Gill Sans Infant Std" w:eastAsiaTheme="minorEastAsia" w:hAnsi="Gill Sans Infant Std" w:cs="Arial"/>
          <w:color w:val="auto"/>
          <w:sz w:val="22"/>
          <w:szCs w:val="22"/>
        </w:rPr>
        <w:t>,</w:t>
      </w:r>
      <w:r w:rsidRPr="00340147">
        <w:rPr>
          <w:rStyle w:val="normaltextrun"/>
          <w:rFonts w:ascii="Gill Sans Infant Std" w:eastAsiaTheme="minorEastAsia" w:hAnsi="Gill Sans Infant Std" w:cs="Arial"/>
          <w:color w:val="auto"/>
          <w:sz w:val="22"/>
          <w:szCs w:val="22"/>
        </w:rPr>
        <w:t xml:space="preserve"> because of the intersectionality of age and gender, and the additional and exacerbated risk factors that arise in emergencies.</w:t>
      </w:r>
      <w:r w:rsidR="00E46FF1">
        <w:rPr>
          <w:rStyle w:val="FootnoteReference"/>
          <w:rFonts w:ascii="Gill Sans Infant Std" w:eastAsiaTheme="minorEastAsia" w:hAnsi="Gill Sans Infant Std" w:cs="Arial"/>
          <w:color w:val="auto"/>
          <w:sz w:val="22"/>
          <w:szCs w:val="22"/>
        </w:rPr>
        <w:footnoteReference w:id="5"/>
      </w:r>
      <w:r w:rsidRPr="00340147">
        <w:rPr>
          <w:rStyle w:val="normaltextrun"/>
          <w:rFonts w:ascii="Gill Sans Infant Std" w:eastAsiaTheme="minorEastAsia" w:hAnsi="Gill Sans Infant Std" w:cs="Arial"/>
          <w:color w:val="auto"/>
          <w:sz w:val="22"/>
          <w:szCs w:val="22"/>
        </w:rPr>
        <w:t xml:space="preserve"> The forms of gender-based violence</w:t>
      </w:r>
      <w:r w:rsidR="00926A08">
        <w:rPr>
          <w:rStyle w:val="normaltextrun"/>
          <w:rFonts w:ascii="Gill Sans Infant Std" w:eastAsiaTheme="minorEastAsia" w:hAnsi="Gill Sans Infant Std" w:cs="Arial"/>
          <w:color w:val="auto"/>
          <w:sz w:val="22"/>
          <w:szCs w:val="22"/>
        </w:rPr>
        <w:t xml:space="preserve"> (GBV) </w:t>
      </w:r>
      <w:r>
        <w:rPr>
          <w:rStyle w:val="normaltextrun"/>
          <w:rFonts w:ascii="Gill Sans Infant Std" w:eastAsiaTheme="minorEastAsia" w:hAnsi="Gill Sans Infant Std" w:cs="Arial"/>
          <w:color w:val="auto"/>
          <w:sz w:val="22"/>
          <w:szCs w:val="22"/>
        </w:rPr>
        <w:t>girls</w:t>
      </w:r>
      <w:r w:rsidRPr="00340147">
        <w:rPr>
          <w:rStyle w:val="normaltextrun"/>
          <w:rFonts w:ascii="Gill Sans Infant Std" w:eastAsiaTheme="minorEastAsia" w:hAnsi="Gill Sans Infant Std" w:cs="Arial"/>
          <w:color w:val="auto"/>
          <w:sz w:val="22"/>
          <w:szCs w:val="22"/>
        </w:rPr>
        <w:t xml:space="preserve"> may experience include sexual violence, sexual exploitation and abuse, intimate partner violence, child marriage, and denial of other essential needs due to their age and gender, including access to essential health and education services and adequate food and nutrition. </w:t>
      </w:r>
      <w:r>
        <w:rPr>
          <w:rStyle w:val="normaltextrun"/>
          <w:rFonts w:ascii="Gill Sans Infant Std" w:eastAsiaTheme="minorEastAsia" w:hAnsi="Gill Sans Infant Std" w:cs="Arial"/>
          <w:color w:val="auto"/>
          <w:sz w:val="22"/>
          <w:szCs w:val="22"/>
        </w:rPr>
        <w:t xml:space="preserve">Notably, in </w:t>
      </w:r>
      <w:r w:rsidRPr="00340147">
        <w:rPr>
          <w:rStyle w:val="normaltextrun"/>
          <w:rFonts w:ascii="Gill Sans Infant Std" w:eastAsiaTheme="minorEastAsia" w:hAnsi="Gill Sans Infant Std" w:cs="Arial"/>
          <w:color w:val="auto"/>
          <w:sz w:val="22"/>
          <w:szCs w:val="22"/>
        </w:rPr>
        <w:t>conflict settings, girls may experience GBV perpetrated by armed forces and groups, as well as by community members, and even humanitarian response actors</w:t>
      </w:r>
      <w:r>
        <w:rPr>
          <w:rStyle w:val="normaltextrun"/>
          <w:rFonts w:ascii="Gill Sans Infant Std" w:eastAsiaTheme="minorEastAsia" w:hAnsi="Gill Sans Infant Std" w:cs="Arial"/>
          <w:color w:val="auto"/>
          <w:sz w:val="22"/>
          <w:szCs w:val="22"/>
        </w:rPr>
        <w:t xml:space="preserve"> or civilian peace and security actors</w:t>
      </w:r>
      <w:r w:rsidRPr="00340147">
        <w:rPr>
          <w:rStyle w:val="normaltextrun"/>
          <w:rFonts w:ascii="Gill Sans Infant Std" w:eastAsiaTheme="minorEastAsia" w:hAnsi="Gill Sans Infant Std" w:cs="Arial"/>
          <w:color w:val="auto"/>
          <w:sz w:val="22"/>
          <w:szCs w:val="22"/>
        </w:rPr>
        <w:t>.</w:t>
      </w:r>
    </w:p>
    <w:p w14:paraId="4330A7D9" w14:textId="77777777" w:rsidR="00252C48" w:rsidRPr="00340147" w:rsidRDefault="00252C48" w:rsidP="00650E94">
      <w:pPr>
        <w:pStyle w:val="Default"/>
        <w:jc w:val="both"/>
        <w:rPr>
          <w:rStyle w:val="normaltextrun"/>
          <w:rFonts w:ascii="Gill Sans Infant Std" w:eastAsiaTheme="minorEastAsia" w:hAnsi="Gill Sans Infant Std" w:cs="Arial"/>
          <w:color w:val="auto"/>
          <w:sz w:val="22"/>
          <w:szCs w:val="22"/>
        </w:rPr>
      </w:pPr>
    </w:p>
    <w:p w14:paraId="4C12EF37" w14:textId="3C12EF48" w:rsidR="00252C48" w:rsidRPr="00340147" w:rsidRDefault="00252C48" w:rsidP="00650E94">
      <w:pPr>
        <w:jc w:val="both"/>
        <w:rPr>
          <w:rFonts w:ascii="Gill Sans Infant Std" w:hAnsi="Gill Sans Infant Std"/>
        </w:rPr>
      </w:pPr>
      <w:r w:rsidRPr="00340147">
        <w:rPr>
          <w:rFonts w:ascii="Gill Sans Infant Std" w:eastAsiaTheme="minorEastAsia" w:hAnsi="Gill Sans Infant Std"/>
          <w:lang w:val="en-US"/>
        </w:rPr>
        <w:t>R</w:t>
      </w:r>
      <w:r>
        <w:rPr>
          <w:rFonts w:ascii="Gill Sans Infant Std" w:eastAsiaTheme="minorEastAsia" w:hAnsi="Gill Sans Infant Std"/>
          <w:lang w:val="en-US"/>
        </w:rPr>
        <w:t xml:space="preserve">ecently </w:t>
      </w:r>
      <w:r w:rsidRPr="00340147">
        <w:rPr>
          <w:rFonts w:ascii="Gill Sans Infant Std" w:eastAsiaTheme="minorEastAsia" w:hAnsi="Gill Sans Infant Std"/>
          <w:lang w:val="en-US"/>
        </w:rPr>
        <w:t xml:space="preserve">research from Save the Children estimates that a staggering </w:t>
      </w:r>
      <w:r w:rsidRPr="00340147">
        <w:rPr>
          <w:rFonts w:ascii="Gill Sans Infant Std" w:eastAsiaTheme="minorEastAsia" w:hAnsi="Gill Sans Infant Std"/>
          <w:b/>
          <w:lang w:val="en-US"/>
        </w:rPr>
        <w:t xml:space="preserve">72 million children, or one in six, live 50 </w:t>
      </w:r>
      <w:proofErr w:type="spellStart"/>
      <w:r w:rsidRPr="00340147">
        <w:rPr>
          <w:rFonts w:ascii="Gill Sans Infant Std" w:eastAsiaTheme="minorEastAsia" w:hAnsi="Gill Sans Infant Std"/>
          <w:b/>
          <w:lang w:val="en-US"/>
        </w:rPr>
        <w:t>kilometres</w:t>
      </w:r>
      <w:proofErr w:type="spellEnd"/>
      <w:r w:rsidRPr="00340147">
        <w:rPr>
          <w:rFonts w:ascii="Gill Sans Infant Std" w:eastAsiaTheme="minorEastAsia" w:hAnsi="Gill Sans Infant Std"/>
          <w:b/>
          <w:lang w:val="en-US"/>
        </w:rPr>
        <w:t xml:space="preserve"> or closer to conflicts where armed groups or forces have perpetrated sexual violence against children during the last year.</w:t>
      </w:r>
      <w:r w:rsidR="00E46FF1">
        <w:rPr>
          <w:rStyle w:val="FootnoteReference"/>
          <w:rFonts w:ascii="Gill Sans Infant Std" w:eastAsiaTheme="minorEastAsia" w:hAnsi="Gill Sans Infant Std"/>
          <w:b/>
          <w:lang w:val="en-US"/>
        </w:rPr>
        <w:footnoteReference w:id="6"/>
      </w:r>
      <w:r w:rsidRPr="00340147">
        <w:rPr>
          <w:rFonts w:ascii="Gill Sans Infant Std" w:eastAsiaTheme="minorEastAsia" w:hAnsi="Gill Sans Infant Std"/>
          <w:lang w:val="en-US"/>
        </w:rPr>
        <w:t xml:space="preserve"> This analysis shows that the number of children at risk of sexual violence </w:t>
      </w:r>
      <w:r w:rsidRPr="00340147">
        <w:rPr>
          <w:rFonts w:ascii="Gill Sans Infant Std" w:eastAsiaTheme="minorEastAsia" w:hAnsi="Gill Sans Infant Std"/>
          <w:lang w:val="en-US"/>
        </w:rPr>
        <w:lastRenderedPageBreak/>
        <w:t xml:space="preserve">committed by conflict actors specifically is almost ten times higher today than in 1990. </w:t>
      </w:r>
      <w:r w:rsidR="005F0741">
        <w:rPr>
          <w:rFonts w:ascii="Gill Sans Infant Std" w:eastAsiaTheme="minorEastAsia" w:hAnsi="Gill Sans Infant Std"/>
          <w:lang w:val="en-US"/>
        </w:rPr>
        <w:t>While noting that the majority of sexual violence cases, including those perpetrated against boys, go unreported, a</w:t>
      </w:r>
      <w:proofErr w:type="spellStart"/>
      <w:r w:rsidRPr="00340147">
        <w:rPr>
          <w:rFonts w:ascii="Gill Sans Infant Std" w:hAnsi="Gill Sans Infant Std"/>
        </w:rPr>
        <w:t>ccording</w:t>
      </w:r>
      <w:proofErr w:type="spellEnd"/>
      <w:r w:rsidRPr="00340147">
        <w:rPr>
          <w:rFonts w:ascii="Gill Sans Infant Std" w:hAnsi="Gill Sans Infant Std"/>
        </w:rPr>
        <w:t xml:space="preserve"> to Children and Armed Conflict (CAAC) data for 2019, </w:t>
      </w:r>
      <w:r w:rsidRPr="00D23C41">
        <w:rPr>
          <w:rFonts w:ascii="Gill Sans Infant Std" w:hAnsi="Gill Sans Infant Std"/>
          <w:b/>
        </w:rPr>
        <w:t>98% of verified cases of rape and other forms of sexual violence were committed against girls</w:t>
      </w:r>
      <w:r>
        <w:rPr>
          <w:rFonts w:ascii="Gill Sans Infant Std" w:hAnsi="Gill Sans Infant Std"/>
        </w:rPr>
        <w:t>.</w:t>
      </w:r>
      <w:r w:rsidR="00E46FF1">
        <w:rPr>
          <w:rStyle w:val="FootnoteReference"/>
          <w:rFonts w:ascii="Gill Sans Infant Std" w:hAnsi="Gill Sans Infant Std"/>
        </w:rPr>
        <w:footnoteReference w:id="7"/>
      </w:r>
      <w:r w:rsidRPr="00340147">
        <w:rPr>
          <w:rFonts w:ascii="Gill Sans Infant Std" w:hAnsi="Gill Sans Infant Std"/>
        </w:rPr>
        <w:t xml:space="preserve"> </w:t>
      </w:r>
    </w:p>
    <w:p w14:paraId="6EF27282" w14:textId="3D726E7E" w:rsidR="00252C48" w:rsidRPr="00340147" w:rsidRDefault="00252C48" w:rsidP="00650E94">
      <w:pPr>
        <w:jc w:val="both"/>
        <w:rPr>
          <w:rFonts w:ascii="Gill Sans Infant Std" w:hAnsi="Gill Sans Infant Std"/>
        </w:rPr>
      </w:pPr>
      <w:r>
        <w:rPr>
          <w:rFonts w:ascii="Gill Sans Infant Std" w:hAnsi="Gill Sans Infant Std"/>
        </w:rPr>
        <w:t>S</w:t>
      </w:r>
      <w:r w:rsidRPr="00340147">
        <w:rPr>
          <w:rFonts w:ascii="Gill Sans Infant Std" w:hAnsi="Gill Sans Infant Std"/>
        </w:rPr>
        <w:t xml:space="preserve">exual violence frequently causes serious physical injuries and the consequences might be particularly severe for children, as their bodies </w:t>
      </w:r>
      <w:r>
        <w:rPr>
          <w:rFonts w:ascii="Gill Sans Infant Std" w:hAnsi="Gill Sans Infant Std"/>
        </w:rPr>
        <w:t>are not fully developed. Girls may</w:t>
      </w:r>
      <w:r w:rsidRPr="00340147">
        <w:rPr>
          <w:rFonts w:ascii="Gill Sans Infant Std" w:hAnsi="Gill Sans Infant Std"/>
        </w:rPr>
        <w:t xml:space="preserve"> suffer uterine prolapses, fistula and other injuries to the reproductive system and face complications and even death due to pregnancy at too early an age, as well as risks associated with unsafe abortions</w:t>
      </w:r>
      <w:r w:rsidR="005F0741">
        <w:rPr>
          <w:rFonts w:ascii="Gill Sans Infant Std" w:hAnsi="Gill Sans Infant Std"/>
        </w:rPr>
        <w:t xml:space="preserve"> and the long-term impacts of unwanted pregnancy</w:t>
      </w:r>
      <w:r w:rsidRPr="00340147">
        <w:rPr>
          <w:rFonts w:ascii="Gill Sans Infant Std" w:hAnsi="Gill Sans Infant Std"/>
        </w:rPr>
        <w:t>. All children face risks of urological and anal damage and exposure to sexually transmitted diseases that, if left untreated, can cause lasting harm and even death.</w:t>
      </w:r>
      <w:r w:rsidR="00E46FF1">
        <w:rPr>
          <w:rStyle w:val="FootnoteReference"/>
          <w:rFonts w:ascii="Gill Sans Infant Std" w:hAnsi="Gill Sans Infant Std"/>
        </w:rPr>
        <w:footnoteReference w:id="8"/>
      </w:r>
      <w:r w:rsidRPr="00340147">
        <w:rPr>
          <w:rFonts w:ascii="Gill Sans Infant Std" w:hAnsi="Gill Sans Infant Std"/>
        </w:rPr>
        <w:t xml:space="preserve"> </w:t>
      </w:r>
    </w:p>
    <w:p w14:paraId="6E80F7D9" w14:textId="13A205B8" w:rsidR="00252C48" w:rsidRPr="00340147" w:rsidRDefault="00252C48" w:rsidP="00650E94">
      <w:pPr>
        <w:jc w:val="both"/>
        <w:rPr>
          <w:rFonts w:ascii="Gill Sans Infant Std" w:hAnsi="Gill Sans Infant Std"/>
        </w:rPr>
      </w:pPr>
      <w:r w:rsidRPr="00340147">
        <w:rPr>
          <w:rFonts w:ascii="Gill Sans Infant Std" w:hAnsi="Gill Sans Infant Std"/>
        </w:rPr>
        <w:t>The psychological consequences for child survivors of sexual violence include post-traumatic stress disorder, somatic disorders, intense feelings of rage and shame, depression, self-blame and memory loss. In many post-conflict areas, the social impacts of sexual violence cannot be overstated. Survivors</w:t>
      </w:r>
      <w:r w:rsidR="00882B70">
        <w:rPr>
          <w:rFonts w:ascii="Gill Sans Infant Std" w:hAnsi="Gill Sans Infant Std"/>
        </w:rPr>
        <w:t xml:space="preserve"> </w:t>
      </w:r>
      <w:r w:rsidRPr="00340147">
        <w:rPr>
          <w:rFonts w:ascii="Gill Sans Infant Std" w:hAnsi="Gill Sans Infant Std"/>
        </w:rPr>
        <w:t>can face stigma that forces them out of their families, isolates them from their communities and leaves them to deal with their physical and psychological trauma alone. Survivors often live with stigma and distress for many years, if not the rest of their lives. Boys who suffer sexual violence may feel emasculated; girls may perceive themselves</w:t>
      </w:r>
      <w:r>
        <w:rPr>
          <w:rFonts w:ascii="Gill Sans Infant Std" w:hAnsi="Gill Sans Infant Std"/>
        </w:rPr>
        <w:t>,</w:t>
      </w:r>
      <w:r w:rsidRPr="00340147">
        <w:rPr>
          <w:rFonts w:ascii="Gill Sans Infant Std" w:hAnsi="Gill Sans Infant Std"/>
        </w:rPr>
        <w:t xml:space="preserve"> or be perceived </w:t>
      </w:r>
      <w:r>
        <w:rPr>
          <w:rFonts w:ascii="Gill Sans Infant Std" w:hAnsi="Gill Sans Infant Std"/>
        </w:rPr>
        <w:t>to be, dishonoured and impure.</w:t>
      </w:r>
    </w:p>
    <w:p w14:paraId="3306AA9C" w14:textId="6A05A4F3" w:rsidR="00252C48" w:rsidRPr="00340147" w:rsidRDefault="00252C48" w:rsidP="00650E94">
      <w:pPr>
        <w:jc w:val="both"/>
        <w:rPr>
          <w:rFonts w:ascii="Gill Sans Infant Std" w:hAnsi="Gill Sans Infant Std"/>
        </w:rPr>
      </w:pPr>
      <w:r w:rsidRPr="00340147">
        <w:rPr>
          <w:rFonts w:ascii="Gill Sans Infant Std" w:hAnsi="Gill Sans Infant Std"/>
        </w:rPr>
        <w:t>Sexual violence can also affect children’s social development by depriving them of the environment and the means to fully develop their potential. They may normalise the use of violence within relationships, exposing them to the risk of re-victimisation. Sexual violence also has long-term ramifications for the economic futures of girl survivors. In areas where gender norms and limited economic opportunities may make marriage the most accessible route to social acceptance and financial security, abandonment and the loss of their marriage prospects can re</w:t>
      </w:r>
      <w:r>
        <w:rPr>
          <w:rFonts w:ascii="Gill Sans Infant Std" w:hAnsi="Gill Sans Infant Std"/>
        </w:rPr>
        <w:t>sult in a lifetime of poverty.</w:t>
      </w:r>
      <w:r w:rsidR="00E46FF1">
        <w:rPr>
          <w:rStyle w:val="FootnoteReference"/>
          <w:rFonts w:ascii="Gill Sans Infant Std" w:hAnsi="Gill Sans Infant Std"/>
        </w:rPr>
        <w:footnoteReference w:id="9"/>
      </w:r>
      <w:r w:rsidRPr="00340147">
        <w:rPr>
          <w:rFonts w:ascii="Gill Sans Infant Std" w:hAnsi="Gill Sans Infant Std"/>
        </w:rPr>
        <w:t xml:space="preserve"> </w:t>
      </w:r>
    </w:p>
    <w:p w14:paraId="67BDF167" w14:textId="6E126966" w:rsidR="00252C48" w:rsidRPr="00340147" w:rsidRDefault="00252C48" w:rsidP="00650E94">
      <w:pPr>
        <w:jc w:val="both"/>
        <w:rPr>
          <w:rFonts w:ascii="Gill Sans Infant Std" w:hAnsi="Gill Sans Infant Std"/>
        </w:rPr>
      </w:pPr>
      <w:r w:rsidRPr="00F45E79">
        <w:rPr>
          <w:rFonts w:ascii="Gill Sans Infant Std" w:hAnsi="Gill Sans Infant Std"/>
          <w:b/>
        </w:rPr>
        <w:t>Nine of the ten countries with the highest prevalence rate of child, early and forced marriage are classified as fragile or conflict-affected</w:t>
      </w:r>
      <w:r w:rsidRPr="00340147">
        <w:rPr>
          <w:rFonts w:ascii="Gill Sans Infant Std" w:hAnsi="Gill Sans Infant Std"/>
        </w:rPr>
        <w:t>.</w:t>
      </w:r>
      <w:r w:rsidR="00E46FF1">
        <w:rPr>
          <w:rStyle w:val="FootnoteReference"/>
          <w:rFonts w:ascii="Gill Sans Infant Std" w:hAnsi="Gill Sans Infant Std"/>
        </w:rPr>
        <w:footnoteReference w:id="10"/>
      </w:r>
      <w:r w:rsidRPr="00340147">
        <w:rPr>
          <w:rFonts w:ascii="Gill Sans Infant Std" w:hAnsi="Gill Sans Infant Std"/>
        </w:rPr>
        <w:t xml:space="preserve"> In some contexts,</w:t>
      </w:r>
      <w:r w:rsidR="00C73450">
        <w:rPr>
          <w:rFonts w:ascii="Gill Sans Infant Std" w:hAnsi="Gill Sans Infant Std"/>
        </w:rPr>
        <w:t xml:space="preserve"> despite the harm to girls as a result of</w:t>
      </w:r>
      <w:r w:rsidR="00882B70">
        <w:rPr>
          <w:rFonts w:ascii="Gill Sans Infant Std" w:hAnsi="Gill Sans Infant Std"/>
        </w:rPr>
        <w:t xml:space="preserve"> child,</w:t>
      </w:r>
      <w:r w:rsidR="00C73450">
        <w:rPr>
          <w:rFonts w:ascii="Gill Sans Infant Std" w:hAnsi="Gill Sans Infant Std"/>
        </w:rPr>
        <w:t xml:space="preserve"> early and forced marriage,</w:t>
      </w:r>
      <w:r w:rsidRPr="00340147">
        <w:rPr>
          <w:rFonts w:ascii="Gill Sans Infant Std" w:hAnsi="Gill Sans Infant Std"/>
        </w:rPr>
        <w:t xml:space="preserve"> girls may be married as a perceived protective and pre-emptive measure, due to fears associated with armed actors and the sexual violence they perpetrate. Yet, there remain significant data gaps when it comes to prevalence of child marriage and an urgent need for more research on why it happens and which measures can prevent it.</w:t>
      </w:r>
      <w:r w:rsidR="00E46FF1">
        <w:rPr>
          <w:rStyle w:val="FootnoteReference"/>
          <w:rFonts w:ascii="Gill Sans Infant Std" w:hAnsi="Gill Sans Infant Std"/>
        </w:rPr>
        <w:footnoteReference w:id="11"/>
      </w:r>
    </w:p>
    <w:p w14:paraId="2986C282" w14:textId="4894D637" w:rsidR="00252C48" w:rsidRDefault="00252C48" w:rsidP="00650E94">
      <w:pPr>
        <w:jc w:val="both"/>
        <w:rPr>
          <w:rFonts w:ascii="Gill Sans Infant Std" w:hAnsi="Gill Sans Infant Std"/>
        </w:rPr>
      </w:pPr>
      <w:r w:rsidRPr="00340147">
        <w:rPr>
          <w:rFonts w:ascii="Gill Sans Infant Std" w:hAnsi="Gill Sans Infant Std"/>
        </w:rPr>
        <w:t>The rise in child marriages associated with a conflict setting means that sexual violence could slip under the radar when an intimate partner perpetrates it.</w:t>
      </w:r>
      <w:r w:rsidR="00650E94">
        <w:rPr>
          <w:rStyle w:val="FootnoteReference"/>
          <w:rFonts w:ascii="Gill Sans Infant Std" w:hAnsi="Gill Sans Infant Std"/>
        </w:rPr>
        <w:footnoteReference w:id="12"/>
      </w:r>
      <w:r w:rsidRPr="00340147">
        <w:rPr>
          <w:rFonts w:ascii="Gill Sans Infant Std" w:hAnsi="Gill Sans Infant Std"/>
        </w:rPr>
        <w:t xml:space="preserve"> Whether a child marriage perpetrated by an armed actor is framed and reported on as a marriage or sexual slavery is rarely clear or consistent and</w:t>
      </w:r>
      <w:r>
        <w:rPr>
          <w:rFonts w:ascii="Gill Sans Infant Std" w:hAnsi="Gill Sans Infant Std"/>
        </w:rPr>
        <w:t xml:space="preserve"> is entirely context </w:t>
      </w:r>
      <w:r>
        <w:rPr>
          <w:rFonts w:ascii="Gill Sans Infant Std" w:hAnsi="Gill Sans Infant Std"/>
        </w:rPr>
        <w:lastRenderedPageBreak/>
        <w:t>specific.</w:t>
      </w:r>
      <w:r w:rsidR="00650E94">
        <w:rPr>
          <w:rStyle w:val="FootnoteReference"/>
          <w:rFonts w:ascii="Gill Sans Infant Std" w:hAnsi="Gill Sans Infant Std"/>
        </w:rPr>
        <w:footnoteReference w:id="13"/>
      </w:r>
      <w:r w:rsidRPr="00340147">
        <w:rPr>
          <w:rFonts w:ascii="Gill Sans Infant Std" w:hAnsi="Gill Sans Infant Std"/>
        </w:rPr>
        <w:t xml:space="preserve"> This blurs the lines on whether data is collected at all in the case of sexual violence perpetrated by an armed actor who claims to have married his victim.</w:t>
      </w:r>
      <w:r w:rsidR="00650E94">
        <w:rPr>
          <w:rStyle w:val="FootnoteReference"/>
          <w:rFonts w:ascii="Gill Sans Infant Std" w:hAnsi="Gill Sans Infant Std"/>
        </w:rPr>
        <w:footnoteReference w:id="14"/>
      </w:r>
    </w:p>
    <w:p w14:paraId="3E954100" w14:textId="5E8ECC82" w:rsidR="00252C48" w:rsidRPr="00433731" w:rsidRDefault="00252C48" w:rsidP="00650E94">
      <w:pPr>
        <w:jc w:val="both"/>
        <w:rPr>
          <w:rFonts w:ascii="Gill Sans Infant Std" w:hAnsi="Gill Sans Infant Std"/>
        </w:rPr>
      </w:pPr>
      <w:r>
        <w:rPr>
          <w:rFonts w:ascii="Gill Sans Infant Std" w:hAnsi="Gill Sans Infant Std"/>
        </w:rPr>
        <w:t>Increased risks of child marriage</w:t>
      </w:r>
      <w:r w:rsidRPr="00435791">
        <w:rPr>
          <w:rFonts w:ascii="Gill Sans Infant Std" w:hAnsi="Gill Sans Infant Std"/>
        </w:rPr>
        <w:t>, and adolescent pregnancy- bring increased risks for health complications as girls’ bodies are often neither physically nor emotionally mature enough for childbirth. The absence of obstetric services, critical equipment and supplies, and skilled health workers in displacement and protracted crisis settings mean that pregnancy and childbirth are often life threatening. These factors lead to increased risks of infection, miscarriage, premature delivery, stillbirths, and severe long-term health issues such as obstetric fistula.</w:t>
      </w:r>
      <w:r w:rsidR="00650E94">
        <w:rPr>
          <w:rStyle w:val="FootnoteReference"/>
          <w:rFonts w:ascii="Gill Sans Infant Std" w:hAnsi="Gill Sans Infant Std"/>
        </w:rPr>
        <w:footnoteReference w:id="15"/>
      </w:r>
      <w:r w:rsidRPr="00435791">
        <w:rPr>
          <w:rFonts w:ascii="Gill Sans Infant Std" w:hAnsi="Gill Sans Infant Std"/>
        </w:rPr>
        <w:t xml:space="preserve"> </w:t>
      </w:r>
      <w:r w:rsidRPr="008A09AF">
        <w:rPr>
          <w:rFonts w:ascii="Gill Sans Infant Std" w:hAnsi="Gill Sans Infant Std"/>
          <w:bCs/>
        </w:rPr>
        <w:t>Around three-fifths of all maternal deaths take place in humanitarian and fragile contexts.</w:t>
      </w:r>
      <w:r w:rsidR="00650E94">
        <w:rPr>
          <w:rStyle w:val="FootnoteReference"/>
          <w:rFonts w:ascii="Gill Sans Infant Std" w:hAnsi="Gill Sans Infant Std"/>
          <w:bCs/>
        </w:rPr>
        <w:footnoteReference w:id="16"/>
      </w:r>
      <w:r w:rsidRPr="008A09AF">
        <w:rPr>
          <w:rFonts w:ascii="Gill Sans Infant Std" w:hAnsi="Gill Sans Infant Std"/>
        </w:rPr>
        <w:t xml:space="preserve"> </w:t>
      </w:r>
      <w:r>
        <w:rPr>
          <w:rFonts w:ascii="Gill Sans Infant Std" w:hAnsi="Gill Sans Infant Std"/>
        </w:rPr>
        <w:t xml:space="preserve">An OCHA report in 2016 found that </w:t>
      </w:r>
      <w:r>
        <w:rPr>
          <w:rFonts w:ascii="Gill Sans Infant Std" w:hAnsi="Gill Sans Infant Std"/>
          <w:bCs/>
        </w:rPr>
        <w:t>e</w:t>
      </w:r>
      <w:r w:rsidRPr="008A09AF">
        <w:rPr>
          <w:rFonts w:ascii="Gill Sans Infant Std" w:hAnsi="Gill Sans Infant Std"/>
          <w:bCs/>
        </w:rPr>
        <w:t>very day, 507 women and adolescent girls die from pregnancy and childbirth complications in emergency settings.</w:t>
      </w:r>
      <w:r w:rsidR="00650E94">
        <w:rPr>
          <w:rStyle w:val="FootnoteReference"/>
          <w:rFonts w:ascii="Gill Sans Infant Std" w:hAnsi="Gill Sans Infant Std"/>
          <w:bCs/>
        </w:rPr>
        <w:footnoteReference w:id="17"/>
      </w:r>
    </w:p>
    <w:p w14:paraId="5276670D" w14:textId="251EECFC" w:rsidR="00252C48" w:rsidRPr="00340147" w:rsidRDefault="00252C48" w:rsidP="00650E94">
      <w:pPr>
        <w:jc w:val="both"/>
        <w:rPr>
          <w:rFonts w:ascii="Gill Sans Infant Std" w:eastAsiaTheme="minorEastAsia" w:hAnsi="Gill Sans Infant Std"/>
          <w:u w:val="single"/>
          <w:lang w:val="en-US"/>
        </w:rPr>
      </w:pPr>
      <w:r>
        <w:rPr>
          <w:rFonts w:ascii="Gill Sans Infant Std" w:eastAsiaTheme="minorEastAsia" w:hAnsi="Gill Sans Infant Std"/>
          <w:u w:val="single"/>
          <w:lang w:val="en-US"/>
        </w:rPr>
        <w:t>Access to Education</w:t>
      </w:r>
    </w:p>
    <w:p w14:paraId="17455D33" w14:textId="4F4365F0" w:rsidR="00252C48" w:rsidRPr="00340147" w:rsidRDefault="00252C48" w:rsidP="00650E94">
      <w:pPr>
        <w:jc w:val="both"/>
        <w:rPr>
          <w:rFonts w:ascii="Gill Sans Infant Std" w:hAnsi="Gill Sans Infant Std"/>
        </w:rPr>
      </w:pPr>
      <w:r w:rsidRPr="00340147">
        <w:rPr>
          <w:rFonts w:ascii="Gill Sans Infant Std" w:hAnsi="Gill Sans Infant Std"/>
        </w:rPr>
        <w:t xml:space="preserve">The </w:t>
      </w:r>
      <w:r>
        <w:rPr>
          <w:rFonts w:ascii="Gill Sans Infant Std" w:hAnsi="Gill Sans Infant Std"/>
        </w:rPr>
        <w:t>United Nations verified 927 attacks on schools and hospitals</w:t>
      </w:r>
      <w:r w:rsidRPr="00340147">
        <w:rPr>
          <w:rFonts w:ascii="Gill Sans Infant Std" w:hAnsi="Gill Sans Infant Std"/>
        </w:rPr>
        <w:t xml:space="preserve"> i</w:t>
      </w:r>
      <w:r>
        <w:rPr>
          <w:rFonts w:ascii="Gill Sans Infant Std" w:hAnsi="Gill Sans Infant Std"/>
        </w:rPr>
        <w:t>n 2019. In multiple contexts, there is evidence pointing</w:t>
      </w:r>
      <w:r w:rsidRPr="00340147">
        <w:rPr>
          <w:rFonts w:ascii="Gill Sans Infant Std" w:hAnsi="Gill Sans Infant Std"/>
        </w:rPr>
        <w:t xml:space="preserve"> to the specif</w:t>
      </w:r>
      <w:r>
        <w:rPr>
          <w:rFonts w:ascii="Gill Sans Infant Std" w:hAnsi="Gill Sans Infant Std"/>
        </w:rPr>
        <w:t>ic targeting of girls’ education</w:t>
      </w:r>
      <w:r w:rsidRPr="00340147">
        <w:rPr>
          <w:rFonts w:ascii="Gill Sans Infant Std" w:hAnsi="Gill Sans Infant Std"/>
        </w:rPr>
        <w:t xml:space="preserve">. </w:t>
      </w:r>
      <w:r>
        <w:rPr>
          <w:rFonts w:ascii="Gill Sans Infant Std" w:hAnsi="Gill Sans Infant Std"/>
        </w:rPr>
        <w:t>For example, i</w:t>
      </w:r>
      <w:r w:rsidRPr="00340147">
        <w:rPr>
          <w:rFonts w:ascii="Gill Sans Infant Std" w:hAnsi="Gill Sans Infant Std"/>
        </w:rPr>
        <w:t>n Afghanistan, the number of attacks on schools has increased dramatically, with girls’ schools repeatedly targeted.</w:t>
      </w:r>
      <w:r w:rsidR="00650E94">
        <w:rPr>
          <w:rStyle w:val="FootnoteReference"/>
          <w:rFonts w:ascii="Gill Sans Infant Std" w:hAnsi="Gill Sans Infant Std"/>
        </w:rPr>
        <w:footnoteReference w:id="18"/>
      </w:r>
      <w:r>
        <w:rPr>
          <w:rFonts w:ascii="Gill Sans Infant Std" w:hAnsi="Gill Sans Infant Std"/>
        </w:rPr>
        <w:t xml:space="preserve"> </w:t>
      </w:r>
      <w:r w:rsidRPr="00340147">
        <w:rPr>
          <w:rFonts w:ascii="Gill Sans Infant Std" w:hAnsi="Gill Sans Infant Std"/>
        </w:rPr>
        <w:t>Attacks on girls’ schools are often a direct attack on girls who step outside of restrictive gender norms and expectations. In some cases, violent extremist groups have clearly stated their rationale for attacking girls’ schools – for example, to warn girls not to go to school, demand that teachers and parents close girls’ schools, or to try to restrict mobility and dress codes for women teachers</w:t>
      </w:r>
      <w:r>
        <w:rPr>
          <w:rFonts w:ascii="Gill Sans Infant Std" w:hAnsi="Gill Sans Infant Std"/>
        </w:rPr>
        <w:t xml:space="preserve"> and girls attending schools.</w:t>
      </w:r>
      <w:r w:rsidR="00650E94">
        <w:rPr>
          <w:rStyle w:val="FootnoteReference"/>
          <w:rFonts w:ascii="Gill Sans Infant Std" w:hAnsi="Gill Sans Infant Std"/>
        </w:rPr>
        <w:footnoteReference w:id="19"/>
      </w:r>
      <w:r w:rsidRPr="00340147">
        <w:rPr>
          <w:rFonts w:ascii="Gill Sans Infant Std" w:hAnsi="Gill Sans Infant Std"/>
        </w:rPr>
        <w:t xml:space="preserve"> Some of these attacks have been driven by entrenched and regressive norms around gender and girls’ roles and value. In such settings, a common perception may be that girls’ value derives solely from their marital and reproductive capacities or care-taking roles, and that their behaviour and presence should be confined to the private spher</w:t>
      </w:r>
      <w:r>
        <w:rPr>
          <w:rFonts w:ascii="Gill Sans Infant Std" w:hAnsi="Gill Sans Infant Std"/>
        </w:rPr>
        <w:t>e.</w:t>
      </w:r>
      <w:r w:rsidR="00650E94">
        <w:rPr>
          <w:rStyle w:val="FootnoteReference"/>
          <w:rFonts w:ascii="Gill Sans Infant Std" w:hAnsi="Gill Sans Infant Std"/>
        </w:rPr>
        <w:footnoteReference w:id="20"/>
      </w:r>
    </w:p>
    <w:p w14:paraId="0102B40D" w14:textId="55E15984" w:rsidR="008A09AF" w:rsidRDefault="00252C48" w:rsidP="00650E94">
      <w:pPr>
        <w:jc w:val="both"/>
        <w:rPr>
          <w:rFonts w:ascii="Gill Sans Infant Std" w:hAnsi="Gill Sans Infant Std"/>
        </w:rPr>
      </w:pPr>
      <w:r w:rsidRPr="00340147">
        <w:rPr>
          <w:rFonts w:ascii="Gill Sans Infant Std" w:hAnsi="Gill Sans Infant Std"/>
        </w:rPr>
        <w:t>Girls overall are 2.5 times more likely to be out of school in conflict settings than boys. And when girls are not in school, they are more likely to be married as children, experience life-threatening adolescent pregnancy, and face life-long gender-base</w:t>
      </w:r>
      <w:r>
        <w:rPr>
          <w:rFonts w:ascii="Gill Sans Infant Std" w:hAnsi="Gill Sans Infant Std"/>
        </w:rPr>
        <w:t>d violence and health issues.</w:t>
      </w:r>
      <w:r w:rsidR="00650E94">
        <w:rPr>
          <w:rStyle w:val="FootnoteReference"/>
          <w:rFonts w:ascii="Gill Sans Infant Std" w:hAnsi="Gill Sans Infant Std"/>
        </w:rPr>
        <w:footnoteReference w:id="21"/>
      </w:r>
    </w:p>
    <w:p w14:paraId="70AA6F23" w14:textId="6494DD86" w:rsidR="00433731" w:rsidRDefault="00433731" w:rsidP="00650E94">
      <w:pPr>
        <w:pStyle w:val="ListParagraph"/>
        <w:numPr>
          <w:ilvl w:val="0"/>
          <w:numId w:val="1"/>
        </w:numPr>
        <w:jc w:val="both"/>
        <w:rPr>
          <w:rFonts w:ascii="Gill Sans Infant Std" w:hAnsi="Gill Sans Infant Std"/>
          <w:b/>
        </w:rPr>
      </w:pPr>
      <w:r w:rsidRPr="00433731">
        <w:rPr>
          <w:rFonts w:ascii="Gill Sans Infant Std" w:hAnsi="Gill Sans Infant Std"/>
          <w:b/>
        </w:rPr>
        <w:t>Recommendations:</w:t>
      </w:r>
    </w:p>
    <w:p w14:paraId="3E034E39" w14:textId="77777777" w:rsidR="006A689A" w:rsidRPr="0063513E" w:rsidRDefault="006A689A" w:rsidP="00650E94">
      <w:pPr>
        <w:pStyle w:val="ListParagraph"/>
        <w:ind w:left="1080"/>
        <w:jc w:val="both"/>
        <w:rPr>
          <w:rFonts w:ascii="Gill Sans Infant Std" w:hAnsi="Gill Sans Infant Std"/>
          <w:b/>
        </w:rPr>
      </w:pPr>
    </w:p>
    <w:p w14:paraId="291A36BD" w14:textId="02ABDF70" w:rsidR="00832508" w:rsidRDefault="0063513E" w:rsidP="00650E94">
      <w:pPr>
        <w:jc w:val="both"/>
        <w:rPr>
          <w:rFonts w:ascii="Gill Sans Infant Std" w:eastAsiaTheme="minorEastAsia" w:hAnsi="Gill Sans Infant Std"/>
          <w:bCs/>
          <w:lang w:val="en-US"/>
        </w:rPr>
      </w:pPr>
      <w:r>
        <w:rPr>
          <w:rFonts w:ascii="Gill Sans Infant Std" w:eastAsiaTheme="minorEastAsia" w:hAnsi="Gill Sans Infant Std"/>
          <w:bCs/>
          <w:lang w:val="en-US"/>
        </w:rPr>
        <w:t xml:space="preserve">The Human Rights Council and its mechanisms </w:t>
      </w:r>
      <w:r w:rsidR="00435791" w:rsidRPr="00435791">
        <w:rPr>
          <w:rFonts w:ascii="Gill Sans Infant Std" w:eastAsiaTheme="minorEastAsia" w:hAnsi="Gill Sans Infant Std"/>
          <w:bCs/>
          <w:lang w:val="en-US"/>
        </w:rPr>
        <w:t>shoul</w:t>
      </w:r>
      <w:r w:rsidR="00433731">
        <w:rPr>
          <w:rFonts w:ascii="Gill Sans Infant Std" w:eastAsiaTheme="minorEastAsia" w:hAnsi="Gill Sans Infant Std"/>
          <w:bCs/>
          <w:lang w:val="en-US"/>
        </w:rPr>
        <w:t>d urgently address and prioritiz</w:t>
      </w:r>
      <w:r w:rsidR="00A36872">
        <w:rPr>
          <w:rFonts w:ascii="Gill Sans Infant Std" w:eastAsiaTheme="minorEastAsia" w:hAnsi="Gill Sans Infant Std"/>
          <w:bCs/>
          <w:lang w:val="en-US"/>
        </w:rPr>
        <w:t xml:space="preserve">e the promotion and protection of the human rights of </w:t>
      </w:r>
      <w:r w:rsidR="00435791" w:rsidRPr="00435791">
        <w:rPr>
          <w:rFonts w:ascii="Gill Sans Infant Std" w:eastAsiaTheme="minorEastAsia" w:hAnsi="Gill Sans Infant Std"/>
          <w:bCs/>
          <w:lang w:val="en-US"/>
        </w:rPr>
        <w:t xml:space="preserve">girls </w:t>
      </w:r>
      <w:r w:rsidR="00433731">
        <w:rPr>
          <w:rFonts w:ascii="Gill Sans Infant Std" w:eastAsiaTheme="minorEastAsia" w:hAnsi="Gill Sans Infant Std"/>
          <w:bCs/>
          <w:lang w:val="en-US"/>
        </w:rPr>
        <w:t>living in conflict and post-conflict settings</w:t>
      </w:r>
      <w:r>
        <w:rPr>
          <w:rFonts w:ascii="Gill Sans Infant Std" w:eastAsiaTheme="minorEastAsia" w:hAnsi="Gill Sans Infant Std"/>
          <w:bCs/>
          <w:lang w:val="en-US"/>
        </w:rPr>
        <w:t xml:space="preserve">, </w:t>
      </w:r>
      <w:r w:rsidR="00832508">
        <w:rPr>
          <w:rFonts w:ascii="Gill Sans Infant Std" w:eastAsiaTheme="minorEastAsia" w:hAnsi="Gill Sans Infant Std"/>
          <w:bCs/>
          <w:lang w:val="en-US"/>
        </w:rPr>
        <w:t>through:</w:t>
      </w:r>
    </w:p>
    <w:p w14:paraId="6D4DBFC9" w14:textId="2477BF34" w:rsidR="00D464E1" w:rsidRPr="00D464E1" w:rsidRDefault="00435791" w:rsidP="00650E94">
      <w:pPr>
        <w:pStyle w:val="ListParagraph"/>
        <w:numPr>
          <w:ilvl w:val="0"/>
          <w:numId w:val="2"/>
        </w:numPr>
        <w:jc w:val="both"/>
        <w:rPr>
          <w:rStyle w:val="normaltextrun"/>
          <w:rFonts w:ascii="Gill Sans Infant Std" w:eastAsiaTheme="minorEastAsia" w:hAnsi="Gill Sans Infant Std"/>
          <w:lang w:val="en-US"/>
        </w:rPr>
      </w:pPr>
      <w:r w:rsidRPr="0063513E">
        <w:rPr>
          <w:rFonts w:ascii="Gill Sans Infant Std" w:eastAsiaTheme="minorEastAsia" w:hAnsi="Gill Sans Infant Std"/>
          <w:b/>
          <w:lang w:val="en-US"/>
        </w:rPr>
        <w:lastRenderedPageBreak/>
        <w:t xml:space="preserve">Systematic inclusion, consultation, and partnering with </w:t>
      </w:r>
      <w:r w:rsidR="00832508" w:rsidRPr="0063513E">
        <w:rPr>
          <w:rFonts w:ascii="Gill Sans Infant Std" w:eastAsiaTheme="minorEastAsia" w:hAnsi="Gill Sans Infant Std"/>
          <w:b/>
          <w:lang w:val="en-US"/>
        </w:rPr>
        <w:t>adolescent girls</w:t>
      </w:r>
      <w:r w:rsidR="0063513E" w:rsidRPr="0063513E">
        <w:rPr>
          <w:rFonts w:ascii="Gill Sans Infant Std" w:eastAsiaTheme="minorEastAsia" w:hAnsi="Gill Sans Infant Std"/>
          <w:b/>
          <w:lang w:val="en-US"/>
        </w:rPr>
        <w:t xml:space="preserve"> and girl-led groups and networks,</w:t>
      </w:r>
      <w:r w:rsidR="00832508" w:rsidRPr="0063513E">
        <w:rPr>
          <w:rFonts w:ascii="Gill Sans Infant Std" w:eastAsiaTheme="minorEastAsia" w:hAnsi="Gill Sans Infant Std"/>
          <w:b/>
          <w:lang w:val="en-US"/>
        </w:rPr>
        <w:t xml:space="preserve"> </w:t>
      </w:r>
      <w:r w:rsidRPr="0063513E">
        <w:rPr>
          <w:rFonts w:ascii="Gill Sans Infant Std" w:eastAsiaTheme="minorEastAsia" w:hAnsi="Gill Sans Infant Std"/>
          <w:b/>
          <w:lang w:val="en-US"/>
        </w:rPr>
        <w:t>to leverage their agency</w:t>
      </w:r>
      <w:r w:rsidR="0063513E">
        <w:rPr>
          <w:rFonts w:ascii="Gill Sans Infant Std" w:eastAsiaTheme="minorEastAsia" w:hAnsi="Gill Sans Infant Std"/>
          <w:b/>
          <w:lang w:val="en-US"/>
        </w:rPr>
        <w:t>, innovative solutions,</w:t>
      </w:r>
      <w:r w:rsidRPr="0063513E">
        <w:rPr>
          <w:rFonts w:ascii="Gill Sans Infant Std" w:eastAsiaTheme="minorEastAsia" w:hAnsi="Gill Sans Infant Std"/>
          <w:b/>
          <w:lang w:val="en-US"/>
        </w:rPr>
        <w:t xml:space="preserve"> and ensure their </w:t>
      </w:r>
      <w:r w:rsidR="0063513E">
        <w:rPr>
          <w:rFonts w:ascii="Gill Sans Infant Std" w:eastAsiaTheme="minorEastAsia" w:hAnsi="Gill Sans Infant Std"/>
          <w:b/>
          <w:lang w:val="en-US"/>
        </w:rPr>
        <w:t xml:space="preserve">safe and </w:t>
      </w:r>
      <w:r w:rsidRPr="0063513E">
        <w:rPr>
          <w:rFonts w:ascii="Gill Sans Infant Std" w:eastAsiaTheme="minorEastAsia" w:hAnsi="Gill Sans Infant Std"/>
          <w:b/>
          <w:lang w:val="en-US"/>
        </w:rPr>
        <w:t>meaningful participation</w:t>
      </w:r>
      <w:r w:rsidR="0063513E">
        <w:rPr>
          <w:rFonts w:ascii="Gill Sans Infant Std" w:eastAsiaTheme="minorEastAsia" w:hAnsi="Gill Sans Infant Std"/>
          <w:b/>
          <w:lang w:val="en-US"/>
        </w:rPr>
        <w:t xml:space="preserve"> in all decisions and accountability process</w:t>
      </w:r>
      <w:r w:rsidR="00A36872">
        <w:rPr>
          <w:rFonts w:ascii="Gill Sans Infant Std" w:eastAsiaTheme="minorEastAsia" w:hAnsi="Gill Sans Infant Std"/>
          <w:b/>
          <w:lang w:val="en-US"/>
        </w:rPr>
        <w:t>es affecting them</w:t>
      </w:r>
      <w:r w:rsidR="0063513E">
        <w:rPr>
          <w:rFonts w:ascii="Gill Sans Infant Std" w:eastAsiaTheme="minorEastAsia" w:hAnsi="Gill Sans Infant Std"/>
          <w:b/>
          <w:lang w:val="en-US"/>
        </w:rPr>
        <w:t>.</w:t>
      </w:r>
      <w:r w:rsidRPr="0063513E">
        <w:rPr>
          <w:rFonts w:ascii="Gill Sans Infant Std" w:eastAsiaTheme="minorEastAsia" w:hAnsi="Gill Sans Infant Std"/>
          <w:lang w:val="en-US"/>
        </w:rPr>
        <w:t xml:space="preserve"> </w:t>
      </w:r>
      <w:r w:rsidR="00D464E1">
        <w:rPr>
          <w:rFonts w:ascii="Gill Sans Infant Std" w:eastAsiaTheme="minorEastAsia" w:hAnsi="Gill Sans Infant Std"/>
          <w:lang w:val="en-US"/>
        </w:rPr>
        <w:t>Support girls to raise complaints of violations of their rights directly</w:t>
      </w:r>
      <w:r w:rsidR="00A36872">
        <w:rPr>
          <w:rFonts w:ascii="Gill Sans Infant Std" w:eastAsiaTheme="minorEastAsia" w:hAnsi="Gill Sans Infant Std"/>
          <w:lang w:val="en-US"/>
        </w:rPr>
        <w:t xml:space="preserve"> to HRC processes and mechanisms</w:t>
      </w:r>
      <w:r w:rsidR="00926A08">
        <w:rPr>
          <w:rFonts w:ascii="Gill Sans Infant Std" w:eastAsiaTheme="minorEastAsia" w:hAnsi="Gill Sans Infant Std"/>
          <w:lang w:val="en-US"/>
        </w:rPr>
        <w:t xml:space="preserve"> and provide them with dedicated spaces and more systematic opportunities to engage with these mechanisms on all matters that concern or affect them</w:t>
      </w:r>
      <w:r w:rsidR="00D464E1">
        <w:rPr>
          <w:rFonts w:ascii="Gill Sans Infant Std" w:eastAsiaTheme="minorEastAsia" w:hAnsi="Gill Sans Infant Std"/>
          <w:lang w:val="en-US"/>
        </w:rPr>
        <w:t xml:space="preserve">. </w:t>
      </w:r>
      <w:r w:rsidR="0063513E">
        <w:rPr>
          <w:rFonts w:ascii="Gill Sans Infant Std" w:eastAsiaTheme="minorEastAsia" w:hAnsi="Gill Sans Infant Std"/>
          <w:lang w:val="en-US"/>
        </w:rPr>
        <w:t>Adolescent girls, and girl-led groups and networks, require child-friendly and gender-sensitive information and tools, as</w:t>
      </w:r>
      <w:r w:rsidR="00A36872">
        <w:rPr>
          <w:rFonts w:ascii="Gill Sans Infant Std" w:eastAsiaTheme="minorEastAsia" w:hAnsi="Gill Sans Infant Std"/>
          <w:lang w:val="en-US"/>
        </w:rPr>
        <w:t xml:space="preserve"> well as increased technical and financial support</w:t>
      </w:r>
      <w:r w:rsidR="00494074">
        <w:rPr>
          <w:rFonts w:ascii="Gill Sans Infant Std" w:eastAsiaTheme="minorEastAsia" w:hAnsi="Gill Sans Infant Std"/>
          <w:lang w:val="en-US"/>
        </w:rPr>
        <w:t xml:space="preserve"> for their knowledge and </w:t>
      </w:r>
      <w:r w:rsidR="00D464E1">
        <w:rPr>
          <w:rFonts w:ascii="Gill Sans Infant Std" w:eastAsiaTheme="minorEastAsia" w:hAnsi="Gill Sans Infant Std"/>
          <w:lang w:val="en-US"/>
        </w:rPr>
        <w:t>skills building</w:t>
      </w:r>
      <w:r w:rsidR="00494074">
        <w:rPr>
          <w:rFonts w:ascii="Gill Sans Infant Std" w:eastAsiaTheme="minorEastAsia" w:hAnsi="Gill Sans Infant Std"/>
          <w:lang w:val="en-US"/>
        </w:rPr>
        <w:t>,</w:t>
      </w:r>
      <w:r w:rsidR="0063513E">
        <w:rPr>
          <w:rFonts w:ascii="Gill Sans Infant Std" w:eastAsiaTheme="minorEastAsia" w:hAnsi="Gill Sans Infant Std"/>
          <w:lang w:val="en-US"/>
        </w:rPr>
        <w:t xml:space="preserve"> so that they may safely and meaningfully engage in human rights and peace processes. Adolescent girls also require safe spaces and platforms for peer-to-peer interactions and consultations. </w:t>
      </w:r>
    </w:p>
    <w:p w14:paraId="019FF887" w14:textId="77777777" w:rsidR="00832508" w:rsidRDefault="00832508" w:rsidP="00650E94">
      <w:pPr>
        <w:pStyle w:val="ListParagraph"/>
        <w:jc w:val="both"/>
        <w:rPr>
          <w:rFonts w:ascii="Gill Sans Infant Std" w:eastAsiaTheme="minorEastAsia" w:hAnsi="Gill Sans Infant Std"/>
          <w:lang w:val="en-US"/>
        </w:rPr>
      </w:pPr>
    </w:p>
    <w:p w14:paraId="07A9584D" w14:textId="07E4E6BA" w:rsidR="00832508" w:rsidRPr="008A09AF" w:rsidRDefault="00A36872" w:rsidP="00650E94">
      <w:pPr>
        <w:pStyle w:val="ListParagraph"/>
        <w:numPr>
          <w:ilvl w:val="0"/>
          <w:numId w:val="2"/>
        </w:numPr>
        <w:jc w:val="both"/>
        <w:rPr>
          <w:rFonts w:ascii="Gill Sans Infant Std" w:eastAsiaTheme="minorEastAsia" w:hAnsi="Gill Sans Infant Std"/>
          <w:lang w:val="en-US"/>
        </w:rPr>
      </w:pPr>
      <w:r>
        <w:rPr>
          <w:rFonts w:ascii="Gill Sans Infant Std" w:eastAsiaTheme="minorEastAsia" w:hAnsi="Gill Sans Infant Std"/>
          <w:b/>
          <w:bCs/>
          <w:lang w:val="en-US"/>
        </w:rPr>
        <w:t>Ensure</w:t>
      </w:r>
      <w:r w:rsidR="00435791" w:rsidRPr="006A689A">
        <w:rPr>
          <w:rFonts w:ascii="Gill Sans Infant Std" w:eastAsiaTheme="minorEastAsia" w:hAnsi="Gill Sans Infant Std"/>
          <w:b/>
          <w:bCs/>
          <w:lang w:val="en-US"/>
        </w:rPr>
        <w:t xml:space="preserve"> that legal and policy frameworks </w:t>
      </w:r>
      <w:r w:rsidR="00832508" w:rsidRPr="006A689A">
        <w:rPr>
          <w:rFonts w:ascii="Gill Sans Infant Std" w:eastAsiaTheme="minorEastAsia" w:hAnsi="Gill Sans Infant Std"/>
          <w:b/>
          <w:bCs/>
          <w:lang w:val="en-US"/>
        </w:rPr>
        <w:t xml:space="preserve">and all accountability mechanisms </w:t>
      </w:r>
      <w:r w:rsidR="00435791" w:rsidRPr="006A689A">
        <w:rPr>
          <w:rFonts w:ascii="Gill Sans Infant Std" w:eastAsiaTheme="minorEastAsia" w:hAnsi="Gill Sans Infant Std"/>
          <w:b/>
          <w:bCs/>
          <w:lang w:val="en-US"/>
        </w:rPr>
        <w:t>recognize and incorpor</w:t>
      </w:r>
      <w:r w:rsidR="00494074" w:rsidRPr="006A689A">
        <w:rPr>
          <w:rFonts w:ascii="Gill Sans Infant Std" w:eastAsiaTheme="minorEastAsia" w:hAnsi="Gill Sans Infant Std"/>
          <w:b/>
          <w:bCs/>
          <w:lang w:val="en-US"/>
        </w:rPr>
        <w:t>ate an age and gender lens</w:t>
      </w:r>
      <w:r w:rsidR="008A09AF">
        <w:rPr>
          <w:rFonts w:ascii="Gill Sans Infant Std" w:eastAsiaTheme="minorEastAsia" w:hAnsi="Gill Sans Infant Std"/>
          <w:bCs/>
          <w:lang w:val="en-US"/>
        </w:rPr>
        <w:t xml:space="preserve">. </w:t>
      </w:r>
      <w:r w:rsidR="00494074" w:rsidRPr="00494074">
        <w:rPr>
          <w:rFonts w:ascii="Gill Sans Infant Std" w:eastAsiaTheme="minorEastAsia" w:hAnsi="Gill Sans Infant Std"/>
          <w:lang w:val="en-US"/>
        </w:rPr>
        <w:t>W</w:t>
      </w:r>
      <w:r w:rsidR="008A09AF">
        <w:rPr>
          <w:rFonts w:ascii="Gill Sans Infant Std" w:eastAsiaTheme="minorEastAsia" w:hAnsi="Gill Sans Infant Std"/>
          <w:lang w:val="en-US"/>
        </w:rPr>
        <w:t>hile the unique needs of children affected by</w:t>
      </w:r>
      <w:r w:rsidR="00494074" w:rsidRPr="00494074">
        <w:rPr>
          <w:rFonts w:ascii="Gill Sans Infant Std" w:eastAsiaTheme="minorEastAsia" w:hAnsi="Gill Sans Infant Std"/>
          <w:lang w:val="en-US"/>
        </w:rPr>
        <w:t xml:space="preserve"> conflict merit a standalone mandate with dedicated political space and resources</w:t>
      </w:r>
      <w:r w:rsidR="00D464E1">
        <w:rPr>
          <w:rFonts w:ascii="Gill Sans Infant Std" w:eastAsiaTheme="minorEastAsia" w:hAnsi="Gill Sans Infant Std"/>
          <w:lang w:val="en-US"/>
        </w:rPr>
        <w:t>, c</w:t>
      </w:r>
      <w:r w:rsidR="00494074" w:rsidRPr="00494074">
        <w:rPr>
          <w:rFonts w:ascii="Gill Sans Infant Std" w:eastAsiaTheme="minorEastAsia" w:hAnsi="Gill Sans Infant Std"/>
          <w:lang w:val="en-US"/>
        </w:rPr>
        <w:t xml:space="preserve">onsistent application of common definitions, </w:t>
      </w:r>
      <w:r w:rsidR="00494074">
        <w:rPr>
          <w:rFonts w:ascii="Gill Sans Infant Std" w:eastAsiaTheme="minorEastAsia" w:hAnsi="Gill Sans Infant Std"/>
          <w:lang w:val="en-US"/>
        </w:rPr>
        <w:t xml:space="preserve">and </w:t>
      </w:r>
      <w:r w:rsidR="00494074" w:rsidRPr="00494074">
        <w:rPr>
          <w:rFonts w:ascii="Gill Sans Infant Std" w:eastAsiaTheme="minorEastAsia" w:hAnsi="Gill Sans Infant Std"/>
          <w:lang w:val="en-US"/>
        </w:rPr>
        <w:t>normative la</w:t>
      </w:r>
      <w:r w:rsidR="00494074">
        <w:rPr>
          <w:rFonts w:ascii="Gill Sans Infant Std" w:eastAsiaTheme="minorEastAsia" w:hAnsi="Gill Sans Infant Std"/>
          <w:lang w:val="en-US"/>
        </w:rPr>
        <w:t>nguage that is age and gender-</w:t>
      </w:r>
      <w:r w:rsidR="006A689A" w:rsidRPr="00494074">
        <w:rPr>
          <w:rFonts w:ascii="Gill Sans Infant Std" w:eastAsiaTheme="minorEastAsia" w:hAnsi="Gill Sans Infant Std"/>
          <w:lang w:val="en-US"/>
        </w:rPr>
        <w:t>sensitive</w:t>
      </w:r>
      <w:r w:rsidR="00494074" w:rsidRPr="00494074">
        <w:rPr>
          <w:rFonts w:ascii="Gill Sans Infant Std" w:eastAsiaTheme="minorEastAsia" w:hAnsi="Gill Sans Infant Std"/>
          <w:lang w:val="en-US"/>
        </w:rPr>
        <w:t xml:space="preserve"> </w:t>
      </w:r>
      <w:r w:rsidR="00494074">
        <w:rPr>
          <w:rFonts w:ascii="Gill Sans Infant Std" w:eastAsiaTheme="minorEastAsia" w:hAnsi="Gill Sans Infant Std"/>
          <w:lang w:val="en-US"/>
        </w:rPr>
        <w:t>would facilitate complementarity and synergies across efforts</w:t>
      </w:r>
      <w:r w:rsidR="00494074" w:rsidRPr="00494074">
        <w:rPr>
          <w:rFonts w:ascii="Gill Sans Infant Std" w:eastAsiaTheme="minorEastAsia" w:hAnsi="Gill Sans Infant Std"/>
          <w:lang w:val="en-US"/>
        </w:rPr>
        <w:t>.</w:t>
      </w:r>
      <w:r w:rsidR="00494074" w:rsidRPr="008A09AF">
        <w:rPr>
          <w:rFonts w:ascii="Gill Sans Infant Std" w:eastAsiaTheme="minorEastAsia" w:hAnsi="Gill Sans Infant Std"/>
          <w:lang w:val="en-US"/>
        </w:rPr>
        <w:t xml:space="preserve"> </w:t>
      </w:r>
      <w:r w:rsidR="00435791" w:rsidRPr="008A09AF">
        <w:rPr>
          <w:rFonts w:ascii="Gill Sans Infant Std" w:eastAsiaTheme="minorEastAsia" w:hAnsi="Gill Sans Infant Std"/>
          <w:bCs/>
          <w:lang w:val="en-US"/>
        </w:rPr>
        <w:t>This includes</w:t>
      </w:r>
      <w:r w:rsidR="00D464E1">
        <w:rPr>
          <w:rFonts w:ascii="Gill Sans Infant Std" w:eastAsiaTheme="minorEastAsia" w:hAnsi="Gill Sans Infant Std"/>
          <w:bCs/>
          <w:lang w:val="en-US"/>
        </w:rPr>
        <w:t xml:space="preserve"> within the</w:t>
      </w:r>
      <w:r w:rsidR="00832508" w:rsidRPr="008A09AF">
        <w:rPr>
          <w:rFonts w:ascii="Gill Sans Infant Std" w:eastAsiaTheme="minorEastAsia" w:hAnsi="Gill Sans Infant Std"/>
          <w:bCs/>
          <w:lang w:val="en-US"/>
        </w:rPr>
        <w:t>:</w:t>
      </w:r>
    </w:p>
    <w:p w14:paraId="06AD37A0" w14:textId="77777777" w:rsidR="00832508" w:rsidRPr="00832508" w:rsidRDefault="00832508" w:rsidP="00650E94">
      <w:pPr>
        <w:pStyle w:val="ListParagraph"/>
        <w:jc w:val="both"/>
        <w:rPr>
          <w:rFonts w:ascii="Gill Sans Infant Std" w:eastAsiaTheme="minorEastAsia" w:hAnsi="Gill Sans Infant Std"/>
          <w:lang w:val="en-US"/>
        </w:rPr>
      </w:pPr>
    </w:p>
    <w:p w14:paraId="02898873" w14:textId="4643A797" w:rsidR="00494074" w:rsidRPr="00494074" w:rsidRDefault="00494074" w:rsidP="00650E94">
      <w:pPr>
        <w:pStyle w:val="ListParagraph"/>
        <w:numPr>
          <w:ilvl w:val="1"/>
          <w:numId w:val="2"/>
        </w:numPr>
        <w:jc w:val="both"/>
        <w:rPr>
          <w:rFonts w:ascii="Gill Sans Infant Std" w:eastAsiaTheme="minorEastAsia" w:hAnsi="Gill Sans Infant Std"/>
          <w:lang w:val="en-US"/>
        </w:rPr>
      </w:pPr>
      <w:r w:rsidRPr="00832508">
        <w:rPr>
          <w:rFonts w:ascii="Gill Sans Infant Std" w:hAnsi="Gill Sans Infant Std" w:cs="Gill Sans Infant Std"/>
          <w:bCs/>
          <w:color w:val="000000"/>
          <w:lang w:val="en-US"/>
        </w:rPr>
        <w:t>Mandates of all future investigations and inquiries</w:t>
      </w:r>
      <w:r w:rsidRPr="00832508">
        <w:rPr>
          <w:rFonts w:ascii="Gill Sans Infant Std" w:hAnsi="Gill Sans Infant Std" w:cs="Gill Sans Infant Std"/>
          <w:b/>
          <w:bCs/>
          <w:color w:val="000000"/>
          <w:lang w:val="en-US"/>
        </w:rPr>
        <w:t xml:space="preserve"> </w:t>
      </w:r>
      <w:r w:rsidRPr="00832508">
        <w:rPr>
          <w:rFonts w:ascii="Gill Sans Infant Std" w:hAnsi="Gill Sans Infant Std" w:cs="Gill Sans Infant Std"/>
          <w:color w:val="000000"/>
          <w:lang w:val="en-US"/>
        </w:rPr>
        <w:t xml:space="preserve">conducted on behalf of Commissions of Inquiry, Fact-Finding Missions and other </w:t>
      </w:r>
      <w:r>
        <w:rPr>
          <w:rFonts w:ascii="Gill Sans Infant Std" w:hAnsi="Gill Sans Infant Std" w:cs="Gill Sans Infant Std"/>
          <w:color w:val="000000"/>
          <w:lang w:val="en-US"/>
        </w:rPr>
        <w:t>accountability mechanisms;</w:t>
      </w:r>
    </w:p>
    <w:p w14:paraId="711E3C14" w14:textId="2C811B6E" w:rsidR="00832508" w:rsidRDefault="00435791" w:rsidP="00650E94">
      <w:pPr>
        <w:pStyle w:val="ListParagraph"/>
        <w:numPr>
          <w:ilvl w:val="1"/>
          <w:numId w:val="2"/>
        </w:numPr>
        <w:jc w:val="both"/>
        <w:rPr>
          <w:rFonts w:ascii="Gill Sans Infant Std" w:eastAsiaTheme="minorEastAsia" w:hAnsi="Gill Sans Infant Std"/>
          <w:lang w:val="en-US"/>
        </w:rPr>
      </w:pPr>
      <w:r w:rsidRPr="00832508">
        <w:rPr>
          <w:rFonts w:ascii="Gill Sans Infant Std" w:eastAsiaTheme="minorEastAsia" w:hAnsi="Gill Sans Infant Std"/>
          <w:lang w:val="en-US"/>
        </w:rPr>
        <w:t>Human Rights Council Resolutions</w:t>
      </w:r>
      <w:r w:rsidR="00494074">
        <w:rPr>
          <w:rFonts w:ascii="Gill Sans Infant Std" w:eastAsiaTheme="minorEastAsia" w:hAnsi="Gill Sans Infant Std"/>
          <w:lang w:val="en-US"/>
        </w:rPr>
        <w:t>;</w:t>
      </w:r>
      <w:r w:rsidRPr="00832508">
        <w:rPr>
          <w:rFonts w:ascii="Gill Sans Infant Std" w:eastAsiaTheme="minorEastAsia" w:hAnsi="Gill Sans Infant Std"/>
          <w:lang w:val="en-US"/>
        </w:rPr>
        <w:t xml:space="preserve"> </w:t>
      </w:r>
    </w:p>
    <w:p w14:paraId="164BE761" w14:textId="7ADCC49C" w:rsidR="00832508" w:rsidRDefault="00435791" w:rsidP="00650E94">
      <w:pPr>
        <w:pStyle w:val="ListParagraph"/>
        <w:numPr>
          <w:ilvl w:val="1"/>
          <w:numId w:val="2"/>
        </w:numPr>
        <w:jc w:val="both"/>
        <w:rPr>
          <w:rFonts w:ascii="Gill Sans Infant Std" w:eastAsiaTheme="minorEastAsia" w:hAnsi="Gill Sans Infant Std"/>
          <w:lang w:val="en-US"/>
        </w:rPr>
      </w:pPr>
      <w:r w:rsidRPr="00832508">
        <w:rPr>
          <w:rFonts w:ascii="Gill Sans Infant Std" w:eastAsiaTheme="minorEastAsia" w:hAnsi="Gill Sans Infant Std"/>
          <w:lang w:val="en-US"/>
        </w:rPr>
        <w:t>Reports and briefings by UN Special Mandate Holders</w:t>
      </w:r>
      <w:r w:rsidR="00494074">
        <w:rPr>
          <w:rFonts w:ascii="Gill Sans Infant Std" w:eastAsiaTheme="minorEastAsia" w:hAnsi="Gill Sans Infant Std"/>
          <w:lang w:val="en-US"/>
        </w:rPr>
        <w:t>;</w:t>
      </w:r>
      <w:r w:rsidRPr="00832508">
        <w:rPr>
          <w:rFonts w:ascii="Gill Sans Infant Std" w:eastAsiaTheme="minorEastAsia" w:hAnsi="Gill Sans Infant Std"/>
          <w:lang w:val="en-US"/>
        </w:rPr>
        <w:t xml:space="preserve"> </w:t>
      </w:r>
      <w:r w:rsidR="00494074">
        <w:rPr>
          <w:rFonts w:ascii="Gill Sans Infant Std" w:eastAsiaTheme="minorEastAsia" w:hAnsi="Gill Sans Infant Std"/>
          <w:lang w:val="en-US"/>
        </w:rPr>
        <w:t>and,</w:t>
      </w:r>
    </w:p>
    <w:p w14:paraId="35FB604A" w14:textId="026F8179" w:rsidR="00832508" w:rsidRDefault="00435791" w:rsidP="00650E94">
      <w:pPr>
        <w:pStyle w:val="ListParagraph"/>
        <w:numPr>
          <w:ilvl w:val="1"/>
          <w:numId w:val="2"/>
        </w:numPr>
        <w:jc w:val="both"/>
        <w:rPr>
          <w:rFonts w:ascii="Gill Sans Infant Std" w:eastAsiaTheme="minorEastAsia" w:hAnsi="Gill Sans Infant Std"/>
          <w:lang w:val="en-US"/>
        </w:rPr>
      </w:pPr>
      <w:r w:rsidRPr="00832508">
        <w:rPr>
          <w:rFonts w:ascii="Gill Sans Infant Std" w:eastAsiaTheme="minorEastAsia" w:hAnsi="Gill Sans Infant Std"/>
          <w:lang w:val="en-US"/>
        </w:rPr>
        <w:t>Recommendations to UN Member States under the Universal Periodic Review</w:t>
      </w:r>
      <w:r w:rsidR="00494074">
        <w:rPr>
          <w:rFonts w:ascii="Gill Sans Infant Std" w:eastAsiaTheme="minorEastAsia" w:hAnsi="Gill Sans Infant Std"/>
          <w:lang w:val="en-US"/>
        </w:rPr>
        <w:t>.</w:t>
      </w:r>
    </w:p>
    <w:p w14:paraId="408C4F7A" w14:textId="77777777" w:rsidR="00494074" w:rsidRPr="00494074" w:rsidRDefault="00494074" w:rsidP="00650E94">
      <w:pPr>
        <w:pStyle w:val="ListParagraph"/>
        <w:ind w:left="1440"/>
        <w:jc w:val="both"/>
        <w:rPr>
          <w:rFonts w:ascii="Gill Sans Infant Std" w:eastAsiaTheme="minorEastAsia" w:hAnsi="Gill Sans Infant Std"/>
          <w:lang w:val="en-US"/>
        </w:rPr>
      </w:pPr>
    </w:p>
    <w:p w14:paraId="213B8A07" w14:textId="67A3475A" w:rsidR="00494074" w:rsidRPr="006A689A" w:rsidRDefault="00494074" w:rsidP="00650E94">
      <w:pPr>
        <w:pStyle w:val="ListParagraph"/>
        <w:numPr>
          <w:ilvl w:val="0"/>
          <w:numId w:val="3"/>
        </w:numPr>
        <w:jc w:val="both"/>
        <w:rPr>
          <w:rFonts w:ascii="Gill Sans Infant Std" w:eastAsiaTheme="minorEastAsia" w:hAnsi="Gill Sans Infant Std"/>
          <w:b/>
          <w:i/>
          <w:lang w:val="en-US"/>
        </w:rPr>
      </w:pPr>
      <w:r w:rsidRPr="00494074">
        <w:rPr>
          <w:rFonts w:ascii="Gill Sans Infant Std" w:hAnsi="Gill Sans Infant Std"/>
          <w:b/>
        </w:rPr>
        <w:t xml:space="preserve">Comprehensively collect, </w:t>
      </w:r>
      <w:proofErr w:type="spellStart"/>
      <w:r w:rsidRPr="00494074">
        <w:rPr>
          <w:rFonts w:ascii="Gill Sans Infant Std" w:hAnsi="Gill Sans Infant Std"/>
          <w:b/>
        </w:rPr>
        <w:t>analyze</w:t>
      </w:r>
      <w:proofErr w:type="spellEnd"/>
      <w:r w:rsidRPr="00494074">
        <w:rPr>
          <w:rFonts w:ascii="Gill Sans Infant Std" w:hAnsi="Gill Sans Infant Std"/>
          <w:b/>
        </w:rPr>
        <w:t>, and use data disaggregated by sex, age, and disability.</w:t>
      </w:r>
      <w:r w:rsidRPr="00494074">
        <w:rPr>
          <w:rFonts w:ascii="Gill Sans Infant Std" w:hAnsi="Gill Sans Infant Std"/>
        </w:rPr>
        <w:t xml:space="preserve"> </w:t>
      </w:r>
      <w:r>
        <w:rPr>
          <w:rFonts w:ascii="Gill Sans Infant Std" w:hAnsi="Gill Sans Infant Std" w:cs="Gill Sans Infant Std"/>
          <w:bCs/>
          <w:lang w:val="en-US"/>
        </w:rPr>
        <w:t>Those</w:t>
      </w:r>
      <w:r w:rsidRPr="00494074">
        <w:rPr>
          <w:rFonts w:ascii="Gill Sans Infant Std" w:hAnsi="Gill Sans Infant Std" w:cs="Gill Sans Infant Std"/>
          <w:bCs/>
          <w:lang w:val="en-US"/>
        </w:rPr>
        <w:t xml:space="preserve"> undertaking identification, documentation, investigation and/or verification of rights violations must ensure ethical, safe and responsible practices.</w:t>
      </w:r>
      <w:r w:rsidR="006A689A">
        <w:rPr>
          <w:rFonts w:ascii="Gill Sans Infant Std" w:hAnsi="Gill Sans Infant Std" w:cs="Gill Sans Infant Std"/>
          <w:bCs/>
          <w:lang w:val="en-US"/>
        </w:rPr>
        <w:t xml:space="preserve"> </w:t>
      </w:r>
      <w:r w:rsidRPr="00494074">
        <w:rPr>
          <w:rFonts w:ascii="Gill Sans Infant Std" w:hAnsi="Gill Sans Infant Std"/>
        </w:rPr>
        <w:t>All data collection must safeguard children’s safety and protection, and adhere to established data collection safety and ethics standards.</w:t>
      </w:r>
      <w:r w:rsidRPr="00494074">
        <w:rPr>
          <w:rFonts w:ascii="Gill Sans Infant Std" w:hAnsi="Gill Sans Infant Std"/>
          <w:lang w:val="en-US"/>
        </w:rPr>
        <w:t xml:space="preserve"> Policies and practices must be child-friendly, gender-sensitive and inclusive. Security and safety considerations, as well as the psychological well-being of survivors and others, must outweigh any attempt to establish prevalence or incidence data. </w:t>
      </w:r>
    </w:p>
    <w:p w14:paraId="7DF5334A" w14:textId="77777777" w:rsidR="006A689A" w:rsidRPr="00494074" w:rsidRDefault="006A689A" w:rsidP="00650E94">
      <w:pPr>
        <w:pStyle w:val="ListParagraph"/>
        <w:jc w:val="both"/>
        <w:rPr>
          <w:rFonts w:ascii="Gill Sans Infant Std" w:eastAsiaTheme="minorEastAsia" w:hAnsi="Gill Sans Infant Std"/>
          <w:b/>
          <w:i/>
          <w:lang w:val="en-US"/>
        </w:rPr>
      </w:pPr>
    </w:p>
    <w:p w14:paraId="78E4BDDE" w14:textId="77777777" w:rsidR="006A689A" w:rsidRPr="006A689A" w:rsidRDefault="006A689A" w:rsidP="00650E94">
      <w:pPr>
        <w:pStyle w:val="ListParagraph"/>
        <w:numPr>
          <w:ilvl w:val="0"/>
          <w:numId w:val="3"/>
        </w:numPr>
        <w:jc w:val="both"/>
        <w:rPr>
          <w:rFonts w:ascii="Gill Sans Infant Std" w:eastAsiaTheme="minorEastAsia" w:hAnsi="Gill Sans Infant Std" w:cstheme="minorBidi"/>
          <w:lang w:val="en-US"/>
        </w:rPr>
      </w:pPr>
      <w:r w:rsidRPr="006A689A">
        <w:rPr>
          <w:rFonts w:ascii="Gill Sans Infant Std" w:hAnsi="Gill Sans Infant Std" w:cs="Gill Sans Infant Std"/>
          <w:b/>
          <w:bCs/>
          <w:color w:val="000000"/>
          <w:lang w:val="en-US"/>
        </w:rPr>
        <w:t xml:space="preserve">Prioritize adequate human resources and expertise. </w:t>
      </w:r>
      <w:r w:rsidRPr="006A689A">
        <w:rPr>
          <w:rFonts w:ascii="Gill Sans Infant Std" w:hAnsi="Gill Sans Infant Std" w:cs="Gill Sans Infant Std"/>
          <w:bCs/>
          <w:color w:val="000000"/>
          <w:lang w:val="en-US"/>
        </w:rPr>
        <w:t xml:space="preserve">Ensure consistent inclusion of specialist experts on both gender and children within investigatory teams and other human rights accountability mechanisms and processes, as well as adequate training and tools. </w:t>
      </w:r>
    </w:p>
    <w:p w14:paraId="7A54ED06" w14:textId="77777777" w:rsidR="006A689A" w:rsidRPr="006A689A" w:rsidRDefault="006A689A" w:rsidP="00650E94">
      <w:pPr>
        <w:pStyle w:val="ListParagraph"/>
        <w:jc w:val="both"/>
        <w:rPr>
          <w:rFonts w:ascii="Gill Sans Infant Std" w:eastAsiaTheme="minorEastAsia" w:hAnsi="Gill Sans Infant Std"/>
          <w:b/>
          <w:i/>
          <w:lang w:val="en-US"/>
        </w:rPr>
      </w:pPr>
    </w:p>
    <w:p w14:paraId="0EAB5F22" w14:textId="08093C29" w:rsidR="00D464E1" w:rsidRPr="00A36872" w:rsidRDefault="006A689A" w:rsidP="00650E94">
      <w:pPr>
        <w:pStyle w:val="ListParagraph"/>
        <w:numPr>
          <w:ilvl w:val="0"/>
          <w:numId w:val="3"/>
        </w:numPr>
        <w:jc w:val="both"/>
        <w:rPr>
          <w:rFonts w:ascii="Gill Sans Infant Std" w:eastAsiaTheme="minorEastAsia" w:hAnsi="Gill Sans Infant Std" w:cstheme="minorBidi"/>
          <w:lang w:val="en-US"/>
        </w:rPr>
      </w:pPr>
      <w:r w:rsidRPr="006A689A">
        <w:rPr>
          <w:rFonts w:ascii="Gill Sans Infant Std" w:eastAsiaTheme="minorEastAsia" w:hAnsi="Gill Sans Infant Std"/>
          <w:b/>
          <w:lang w:val="en-US"/>
        </w:rPr>
        <w:t>Address financial capacity</w:t>
      </w:r>
      <w:r>
        <w:rPr>
          <w:rFonts w:ascii="Gill Sans Infant Std" w:eastAsiaTheme="minorEastAsia" w:hAnsi="Gill Sans Infant Std"/>
          <w:b/>
          <w:lang w:val="en-US"/>
        </w:rPr>
        <w:t xml:space="preserve"> constraints</w:t>
      </w:r>
      <w:r w:rsidRPr="006A689A">
        <w:rPr>
          <w:rFonts w:ascii="Gill Sans Infant Std" w:eastAsiaTheme="minorEastAsia" w:hAnsi="Gill Sans Infant Std"/>
          <w:b/>
          <w:lang w:val="en-US"/>
        </w:rPr>
        <w:t>.</w:t>
      </w:r>
      <w:r w:rsidRPr="006A689A">
        <w:rPr>
          <w:rFonts w:ascii="Gill Sans Infant Std" w:eastAsiaTheme="minorEastAsia" w:hAnsi="Gill Sans Infant Std" w:cstheme="minorBidi"/>
          <w:lang w:val="en-US"/>
        </w:rPr>
        <w:t xml:space="preserve"> </w:t>
      </w:r>
      <w:r w:rsidRPr="006A689A">
        <w:rPr>
          <w:rFonts w:ascii="Gill Sans Infant Std" w:hAnsi="Gill Sans Infant Std" w:cs="Gill Sans Infant Std"/>
          <w:bCs/>
          <w:color w:val="000000"/>
          <w:lang w:val="en-US"/>
        </w:rPr>
        <w:t xml:space="preserve">New strategies and innovative solutions must be implemented to urgently increase investments to the full range of actors conducting monitoring, reporting and investigations towards accountability for crimes and violations against children, ensuring both gender and </w:t>
      </w:r>
      <w:r w:rsidR="00A36872">
        <w:rPr>
          <w:rFonts w:ascii="Gill Sans Infant Std" w:hAnsi="Gill Sans Infant Std" w:cs="Gill Sans Infant Std"/>
          <w:bCs/>
          <w:color w:val="000000"/>
          <w:lang w:val="en-US"/>
        </w:rPr>
        <w:t xml:space="preserve">child </w:t>
      </w:r>
      <w:r w:rsidRPr="006A689A">
        <w:rPr>
          <w:rFonts w:ascii="Gill Sans Infant Std" w:hAnsi="Gill Sans Infant Std" w:cs="Gill Sans Infant Std"/>
          <w:bCs/>
          <w:color w:val="000000"/>
          <w:lang w:val="en-US"/>
        </w:rPr>
        <w:t xml:space="preserve">sensitive approaches </w:t>
      </w:r>
      <w:r w:rsidRPr="006A689A">
        <w:rPr>
          <w:rFonts w:ascii="Gill Sans Infant Std" w:hAnsi="Gill Sans Infant Std" w:cs="Gill Sans Infant Std"/>
          <w:color w:val="000000"/>
          <w:lang w:val="en-US"/>
        </w:rPr>
        <w:t xml:space="preserve">to monitoring, recording, and investigation. </w:t>
      </w:r>
      <w:r w:rsidR="00926A08" w:rsidRPr="006A689A">
        <w:rPr>
          <w:rFonts w:ascii="Gill Sans Infant Std" w:hAnsi="Gill Sans Infant Std" w:cs="Gill Sans Infant Std"/>
          <w:color w:val="000000"/>
          <w:lang w:val="en-US"/>
        </w:rPr>
        <w:t>Recognizing</w:t>
      </w:r>
      <w:r w:rsidRPr="006A689A">
        <w:rPr>
          <w:rFonts w:ascii="Gill Sans Infant Std" w:hAnsi="Gill Sans Infant Std" w:cs="Gill Sans Infant Std"/>
          <w:color w:val="000000"/>
          <w:lang w:val="en-US"/>
        </w:rPr>
        <w:t xml:space="preserve"> that child protection and gender-based violence are both severely under-funded sectors within wider humanitarian response, resource allocation is a major barrier to ensuring qualified personnel on the ground – who within local, national and international civil society </w:t>
      </w:r>
      <w:proofErr w:type="spellStart"/>
      <w:r w:rsidRPr="006A689A">
        <w:rPr>
          <w:rFonts w:ascii="Gill Sans Infant Std" w:hAnsi="Gill Sans Infant Std" w:cs="Gill Sans Infant Std"/>
          <w:color w:val="000000"/>
          <w:lang w:val="en-US"/>
        </w:rPr>
        <w:t>organisations</w:t>
      </w:r>
      <w:proofErr w:type="spellEnd"/>
      <w:r w:rsidRPr="006A689A">
        <w:rPr>
          <w:rFonts w:ascii="Gill Sans Infant Std" w:hAnsi="Gill Sans Infant Std" w:cs="Gill Sans Infant Std"/>
          <w:color w:val="000000"/>
          <w:lang w:val="en-US"/>
        </w:rPr>
        <w:t xml:space="preserve">, UN agencies and UN missions, are often among those who either collect relevant data themselves or provide support to investigations. </w:t>
      </w:r>
    </w:p>
    <w:p w14:paraId="53C8861D" w14:textId="77777777" w:rsidR="00D464E1" w:rsidRDefault="00D464E1" w:rsidP="00650E94">
      <w:pPr>
        <w:pStyle w:val="ListParagraph"/>
        <w:jc w:val="both"/>
        <w:rPr>
          <w:rFonts w:ascii="Gill Sans Infant Std" w:hAnsi="Gill Sans Infant Std" w:cs="Gill Sans Infant Std"/>
          <w:bCs/>
          <w:color w:val="000000"/>
          <w:lang w:val="en-US"/>
        </w:rPr>
      </w:pPr>
    </w:p>
    <w:p w14:paraId="17DC7B4C" w14:textId="67552874" w:rsidR="00D464E1" w:rsidRDefault="00D464E1" w:rsidP="00650E94">
      <w:pPr>
        <w:jc w:val="both"/>
        <w:rPr>
          <w:rFonts w:ascii="Gill Sans Infant Std" w:eastAsiaTheme="minorEastAsia" w:hAnsi="Gill Sans Infant Std"/>
          <w:bCs/>
          <w:lang w:val="en-US"/>
        </w:rPr>
      </w:pPr>
      <w:r>
        <w:rPr>
          <w:rFonts w:ascii="Gill Sans Infant Std" w:eastAsiaTheme="minorEastAsia" w:hAnsi="Gill Sans Infant Std"/>
          <w:bCs/>
          <w:lang w:val="en-US"/>
        </w:rPr>
        <w:t xml:space="preserve">Human Rights Council supported and mandated investigatory teams must further seek to: </w:t>
      </w:r>
    </w:p>
    <w:p w14:paraId="0A0EAAD6" w14:textId="34DD63FE" w:rsidR="00D464E1" w:rsidRPr="00D464E1" w:rsidRDefault="006A689A" w:rsidP="00650E94">
      <w:pPr>
        <w:pStyle w:val="ListParagraph"/>
        <w:numPr>
          <w:ilvl w:val="0"/>
          <w:numId w:val="4"/>
        </w:numPr>
        <w:jc w:val="both"/>
        <w:rPr>
          <w:rFonts w:ascii="Gill Sans Infant Std" w:eastAsiaTheme="minorEastAsia" w:hAnsi="Gill Sans Infant Std" w:cstheme="minorBidi"/>
          <w:lang w:val="en-US"/>
        </w:rPr>
      </w:pPr>
      <w:r w:rsidRPr="00D464E1">
        <w:rPr>
          <w:rFonts w:ascii="Gill Sans Infant Std" w:hAnsi="Gill Sans Infant Std" w:cs="Gill Sans Infant Std"/>
          <w:b/>
          <w:bCs/>
          <w:color w:val="000000"/>
          <w:lang w:val="en-US"/>
        </w:rPr>
        <w:t xml:space="preserve">Consistently include local expertise </w:t>
      </w:r>
      <w:r w:rsidRPr="00D464E1">
        <w:rPr>
          <w:rFonts w:ascii="Gill Sans Infant Std" w:hAnsi="Gill Sans Infant Std" w:cs="Gill Sans Infant Std"/>
          <w:b/>
          <w:color w:val="000000"/>
          <w:lang w:val="en-US"/>
        </w:rPr>
        <w:t>to ensure full understanding of the prevailing context</w:t>
      </w:r>
      <w:r w:rsidRPr="00D464E1">
        <w:rPr>
          <w:rFonts w:ascii="Gill Sans Infant Std" w:hAnsi="Gill Sans Infant Std" w:cs="Gill Sans Infant Std"/>
          <w:color w:val="000000"/>
          <w:lang w:val="en-US"/>
        </w:rPr>
        <w:t xml:space="preserve"> (including any pre-conflict gender-based and age-based norms,</w:t>
      </w:r>
      <w:r w:rsidR="00D464E1">
        <w:rPr>
          <w:rFonts w:ascii="Gill Sans Infant Std" w:hAnsi="Gill Sans Infant Std" w:cs="Gill Sans Infant Std"/>
          <w:color w:val="000000"/>
          <w:lang w:val="en-US"/>
        </w:rPr>
        <w:t xml:space="preserve"> power dynamics,</w:t>
      </w:r>
      <w:r w:rsidRPr="00D464E1">
        <w:rPr>
          <w:rFonts w:ascii="Gill Sans Infant Std" w:hAnsi="Gill Sans Infant Std" w:cs="Gill Sans Infant Std"/>
          <w:color w:val="000000"/>
          <w:lang w:val="en-US"/>
        </w:rPr>
        <w:t xml:space="preserve"> perceptions</w:t>
      </w:r>
      <w:r w:rsidR="00D464E1">
        <w:rPr>
          <w:rFonts w:ascii="Gill Sans Infant Std" w:hAnsi="Gill Sans Infant Std" w:cs="Gill Sans Infant Std"/>
          <w:color w:val="000000"/>
          <w:lang w:val="en-US"/>
        </w:rPr>
        <w:t>,</w:t>
      </w:r>
      <w:r w:rsidRPr="00D464E1">
        <w:rPr>
          <w:rFonts w:ascii="Gill Sans Infant Std" w:hAnsi="Gill Sans Infant Std" w:cs="Gill Sans Infant Std"/>
          <w:color w:val="000000"/>
          <w:lang w:val="en-US"/>
        </w:rPr>
        <w:t xml:space="preserve"> and practices and understanding how conflict has impacted on these norms); </w:t>
      </w:r>
    </w:p>
    <w:p w14:paraId="574CE7CA" w14:textId="77777777" w:rsidR="00D464E1" w:rsidRPr="00D464E1" w:rsidRDefault="00D464E1" w:rsidP="00650E94">
      <w:pPr>
        <w:pStyle w:val="ListParagraph"/>
        <w:jc w:val="both"/>
        <w:rPr>
          <w:rFonts w:ascii="Gill Sans Infant Std" w:eastAsiaTheme="minorEastAsia" w:hAnsi="Gill Sans Infant Std" w:cstheme="minorBidi"/>
          <w:lang w:val="en-US"/>
        </w:rPr>
      </w:pPr>
    </w:p>
    <w:p w14:paraId="14669332" w14:textId="77777777" w:rsidR="00D464E1" w:rsidRPr="00D464E1" w:rsidRDefault="006A689A" w:rsidP="00650E94">
      <w:pPr>
        <w:pStyle w:val="ListParagraph"/>
        <w:numPr>
          <w:ilvl w:val="0"/>
          <w:numId w:val="4"/>
        </w:numPr>
        <w:jc w:val="both"/>
        <w:rPr>
          <w:rFonts w:ascii="Gill Sans Infant Std" w:eastAsiaTheme="minorEastAsia" w:hAnsi="Gill Sans Infant Std" w:cstheme="minorBidi"/>
          <w:lang w:val="en-US"/>
        </w:rPr>
      </w:pPr>
      <w:r w:rsidRPr="00D464E1">
        <w:rPr>
          <w:rFonts w:ascii="Gill Sans Infant Std" w:hAnsi="Gill Sans Infant Std" w:cs="Gill Sans Infant Std"/>
          <w:b/>
          <w:bCs/>
          <w:color w:val="000000"/>
          <w:lang w:val="en-US"/>
        </w:rPr>
        <w:lastRenderedPageBreak/>
        <w:t>Push for and participate in training on how to monitor, investigate and document grave violations against children of different genders and ages</w:t>
      </w:r>
      <w:r w:rsidRPr="00D464E1">
        <w:rPr>
          <w:rFonts w:ascii="Gill Sans Infant Std" w:hAnsi="Gill Sans Infant Std" w:cs="Gill Sans Infant Std"/>
          <w:bCs/>
          <w:color w:val="000000"/>
          <w:lang w:val="en-US"/>
        </w:rPr>
        <w:t xml:space="preserve">, </w:t>
      </w:r>
      <w:r w:rsidRPr="00D464E1">
        <w:rPr>
          <w:rFonts w:ascii="Gill Sans Infant Std" w:hAnsi="Gill Sans Infant Std" w:cs="Gill Sans Infant Std"/>
          <w:color w:val="000000"/>
          <w:lang w:val="en-US"/>
        </w:rPr>
        <w:t xml:space="preserve">ensuring sensitization to the contextually-specific connections between gender-based violence and children’s rights violations; and </w:t>
      </w:r>
    </w:p>
    <w:p w14:paraId="2C411EAB" w14:textId="77777777" w:rsidR="00D464E1" w:rsidRPr="00D464E1" w:rsidRDefault="00D464E1" w:rsidP="00650E94">
      <w:pPr>
        <w:pStyle w:val="ListParagraph"/>
        <w:jc w:val="both"/>
        <w:rPr>
          <w:rFonts w:ascii="Gill Sans Infant Std" w:hAnsi="Gill Sans Infant Std" w:cs="Gill Sans Infant Std"/>
          <w:bCs/>
          <w:color w:val="000000"/>
          <w:lang w:val="en-US"/>
        </w:rPr>
      </w:pPr>
    </w:p>
    <w:p w14:paraId="067D3807" w14:textId="63F3A20E" w:rsidR="00167D49" w:rsidRPr="00252C48" w:rsidRDefault="00D464E1" w:rsidP="00650E94">
      <w:pPr>
        <w:pStyle w:val="ListParagraph"/>
        <w:numPr>
          <w:ilvl w:val="0"/>
          <w:numId w:val="4"/>
        </w:numPr>
        <w:jc w:val="both"/>
        <w:rPr>
          <w:rFonts w:ascii="Gill Sans Infant Std" w:eastAsiaTheme="minorEastAsia" w:hAnsi="Gill Sans Infant Std" w:cstheme="minorBidi"/>
          <w:lang w:val="en-US"/>
        </w:rPr>
      </w:pPr>
      <w:r>
        <w:rPr>
          <w:rFonts w:ascii="Gill Sans Infant Std" w:hAnsi="Gill Sans Infant Std" w:cs="Gill Sans Infant Std"/>
          <w:b/>
          <w:bCs/>
          <w:color w:val="000000"/>
          <w:lang w:val="en-US"/>
        </w:rPr>
        <w:t>Recogniz</w:t>
      </w:r>
      <w:r w:rsidR="006A689A" w:rsidRPr="00D464E1">
        <w:rPr>
          <w:rFonts w:ascii="Gill Sans Infant Std" w:hAnsi="Gill Sans Infant Std" w:cs="Gill Sans Infant Std"/>
          <w:b/>
          <w:bCs/>
          <w:color w:val="000000"/>
          <w:lang w:val="en-US"/>
        </w:rPr>
        <w:t xml:space="preserve">e and collaborate with local </w:t>
      </w:r>
      <w:r w:rsidR="001A4A59">
        <w:rPr>
          <w:rFonts w:ascii="Gill Sans Infant Std" w:hAnsi="Gill Sans Infant Std" w:cs="Gill Sans Infant Std"/>
          <w:b/>
          <w:bCs/>
          <w:color w:val="000000"/>
          <w:lang w:val="en-US"/>
        </w:rPr>
        <w:t xml:space="preserve">children and </w:t>
      </w:r>
      <w:r w:rsidR="006A689A" w:rsidRPr="00D464E1">
        <w:rPr>
          <w:rFonts w:ascii="Gill Sans Infant Std" w:hAnsi="Gill Sans Infant Std" w:cs="Gill Sans Infant Std"/>
          <w:b/>
          <w:bCs/>
          <w:color w:val="000000"/>
          <w:lang w:val="en-US"/>
        </w:rPr>
        <w:t>women’s rights organizations and other relevant local and national partners</w:t>
      </w:r>
      <w:r w:rsidR="006A689A" w:rsidRPr="00D464E1">
        <w:rPr>
          <w:rFonts w:ascii="Gill Sans Infant Std" w:hAnsi="Gill Sans Infant Std" w:cs="Gill Sans Infant Std"/>
          <w:bCs/>
          <w:color w:val="000000"/>
          <w:lang w:val="en-US"/>
        </w:rPr>
        <w:t>, including human rights defenders, for the important role they play, working to highlight and address gaps in resourcing and capacity.</w:t>
      </w:r>
    </w:p>
    <w:p w14:paraId="7DCD93C4" w14:textId="318E8EB0" w:rsidR="00167D49" w:rsidRPr="005E18D9" w:rsidRDefault="00167D49" w:rsidP="00167D49">
      <w:pPr>
        <w:pStyle w:val="Pa1"/>
        <w:rPr>
          <w:rStyle w:val="A2"/>
        </w:rPr>
      </w:pPr>
    </w:p>
    <w:sectPr w:rsidR="00167D49" w:rsidRPr="005E18D9" w:rsidSect="00650E94">
      <w:headerReference w:type="default" r:id="rId11"/>
      <w:footerReference w:type="default" r:id="rId12"/>
      <w:pgSz w:w="11906" w:h="16838"/>
      <w:pgMar w:top="1135"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A74FE" w14:textId="77777777" w:rsidR="00B41E52" w:rsidRDefault="00B41E52">
      <w:pPr>
        <w:spacing w:after="0" w:line="240" w:lineRule="auto"/>
      </w:pPr>
      <w:r>
        <w:separator/>
      </w:r>
    </w:p>
  </w:endnote>
  <w:endnote w:type="continuationSeparator" w:id="0">
    <w:p w14:paraId="2CD86078" w14:textId="77777777" w:rsidR="00B41E52" w:rsidRDefault="00B41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Infant Std">
    <w:altName w:val="Calibri"/>
    <w:panose1 w:val="00000000000000000000"/>
    <w:charset w:val="00"/>
    <w:family w:val="swiss"/>
    <w:notTrueType/>
    <w:pitch w:val="variable"/>
    <w:sig w:usb0="800000AF" w:usb1="4000204A" w:usb2="00000000" w:usb3="00000000" w:csb0="00000001" w:csb1="00000000"/>
  </w:font>
  <w:font w:name="ScalaLancetPro">
    <w:altName w:val="ScalaLancetPro"/>
    <w:panose1 w:val="00000000000000000000"/>
    <w:charset w:val="00"/>
    <w:family w:val="roman"/>
    <w:notTrueType/>
    <w:pitch w:val="default"/>
    <w:sig w:usb0="00000003" w:usb1="00000000" w:usb2="00000000" w:usb3="00000000" w:csb0="00000001" w:csb1="00000000"/>
  </w:font>
  <w:font w:name="Trade Gothic LT Com Cn">
    <w:altName w:val="Franklin Gothic Demi Cond"/>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9320125"/>
      <w:docPartObj>
        <w:docPartGallery w:val="Page Numbers (Bottom of Page)"/>
        <w:docPartUnique/>
      </w:docPartObj>
    </w:sdtPr>
    <w:sdtEndPr>
      <w:rPr>
        <w:noProof/>
      </w:rPr>
    </w:sdtEndPr>
    <w:sdtContent>
      <w:p w14:paraId="46860020" w14:textId="720BB138" w:rsidR="00B84FAE" w:rsidRDefault="00B84FAE">
        <w:pPr>
          <w:pStyle w:val="Footer"/>
          <w:jc w:val="right"/>
        </w:pPr>
        <w:r>
          <w:fldChar w:fldCharType="begin"/>
        </w:r>
        <w:r>
          <w:instrText xml:space="preserve"> PAGE   \* MERGEFORMAT </w:instrText>
        </w:r>
        <w:r>
          <w:fldChar w:fldCharType="separate"/>
        </w:r>
        <w:r w:rsidR="00882B70">
          <w:rPr>
            <w:noProof/>
          </w:rPr>
          <w:t>1</w:t>
        </w:r>
        <w:r>
          <w:rPr>
            <w:noProof/>
          </w:rPr>
          <w:fldChar w:fldCharType="end"/>
        </w:r>
      </w:p>
    </w:sdtContent>
  </w:sdt>
  <w:p w14:paraId="51D7B178" w14:textId="77777777" w:rsidR="00B84FAE" w:rsidRDefault="00B84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65A33" w14:textId="77777777" w:rsidR="00B41E52" w:rsidRDefault="00B41E52">
      <w:pPr>
        <w:spacing w:after="0" w:line="240" w:lineRule="auto"/>
      </w:pPr>
      <w:r>
        <w:separator/>
      </w:r>
    </w:p>
  </w:footnote>
  <w:footnote w:type="continuationSeparator" w:id="0">
    <w:p w14:paraId="0E62F463" w14:textId="77777777" w:rsidR="00B41E52" w:rsidRDefault="00B41E52">
      <w:pPr>
        <w:spacing w:after="0" w:line="240" w:lineRule="auto"/>
      </w:pPr>
      <w:r>
        <w:continuationSeparator/>
      </w:r>
    </w:p>
  </w:footnote>
  <w:footnote w:id="1">
    <w:p w14:paraId="16671798" w14:textId="757AD36C" w:rsidR="00E46FF1" w:rsidRPr="00650E94" w:rsidRDefault="00E46FF1">
      <w:pPr>
        <w:pStyle w:val="FootnoteText"/>
        <w:rPr>
          <w:rFonts w:cstheme="minorHAnsi"/>
          <w:sz w:val="18"/>
          <w:szCs w:val="18"/>
          <w:lang w:val="en-US"/>
        </w:rPr>
      </w:pPr>
      <w:r w:rsidRPr="00650E94">
        <w:rPr>
          <w:rStyle w:val="FootnoteReference"/>
          <w:rFonts w:cstheme="minorHAnsi"/>
          <w:sz w:val="18"/>
          <w:szCs w:val="18"/>
        </w:rPr>
        <w:footnoteRef/>
      </w:r>
      <w:r w:rsidRPr="00650E94">
        <w:rPr>
          <w:rFonts w:cstheme="minorHAnsi"/>
          <w:sz w:val="18"/>
          <w:szCs w:val="18"/>
        </w:rPr>
        <w:t xml:space="preserve"> </w:t>
      </w:r>
      <w:r w:rsidRPr="00650E94">
        <w:rPr>
          <w:rFonts w:cstheme="minorHAnsi"/>
          <w:sz w:val="18"/>
          <w:szCs w:val="18"/>
          <w:lang w:val="en-US"/>
        </w:rPr>
        <w:t>Although established as separate streams, the WPS agenda intersects significantly with other protection agendas of the Council’s work, including the Children and Armed Conflict (CAAC) and Protection of Civilians (POC) agendas. Notably, the WPS agenda calls for the mainstreaming of a gender analysis across all of the Security’s Council work, as well as protection for women and girls in conflict and post-conflict settings, and an end to impunity for conflict-related gender-based violence.</w:t>
      </w:r>
    </w:p>
  </w:footnote>
  <w:footnote w:id="2">
    <w:p w14:paraId="026F4F03" w14:textId="616675C7" w:rsidR="00E46FF1" w:rsidRPr="00650E94" w:rsidRDefault="00E46FF1">
      <w:pPr>
        <w:pStyle w:val="FootnoteText"/>
        <w:rPr>
          <w:rFonts w:cstheme="minorHAnsi"/>
          <w:sz w:val="18"/>
          <w:szCs w:val="18"/>
          <w:lang w:val="en-US"/>
        </w:rPr>
      </w:pPr>
      <w:r w:rsidRPr="00650E94">
        <w:rPr>
          <w:rStyle w:val="FootnoteReference"/>
          <w:rFonts w:cstheme="minorHAnsi"/>
          <w:sz w:val="18"/>
          <w:szCs w:val="18"/>
        </w:rPr>
        <w:footnoteRef/>
      </w:r>
      <w:r w:rsidRPr="00650E94">
        <w:rPr>
          <w:rFonts w:cstheme="minorHAnsi"/>
          <w:sz w:val="18"/>
          <w:szCs w:val="18"/>
        </w:rPr>
        <w:t xml:space="preserve"> </w:t>
      </w:r>
      <w:r w:rsidRPr="00650E94">
        <w:rPr>
          <w:rFonts w:cstheme="minorHAnsi"/>
          <w:sz w:val="18"/>
          <w:szCs w:val="18"/>
          <w:lang w:val="en-US"/>
        </w:rPr>
        <w:t xml:space="preserve">Save the Children, Weapon of War- </w:t>
      </w:r>
      <w:hyperlink r:id="rId1" w:history="1">
        <w:r w:rsidRPr="00650E94">
          <w:rPr>
            <w:rStyle w:val="Hyperlink"/>
            <w:rFonts w:cstheme="minorHAnsi"/>
            <w:sz w:val="18"/>
            <w:szCs w:val="18"/>
            <w:lang w:val="en-US"/>
          </w:rPr>
          <w:t>https://resourcecentre.savethechildren.net/node/18763/pdf/weapon-of-war-report_final.pdf</w:t>
        </w:r>
      </w:hyperlink>
    </w:p>
  </w:footnote>
  <w:footnote w:id="3">
    <w:p w14:paraId="0D1C8D3E" w14:textId="1CD34647" w:rsidR="00E46FF1" w:rsidRPr="00650E94" w:rsidRDefault="00E46FF1">
      <w:pPr>
        <w:pStyle w:val="FootnoteText"/>
        <w:rPr>
          <w:rFonts w:cstheme="minorHAnsi"/>
          <w:sz w:val="18"/>
          <w:szCs w:val="18"/>
          <w:lang w:val="en-US"/>
        </w:rPr>
      </w:pPr>
      <w:r w:rsidRPr="00650E94">
        <w:rPr>
          <w:rStyle w:val="FootnoteReference"/>
          <w:rFonts w:cstheme="minorHAnsi"/>
          <w:sz w:val="18"/>
          <w:szCs w:val="18"/>
        </w:rPr>
        <w:footnoteRef/>
      </w:r>
      <w:r w:rsidRPr="00650E94">
        <w:rPr>
          <w:rFonts w:cstheme="minorHAnsi"/>
          <w:sz w:val="18"/>
          <w:szCs w:val="18"/>
        </w:rPr>
        <w:t xml:space="preserve"> </w:t>
      </w:r>
      <w:r w:rsidRPr="00650E94">
        <w:rPr>
          <w:rFonts w:cstheme="minorHAnsi"/>
          <w:sz w:val="18"/>
          <w:szCs w:val="18"/>
          <w:lang w:val="en-US"/>
        </w:rPr>
        <w:t xml:space="preserve">Save the Children, Gender, Age and Conflict: Addressing the different needs of children affected by conflict- </w:t>
      </w:r>
      <w:hyperlink r:id="rId2" w:history="1">
        <w:r w:rsidRPr="00650E94">
          <w:rPr>
            <w:rStyle w:val="Hyperlink"/>
            <w:rFonts w:cstheme="minorHAnsi"/>
            <w:sz w:val="18"/>
            <w:szCs w:val="18"/>
            <w:lang w:val="en-US"/>
          </w:rPr>
          <w:t>https://www.savethechildren.ca/wp-content/uploads/2020/04/SC-Gender-Age-and-Conflict-report-final.pdf</w:t>
        </w:r>
      </w:hyperlink>
    </w:p>
  </w:footnote>
  <w:footnote w:id="4">
    <w:p w14:paraId="5FE405E5" w14:textId="70D8CE71" w:rsidR="00E46FF1" w:rsidRPr="00650E94" w:rsidRDefault="00E46FF1" w:rsidP="00650E94">
      <w:pPr>
        <w:pStyle w:val="EndnoteText"/>
        <w:rPr>
          <w:rFonts w:cstheme="minorHAnsi"/>
          <w:sz w:val="18"/>
          <w:szCs w:val="18"/>
          <w:lang w:val="en-US"/>
        </w:rPr>
      </w:pPr>
      <w:r w:rsidRPr="00650E94">
        <w:rPr>
          <w:rStyle w:val="FootnoteReference"/>
          <w:rFonts w:cstheme="minorHAnsi"/>
          <w:sz w:val="18"/>
          <w:szCs w:val="18"/>
        </w:rPr>
        <w:footnoteRef/>
      </w:r>
      <w:r w:rsidRPr="00650E94">
        <w:rPr>
          <w:rFonts w:cstheme="minorHAnsi"/>
          <w:sz w:val="18"/>
          <w:szCs w:val="18"/>
        </w:rPr>
        <w:t xml:space="preserve"> </w:t>
      </w:r>
      <w:r w:rsidRPr="00650E94">
        <w:rPr>
          <w:rFonts w:cstheme="minorHAnsi"/>
          <w:color w:val="000000"/>
          <w:sz w:val="18"/>
          <w:szCs w:val="18"/>
          <w:lang w:val="en-US"/>
        </w:rPr>
        <w:t xml:space="preserve">Importantly, boys, can also be targeted and instrumentalized owing to gender-driven expectations, resulting, for example, in increased risk of killing and maiming, or recruitment and use in armed forces and armed groups. Please see Save the Children’s research- </w:t>
      </w:r>
    </w:p>
  </w:footnote>
  <w:footnote w:id="5">
    <w:p w14:paraId="32C516A9" w14:textId="10C91ED9" w:rsidR="00E46FF1" w:rsidRPr="00650E94" w:rsidRDefault="00E46FF1">
      <w:pPr>
        <w:pStyle w:val="FootnoteText"/>
        <w:rPr>
          <w:rFonts w:cstheme="minorHAnsi"/>
          <w:sz w:val="18"/>
          <w:szCs w:val="18"/>
          <w:lang w:val="en-US"/>
        </w:rPr>
      </w:pPr>
      <w:r w:rsidRPr="00650E94">
        <w:rPr>
          <w:rStyle w:val="FootnoteReference"/>
          <w:rFonts w:cstheme="minorHAnsi"/>
          <w:sz w:val="18"/>
          <w:szCs w:val="18"/>
        </w:rPr>
        <w:footnoteRef/>
      </w:r>
      <w:r w:rsidRPr="00650E94">
        <w:rPr>
          <w:rFonts w:cstheme="minorHAnsi"/>
          <w:sz w:val="18"/>
          <w:szCs w:val="18"/>
        </w:rPr>
        <w:t xml:space="preserve"> </w:t>
      </w:r>
      <w:hyperlink r:id="rId3" w:history="1">
        <w:r w:rsidRPr="00650E94">
          <w:rPr>
            <w:rStyle w:val="Hyperlink"/>
            <w:rFonts w:cstheme="minorHAnsi"/>
            <w:sz w:val="18"/>
            <w:szCs w:val="18"/>
          </w:rPr>
          <w:t>https://www.thelancet.com/pdfs/journals/lanchi/PIIS2352-4642(20)30245-5.pdf</w:t>
        </w:r>
      </w:hyperlink>
    </w:p>
  </w:footnote>
  <w:footnote w:id="6">
    <w:p w14:paraId="3F592779" w14:textId="42222DC9" w:rsidR="00E46FF1" w:rsidRPr="00650E94" w:rsidRDefault="00E46FF1">
      <w:pPr>
        <w:pStyle w:val="FootnoteText"/>
        <w:rPr>
          <w:lang w:val="en-US"/>
        </w:rPr>
      </w:pPr>
      <w:r w:rsidRPr="00650E94">
        <w:rPr>
          <w:rStyle w:val="FootnoteReference"/>
          <w:rFonts w:cstheme="minorHAnsi"/>
          <w:sz w:val="18"/>
          <w:szCs w:val="18"/>
        </w:rPr>
        <w:footnoteRef/>
      </w:r>
      <w:r w:rsidRPr="00650E94">
        <w:rPr>
          <w:rFonts w:cstheme="minorHAnsi"/>
          <w:sz w:val="18"/>
          <w:szCs w:val="18"/>
        </w:rPr>
        <w:t xml:space="preserve"> </w:t>
      </w:r>
      <w:r w:rsidRPr="00650E94">
        <w:rPr>
          <w:rFonts w:cstheme="minorHAnsi"/>
          <w:sz w:val="18"/>
          <w:szCs w:val="18"/>
          <w:lang w:val="en-US"/>
        </w:rPr>
        <w:t xml:space="preserve">Save the Children, Weapon of War- </w:t>
      </w:r>
      <w:hyperlink r:id="rId4" w:history="1">
        <w:r w:rsidRPr="00650E94">
          <w:rPr>
            <w:rStyle w:val="Hyperlink"/>
            <w:rFonts w:cstheme="minorHAnsi"/>
            <w:sz w:val="18"/>
            <w:szCs w:val="18"/>
            <w:lang w:val="en-US"/>
          </w:rPr>
          <w:t>https://resourcecentre.savethechildren.net/node/18763/pdf/weapon-of-war-report_final.pdf</w:t>
        </w:r>
      </w:hyperlink>
    </w:p>
  </w:footnote>
  <w:footnote w:id="7">
    <w:p w14:paraId="5F6CEF38" w14:textId="65529139" w:rsidR="00E46FF1" w:rsidRPr="00F42B49" w:rsidRDefault="00E46FF1">
      <w:pPr>
        <w:pStyle w:val="FootnoteText"/>
        <w:rPr>
          <w:rFonts w:cstheme="minorHAnsi"/>
          <w:sz w:val="18"/>
          <w:szCs w:val="18"/>
          <w:lang w:val="en-US"/>
        </w:rPr>
      </w:pPr>
      <w:r w:rsidRPr="00F42B49">
        <w:rPr>
          <w:rStyle w:val="FootnoteReference"/>
          <w:rFonts w:cstheme="minorHAnsi"/>
          <w:sz w:val="18"/>
          <w:szCs w:val="18"/>
        </w:rPr>
        <w:footnoteRef/>
      </w:r>
      <w:r w:rsidRPr="00F42B49">
        <w:rPr>
          <w:rFonts w:cstheme="minorHAnsi"/>
          <w:sz w:val="18"/>
          <w:szCs w:val="18"/>
        </w:rPr>
        <w:t xml:space="preserve"> In 2018 CAAC data, 87% of sexual violence cases concern girls and 1.5% boys, the rest is not disaggregated. In 2019 CAAC data, 98% of cases concern girls and 2% boys. Disaggregation in previous years is weaker</w:t>
      </w:r>
    </w:p>
  </w:footnote>
  <w:footnote w:id="8">
    <w:p w14:paraId="64A40BE9" w14:textId="4E22C1E3" w:rsidR="00E46FF1" w:rsidRPr="00F42B49" w:rsidRDefault="00E46FF1" w:rsidP="00F42B49">
      <w:pPr>
        <w:pStyle w:val="EndnoteText"/>
        <w:rPr>
          <w:rFonts w:cstheme="minorHAnsi"/>
          <w:sz w:val="18"/>
          <w:szCs w:val="18"/>
          <w:lang w:val="en-US"/>
        </w:rPr>
      </w:pPr>
      <w:r w:rsidRPr="00F42B49">
        <w:rPr>
          <w:rStyle w:val="FootnoteReference"/>
          <w:rFonts w:cstheme="minorHAnsi"/>
          <w:sz w:val="18"/>
          <w:szCs w:val="18"/>
        </w:rPr>
        <w:footnoteRef/>
      </w:r>
      <w:r w:rsidRPr="00F42B49">
        <w:rPr>
          <w:rFonts w:cstheme="minorHAnsi"/>
          <w:sz w:val="18"/>
          <w:szCs w:val="18"/>
        </w:rPr>
        <w:t xml:space="preserve"> </w:t>
      </w:r>
      <w:r w:rsidRPr="00F42B49">
        <w:rPr>
          <w:rFonts w:cstheme="minorHAnsi"/>
          <w:sz w:val="18"/>
          <w:szCs w:val="18"/>
          <w:lang w:val="en-US"/>
        </w:rPr>
        <w:t xml:space="preserve">Save the Children, Weapon of War- </w:t>
      </w:r>
      <w:hyperlink r:id="rId5" w:history="1">
        <w:r w:rsidRPr="00F42B49">
          <w:rPr>
            <w:rStyle w:val="Hyperlink"/>
            <w:rFonts w:cstheme="minorHAnsi"/>
            <w:sz w:val="18"/>
            <w:szCs w:val="18"/>
            <w:lang w:val="en-US"/>
          </w:rPr>
          <w:t>https://resourcecentre.savethechildren.net/node/18763/pdf/weapon-of-war-report_final.pdf</w:t>
        </w:r>
      </w:hyperlink>
    </w:p>
  </w:footnote>
  <w:footnote w:id="9">
    <w:p w14:paraId="56385288" w14:textId="1B7B40E0" w:rsidR="00E46FF1" w:rsidRPr="00F42B49" w:rsidRDefault="00E46FF1">
      <w:pPr>
        <w:pStyle w:val="FootnoteText"/>
        <w:rPr>
          <w:rFonts w:cstheme="minorHAnsi"/>
          <w:sz w:val="18"/>
          <w:szCs w:val="18"/>
          <w:lang w:val="en-US"/>
        </w:rPr>
      </w:pPr>
      <w:r w:rsidRPr="00F42B49">
        <w:rPr>
          <w:rStyle w:val="FootnoteReference"/>
          <w:rFonts w:cstheme="minorHAnsi"/>
          <w:sz w:val="18"/>
          <w:szCs w:val="18"/>
        </w:rPr>
        <w:footnoteRef/>
      </w:r>
      <w:r w:rsidRPr="00F42B49">
        <w:rPr>
          <w:rFonts w:cstheme="minorHAnsi"/>
          <w:sz w:val="18"/>
          <w:szCs w:val="18"/>
        </w:rPr>
        <w:t xml:space="preserve"> </w:t>
      </w:r>
      <w:r w:rsidRPr="00F42B49">
        <w:rPr>
          <w:rFonts w:cstheme="minorHAnsi"/>
          <w:sz w:val="18"/>
          <w:szCs w:val="18"/>
          <w:lang w:val="en-US"/>
        </w:rPr>
        <w:t xml:space="preserve">Save the Children, Weapon of War- </w:t>
      </w:r>
      <w:hyperlink r:id="rId6" w:history="1">
        <w:r w:rsidRPr="00F42B49">
          <w:rPr>
            <w:rStyle w:val="Hyperlink"/>
            <w:rFonts w:cstheme="minorHAnsi"/>
            <w:sz w:val="18"/>
            <w:szCs w:val="18"/>
            <w:lang w:val="en-US"/>
          </w:rPr>
          <w:t>https://resourcecentre.savethechildren.net/node/18763/pdf/weapon-of-war-report_final.pdf</w:t>
        </w:r>
      </w:hyperlink>
    </w:p>
  </w:footnote>
  <w:footnote w:id="10">
    <w:p w14:paraId="62885494" w14:textId="16050376" w:rsidR="00E46FF1" w:rsidRPr="00F42B49" w:rsidRDefault="00E46FF1">
      <w:pPr>
        <w:pStyle w:val="FootnoteText"/>
        <w:rPr>
          <w:rFonts w:cstheme="minorHAnsi"/>
          <w:sz w:val="18"/>
          <w:szCs w:val="18"/>
          <w:lang w:val="en-US"/>
        </w:rPr>
      </w:pPr>
      <w:r w:rsidRPr="00F42B49">
        <w:rPr>
          <w:rStyle w:val="FootnoteReference"/>
          <w:rFonts w:cstheme="minorHAnsi"/>
          <w:sz w:val="18"/>
          <w:szCs w:val="18"/>
        </w:rPr>
        <w:footnoteRef/>
      </w:r>
      <w:r w:rsidRPr="00F42B49">
        <w:rPr>
          <w:rFonts w:cstheme="minorHAnsi"/>
          <w:sz w:val="18"/>
          <w:szCs w:val="18"/>
        </w:rPr>
        <w:t xml:space="preserve"> Girls Not Brides, Child Marriage in Humanitarian Settings Brief- </w:t>
      </w:r>
      <w:hyperlink r:id="rId7" w:history="1">
        <w:r w:rsidRPr="00F42B49">
          <w:rPr>
            <w:rStyle w:val="Hyperlink"/>
            <w:rFonts w:cstheme="minorHAnsi"/>
            <w:sz w:val="18"/>
            <w:szCs w:val="18"/>
          </w:rPr>
          <w:t>https://www.ohchr.org/Documents/Issues/Children/HumanitarianSituations/GirlsNotBrides.pdf</w:t>
        </w:r>
      </w:hyperlink>
    </w:p>
  </w:footnote>
  <w:footnote w:id="11">
    <w:p w14:paraId="246E0F34" w14:textId="5E1C846E" w:rsidR="00E46FF1" w:rsidRPr="00F42B49" w:rsidRDefault="00E46FF1">
      <w:pPr>
        <w:pStyle w:val="FootnoteText"/>
        <w:rPr>
          <w:rFonts w:cstheme="minorHAnsi"/>
          <w:sz w:val="18"/>
          <w:szCs w:val="18"/>
          <w:lang w:val="en-US"/>
        </w:rPr>
      </w:pPr>
      <w:r w:rsidRPr="00F42B49">
        <w:rPr>
          <w:rStyle w:val="FootnoteReference"/>
          <w:rFonts w:cstheme="minorHAnsi"/>
          <w:sz w:val="18"/>
          <w:szCs w:val="18"/>
        </w:rPr>
        <w:footnoteRef/>
      </w:r>
      <w:r w:rsidRPr="00F42B49">
        <w:rPr>
          <w:rFonts w:cstheme="minorHAnsi"/>
          <w:sz w:val="18"/>
          <w:szCs w:val="18"/>
        </w:rPr>
        <w:t xml:space="preserve"> Save the Children, Addressing Data Gaps on Child, Early, and Forced Marriage in Humanitarian Settings- </w:t>
      </w:r>
      <w:hyperlink r:id="rId8" w:history="1">
        <w:r w:rsidRPr="00F42B49">
          <w:rPr>
            <w:rStyle w:val="Hyperlink"/>
            <w:rFonts w:cstheme="minorHAnsi"/>
            <w:sz w:val="18"/>
            <w:szCs w:val="18"/>
          </w:rPr>
          <w:t>https://resourcecentre.savethechildren.net/library/addressing-data-gaps-child-early-and-forced-marriage-humanitarian-settings</w:t>
        </w:r>
      </w:hyperlink>
    </w:p>
  </w:footnote>
  <w:footnote w:id="12">
    <w:p w14:paraId="03E0F6B3" w14:textId="5D288567" w:rsidR="00650E94" w:rsidRPr="00650E94" w:rsidRDefault="00650E94">
      <w:pPr>
        <w:pStyle w:val="FootnoteText"/>
        <w:rPr>
          <w:lang w:val="en-US"/>
        </w:rPr>
      </w:pPr>
      <w:r w:rsidRPr="00F42B49">
        <w:rPr>
          <w:rStyle w:val="FootnoteReference"/>
          <w:rFonts w:cstheme="minorHAnsi"/>
          <w:sz w:val="18"/>
          <w:szCs w:val="18"/>
        </w:rPr>
        <w:footnoteRef/>
      </w:r>
      <w:r w:rsidRPr="00F42B49">
        <w:rPr>
          <w:rFonts w:cstheme="minorHAnsi"/>
          <w:sz w:val="18"/>
          <w:szCs w:val="18"/>
        </w:rPr>
        <w:t xml:space="preserve"> UNFPA, 2020, Preventing and responding to child marriage in humanitarian settings: the global programme approach, https://www.unfpa.org/sites/ default/files/resource-pdf/GP-2020-Child-Marriage-inHumanitarian-Settings-FactSheet.pdf</w:t>
      </w:r>
      <w:r>
        <w:rPr>
          <w:rFonts w:ascii="Gill Sans Infant Std" w:hAnsi="Gill Sans Infant Std"/>
          <w:sz w:val="16"/>
          <w:szCs w:val="16"/>
        </w:rPr>
        <w:t xml:space="preserve">   </w:t>
      </w:r>
    </w:p>
  </w:footnote>
  <w:footnote w:id="13">
    <w:p w14:paraId="5D3D040A" w14:textId="7C3605A5" w:rsidR="00650E94" w:rsidRPr="00926A08" w:rsidRDefault="00650E94" w:rsidP="00926A08">
      <w:pPr>
        <w:pStyle w:val="EndnoteText"/>
        <w:rPr>
          <w:rFonts w:cstheme="minorHAnsi"/>
          <w:sz w:val="18"/>
          <w:szCs w:val="18"/>
          <w:lang w:val="en-US"/>
        </w:rPr>
      </w:pPr>
      <w:r w:rsidRPr="00926A08">
        <w:rPr>
          <w:rStyle w:val="FootnoteReference"/>
          <w:rFonts w:cstheme="minorHAnsi"/>
          <w:sz w:val="18"/>
          <w:szCs w:val="18"/>
        </w:rPr>
        <w:footnoteRef/>
      </w:r>
      <w:r w:rsidRPr="00926A08">
        <w:rPr>
          <w:rFonts w:cstheme="minorHAnsi"/>
          <w:sz w:val="18"/>
          <w:szCs w:val="18"/>
        </w:rPr>
        <w:t xml:space="preserve"> </w:t>
      </w:r>
      <w:r w:rsidRPr="00926A08">
        <w:rPr>
          <w:rFonts w:cstheme="minorHAnsi"/>
          <w:sz w:val="18"/>
          <w:szCs w:val="18"/>
          <w:lang w:val="en-US"/>
        </w:rPr>
        <w:t xml:space="preserve">See for example, </w:t>
      </w:r>
      <w:r w:rsidRPr="00926A08">
        <w:rPr>
          <w:rFonts w:cstheme="minorHAnsi"/>
          <w:sz w:val="18"/>
          <w:szCs w:val="18"/>
        </w:rPr>
        <w:t xml:space="preserve">See for example: K Carlson and D </w:t>
      </w:r>
      <w:proofErr w:type="spellStart"/>
      <w:r w:rsidRPr="00926A08">
        <w:rPr>
          <w:rFonts w:cstheme="minorHAnsi"/>
          <w:sz w:val="18"/>
          <w:szCs w:val="18"/>
        </w:rPr>
        <w:t>Mazurana</w:t>
      </w:r>
      <w:proofErr w:type="spellEnd"/>
      <w:r w:rsidRPr="00926A08">
        <w:rPr>
          <w:rFonts w:cstheme="minorHAnsi"/>
          <w:sz w:val="18"/>
          <w:szCs w:val="18"/>
        </w:rPr>
        <w:t xml:space="preserve">, 2008, Forced Marriage within the Lord’s Resistance Army, Uganda, Feinstein International </w:t>
      </w:r>
      <w:proofErr w:type="spellStart"/>
      <w:r w:rsidRPr="00926A08">
        <w:rPr>
          <w:rFonts w:cstheme="minorHAnsi"/>
          <w:sz w:val="18"/>
          <w:szCs w:val="18"/>
        </w:rPr>
        <w:t>Center</w:t>
      </w:r>
      <w:proofErr w:type="spellEnd"/>
      <w:r w:rsidRPr="00926A08">
        <w:rPr>
          <w:rFonts w:cstheme="minorHAnsi"/>
          <w:sz w:val="18"/>
          <w:szCs w:val="18"/>
        </w:rPr>
        <w:t>, https://fic. tufts.edu/publication-item/forced-marriage-withthe-lords-resistance-army-uganda/; B A Toy-Cronin, 2010, ‘What is Forced Marriage? Towards a Definition of Forced Marriage as a Crime Against Humanity’, Columbia Journal of Gender and Law, Vol. 19 No. 2 https://journals.library.columbia.edu/index. php/</w:t>
      </w:r>
      <w:proofErr w:type="spellStart"/>
      <w:r w:rsidRPr="00926A08">
        <w:rPr>
          <w:rFonts w:cstheme="minorHAnsi"/>
          <w:sz w:val="18"/>
          <w:szCs w:val="18"/>
        </w:rPr>
        <w:t>cjgl</w:t>
      </w:r>
      <w:proofErr w:type="spellEnd"/>
      <w:r w:rsidRPr="00926A08">
        <w:rPr>
          <w:rFonts w:cstheme="minorHAnsi"/>
          <w:sz w:val="18"/>
          <w:szCs w:val="18"/>
        </w:rPr>
        <w:t xml:space="preserve">/article/view/2592; Human Rights Watch, 2003, We’ll Kill You If You Cry: Sexual Violence in the Sierra Leone Conflict, www.hrw.org/reports/2003/ </w:t>
      </w:r>
      <w:proofErr w:type="spellStart"/>
      <w:r w:rsidRPr="00926A08">
        <w:rPr>
          <w:rFonts w:cstheme="minorHAnsi"/>
          <w:sz w:val="18"/>
          <w:szCs w:val="18"/>
        </w:rPr>
        <w:t>sierraleone</w:t>
      </w:r>
      <w:proofErr w:type="spellEnd"/>
      <w:r w:rsidRPr="00926A08">
        <w:rPr>
          <w:rFonts w:cstheme="minorHAnsi"/>
          <w:sz w:val="18"/>
          <w:szCs w:val="18"/>
        </w:rPr>
        <w:t xml:space="preserve">/sierleon0103.pdf. </w:t>
      </w:r>
    </w:p>
  </w:footnote>
  <w:footnote w:id="14">
    <w:p w14:paraId="4E534AE6" w14:textId="50C45394" w:rsidR="00650E94" w:rsidRPr="00926A08" w:rsidRDefault="00650E94">
      <w:pPr>
        <w:pStyle w:val="FootnoteText"/>
        <w:rPr>
          <w:rFonts w:cstheme="minorHAnsi"/>
          <w:sz w:val="18"/>
          <w:szCs w:val="18"/>
          <w:lang w:val="en-US"/>
        </w:rPr>
      </w:pPr>
      <w:r w:rsidRPr="00926A08">
        <w:rPr>
          <w:rStyle w:val="FootnoteReference"/>
          <w:rFonts w:cstheme="minorHAnsi"/>
          <w:sz w:val="18"/>
          <w:szCs w:val="18"/>
        </w:rPr>
        <w:footnoteRef/>
      </w:r>
      <w:r w:rsidRPr="00926A08">
        <w:rPr>
          <w:rFonts w:cstheme="minorHAnsi"/>
          <w:sz w:val="18"/>
          <w:szCs w:val="18"/>
        </w:rPr>
        <w:t xml:space="preserve"> </w:t>
      </w:r>
      <w:r w:rsidRPr="00926A08">
        <w:rPr>
          <w:rFonts w:cstheme="minorHAnsi"/>
          <w:sz w:val="18"/>
          <w:szCs w:val="18"/>
          <w:lang w:val="en-US"/>
        </w:rPr>
        <w:t xml:space="preserve">Save the Children, Weapon of War- </w:t>
      </w:r>
      <w:hyperlink r:id="rId9" w:history="1">
        <w:r w:rsidRPr="00926A08">
          <w:rPr>
            <w:rStyle w:val="Hyperlink"/>
            <w:rFonts w:cstheme="minorHAnsi"/>
            <w:sz w:val="18"/>
            <w:szCs w:val="18"/>
            <w:lang w:val="en-US"/>
          </w:rPr>
          <w:t>https://resourcecentre.savethechildren.net/node/18763/pdf/weapon-of-war-report_final.pdf</w:t>
        </w:r>
      </w:hyperlink>
    </w:p>
  </w:footnote>
  <w:footnote w:id="15">
    <w:p w14:paraId="660F9BDA" w14:textId="3F838620" w:rsidR="00650E94" w:rsidRPr="00926A08" w:rsidRDefault="00650E94" w:rsidP="00926A08">
      <w:pPr>
        <w:pStyle w:val="EndnoteText"/>
        <w:rPr>
          <w:rFonts w:cstheme="minorHAnsi"/>
          <w:sz w:val="18"/>
          <w:szCs w:val="18"/>
          <w:lang w:val="en-US"/>
        </w:rPr>
      </w:pPr>
      <w:r w:rsidRPr="00926A08">
        <w:rPr>
          <w:rStyle w:val="FootnoteReference"/>
          <w:rFonts w:cstheme="minorHAnsi"/>
          <w:sz w:val="18"/>
          <w:szCs w:val="18"/>
        </w:rPr>
        <w:footnoteRef/>
      </w:r>
      <w:r w:rsidRPr="00926A08">
        <w:rPr>
          <w:rFonts w:cstheme="minorHAnsi"/>
          <w:sz w:val="18"/>
          <w:szCs w:val="18"/>
        </w:rPr>
        <w:t xml:space="preserve"> </w:t>
      </w:r>
      <w:r w:rsidRPr="00926A08">
        <w:rPr>
          <w:rFonts w:cstheme="minorHAnsi"/>
          <w:sz w:val="18"/>
          <w:szCs w:val="18"/>
          <w:lang w:val="en-US"/>
        </w:rPr>
        <w:t xml:space="preserve">UNFPA, </w:t>
      </w:r>
      <w:r w:rsidRPr="00926A08">
        <w:rPr>
          <w:rFonts w:cstheme="minorHAnsi"/>
          <w:i/>
          <w:iCs/>
          <w:sz w:val="18"/>
          <w:szCs w:val="18"/>
          <w:lang w:val="en-US"/>
        </w:rPr>
        <w:t xml:space="preserve">Adolescent Girls in Disaster and Conflict: Interventions for Improving Access to Sexual and Reproductive Health </w:t>
      </w:r>
      <w:r w:rsidRPr="00926A08">
        <w:rPr>
          <w:rFonts w:cstheme="minorHAnsi"/>
          <w:sz w:val="18"/>
          <w:szCs w:val="18"/>
          <w:lang w:val="en-US"/>
        </w:rPr>
        <w:t xml:space="preserve">Services, p.8, 2016  </w:t>
      </w:r>
    </w:p>
  </w:footnote>
  <w:footnote w:id="16">
    <w:p w14:paraId="669B982B" w14:textId="0F1FF4D6" w:rsidR="00650E94" w:rsidRPr="00926A08" w:rsidRDefault="00650E94">
      <w:pPr>
        <w:pStyle w:val="FootnoteText"/>
        <w:rPr>
          <w:rFonts w:cstheme="minorHAnsi"/>
          <w:sz w:val="18"/>
          <w:szCs w:val="18"/>
          <w:lang w:val="en-US"/>
        </w:rPr>
      </w:pPr>
      <w:r w:rsidRPr="00926A08">
        <w:rPr>
          <w:rStyle w:val="FootnoteReference"/>
          <w:rFonts w:cstheme="minorHAnsi"/>
          <w:sz w:val="18"/>
          <w:szCs w:val="18"/>
        </w:rPr>
        <w:footnoteRef/>
      </w:r>
      <w:r w:rsidRPr="00926A08">
        <w:rPr>
          <w:rFonts w:cstheme="minorHAnsi"/>
          <w:sz w:val="18"/>
          <w:szCs w:val="18"/>
        </w:rPr>
        <w:t xml:space="preserve"> </w:t>
      </w:r>
      <w:r w:rsidRPr="00926A08">
        <w:rPr>
          <w:rFonts w:cstheme="minorHAnsi"/>
          <w:sz w:val="18"/>
          <w:szCs w:val="18"/>
          <w:lang w:val="en-US"/>
        </w:rPr>
        <w:t xml:space="preserve">UNFPA, </w:t>
      </w:r>
      <w:r w:rsidRPr="00926A08">
        <w:rPr>
          <w:rFonts w:cstheme="minorHAnsi"/>
          <w:i/>
          <w:iCs/>
          <w:sz w:val="18"/>
          <w:szCs w:val="18"/>
          <w:lang w:val="en-US"/>
        </w:rPr>
        <w:t>State of the world population</w:t>
      </w:r>
      <w:r w:rsidRPr="00926A08">
        <w:rPr>
          <w:rFonts w:cstheme="minorHAnsi"/>
          <w:sz w:val="18"/>
          <w:szCs w:val="18"/>
          <w:lang w:val="en-US"/>
        </w:rPr>
        <w:t xml:space="preserve">, </w:t>
      </w:r>
      <w:r w:rsidRPr="00926A08">
        <w:rPr>
          <w:rFonts w:cstheme="minorHAnsi"/>
          <w:i/>
          <w:iCs/>
          <w:sz w:val="18"/>
          <w:szCs w:val="18"/>
          <w:lang w:val="en-US"/>
        </w:rPr>
        <w:t>Shelter from the Storm</w:t>
      </w:r>
      <w:r w:rsidRPr="00926A08">
        <w:rPr>
          <w:rFonts w:cstheme="minorHAnsi"/>
          <w:sz w:val="18"/>
          <w:szCs w:val="18"/>
          <w:lang w:val="en-US"/>
        </w:rPr>
        <w:t xml:space="preserve">, 2015;  </w:t>
      </w:r>
    </w:p>
  </w:footnote>
  <w:footnote w:id="17">
    <w:p w14:paraId="01E9EDC8" w14:textId="334697C6" w:rsidR="00650E94" w:rsidRPr="00926A08" w:rsidRDefault="00650E94">
      <w:pPr>
        <w:pStyle w:val="FootnoteText"/>
        <w:rPr>
          <w:rFonts w:cstheme="minorHAnsi"/>
          <w:sz w:val="18"/>
          <w:szCs w:val="18"/>
          <w:lang w:val="en-US"/>
        </w:rPr>
      </w:pPr>
      <w:r w:rsidRPr="00926A08">
        <w:rPr>
          <w:rStyle w:val="FootnoteReference"/>
          <w:rFonts w:cstheme="minorHAnsi"/>
          <w:sz w:val="18"/>
          <w:szCs w:val="18"/>
        </w:rPr>
        <w:footnoteRef/>
      </w:r>
      <w:r w:rsidRPr="00926A08">
        <w:rPr>
          <w:rFonts w:cstheme="minorHAnsi"/>
          <w:sz w:val="18"/>
          <w:szCs w:val="18"/>
        </w:rPr>
        <w:t xml:space="preserve"> </w:t>
      </w:r>
      <w:r w:rsidRPr="00926A08">
        <w:rPr>
          <w:rFonts w:cstheme="minorHAnsi"/>
          <w:sz w:val="18"/>
          <w:szCs w:val="18"/>
          <w:lang w:val="en-US"/>
        </w:rPr>
        <w:t xml:space="preserve">OCHA, </w:t>
      </w:r>
      <w:r w:rsidRPr="00926A08">
        <w:rPr>
          <w:rFonts w:cstheme="minorHAnsi"/>
          <w:i/>
          <w:iCs/>
          <w:sz w:val="18"/>
          <w:szCs w:val="18"/>
          <w:lang w:val="en-US"/>
        </w:rPr>
        <w:t>World Humanitarian Data and Trends</w:t>
      </w:r>
      <w:r w:rsidRPr="00926A08">
        <w:rPr>
          <w:rFonts w:cstheme="minorHAnsi"/>
          <w:sz w:val="18"/>
          <w:szCs w:val="18"/>
          <w:lang w:val="en-US"/>
        </w:rPr>
        <w:t xml:space="preserve">, p. 39, 2016  </w:t>
      </w:r>
    </w:p>
  </w:footnote>
  <w:footnote w:id="18">
    <w:p w14:paraId="679ABB29" w14:textId="2EF2C065" w:rsidR="00650E94" w:rsidRPr="00926A08" w:rsidRDefault="00650E94">
      <w:pPr>
        <w:pStyle w:val="FootnoteText"/>
        <w:rPr>
          <w:rFonts w:cstheme="minorHAnsi"/>
          <w:sz w:val="18"/>
          <w:szCs w:val="18"/>
          <w:lang w:val="en-US"/>
        </w:rPr>
      </w:pPr>
      <w:r w:rsidRPr="00926A08">
        <w:rPr>
          <w:rStyle w:val="FootnoteReference"/>
          <w:rFonts w:cstheme="minorHAnsi"/>
          <w:sz w:val="18"/>
          <w:szCs w:val="18"/>
        </w:rPr>
        <w:footnoteRef/>
      </w:r>
      <w:r w:rsidRPr="00926A08">
        <w:rPr>
          <w:rFonts w:cstheme="minorHAnsi"/>
          <w:sz w:val="18"/>
          <w:szCs w:val="18"/>
        </w:rPr>
        <w:t xml:space="preserve"> </w:t>
      </w:r>
      <w:r w:rsidRPr="00926A08">
        <w:rPr>
          <w:rFonts w:cstheme="minorHAnsi"/>
          <w:sz w:val="18"/>
          <w:szCs w:val="18"/>
          <w:lang w:val="en-US"/>
        </w:rPr>
        <w:t xml:space="preserve">Save the Children, Stop the War on Children: Gender Matters- </w:t>
      </w:r>
      <w:hyperlink r:id="rId10" w:history="1">
        <w:r w:rsidRPr="00926A08">
          <w:rPr>
            <w:rStyle w:val="Hyperlink"/>
            <w:rFonts w:cstheme="minorHAnsi"/>
            <w:sz w:val="18"/>
            <w:szCs w:val="18"/>
            <w:lang w:val="en-US"/>
          </w:rPr>
          <w:t>https://resourcecentre.savethechildren.net/node/16784/pdf/ch1413553.pdf</w:t>
        </w:r>
      </w:hyperlink>
    </w:p>
  </w:footnote>
  <w:footnote w:id="19">
    <w:p w14:paraId="09FBAC01" w14:textId="6B4FE4B7" w:rsidR="00650E94" w:rsidRPr="00926A08" w:rsidRDefault="00650E94">
      <w:pPr>
        <w:pStyle w:val="FootnoteText"/>
        <w:rPr>
          <w:rFonts w:cstheme="minorHAnsi"/>
          <w:sz w:val="18"/>
          <w:szCs w:val="18"/>
          <w:lang w:val="en-US"/>
        </w:rPr>
      </w:pPr>
      <w:r w:rsidRPr="00926A08">
        <w:rPr>
          <w:rStyle w:val="FootnoteReference"/>
          <w:rFonts w:cstheme="minorHAnsi"/>
          <w:sz w:val="18"/>
          <w:szCs w:val="18"/>
        </w:rPr>
        <w:footnoteRef/>
      </w:r>
      <w:r w:rsidRPr="00926A08">
        <w:rPr>
          <w:rFonts w:cstheme="minorHAnsi"/>
          <w:sz w:val="18"/>
          <w:szCs w:val="18"/>
        </w:rPr>
        <w:t xml:space="preserve"> Global Coalition to Protect Education from Attack (22 November 2019) ‘Girls targeted when schools attacked, impacting lives, education’, http://www. protectingeducation.org/news/girls-targeted-whenschools-attacked-impacting-lives-education</w:t>
      </w:r>
    </w:p>
  </w:footnote>
  <w:footnote w:id="20">
    <w:p w14:paraId="522BF473" w14:textId="60619BC6" w:rsidR="00650E94" w:rsidRPr="00926A08" w:rsidRDefault="00650E94">
      <w:pPr>
        <w:pStyle w:val="FootnoteText"/>
        <w:rPr>
          <w:rFonts w:cstheme="minorHAnsi"/>
          <w:sz w:val="18"/>
          <w:szCs w:val="18"/>
          <w:lang w:val="en-US"/>
        </w:rPr>
      </w:pPr>
      <w:r w:rsidRPr="00926A08">
        <w:rPr>
          <w:rStyle w:val="FootnoteReference"/>
          <w:rFonts w:cstheme="minorHAnsi"/>
          <w:sz w:val="18"/>
          <w:szCs w:val="18"/>
        </w:rPr>
        <w:footnoteRef/>
      </w:r>
      <w:r w:rsidRPr="00926A08">
        <w:rPr>
          <w:rFonts w:cstheme="minorHAnsi"/>
          <w:sz w:val="18"/>
          <w:szCs w:val="18"/>
        </w:rPr>
        <w:t xml:space="preserve"> Global Coalition to Protect Education from Attack (22 November 2019) ‘Girls targeted when schools attacked, impacting lives, education’, http://www. protectingeducation.org/news/girls-targeted-whenschools-attacked-impacting-lives-education</w:t>
      </w:r>
    </w:p>
  </w:footnote>
  <w:footnote w:id="21">
    <w:p w14:paraId="2C514C3F" w14:textId="7402417D" w:rsidR="00650E94" w:rsidRPr="00650E94" w:rsidRDefault="00650E94">
      <w:pPr>
        <w:pStyle w:val="FootnoteText"/>
        <w:rPr>
          <w:lang w:val="en-US"/>
        </w:rPr>
      </w:pPr>
      <w:r w:rsidRPr="00926A08">
        <w:rPr>
          <w:rStyle w:val="FootnoteReference"/>
          <w:rFonts w:cstheme="minorHAnsi"/>
          <w:sz w:val="18"/>
          <w:szCs w:val="18"/>
        </w:rPr>
        <w:footnoteRef/>
      </w:r>
      <w:r w:rsidRPr="00926A08">
        <w:rPr>
          <w:rFonts w:cstheme="minorHAnsi"/>
          <w:sz w:val="18"/>
          <w:szCs w:val="18"/>
        </w:rPr>
        <w:t xml:space="preserve"> J </w:t>
      </w:r>
      <w:proofErr w:type="spellStart"/>
      <w:r w:rsidRPr="00926A08">
        <w:rPr>
          <w:rFonts w:cstheme="minorHAnsi"/>
          <w:sz w:val="18"/>
          <w:szCs w:val="18"/>
        </w:rPr>
        <w:t>Freccero</w:t>
      </w:r>
      <w:proofErr w:type="spellEnd"/>
      <w:r w:rsidRPr="00926A08">
        <w:rPr>
          <w:rFonts w:cstheme="minorHAnsi"/>
          <w:sz w:val="18"/>
          <w:szCs w:val="18"/>
        </w:rPr>
        <w:t xml:space="preserve"> and A Whiting (2018) Toward an End to Child Marriage: Lessons from research and practice in development and humanitarian sectors, Save the Children, https://resourcecentre.savethechildren.net/ library/toward-end-child-marriage-lessons-researchand-practice-development-and-humanitarian-sectors; D </w:t>
      </w:r>
      <w:proofErr w:type="spellStart"/>
      <w:r w:rsidRPr="00926A08">
        <w:rPr>
          <w:rFonts w:cstheme="minorHAnsi"/>
          <w:sz w:val="18"/>
          <w:szCs w:val="18"/>
        </w:rPr>
        <w:t>Mazurana</w:t>
      </w:r>
      <w:proofErr w:type="spellEnd"/>
      <w:r w:rsidRPr="00926A08">
        <w:rPr>
          <w:rFonts w:cstheme="minorHAnsi"/>
          <w:sz w:val="18"/>
          <w:szCs w:val="18"/>
        </w:rPr>
        <w:t xml:space="preserve"> and A </w:t>
      </w:r>
      <w:proofErr w:type="spellStart"/>
      <w:r w:rsidRPr="00926A08">
        <w:rPr>
          <w:rFonts w:cstheme="minorHAnsi"/>
          <w:sz w:val="18"/>
          <w:szCs w:val="18"/>
        </w:rPr>
        <w:t>Marshak</w:t>
      </w:r>
      <w:proofErr w:type="spellEnd"/>
      <w:r w:rsidRPr="00926A08">
        <w:rPr>
          <w:rFonts w:cstheme="minorHAnsi"/>
          <w:sz w:val="18"/>
          <w:szCs w:val="18"/>
        </w:rPr>
        <w:t xml:space="preserve"> (2019) Addressing Data Gaps an Child, Early And Forced Marriage in Humanitarian Settings, discussion draft, Save the Children, https://blog.savethechildren.org/wp-content/ uploads/2019/12/F_STC_union_online_dec19.pdf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50E27" w14:textId="32183F73" w:rsidR="00207A0D" w:rsidRDefault="00207A0D">
    <w:pPr>
      <w:pStyle w:val="Header"/>
    </w:pPr>
    <w:r w:rsidRPr="009A4249">
      <w:rPr>
        <w:rFonts w:cstheme="minorHAnsi"/>
        <w:b/>
        <w:bCs/>
        <w:noProof/>
        <w:sz w:val="28"/>
        <w:szCs w:val="28"/>
        <w:lang w:val="en-US"/>
      </w:rPr>
      <w:drawing>
        <wp:anchor distT="0" distB="0" distL="114300" distR="114300" simplePos="0" relativeHeight="251659264" behindDoc="0" locked="0" layoutInCell="1" allowOverlap="1" wp14:anchorId="6917D091" wp14:editId="2586C684">
          <wp:simplePos x="0" y="0"/>
          <wp:positionH relativeFrom="margin">
            <wp:posOffset>4541293</wp:posOffset>
          </wp:positionH>
          <wp:positionV relativeFrom="paragraph">
            <wp:posOffset>-368328</wp:posOffset>
          </wp:positionV>
          <wp:extent cx="2190058" cy="520709"/>
          <wp:effectExtent l="0" t="0" r="1270" b="0"/>
          <wp:wrapNone/>
          <wp:docPr id="5"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ve-the-children-logo.png"/>
                  <pic:cNvPicPr/>
                </pic:nvPicPr>
                <pic:blipFill rotWithShape="1">
                  <a:blip r:embed="rId1" cstate="print">
                    <a:extLst>
                      <a:ext uri="{28A0092B-C50C-407E-A947-70E740481C1C}">
                        <a14:useLocalDpi xmlns:a14="http://schemas.microsoft.com/office/drawing/2010/main" val="0"/>
                      </a:ext>
                    </a:extLst>
                  </a:blip>
                  <a:srcRect t="37675" b="38542"/>
                  <a:stretch/>
                </pic:blipFill>
                <pic:spPr bwMode="auto">
                  <a:xfrm>
                    <a:off x="0" y="0"/>
                    <a:ext cx="2206869" cy="52470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C25CD9" w14:textId="77777777" w:rsidR="00207A0D" w:rsidRDefault="00207A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06A9C"/>
    <w:multiLevelType w:val="hybridMultilevel"/>
    <w:tmpl w:val="B6B841C2"/>
    <w:lvl w:ilvl="0" w:tplc="EBC222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31497"/>
    <w:multiLevelType w:val="hybridMultilevel"/>
    <w:tmpl w:val="168EC5E6"/>
    <w:name w:val="Genummerde lijst 4"/>
    <w:lvl w:ilvl="0" w:tplc="A3FEEECE">
      <w:numFmt w:val="bullet"/>
      <w:lvlText w:val=""/>
      <w:lvlJc w:val="left"/>
      <w:pPr>
        <w:ind w:left="218" w:firstLine="0"/>
      </w:pPr>
      <w:rPr>
        <w:rFonts w:ascii="Symbol" w:hAnsi="Symbol"/>
      </w:rPr>
    </w:lvl>
    <w:lvl w:ilvl="1" w:tplc="0B82B980">
      <w:numFmt w:val="bullet"/>
      <w:lvlText w:val="o"/>
      <w:lvlJc w:val="left"/>
      <w:pPr>
        <w:ind w:left="938" w:firstLine="0"/>
      </w:pPr>
      <w:rPr>
        <w:rFonts w:ascii="Courier New" w:hAnsi="Courier New" w:cs="Courier New"/>
      </w:rPr>
    </w:lvl>
    <w:lvl w:ilvl="2" w:tplc="E29E690A">
      <w:numFmt w:val="bullet"/>
      <w:lvlText w:val=""/>
      <w:lvlJc w:val="left"/>
      <w:pPr>
        <w:ind w:left="1658" w:firstLine="0"/>
      </w:pPr>
      <w:rPr>
        <w:rFonts w:ascii="Wingdings" w:eastAsia="Wingdings" w:hAnsi="Wingdings" w:cs="Wingdings"/>
      </w:rPr>
    </w:lvl>
    <w:lvl w:ilvl="3" w:tplc="FAAE6D50">
      <w:numFmt w:val="bullet"/>
      <w:lvlText w:val=""/>
      <w:lvlJc w:val="left"/>
      <w:pPr>
        <w:ind w:left="2378" w:firstLine="0"/>
      </w:pPr>
      <w:rPr>
        <w:rFonts w:ascii="Symbol" w:hAnsi="Symbol"/>
      </w:rPr>
    </w:lvl>
    <w:lvl w:ilvl="4" w:tplc="262EF596">
      <w:numFmt w:val="bullet"/>
      <w:lvlText w:val="o"/>
      <w:lvlJc w:val="left"/>
      <w:pPr>
        <w:ind w:left="3098" w:firstLine="0"/>
      </w:pPr>
      <w:rPr>
        <w:rFonts w:ascii="Courier New" w:hAnsi="Courier New" w:cs="Courier New"/>
      </w:rPr>
    </w:lvl>
    <w:lvl w:ilvl="5" w:tplc="43EC0CE2">
      <w:numFmt w:val="bullet"/>
      <w:lvlText w:val=""/>
      <w:lvlJc w:val="left"/>
      <w:pPr>
        <w:ind w:left="3818" w:firstLine="0"/>
      </w:pPr>
      <w:rPr>
        <w:rFonts w:ascii="Wingdings" w:eastAsia="Wingdings" w:hAnsi="Wingdings" w:cs="Wingdings"/>
      </w:rPr>
    </w:lvl>
    <w:lvl w:ilvl="6" w:tplc="7FEC0CE2">
      <w:numFmt w:val="bullet"/>
      <w:lvlText w:val=""/>
      <w:lvlJc w:val="left"/>
      <w:pPr>
        <w:ind w:left="4538" w:firstLine="0"/>
      </w:pPr>
      <w:rPr>
        <w:rFonts w:ascii="Symbol" w:hAnsi="Symbol"/>
      </w:rPr>
    </w:lvl>
    <w:lvl w:ilvl="7" w:tplc="8B04B9BC">
      <w:numFmt w:val="bullet"/>
      <w:lvlText w:val="o"/>
      <w:lvlJc w:val="left"/>
      <w:pPr>
        <w:ind w:left="5258" w:firstLine="0"/>
      </w:pPr>
      <w:rPr>
        <w:rFonts w:ascii="Courier New" w:hAnsi="Courier New" w:cs="Courier New"/>
      </w:rPr>
    </w:lvl>
    <w:lvl w:ilvl="8" w:tplc="1AA486EA">
      <w:numFmt w:val="bullet"/>
      <w:lvlText w:val=""/>
      <w:lvlJc w:val="left"/>
      <w:pPr>
        <w:ind w:left="5978" w:firstLine="0"/>
      </w:pPr>
      <w:rPr>
        <w:rFonts w:ascii="Wingdings" w:eastAsia="Wingdings" w:hAnsi="Wingdings" w:cs="Wingdings"/>
      </w:rPr>
    </w:lvl>
  </w:abstractNum>
  <w:abstractNum w:abstractNumId="2" w15:restartNumberingAfterBreak="0">
    <w:nsid w:val="657509B8"/>
    <w:multiLevelType w:val="hybridMultilevel"/>
    <w:tmpl w:val="28A4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B17E92"/>
    <w:multiLevelType w:val="hybridMultilevel"/>
    <w:tmpl w:val="0CC40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EF2047"/>
    <w:multiLevelType w:val="hybridMultilevel"/>
    <w:tmpl w:val="1D6AE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D8E"/>
    <w:rsid w:val="00007EC1"/>
    <w:rsid w:val="000166CD"/>
    <w:rsid w:val="000178A1"/>
    <w:rsid w:val="00020B11"/>
    <w:rsid w:val="000245C0"/>
    <w:rsid w:val="00050794"/>
    <w:rsid w:val="0005599B"/>
    <w:rsid w:val="000664D2"/>
    <w:rsid w:val="00066C56"/>
    <w:rsid w:val="000732B6"/>
    <w:rsid w:val="000854E7"/>
    <w:rsid w:val="00094D7C"/>
    <w:rsid w:val="000A04E1"/>
    <w:rsid w:val="000B6E3C"/>
    <w:rsid w:val="000C1450"/>
    <w:rsid w:val="000D11A4"/>
    <w:rsid w:val="000D7380"/>
    <w:rsid w:val="00112DF6"/>
    <w:rsid w:val="0011BFCC"/>
    <w:rsid w:val="001243CA"/>
    <w:rsid w:val="00129345"/>
    <w:rsid w:val="00132D8E"/>
    <w:rsid w:val="001528E2"/>
    <w:rsid w:val="00167D49"/>
    <w:rsid w:val="00187511"/>
    <w:rsid w:val="00195D06"/>
    <w:rsid w:val="001A4A59"/>
    <w:rsid w:val="001B33DF"/>
    <w:rsid w:val="001B54CB"/>
    <w:rsid w:val="001E155B"/>
    <w:rsid w:val="001E7AF3"/>
    <w:rsid w:val="001F0F2C"/>
    <w:rsid w:val="001F2156"/>
    <w:rsid w:val="002066A6"/>
    <w:rsid w:val="00207A0D"/>
    <w:rsid w:val="00214BE3"/>
    <w:rsid w:val="00220FF0"/>
    <w:rsid w:val="002211FB"/>
    <w:rsid w:val="00225812"/>
    <w:rsid w:val="00230D2D"/>
    <w:rsid w:val="00240EAC"/>
    <w:rsid w:val="00245A40"/>
    <w:rsid w:val="00250583"/>
    <w:rsid w:val="00252C48"/>
    <w:rsid w:val="00260EE6"/>
    <w:rsid w:val="00262213"/>
    <w:rsid w:val="00294493"/>
    <w:rsid w:val="00294CC6"/>
    <w:rsid w:val="002976F9"/>
    <w:rsid w:val="002A7149"/>
    <w:rsid w:val="002B660A"/>
    <w:rsid w:val="002E70F6"/>
    <w:rsid w:val="002E7315"/>
    <w:rsid w:val="003246C5"/>
    <w:rsid w:val="00334AD6"/>
    <w:rsid w:val="00340147"/>
    <w:rsid w:val="00352200"/>
    <w:rsid w:val="003811B7"/>
    <w:rsid w:val="0039383E"/>
    <w:rsid w:val="0039570F"/>
    <w:rsid w:val="00396528"/>
    <w:rsid w:val="00396B7A"/>
    <w:rsid w:val="003A2AE2"/>
    <w:rsid w:val="003B4A2B"/>
    <w:rsid w:val="003B6C8C"/>
    <w:rsid w:val="003D07BF"/>
    <w:rsid w:val="003D0B8E"/>
    <w:rsid w:val="003D2D7D"/>
    <w:rsid w:val="003F14B9"/>
    <w:rsid w:val="003F14C6"/>
    <w:rsid w:val="00421B2A"/>
    <w:rsid w:val="004232CF"/>
    <w:rsid w:val="00433731"/>
    <w:rsid w:val="00435791"/>
    <w:rsid w:val="004454AD"/>
    <w:rsid w:val="00446947"/>
    <w:rsid w:val="004706D3"/>
    <w:rsid w:val="0047343A"/>
    <w:rsid w:val="00476D45"/>
    <w:rsid w:val="00494074"/>
    <w:rsid w:val="00494634"/>
    <w:rsid w:val="00494FA3"/>
    <w:rsid w:val="0049589B"/>
    <w:rsid w:val="004A32CA"/>
    <w:rsid w:val="004A455B"/>
    <w:rsid w:val="004B47C7"/>
    <w:rsid w:val="004B546F"/>
    <w:rsid w:val="004D6866"/>
    <w:rsid w:val="004E0ADE"/>
    <w:rsid w:val="004F4C24"/>
    <w:rsid w:val="00507DF3"/>
    <w:rsid w:val="00511246"/>
    <w:rsid w:val="0052551E"/>
    <w:rsid w:val="005347C0"/>
    <w:rsid w:val="00537DF8"/>
    <w:rsid w:val="005455EF"/>
    <w:rsid w:val="005468EC"/>
    <w:rsid w:val="0056162A"/>
    <w:rsid w:val="00570C8D"/>
    <w:rsid w:val="00570E05"/>
    <w:rsid w:val="00571738"/>
    <w:rsid w:val="005723E1"/>
    <w:rsid w:val="00580D74"/>
    <w:rsid w:val="005818BE"/>
    <w:rsid w:val="00581DF2"/>
    <w:rsid w:val="00583414"/>
    <w:rsid w:val="0058351F"/>
    <w:rsid w:val="005B0686"/>
    <w:rsid w:val="005B488C"/>
    <w:rsid w:val="005D7B1D"/>
    <w:rsid w:val="005E18D9"/>
    <w:rsid w:val="005E7A2C"/>
    <w:rsid w:val="005F0741"/>
    <w:rsid w:val="005F0772"/>
    <w:rsid w:val="006055EC"/>
    <w:rsid w:val="00613D1B"/>
    <w:rsid w:val="00624526"/>
    <w:rsid w:val="00624F2F"/>
    <w:rsid w:val="00627656"/>
    <w:rsid w:val="00633BDD"/>
    <w:rsid w:val="0063513E"/>
    <w:rsid w:val="0063745B"/>
    <w:rsid w:val="00640123"/>
    <w:rsid w:val="00641FCF"/>
    <w:rsid w:val="00647405"/>
    <w:rsid w:val="00650E94"/>
    <w:rsid w:val="00650F86"/>
    <w:rsid w:val="00654D09"/>
    <w:rsid w:val="00663DD1"/>
    <w:rsid w:val="00670BCB"/>
    <w:rsid w:val="006723AF"/>
    <w:rsid w:val="006729C0"/>
    <w:rsid w:val="00674A37"/>
    <w:rsid w:val="00677D1E"/>
    <w:rsid w:val="006A689A"/>
    <w:rsid w:val="006B3568"/>
    <w:rsid w:val="006C1691"/>
    <w:rsid w:val="006D090C"/>
    <w:rsid w:val="006E027A"/>
    <w:rsid w:val="006E46DE"/>
    <w:rsid w:val="006E6625"/>
    <w:rsid w:val="006F3EFE"/>
    <w:rsid w:val="006F43A6"/>
    <w:rsid w:val="006F679E"/>
    <w:rsid w:val="00722F9F"/>
    <w:rsid w:val="00726C2F"/>
    <w:rsid w:val="00732E08"/>
    <w:rsid w:val="00736152"/>
    <w:rsid w:val="00743C20"/>
    <w:rsid w:val="0075131A"/>
    <w:rsid w:val="007518E0"/>
    <w:rsid w:val="00753152"/>
    <w:rsid w:val="0076622B"/>
    <w:rsid w:val="00781C9E"/>
    <w:rsid w:val="00796E50"/>
    <w:rsid w:val="007A40BB"/>
    <w:rsid w:val="007B25D3"/>
    <w:rsid w:val="007C70CB"/>
    <w:rsid w:val="007C7C49"/>
    <w:rsid w:val="007D78AB"/>
    <w:rsid w:val="008163C6"/>
    <w:rsid w:val="00823ECA"/>
    <w:rsid w:val="00832508"/>
    <w:rsid w:val="00845663"/>
    <w:rsid w:val="00852B44"/>
    <w:rsid w:val="00854497"/>
    <w:rsid w:val="00865EB9"/>
    <w:rsid w:val="0087272E"/>
    <w:rsid w:val="00876A47"/>
    <w:rsid w:val="00877AE3"/>
    <w:rsid w:val="00882B70"/>
    <w:rsid w:val="0089342A"/>
    <w:rsid w:val="008A09AF"/>
    <w:rsid w:val="008A6314"/>
    <w:rsid w:val="008A7B19"/>
    <w:rsid w:val="008B33EA"/>
    <w:rsid w:val="008B7C4D"/>
    <w:rsid w:val="008C2B32"/>
    <w:rsid w:val="008C787D"/>
    <w:rsid w:val="008D7A6B"/>
    <w:rsid w:val="008E2B69"/>
    <w:rsid w:val="009168F1"/>
    <w:rsid w:val="009230AD"/>
    <w:rsid w:val="009263E9"/>
    <w:rsid w:val="00926A08"/>
    <w:rsid w:val="009338B2"/>
    <w:rsid w:val="009343C1"/>
    <w:rsid w:val="00955E93"/>
    <w:rsid w:val="00959180"/>
    <w:rsid w:val="00961C60"/>
    <w:rsid w:val="0096438B"/>
    <w:rsid w:val="00964D76"/>
    <w:rsid w:val="009813A8"/>
    <w:rsid w:val="009A32B4"/>
    <w:rsid w:val="009A4249"/>
    <w:rsid w:val="009A67D4"/>
    <w:rsid w:val="009C693C"/>
    <w:rsid w:val="009D02F9"/>
    <w:rsid w:val="009D33B8"/>
    <w:rsid w:val="009D5CE0"/>
    <w:rsid w:val="009E0F84"/>
    <w:rsid w:val="009E47F2"/>
    <w:rsid w:val="009E7710"/>
    <w:rsid w:val="009F0334"/>
    <w:rsid w:val="009F2D46"/>
    <w:rsid w:val="00A0561E"/>
    <w:rsid w:val="00A05D57"/>
    <w:rsid w:val="00A05E87"/>
    <w:rsid w:val="00A101B1"/>
    <w:rsid w:val="00A25C7A"/>
    <w:rsid w:val="00A25DA0"/>
    <w:rsid w:val="00A318AF"/>
    <w:rsid w:val="00A332C3"/>
    <w:rsid w:val="00A36872"/>
    <w:rsid w:val="00A412B2"/>
    <w:rsid w:val="00A42743"/>
    <w:rsid w:val="00A47DD4"/>
    <w:rsid w:val="00A7328E"/>
    <w:rsid w:val="00A73DA5"/>
    <w:rsid w:val="00A77B2B"/>
    <w:rsid w:val="00A87597"/>
    <w:rsid w:val="00A90890"/>
    <w:rsid w:val="00A92565"/>
    <w:rsid w:val="00A931D5"/>
    <w:rsid w:val="00AB01D7"/>
    <w:rsid w:val="00AC6A44"/>
    <w:rsid w:val="00AD2B9F"/>
    <w:rsid w:val="00AD7F41"/>
    <w:rsid w:val="00AE7236"/>
    <w:rsid w:val="00AE7F5D"/>
    <w:rsid w:val="00AF7BC1"/>
    <w:rsid w:val="00B00798"/>
    <w:rsid w:val="00B00C3D"/>
    <w:rsid w:val="00B011A2"/>
    <w:rsid w:val="00B07653"/>
    <w:rsid w:val="00B312F0"/>
    <w:rsid w:val="00B376C1"/>
    <w:rsid w:val="00B4106C"/>
    <w:rsid w:val="00B41E52"/>
    <w:rsid w:val="00B560F6"/>
    <w:rsid w:val="00B561FB"/>
    <w:rsid w:val="00B64C6D"/>
    <w:rsid w:val="00B70C21"/>
    <w:rsid w:val="00B807D8"/>
    <w:rsid w:val="00B84FAE"/>
    <w:rsid w:val="00B854B4"/>
    <w:rsid w:val="00B940A0"/>
    <w:rsid w:val="00B96BC0"/>
    <w:rsid w:val="00BB4817"/>
    <w:rsid w:val="00BB5E15"/>
    <w:rsid w:val="00BD3AC2"/>
    <w:rsid w:val="00BD540B"/>
    <w:rsid w:val="00BE0B8B"/>
    <w:rsid w:val="00BF535F"/>
    <w:rsid w:val="00C00EE2"/>
    <w:rsid w:val="00C16F2C"/>
    <w:rsid w:val="00C27B0E"/>
    <w:rsid w:val="00C345B0"/>
    <w:rsid w:val="00C50266"/>
    <w:rsid w:val="00C5458F"/>
    <w:rsid w:val="00C5747A"/>
    <w:rsid w:val="00C73450"/>
    <w:rsid w:val="00C8623A"/>
    <w:rsid w:val="00C90077"/>
    <w:rsid w:val="00CA1FB5"/>
    <w:rsid w:val="00CD21EF"/>
    <w:rsid w:val="00CD5BCD"/>
    <w:rsid w:val="00CF7843"/>
    <w:rsid w:val="00D00B77"/>
    <w:rsid w:val="00D1135E"/>
    <w:rsid w:val="00D23C41"/>
    <w:rsid w:val="00D244C9"/>
    <w:rsid w:val="00D36705"/>
    <w:rsid w:val="00D464E1"/>
    <w:rsid w:val="00D52E3A"/>
    <w:rsid w:val="00D9339B"/>
    <w:rsid w:val="00DA550B"/>
    <w:rsid w:val="00DB4D1A"/>
    <w:rsid w:val="00DE3359"/>
    <w:rsid w:val="00DE7A61"/>
    <w:rsid w:val="00DF44E9"/>
    <w:rsid w:val="00DF6462"/>
    <w:rsid w:val="00DF789C"/>
    <w:rsid w:val="00E148C0"/>
    <w:rsid w:val="00E1543A"/>
    <w:rsid w:val="00E15D8C"/>
    <w:rsid w:val="00E20223"/>
    <w:rsid w:val="00E319DA"/>
    <w:rsid w:val="00E46FF1"/>
    <w:rsid w:val="00E71583"/>
    <w:rsid w:val="00E817E2"/>
    <w:rsid w:val="00E92B30"/>
    <w:rsid w:val="00E92B7F"/>
    <w:rsid w:val="00EA00E3"/>
    <w:rsid w:val="00EB281F"/>
    <w:rsid w:val="00EC344B"/>
    <w:rsid w:val="00EC5BB7"/>
    <w:rsid w:val="00EE3121"/>
    <w:rsid w:val="00EE7493"/>
    <w:rsid w:val="00F10454"/>
    <w:rsid w:val="00F212A3"/>
    <w:rsid w:val="00F30B6A"/>
    <w:rsid w:val="00F42B49"/>
    <w:rsid w:val="00F45E79"/>
    <w:rsid w:val="00F50341"/>
    <w:rsid w:val="00F55E7A"/>
    <w:rsid w:val="00F576B7"/>
    <w:rsid w:val="00F57F9F"/>
    <w:rsid w:val="00F606CE"/>
    <w:rsid w:val="00F949AB"/>
    <w:rsid w:val="00FB4809"/>
    <w:rsid w:val="00FB6E9F"/>
    <w:rsid w:val="00FC7404"/>
    <w:rsid w:val="00FE1111"/>
    <w:rsid w:val="00FF3A9F"/>
    <w:rsid w:val="01621E97"/>
    <w:rsid w:val="016DA506"/>
    <w:rsid w:val="0191D560"/>
    <w:rsid w:val="019D6BE4"/>
    <w:rsid w:val="019EEFEA"/>
    <w:rsid w:val="01B3FA3B"/>
    <w:rsid w:val="01C5152D"/>
    <w:rsid w:val="01DB7F36"/>
    <w:rsid w:val="01E46D68"/>
    <w:rsid w:val="0206AF68"/>
    <w:rsid w:val="020C2CB7"/>
    <w:rsid w:val="021413CF"/>
    <w:rsid w:val="0218D22F"/>
    <w:rsid w:val="022F5755"/>
    <w:rsid w:val="0233BED2"/>
    <w:rsid w:val="0245F655"/>
    <w:rsid w:val="024A401D"/>
    <w:rsid w:val="024EB5BB"/>
    <w:rsid w:val="028A7A45"/>
    <w:rsid w:val="02969EE1"/>
    <w:rsid w:val="02CE8E38"/>
    <w:rsid w:val="02D22B50"/>
    <w:rsid w:val="02F803FD"/>
    <w:rsid w:val="02FC910E"/>
    <w:rsid w:val="03084846"/>
    <w:rsid w:val="032B2591"/>
    <w:rsid w:val="035411BB"/>
    <w:rsid w:val="036AB189"/>
    <w:rsid w:val="03AB32AA"/>
    <w:rsid w:val="03C0793F"/>
    <w:rsid w:val="03EFB98C"/>
    <w:rsid w:val="03F20542"/>
    <w:rsid w:val="04101D6F"/>
    <w:rsid w:val="04182BAD"/>
    <w:rsid w:val="042E8E06"/>
    <w:rsid w:val="04441FAD"/>
    <w:rsid w:val="046D36DE"/>
    <w:rsid w:val="04789751"/>
    <w:rsid w:val="04CD67C1"/>
    <w:rsid w:val="04E50998"/>
    <w:rsid w:val="04EE5CB4"/>
    <w:rsid w:val="04F3177E"/>
    <w:rsid w:val="053AFE0E"/>
    <w:rsid w:val="05574823"/>
    <w:rsid w:val="0574176B"/>
    <w:rsid w:val="05A11AEF"/>
    <w:rsid w:val="05A6686F"/>
    <w:rsid w:val="05BC9775"/>
    <w:rsid w:val="05E740AF"/>
    <w:rsid w:val="0610439C"/>
    <w:rsid w:val="061F84CD"/>
    <w:rsid w:val="0677E9D4"/>
    <w:rsid w:val="069669C7"/>
    <w:rsid w:val="06D2DE89"/>
    <w:rsid w:val="06D80E5C"/>
    <w:rsid w:val="0718D822"/>
    <w:rsid w:val="07249EB8"/>
    <w:rsid w:val="072AD229"/>
    <w:rsid w:val="0746A1F9"/>
    <w:rsid w:val="075E70CB"/>
    <w:rsid w:val="076C46B1"/>
    <w:rsid w:val="0780B4C7"/>
    <w:rsid w:val="07909A76"/>
    <w:rsid w:val="07965E7D"/>
    <w:rsid w:val="07BB552E"/>
    <w:rsid w:val="07CBC9F0"/>
    <w:rsid w:val="07D2816B"/>
    <w:rsid w:val="07F03557"/>
    <w:rsid w:val="081EC81D"/>
    <w:rsid w:val="08492F3E"/>
    <w:rsid w:val="084C1022"/>
    <w:rsid w:val="085BE4C1"/>
    <w:rsid w:val="08B08B33"/>
    <w:rsid w:val="08C5DD16"/>
    <w:rsid w:val="090ED3EE"/>
    <w:rsid w:val="0921DB4C"/>
    <w:rsid w:val="0927199C"/>
    <w:rsid w:val="09519871"/>
    <w:rsid w:val="095D449D"/>
    <w:rsid w:val="095F8516"/>
    <w:rsid w:val="09ABA0ED"/>
    <w:rsid w:val="0A21F10F"/>
    <w:rsid w:val="0A358450"/>
    <w:rsid w:val="0A3C466C"/>
    <w:rsid w:val="0A549C25"/>
    <w:rsid w:val="0A5CD7E4"/>
    <w:rsid w:val="0AB890BA"/>
    <w:rsid w:val="0ACA8C62"/>
    <w:rsid w:val="0AE77733"/>
    <w:rsid w:val="0AEAE238"/>
    <w:rsid w:val="0AED8828"/>
    <w:rsid w:val="0B018E81"/>
    <w:rsid w:val="0B078EF9"/>
    <w:rsid w:val="0B0C1624"/>
    <w:rsid w:val="0B2432F2"/>
    <w:rsid w:val="0B3F6387"/>
    <w:rsid w:val="0B3F8EE6"/>
    <w:rsid w:val="0B59F3BB"/>
    <w:rsid w:val="0B620EFA"/>
    <w:rsid w:val="0B7AD180"/>
    <w:rsid w:val="0BC667F3"/>
    <w:rsid w:val="0BCCAB9F"/>
    <w:rsid w:val="0BD4A644"/>
    <w:rsid w:val="0BD8F86B"/>
    <w:rsid w:val="0BE4D59E"/>
    <w:rsid w:val="0C02DF82"/>
    <w:rsid w:val="0C086A92"/>
    <w:rsid w:val="0C0D6E5B"/>
    <w:rsid w:val="0C20A498"/>
    <w:rsid w:val="0C24ADEE"/>
    <w:rsid w:val="0C26AA84"/>
    <w:rsid w:val="0C310CD1"/>
    <w:rsid w:val="0C41787B"/>
    <w:rsid w:val="0C770D1A"/>
    <w:rsid w:val="0C779C85"/>
    <w:rsid w:val="0CB7575D"/>
    <w:rsid w:val="0CBAF540"/>
    <w:rsid w:val="0CDE6938"/>
    <w:rsid w:val="0D036628"/>
    <w:rsid w:val="0D17E9E6"/>
    <w:rsid w:val="0D2AA109"/>
    <w:rsid w:val="0D3C2759"/>
    <w:rsid w:val="0D7A3CB1"/>
    <w:rsid w:val="0D91F8C3"/>
    <w:rsid w:val="0D9F3616"/>
    <w:rsid w:val="0E053F9C"/>
    <w:rsid w:val="0E45973A"/>
    <w:rsid w:val="0E4B826B"/>
    <w:rsid w:val="0E526F89"/>
    <w:rsid w:val="0E560C01"/>
    <w:rsid w:val="0E5D7CC1"/>
    <w:rsid w:val="0EC27B25"/>
    <w:rsid w:val="0EF06942"/>
    <w:rsid w:val="0F3096FC"/>
    <w:rsid w:val="0F43EF01"/>
    <w:rsid w:val="0F7BC254"/>
    <w:rsid w:val="0F9DFD85"/>
    <w:rsid w:val="0FA17EC2"/>
    <w:rsid w:val="0FAA1C17"/>
    <w:rsid w:val="0FAC3291"/>
    <w:rsid w:val="0FB6CD4F"/>
    <w:rsid w:val="0FC49005"/>
    <w:rsid w:val="10283DA8"/>
    <w:rsid w:val="103776B0"/>
    <w:rsid w:val="10459A11"/>
    <w:rsid w:val="10552D92"/>
    <w:rsid w:val="10883059"/>
    <w:rsid w:val="10B80730"/>
    <w:rsid w:val="10BFB209"/>
    <w:rsid w:val="10CC8C2A"/>
    <w:rsid w:val="10D89077"/>
    <w:rsid w:val="11359457"/>
    <w:rsid w:val="11616B2F"/>
    <w:rsid w:val="116A77A9"/>
    <w:rsid w:val="119AB906"/>
    <w:rsid w:val="1226F729"/>
    <w:rsid w:val="12B324A8"/>
    <w:rsid w:val="131E88E3"/>
    <w:rsid w:val="13280957"/>
    <w:rsid w:val="13632BFE"/>
    <w:rsid w:val="137CFAD6"/>
    <w:rsid w:val="13838F35"/>
    <w:rsid w:val="139E667E"/>
    <w:rsid w:val="14103139"/>
    <w:rsid w:val="14106279"/>
    <w:rsid w:val="146DACA2"/>
    <w:rsid w:val="148B7003"/>
    <w:rsid w:val="1492D724"/>
    <w:rsid w:val="14A013D2"/>
    <w:rsid w:val="14A2186B"/>
    <w:rsid w:val="14AA4A1E"/>
    <w:rsid w:val="14AD54EE"/>
    <w:rsid w:val="14BF9B5A"/>
    <w:rsid w:val="14C3A4D9"/>
    <w:rsid w:val="14C4481D"/>
    <w:rsid w:val="14C4782B"/>
    <w:rsid w:val="14CFD9E8"/>
    <w:rsid w:val="14E5503D"/>
    <w:rsid w:val="14E7ADA4"/>
    <w:rsid w:val="14F09634"/>
    <w:rsid w:val="14F42769"/>
    <w:rsid w:val="14F75EE2"/>
    <w:rsid w:val="150F5035"/>
    <w:rsid w:val="151529EB"/>
    <w:rsid w:val="151883DF"/>
    <w:rsid w:val="15394080"/>
    <w:rsid w:val="154724B3"/>
    <w:rsid w:val="1558B66F"/>
    <w:rsid w:val="1570709E"/>
    <w:rsid w:val="15AB97DB"/>
    <w:rsid w:val="15B05B88"/>
    <w:rsid w:val="15B3105A"/>
    <w:rsid w:val="15E503A9"/>
    <w:rsid w:val="1606A231"/>
    <w:rsid w:val="1679DB84"/>
    <w:rsid w:val="16912011"/>
    <w:rsid w:val="169730DA"/>
    <w:rsid w:val="16AD9369"/>
    <w:rsid w:val="16D36377"/>
    <w:rsid w:val="16F239C6"/>
    <w:rsid w:val="171A49CA"/>
    <w:rsid w:val="1746185C"/>
    <w:rsid w:val="1768111D"/>
    <w:rsid w:val="1778FA6A"/>
    <w:rsid w:val="17993B3A"/>
    <w:rsid w:val="17B21F44"/>
    <w:rsid w:val="17DB862D"/>
    <w:rsid w:val="18A73710"/>
    <w:rsid w:val="18FF316A"/>
    <w:rsid w:val="19101651"/>
    <w:rsid w:val="1912DF83"/>
    <w:rsid w:val="19136161"/>
    <w:rsid w:val="19398002"/>
    <w:rsid w:val="193C1B88"/>
    <w:rsid w:val="1952880B"/>
    <w:rsid w:val="1962BC40"/>
    <w:rsid w:val="1990FFB4"/>
    <w:rsid w:val="19930C7D"/>
    <w:rsid w:val="19A02ECE"/>
    <w:rsid w:val="19B1BDD3"/>
    <w:rsid w:val="19CC1008"/>
    <w:rsid w:val="19DCB5C5"/>
    <w:rsid w:val="19E58C93"/>
    <w:rsid w:val="19FAB58D"/>
    <w:rsid w:val="1A0C3B1F"/>
    <w:rsid w:val="1A51EA8C"/>
    <w:rsid w:val="1A54E621"/>
    <w:rsid w:val="1A610C4C"/>
    <w:rsid w:val="1A664A60"/>
    <w:rsid w:val="1A925EAC"/>
    <w:rsid w:val="1ABA1EE5"/>
    <w:rsid w:val="1ACCE2AB"/>
    <w:rsid w:val="1ACE1787"/>
    <w:rsid w:val="1B2DB412"/>
    <w:rsid w:val="1B314139"/>
    <w:rsid w:val="1B3BCD92"/>
    <w:rsid w:val="1B40380B"/>
    <w:rsid w:val="1B86967E"/>
    <w:rsid w:val="1BC4AEF6"/>
    <w:rsid w:val="1BC74E86"/>
    <w:rsid w:val="1C0D27BC"/>
    <w:rsid w:val="1C254767"/>
    <w:rsid w:val="1C293FD0"/>
    <w:rsid w:val="1C2BD76E"/>
    <w:rsid w:val="1C31204A"/>
    <w:rsid w:val="1C4CA156"/>
    <w:rsid w:val="1C8400A4"/>
    <w:rsid w:val="1C9A0F5B"/>
    <w:rsid w:val="1CC247F8"/>
    <w:rsid w:val="1CD28B58"/>
    <w:rsid w:val="1CED9202"/>
    <w:rsid w:val="1CFE9C0F"/>
    <w:rsid w:val="1D02E74D"/>
    <w:rsid w:val="1D1E074E"/>
    <w:rsid w:val="1D3D084F"/>
    <w:rsid w:val="1D4BFD92"/>
    <w:rsid w:val="1DEF27AD"/>
    <w:rsid w:val="1E0873A2"/>
    <w:rsid w:val="1E11E49A"/>
    <w:rsid w:val="1E30933E"/>
    <w:rsid w:val="1E344F6D"/>
    <w:rsid w:val="1E6E72AE"/>
    <w:rsid w:val="1E896263"/>
    <w:rsid w:val="1E9465D0"/>
    <w:rsid w:val="1EA1A343"/>
    <w:rsid w:val="1F1CAEAA"/>
    <w:rsid w:val="1F6A4642"/>
    <w:rsid w:val="1F8E6463"/>
    <w:rsid w:val="1F8F1C9E"/>
    <w:rsid w:val="1FA188AA"/>
    <w:rsid w:val="1FAC05E6"/>
    <w:rsid w:val="1FCB5006"/>
    <w:rsid w:val="1FCDA98D"/>
    <w:rsid w:val="1FE2EDB6"/>
    <w:rsid w:val="2002B5CF"/>
    <w:rsid w:val="20343919"/>
    <w:rsid w:val="20436E39"/>
    <w:rsid w:val="204B92C2"/>
    <w:rsid w:val="20670D91"/>
    <w:rsid w:val="20A23399"/>
    <w:rsid w:val="20B41255"/>
    <w:rsid w:val="20C2DE1B"/>
    <w:rsid w:val="20C5163E"/>
    <w:rsid w:val="20F67A81"/>
    <w:rsid w:val="212117A2"/>
    <w:rsid w:val="2124C89C"/>
    <w:rsid w:val="2133A889"/>
    <w:rsid w:val="21415C9B"/>
    <w:rsid w:val="216A2F7F"/>
    <w:rsid w:val="216A6ADA"/>
    <w:rsid w:val="21958434"/>
    <w:rsid w:val="2242B8EE"/>
    <w:rsid w:val="22B0B8AA"/>
    <w:rsid w:val="22C20EDE"/>
    <w:rsid w:val="22DFA352"/>
    <w:rsid w:val="22F8AE27"/>
    <w:rsid w:val="22FEB29A"/>
    <w:rsid w:val="231A4217"/>
    <w:rsid w:val="2336FCD9"/>
    <w:rsid w:val="23859732"/>
    <w:rsid w:val="23A53CBA"/>
    <w:rsid w:val="23B80642"/>
    <w:rsid w:val="23E19ECF"/>
    <w:rsid w:val="24407EFF"/>
    <w:rsid w:val="247A0769"/>
    <w:rsid w:val="247ABE89"/>
    <w:rsid w:val="2486E41C"/>
    <w:rsid w:val="24874277"/>
    <w:rsid w:val="24946AFE"/>
    <w:rsid w:val="24CEEA52"/>
    <w:rsid w:val="254F9988"/>
    <w:rsid w:val="2554C41E"/>
    <w:rsid w:val="25655FEA"/>
    <w:rsid w:val="25E089F0"/>
    <w:rsid w:val="261653D1"/>
    <w:rsid w:val="2625CF3E"/>
    <w:rsid w:val="264779E7"/>
    <w:rsid w:val="2684947F"/>
    <w:rsid w:val="269948FE"/>
    <w:rsid w:val="26D91AA0"/>
    <w:rsid w:val="26DB1E5B"/>
    <w:rsid w:val="26F103C6"/>
    <w:rsid w:val="26FF68EC"/>
    <w:rsid w:val="2717B769"/>
    <w:rsid w:val="274C2790"/>
    <w:rsid w:val="27655E80"/>
    <w:rsid w:val="27964653"/>
    <w:rsid w:val="27AE05DD"/>
    <w:rsid w:val="27BB0BB1"/>
    <w:rsid w:val="27C19F9F"/>
    <w:rsid w:val="27C3B3E4"/>
    <w:rsid w:val="27E8CA04"/>
    <w:rsid w:val="27EB4B05"/>
    <w:rsid w:val="2802785B"/>
    <w:rsid w:val="280B5BEB"/>
    <w:rsid w:val="28414CDE"/>
    <w:rsid w:val="2889544A"/>
    <w:rsid w:val="28910031"/>
    <w:rsid w:val="28B500B6"/>
    <w:rsid w:val="28BB9D4B"/>
    <w:rsid w:val="28D28142"/>
    <w:rsid w:val="28D4C4F8"/>
    <w:rsid w:val="28DF1A92"/>
    <w:rsid w:val="28F83921"/>
    <w:rsid w:val="294822C2"/>
    <w:rsid w:val="2965EF26"/>
    <w:rsid w:val="296E49D0"/>
    <w:rsid w:val="29B3A3C8"/>
    <w:rsid w:val="29B5FA4B"/>
    <w:rsid w:val="29D519C0"/>
    <w:rsid w:val="2A12795E"/>
    <w:rsid w:val="2A14A11B"/>
    <w:rsid w:val="2A6D920C"/>
    <w:rsid w:val="2A6F3903"/>
    <w:rsid w:val="2A71C916"/>
    <w:rsid w:val="2A9A7205"/>
    <w:rsid w:val="2A9EC9B5"/>
    <w:rsid w:val="2AA1F756"/>
    <w:rsid w:val="2AD3EC36"/>
    <w:rsid w:val="2AF06D6A"/>
    <w:rsid w:val="2B02C6FC"/>
    <w:rsid w:val="2B2B22B1"/>
    <w:rsid w:val="2B4B97CE"/>
    <w:rsid w:val="2B70EF28"/>
    <w:rsid w:val="2BA4A7CE"/>
    <w:rsid w:val="2BA527F3"/>
    <w:rsid w:val="2BD6ABFE"/>
    <w:rsid w:val="2BF0AAA7"/>
    <w:rsid w:val="2C2FD9CC"/>
    <w:rsid w:val="2C35370A"/>
    <w:rsid w:val="2C42188D"/>
    <w:rsid w:val="2C51B695"/>
    <w:rsid w:val="2C6E1090"/>
    <w:rsid w:val="2C712692"/>
    <w:rsid w:val="2C77C320"/>
    <w:rsid w:val="2C85CE29"/>
    <w:rsid w:val="2C8AB858"/>
    <w:rsid w:val="2C8EB204"/>
    <w:rsid w:val="2C903147"/>
    <w:rsid w:val="2CC876B6"/>
    <w:rsid w:val="2D0B97BF"/>
    <w:rsid w:val="2D19CB83"/>
    <w:rsid w:val="2D2F4179"/>
    <w:rsid w:val="2D47D9D4"/>
    <w:rsid w:val="2D534E2D"/>
    <w:rsid w:val="2D5745FD"/>
    <w:rsid w:val="2D65FF50"/>
    <w:rsid w:val="2D7FCCF8"/>
    <w:rsid w:val="2D8D078E"/>
    <w:rsid w:val="2DBCB4AD"/>
    <w:rsid w:val="2DC60BB6"/>
    <w:rsid w:val="2E0AA155"/>
    <w:rsid w:val="2E55A396"/>
    <w:rsid w:val="2E7A49AE"/>
    <w:rsid w:val="2EAA29DB"/>
    <w:rsid w:val="2ECB8EB4"/>
    <w:rsid w:val="2EDC4890"/>
    <w:rsid w:val="2F1DBED8"/>
    <w:rsid w:val="2F309CB4"/>
    <w:rsid w:val="2F4AC943"/>
    <w:rsid w:val="2F9BB65E"/>
    <w:rsid w:val="2FA41D8C"/>
    <w:rsid w:val="2FA66DA6"/>
    <w:rsid w:val="2FCEF811"/>
    <w:rsid w:val="2FE74E02"/>
    <w:rsid w:val="2FED1C05"/>
    <w:rsid w:val="30087849"/>
    <w:rsid w:val="301CFCDD"/>
    <w:rsid w:val="30324E2D"/>
    <w:rsid w:val="305B05BE"/>
    <w:rsid w:val="30611743"/>
    <w:rsid w:val="3072DF67"/>
    <w:rsid w:val="30EF5FE0"/>
    <w:rsid w:val="311295DB"/>
    <w:rsid w:val="3146EE0A"/>
    <w:rsid w:val="316336C8"/>
    <w:rsid w:val="316F8684"/>
    <w:rsid w:val="316F9E35"/>
    <w:rsid w:val="3190443A"/>
    <w:rsid w:val="31C10C30"/>
    <w:rsid w:val="31D9AA2E"/>
    <w:rsid w:val="32271FB8"/>
    <w:rsid w:val="323A1338"/>
    <w:rsid w:val="3249B0A9"/>
    <w:rsid w:val="324DD813"/>
    <w:rsid w:val="324EDA92"/>
    <w:rsid w:val="328DB3F6"/>
    <w:rsid w:val="32B62FE9"/>
    <w:rsid w:val="32B996A9"/>
    <w:rsid w:val="32FFF283"/>
    <w:rsid w:val="331E9F91"/>
    <w:rsid w:val="33637C8A"/>
    <w:rsid w:val="33653B63"/>
    <w:rsid w:val="3367BCFB"/>
    <w:rsid w:val="3370251E"/>
    <w:rsid w:val="338A1495"/>
    <w:rsid w:val="33ACA13A"/>
    <w:rsid w:val="33B97F78"/>
    <w:rsid w:val="33EBF35D"/>
    <w:rsid w:val="33F3A42D"/>
    <w:rsid w:val="3403FD77"/>
    <w:rsid w:val="3422F69E"/>
    <w:rsid w:val="342D370E"/>
    <w:rsid w:val="3439D38E"/>
    <w:rsid w:val="34606179"/>
    <w:rsid w:val="348BA819"/>
    <w:rsid w:val="34B52354"/>
    <w:rsid w:val="35144C46"/>
    <w:rsid w:val="35252809"/>
    <w:rsid w:val="3553B398"/>
    <w:rsid w:val="35564743"/>
    <w:rsid w:val="355E226F"/>
    <w:rsid w:val="359664B9"/>
    <w:rsid w:val="35971EFA"/>
    <w:rsid w:val="35A4DC39"/>
    <w:rsid w:val="35E6DD58"/>
    <w:rsid w:val="35ECE314"/>
    <w:rsid w:val="35FED209"/>
    <w:rsid w:val="36083290"/>
    <w:rsid w:val="362ED38F"/>
    <w:rsid w:val="362FCBDD"/>
    <w:rsid w:val="364481E6"/>
    <w:rsid w:val="369DC406"/>
    <w:rsid w:val="36AE5A3B"/>
    <w:rsid w:val="36DFD8C7"/>
    <w:rsid w:val="36F0092B"/>
    <w:rsid w:val="36F8C459"/>
    <w:rsid w:val="36F9774D"/>
    <w:rsid w:val="36FE7129"/>
    <w:rsid w:val="3729524C"/>
    <w:rsid w:val="375965B3"/>
    <w:rsid w:val="379685CD"/>
    <w:rsid w:val="37C5C2AE"/>
    <w:rsid w:val="37CE939B"/>
    <w:rsid w:val="37F90857"/>
    <w:rsid w:val="3878A1DA"/>
    <w:rsid w:val="3894410F"/>
    <w:rsid w:val="38954F8F"/>
    <w:rsid w:val="38B60A88"/>
    <w:rsid w:val="38FADC63"/>
    <w:rsid w:val="390BE82F"/>
    <w:rsid w:val="392031EE"/>
    <w:rsid w:val="39259015"/>
    <w:rsid w:val="393B5E73"/>
    <w:rsid w:val="394E9E97"/>
    <w:rsid w:val="3966F297"/>
    <w:rsid w:val="396EBFAA"/>
    <w:rsid w:val="39D62B84"/>
    <w:rsid w:val="39F44594"/>
    <w:rsid w:val="3A044294"/>
    <w:rsid w:val="3A05A814"/>
    <w:rsid w:val="3A1CB614"/>
    <w:rsid w:val="3A1EEC0A"/>
    <w:rsid w:val="3A426144"/>
    <w:rsid w:val="3A61507B"/>
    <w:rsid w:val="3A6790FC"/>
    <w:rsid w:val="3A9227C5"/>
    <w:rsid w:val="3AD3B62D"/>
    <w:rsid w:val="3AD87DD0"/>
    <w:rsid w:val="3B033D00"/>
    <w:rsid w:val="3B085D7B"/>
    <w:rsid w:val="3B207C0D"/>
    <w:rsid w:val="3B36E39B"/>
    <w:rsid w:val="3B4AC811"/>
    <w:rsid w:val="3B86F6F7"/>
    <w:rsid w:val="3B956EAD"/>
    <w:rsid w:val="3B9B4DAD"/>
    <w:rsid w:val="3BDD33DE"/>
    <w:rsid w:val="3C0E8B73"/>
    <w:rsid w:val="3C17E96A"/>
    <w:rsid w:val="3C56BD8D"/>
    <w:rsid w:val="3C5ACE00"/>
    <w:rsid w:val="3C89D138"/>
    <w:rsid w:val="3CA2BA9E"/>
    <w:rsid w:val="3CF11A94"/>
    <w:rsid w:val="3D44D685"/>
    <w:rsid w:val="3D6572AC"/>
    <w:rsid w:val="3D9F5B25"/>
    <w:rsid w:val="3DAF04D2"/>
    <w:rsid w:val="3DBACB67"/>
    <w:rsid w:val="3DBE96B2"/>
    <w:rsid w:val="3DD1EF55"/>
    <w:rsid w:val="3DFFC190"/>
    <w:rsid w:val="3E158A0F"/>
    <w:rsid w:val="3E4ADF11"/>
    <w:rsid w:val="3E4B0840"/>
    <w:rsid w:val="3E78A82E"/>
    <w:rsid w:val="3EA4EBE0"/>
    <w:rsid w:val="3EA9D35E"/>
    <w:rsid w:val="3ED716B7"/>
    <w:rsid w:val="3EFF2A42"/>
    <w:rsid w:val="3F321C2D"/>
    <w:rsid w:val="3F4F8A2C"/>
    <w:rsid w:val="3F5CCA30"/>
    <w:rsid w:val="3F793DA2"/>
    <w:rsid w:val="3F7C076D"/>
    <w:rsid w:val="3FB7EC3F"/>
    <w:rsid w:val="3FCA71AE"/>
    <w:rsid w:val="3FD8693E"/>
    <w:rsid w:val="3FEDAB71"/>
    <w:rsid w:val="401CBAE4"/>
    <w:rsid w:val="40215C5E"/>
    <w:rsid w:val="4059C1ED"/>
    <w:rsid w:val="408620ED"/>
    <w:rsid w:val="409F5180"/>
    <w:rsid w:val="40B561A3"/>
    <w:rsid w:val="40CEA3F1"/>
    <w:rsid w:val="40F098A1"/>
    <w:rsid w:val="40F9B5BE"/>
    <w:rsid w:val="41145C92"/>
    <w:rsid w:val="413EA777"/>
    <w:rsid w:val="4149A275"/>
    <w:rsid w:val="414B3FB3"/>
    <w:rsid w:val="419F0545"/>
    <w:rsid w:val="41A52621"/>
    <w:rsid w:val="41D77DA3"/>
    <w:rsid w:val="41DF1226"/>
    <w:rsid w:val="42511D23"/>
    <w:rsid w:val="428EE82E"/>
    <w:rsid w:val="42A9E3FE"/>
    <w:rsid w:val="42AE290D"/>
    <w:rsid w:val="4311B192"/>
    <w:rsid w:val="433AAED0"/>
    <w:rsid w:val="433EA080"/>
    <w:rsid w:val="4340F682"/>
    <w:rsid w:val="4374EA0E"/>
    <w:rsid w:val="43C1F862"/>
    <w:rsid w:val="43CDBC63"/>
    <w:rsid w:val="43D4007A"/>
    <w:rsid w:val="4440FC4D"/>
    <w:rsid w:val="4448BE73"/>
    <w:rsid w:val="446570F7"/>
    <w:rsid w:val="44782454"/>
    <w:rsid w:val="44A0BF17"/>
    <w:rsid w:val="44D2A7BF"/>
    <w:rsid w:val="44F584D5"/>
    <w:rsid w:val="450969BC"/>
    <w:rsid w:val="4534BAF4"/>
    <w:rsid w:val="455484DD"/>
    <w:rsid w:val="45636F58"/>
    <w:rsid w:val="45BA0505"/>
    <w:rsid w:val="46260F74"/>
    <w:rsid w:val="4653706A"/>
    <w:rsid w:val="46893F9F"/>
    <w:rsid w:val="46C7CA13"/>
    <w:rsid w:val="46CD7672"/>
    <w:rsid w:val="4700C9F2"/>
    <w:rsid w:val="471E1BC8"/>
    <w:rsid w:val="4738D76B"/>
    <w:rsid w:val="4748B5DF"/>
    <w:rsid w:val="477B2270"/>
    <w:rsid w:val="477BB8C3"/>
    <w:rsid w:val="47836A25"/>
    <w:rsid w:val="47BDAD4B"/>
    <w:rsid w:val="47C898A6"/>
    <w:rsid w:val="47E958EB"/>
    <w:rsid w:val="481BD8F1"/>
    <w:rsid w:val="4850861E"/>
    <w:rsid w:val="48555B56"/>
    <w:rsid w:val="48634AD3"/>
    <w:rsid w:val="4864ADAD"/>
    <w:rsid w:val="487A97C2"/>
    <w:rsid w:val="4882C07F"/>
    <w:rsid w:val="4886768D"/>
    <w:rsid w:val="48C1EDDB"/>
    <w:rsid w:val="48D28C98"/>
    <w:rsid w:val="48F558A7"/>
    <w:rsid w:val="491003F9"/>
    <w:rsid w:val="491BAD4D"/>
    <w:rsid w:val="494E02A5"/>
    <w:rsid w:val="4978CC8C"/>
    <w:rsid w:val="498D9AA8"/>
    <w:rsid w:val="498DF887"/>
    <w:rsid w:val="49FC56DD"/>
    <w:rsid w:val="4A02B65C"/>
    <w:rsid w:val="4A2A19A1"/>
    <w:rsid w:val="4A2C6920"/>
    <w:rsid w:val="4A38591A"/>
    <w:rsid w:val="4A3E6623"/>
    <w:rsid w:val="4A4EDE34"/>
    <w:rsid w:val="4A607294"/>
    <w:rsid w:val="4A8B2C2C"/>
    <w:rsid w:val="4A8D6A7D"/>
    <w:rsid w:val="4A93E745"/>
    <w:rsid w:val="4AADBAB5"/>
    <w:rsid w:val="4ABD9A11"/>
    <w:rsid w:val="4AC0AE77"/>
    <w:rsid w:val="4AE188C5"/>
    <w:rsid w:val="4AF062EE"/>
    <w:rsid w:val="4B27F23C"/>
    <w:rsid w:val="4B3C002C"/>
    <w:rsid w:val="4B50EAE7"/>
    <w:rsid w:val="4B67B55C"/>
    <w:rsid w:val="4B6CD769"/>
    <w:rsid w:val="4B79E8CF"/>
    <w:rsid w:val="4B7CB4C3"/>
    <w:rsid w:val="4B7FD799"/>
    <w:rsid w:val="4B9C6A4D"/>
    <w:rsid w:val="4BDF698B"/>
    <w:rsid w:val="4BE5B978"/>
    <w:rsid w:val="4BE75580"/>
    <w:rsid w:val="4BFC42F5"/>
    <w:rsid w:val="4C5133D2"/>
    <w:rsid w:val="4C52CE33"/>
    <w:rsid w:val="4C7F2259"/>
    <w:rsid w:val="4CA3540D"/>
    <w:rsid w:val="4CBD9DCD"/>
    <w:rsid w:val="4CBEEC91"/>
    <w:rsid w:val="4CF8E106"/>
    <w:rsid w:val="4D53ACEB"/>
    <w:rsid w:val="4D659694"/>
    <w:rsid w:val="4D7140D4"/>
    <w:rsid w:val="4DD8DCB7"/>
    <w:rsid w:val="4DE7DA47"/>
    <w:rsid w:val="4DF769BF"/>
    <w:rsid w:val="4E18D14B"/>
    <w:rsid w:val="4E838CB2"/>
    <w:rsid w:val="4EB4D813"/>
    <w:rsid w:val="4EE92E8F"/>
    <w:rsid w:val="4EF7FECB"/>
    <w:rsid w:val="4F30785D"/>
    <w:rsid w:val="4F464F53"/>
    <w:rsid w:val="4F711FF1"/>
    <w:rsid w:val="4F941ED3"/>
    <w:rsid w:val="4F99D8FD"/>
    <w:rsid w:val="4FA740BB"/>
    <w:rsid w:val="4FB874B3"/>
    <w:rsid w:val="4FDD021A"/>
    <w:rsid w:val="4FE6D308"/>
    <w:rsid w:val="4FF8927E"/>
    <w:rsid w:val="50324886"/>
    <w:rsid w:val="5040488C"/>
    <w:rsid w:val="5052C9B4"/>
    <w:rsid w:val="505FC5FD"/>
    <w:rsid w:val="5076F2AF"/>
    <w:rsid w:val="508C3D01"/>
    <w:rsid w:val="509C258F"/>
    <w:rsid w:val="50AC668C"/>
    <w:rsid w:val="5105436E"/>
    <w:rsid w:val="51107D79"/>
    <w:rsid w:val="5117B4DA"/>
    <w:rsid w:val="512BC6E6"/>
    <w:rsid w:val="512D1211"/>
    <w:rsid w:val="51741588"/>
    <w:rsid w:val="518D9C97"/>
    <w:rsid w:val="51E34B27"/>
    <w:rsid w:val="51ECD60B"/>
    <w:rsid w:val="5203EDE6"/>
    <w:rsid w:val="524819CC"/>
    <w:rsid w:val="5249C75D"/>
    <w:rsid w:val="5281F12D"/>
    <w:rsid w:val="52831F66"/>
    <w:rsid w:val="52886E5B"/>
    <w:rsid w:val="52E39CC9"/>
    <w:rsid w:val="52FCD962"/>
    <w:rsid w:val="5304248D"/>
    <w:rsid w:val="53124779"/>
    <w:rsid w:val="534F0E0A"/>
    <w:rsid w:val="53747144"/>
    <w:rsid w:val="53792343"/>
    <w:rsid w:val="53C03D74"/>
    <w:rsid w:val="54081BA0"/>
    <w:rsid w:val="5408E2D1"/>
    <w:rsid w:val="540B3010"/>
    <w:rsid w:val="5432A3AD"/>
    <w:rsid w:val="543E0F0F"/>
    <w:rsid w:val="54404C92"/>
    <w:rsid w:val="5447D582"/>
    <w:rsid w:val="5463740D"/>
    <w:rsid w:val="54730418"/>
    <w:rsid w:val="54798A4B"/>
    <w:rsid w:val="54874D01"/>
    <w:rsid w:val="548790FE"/>
    <w:rsid w:val="548FB636"/>
    <w:rsid w:val="551F2843"/>
    <w:rsid w:val="559A17C7"/>
    <w:rsid w:val="55A70071"/>
    <w:rsid w:val="55B1DAF4"/>
    <w:rsid w:val="5621E78D"/>
    <w:rsid w:val="564BFF21"/>
    <w:rsid w:val="5658661C"/>
    <w:rsid w:val="56608F3B"/>
    <w:rsid w:val="5679FBE9"/>
    <w:rsid w:val="567B63B3"/>
    <w:rsid w:val="5687B795"/>
    <w:rsid w:val="569AF2A7"/>
    <w:rsid w:val="570558A3"/>
    <w:rsid w:val="57442ECA"/>
    <w:rsid w:val="576BA4F9"/>
    <w:rsid w:val="57CE6C1B"/>
    <w:rsid w:val="57D63312"/>
    <w:rsid w:val="57EA7571"/>
    <w:rsid w:val="583F2595"/>
    <w:rsid w:val="58518213"/>
    <w:rsid w:val="58592332"/>
    <w:rsid w:val="58667E01"/>
    <w:rsid w:val="58920CA2"/>
    <w:rsid w:val="58EC3785"/>
    <w:rsid w:val="590BE861"/>
    <w:rsid w:val="5952F289"/>
    <w:rsid w:val="5957AADD"/>
    <w:rsid w:val="595D1A16"/>
    <w:rsid w:val="5962D3F7"/>
    <w:rsid w:val="59669EB5"/>
    <w:rsid w:val="598C2868"/>
    <w:rsid w:val="5992A758"/>
    <w:rsid w:val="59982FFD"/>
    <w:rsid w:val="599B793D"/>
    <w:rsid w:val="59AA297F"/>
    <w:rsid w:val="59AC8006"/>
    <w:rsid w:val="59C76868"/>
    <w:rsid w:val="59E6C559"/>
    <w:rsid w:val="5A21969B"/>
    <w:rsid w:val="5A35D146"/>
    <w:rsid w:val="5A3D1B7F"/>
    <w:rsid w:val="5A6F1E21"/>
    <w:rsid w:val="5A7BCF8C"/>
    <w:rsid w:val="5A850DE5"/>
    <w:rsid w:val="5AAB0F99"/>
    <w:rsid w:val="5AAE82BC"/>
    <w:rsid w:val="5AF23B91"/>
    <w:rsid w:val="5B04DFB0"/>
    <w:rsid w:val="5B3367F0"/>
    <w:rsid w:val="5B4BCDFB"/>
    <w:rsid w:val="5B5A91A5"/>
    <w:rsid w:val="5B9ECCD6"/>
    <w:rsid w:val="5BAA1E16"/>
    <w:rsid w:val="5BBCCBFB"/>
    <w:rsid w:val="5BCE9BC3"/>
    <w:rsid w:val="5C07D156"/>
    <w:rsid w:val="5C2C677B"/>
    <w:rsid w:val="5C2FE485"/>
    <w:rsid w:val="5C4C4E7C"/>
    <w:rsid w:val="5C59EC5A"/>
    <w:rsid w:val="5C783CE4"/>
    <w:rsid w:val="5C8A377E"/>
    <w:rsid w:val="5C9F24E0"/>
    <w:rsid w:val="5CA9B73C"/>
    <w:rsid w:val="5CAABEEE"/>
    <w:rsid w:val="5CDCF8EC"/>
    <w:rsid w:val="5CE08348"/>
    <w:rsid w:val="5CE48093"/>
    <w:rsid w:val="5D009E1D"/>
    <w:rsid w:val="5D26E0EF"/>
    <w:rsid w:val="5D3CFB87"/>
    <w:rsid w:val="5D84AF32"/>
    <w:rsid w:val="5D98E9F9"/>
    <w:rsid w:val="5DCF7BBF"/>
    <w:rsid w:val="5E0DFEF0"/>
    <w:rsid w:val="5E26CDD8"/>
    <w:rsid w:val="5E454408"/>
    <w:rsid w:val="5E56A589"/>
    <w:rsid w:val="5E81B9A2"/>
    <w:rsid w:val="5E969839"/>
    <w:rsid w:val="5EA98819"/>
    <w:rsid w:val="5EBCE2D4"/>
    <w:rsid w:val="5ED3D972"/>
    <w:rsid w:val="5ED42960"/>
    <w:rsid w:val="5EEA8721"/>
    <w:rsid w:val="5F3818B9"/>
    <w:rsid w:val="5FC973F7"/>
    <w:rsid w:val="5FE4F80A"/>
    <w:rsid w:val="5FF098A3"/>
    <w:rsid w:val="5FF5088A"/>
    <w:rsid w:val="5FF7EF17"/>
    <w:rsid w:val="5FFB0002"/>
    <w:rsid w:val="600F5DC2"/>
    <w:rsid w:val="6024627D"/>
    <w:rsid w:val="6036A9EC"/>
    <w:rsid w:val="605A2EC8"/>
    <w:rsid w:val="60D41E2A"/>
    <w:rsid w:val="60DBAE67"/>
    <w:rsid w:val="60FDAD8F"/>
    <w:rsid w:val="6116E22C"/>
    <w:rsid w:val="6124D36A"/>
    <w:rsid w:val="61430DB4"/>
    <w:rsid w:val="6145B3EF"/>
    <w:rsid w:val="615803DB"/>
    <w:rsid w:val="617D2C70"/>
    <w:rsid w:val="61A67860"/>
    <w:rsid w:val="61B204BF"/>
    <w:rsid w:val="61D9145A"/>
    <w:rsid w:val="62006B15"/>
    <w:rsid w:val="6204ACB4"/>
    <w:rsid w:val="6204FCDB"/>
    <w:rsid w:val="62081D86"/>
    <w:rsid w:val="622AD7EB"/>
    <w:rsid w:val="624580D1"/>
    <w:rsid w:val="62755745"/>
    <w:rsid w:val="62773CBE"/>
    <w:rsid w:val="629BAC62"/>
    <w:rsid w:val="62A79D5C"/>
    <w:rsid w:val="62E8CE10"/>
    <w:rsid w:val="630AE8C5"/>
    <w:rsid w:val="630BA01A"/>
    <w:rsid w:val="6346B168"/>
    <w:rsid w:val="635A0998"/>
    <w:rsid w:val="637A085A"/>
    <w:rsid w:val="63AFC268"/>
    <w:rsid w:val="63B50620"/>
    <w:rsid w:val="63E98492"/>
    <w:rsid w:val="63EC79D1"/>
    <w:rsid w:val="6400A2E6"/>
    <w:rsid w:val="64513EC2"/>
    <w:rsid w:val="645EF06E"/>
    <w:rsid w:val="64870E1F"/>
    <w:rsid w:val="64ADD91F"/>
    <w:rsid w:val="64B7F800"/>
    <w:rsid w:val="64BE666C"/>
    <w:rsid w:val="64C82DC5"/>
    <w:rsid w:val="64E43B99"/>
    <w:rsid w:val="64EE2B51"/>
    <w:rsid w:val="6509B40A"/>
    <w:rsid w:val="652ABADF"/>
    <w:rsid w:val="6532CA0F"/>
    <w:rsid w:val="65367840"/>
    <w:rsid w:val="656C9C8F"/>
    <w:rsid w:val="6571B820"/>
    <w:rsid w:val="6599EC6A"/>
    <w:rsid w:val="659F796F"/>
    <w:rsid w:val="65BC9C9A"/>
    <w:rsid w:val="65FF9B91"/>
    <w:rsid w:val="661268DA"/>
    <w:rsid w:val="66650227"/>
    <w:rsid w:val="66807859"/>
    <w:rsid w:val="668BCCB4"/>
    <w:rsid w:val="6693E39B"/>
    <w:rsid w:val="6699FB41"/>
    <w:rsid w:val="66C901CD"/>
    <w:rsid w:val="66DD595B"/>
    <w:rsid w:val="670231AC"/>
    <w:rsid w:val="677A9BB7"/>
    <w:rsid w:val="679E7C17"/>
    <w:rsid w:val="67D5984E"/>
    <w:rsid w:val="68110441"/>
    <w:rsid w:val="6830F944"/>
    <w:rsid w:val="683B4E3E"/>
    <w:rsid w:val="684CD2D2"/>
    <w:rsid w:val="68504364"/>
    <w:rsid w:val="686794B3"/>
    <w:rsid w:val="68707D5D"/>
    <w:rsid w:val="68958742"/>
    <w:rsid w:val="68A538BB"/>
    <w:rsid w:val="68BC884C"/>
    <w:rsid w:val="68BFA456"/>
    <w:rsid w:val="69009107"/>
    <w:rsid w:val="691F6055"/>
    <w:rsid w:val="694EA7F0"/>
    <w:rsid w:val="69846CF7"/>
    <w:rsid w:val="69A3D821"/>
    <w:rsid w:val="69B51FD9"/>
    <w:rsid w:val="69DFDF48"/>
    <w:rsid w:val="69E35D54"/>
    <w:rsid w:val="69F55829"/>
    <w:rsid w:val="6A08C097"/>
    <w:rsid w:val="6A26A299"/>
    <w:rsid w:val="6A31D2FC"/>
    <w:rsid w:val="6A4D9048"/>
    <w:rsid w:val="6A65B0F3"/>
    <w:rsid w:val="6A720ADA"/>
    <w:rsid w:val="6A72475D"/>
    <w:rsid w:val="6A845365"/>
    <w:rsid w:val="6A858820"/>
    <w:rsid w:val="6AA26041"/>
    <w:rsid w:val="6AD61B59"/>
    <w:rsid w:val="6AE8BF18"/>
    <w:rsid w:val="6AEB0213"/>
    <w:rsid w:val="6AF3D0C4"/>
    <w:rsid w:val="6B101A10"/>
    <w:rsid w:val="6B20F528"/>
    <w:rsid w:val="6B227C0A"/>
    <w:rsid w:val="6B28A831"/>
    <w:rsid w:val="6B45A31C"/>
    <w:rsid w:val="6B599A4D"/>
    <w:rsid w:val="6BAFC0B0"/>
    <w:rsid w:val="6BEA3E0A"/>
    <w:rsid w:val="6C08F528"/>
    <w:rsid w:val="6C12DE88"/>
    <w:rsid w:val="6C253D3D"/>
    <w:rsid w:val="6C552A36"/>
    <w:rsid w:val="6C61929F"/>
    <w:rsid w:val="6C682E86"/>
    <w:rsid w:val="6C7DC702"/>
    <w:rsid w:val="6C887E35"/>
    <w:rsid w:val="6C919F93"/>
    <w:rsid w:val="6D59B8C1"/>
    <w:rsid w:val="6D988D94"/>
    <w:rsid w:val="6DA0432E"/>
    <w:rsid w:val="6DC64F92"/>
    <w:rsid w:val="6DCF2C10"/>
    <w:rsid w:val="6E0FDDF2"/>
    <w:rsid w:val="6E199630"/>
    <w:rsid w:val="6E1FAF16"/>
    <w:rsid w:val="6E371B4D"/>
    <w:rsid w:val="6E408385"/>
    <w:rsid w:val="6E4F106E"/>
    <w:rsid w:val="6E837163"/>
    <w:rsid w:val="6EC9D147"/>
    <w:rsid w:val="6ED94427"/>
    <w:rsid w:val="6EDBD57B"/>
    <w:rsid w:val="6EECDC21"/>
    <w:rsid w:val="6EED588B"/>
    <w:rsid w:val="6F11CA71"/>
    <w:rsid w:val="6F34C832"/>
    <w:rsid w:val="6F6BF235"/>
    <w:rsid w:val="6FF3AE7B"/>
    <w:rsid w:val="7032EBBB"/>
    <w:rsid w:val="70364964"/>
    <w:rsid w:val="70422CEC"/>
    <w:rsid w:val="7080A34D"/>
    <w:rsid w:val="710BD08F"/>
    <w:rsid w:val="71148EF8"/>
    <w:rsid w:val="717C15BE"/>
    <w:rsid w:val="719B5A54"/>
    <w:rsid w:val="71C0F990"/>
    <w:rsid w:val="71D96FA1"/>
    <w:rsid w:val="71DBCF70"/>
    <w:rsid w:val="72168E02"/>
    <w:rsid w:val="722C15C1"/>
    <w:rsid w:val="7237980A"/>
    <w:rsid w:val="72A66834"/>
    <w:rsid w:val="72C4BB74"/>
    <w:rsid w:val="72D8BAD2"/>
    <w:rsid w:val="72EEB28B"/>
    <w:rsid w:val="72F05832"/>
    <w:rsid w:val="7305AE2E"/>
    <w:rsid w:val="732B4F3D"/>
    <w:rsid w:val="73A3898D"/>
    <w:rsid w:val="73B0597A"/>
    <w:rsid w:val="73BF0259"/>
    <w:rsid w:val="73D9405D"/>
    <w:rsid w:val="73FB1776"/>
    <w:rsid w:val="74120206"/>
    <w:rsid w:val="741F881C"/>
    <w:rsid w:val="742FD0A3"/>
    <w:rsid w:val="74493E33"/>
    <w:rsid w:val="745413BA"/>
    <w:rsid w:val="74793AD4"/>
    <w:rsid w:val="748288B8"/>
    <w:rsid w:val="748977A3"/>
    <w:rsid w:val="748FE041"/>
    <w:rsid w:val="74918004"/>
    <w:rsid w:val="74D7F5C5"/>
    <w:rsid w:val="74F619F0"/>
    <w:rsid w:val="74F6BCE2"/>
    <w:rsid w:val="750452D8"/>
    <w:rsid w:val="75137032"/>
    <w:rsid w:val="758BD463"/>
    <w:rsid w:val="75A7FDF8"/>
    <w:rsid w:val="75D3CF65"/>
    <w:rsid w:val="75E59C0E"/>
    <w:rsid w:val="76A5C843"/>
    <w:rsid w:val="76B4B7FA"/>
    <w:rsid w:val="76CCAA27"/>
    <w:rsid w:val="76CCC92F"/>
    <w:rsid w:val="77163829"/>
    <w:rsid w:val="771914D1"/>
    <w:rsid w:val="773BC034"/>
    <w:rsid w:val="77463F0E"/>
    <w:rsid w:val="7747B12E"/>
    <w:rsid w:val="77D4BDB2"/>
    <w:rsid w:val="77DD1E42"/>
    <w:rsid w:val="77ED8A8B"/>
    <w:rsid w:val="77FA442C"/>
    <w:rsid w:val="780DAA12"/>
    <w:rsid w:val="78218553"/>
    <w:rsid w:val="78304BBA"/>
    <w:rsid w:val="784EB4AB"/>
    <w:rsid w:val="788A7B0D"/>
    <w:rsid w:val="78B51246"/>
    <w:rsid w:val="78B56DC6"/>
    <w:rsid w:val="78BE0452"/>
    <w:rsid w:val="78BE6E7E"/>
    <w:rsid w:val="78D46F1D"/>
    <w:rsid w:val="790341C6"/>
    <w:rsid w:val="795A6B08"/>
    <w:rsid w:val="79BDAB95"/>
    <w:rsid w:val="7A1C506D"/>
    <w:rsid w:val="7A4C066E"/>
    <w:rsid w:val="7AAC70A9"/>
    <w:rsid w:val="7AD0CE34"/>
    <w:rsid w:val="7B041A9E"/>
    <w:rsid w:val="7B05CA36"/>
    <w:rsid w:val="7B0A14C4"/>
    <w:rsid w:val="7B210519"/>
    <w:rsid w:val="7B2FDCAF"/>
    <w:rsid w:val="7B5AAEC8"/>
    <w:rsid w:val="7B5D39C6"/>
    <w:rsid w:val="7B682B61"/>
    <w:rsid w:val="7B7049E2"/>
    <w:rsid w:val="7B885A6B"/>
    <w:rsid w:val="7B901FCF"/>
    <w:rsid w:val="7B958B9E"/>
    <w:rsid w:val="7BA0F7ED"/>
    <w:rsid w:val="7BAED356"/>
    <w:rsid w:val="7BD8E61D"/>
    <w:rsid w:val="7C2230C9"/>
    <w:rsid w:val="7C3AE288"/>
    <w:rsid w:val="7C5ED21A"/>
    <w:rsid w:val="7C678CE1"/>
    <w:rsid w:val="7C69B3EE"/>
    <w:rsid w:val="7CB2D385"/>
    <w:rsid w:val="7CBF96F4"/>
    <w:rsid w:val="7CBFF143"/>
    <w:rsid w:val="7CF883AE"/>
    <w:rsid w:val="7CFE1DFC"/>
    <w:rsid w:val="7D004E87"/>
    <w:rsid w:val="7D10F68C"/>
    <w:rsid w:val="7D1DEBD2"/>
    <w:rsid w:val="7D3483E0"/>
    <w:rsid w:val="7D427E7F"/>
    <w:rsid w:val="7D55A9F4"/>
    <w:rsid w:val="7DB35DE2"/>
    <w:rsid w:val="7DCD64F9"/>
    <w:rsid w:val="7DD058BC"/>
    <w:rsid w:val="7E00B1B4"/>
    <w:rsid w:val="7E7D5BFA"/>
    <w:rsid w:val="7E9E70F6"/>
    <w:rsid w:val="7EA60364"/>
    <w:rsid w:val="7EA6357D"/>
    <w:rsid w:val="7F0A4D49"/>
    <w:rsid w:val="7F237E20"/>
    <w:rsid w:val="7F2654B7"/>
    <w:rsid w:val="7F343307"/>
    <w:rsid w:val="7F5E2B6D"/>
    <w:rsid w:val="7F7FD95B"/>
    <w:rsid w:val="7F90C39C"/>
    <w:rsid w:val="7FC9E2A6"/>
    <w:rsid w:val="7FCA51CF"/>
    <w:rsid w:val="7FF39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C40FF"/>
  <w15:chartTrackingRefBased/>
  <w15:docId w15:val="{4AE86725-48CD-4EC7-A0C9-67766B26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Colorful List - Accent 11,Bullet 1,Bullet Points,MAIN CONTENT,List Tables,Bullet List,FooterText,Colorful List Accent 1,LP"/>
    <w:basedOn w:val="Normal"/>
    <w:link w:val="ListParagraphChar"/>
    <w:uiPriority w:val="34"/>
    <w:qFormat/>
    <w:rsid w:val="00132D8E"/>
    <w:pPr>
      <w:spacing w:after="0" w:line="240" w:lineRule="auto"/>
      <w:ind w:left="720"/>
    </w:pPr>
    <w:rPr>
      <w:rFonts w:ascii="Calibri" w:hAnsi="Calibri" w:cs="Calibri"/>
    </w:rPr>
  </w:style>
  <w:style w:type="character" w:styleId="Hyperlink">
    <w:name w:val="Hyperlink"/>
    <w:basedOn w:val="DefaultParagraphFont"/>
    <w:uiPriority w:val="99"/>
    <w:unhideWhenUsed/>
    <w:rsid w:val="003F14C6"/>
    <w:rPr>
      <w:color w:val="0563C1"/>
      <w:u w:val="single"/>
    </w:rPr>
  </w:style>
  <w:style w:type="character" w:styleId="FootnoteReference">
    <w:name w:val="footnote reference"/>
    <w:aliases w:val="Ref,de nota al pie,16 Point,Superscript 6 Point,Appel note de bas de page,ftref,BVI fnr,Footnote Reference Number,Car Car Char Car Char Car Car Char Car Char Char,Heading 3 Char Char Char,Heading 3 Char Char Char Char,FO,footnote ref"/>
    <w:basedOn w:val="DefaultParagraphFont"/>
    <w:link w:val="4GCharCharChar"/>
    <w:uiPriority w:val="99"/>
    <w:unhideWhenUsed/>
    <w:qFormat/>
    <w:rPr>
      <w:vertAlign w:val="superscript"/>
    </w:rPr>
  </w:style>
  <w:style w:type="character" w:customStyle="1" w:styleId="FootnoteTextChar">
    <w:name w:val="Footnote Text Char"/>
    <w:aliases w:val="5_G Char,Footnote Text Char Char Char,Footnote Text Char1 Char Char Char,Footnote Text Char Char Char Char Char,Footnote Text Char1 Char Char1 Char Char Char,Footnote Text Char Char Char Char1 Char Char Char,fn Char,ft Char"/>
    <w:basedOn w:val="DefaultParagraphFont"/>
    <w:link w:val="FootnoteText"/>
    <w:uiPriority w:val="99"/>
    <w:semiHidden/>
    <w:rPr>
      <w:sz w:val="20"/>
      <w:szCs w:val="20"/>
    </w:rPr>
  </w:style>
  <w:style w:type="paragraph" w:styleId="FootnoteText">
    <w:name w:val="footnote text"/>
    <w:aliases w:val="5_G,Footnote Text Char Char,Footnote Text Char1 Char Char,Footnote Text Char Char Char Char,Footnote Text Char1 Char Char1 Char Char,Footnote Text Char Char Char Char1 Char Char,ft Char Char Char Char Char Char,fn,ft"/>
    <w:basedOn w:val="Normal"/>
    <w:link w:val="FootnoteTextChar"/>
    <w:uiPriority w:val="99"/>
    <w:semiHidden/>
    <w:unhideWhenUsed/>
    <w:qFormat/>
    <w:pPr>
      <w:spacing w:after="0" w:line="240" w:lineRule="auto"/>
    </w:pPr>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25DA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5DA0"/>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B00C3D"/>
    <w:rPr>
      <w:b/>
      <w:bCs/>
    </w:rPr>
  </w:style>
  <w:style w:type="character" w:customStyle="1" w:styleId="CommentSubjectChar">
    <w:name w:val="Comment Subject Char"/>
    <w:basedOn w:val="CommentTextChar"/>
    <w:link w:val="CommentSubject"/>
    <w:uiPriority w:val="99"/>
    <w:semiHidden/>
    <w:rsid w:val="00B00C3D"/>
    <w:rPr>
      <w:b/>
      <w:bCs/>
      <w:sz w:val="20"/>
      <w:szCs w:val="20"/>
    </w:rPr>
  </w:style>
  <w:style w:type="paragraph" w:styleId="Revision">
    <w:name w:val="Revision"/>
    <w:hidden/>
    <w:uiPriority w:val="99"/>
    <w:semiHidden/>
    <w:rsid w:val="004F4C24"/>
    <w:pPr>
      <w:spacing w:after="0" w:line="240" w:lineRule="auto"/>
    </w:pPr>
  </w:style>
  <w:style w:type="character" w:styleId="FollowedHyperlink">
    <w:name w:val="FollowedHyperlink"/>
    <w:basedOn w:val="DefaultParagraphFont"/>
    <w:uiPriority w:val="99"/>
    <w:semiHidden/>
    <w:unhideWhenUsed/>
    <w:rsid w:val="003B6C8C"/>
    <w:rPr>
      <w:color w:val="954F72" w:themeColor="followedHyperlink"/>
      <w:u w:val="single"/>
    </w:rPr>
  </w:style>
  <w:style w:type="character" w:customStyle="1" w:styleId="UnresolvedMention1">
    <w:name w:val="Unresolved Mention1"/>
    <w:basedOn w:val="DefaultParagraphFont"/>
    <w:uiPriority w:val="99"/>
    <w:semiHidden/>
    <w:unhideWhenUsed/>
    <w:rsid w:val="00640123"/>
    <w:rPr>
      <w:color w:val="605E5C"/>
      <w:shd w:val="clear" w:color="auto" w:fill="E1DFDD"/>
    </w:rPr>
  </w:style>
  <w:style w:type="paragraph" w:customStyle="1" w:styleId="paragraph">
    <w:name w:val="paragraph"/>
    <w:basedOn w:val="Normal"/>
    <w:rsid w:val="001E1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E155B"/>
  </w:style>
  <w:style w:type="character" w:customStyle="1" w:styleId="eop">
    <w:name w:val="eop"/>
    <w:basedOn w:val="DefaultParagraphFont"/>
    <w:rsid w:val="001E155B"/>
  </w:style>
  <w:style w:type="character" w:customStyle="1" w:styleId="ListParagraphChar">
    <w:name w:val="List Paragraph Char"/>
    <w:aliases w:val="F5 List Paragraph Char,List Paragraph1 Char,Dot pt Char,No Spacing1 Char,List Paragraph Char Char Char Char,Indicator Text Char,Numbered Para 1 Char,Colorful List - Accent 11 Char,Bullet 1 Char,Bullet Points Char,MAIN CONTENT Char"/>
    <w:basedOn w:val="DefaultParagraphFont"/>
    <w:link w:val="ListParagraph"/>
    <w:uiPriority w:val="34"/>
    <w:qFormat/>
    <w:locked/>
    <w:rsid w:val="003D07BF"/>
    <w:rPr>
      <w:rFonts w:ascii="Calibri" w:hAnsi="Calibri" w:cs="Calibri"/>
    </w:rPr>
  </w:style>
  <w:style w:type="paragraph" w:styleId="Header">
    <w:name w:val="header"/>
    <w:basedOn w:val="Normal"/>
    <w:link w:val="HeaderChar"/>
    <w:uiPriority w:val="99"/>
    <w:unhideWhenUsed/>
    <w:rsid w:val="00230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D2D"/>
  </w:style>
  <w:style w:type="paragraph" w:styleId="Footer">
    <w:name w:val="footer"/>
    <w:basedOn w:val="Normal"/>
    <w:link w:val="FooterChar"/>
    <w:uiPriority w:val="99"/>
    <w:unhideWhenUsed/>
    <w:rsid w:val="00230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D2D"/>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DA550B"/>
    <w:pPr>
      <w:spacing w:line="240" w:lineRule="exact"/>
      <w:jc w:val="both"/>
    </w:pPr>
    <w:rPr>
      <w:vertAlign w:val="superscript"/>
    </w:rPr>
  </w:style>
  <w:style w:type="character" w:styleId="Strong">
    <w:name w:val="Strong"/>
    <w:basedOn w:val="DefaultParagraphFont"/>
    <w:uiPriority w:val="22"/>
    <w:qFormat/>
    <w:rsid w:val="001B33DF"/>
    <w:rPr>
      <w:b/>
      <w:bCs/>
    </w:rPr>
  </w:style>
  <w:style w:type="character" w:customStyle="1" w:styleId="UnresolvedMention2">
    <w:name w:val="Unresolved Mention2"/>
    <w:basedOn w:val="DefaultParagraphFont"/>
    <w:uiPriority w:val="99"/>
    <w:semiHidden/>
    <w:unhideWhenUsed/>
    <w:rsid w:val="006F43A6"/>
    <w:rPr>
      <w:color w:val="605E5C"/>
      <w:shd w:val="clear" w:color="auto" w:fill="E1DFDD"/>
    </w:rPr>
  </w:style>
  <w:style w:type="character" w:customStyle="1" w:styleId="superscript">
    <w:name w:val="superscript"/>
    <w:basedOn w:val="DefaultParagraphFont"/>
    <w:rsid w:val="003A2AE2"/>
  </w:style>
  <w:style w:type="paragraph" w:customStyle="1" w:styleId="Pa4">
    <w:name w:val="Pa4"/>
    <w:basedOn w:val="Normal"/>
    <w:next w:val="Normal"/>
    <w:uiPriority w:val="99"/>
    <w:rsid w:val="00AE7F5D"/>
    <w:pPr>
      <w:autoSpaceDE w:val="0"/>
      <w:autoSpaceDN w:val="0"/>
      <w:adjustRightInd w:val="0"/>
      <w:spacing w:after="0" w:line="221" w:lineRule="atLeast"/>
    </w:pPr>
    <w:rPr>
      <w:rFonts w:ascii="Gill Sans Infant Std" w:hAnsi="Gill Sans Infant Std"/>
      <w:sz w:val="24"/>
      <w:szCs w:val="24"/>
    </w:rPr>
  </w:style>
  <w:style w:type="paragraph" w:customStyle="1" w:styleId="Pa5">
    <w:name w:val="Pa5"/>
    <w:basedOn w:val="Normal"/>
    <w:next w:val="Normal"/>
    <w:uiPriority w:val="99"/>
    <w:rsid w:val="00AE7F5D"/>
    <w:pPr>
      <w:autoSpaceDE w:val="0"/>
      <w:autoSpaceDN w:val="0"/>
      <w:adjustRightInd w:val="0"/>
      <w:spacing w:after="0" w:line="201" w:lineRule="atLeast"/>
    </w:pPr>
    <w:rPr>
      <w:rFonts w:ascii="Gill Sans Infant Std" w:hAnsi="Gill Sans Infant Std"/>
      <w:sz w:val="24"/>
      <w:szCs w:val="24"/>
    </w:rPr>
  </w:style>
  <w:style w:type="character" w:customStyle="1" w:styleId="A7">
    <w:name w:val="A7"/>
    <w:uiPriority w:val="99"/>
    <w:rsid w:val="00AE7F5D"/>
    <w:rPr>
      <w:rFonts w:cs="Gill Sans Infant Std"/>
      <w:color w:val="000000"/>
      <w:sz w:val="11"/>
      <w:szCs w:val="11"/>
    </w:rPr>
  </w:style>
  <w:style w:type="character" w:customStyle="1" w:styleId="A5">
    <w:name w:val="A5"/>
    <w:uiPriority w:val="99"/>
    <w:rsid w:val="00AE7F5D"/>
    <w:rPr>
      <w:rFonts w:cs="Gill Sans Infant Std"/>
      <w:color w:val="000000"/>
      <w:sz w:val="20"/>
      <w:szCs w:val="20"/>
    </w:rPr>
  </w:style>
  <w:style w:type="character" w:customStyle="1" w:styleId="A8">
    <w:name w:val="A8"/>
    <w:uiPriority w:val="99"/>
    <w:rsid w:val="00AE7F5D"/>
    <w:rPr>
      <w:rFonts w:cs="Gill Sans Infant Std"/>
      <w:color w:val="000000"/>
      <w:sz w:val="12"/>
      <w:szCs w:val="12"/>
    </w:rPr>
  </w:style>
  <w:style w:type="character" w:customStyle="1" w:styleId="A9">
    <w:name w:val="A9"/>
    <w:uiPriority w:val="99"/>
    <w:rsid w:val="00AE7F5D"/>
    <w:rPr>
      <w:rFonts w:cs="Gill Sans Infant Std"/>
      <w:color w:val="000000"/>
      <w:sz w:val="11"/>
      <w:szCs w:val="11"/>
    </w:rPr>
  </w:style>
  <w:style w:type="character" w:customStyle="1" w:styleId="A3">
    <w:name w:val="A3"/>
    <w:uiPriority w:val="99"/>
    <w:rsid w:val="00225812"/>
    <w:rPr>
      <w:rFonts w:cs="Gill Sans Infant Std"/>
      <w:color w:val="000000"/>
      <w:sz w:val="20"/>
      <w:szCs w:val="20"/>
    </w:rPr>
  </w:style>
  <w:style w:type="paragraph" w:customStyle="1" w:styleId="Pa1">
    <w:name w:val="Pa1"/>
    <w:basedOn w:val="Normal"/>
    <w:next w:val="Normal"/>
    <w:uiPriority w:val="99"/>
    <w:rsid w:val="00670BCB"/>
    <w:pPr>
      <w:autoSpaceDE w:val="0"/>
      <w:autoSpaceDN w:val="0"/>
      <w:adjustRightInd w:val="0"/>
      <w:spacing w:after="0" w:line="241" w:lineRule="atLeast"/>
    </w:pPr>
    <w:rPr>
      <w:rFonts w:ascii="Gill Sans Infant Std" w:hAnsi="Gill Sans Infant Std"/>
      <w:sz w:val="24"/>
      <w:szCs w:val="24"/>
      <w:lang w:val="en-US"/>
    </w:rPr>
  </w:style>
  <w:style w:type="paragraph" w:customStyle="1" w:styleId="Default">
    <w:name w:val="Default"/>
    <w:rsid w:val="002B660A"/>
    <w:pPr>
      <w:autoSpaceDE w:val="0"/>
      <w:autoSpaceDN w:val="0"/>
      <w:adjustRightInd w:val="0"/>
      <w:spacing w:after="0" w:line="240" w:lineRule="auto"/>
    </w:pPr>
    <w:rPr>
      <w:rFonts w:ascii="ScalaLancetPro" w:hAnsi="ScalaLancetPro" w:cs="ScalaLancetPro"/>
      <w:color w:val="000000"/>
      <w:sz w:val="24"/>
      <w:szCs w:val="24"/>
    </w:rPr>
  </w:style>
  <w:style w:type="character" w:customStyle="1" w:styleId="A13">
    <w:name w:val="A13"/>
    <w:uiPriority w:val="99"/>
    <w:rsid w:val="000D7380"/>
    <w:rPr>
      <w:rFonts w:cs="Trade Gothic LT Com Cn"/>
      <w:b/>
      <w:bCs/>
      <w:color w:val="000000"/>
      <w:sz w:val="26"/>
      <w:szCs w:val="26"/>
    </w:rPr>
  </w:style>
  <w:style w:type="character" w:customStyle="1" w:styleId="A14">
    <w:name w:val="A14"/>
    <w:uiPriority w:val="99"/>
    <w:rsid w:val="00167D49"/>
    <w:rPr>
      <w:rFonts w:cs="Gill Sans Infant Std"/>
      <w:color w:val="000000"/>
      <w:sz w:val="12"/>
      <w:szCs w:val="12"/>
    </w:rPr>
  </w:style>
  <w:style w:type="character" w:customStyle="1" w:styleId="A2">
    <w:name w:val="A2"/>
    <w:uiPriority w:val="99"/>
    <w:rsid w:val="00167D49"/>
    <w:rPr>
      <w:rFonts w:cs="Gill Sans Infant Std"/>
      <w:color w:val="000000"/>
      <w:sz w:val="22"/>
      <w:szCs w:val="22"/>
    </w:rPr>
  </w:style>
  <w:style w:type="paragraph" w:styleId="EndnoteText">
    <w:name w:val="endnote text"/>
    <w:basedOn w:val="Normal"/>
    <w:link w:val="EndnoteTextChar"/>
    <w:uiPriority w:val="99"/>
    <w:unhideWhenUsed/>
    <w:rsid w:val="00252C48"/>
    <w:pPr>
      <w:spacing w:after="0" w:line="240" w:lineRule="auto"/>
    </w:pPr>
    <w:rPr>
      <w:sz w:val="20"/>
      <w:szCs w:val="20"/>
    </w:rPr>
  </w:style>
  <w:style w:type="character" w:customStyle="1" w:styleId="EndnoteTextChar">
    <w:name w:val="Endnote Text Char"/>
    <w:basedOn w:val="DefaultParagraphFont"/>
    <w:link w:val="EndnoteText"/>
    <w:uiPriority w:val="99"/>
    <w:rsid w:val="00252C48"/>
    <w:rPr>
      <w:sz w:val="20"/>
      <w:szCs w:val="20"/>
    </w:rPr>
  </w:style>
  <w:style w:type="character" w:styleId="EndnoteReference">
    <w:name w:val="endnote reference"/>
    <w:basedOn w:val="DefaultParagraphFont"/>
    <w:uiPriority w:val="99"/>
    <w:semiHidden/>
    <w:unhideWhenUsed/>
    <w:rsid w:val="00252C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01139">
      <w:bodyDiv w:val="1"/>
      <w:marLeft w:val="0"/>
      <w:marRight w:val="0"/>
      <w:marTop w:val="0"/>
      <w:marBottom w:val="0"/>
      <w:divBdr>
        <w:top w:val="none" w:sz="0" w:space="0" w:color="auto"/>
        <w:left w:val="none" w:sz="0" w:space="0" w:color="auto"/>
        <w:bottom w:val="none" w:sz="0" w:space="0" w:color="auto"/>
        <w:right w:val="none" w:sz="0" w:space="0" w:color="auto"/>
      </w:divBdr>
    </w:div>
    <w:div w:id="64572300">
      <w:bodyDiv w:val="1"/>
      <w:marLeft w:val="0"/>
      <w:marRight w:val="0"/>
      <w:marTop w:val="0"/>
      <w:marBottom w:val="0"/>
      <w:divBdr>
        <w:top w:val="none" w:sz="0" w:space="0" w:color="auto"/>
        <w:left w:val="none" w:sz="0" w:space="0" w:color="auto"/>
        <w:bottom w:val="none" w:sz="0" w:space="0" w:color="auto"/>
        <w:right w:val="none" w:sz="0" w:space="0" w:color="auto"/>
      </w:divBdr>
    </w:div>
    <w:div w:id="322852199">
      <w:bodyDiv w:val="1"/>
      <w:marLeft w:val="0"/>
      <w:marRight w:val="0"/>
      <w:marTop w:val="0"/>
      <w:marBottom w:val="0"/>
      <w:divBdr>
        <w:top w:val="none" w:sz="0" w:space="0" w:color="auto"/>
        <w:left w:val="none" w:sz="0" w:space="0" w:color="auto"/>
        <w:bottom w:val="none" w:sz="0" w:space="0" w:color="auto"/>
        <w:right w:val="none" w:sz="0" w:space="0" w:color="auto"/>
      </w:divBdr>
    </w:div>
    <w:div w:id="421267513">
      <w:bodyDiv w:val="1"/>
      <w:marLeft w:val="0"/>
      <w:marRight w:val="0"/>
      <w:marTop w:val="0"/>
      <w:marBottom w:val="0"/>
      <w:divBdr>
        <w:top w:val="none" w:sz="0" w:space="0" w:color="auto"/>
        <w:left w:val="none" w:sz="0" w:space="0" w:color="auto"/>
        <w:bottom w:val="none" w:sz="0" w:space="0" w:color="auto"/>
        <w:right w:val="none" w:sz="0" w:space="0" w:color="auto"/>
      </w:divBdr>
    </w:div>
    <w:div w:id="421295662">
      <w:bodyDiv w:val="1"/>
      <w:marLeft w:val="0"/>
      <w:marRight w:val="0"/>
      <w:marTop w:val="0"/>
      <w:marBottom w:val="0"/>
      <w:divBdr>
        <w:top w:val="none" w:sz="0" w:space="0" w:color="auto"/>
        <w:left w:val="none" w:sz="0" w:space="0" w:color="auto"/>
        <w:bottom w:val="none" w:sz="0" w:space="0" w:color="auto"/>
        <w:right w:val="none" w:sz="0" w:space="0" w:color="auto"/>
      </w:divBdr>
    </w:div>
    <w:div w:id="467865373">
      <w:bodyDiv w:val="1"/>
      <w:marLeft w:val="0"/>
      <w:marRight w:val="0"/>
      <w:marTop w:val="0"/>
      <w:marBottom w:val="0"/>
      <w:divBdr>
        <w:top w:val="none" w:sz="0" w:space="0" w:color="auto"/>
        <w:left w:val="none" w:sz="0" w:space="0" w:color="auto"/>
        <w:bottom w:val="none" w:sz="0" w:space="0" w:color="auto"/>
        <w:right w:val="none" w:sz="0" w:space="0" w:color="auto"/>
      </w:divBdr>
      <w:divsChild>
        <w:div w:id="1206912302">
          <w:marLeft w:val="0"/>
          <w:marRight w:val="0"/>
          <w:marTop w:val="0"/>
          <w:marBottom w:val="0"/>
          <w:divBdr>
            <w:top w:val="none" w:sz="0" w:space="0" w:color="auto"/>
            <w:left w:val="none" w:sz="0" w:space="0" w:color="auto"/>
            <w:bottom w:val="none" w:sz="0" w:space="0" w:color="auto"/>
            <w:right w:val="none" w:sz="0" w:space="0" w:color="auto"/>
          </w:divBdr>
        </w:div>
        <w:div w:id="927275889">
          <w:marLeft w:val="0"/>
          <w:marRight w:val="0"/>
          <w:marTop w:val="0"/>
          <w:marBottom w:val="0"/>
          <w:divBdr>
            <w:top w:val="none" w:sz="0" w:space="0" w:color="auto"/>
            <w:left w:val="none" w:sz="0" w:space="0" w:color="auto"/>
            <w:bottom w:val="none" w:sz="0" w:space="0" w:color="auto"/>
            <w:right w:val="none" w:sz="0" w:space="0" w:color="auto"/>
          </w:divBdr>
        </w:div>
        <w:div w:id="1333410683">
          <w:marLeft w:val="0"/>
          <w:marRight w:val="0"/>
          <w:marTop w:val="0"/>
          <w:marBottom w:val="0"/>
          <w:divBdr>
            <w:top w:val="none" w:sz="0" w:space="0" w:color="auto"/>
            <w:left w:val="none" w:sz="0" w:space="0" w:color="auto"/>
            <w:bottom w:val="none" w:sz="0" w:space="0" w:color="auto"/>
            <w:right w:val="none" w:sz="0" w:space="0" w:color="auto"/>
          </w:divBdr>
        </w:div>
        <w:div w:id="1974553192">
          <w:marLeft w:val="0"/>
          <w:marRight w:val="0"/>
          <w:marTop w:val="0"/>
          <w:marBottom w:val="0"/>
          <w:divBdr>
            <w:top w:val="none" w:sz="0" w:space="0" w:color="auto"/>
            <w:left w:val="none" w:sz="0" w:space="0" w:color="auto"/>
            <w:bottom w:val="none" w:sz="0" w:space="0" w:color="auto"/>
            <w:right w:val="none" w:sz="0" w:space="0" w:color="auto"/>
          </w:divBdr>
        </w:div>
      </w:divsChild>
    </w:div>
    <w:div w:id="592516200">
      <w:bodyDiv w:val="1"/>
      <w:marLeft w:val="0"/>
      <w:marRight w:val="0"/>
      <w:marTop w:val="0"/>
      <w:marBottom w:val="0"/>
      <w:divBdr>
        <w:top w:val="none" w:sz="0" w:space="0" w:color="auto"/>
        <w:left w:val="none" w:sz="0" w:space="0" w:color="auto"/>
        <w:bottom w:val="none" w:sz="0" w:space="0" w:color="auto"/>
        <w:right w:val="none" w:sz="0" w:space="0" w:color="auto"/>
      </w:divBdr>
    </w:div>
    <w:div w:id="673343477">
      <w:bodyDiv w:val="1"/>
      <w:marLeft w:val="0"/>
      <w:marRight w:val="0"/>
      <w:marTop w:val="0"/>
      <w:marBottom w:val="0"/>
      <w:divBdr>
        <w:top w:val="none" w:sz="0" w:space="0" w:color="auto"/>
        <w:left w:val="none" w:sz="0" w:space="0" w:color="auto"/>
        <w:bottom w:val="none" w:sz="0" w:space="0" w:color="auto"/>
        <w:right w:val="none" w:sz="0" w:space="0" w:color="auto"/>
      </w:divBdr>
    </w:div>
    <w:div w:id="780492342">
      <w:bodyDiv w:val="1"/>
      <w:marLeft w:val="0"/>
      <w:marRight w:val="0"/>
      <w:marTop w:val="0"/>
      <w:marBottom w:val="0"/>
      <w:divBdr>
        <w:top w:val="none" w:sz="0" w:space="0" w:color="auto"/>
        <w:left w:val="none" w:sz="0" w:space="0" w:color="auto"/>
        <w:bottom w:val="none" w:sz="0" w:space="0" w:color="auto"/>
        <w:right w:val="none" w:sz="0" w:space="0" w:color="auto"/>
      </w:divBdr>
    </w:div>
    <w:div w:id="784733616">
      <w:bodyDiv w:val="1"/>
      <w:marLeft w:val="0"/>
      <w:marRight w:val="0"/>
      <w:marTop w:val="0"/>
      <w:marBottom w:val="0"/>
      <w:divBdr>
        <w:top w:val="none" w:sz="0" w:space="0" w:color="auto"/>
        <w:left w:val="none" w:sz="0" w:space="0" w:color="auto"/>
        <w:bottom w:val="none" w:sz="0" w:space="0" w:color="auto"/>
        <w:right w:val="none" w:sz="0" w:space="0" w:color="auto"/>
      </w:divBdr>
    </w:div>
    <w:div w:id="841506995">
      <w:bodyDiv w:val="1"/>
      <w:marLeft w:val="0"/>
      <w:marRight w:val="0"/>
      <w:marTop w:val="0"/>
      <w:marBottom w:val="0"/>
      <w:divBdr>
        <w:top w:val="none" w:sz="0" w:space="0" w:color="auto"/>
        <w:left w:val="none" w:sz="0" w:space="0" w:color="auto"/>
        <w:bottom w:val="none" w:sz="0" w:space="0" w:color="auto"/>
        <w:right w:val="none" w:sz="0" w:space="0" w:color="auto"/>
      </w:divBdr>
    </w:div>
    <w:div w:id="1050812649">
      <w:bodyDiv w:val="1"/>
      <w:marLeft w:val="0"/>
      <w:marRight w:val="0"/>
      <w:marTop w:val="0"/>
      <w:marBottom w:val="0"/>
      <w:divBdr>
        <w:top w:val="none" w:sz="0" w:space="0" w:color="auto"/>
        <w:left w:val="none" w:sz="0" w:space="0" w:color="auto"/>
        <w:bottom w:val="none" w:sz="0" w:space="0" w:color="auto"/>
        <w:right w:val="none" w:sz="0" w:space="0" w:color="auto"/>
      </w:divBdr>
    </w:div>
    <w:div w:id="1060176201">
      <w:bodyDiv w:val="1"/>
      <w:marLeft w:val="0"/>
      <w:marRight w:val="0"/>
      <w:marTop w:val="0"/>
      <w:marBottom w:val="0"/>
      <w:divBdr>
        <w:top w:val="none" w:sz="0" w:space="0" w:color="auto"/>
        <w:left w:val="none" w:sz="0" w:space="0" w:color="auto"/>
        <w:bottom w:val="none" w:sz="0" w:space="0" w:color="auto"/>
        <w:right w:val="none" w:sz="0" w:space="0" w:color="auto"/>
      </w:divBdr>
    </w:div>
    <w:div w:id="1147236969">
      <w:bodyDiv w:val="1"/>
      <w:marLeft w:val="0"/>
      <w:marRight w:val="0"/>
      <w:marTop w:val="0"/>
      <w:marBottom w:val="0"/>
      <w:divBdr>
        <w:top w:val="none" w:sz="0" w:space="0" w:color="auto"/>
        <w:left w:val="none" w:sz="0" w:space="0" w:color="auto"/>
        <w:bottom w:val="none" w:sz="0" w:space="0" w:color="auto"/>
        <w:right w:val="none" w:sz="0" w:space="0" w:color="auto"/>
      </w:divBdr>
    </w:div>
    <w:div w:id="1157956711">
      <w:bodyDiv w:val="1"/>
      <w:marLeft w:val="0"/>
      <w:marRight w:val="0"/>
      <w:marTop w:val="0"/>
      <w:marBottom w:val="0"/>
      <w:divBdr>
        <w:top w:val="none" w:sz="0" w:space="0" w:color="auto"/>
        <w:left w:val="none" w:sz="0" w:space="0" w:color="auto"/>
        <w:bottom w:val="none" w:sz="0" w:space="0" w:color="auto"/>
        <w:right w:val="none" w:sz="0" w:space="0" w:color="auto"/>
      </w:divBdr>
    </w:div>
    <w:div w:id="1178496643">
      <w:bodyDiv w:val="1"/>
      <w:marLeft w:val="0"/>
      <w:marRight w:val="0"/>
      <w:marTop w:val="0"/>
      <w:marBottom w:val="0"/>
      <w:divBdr>
        <w:top w:val="none" w:sz="0" w:space="0" w:color="auto"/>
        <w:left w:val="none" w:sz="0" w:space="0" w:color="auto"/>
        <w:bottom w:val="none" w:sz="0" w:space="0" w:color="auto"/>
        <w:right w:val="none" w:sz="0" w:space="0" w:color="auto"/>
      </w:divBdr>
    </w:div>
    <w:div w:id="1213006970">
      <w:bodyDiv w:val="1"/>
      <w:marLeft w:val="0"/>
      <w:marRight w:val="0"/>
      <w:marTop w:val="0"/>
      <w:marBottom w:val="0"/>
      <w:divBdr>
        <w:top w:val="none" w:sz="0" w:space="0" w:color="auto"/>
        <w:left w:val="none" w:sz="0" w:space="0" w:color="auto"/>
        <w:bottom w:val="none" w:sz="0" w:space="0" w:color="auto"/>
        <w:right w:val="none" w:sz="0" w:space="0" w:color="auto"/>
      </w:divBdr>
    </w:div>
    <w:div w:id="1249462678">
      <w:bodyDiv w:val="1"/>
      <w:marLeft w:val="0"/>
      <w:marRight w:val="0"/>
      <w:marTop w:val="0"/>
      <w:marBottom w:val="0"/>
      <w:divBdr>
        <w:top w:val="none" w:sz="0" w:space="0" w:color="auto"/>
        <w:left w:val="none" w:sz="0" w:space="0" w:color="auto"/>
        <w:bottom w:val="none" w:sz="0" w:space="0" w:color="auto"/>
        <w:right w:val="none" w:sz="0" w:space="0" w:color="auto"/>
      </w:divBdr>
    </w:div>
    <w:div w:id="1493570193">
      <w:bodyDiv w:val="1"/>
      <w:marLeft w:val="0"/>
      <w:marRight w:val="0"/>
      <w:marTop w:val="0"/>
      <w:marBottom w:val="0"/>
      <w:divBdr>
        <w:top w:val="none" w:sz="0" w:space="0" w:color="auto"/>
        <w:left w:val="none" w:sz="0" w:space="0" w:color="auto"/>
        <w:bottom w:val="none" w:sz="0" w:space="0" w:color="auto"/>
        <w:right w:val="none" w:sz="0" w:space="0" w:color="auto"/>
      </w:divBdr>
    </w:div>
    <w:div w:id="1602301366">
      <w:bodyDiv w:val="1"/>
      <w:marLeft w:val="0"/>
      <w:marRight w:val="0"/>
      <w:marTop w:val="0"/>
      <w:marBottom w:val="0"/>
      <w:divBdr>
        <w:top w:val="none" w:sz="0" w:space="0" w:color="auto"/>
        <w:left w:val="none" w:sz="0" w:space="0" w:color="auto"/>
        <w:bottom w:val="none" w:sz="0" w:space="0" w:color="auto"/>
        <w:right w:val="none" w:sz="0" w:space="0" w:color="auto"/>
      </w:divBdr>
    </w:div>
    <w:div w:id="1623609759">
      <w:bodyDiv w:val="1"/>
      <w:marLeft w:val="0"/>
      <w:marRight w:val="0"/>
      <w:marTop w:val="0"/>
      <w:marBottom w:val="0"/>
      <w:divBdr>
        <w:top w:val="none" w:sz="0" w:space="0" w:color="auto"/>
        <w:left w:val="none" w:sz="0" w:space="0" w:color="auto"/>
        <w:bottom w:val="none" w:sz="0" w:space="0" w:color="auto"/>
        <w:right w:val="none" w:sz="0" w:space="0" w:color="auto"/>
      </w:divBdr>
    </w:div>
    <w:div w:id="1649245647">
      <w:bodyDiv w:val="1"/>
      <w:marLeft w:val="0"/>
      <w:marRight w:val="0"/>
      <w:marTop w:val="0"/>
      <w:marBottom w:val="0"/>
      <w:divBdr>
        <w:top w:val="none" w:sz="0" w:space="0" w:color="auto"/>
        <w:left w:val="none" w:sz="0" w:space="0" w:color="auto"/>
        <w:bottom w:val="none" w:sz="0" w:space="0" w:color="auto"/>
        <w:right w:val="none" w:sz="0" w:space="0" w:color="auto"/>
      </w:divBdr>
    </w:div>
    <w:div w:id="1656061163">
      <w:bodyDiv w:val="1"/>
      <w:marLeft w:val="0"/>
      <w:marRight w:val="0"/>
      <w:marTop w:val="0"/>
      <w:marBottom w:val="0"/>
      <w:divBdr>
        <w:top w:val="none" w:sz="0" w:space="0" w:color="auto"/>
        <w:left w:val="none" w:sz="0" w:space="0" w:color="auto"/>
        <w:bottom w:val="none" w:sz="0" w:space="0" w:color="auto"/>
        <w:right w:val="none" w:sz="0" w:space="0" w:color="auto"/>
      </w:divBdr>
    </w:div>
    <w:div w:id="1741715109">
      <w:bodyDiv w:val="1"/>
      <w:marLeft w:val="0"/>
      <w:marRight w:val="0"/>
      <w:marTop w:val="0"/>
      <w:marBottom w:val="0"/>
      <w:divBdr>
        <w:top w:val="none" w:sz="0" w:space="0" w:color="auto"/>
        <w:left w:val="none" w:sz="0" w:space="0" w:color="auto"/>
        <w:bottom w:val="none" w:sz="0" w:space="0" w:color="auto"/>
        <w:right w:val="none" w:sz="0" w:space="0" w:color="auto"/>
      </w:divBdr>
    </w:div>
    <w:div w:id="1769278856">
      <w:bodyDiv w:val="1"/>
      <w:marLeft w:val="0"/>
      <w:marRight w:val="0"/>
      <w:marTop w:val="0"/>
      <w:marBottom w:val="0"/>
      <w:divBdr>
        <w:top w:val="none" w:sz="0" w:space="0" w:color="auto"/>
        <w:left w:val="none" w:sz="0" w:space="0" w:color="auto"/>
        <w:bottom w:val="none" w:sz="0" w:space="0" w:color="auto"/>
        <w:right w:val="none" w:sz="0" w:space="0" w:color="auto"/>
      </w:divBdr>
    </w:div>
    <w:div w:id="1774127102">
      <w:bodyDiv w:val="1"/>
      <w:marLeft w:val="0"/>
      <w:marRight w:val="0"/>
      <w:marTop w:val="0"/>
      <w:marBottom w:val="0"/>
      <w:divBdr>
        <w:top w:val="none" w:sz="0" w:space="0" w:color="auto"/>
        <w:left w:val="none" w:sz="0" w:space="0" w:color="auto"/>
        <w:bottom w:val="none" w:sz="0" w:space="0" w:color="auto"/>
        <w:right w:val="none" w:sz="0" w:space="0" w:color="auto"/>
      </w:divBdr>
    </w:div>
    <w:div w:id="188587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resourcecentre.savethechildren.net/library/addressing-data-gaps-child-early-and-forced-marriage-humanitarian-settings" TargetMode="External"/><Relationship Id="rId3" Type="http://schemas.openxmlformats.org/officeDocument/2006/relationships/hyperlink" Target="https://www.thelancet.com/pdfs/journals/lanchi/PIIS2352-4642(20)30245-5.pdf" TargetMode="External"/><Relationship Id="rId7" Type="http://schemas.openxmlformats.org/officeDocument/2006/relationships/hyperlink" Target="https://www.ohchr.org/Documents/Issues/Children/HumanitarianSituations/GirlsNotBrides.pdf" TargetMode="External"/><Relationship Id="rId2" Type="http://schemas.openxmlformats.org/officeDocument/2006/relationships/hyperlink" Target="https://www.savethechildren.ca/wp-content/uploads/2020/04/SC-Gender-Age-and-Conflict-report-final.pdf" TargetMode="External"/><Relationship Id="rId1" Type="http://schemas.openxmlformats.org/officeDocument/2006/relationships/hyperlink" Target="https://resourcecentre.savethechildren.net/node/18763/pdf/weapon-of-war-report_final.pdf" TargetMode="External"/><Relationship Id="rId6" Type="http://schemas.openxmlformats.org/officeDocument/2006/relationships/hyperlink" Target="https://resourcecentre.savethechildren.net/node/18763/pdf/weapon-of-war-report_final.pdf" TargetMode="External"/><Relationship Id="rId5" Type="http://schemas.openxmlformats.org/officeDocument/2006/relationships/hyperlink" Target="https://resourcecentre.savethechildren.net/node/18763/pdf/weapon-of-war-report_final.pdf" TargetMode="External"/><Relationship Id="rId10" Type="http://schemas.openxmlformats.org/officeDocument/2006/relationships/hyperlink" Target="https://resourcecentre.savethechildren.net/node/16784/pdf/ch1413553.pdf" TargetMode="External"/><Relationship Id="rId4" Type="http://schemas.openxmlformats.org/officeDocument/2006/relationships/hyperlink" Target="https://resourcecentre.savethechildren.net/node/18763/pdf/weapon-of-war-report_final.pdf" TargetMode="External"/><Relationship Id="rId9" Type="http://schemas.openxmlformats.org/officeDocument/2006/relationships/hyperlink" Target="https://resourcecentre.savethechildren.net/node/18763/pdf/weapon-of-war-report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75A745-6BE1-4FFF-B494-65F3C9BB4F0C}"/>
</file>

<file path=customXml/itemProps2.xml><?xml version="1.0" encoding="utf-8"?>
<ds:datastoreItem xmlns:ds="http://schemas.openxmlformats.org/officeDocument/2006/customXml" ds:itemID="{F56C81B8-A3F4-4CB9-AE67-1F96C564A63C}">
  <ds:schemaRefs>
    <ds:schemaRef ds:uri="http://schemas.openxmlformats.org/officeDocument/2006/bibliography"/>
  </ds:schemaRefs>
</ds:datastoreItem>
</file>

<file path=customXml/itemProps3.xml><?xml version="1.0" encoding="utf-8"?>
<ds:datastoreItem xmlns:ds="http://schemas.openxmlformats.org/officeDocument/2006/customXml" ds:itemID="{0A305406-2983-4FED-913E-AA3B7D9B3218}">
  <ds:schemaRefs>
    <ds:schemaRef ds:uri="http://schemas.microsoft.com/sharepoint/v3/contenttype/forms"/>
  </ds:schemaRefs>
</ds:datastoreItem>
</file>

<file path=customXml/itemProps4.xml><?xml version="1.0" encoding="utf-8"?>
<ds:datastoreItem xmlns:ds="http://schemas.openxmlformats.org/officeDocument/2006/customXml" ds:itemID="{0867719D-0B05-4AAA-8C4F-3BFF126887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1966</Words>
  <Characters>11208</Characters>
  <Application>Microsoft Office Word</Application>
  <DocSecurity>0</DocSecurity>
  <Lines>93</Lines>
  <Paragraphs>26</Paragraphs>
  <ScaleCrop>false</ScaleCrop>
  <HeadingPairs>
    <vt:vector size="6" baseType="variant">
      <vt:variant>
        <vt:lpstr>Title</vt:lpstr>
      </vt:variant>
      <vt:variant>
        <vt:i4>1</vt:i4>
      </vt:variant>
      <vt:variant>
        <vt:lpstr>Otsikko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Diop, Diarra</dc:creator>
  <cp:keywords/>
  <dc:description/>
  <cp:lastModifiedBy>Garcia De Gross, Tania</cp:lastModifiedBy>
  <cp:revision>2</cp:revision>
  <dcterms:created xsi:type="dcterms:W3CDTF">2021-04-01T13:54:00Z</dcterms:created>
  <dcterms:modified xsi:type="dcterms:W3CDTF">2021-04-01T13:54:00Z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